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F37C92" w14:textId="77777777" w:rsidR="00FB6AF2" w:rsidRPr="00DB7074" w:rsidRDefault="00FB6AF2" w:rsidP="00DB7074">
      <w:pPr>
        <w:pStyle w:val="1"/>
        <w:snapToGrid w:val="0"/>
        <w:spacing w:line="360" w:lineRule="auto"/>
        <w:jc w:val="both"/>
        <w:rPr>
          <w:rFonts w:ascii="Book Antiqua" w:hAnsi="Book Antiqua" w:cs="Times New Roman"/>
          <w:b/>
          <w:color w:val="auto"/>
          <w:sz w:val="24"/>
          <w:szCs w:val="24"/>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636"/>
      <w:bookmarkStart w:id="12" w:name="OLE_LINK654"/>
      <w:bookmarkStart w:id="13" w:name="OLE_LINK849"/>
      <w:bookmarkStart w:id="14" w:name="OLE_LINK939"/>
      <w:bookmarkStart w:id="15" w:name="OLE_LINK1000"/>
      <w:bookmarkStart w:id="16" w:name="OLE_LINK1039"/>
      <w:bookmarkStart w:id="17" w:name="OLE_LINK1050"/>
      <w:bookmarkStart w:id="18" w:name="OLE_LINK1071"/>
      <w:r w:rsidRPr="00DB7074">
        <w:rPr>
          <w:rFonts w:ascii="Book Antiqua" w:hAnsi="Book Antiqua" w:cs="Times New Roman"/>
          <w:b/>
          <w:color w:val="auto"/>
          <w:sz w:val="24"/>
          <w:szCs w:val="24"/>
          <w:lang w:val="en-US" w:eastAsia="zh-CN"/>
        </w:rPr>
        <w:t xml:space="preserve">Name of </w:t>
      </w:r>
      <w:r w:rsidRPr="00DB7074">
        <w:rPr>
          <w:rFonts w:ascii="Book Antiqua" w:hAnsi="Book Antiqua" w:cs="Times New Roman"/>
          <w:b/>
          <w:caps/>
          <w:color w:val="auto"/>
          <w:sz w:val="24"/>
          <w:szCs w:val="24"/>
          <w:lang w:val="en-US" w:eastAsia="zh-CN"/>
        </w:rPr>
        <w:t>j</w:t>
      </w:r>
      <w:r w:rsidRPr="00DB7074">
        <w:rPr>
          <w:rFonts w:ascii="Book Antiqua" w:hAnsi="Book Antiqua" w:cs="Times New Roman"/>
          <w:b/>
          <w:color w:val="auto"/>
          <w:sz w:val="24"/>
          <w:szCs w:val="24"/>
          <w:lang w:val="en-US" w:eastAsia="zh-CN"/>
        </w:rPr>
        <w:t xml:space="preserve">ournal: </w:t>
      </w:r>
      <w:bookmarkStart w:id="19" w:name="OLE_LINK718"/>
      <w:bookmarkStart w:id="20" w:name="OLE_LINK719"/>
      <w:r w:rsidRPr="00DB7074">
        <w:rPr>
          <w:rFonts w:ascii="Book Antiqua" w:hAnsi="Book Antiqua" w:cs="Times New Roman"/>
          <w:b/>
          <w:i/>
          <w:color w:val="auto"/>
          <w:sz w:val="24"/>
          <w:szCs w:val="24"/>
          <w:lang w:val="en-US" w:eastAsia="zh-CN"/>
        </w:rPr>
        <w:t>World Journal of Gastroenterology</w:t>
      </w:r>
      <w:bookmarkEnd w:id="19"/>
      <w:bookmarkEnd w:id="20"/>
    </w:p>
    <w:p w14:paraId="38FEA47D" w14:textId="4090DA84" w:rsidR="00FB6AF2" w:rsidRPr="00DB7074" w:rsidRDefault="00FB6AF2" w:rsidP="00DB7074">
      <w:pPr>
        <w:pStyle w:val="1"/>
        <w:snapToGrid w:val="0"/>
        <w:spacing w:line="360" w:lineRule="auto"/>
        <w:jc w:val="both"/>
        <w:rPr>
          <w:rFonts w:ascii="Book Antiqua" w:hAnsi="Book Antiqua" w:cs="Times New Roman"/>
          <w:b/>
          <w:i/>
          <w:color w:val="auto"/>
          <w:sz w:val="24"/>
          <w:szCs w:val="24"/>
          <w:lang w:val="en-US" w:eastAsia="zh-CN"/>
        </w:rPr>
      </w:pPr>
      <w:bookmarkStart w:id="21" w:name="OLE_LINK485"/>
      <w:bookmarkStart w:id="22" w:name="OLE_LINK486"/>
      <w:bookmarkStart w:id="23" w:name="OLE_LINK661"/>
      <w:bookmarkStart w:id="24" w:name="OLE_LINK768"/>
      <w:bookmarkStart w:id="25" w:name="OLE_LINK514"/>
      <w:bookmarkStart w:id="26" w:name="OLE_LINK515"/>
      <w:r w:rsidRPr="00DB7074">
        <w:rPr>
          <w:rFonts w:ascii="Book Antiqua" w:hAnsi="Book Antiqua" w:cs="Times New Roman"/>
          <w:b/>
          <w:color w:val="auto"/>
          <w:sz w:val="24"/>
          <w:szCs w:val="24"/>
          <w:lang w:eastAsia="zh-CN"/>
        </w:rPr>
        <w:t>Manuscript NO:</w:t>
      </w:r>
      <w:bookmarkEnd w:id="21"/>
      <w:bookmarkEnd w:id="22"/>
      <w:bookmarkEnd w:id="23"/>
      <w:bookmarkEnd w:id="24"/>
      <w:r w:rsidRPr="00DB7074">
        <w:rPr>
          <w:rFonts w:ascii="Book Antiqua" w:hAnsi="Book Antiqua" w:cs="Times New Roman"/>
          <w:b/>
          <w:color w:val="auto"/>
          <w:sz w:val="24"/>
          <w:szCs w:val="24"/>
          <w:lang w:eastAsia="zh-CN"/>
        </w:rPr>
        <w:t xml:space="preserve"> </w:t>
      </w:r>
      <w:r w:rsidR="00812448" w:rsidRPr="00DB7074">
        <w:rPr>
          <w:rFonts w:ascii="Book Antiqua" w:hAnsi="Book Antiqua" w:cs="Times New Roman"/>
          <w:b/>
          <w:color w:val="auto"/>
          <w:sz w:val="24"/>
          <w:szCs w:val="24"/>
          <w:lang w:eastAsia="zh-CN"/>
        </w:rPr>
        <w:t>39188</w:t>
      </w:r>
    </w:p>
    <w:p w14:paraId="1BF912C6" w14:textId="17E79CD1" w:rsidR="00FB6AF2" w:rsidRPr="000F23E4" w:rsidRDefault="00FB6AF2" w:rsidP="00DB7074">
      <w:pPr>
        <w:snapToGrid w:val="0"/>
        <w:spacing w:after="0" w:line="360" w:lineRule="auto"/>
        <w:jc w:val="both"/>
        <w:rPr>
          <w:rFonts w:ascii="Book Antiqua" w:hAnsi="Book Antiqua"/>
          <w:b/>
          <w:sz w:val="24"/>
          <w:szCs w:val="24"/>
          <w:lang w:val="it-IT"/>
        </w:rPr>
      </w:pPr>
      <w:bookmarkStart w:id="27" w:name="OLE_LINK511"/>
      <w:bookmarkStart w:id="28" w:name="OLE_LINK512"/>
      <w:bookmarkEnd w:id="25"/>
      <w:bookmarkEnd w:id="26"/>
      <w:r w:rsidRPr="000F23E4">
        <w:rPr>
          <w:rFonts w:ascii="Book Antiqua" w:hAnsi="Book Antiqua"/>
          <w:b/>
          <w:sz w:val="24"/>
          <w:szCs w:val="24"/>
          <w:lang w:val="it-IT"/>
        </w:rPr>
        <w:t xml:space="preserve">Manuscript </w:t>
      </w:r>
      <w:r w:rsidRPr="000F23E4">
        <w:rPr>
          <w:rFonts w:ascii="Book Antiqua" w:hAnsi="Book Antiqua" w:hint="eastAsia"/>
          <w:b/>
          <w:caps/>
          <w:sz w:val="24"/>
          <w:szCs w:val="24"/>
        </w:rPr>
        <w:t>t</w:t>
      </w:r>
      <w:r w:rsidRPr="000F23E4">
        <w:rPr>
          <w:rFonts w:ascii="Book Antiqua" w:hAnsi="Book Antiqua"/>
          <w:b/>
          <w:sz w:val="24"/>
          <w:szCs w:val="24"/>
          <w:lang w:val="it-IT"/>
        </w:rPr>
        <w:t>ype</w:t>
      </w:r>
      <w:r w:rsidRPr="000F23E4">
        <w:rPr>
          <w:rFonts w:ascii="Book Antiqua" w:hAnsi="Book Antiqua" w:hint="eastAsia"/>
          <w:b/>
          <w:sz w:val="24"/>
          <w:szCs w:val="24"/>
          <w:lang w:val="it-IT"/>
        </w:rPr>
        <w:t>:</w:t>
      </w:r>
      <w:bookmarkEnd w:id="0"/>
      <w:bookmarkEnd w:id="1"/>
      <w:bookmarkEnd w:id="2"/>
      <w:bookmarkEnd w:id="3"/>
      <w:bookmarkEnd w:id="4"/>
      <w:bookmarkEnd w:id="5"/>
      <w:bookmarkEnd w:id="6"/>
      <w:bookmarkEnd w:id="7"/>
      <w:bookmarkEnd w:id="8"/>
      <w:bookmarkEnd w:id="9"/>
      <w:bookmarkEnd w:id="10"/>
      <w:r w:rsidRPr="000F23E4">
        <w:rPr>
          <w:rFonts w:ascii="Book Antiqua" w:hAnsi="Book Antiqua" w:hint="eastAsia"/>
          <w:b/>
          <w:sz w:val="24"/>
          <w:szCs w:val="24"/>
          <w:lang w:val="it-IT"/>
        </w:rPr>
        <w:t xml:space="preserve"> </w:t>
      </w:r>
      <w:r w:rsidR="00812448" w:rsidRPr="000F23E4">
        <w:rPr>
          <w:rFonts w:ascii="Book Antiqua" w:hAnsi="Book Antiqua"/>
          <w:b/>
          <w:caps/>
          <w:sz w:val="24"/>
          <w:szCs w:val="24"/>
          <w:lang w:val="it-IT"/>
        </w:rPr>
        <w:t>Review</w:t>
      </w:r>
    </w:p>
    <w:bookmarkEnd w:id="11"/>
    <w:bookmarkEnd w:id="12"/>
    <w:bookmarkEnd w:id="13"/>
    <w:bookmarkEnd w:id="14"/>
    <w:bookmarkEnd w:id="15"/>
    <w:bookmarkEnd w:id="16"/>
    <w:bookmarkEnd w:id="17"/>
    <w:bookmarkEnd w:id="18"/>
    <w:bookmarkEnd w:id="27"/>
    <w:bookmarkEnd w:id="28"/>
    <w:p w14:paraId="2A1F6F5A" w14:textId="77777777" w:rsidR="00FB6AF2" w:rsidRPr="00DB7074" w:rsidRDefault="00FB6AF2" w:rsidP="00DB7074">
      <w:pPr>
        <w:snapToGrid w:val="0"/>
        <w:spacing w:after="0" w:line="360" w:lineRule="auto"/>
        <w:jc w:val="both"/>
        <w:rPr>
          <w:rFonts w:ascii="Book Antiqua" w:hAnsi="Book Antiqua"/>
          <w:b/>
          <w:sz w:val="28"/>
          <w:szCs w:val="28"/>
          <w:lang w:eastAsia="zh-CN"/>
        </w:rPr>
      </w:pPr>
    </w:p>
    <w:p w14:paraId="76CB1E9F" w14:textId="1A201013" w:rsidR="0076652F" w:rsidRPr="00DB7074" w:rsidRDefault="006E48CC" w:rsidP="00DB7074">
      <w:pPr>
        <w:snapToGrid w:val="0"/>
        <w:spacing w:after="0" w:line="360" w:lineRule="auto"/>
        <w:jc w:val="both"/>
        <w:rPr>
          <w:rFonts w:ascii="Book Antiqua" w:hAnsi="Book Antiqua"/>
          <w:b/>
          <w:sz w:val="24"/>
          <w:szCs w:val="24"/>
        </w:rPr>
      </w:pPr>
      <w:r w:rsidRPr="00DB7074">
        <w:rPr>
          <w:rFonts w:ascii="Book Antiqua" w:hAnsi="Book Antiqua"/>
          <w:b/>
          <w:sz w:val="24"/>
          <w:szCs w:val="24"/>
        </w:rPr>
        <w:t>Microbial markers in colorectal cancer detection and/or prognosis</w:t>
      </w:r>
    </w:p>
    <w:p w14:paraId="5B7013A9" w14:textId="77777777" w:rsidR="00B25A83" w:rsidRPr="00DB7074" w:rsidRDefault="00B25A83" w:rsidP="00DB7074">
      <w:pPr>
        <w:snapToGrid w:val="0"/>
        <w:spacing w:after="0" w:line="360" w:lineRule="auto"/>
        <w:jc w:val="both"/>
        <w:rPr>
          <w:rFonts w:ascii="Book Antiqua" w:hAnsi="Book Antiqua" w:cs="Times New Roman"/>
          <w:b/>
          <w:lang w:val="en-US" w:eastAsia="zh-CN"/>
        </w:rPr>
      </w:pPr>
    </w:p>
    <w:p w14:paraId="2C970D06" w14:textId="3AE0DAF9" w:rsidR="00FB6AF2" w:rsidRPr="00F340BD" w:rsidRDefault="00F340BD" w:rsidP="00DB7074">
      <w:pPr>
        <w:pStyle w:val="1"/>
        <w:snapToGrid w:val="0"/>
        <w:spacing w:line="360" w:lineRule="auto"/>
        <w:jc w:val="both"/>
        <w:rPr>
          <w:rFonts w:ascii="Book Antiqua" w:hAnsi="Book Antiqua" w:cs="Times New Roman"/>
          <w:color w:val="auto"/>
          <w:sz w:val="24"/>
          <w:szCs w:val="24"/>
          <w:lang w:val="en-US" w:eastAsia="zh-CN"/>
        </w:rPr>
      </w:pPr>
      <w:bookmarkStart w:id="29" w:name="OLE_LINK122"/>
      <w:bookmarkStart w:id="30" w:name="OLE_LINK123"/>
      <w:bookmarkStart w:id="31" w:name="OLE_LINK221"/>
      <w:bookmarkStart w:id="32" w:name="OLE_LINK230"/>
      <w:bookmarkStart w:id="33" w:name="OLE_LINK342"/>
      <w:bookmarkStart w:id="34" w:name="OLE_LINK401"/>
      <w:bookmarkStart w:id="35" w:name="OLE_LINK576"/>
      <w:bookmarkStart w:id="36" w:name="OLE_LINK605"/>
      <w:bookmarkStart w:id="37" w:name="OLE_LINK638"/>
      <w:bookmarkStart w:id="38" w:name="OLE_LINK732"/>
      <w:bookmarkStart w:id="39" w:name="OLE_LINK850"/>
      <w:bookmarkStart w:id="40" w:name="OLE_LINK868"/>
      <w:bookmarkStart w:id="41" w:name="OLE_LINK901"/>
      <w:bookmarkStart w:id="42" w:name="OLE_LINK931"/>
      <w:bookmarkStart w:id="43" w:name="OLE_LINK972"/>
      <w:bookmarkStart w:id="44" w:name="OLE_LINK1002"/>
      <w:bookmarkStart w:id="45" w:name="OLE_LINK1025"/>
      <w:bookmarkStart w:id="46" w:name="OLE_LINK1090"/>
      <w:r w:rsidRPr="00F340BD">
        <w:rPr>
          <w:rFonts w:ascii="Book Antiqua" w:hAnsi="Book Antiqua" w:cs="Times New Roman"/>
          <w:sz w:val="24"/>
          <w:szCs w:val="24"/>
          <w:lang w:val="fr-FR"/>
        </w:rPr>
        <w:t>Villéger</w:t>
      </w:r>
      <w:r w:rsidRPr="00F340BD">
        <w:rPr>
          <w:rFonts w:ascii="Book Antiqua" w:hAnsi="Book Antiqua" w:cs="Times New Roman"/>
          <w:color w:val="auto"/>
          <w:sz w:val="24"/>
          <w:szCs w:val="24"/>
          <w:lang w:val="en-US" w:eastAsia="zh-CN"/>
        </w:rPr>
        <w:t xml:space="preserve"> </w:t>
      </w:r>
      <w:r w:rsidRPr="00F340BD">
        <w:rPr>
          <w:rFonts w:ascii="Book Antiqua" w:hAnsi="Book Antiqua" w:cs="Times New Roman" w:hint="eastAsia"/>
          <w:color w:val="auto"/>
          <w:sz w:val="24"/>
          <w:szCs w:val="24"/>
          <w:lang w:val="en-US" w:eastAsia="zh-CN"/>
        </w:rPr>
        <w:t xml:space="preserve">R </w:t>
      </w:r>
      <w:r w:rsidRPr="00F340BD">
        <w:rPr>
          <w:rFonts w:ascii="Book Antiqua" w:hAnsi="Book Antiqua" w:cs="Times New Roman" w:hint="eastAsia"/>
          <w:i/>
          <w:color w:val="auto"/>
          <w:sz w:val="24"/>
          <w:szCs w:val="24"/>
          <w:lang w:val="en-US" w:eastAsia="zh-CN"/>
        </w:rPr>
        <w:t>et al</w:t>
      </w:r>
      <w:r w:rsidRPr="00F340BD">
        <w:rPr>
          <w:rFonts w:ascii="Book Antiqua" w:hAnsi="Book Antiqua" w:cs="Times New Roman" w:hint="eastAsia"/>
          <w:color w:val="auto"/>
          <w:sz w:val="24"/>
          <w:szCs w:val="24"/>
          <w:lang w:val="en-US" w:eastAsia="zh-CN"/>
        </w:rPr>
        <w:t xml:space="preserve">. </w:t>
      </w:r>
      <w:r w:rsidR="00B152EE" w:rsidRPr="00F340BD">
        <w:rPr>
          <w:rFonts w:ascii="Book Antiqua" w:hAnsi="Book Antiqua" w:cs="Times New Roman"/>
          <w:color w:val="auto"/>
          <w:sz w:val="24"/>
          <w:szCs w:val="24"/>
          <w:lang w:val="en-US" w:eastAsia="zh-CN"/>
        </w:rPr>
        <w:t>Microbial markers for</w:t>
      </w:r>
      <w:r w:rsidR="00812448" w:rsidRPr="00F340BD">
        <w:rPr>
          <w:rFonts w:ascii="Book Antiqua" w:hAnsi="Book Antiqua" w:cs="Times New Roman"/>
          <w:color w:val="auto"/>
          <w:sz w:val="24"/>
          <w:szCs w:val="24"/>
          <w:lang w:val="en-US" w:eastAsia="zh-CN"/>
        </w:rPr>
        <w:t xml:space="preserve"> colon cancer</w:t>
      </w:r>
      <w:r w:rsidR="00B152EE" w:rsidRPr="00F340BD">
        <w:rPr>
          <w:rFonts w:ascii="Book Antiqua" w:hAnsi="Book Antiqua" w:cs="Times New Roman"/>
          <w:color w:val="auto"/>
          <w:sz w:val="24"/>
          <w:szCs w:val="24"/>
          <w:lang w:val="en-US" w:eastAsia="zh-CN"/>
        </w:rPr>
        <w:t xml:space="preserve"> screening</w:t>
      </w:r>
    </w:p>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14:paraId="3D51F4B8" w14:textId="77777777" w:rsidR="00FB6AF2" w:rsidRPr="00DB7074" w:rsidRDefault="00FB6AF2" w:rsidP="00DB7074">
      <w:pPr>
        <w:snapToGrid w:val="0"/>
        <w:spacing w:after="0" w:line="360" w:lineRule="auto"/>
        <w:jc w:val="both"/>
        <w:rPr>
          <w:rFonts w:ascii="Book Antiqua" w:hAnsi="Book Antiqua" w:cs="Times New Roman"/>
          <w:b/>
          <w:lang w:val="en-US" w:eastAsia="zh-CN"/>
        </w:rPr>
      </w:pPr>
    </w:p>
    <w:p w14:paraId="3ED49C9C" w14:textId="125C5852" w:rsidR="00B25A83" w:rsidRPr="00F340BD" w:rsidRDefault="00B25A83" w:rsidP="00DB7074">
      <w:pPr>
        <w:snapToGrid w:val="0"/>
        <w:spacing w:after="0" w:line="360" w:lineRule="auto"/>
        <w:jc w:val="both"/>
        <w:rPr>
          <w:rFonts w:ascii="Book Antiqua" w:hAnsi="Book Antiqua"/>
          <w:sz w:val="24"/>
          <w:szCs w:val="24"/>
          <w:lang w:val="fr-FR"/>
        </w:rPr>
      </w:pPr>
      <w:r w:rsidRPr="00F340BD">
        <w:rPr>
          <w:rFonts w:ascii="Book Antiqua" w:hAnsi="Book Antiqua"/>
          <w:sz w:val="24"/>
          <w:szCs w:val="24"/>
          <w:lang w:val="fr-FR"/>
        </w:rPr>
        <w:t xml:space="preserve">Romain </w:t>
      </w:r>
      <w:r w:rsidR="002D4BD9" w:rsidRPr="00F340BD">
        <w:rPr>
          <w:rFonts w:ascii="Book Antiqua" w:hAnsi="Book Antiqua"/>
          <w:sz w:val="24"/>
          <w:szCs w:val="24"/>
          <w:lang w:val="fr-FR"/>
        </w:rPr>
        <w:t>Villéger, Amélie Lopès, Julie Ve</w:t>
      </w:r>
      <w:r w:rsidRPr="00F340BD">
        <w:rPr>
          <w:rFonts w:ascii="Book Antiqua" w:hAnsi="Book Antiqua"/>
          <w:sz w:val="24"/>
          <w:szCs w:val="24"/>
          <w:lang w:val="fr-FR"/>
        </w:rPr>
        <w:t>ziant, Johan Gagnière, Nicolas Barnich, Elisabeth Billard, Delphine Boucher, Mathilde Bonnet</w:t>
      </w:r>
    </w:p>
    <w:p w14:paraId="75AF1D72" w14:textId="77777777" w:rsidR="00B25A83" w:rsidRPr="00DB7074" w:rsidRDefault="00B25A83" w:rsidP="00DB7074">
      <w:pPr>
        <w:snapToGrid w:val="0"/>
        <w:spacing w:after="0" w:line="360" w:lineRule="auto"/>
        <w:jc w:val="both"/>
        <w:rPr>
          <w:rFonts w:ascii="Book Antiqua" w:hAnsi="Book Antiqua" w:cs="Times New Roman"/>
          <w:b/>
          <w:sz w:val="24"/>
          <w:szCs w:val="24"/>
          <w:lang w:val="fr-FR"/>
        </w:rPr>
      </w:pPr>
    </w:p>
    <w:p w14:paraId="35963608" w14:textId="7E26F9C7" w:rsidR="00B25A83" w:rsidRPr="00DB7074" w:rsidRDefault="00B25A83" w:rsidP="00DB7074">
      <w:pPr>
        <w:snapToGrid w:val="0"/>
        <w:spacing w:after="0" w:line="360" w:lineRule="auto"/>
        <w:jc w:val="both"/>
        <w:rPr>
          <w:rFonts w:ascii="Book Antiqua" w:hAnsi="Book Antiqua"/>
          <w:sz w:val="24"/>
          <w:szCs w:val="24"/>
          <w:lang w:val="fr-FR" w:eastAsia="zh-CN"/>
        </w:rPr>
      </w:pPr>
      <w:r w:rsidRPr="00DB7074">
        <w:rPr>
          <w:rFonts w:ascii="Book Antiqua" w:hAnsi="Book Antiqua" w:cs="Times New Roman"/>
          <w:b/>
          <w:sz w:val="24"/>
          <w:szCs w:val="24"/>
          <w:lang w:val="fr-FR"/>
        </w:rPr>
        <w:t xml:space="preserve">Romain </w:t>
      </w:r>
      <w:r w:rsidR="002D4BD9" w:rsidRPr="00DB7074">
        <w:rPr>
          <w:rFonts w:ascii="Book Antiqua" w:hAnsi="Book Antiqua" w:cs="Times New Roman"/>
          <w:b/>
          <w:sz w:val="24"/>
          <w:szCs w:val="24"/>
          <w:lang w:val="fr-FR"/>
        </w:rPr>
        <w:t>Villéger, Amélie Lopès, Julie Ve</w:t>
      </w:r>
      <w:r w:rsidRPr="00DB7074">
        <w:rPr>
          <w:rFonts w:ascii="Book Antiqua" w:hAnsi="Book Antiqua" w:cs="Times New Roman"/>
          <w:b/>
          <w:sz w:val="24"/>
          <w:szCs w:val="24"/>
          <w:lang w:val="fr-FR"/>
        </w:rPr>
        <w:t>ziant, Johan Gagnière, Nicolas Barnich, Elisabeth Billard, Delphine Boucher, Mathilde Bonnet,</w:t>
      </w:r>
      <w:r w:rsidRPr="00DB7074">
        <w:rPr>
          <w:rFonts w:ascii="Book Antiqua" w:hAnsi="Book Antiqua" w:cs="Times New Roman"/>
          <w:sz w:val="24"/>
          <w:szCs w:val="24"/>
          <w:lang w:val="fr-FR"/>
        </w:rPr>
        <w:t xml:space="preserve"> </w:t>
      </w:r>
      <w:r w:rsidRPr="00DB7074">
        <w:rPr>
          <w:rFonts w:ascii="Book Antiqua" w:hAnsi="Book Antiqua"/>
          <w:sz w:val="24"/>
          <w:szCs w:val="24"/>
          <w:lang w:val="fr-FR"/>
        </w:rPr>
        <w:t xml:space="preserve">Université Clermont Auvergne, Inserm U1071, USC-INRA 2018, M2iSH, CRNH Auvergne, </w:t>
      </w:r>
      <w:r w:rsidR="000F272A">
        <w:rPr>
          <w:rFonts w:ascii="Book Antiqua" w:hAnsi="Book Antiqua"/>
          <w:sz w:val="24"/>
          <w:szCs w:val="24"/>
          <w:lang w:val="fr-FR"/>
        </w:rPr>
        <w:t>Clermont-Ferrand</w:t>
      </w:r>
      <w:r w:rsidR="00BD7739">
        <w:rPr>
          <w:rFonts w:ascii="Book Antiqua" w:hAnsi="Book Antiqua" w:hint="eastAsia"/>
          <w:sz w:val="24"/>
          <w:szCs w:val="24"/>
          <w:lang w:val="fr-FR" w:eastAsia="zh-CN"/>
        </w:rPr>
        <w:t xml:space="preserve"> </w:t>
      </w:r>
      <w:r w:rsidR="000F272A">
        <w:rPr>
          <w:rFonts w:ascii="Book Antiqua" w:hAnsi="Book Antiqua"/>
          <w:sz w:val="24"/>
          <w:szCs w:val="24"/>
          <w:lang w:val="fr-FR"/>
        </w:rPr>
        <w:t>63000, France</w:t>
      </w:r>
    </w:p>
    <w:p w14:paraId="5EA3904B" w14:textId="77777777" w:rsidR="00B25A83" w:rsidRPr="0004670B" w:rsidRDefault="00B25A83" w:rsidP="00DB7074">
      <w:pPr>
        <w:snapToGrid w:val="0"/>
        <w:spacing w:after="0" w:line="360" w:lineRule="auto"/>
        <w:jc w:val="both"/>
        <w:rPr>
          <w:rFonts w:ascii="Book Antiqua" w:hAnsi="Book Antiqua" w:cs="Times New Roman"/>
          <w:b/>
          <w:sz w:val="24"/>
          <w:szCs w:val="24"/>
          <w:lang w:val="fr-FR"/>
        </w:rPr>
      </w:pPr>
    </w:p>
    <w:p w14:paraId="43E380B6" w14:textId="6DB22275" w:rsidR="00B25A83" w:rsidRPr="00DB7074" w:rsidRDefault="00B25A83" w:rsidP="00DB7074">
      <w:pPr>
        <w:snapToGrid w:val="0"/>
        <w:spacing w:after="0" w:line="360" w:lineRule="auto"/>
        <w:jc w:val="both"/>
        <w:rPr>
          <w:rFonts w:ascii="Book Antiqua" w:hAnsi="Book Antiqua"/>
          <w:sz w:val="24"/>
          <w:szCs w:val="24"/>
          <w:lang w:val="fr-FR"/>
        </w:rPr>
      </w:pPr>
      <w:r w:rsidRPr="00DB7074">
        <w:rPr>
          <w:rFonts w:ascii="Book Antiqua" w:hAnsi="Book Antiqua" w:cs="Times New Roman"/>
          <w:b/>
          <w:sz w:val="24"/>
          <w:szCs w:val="24"/>
          <w:lang w:val="fr-FR"/>
        </w:rPr>
        <w:t>Nicolas Barnich, Elisabeth Billard, Delphine Boucher, Mathilde Bonnet,</w:t>
      </w:r>
      <w:r w:rsidRPr="00DB7074">
        <w:rPr>
          <w:rFonts w:ascii="Book Antiqua" w:hAnsi="Book Antiqua" w:cs="Times New Roman"/>
          <w:sz w:val="24"/>
          <w:szCs w:val="24"/>
          <w:lang w:val="fr-FR"/>
        </w:rPr>
        <w:t xml:space="preserve"> </w:t>
      </w:r>
      <w:r w:rsidRPr="00DB7074">
        <w:rPr>
          <w:rFonts w:ascii="Book Antiqua" w:hAnsi="Book Antiqua"/>
          <w:sz w:val="24"/>
          <w:szCs w:val="24"/>
          <w:lang w:val="fr-FR"/>
        </w:rPr>
        <w:t>Université Clermont Auvergne, Institut Universitaire de Technologie de Clermont-Ferrand, Clermont-Ferrand</w:t>
      </w:r>
      <w:r w:rsidR="00BD7739">
        <w:rPr>
          <w:rFonts w:ascii="Book Antiqua" w:hAnsi="Book Antiqua" w:hint="eastAsia"/>
          <w:sz w:val="24"/>
          <w:szCs w:val="24"/>
          <w:lang w:val="fr-FR" w:eastAsia="zh-CN"/>
        </w:rPr>
        <w:t xml:space="preserve"> </w:t>
      </w:r>
      <w:r w:rsidR="001F4BDA">
        <w:rPr>
          <w:rFonts w:ascii="Book Antiqua" w:hAnsi="Book Antiqua"/>
          <w:sz w:val="24"/>
          <w:szCs w:val="24"/>
          <w:lang w:val="fr-FR"/>
        </w:rPr>
        <w:t>63000</w:t>
      </w:r>
      <w:r w:rsidRPr="00DB7074">
        <w:rPr>
          <w:rFonts w:ascii="Book Antiqua" w:hAnsi="Book Antiqua"/>
          <w:sz w:val="24"/>
          <w:szCs w:val="24"/>
          <w:lang w:val="fr-FR"/>
        </w:rPr>
        <w:t>, France</w:t>
      </w:r>
    </w:p>
    <w:p w14:paraId="09CD9C70" w14:textId="77777777" w:rsidR="00B25A83" w:rsidRPr="00DB7074" w:rsidRDefault="00B25A83" w:rsidP="00DB7074">
      <w:pPr>
        <w:snapToGrid w:val="0"/>
        <w:spacing w:after="0" w:line="360" w:lineRule="auto"/>
        <w:jc w:val="both"/>
        <w:rPr>
          <w:rFonts w:ascii="Book Antiqua" w:hAnsi="Book Antiqua"/>
          <w:b/>
          <w:sz w:val="24"/>
          <w:szCs w:val="24"/>
          <w:lang w:val="fr-FR" w:eastAsia="zh-CN"/>
        </w:rPr>
      </w:pPr>
    </w:p>
    <w:p w14:paraId="2FF731C1" w14:textId="594D6FBB" w:rsidR="00B25A83" w:rsidRPr="00DB7074" w:rsidRDefault="00B25A83" w:rsidP="00DB7074">
      <w:pPr>
        <w:snapToGrid w:val="0"/>
        <w:spacing w:after="0" w:line="360" w:lineRule="auto"/>
        <w:jc w:val="both"/>
        <w:rPr>
          <w:rFonts w:ascii="Book Antiqua" w:hAnsi="Book Antiqua"/>
          <w:sz w:val="24"/>
          <w:szCs w:val="24"/>
          <w:lang w:val="fr-FR" w:eastAsia="zh-CN"/>
        </w:rPr>
      </w:pPr>
      <w:r w:rsidRPr="00DB7074">
        <w:rPr>
          <w:rFonts w:ascii="Book Antiqua" w:hAnsi="Book Antiqua"/>
          <w:b/>
          <w:sz w:val="24"/>
          <w:szCs w:val="24"/>
          <w:lang w:val="fr-FR" w:eastAsia="zh-CN"/>
        </w:rPr>
        <w:t xml:space="preserve">Amélie Lopès, </w:t>
      </w:r>
      <w:r w:rsidRPr="00DB7074">
        <w:rPr>
          <w:rFonts w:ascii="Book Antiqua" w:hAnsi="Book Antiqua"/>
          <w:sz w:val="24"/>
          <w:szCs w:val="24"/>
          <w:lang w:val="fr-FR" w:eastAsia="zh-CN"/>
        </w:rPr>
        <w:t>Research Biologics, Sanofi R&amp;D, Vitry-Sur-Seine</w:t>
      </w:r>
      <w:r w:rsidR="000F272A">
        <w:rPr>
          <w:rFonts w:ascii="Book Antiqua" w:hAnsi="Book Antiqua" w:hint="eastAsia"/>
          <w:sz w:val="24"/>
          <w:szCs w:val="24"/>
          <w:lang w:val="fr-FR" w:eastAsia="zh-CN"/>
        </w:rPr>
        <w:t xml:space="preserve"> </w:t>
      </w:r>
      <w:r w:rsidR="000F272A" w:rsidRPr="00DB7074">
        <w:rPr>
          <w:rFonts w:ascii="Book Antiqua" w:hAnsi="Book Antiqua"/>
          <w:sz w:val="24"/>
          <w:szCs w:val="24"/>
          <w:lang w:val="fr-FR" w:eastAsia="zh-CN"/>
        </w:rPr>
        <w:t>94400</w:t>
      </w:r>
      <w:r w:rsidRPr="00DB7074">
        <w:rPr>
          <w:rFonts w:ascii="Book Antiqua" w:hAnsi="Book Antiqua"/>
          <w:sz w:val="24"/>
          <w:szCs w:val="24"/>
          <w:lang w:val="fr-FR" w:eastAsia="zh-CN"/>
        </w:rPr>
        <w:t>, France</w:t>
      </w:r>
    </w:p>
    <w:p w14:paraId="393C9460" w14:textId="77777777" w:rsidR="00B25A83" w:rsidRPr="00DB7074" w:rsidRDefault="00B25A83" w:rsidP="00DB7074">
      <w:pPr>
        <w:snapToGrid w:val="0"/>
        <w:spacing w:after="0" w:line="360" w:lineRule="auto"/>
        <w:jc w:val="both"/>
        <w:rPr>
          <w:rFonts w:ascii="Book Antiqua" w:hAnsi="Book Antiqua"/>
          <w:b/>
          <w:sz w:val="24"/>
          <w:szCs w:val="24"/>
          <w:lang w:val="fr-FR" w:eastAsia="zh-CN"/>
        </w:rPr>
      </w:pPr>
    </w:p>
    <w:p w14:paraId="641509DA" w14:textId="09FA4C39" w:rsidR="00B25A83" w:rsidRPr="00DB7074" w:rsidRDefault="00B25A83" w:rsidP="00DB7074">
      <w:pPr>
        <w:snapToGrid w:val="0"/>
        <w:spacing w:after="0" w:line="360" w:lineRule="auto"/>
        <w:jc w:val="both"/>
        <w:rPr>
          <w:rFonts w:ascii="Book Antiqua" w:hAnsi="Book Antiqua"/>
          <w:sz w:val="24"/>
          <w:szCs w:val="24"/>
          <w:lang w:val="fr-FR" w:eastAsia="zh-CN"/>
        </w:rPr>
      </w:pPr>
      <w:r w:rsidRPr="00DB7074">
        <w:rPr>
          <w:rFonts w:ascii="Book Antiqua" w:hAnsi="Book Antiqua"/>
          <w:b/>
          <w:sz w:val="24"/>
          <w:szCs w:val="24"/>
          <w:lang w:val="fr-FR"/>
        </w:rPr>
        <w:t>Johan Gagnière, Julie Veziant</w:t>
      </w:r>
      <w:r w:rsidRPr="00DB7074">
        <w:rPr>
          <w:rFonts w:ascii="Book Antiqua" w:hAnsi="Book Antiqua"/>
          <w:sz w:val="24"/>
          <w:szCs w:val="24"/>
          <w:lang w:val="fr-FR"/>
        </w:rPr>
        <w:t>, Chirurgie digestive, Centre Hospitalier Universitaire, Clermont-Ferrand</w:t>
      </w:r>
      <w:r w:rsidR="00BD7739">
        <w:rPr>
          <w:rFonts w:ascii="Book Antiqua" w:hAnsi="Book Antiqua" w:hint="eastAsia"/>
          <w:sz w:val="24"/>
          <w:szCs w:val="24"/>
          <w:lang w:val="fr-FR" w:eastAsia="zh-CN"/>
        </w:rPr>
        <w:t xml:space="preserve"> </w:t>
      </w:r>
      <w:r w:rsidR="001F4BDA">
        <w:rPr>
          <w:rFonts w:ascii="Book Antiqua" w:hAnsi="Book Antiqua"/>
          <w:sz w:val="24"/>
          <w:szCs w:val="24"/>
          <w:lang w:val="fr-FR"/>
        </w:rPr>
        <w:t>63000</w:t>
      </w:r>
      <w:r w:rsidRPr="00DB7074">
        <w:rPr>
          <w:rFonts w:ascii="Book Antiqua" w:hAnsi="Book Antiqua"/>
          <w:sz w:val="24"/>
          <w:szCs w:val="24"/>
          <w:lang w:val="fr-FR"/>
        </w:rPr>
        <w:t>, France</w:t>
      </w:r>
    </w:p>
    <w:p w14:paraId="1627EE61" w14:textId="77777777" w:rsidR="00B25A83" w:rsidRPr="00DB7074" w:rsidRDefault="00B25A83" w:rsidP="00DB7074">
      <w:pPr>
        <w:snapToGrid w:val="0"/>
        <w:spacing w:after="0" w:line="360" w:lineRule="auto"/>
        <w:jc w:val="both"/>
        <w:rPr>
          <w:rFonts w:ascii="Book Antiqua" w:hAnsi="Book Antiqua"/>
          <w:b/>
          <w:sz w:val="24"/>
          <w:szCs w:val="24"/>
          <w:lang w:val="fr-FR" w:eastAsia="zh-CN"/>
        </w:rPr>
      </w:pPr>
    </w:p>
    <w:p w14:paraId="19017791" w14:textId="25BBECA1" w:rsidR="00F45B44" w:rsidRPr="00DB7074" w:rsidRDefault="002F13A1" w:rsidP="00DB7074">
      <w:pPr>
        <w:snapToGrid w:val="0"/>
        <w:spacing w:after="0" w:line="360" w:lineRule="auto"/>
        <w:jc w:val="both"/>
        <w:rPr>
          <w:rFonts w:ascii="Book Antiqua" w:hAnsi="Book Antiqua"/>
          <w:b/>
          <w:sz w:val="24"/>
          <w:szCs w:val="24"/>
          <w:lang w:val="fr-FR" w:eastAsia="zh-CN"/>
        </w:rPr>
      </w:pPr>
      <w:r>
        <w:rPr>
          <w:rFonts w:ascii="Book Antiqua" w:hAnsi="Book Antiqua" w:cs="Times New Roman"/>
          <w:b/>
          <w:sz w:val="24"/>
          <w:szCs w:val="24"/>
          <w:lang w:val="fr-FR"/>
        </w:rPr>
        <w:t>ORCID number</w:t>
      </w:r>
      <w:r w:rsidR="00F45B44" w:rsidRPr="00DB7074">
        <w:rPr>
          <w:rFonts w:ascii="Book Antiqua" w:hAnsi="Book Antiqua" w:cs="Times New Roman"/>
          <w:b/>
          <w:sz w:val="24"/>
          <w:szCs w:val="24"/>
          <w:lang w:val="fr-FR"/>
        </w:rPr>
        <w:t xml:space="preserve">: </w:t>
      </w:r>
      <w:r w:rsidR="00F45B44" w:rsidRPr="00DB7074">
        <w:rPr>
          <w:rFonts w:ascii="Book Antiqua" w:hAnsi="Book Antiqua"/>
          <w:sz w:val="24"/>
          <w:szCs w:val="24"/>
          <w:lang w:val="fr-FR"/>
        </w:rPr>
        <w:t>Romain Villéger (</w:t>
      </w:r>
      <w:r w:rsidR="000B68DB" w:rsidRPr="00DB7074">
        <w:rPr>
          <w:rFonts w:ascii="Book Antiqua" w:hAnsi="Book Antiqua"/>
          <w:sz w:val="24"/>
          <w:szCs w:val="24"/>
          <w:lang w:val="fr-FR"/>
        </w:rPr>
        <w:t>0000-0003-2815-045X</w:t>
      </w:r>
      <w:r w:rsidR="00F45B44" w:rsidRPr="00DB7074">
        <w:rPr>
          <w:rFonts w:ascii="Book Antiqua" w:hAnsi="Book Antiqua"/>
          <w:sz w:val="24"/>
          <w:szCs w:val="24"/>
          <w:lang w:val="fr-FR"/>
        </w:rPr>
        <w:t>)</w:t>
      </w:r>
      <w:r w:rsidR="0004670B">
        <w:rPr>
          <w:rFonts w:ascii="Book Antiqua" w:hAnsi="Book Antiqua" w:hint="eastAsia"/>
          <w:sz w:val="24"/>
          <w:szCs w:val="24"/>
          <w:lang w:val="fr-FR" w:eastAsia="zh-CN"/>
        </w:rPr>
        <w:t>;</w:t>
      </w:r>
      <w:r w:rsidR="00F45B44" w:rsidRPr="00DB7074">
        <w:rPr>
          <w:rFonts w:ascii="Book Antiqua" w:hAnsi="Book Antiqua"/>
          <w:sz w:val="24"/>
          <w:szCs w:val="24"/>
          <w:lang w:val="fr-FR"/>
        </w:rPr>
        <w:t xml:space="preserve"> Amélie Lopès (</w:t>
      </w:r>
      <w:r w:rsidR="00785D0D" w:rsidRPr="00DB7074">
        <w:rPr>
          <w:rFonts w:ascii="Book Antiqua" w:hAnsi="Book Antiqua"/>
          <w:sz w:val="24"/>
          <w:szCs w:val="24"/>
          <w:lang w:val="fr-FR"/>
        </w:rPr>
        <w:t>0000-0001-8959-7840</w:t>
      </w:r>
      <w:r w:rsidR="002D4BD9" w:rsidRPr="00DB7074">
        <w:rPr>
          <w:rFonts w:ascii="Book Antiqua" w:hAnsi="Book Antiqua"/>
          <w:sz w:val="24"/>
          <w:szCs w:val="24"/>
          <w:lang w:val="fr-FR"/>
        </w:rPr>
        <w:t>)</w:t>
      </w:r>
      <w:r w:rsidR="0004670B">
        <w:rPr>
          <w:rFonts w:ascii="Book Antiqua" w:hAnsi="Book Antiqua" w:hint="eastAsia"/>
          <w:sz w:val="24"/>
          <w:szCs w:val="24"/>
          <w:lang w:val="fr-FR" w:eastAsia="zh-CN"/>
        </w:rPr>
        <w:t>;</w:t>
      </w:r>
      <w:r w:rsidR="002D4BD9" w:rsidRPr="00DB7074">
        <w:rPr>
          <w:rFonts w:ascii="Book Antiqua" w:hAnsi="Book Antiqua"/>
          <w:sz w:val="24"/>
          <w:szCs w:val="24"/>
          <w:lang w:val="fr-FR"/>
        </w:rPr>
        <w:t xml:space="preserve"> Julie Ve</w:t>
      </w:r>
      <w:r w:rsidR="00F45B44" w:rsidRPr="00DB7074">
        <w:rPr>
          <w:rFonts w:ascii="Book Antiqua" w:hAnsi="Book Antiqua"/>
          <w:sz w:val="24"/>
          <w:szCs w:val="24"/>
          <w:lang w:val="fr-FR"/>
        </w:rPr>
        <w:t>ziant (</w:t>
      </w:r>
      <w:r w:rsidR="00C90D87" w:rsidRPr="00DB7074">
        <w:rPr>
          <w:rFonts w:ascii="Book Antiqua" w:hAnsi="Book Antiqua"/>
          <w:sz w:val="24"/>
          <w:szCs w:val="24"/>
          <w:lang w:val="fr-FR"/>
        </w:rPr>
        <w:t>0000-0001-5247-461X</w:t>
      </w:r>
      <w:r w:rsidR="00F45B44" w:rsidRPr="00DB7074">
        <w:rPr>
          <w:rFonts w:ascii="Book Antiqua" w:hAnsi="Book Antiqua"/>
          <w:sz w:val="24"/>
          <w:szCs w:val="24"/>
          <w:lang w:val="fr-FR"/>
        </w:rPr>
        <w:t>)</w:t>
      </w:r>
      <w:r w:rsidR="0004670B">
        <w:rPr>
          <w:rFonts w:ascii="Book Antiqua" w:hAnsi="Book Antiqua" w:hint="eastAsia"/>
          <w:sz w:val="24"/>
          <w:szCs w:val="24"/>
          <w:lang w:val="fr-FR" w:eastAsia="zh-CN"/>
        </w:rPr>
        <w:t>;</w:t>
      </w:r>
      <w:r w:rsidR="00F45B44" w:rsidRPr="00DB7074">
        <w:rPr>
          <w:rFonts w:ascii="Book Antiqua" w:hAnsi="Book Antiqua"/>
          <w:sz w:val="24"/>
          <w:szCs w:val="24"/>
          <w:lang w:val="fr-FR"/>
        </w:rPr>
        <w:t xml:space="preserve"> Johan Gagnière (</w:t>
      </w:r>
      <w:r w:rsidR="00C90D87" w:rsidRPr="00DB7074">
        <w:rPr>
          <w:rFonts w:ascii="Book Antiqua" w:hAnsi="Book Antiqua"/>
          <w:sz w:val="24"/>
          <w:szCs w:val="24"/>
          <w:lang w:val="fr-FR"/>
        </w:rPr>
        <w:t>0000-0002-1820-3362</w:t>
      </w:r>
      <w:r w:rsidR="00F45B44" w:rsidRPr="00DB7074">
        <w:rPr>
          <w:rFonts w:ascii="Book Antiqua" w:hAnsi="Book Antiqua"/>
          <w:sz w:val="24"/>
          <w:szCs w:val="24"/>
          <w:lang w:val="fr-FR"/>
        </w:rPr>
        <w:t>)</w:t>
      </w:r>
      <w:r w:rsidR="0004670B">
        <w:rPr>
          <w:rFonts w:ascii="Book Antiqua" w:hAnsi="Book Antiqua" w:hint="eastAsia"/>
          <w:sz w:val="24"/>
          <w:szCs w:val="24"/>
          <w:lang w:val="fr-FR" w:eastAsia="zh-CN"/>
        </w:rPr>
        <w:t>;</w:t>
      </w:r>
      <w:r w:rsidR="00F45B44" w:rsidRPr="00DB7074">
        <w:rPr>
          <w:rFonts w:ascii="Book Antiqua" w:hAnsi="Book Antiqua"/>
          <w:sz w:val="24"/>
          <w:szCs w:val="24"/>
          <w:lang w:val="fr-FR"/>
        </w:rPr>
        <w:t xml:space="preserve"> Nicolas Barnich (</w:t>
      </w:r>
      <w:r w:rsidR="00C90D87" w:rsidRPr="00DB7074">
        <w:rPr>
          <w:rFonts w:ascii="Book Antiqua" w:hAnsi="Book Antiqua"/>
          <w:sz w:val="24"/>
          <w:szCs w:val="24"/>
          <w:lang w:val="fr-FR"/>
        </w:rPr>
        <w:t>0000-0001-9465-7844</w:t>
      </w:r>
      <w:r w:rsidR="00F45B44" w:rsidRPr="00DB7074">
        <w:rPr>
          <w:rFonts w:ascii="Book Antiqua" w:hAnsi="Book Antiqua"/>
          <w:sz w:val="24"/>
          <w:szCs w:val="24"/>
          <w:lang w:val="fr-FR"/>
        </w:rPr>
        <w:t>)</w:t>
      </w:r>
      <w:r w:rsidR="0004670B">
        <w:rPr>
          <w:rFonts w:ascii="Book Antiqua" w:hAnsi="Book Antiqua" w:hint="eastAsia"/>
          <w:sz w:val="24"/>
          <w:szCs w:val="24"/>
          <w:lang w:val="fr-FR" w:eastAsia="zh-CN"/>
        </w:rPr>
        <w:t xml:space="preserve">; </w:t>
      </w:r>
      <w:r w:rsidR="00F45B44" w:rsidRPr="00DB7074">
        <w:rPr>
          <w:rFonts w:ascii="Book Antiqua" w:hAnsi="Book Antiqua"/>
          <w:sz w:val="24"/>
          <w:szCs w:val="24"/>
          <w:lang w:val="fr-FR"/>
        </w:rPr>
        <w:t>Elisabeth Billard (</w:t>
      </w:r>
      <w:r w:rsidR="00C90D87" w:rsidRPr="00DB7074">
        <w:rPr>
          <w:rFonts w:ascii="Book Antiqua" w:hAnsi="Book Antiqua"/>
          <w:sz w:val="24"/>
          <w:szCs w:val="24"/>
          <w:lang w:val="fr-FR"/>
        </w:rPr>
        <w:t>0000-0002-6066-4584</w:t>
      </w:r>
      <w:r w:rsidR="00F45B44" w:rsidRPr="00DB7074">
        <w:rPr>
          <w:rFonts w:ascii="Book Antiqua" w:hAnsi="Book Antiqua"/>
          <w:sz w:val="24"/>
          <w:szCs w:val="24"/>
          <w:lang w:val="fr-FR"/>
        </w:rPr>
        <w:t>)</w:t>
      </w:r>
      <w:r w:rsidR="0004670B">
        <w:rPr>
          <w:rFonts w:ascii="Book Antiqua" w:hAnsi="Book Antiqua" w:hint="eastAsia"/>
          <w:sz w:val="24"/>
          <w:szCs w:val="24"/>
          <w:lang w:val="fr-FR" w:eastAsia="zh-CN"/>
        </w:rPr>
        <w:t>;</w:t>
      </w:r>
      <w:r w:rsidR="00F45B44" w:rsidRPr="00DB7074">
        <w:rPr>
          <w:rFonts w:ascii="Book Antiqua" w:hAnsi="Book Antiqua"/>
          <w:sz w:val="24"/>
          <w:szCs w:val="24"/>
          <w:lang w:val="fr-FR"/>
        </w:rPr>
        <w:t xml:space="preserve"> Delphine Boucher (</w:t>
      </w:r>
      <w:r w:rsidR="00C90D87" w:rsidRPr="00DB7074">
        <w:rPr>
          <w:rFonts w:ascii="Book Antiqua" w:hAnsi="Book Antiqua"/>
          <w:sz w:val="24"/>
          <w:szCs w:val="24"/>
          <w:lang w:val="fr-FR"/>
        </w:rPr>
        <w:t>0000-0002-6979-4094</w:t>
      </w:r>
      <w:r w:rsidR="00F45B44" w:rsidRPr="00DB7074">
        <w:rPr>
          <w:rFonts w:ascii="Book Antiqua" w:hAnsi="Book Antiqua"/>
          <w:sz w:val="24"/>
          <w:szCs w:val="24"/>
          <w:lang w:val="fr-FR"/>
        </w:rPr>
        <w:t>)</w:t>
      </w:r>
      <w:r w:rsidR="0004670B">
        <w:rPr>
          <w:rFonts w:ascii="Book Antiqua" w:hAnsi="Book Antiqua" w:hint="eastAsia"/>
          <w:sz w:val="24"/>
          <w:szCs w:val="24"/>
          <w:lang w:val="fr-FR" w:eastAsia="zh-CN"/>
        </w:rPr>
        <w:t>;</w:t>
      </w:r>
      <w:r w:rsidR="00F45B44" w:rsidRPr="00DB7074">
        <w:rPr>
          <w:rFonts w:ascii="Book Antiqua" w:hAnsi="Book Antiqua"/>
          <w:sz w:val="24"/>
          <w:szCs w:val="24"/>
          <w:lang w:val="fr-FR"/>
        </w:rPr>
        <w:t xml:space="preserve"> Mathilde Bonnet (</w:t>
      </w:r>
      <w:r w:rsidR="00C90D87" w:rsidRPr="00DB7074">
        <w:rPr>
          <w:rFonts w:ascii="Book Antiqua" w:hAnsi="Book Antiqua"/>
          <w:sz w:val="24"/>
          <w:szCs w:val="24"/>
          <w:lang w:val="fr-FR"/>
        </w:rPr>
        <w:t>0000-0003-3629-7267</w:t>
      </w:r>
      <w:r w:rsidR="00F45B44" w:rsidRPr="00DB7074">
        <w:rPr>
          <w:rFonts w:ascii="Book Antiqua" w:hAnsi="Book Antiqua"/>
          <w:sz w:val="24"/>
          <w:szCs w:val="24"/>
          <w:lang w:val="fr-FR"/>
        </w:rPr>
        <w:t>)</w:t>
      </w:r>
      <w:r w:rsidR="0004670B">
        <w:rPr>
          <w:rFonts w:ascii="Book Antiqua" w:hAnsi="Book Antiqua" w:hint="eastAsia"/>
          <w:sz w:val="24"/>
          <w:szCs w:val="24"/>
          <w:lang w:val="fr-FR" w:eastAsia="zh-CN"/>
        </w:rPr>
        <w:t>.</w:t>
      </w:r>
    </w:p>
    <w:p w14:paraId="76CF7BAE" w14:textId="6025779C" w:rsidR="00F45B44" w:rsidRPr="00DB7074" w:rsidRDefault="00F45B44" w:rsidP="00DB7074">
      <w:pPr>
        <w:snapToGrid w:val="0"/>
        <w:spacing w:after="0" w:line="360" w:lineRule="auto"/>
        <w:jc w:val="both"/>
        <w:rPr>
          <w:rFonts w:ascii="Book Antiqua" w:hAnsi="Book Antiqua" w:cs="Times New Roman"/>
          <w:b/>
          <w:sz w:val="24"/>
          <w:szCs w:val="24"/>
          <w:lang w:val="fr-FR"/>
        </w:rPr>
      </w:pPr>
    </w:p>
    <w:p w14:paraId="14F0AE39" w14:textId="0DBF53E5" w:rsidR="00B25A83" w:rsidRPr="00DB7074" w:rsidRDefault="00B25A83" w:rsidP="00DB7074">
      <w:pPr>
        <w:snapToGrid w:val="0"/>
        <w:spacing w:after="0" w:line="360" w:lineRule="auto"/>
        <w:jc w:val="both"/>
        <w:rPr>
          <w:rFonts w:ascii="Book Antiqua" w:hAnsi="Book Antiqua" w:cs="Times New Roman"/>
          <w:sz w:val="24"/>
          <w:szCs w:val="24"/>
          <w:lang w:val="en-US"/>
        </w:rPr>
      </w:pPr>
      <w:r w:rsidRPr="00DB7074">
        <w:rPr>
          <w:rFonts w:ascii="Book Antiqua" w:hAnsi="Book Antiqua" w:cs="Times New Roman"/>
          <w:b/>
          <w:sz w:val="24"/>
          <w:szCs w:val="24"/>
          <w:lang w:val="en-US"/>
        </w:rPr>
        <w:t>Author contributions:</w:t>
      </w:r>
      <w:r w:rsidR="00303A64">
        <w:rPr>
          <w:rFonts w:ascii="Book Antiqua" w:hAnsi="Book Antiqua" w:cs="Times New Roman" w:hint="eastAsia"/>
          <w:sz w:val="24"/>
          <w:szCs w:val="24"/>
          <w:lang w:val="en-US" w:eastAsia="zh-CN"/>
        </w:rPr>
        <w:t xml:space="preserve"> </w:t>
      </w:r>
      <w:r w:rsidRPr="00DB7074">
        <w:rPr>
          <w:rFonts w:ascii="Book Antiqua" w:hAnsi="Book Antiqua" w:cs="Times New Roman"/>
          <w:sz w:val="24"/>
          <w:szCs w:val="24"/>
          <w:lang w:val="en-US"/>
        </w:rPr>
        <w:t>Villéger R, Lopès A, Gagnière J, Billard E, Boucher D</w:t>
      </w:r>
      <w:r w:rsidR="00303A64">
        <w:rPr>
          <w:rFonts w:ascii="Book Antiqua" w:hAnsi="Book Antiqua" w:cs="Times New Roman" w:hint="eastAsia"/>
          <w:sz w:val="24"/>
          <w:szCs w:val="24"/>
          <w:lang w:val="en-US" w:eastAsia="zh-CN"/>
        </w:rPr>
        <w:t xml:space="preserve"> </w:t>
      </w:r>
      <w:r w:rsidRPr="00DB7074">
        <w:rPr>
          <w:rFonts w:ascii="Book Antiqua" w:hAnsi="Book Antiqua" w:cs="Times New Roman"/>
          <w:sz w:val="24"/>
          <w:szCs w:val="24"/>
          <w:lang w:val="en-US"/>
        </w:rPr>
        <w:t>and Veziant J</w:t>
      </w:r>
      <w:r w:rsidR="00303A64">
        <w:rPr>
          <w:rFonts w:ascii="Book Antiqua" w:hAnsi="Book Antiqua" w:cs="Times New Roman" w:hint="eastAsia"/>
          <w:sz w:val="24"/>
          <w:szCs w:val="24"/>
          <w:lang w:val="en-US" w:eastAsia="zh-CN"/>
        </w:rPr>
        <w:t xml:space="preserve"> </w:t>
      </w:r>
      <w:r w:rsidRPr="00DB7074">
        <w:rPr>
          <w:rFonts w:ascii="Book Antiqua" w:hAnsi="Book Antiqua" w:cs="Times New Roman"/>
          <w:sz w:val="24"/>
          <w:szCs w:val="24"/>
          <w:lang w:val="en-US"/>
        </w:rPr>
        <w:t>organized and wrote the manuscript</w:t>
      </w:r>
      <w:r w:rsidRPr="00DB7074">
        <w:rPr>
          <w:rFonts w:ascii="Book Antiqua" w:hAnsi="Book Antiqua" w:cs="Times New Roman"/>
          <w:sz w:val="24"/>
          <w:szCs w:val="24"/>
          <w:lang w:val="en-US" w:eastAsia="zh-CN"/>
        </w:rPr>
        <w:t>;</w:t>
      </w:r>
      <w:r w:rsidRPr="00DB7074">
        <w:rPr>
          <w:rFonts w:ascii="Book Antiqua" w:hAnsi="Book Antiqua" w:cs="Times New Roman"/>
          <w:sz w:val="24"/>
          <w:szCs w:val="24"/>
          <w:lang w:val="en-US"/>
        </w:rPr>
        <w:t xml:space="preserve"> Barnich N</w:t>
      </w:r>
      <w:r w:rsidR="00303A64">
        <w:rPr>
          <w:rFonts w:ascii="Book Antiqua" w:hAnsi="Book Antiqua" w:cs="Times New Roman" w:hint="eastAsia"/>
          <w:sz w:val="24"/>
          <w:szCs w:val="24"/>
          <w:lang w:val="en-US" w:eastAsia="zh-CN"/>
        </w:rPr>
        <w:t xml:space="preserve"> </w:t>
      </w:r>
      <w:r w:rsidRPr="00DB7074">
        <w:rPr>
          <w:rFonts w:ascii="Book Antiqua" w:hAnsi="Book Antiqua" w:cs="Times New Roman"/>
          <w:sz w:val="24"/>
          <w:szCs w:val="24"/>
          <w:lang w:val="en-US"/>
        </w:rPr>
        <w:t xml:space="preserve">critically revised the </w:t>
      </w:r>
      <w:r w:rsidRPr="00DB7074">
        <w:rPr>
          <w:rFonts w:ascii="Book Antiqua" w:hAnsi="Book Antiqua" w:cs="Times New Roman"/>
          <w:sz w:val="24"/>
          <w:szCs w:val="24"/>
          <w:lang w:val="en-US"/>
        </w:rPr>
        <w:lastRenderedPageBreak/>
        <w:t>manuscript</w:t>
      </w:r>
      <w:r w:rsidR="00303A64">
        <w:rPr>
          <w:rFonts w:ascii="Book Antiqua" w:hAnsi="Book Antiqua" w:cs="Times New Roman" w:hint="eastAsia"/>
          <w:sz w:val="24"/>
          <w:szCs w:val="24"/>
          <w:lang w:val="en-US" w:eastAsia="zh-CN"/>
        </w:rPr>
        <w:t>;</w:t>
      </w:r>
      <w:r w:rsidRPr="00DB7074">
        <w:rPr>
          <w:rFonts w:ascii="Book Antiqua" w:hAnsi="Book Antiqua" w:cs="Times New Roman"/>
          <w:sz w:val="24"/>
          <w:szCs w:val="24"/>
          <w:lang w:val="en-US"/>
        </w:rPr>
        <w:t xml:space="preserve"> </w:t>
      </w:r>
      <w:r w:rsidR="00303A64" w:rsidRPr="00303A64">
        <w:rPr>
          <w:rFonts w:ascii="Book Antiqua" w:hAnsi="Book Antiqua" w:cs="Times New Roman"/>
          <w:sz w:val="24"/>
          <w:szCs w:val="24"/>
          <w:lang w:val="en-US"/>
        </w:rPr>
        <w:t xml:space="preserve">Bonnet </w:t>
      </w:r>
      <w:r w:rsidR="003E12C8" w:rsidRPr="00DB7074">
        <w:rPr>
          <w:rFonts w:ascii="Book Antiqua" w:hAnsi="Book Antiqua" w:cs="Times New Roman"/>
          <w:sz w:val="24"/>
          <w:szCs w:val="24"/>
          <w:lang w:val="en-US"/>
        </w:rPr>
        <w:t>M</w:t>
      </w:r>
      <w:r w:rsidR="00303A64">
        <w:rPr>
          <w:rFonts w:ascii="Book Antiqua" w:hAnsi="Book Antiqua" w:cs="Times New Roman" w:hint="eastAsia"/>
          <w:sz w:val="24"/>
          <w:szCs w:val="24"/>
          <w:lang w:val="en-US" w:eastAsia="zh-CN"/>
        </w:rPr>
        <w:t xml:space="preserve"> </w:t>
      </w:r>
      <w:r w:rsidRPr="00DB7074">
        <w:rPr>
          <w:rFonts w:ascii="Book Antiqua" w:hAnsi="Book Antiqua" w:cs="Times New Roman"/>
          <w:sz w:val="24"/>
          <w:szCs w:val="24"/>
          <w:lang w:val="en-US"/>
        </w:rPr>
        <w:t>organized, wrote</w:t>
      </w:r>
      <w:r w:rsidRPr="00DB7074" w:rsidDel="007800B1">
        <w:rPr>
          <w:rFonts w:ascii="Book Antiqua" w:hAnsi="Book Antiqua" w:cs="Times New Roman"/>
          <w:sz w:val="24"/>
          <w:szCs w:val="24"/>
          <w:lang w:val="en-US"/>
        </w:rPr>
        <w:t xml:space="preserve"> </w:t>
      </w:r>
      <w:r w:rsidRPr="00DB7074">
        <w:rPr>
          <w:rFonts w:ascii="Book Antiqua" w:hAnsi="Book Antiqua" w:cs="Times New Roman"/>
          <w:sz w:val="24"/>
          <w:szCs w:val="24"/>
          <w:lang w:val="en-US"/>
        </w:rPr>
        <w:t>and supervised the writing of the manuscript.</w:t>
      </w:r>
    </w:p>
    <w:p w14:paraId="70586FE9" w14:textId="1E79BEBE" w:rsidR="00B25A83" w:rsidRPr="00DB7074" w:rsidRDefault="00A713E6" w:rsidP="00DB7074">
      <w:pPr>
        <w:snapToGrid w:val="0"/>
        <w:spacing w:after="0" w:line="360" w:lineRule="auto"/>
        <w:jc w:val="both"/>
        <w:rPr>
          <w:rFonts w:ascii="Book Antiqua" w:hAnsi="Book Antiqua" w:cs="Times New Roman"/>
          <w:sz w:val="24"/>
          <w:szCs w:val="24"/>
          <w:lang w:val="en-US" w:eastAsia="zh-CN"/>
        </w:rPr>
      </w:pPr>
      <w:r>
        <w:rPr>
          <w:rFonts w:ascii="Book Antiqua" w:hAnsi="Book Antiqua" w:cs="Times New Roman" w:hint="eastAsia"/>
          <w:sz w:val="24"/>
          <w:szCs w:val="24"/>
          <w:lang w:val="en-US" w:eastAsia="zh-CN"/>
        </w:rPr>
        <w:t xml:space="preserve"> </w:t>
      </w:r>
    </w:p>
    <w:p w14:paraId="0BCA281F" w14:textId="77777777" w:rsidR="00B25A83" w:rsidRPr="00DB7074" w:rsidRDefault="00B25A83" w:rsidP="00DB7074">
      <w:pPr>
        <w:snapToGrid w:val="0"/>
        <w:spacing w:after="0" w:line="360" w:lineRule="auto"/>
        <w:jc w:val="both"/>
        <w:rPr>
          <w:rFonts w:ascii="Book Antiqua" w:hAnsi="Book Antiqua"/>
          <w:sz w:val="24"/>
          <w:szCs w:val="24"/>
          <w:lang w:val="en-US" w:eastAsia="fr-FR"/>
        </w:rPr>
      </w:pPr>
      <w:r w:rsidRPr="00DB7074">
        <w:rPr>
          <w:rFonts w:ascii="Book Antiqua" w:hAnsi="Book Antiqua" w:cs="Times New Roman"/>
          <w:b/>
          <w:sz w:val="24"/>
          <w:szCs w:val="24"/>
          <w:lang w:val="en-US"/>
        </w:rPr>
        <w:t>Supported by</w:t>
      </w:r>
      <w:r w:rsidRPr="00DB7074">
        <w:rPr>
          <w:rFonts w:ascii="Book Antiqua" w:hAnsi="Book Antiqua" w:cs="Times New Roman"/>
          <w:sz w:val="24"/>
          <w:szCs w:val="24"/>
          <w:lang w:val="en-US"/>
        </w:rPr>
        <w:t xml:space="preserve"> Inserm and Université Clermont Auvergne (UMR 1071), INRA (USC-2018); and grants from “Conseil regional Auvergne-Rhones-Alpes”and FDER/CPER</w:t>
      </w:r>
      <w:r w:rsidRPr="00DB7074">
        <w:rPr>
          <w:rFonts w:ascii="Book Antiqua" w:hAnsi="Book Antiqua"/>
          <w:sz w:val="24"/>
          <w:szCs w:val="24"/>
          <w:lang w:val="en-US" w:eastAsia="fr-FR"/>
        </w:rPr>
        <w:t>.</w:t>
      </w:r>
    </w:p>
    <w:p w14:paraId="6571E515" w14:textId="77777777" w:rsidR="00B25A83" w:rsidRPr="00DB7074" w:rsidRDefault="00B25A83" w:rsidP="00DB7074">
      <w:pPr>
        <w:snapToGrid w:val="0"/>
        <w:spacing w:after="0" w:line="360" w:lineRule="auto"/>
        <w:jc w:val="both"/>
        <w:rPr>
          <w:rFonts w:ascii="Book Antiqua" w:hAnsi="Book Antiqua"/>
          <w:sz w:val="24"/>
          <w:szCs w:val="24"/>
          <w:lang w:val="en-US" w:eastAsia="zh-CN"/>
        </w:rPr>
      </w:pPr>
    </w:p>
    <w:p w14:paraId="5D6E3CD4" w14:textId="77777777" w:rsidR="00B25A83" w:rsidRPr="00DB7074" w:rsidRDefault="00B25A83" w:rsidP="00DB7074">
      <w:pPr>
        <w:widowControl w:val="0"/>
        <w:autoSpaceDE w:val="0"/>
        <w:autoSpaceDN w:val="0"/>
        <w:adjustRightInd w:val="0"/>
        <w:snapToGrid w:val="0"/>
        <w:spacing w:after="0" w:line="360" w:lineRule="auto"/>
        <w:jc w:val="both"/>
        <w:rPr>
          <w:rFonts w:ascii="Book Antiqua" w:hAnsi="Book Antiqua" w:cs="BookAntiqua"/>
          <w:sz w:val="24"/>
          <w:szCs w:val="24"/>
          <w:lang w:val="en-US" w:eastAsia="zh-CN"/>
        </w:rPr>
      </w:pPr>
      <w:bookmarkStart w:id="47" w:name="OLE_LINK235"/>
      <w:bookmarkStart w:id="48" w:name="OLE_LINK236"/>
      <w:r w:rsidRPr="00DB7074">
        <w:rPr>
          <w:rFonts w:ascii="Book Antiqua" w:hAnsi="Book Antiqua" w:cs="Times New Roman"/>
          <w:b/>
          <w:bCs/>
          <w:iCs/>
          <w:sz w:val="24"/>
          <w:szCs w:val="24"/>
          <w:lang w:val="en-US" w:eastAsia="zh-CN"/>
        </w:rPr>
        <w:t xml:space="preserve">Conflict-of-interest statement: </w:t>
      </w:r>
      <w:r w:rsidRPr="00DB7074">
        <w:rPr>
          <w:rFonts w:ascii="Book Antiqua" w:hAnsi="Book Antiqua" w:cs="BookAntiqua"/>
          <w:sz w:val="24"/>
          <w:szCs w:val="24"/>
          <w:lang w:val="en-US" w:eastAsia="zh-CN"/>
        </w:rPr>
        <w:t>None of the authors have any conflicts of interest to declare.</w:t>
      </w:r>
    </w:p>
    <w:p w14:paraId="6D15DB91" w14:textId="77777777" w:rsidR="008177FA" w:rsidRDefault="008177FA" w:rsidP="008177FA">
      <w:pPr>
        <w:pStyle w:val="1"/>
        <w:snapToGrid w:val="0"/>
        <w:spacing w:line="360" w:lineRule="auto"/>
        <w:jc w:val="both"/>
        <w:rPr>
          <w:rFonts w:ascii="Book Antiqua" w:hAnsi="Book Antiqua" w:cs="Times New Roman"/>
          <w:b/>
          <w:bCs/>
          <w:color w:val="auto"/>
          <w:sz w:val="24"/>
          <w:szCs w:val="24"/>
          <w:highlight w:val="white"/>
          <w:lang w:val="en-US" w:eastAsia="zh-CN"/>
        </w:rPr>
      </w:pPr>
      <w:bookmarkStart w:id="49" w:name="OLE_LINK734"/>
      <w:bookmarkStart w:id="50" w:name="OLE_LINK441"/>
      <w:bookmarkStart w:id="51" w:name="OLE_LINK442"/>
      <w:bookmarkStart w:id="52" w:name="OLE_LINK1032"/>
      <w:bookmarkStart w:id="53" w:name="OLE_LINK1232"/>
      <w:bookmarkStart w:id="54" w:name="OLE_LINK559"/>
      <w:bookmarkEnd w:id="47"/>
      <w:bookmarkEnd w:id="48"/>
    </w:p>
    <w:p w14:paraId="7095D50A" w14:textId="77777777" w:rsidR="008177FA" w:rsidRPr="004F57C6" w:rsidRDefault="008177FA" w:rsidP="008177FA">
      <w:pPr>
        <w:pStyle w:val="1"/>
        <w:snapToGrid w:val="0"/>
        <w:spacing w:line="360" w:lineRule="auto"/>
        <w:jc w:val="both"/>
        <w:rPr>
          <w:rFonts w:ascii="Book Antiqua" w:hAnsi="Book Antiqua" w:cs="Times New Roman"/>
          <w:bCs/>
          <w:color w:val="auto"/>
          <w:sz w:val="24"/>
          <w:szCs w:val="24"/>
          <w:highlight w:val="white"/>
          <w:lang w:val="en-US"/>
        </w:rPr>
      </w:pPr>
      <w:r w:rsidRPr="004F57C6">
        <w:rPr>
          <w:rFonts w:ascii="Book Antiqua" w:hAnsi="Book Antiqua" w:cs="Times New Roman"/>
          <w:b/>
          <w:bCs/>
          <w:color w:val="auto"/>
          <w:sz w:val="24"/>
          <w:szCs w:val="24"/>
          <w:highlight w:val="white"/>
          <w:lang w:val="en-US"/>
        </w:rPr>
        <w:t>Open-Access:</w:t>
      </w:r>
      <w:r w:rsidRPr="004F57C6">
        <w:rPr>
          <w:rFonts w:ascii="Book Antiqua" w:hAnsi="Book Antiqua" w:cs="Times New Roman"/>
          <w:bCs/>
          <w:color w:val="auto"/>
          <w:sz w:val="24"/>
          <w:szCs w:val="24"/>
          <w:highlight w:val="white"/>
          <w:lang w:val="en-US"/>
        </w:rPr>
        <w:t xml:space="preserve"> </w:t>
      </w:r>
      <w:bookmarkStart w:id="55" w:name="OLE_LINK479"/>
      <w:bookmarkStart w:id="56" w:name="OLE_LINK496"/>
      <w:bookmarkStart w:id="57" w:name="OLE_LINK506"/>
      <w:bookmarkStart w:id="58" w:name="OLE_LINK507"/>
      <w:r w:rsidRPr="004F57C6">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4F57C6">
        <w:rPr>
          <w:rFonts w:ascii="Book Antiqua" w:hAnsi="Book Antiqua" w:cs="Times New Roman" w:hint="eastAsia"/>
          <w:bCs/>
          <w:color w:val="auto"/>
          <w:sz w:val="24"/>
          <w:szCs w:val="24"/>
          <w:highlight w:val="white"/>
          <w:lang w:val="en-US" w:eastAsia="zh-CN"/>
        </w:rPr>
        <w:t xml:space="preserve"> </w:t>
      </w:r>
      <w:r w:rsidRPr="004F57C6">
        <w:rPr>
          <w:rFonts w:ascii="Book Antiqua" w:hAnsi="Book Antiqua" w:cs="Times New Roman"/>
          <w:bCs/>
          <w:color w:val="auto"/>
          <w:sz w:val="24"/>
          <w:szCs w:val="24"/>
          <w:highlight w:val="white"/>
          <w:lang w:val="en-US"/>
        </w:rPr>
        <w:t>in</w:t>
      </w:r>
      <w:r w:rsidRPr="004F57C6">
        <w:rPr>
          <w:rFonts w:ascii="Book Antiqua" w:hAnsi="Book Antiqua" w:cs="Times New Roman" w:hint="eastAsia"/>
          <w:bCs/>
          <w:color w:val="auto"/>
          <w:sz w:val="24"/>
          <w:szCs w:val="24"/>
          <w:highlight w:val="white"/>
          <w:lang w:val="en-US" w:eastAsia="zh-CN"/>
        </w:rPr>
        <w:t xml:space="preserve"> </w:t>
      </w:r>
      <w:r w:rsidRPr="004F57C6">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6" w:history="1">
        <w:r w:rsidRPr="004F57C6">
          <w:rPr>
            <w:rStyle w:val="Hyperlink"/>
            <w:rFonts w:ascii="Book Antiqua" w:hAnsi="Book Antiqua" w:cs="Times New Roman"/>
            <w:bCs/>
            <w:color w:val="auto"/>
            <w:highlight w:val="white"/>
            <w:lang w:val="en-US"/>
          </w:rPr>
          <w:t>http://creativecommons.org/licenses/by-nc/4.0/</w:t>
        </w:r>
      </w:hyperlink>
      <w:bookmarkEnd w:id="49"/>
      <w:bookmarkEnd w:id="55"/>
      <w:bookmarkEnd w:id="56"/>
      <w:bookmarkEnd w:id="57"/>
      <w:bookmarkEnd w:id="58"/>
    </w:p>
    <w:bookmarkEnd w:id="50"/>
    <w:bookmarkEnd w:id="51"/>
    <w:bookmarkEnd w:id="52"/>
    <w:bookmarkEnd w:id="53"/>
    <w:bookmarkEnd w:id="54"/>
    <w:p w14:paraId="3F1ACA5B" w14:textId="77777777" w:rsidR="008177FA" w:rsidRPr="004F57C6" w:rsidRDefault="008177FA" w:rsidP="008177FA">
      <w:pPr>
        <w:pStyle w:val="1"/>
        <w:snapToGrid w:val="0"/>
        <w:spacing w:line="360" w:lineRule="auto"/>
        <w:jc w:val="both"/>
        <w:rPr>
          <w:rFonts w:ascii="Book Antiqua" w:hAnsi="Book Antiqua" w:cs="Times New Roman"/>
          <w:b/>
          <w:bCs/>
          <w:color w:val="FF0000"/>
          <w:sz w:val="24"/>
          <w:szCs w:val="24"/>
          <w:highlight w:val="white"/>
          <w:lang w:val="en-US" w:eastAsia="zh-CN"/>
        </w:rPr>
      </w:pPr>
    </w:p>
    <w:p w14:paraId="01D1EA4A" w14:textId="77777777" w:rsidR="008177FA" w:rsidRPr="004F57C6" w:rsidRDefault="008177FA" w:rsidP="008177FA">
      <w:pPr>
        <w:pStyle w:val="1"/>
        <w:snapToGrid w:val="0"/>
        <w:spacing w:line="360" w:lineRule="auto"/>
        <w:jc w:val="both"/>
        <w:rPr>
          <w:rFonts w:ascii="Book Antiqua" w:hAnsi="Book Antiqua" w:cs="Times New Roman"/>
          <w:b/>
          <w:bCs/>
          <w:color w:val="auto"/>
          <w:sz w:val="24"/>
          <w:szCs w:val="24"/>
          <w:highlight w:val="white"/>
          <w:lang w:val="en-US" w:eastAsia="zh-CN"/>
        </w:rPr>
      </w:pPr>
      <w:r w:rsidRPr="004F57C6">
        <w:rPr>
          <w:rFonts w:ascii="Book Antiqua" w:hAnsi="Book Antiqua" w:cs="Times New Roman"/>
          <w:b/>
          <w:bCs/>
          <w:color w:val="auto"/>
          <w:sz w:val="24"/>
          <w:szCs w:val="24"/>
          <w:highlight w:val="white"/>
          <w:lang w:val="en-US"/>
        </w:rPr>
        <w:t>Manuscript source:</w:t>
      </w:r>
      <w:r w:rsidRPr="004F57C6">
        <w:rPr>
          <w:rFonts w:ascii="Book Antiqua" w:hAnsi="Book Antiqua" w:cs="Times New Roman" w:hint="eastAsia"/>
          <w:b/>
          <w:bCs/>
          <w:color w:val="auto"/>
          <w:sz w:val="24"/>
          <w:szCs w:val="24"/>
          <w:highlight w:val="white"/>
          <w:lang w:val="en-US" w:eastAsia="zh-CN"/>
        </w:rPr>
        <w:t xml:space="preserve"> </w:t>
      </w:r>
      <w:r w:rsidRPr="004F57C6">
        <w:rPr>
          <w:rFonts w:ascii="Book Antiqua" w:hAnsi="Book Antiqua" w:cs="Times New Roman"/>
          <w:bCs/>
          <w:color w:val="auto"/>
          <w:sz w:val="24"/>
          <w:szCs w:val="24"/>
          <w:highlight w:val="white"/>
          <w:lang w:val="en-US"/>
        </w:rPr>
        <w:t>Invited manuscript</w:t>
      </w:r>
    </w:p>
    <w:p w14:paraId="692087ED" w14:textId="77777777" w:rsidR="00B25A83" w:rsidRPr="008177FA" w:rsidRDefault="00B25A83" w:rsidP="00DB7074">
      <w:pPr>
        <w:snapToGrid w:val="0"/>
        <w:spacing w:after="0" w:line="360" w:lineRule="auto"/>
        <w:jc w:val="both"/>
        <w:rPr>
          <w:rFonts w:ascii="Book Antiqua" w:hAnsi="Book Antiqua"/>
          <w:sz w:val="24"/>
          <w:szCs w:val="24"/>
          <w:lang w:val="en-US" w:eastAsia="zh-CN"/>
        </w:rPr>
      </w:pPr>
    </w:p>
    <w:p w14:paraId="200B730E" w14:textId="69ABC35E" w:rsidR="00B25A83" w:rsidRPr="00DB7074" w:rsidRDefault="00B25A83" w:rsidP="00DB7074">
      <w:pPr>
        <w:snapToGrid w:val="0"/>
        <w:spacing w:after="0" w:line="360" w:lineRule="auto"/>
        <w:jc w:val="both"/>
        <w:rPr>
          <w:rFonts w:ascii="Book Antiqua" w:eastAsia="Times New Roman" w:hAnsi="Book Antiqua" w:cs="Times New Roman"/>
          <w:sz w:val="24"/>
          <w:szCs w:val="24"/>
          <w:lang w:val="fr-FR" w:eastAsia="fr-FR"/>
        </w:rPr>
      </w:pPr>
      <w:r w:rsidRPr="00DB7074">
        <w:rPr>
          <w:rFonts w:ascii="Book Antiqua" w:hAnsi="Book Antiqua"/>
          <w:b/>
          <w:sz w:val="24"/>
          <w:szCs w:val="24"/>
          <w:lang w:val="fr-FR" w:eastAsia="fr-FR"/>
        </w:rPr>
        <w:t>Correspondance to:</w:t>
      </w:r>
      <w:r w:rsidR="008177FA">
        <w:rPr>
          <w:rFonts w:ascii="Book Antiqua" w:hAnsi="Book Antiqua" w:hint="eastAsia"/>
          <w:sz w:val="24"/>
          <w:szCs w:val="24"/>
          <w:lang w:val="fr-FR" w:eastAsia="zh-CN"/>
        </w:rPr>
        <w:t xml:space="preserve"> </w:t>
      </w:r>
      <w:r w:rsidRPr="00DB7074">
        <w:rPr>
          <w:rFonts w:ascii="Book Antiqua" w:hAnsi="Book Antiqua"/>
          <w:b/>
          <w:sz w:val="24"/>
          <w:szCs w:val="24"/>
          <w:lang w:val="fr-FR" w:eastAsia="fr-FR"/>
        </w:rPr>
        <w:t>Mathilde Bonnet, PhD</w:t>
      </w:r>
      <w:r w:rsidRPr="00DB7074">
        <w:rPr>
          <w:rFonts w:ascii="Book Antiqua" w:hAnsi="Book Antiqua"/>
          <w:sz w:val="24"/>
          <w:szCs w:val="24"/>
          <w:lang w:val="fr-FR" w:eastAsia="fr-FR"/>
        </w:rPr>
        <w:t>,</w:t>
      </w:r>
      <w:r w:rsidR="00A713E6">
        <w:rPr>
          <w:rFonts w:ascii="Book Antiqua" w:hAnsi="Book Antiqua" w:hint="eastAsia"/>
          <w:sz w:val="24"/>
          <w:szCs w:val="24"/>
          <w:lang w:val="fr-FR" w:eastAsia="zh-CN"/>
        </w:rPr>
        <w:t xml:space="preserve"> </w:t>
      </w:r>
      <w:r w:rsidR="008177FA" w:rsidRPr="008177FA">
        <w:rPr>
          <w:rFonts w:ascii="Book Antiqua" w:hAnsi="Book Antiqua"/>
          <w:b/>
          <w:sz w:val="24"/>
          <w:szCs w:val="24"/>
          <w:lang w:val="fr-FR" w:eastAsia="zh-CN"/>
        </w:rPr>
        <w:t>Assistant Professor</w:t>
      </w:r>
      <w:r w:rsidR="008177FA" w:rsidRPr="008177FA">
        <w:rPr>
          <w:rFonts w:ascii="Book Antiqua" w:hAnsi="Book Antiqua" w:hint="eastAsia"/>
          <w:b/>
          <w:sz w:val="24"/>
          <w:szCs w:val="24"/>
          <w:lang w:val="fr-FR" w:eastAsia="zh-CN"/>
        </w:rPr>
        <w:t>,</w:t>
      </w:r>
      <w:r w:rsidR="008177FA">
        <w:rPr>
          <w:rFonts w:ascii="Book Antiqua" w:hAnsi="Book Antiqua" w:hint="eastAsia"/>
          <w:sz w:val="24"/>
          <w:szCs w:val="24"/>
          <w:lang w:val="fr-FR" w:eastAsia="zh-CN"/>
        </w:rPr>
        <w:t xml:space="preserve"> </w:t>
      </w:r>
      <w:r w:rsidRPr="00DB7074">
        <w:rPr>
          <w:rFonts w:ascii="Book Antiqua" w:eastAsia="Times New Roman" w:hAnsi="Book Antiqua" w:cs="Times New Roman"/>
          <w:bCs/>
          <w:sz w:val="24"/>
          <w:szCs w:val="24"/>
          <w:lang w:val="fr-FR" w:eastAsia="fr-FR"/>
        </w:rPr>
        <w:t>M2iSH</w:t>
      </w:r>
      <w:r w:rsidRPr="00DB7074">
        <w:rPr>
          <w:rFonts w:ascii="Book Antiqua" w:eastAsia="Times New Roman" w:hAnsi="Book Antiqua" w:cs="Times New Roman"/>
          <w:sz w:val="24"/>
          <w:szCs w:val="24"/>
          <w:lang w:val="fr-FR" w:eastAsia="fr-FR"/>
        </w:rPr>
        <w:t xml:space="preserve"> "Microbes, </w:t>
      </w:r>
      <w:r w:rsidRPr="008177FA">
        <w:rPr>
          <w:rFonts w:ascii="Book Antiqua" w:eastAsia="Times New Roman" w:hAnsi="Book Antiqua" w:cs="Times New Roman"/>
          <w:caps/>
          <w:sz w:val="24"/>
          <w:szCs w:val="24"/>
          <w:lang w:val="fr-FR" w:eastAsia="fr-FR"/>
        </w:rPr>
        <w:t>i</w:t>
      </w:r>
      <w:r w:rsidRPr="00DB7074">
        <w:rPr>
          <w:rFonts w:ascii="Book Antiqua" w:eastAsia="Times New Roman" w:hAnsi="Book Antiqua" w:cs="Times New Roman"/>
          <w:sz w:val="24"/>
          <w:szCs w:val="24"/>
          <w:lang w:val="fr-FR" w:eastAsia="fr-FR"/>
        </w:rPr>
        <w:t xml:space="preserve">ntestin, </w:t>
      </w:r>
      <w:r w:rsidRPr="008177FA">
        <w:rPr>
          <w:rFonts w:ascii="Book Antiqua" w:eastAsia="Times New Roman" w:hAnsi="Book Antiqua" w:cs="Times New Roman"/>
          <w:caps/>
          <w:sz w:val="24"/>
          <w:szCs w:val="24"/>
          <w:lang w:val="fr-FR" w:eastAsia="fr-FR"/>
        </w:rPr>
        <w:t>i</w:t>
      </w:r>
      <w:r w:rsidRPr="00DB7074">
        <w:rPr>
          <w:rFonts w:ascii="Book Antiqua" w:eastAsia="Times New Roman" w:hAnsi="Book Antiqua" w:cs="Times New Roman"/>
          <w:sz w:val="24"/>
          <w:szCs w:val="24"/>
          <w:lang w:val="fr-FR" w:eastAsia="fr-FR"/>
        </w:rPr>
        <w:t xml:space="preserve">nflammation et Susceptibilité de l'Hôte" UMR 1071 Inserm/Université d'Auvergne USC INRA 2018, Centre Biomédical de Recherche et Valorisation, 28 Place Henri Dunant, </w:t>
      </w:r>
      <w:bookmarkStart w:id="59" w:name="OLE_LINK2"/>
      <w:bookmarkStart w:id="60" w:name="OLE_LINK3"/>
      <w:r w:rsidRPr="00DB7074">
        <w:rPr>
          <w:rFonts w:ascii="Book Antiqua" w:eastAsia="Times New Roman" w:hAnsi="Book Antiqua" w:cs="Times New Roman"/>
          <w:sz w:val="24"/>
          <w:szCs w:val="24"/>
          <w:lang w:val="fr-FR" w:eastAsia="fr-FR"/>
        </w:rPr>
        <w:t>Clermont-Ferrand</w:t>
      </w:r>
      <w:bookmarkEnd w:id="59"/>
      <w:bookmarkEnd w:id="60"/>
      <w:r w:rsidR="008177FA">
        <w:rPr>
          <w:rFonts w:ascii="Book Antiqua" w:hAnsi="Book Antiqua" w:cs="Times New Roman" w:hint="eastAsia"/>
          <w:sz w:val="24"/>
          <w:szCs w:val="24"/>
          <w:lang w:val="fr-FR" w:eastAsia="zh-CN"/>
        </w:rPr>
        <w:t xml:space="preserve"> </w:t>
      </w:r>
      <w:r w:rsidR="008177FA" w:rsidRPr="00DB7074">
        <w:rPr>
          <w:rFonts w:ascii="Book Antiqua" w:eastAsia="Times New Roman" w:hAnsi="Book Antiqua" w:cs="Times New Roman"/>
          <w:sz w:val="24"/>
          <w:szCs w:val="24"/>
          <w:lang w:val="fr-FR" w:eastAsia="fr-FR"/>
        </w:rPr>
        <w:t>63000</w:t>
      </w:r>
      <w:r w:rsidRPr="00DB7074">
        <w:rPr>
          <w:rFonts w:ascii="Book Antiqua" w:eastAsia="Times New Roman" w:hAnsi="Book Antiqua" w:cs="Times New Roman"/>
          <w:sz w:val="24"/>
          <w:szCs w:val="24"/>
          <w:lang w:val="fr-FR" w:eastAsia="fr-FR"/>
        </w:rPr>
        <w:t>, France</w:t>
      </w:r>
      <w:r w:rsidRPr="00DB7074">
        <w:rPr>
          <w:rFonts w:ascii="Book Antiqua" w:hAnsi="Book Antiqua" w:cs="Times New Roman"/>
          <w:sz w:val="24"/>
          <w:szCs w:val="24"/>
          <w:lang w:val="fr-FR" w:eastAsia="zh-CN"/>
        </w:rPr>
        <w:t>.</w:t>
      </w:r>
      <w:r w:rsidR="00622E6C">
        <w:rPr>
          <w:rFonts w:ascii="Book Antiqua" w:hAnsi="Book Antiqua" w:cs="Times New Roman" w:hint="eastAsia"/>
          <w:sz w:val="24"/>
          <w:szCs w:val="24"/>
          <w:lang w:val="fr-FR" w:eastAsia="zh-CN"/>
        </w:rPr>
        <w:t xml:space="preserve"> </w:t>
      </w:r>
      <w:r w:rsidRPr="00DB7074">
        <w:rPr>
          <w:rFonts w:ascii="Book Antiqua" w:eastAsia="Times New Roman" w:hAnsi="Book Antiqua" w:cs="Times New Roman"/>
          <w:sz w:val="24"/>
          <w:szCs w:val="24"/>
          <w:lang w:val="fr-FR" w:eastAsia="fr-FR"/>
        </w:rPr>
        <w:t>mathilde.bonnet@uca.fr</w:t>
      </w:r>
    </w:p>
    <w:p w14:paraId="72499F66" w14:textId="77777777" w:rsidR="00B25A83" w:rsidRPr="00DB7074" w:rsidRDefault="00B25A83" w:rsidP="00DB7074">
      <w:pPr>
        <w:snapToGrid w:val="0"/>
        <w:spacing w:after="0" w:line="360" w:lineRule="auto"/>
        <w:jc w:val="both"/>
        <w:rPr>
          <w:rFonts w:ascii="Book Antiqua" w:hAnsi="Book Antiqua" w:cs="Times New Roman"/>
          <w:sz w:val="24"/>
          <w:szCs w:val="24"/>
          <w:lang w:val="en-US" w:eastAsia="zh-CN"/>
        </w:rPr>
      </w:pPr>
      <w:r w:rsidRPr="00DB7074">
        <w:rPr>
          <w:rFonts w:ascii="Book Antiqua" w:eastAsia="Times New Roman" w:hAnsi="Book Antiqua" w:cs="Times New Roman"/>
          <w:b/>
          <w:sz w:val="24"/>
          <w:szCs w:val="24"/>
          <w:lang w:val="en-US" w:eastAsia="fr-FR"/>
        </w:rPr>
        <w:t xml:space="preserve">Telephone: </w:t>
      </w:r>
      <w:r w:rsidRPr="00DB7074">
        <w:rPr>
          <w:rFonts w:ascii="Book Antiqua" w:eastAsia="Times New Roman" w:hAnsi="Book Antiqua" w:cs="Times New Roman"/>
          <w:sz w:val="24"/>
          <w:szCs w:val="24"/>
          <w:lang w:val="en-US" w:eastAsia="fr-FR"/>
        </w:rPr>
        <w:t>+33</w:t>
      </w:r>
      <w:r w:rsidRPr="00DB7074">
        <w:rPr>
          <w:rFonts w:ascii="Book Antiqua" w:hAnsi="Book Antiqua" w:cs="Times New Roman"/>
          <w:sz w:val="24"/>
          <w:szCs w:val="24"/>
          <w:lang w:val="en-US" w:eastAsia="zh-CN"/>
        </w:rPr>
        <w:t>-</w:t>
      </w:r>
      <w:r w:rsidRPr="00DB7074">
        <w:rPr>
          <w:rFonts w:ascii="Book Antiqua" w:eastAsia="Times New Roman" w:hAnsi="Book Antiqua" w:cs="Times New Roman"/>
          <w:sz w:val="24"/>
          <w:szCs w:val="24"/>
          <w:lang w:val="en-US" w:eastAsia="fr-FR"/>
        </w:rPr>
        <w:t>4</w:t>
      </w:r>
      <w:r w:rsidRPr="00DB7074">
        <w:rPr>
          <w:rFonts w:ascii="Book Antiqua" w:hAnsi="Book Antiqua" w:cs="Times New Roman"/>
          <w:sz w:val="24"/>
          <w:szCs w:val="24"/>
          <w:lang w:val="en-US" w:eastAsia="zh-CN"/>
        </w:rPr>
        <w:t>-</w:t>
      </w:r>
      <w:r w:rsidRPr="00DB7074">
        <w:rPr>
          <w:rFonts w:ascii="Book Antiqua" w:eastAsia="Times New Roman" w:hAnsi="Book Antiqua" w:cs="Times New Roman"/>
          <w:sz w:val="24"/>
          <w:szCs w:val="24"/>
          <w:lang w:val="en-US" w:eastAsia="fr-FR"/>
        </w:rPr>
        <w:t>731 8381</w:t>
      </w:r>
    </w:p>
    <w:p w14:paraId="0D74F88E" w14:textId="77777777" w:rsidR="00B25A83" w:rsidRPr="00DB7074" w:rsidRDefault="00B25A83" w:rsidP="00DB7074">
      <w:pPr>
        <w:snapToGrid w:val="0"/>
        <w:spacing w:after="0" w:line="360" w:lineRule="auto"/>
        <w:jc w:val="both"/>
        <w:rPr>
          <w:rFonts w:ascii="Book Antiqua" w:hAnsi="Book Antiqua"/>
          <w:sz w:val="24"/>
          <w:szCs w:val="24"/>
          <w:lang w:val="en-US"/>
        </w:rPr>
      </w:pPr>
      <w:r w:rsidRPr="00DB7074">
        <w:rPr>
          <w:rFonts w:ascii="Book Antiqua" w:eastAsia="Times New Roman" w:hAnsi="Book Antiqua" w:cs="Times New Roman"/>
          <w:b/>
          <w:sz w:val="24"/>
          <w:szCs w:val="24"/>
          <w:lang w:val="en-US" w:eastAsia="fr-FR"/>
        </w:rPr>
        <w:t>Fax:</w:t>
      </w:r>
      <w:r w:rsidRPr="00DB7074">
        <w:rPr>
          <w:rFonts w:ascii="Book Antiqua" w:eastAsia="Times New Roman" w:hAnsi="Book Antiqua" w:cs="Times New Roman"/>
          <w:sz w:val="24"/>
          <w:szCs w:val="24"/>
          <w:lang w:val="en-US" w:eastAsia="fr-FR"/>
        </w:rPr>
        <w:t xml:space="preserve"> +33</w:t>
      </w:r>
      <w:r w:rsidRPr="00DB7074">
        <w:rPr>
          <w:rFonts w:ascii="Book Antiqua" w:hAnsi="Book Antiqua" w:cs="Times New Roman"/>
          <w:sz w:val="24"/>
          <w:szCs w:val="24"/>
          <w:lang w:val="en-US" w:eastAsia="zh-CN"/>
        </w:rPr>
        <w:t>-</w:t>
      </w:r>
      <w:r w:rsidRPr="00DB7074">
        <w:rPr>
          <w:rFonts w:ascii="Book Antiqua" w:eastAsia="Times New Roman" w:hAnsi="Book Antiqua" w:cs="Times New Roman"/>
          <w:sz w:val="24"/>
          <w:szCs w:val="24"/>
          <w:lang w:val="en-US" w:eastAsia="fr-FR"/>
        </w:rPr>
        <w:t>4</w:t>
      </w:r>
      <w:r w:rsidRPr="00DB7074">
        <w:rPr>
          <w:rFonts w:ascii="Book Antiqua" w:hAnsi="Book Antiqua" w:cs="Times New Roman"/>
          <w:sz w:val="24"/>
          <w:szCs w:val="24"/>
          <w:lang w:val="en-US" w:eastAsia="zh-CN"/>
        </w:rPr>
        <w:t>-</w:t>
      </w:r>
      <w:r w:rsidRPr="00DB7074">
        <w:rPr>
          <w:rFonts w:ascii="Book Antiqua" w:eastAsia="Times New Roman" w:hAnsi="Book Antiqua" w:cs="Times New Roman"/>
          <w:sz w:val="24"/>
          <w:szCs w:val="24"/>
          <w:lang w:val="en-US" w:eastAsia="fr-FR"/>
        </w:rPr>
        <w:t>73178371</w:t>
      </w:r>
    </w:p>
    <w:p w14:paraId="5B1564EB" w14:textId="77777777" w:rsidR="00A73AF4" w:rsidRDefault="00A73AF4" w:rsidP="00DB7074">
      <w:pPr>
        <w:snapToGrid w:val="0"/>
        <w:spacing w:after="0" w:line="360" w:lineRule="auto"/>
        <w:jc w:val="both"/>
        <w:rPr>
          <w:rFonts w:ascii="Book Antiqua" w:hAnsi="Book Antiqua"/>
          <w:b/>
          <w:sz w:val="24"/>
          <w:szCs w:val="24"/>
          <w:lang w:eastAsia="zh-CN"/>
        </w:rPr>
      </w:pPr>
    </w:p>
    <w:p w14:paraId="089A0FE5" w14:textId="2DFE6B3D" w:rsidR="008177FA" w:rsidRPr="008177FA" w:rsidRDefault="008177FA" w:rsidP="008177FA">
      <w:pPr>
        <w:snapToGrid w:val="0"/>
        <w:spacing w:after="0" w:line="360" w:lineRule="auto"/>
        <w:jc w:val="both"/>
        <w:rPr>
          <w:rFonts w:ascii="Book Antiqua" w:eastAsia="SimSun" w:hAnsi="Book Antiqua" w:cs="SimSun"/>
          <w:b/>
          <w:sz w:val="24"/>
          <w:szCs w:val="24"/>
          <w:lang w:val="en-US" w:eastAsia="zh-CN"/>
        </w:rPr>
      </w:pPr>
      <w:r w:rsidRPr="008177FA">
        <w:rPr>
          <w:rFonts w:ascii="Book Antiqua" w:eastAsia="SimSun" w:hAnsi="Book Antiqua" w:cs="SimSun"/>
          <w:b/>
          <w:sz w:val="24"/>
          <w:szCs w:val="24"/>
          <w:lang w:val="en-US" w:eastAsia="zh-CN"/>
        </w:rPr>
        <w:t>Received:</w:t>
      </w:r>
      <w:r>
        <w:rPr>
          <w:rFonts w:ascii="Book Antiqua" w:eastAsia="SimSun" w:hAnsi="Book Antiqua" w:cs="SimSun" w:hint="eastAsia"/>
          <w:b/>
          <w:sz w:val="24"/>
          <w:szCs w:val="24"/>
          <w:lang w:val="en-US" w:eastAsia="zh-CN"/>
        </w:rPr>
        <w:t xml:space="preserve"> </w:t>
      </w:r>
      <w:r w:rsidRPr="008177FA">
        <w:rPr>
          <w:rFonts w:ascii="Book Antiqua" w:eastAsia="SimSun" w:hAnsi="Book Antiqua" w:cs="SimSun" w:hint="eastAsia"/>
          <w:sz w:val="24"/>
          <w:szCs w:val="24"/>
          <w:lang w:val="en-US" w:eastAsia="zh-CN"/>
        </w:rPr>
        <w:t>April 6, 2018</w:t>
      </w:r>
    </w:p>
    <w:p w14:paraId="19608070" w14:textId="65813CA8" w:rsidR="008177FA" w:rsidRPr="008177FA" w:rsidRDefault="008177FA" w:rsidP="008177FA">
      <w:pPr>
        <w:snapToGrid w:val="0"/>
        <w:spacing w:after="0" w:line="360" w:lineRule="auto"/>
        <w:jc w:val="both"/>
        <w:rPr>
          <w:rFonts w:ascii="Book Antiqua" w:eastAsia="SimSun" w:hAnsi="Book Antiqua" w:cs="SimSun"/>
          <w:b/>
          <w:sz w:val="24"/>
          <w:szCs w:val="24"/>
          <w:lang w:val="en-US" w:eastAsia="zh-CN"/>
        </w:rPr>
      </w:pPr>
      <w:r w:rsidRPr="008177FA">
        <w:rPr>
          <w:rFonts w:ascii="Book Antiqua" w:eastAsia="SimSun" w:hAnsi="Book Antiqua" w:cs="SimSun"/>
          <w:b/>
          <w:sz w:val="24"/>
          <w:szCs w:val="24"/>
          <w:lang w:val="en-US" w:eastAsia="zh-CN"/>
        </w:rPr>
        <w:t>Peer-review started:</w:t>
      </w:r>
      <w:r>
        <w:rPr>
          <w:rFonts w:ascii="Book Antiqua" w:eastAsia="SimSun" w:hAnsi="Book Antiqua" w:cs="SimSun" w:hint="eastAsia"/>
          <w:b/>
          <w:sz w:val="24"/>
          <w:szCs w:val="24"/>
          <w:lang w:val="en-US" w:eastAsia="zh-CN"/>
        </w:rPr>
        <w:t xml:space="preserve"> </w:t>
      </w:r>
      <w:r w:rsidRPr="008177FA">
        <w:rPr>
          <w:rFonts w:ascii="Book Antiqua" w:eastAsia="SimSun" w:hAnsi="Book Antiqua" w:cs="SimSun" w:hint="eastAsia"/>
          <w:sz w:val="24"/>
          <w:szCs w:val="24"/>
          <w:lang w:val="en-US" w:eastAsia="zh-CN"/>
        </w:rPr>
        <w:t xml:space="preserve">April </w:t>
      </w:r>
      <w:r>
        <w:rPr>
          <w:rFonts w:ascii="Book Antiqua" w:eastAsia="SimSun" w:hAnsi="Book Antiqua" w:cs="SimSun" w:hint="eastAsia"/>
          <w:sz w:val="24"/>
          <w:szCs w:val="24"/>
          <w:lang w:val="en-US" w:eastAsia="zh-CN"/>
        </w:rPr>
        <w:t>7</w:t>
      </w:r>
      <w:r w:rsidRPr="008177FA">
        <w:rPr>
          <w:rFonts w:ascii="Book Antiqua" w:eastAsia="SimSun" w:hAnsi="Book Antiqua" w:cs="SimSun" w:hint="eastAsia"/>
          <w:sz w:val="24"/>
          <w:szCs w:val="24"/>
          <w:lang w:val="en-US" w:eastAsia="zh-CN"/>
        </w:rPr>
        <w:t>, 2018</w:t>
      </w:r>
    </w:p>
    <w:p w14:paraId="262C14A8" w14:textId="036B794A" w:rsidR="008177FA" w:rsidRPr="008177FA" w:rsidRDefault="008177FA" w:rsidP="008177FA">
      <w:pPr>
        <w:snapToGrid w:val="0"/>
        <w:spacing w:after="0" w:line="360" w:lineRule="auto"/>
        <w:jc w:val="both"/>
        <w:rPr>
          <w:rFonts w:ascii="Book Antiqua" w:eastAsia="SimSun" w:hAnsi="Book Antiqua" w:cs="SimSun"/>
          <w:b/>
          <w:sz w:val="24"/>
          <w:szCs w:val="24"/>
          <w:lang w:val="en-US" w:eastAsia="zh-CN"/>
        </w:rPr>
      </w:pPr>
      <w:r w:rsidRPr="008177FA">
        <w:rPr>
          <w:rFonts w:ascii="Book Antiqua" w:eastAsia="SimSun" w:hAnsi="Book Antiqua" w:cs="SimSun"/>
          <w:b/>
          <w:sz w:val="24"/>
          <w:szCs w:val="24"/>
          <w:lang w:val="en-US" w:eastAsia="zh-CN"/>
        </w:rPr>
        <w:t>First decision:</w:t>
      </w:r>
      <w:r>
        <w:rPr>
          <w:rFonts w:ascii="Book Antiqua" w:eastAsia="SimSun" w:hAnsi="Book Antiqua" w:cs="SimSun" w:hint="eastAsia"/>
          <w:b/>
          <w:sz w:val="24"/>
          <w:szCs w:val="24"/>
          <w:lang w:val="en-US" w:eastAsia="zh-CN"/>
        </w:rPr>
        <w:t xml:space="preserve"> </w:t>
      </w:r>
      <w:r w:rsidRPr="008177FA">
        <w:rPr>
          <w:rFonts w:ascii="Book Antiqua" w:eastAsia="SimSun" w:hAnsi="Book Antiqua" w:cs="SimSun" w:hint="eastAsia"/>
          <w:sz w:val="24"/>
          <w:szCs w:val="24"/>
          <w:lang w:val="en-US" w:eastAsia="zh-CN"/>
        </w:rPr>
        <w:t xml:space="preserve">April </w:t>
      </w:r>
      <w:r>
        <w:rPr>
          <w:rFonts w:ascii="Book Antiqua" w:eastAsia="SimSun" w:hAnsi="Book Antiqua" w:cs="SimSun" w:hint="eastAsia"/>
          <w:sz w:val="24"/>
          <w:szCs w:val="24"/>
          <w:lang w:val="en-US" w:eastAsia="zh-CN"/>
        </w:rPr>
        <w:t>27</w:t>
      </w:r>
      <w:r w:rsidRPr="008177FA">
        <w:rPr>
          <w:rFonts w:ascii="Book Antiqua" w:eastAsia="SimSun" w:hAnsi="Book Antiqua" w:cs="SimSun" w:hint="eastAsia"/>
          <w:sz w:val="24"/>
          <w:szCs w:val="24"/>
          <w:lang w:val="en-US" w:eastAsia="zh-CN"/>
        </w:rPr>
        <w:t>, 2018</w:t>
      </w:r>
    </w:p>
    <w:p w14:paraId="042142AB" w14:textId="4C1E1F50" w:rsidR="008177FA" w:rsidRPr="008177FA" w:rsidRDefault="008177FA" w:rsidP="008177FA">
      <w:pPr>
        <w:snapToGrid w:val="0"/>
        <w:spacing w:after="0" w:line="360" w:lineRule="auto"/>
        <w:jc w:val="both"/>
        <w:rPr>
          <w:rFonts w:ascii="Book Antiqua" w:eastAsia="SimSun" w:hAnsi="Book Antiqua" w:cs="SimSun"/>
          <w:b/>
          <w:sz w:val="24"/>
          <w:szCs w:val="24"/>
          <w:lang w:val="en-US" w:eastAsia="zh-CN"/>
        </w:rPr>
      </w:pPr>
      <w:r w:rsidRPr="008177FA">
        <w:rPr>
          <w:rFonts w:ascii="Book Antiqua" w:eastAsia="SimSun" w:hAnsi="Book Antiqua" w:cs="SimSun"/>
          <w:b/>
          <w:sz w:val="24"/>
          <w:szCs w:val="24"/>
          <w:lang w:val="en-US" w:eastAsia="zh-CN"/>
        </w:rPr>
        <w:t>Revised:</w:t>
      </w:r>
      <w:r>
        <w:rPr>
          <w:rFonts w:ascii="Book Antiqua" w:eastAsia="SimSun" w:hAnsi="Book Antiqua" w:cs="SimSun" w:hint="eastAsia"/>
          <w:b/>
          <w:sz w:val="24"/>
          <w:szCs w:val="24"/>
          <w:lang w:val="en-US" w:eastAsia="zh-CN"/>
        </w:rPr>
        <w:t xml:space="preserve"> </w:t>
      </w:r>
      <w:r w:rsidRPr="008177FA">
        <w:rPr>
          <w:rFonts w:ascii="Book Antiqua" w:eastAsia="SimSun" w:hAnsi="Book Antiqua" w:cs="SimSun" w:hint="eastAsia"/>
          <w:sz w:val="24"/>
          <w:szCs w:val="24"/>
          <w:lang w:val="en-US" w:eastAsia="zh-CN"/>
        </w:rPr>
        <w:t>May 3, 2018</w:t>
      </w:r>
    </w:p>
    <w:p w14:paraId="0B075CD9" w14:textId="7213260F" w:rsidR="008177FA" w:rsidRPr="008177FA" w:rsidRDefault="008177FA" w:rsidP="008177FA">
      <w:pPr>
        <w:snapToGrid w:val="0"/>
        <w:spacing w:after="0" w:line="360" w:lineRule="auto"/>
        <w:jc w:val="both"/>
        <w:rPr>
          <w:rFonts w:ascii="Book Antiqua" w:eastAsia="SimSun" w:hAnsi="Book Antiqua" w:cs="SimSun"/>
          <w:b/>
          <w:sz w:val="24"/>
          <w:szCs w:val="24"/>
          <w:lang w:val="en-US" w:eastAsia="zh-CN"/>
        </w:rPr>
      </w:pPr>
      <w:r w:rsidRPr="008177FA">
        <w:rPr>
          <w:rFonts w:ascii="Book Antiqua" w:eastAsia="SimSun" w:hAnsi="Book Antiqua" w:cs="SimSun"/>
          <w:b/>
          <w:sz w:val="24"/>
          <w:szCs w:val="24"/>
          <w:lang w:val="en-US" w:eastAsia="zh-CN"/>
        </w:rPr>
        <w:t>Accepted:</w:t>
      </w:r>
      <w:r w:rsidR="00A00537" w:rsidRPr="00A00537">
        <w:t xml:space="preserve"> </w:t>
      </w:r>
      <w:r w:rsidR="00A00537" w:rsidRPr="00A00537">
        <w:rPr>
          <w:rFonts w:ascii="Book Antiqua" w:eastAsia="SimSun" w:hAnsi="Book Antiqua" w:cs="SimSun"/>
          <w:sz w:val="24"/>
          <w:szCs w:val="24"/>
          <w:lang w:val="en-US" w:eastAsia="zh-CN"/>
        </w:rPr>
        <w:t>May 18, 2018</w:t>
      </w:r>
    </w:p>
    <w:p w14:paraId="3481ADF0" w14:textId="77777777" w:rsidR="008177FA" w:rsidRPr="008177FA" w:rsidRDefault="008177FA" w:rsidP="008177FA">
      <w:pPr>
        <w:snapToGrid w:val="0"/>
        <w:spacing w:after="0" w:line="360" w:lineRule="auto"/>
        <w:jc w:val="both"/>
        <w:rPr>
          <w:rFonts w:ascii="Book Antiqua" w:eastAsia="SimSun" w:hAnsi="Book Antiqua" w:cs="SimSun"/>
          <w:b/>
          <w:sz w:val="24"/>
          <w:szCs w:val="24"/>
          <w:lang w:val="en-US" w:eastAsia="zh-CN"/>
        </w:rPr>
      </w:pPr>
      <w:r w:rsidRPr="008177FA">
        <w:rPr>
          <w:rFonts w:ascii="Book Antiqua" w:eastAsia="SimSun" w:hAnsi="Book Antiqua" w:cs="SimSun"/>
          <w:b/>
          <w:sz w:val="24"/>
          <w:szCs w:val="24"/>
          <w:lang w:val="en-US" w:eastAsia="zh-CN"/>
        </w:rPr>
        <w:lastRenderedPageBreak/>
        <w:t>Article in press:</w:t>
      </w:r>
    </w:p>
    <w:p w14:paraId="6DFA9BC0" w14:textId="77777777" w:rsidR="008177FA" w:rsidRPr="008177FA" w:rsidRDefault="008177FA" w:rsidP="008177FA">
      <w:pPr>
        <w:snapToGrid w:val="0"/>
        <w:spacing w:after="0" w:line="360" w:lineRule="auto"/>
        <w:jc w:val="both"/>
        <w:rPr>
          <w:rFonts w:ascii="Book Antiqua" w:eastAsia="SimSun" w:hAnsi="Book Antiqua" w:cs="Arial"/>
          <w:b/>
          <w:sz w:val="24"/>
          <w:szCs w:val="24"/>
          <w:lang w:val="pl-PL" w:eastAsia="zh-CN"/>
        </w:rPr>
      </w:pPr>
      <w:r w:rsidRPr="008177FA">
        <w:rPr>
          <w:rFonts w:ascii="Book Antiqua" w:eastAsia="SimSun" w:hAnsi="Book Antiqua" w:cs="Arial"/>
          <w:b/>
          <w:sz w:val="24"/>
          <w:szCs w:val="24"/>
          <w:lang w:val="pl-PL" w:eastAsia="pl-PL"/>
        </w:rPr>
        <w:t>Published online</w:t>
      </w:r>
      <w:r w:rsidRPr="008177FA">
        <w:rPr>
          <w:rFonts w:ascii="Book Antiqua" w:eastAsia="SimSun" w:hAnsi="Book Antiqua" w:cs="Arial" w:hint="eastAsia"/>
          <w:b/>
          <w:sz w:val="24"/>
          <w:szCs w:val="24"/>
          <w:lang w:val="pl-PL" w:eastAsia="pl-PL"/>
        </w:rPr>
        <w:t>:</w:t>
      </w:r>
    </w:p>
    <w:p w14:paraId="6E0EDB05" w14:textId="77777777" w:rsidR="008177FA" w:rsidRPr="00DB7074" w:rsidRDefault="008177FA" w:rsidP="00DB7074">
      <w:pPr>
        <w:snapToGrid w:val="0"/>
        <w:spacing w:after="0" w:line="360" w:lineRule="auto"/>
        <w:jc w:val="both"/>
        <w:rPr>
          <w:rFonts w:ascii="Book Antiqua" w:hAnsi="Book Antiqua"/>
          <w:b/>
          <w:sz w:val="24"/>
          <w:szCs w:val="24"/>
          <w:lang w:eastAsia="zh-CN"/>
        </w:rPr>
      </w:pPr>
    </w:p>
    <w:p w14:paraId="62454120" w14:textId="77777777" w:rsidR="00640D4A" w:rsidRPr="00DB7074" w:rsidRDefault="00640D4A" w:rsidP="00DB7074">
      <w:pPr>
        <w:snapToGrid w:val="0"/>
        <w:spacing w:after="0" w:line="360" w:lineRule="auto"/>
        <w:jc w:val="both"/>
        <w:rPr>
          <w:rFonts w:ascii="Book Antiqua" w:hAnsi="Book Antiqua"/>
          <w:b/>
          <w:sz w:val="24"/>
          <w:szCs w:val="24"/>
        </w:rPr>
      </w:pPr>
      <w:r w:rsidRPr="00DB7074">
        <w:rPr>
          <w:rFonts w:ascii="Book Antiqua" w:hAnsi="Book Antiqua"/>
          <w:b/>
          <w:sz w:val="24"/>
          <w:szCs w:val="24"/>
        </w:rPr>
        <w:br w:type="page"/>
      </w:r>
    </w:p>
    <w:p w14:paraId="63C1BF11" w14:textId="4ED526FB" w:rsidR="00D60084" w:rsidRPr="00DB7074" w:rsidRDefault="00D60084" w:rsidP="00DB7074">
      <w:pPr>
        <w:snapToGrid w:val="0"/>
        <w:spacing w:after="0" w:line="360" w:lineRule="auto"/>
        <w:jc w:val="both"/>
        <w:rPr>
          <w:rFonts w:ascii="Book Antiqua" w:hAnsi="Book Antiqua"/>
          <w:b/>
          <w:sz w:val="24"/>
          <w:szCs w:val="24"/>
        </w:rPr>
      </w:pPr>
      <w:r w:rsidRPr="00DB7074">
        <w:rPr>
          <w:rFonts w:ascii="Book Antiqua" w:hAnsi="Book Antiqua"/>
          <w:b/>
          <w:sz w:val="24"/>
          <w:szCs w:val="24"/>
        </w:rPr>
        <w:lastRenderedPageBreak/>
        <w:t>Abstract</w:t>
      </w:r>
    </w:p>
    <w:p w14:paraId="5F3120D4" w14:textId="151E7DC0" w:rsidR="00A73AF4" w:rsidRPr="00DB7074" w:rsidRDefault="00D60084" w:rsidP="00DB7074">
      <w:pPr>
        <w:snapToGrid w:val="0"/>
        <w:spacing w:after="0" w:line="360" w:lineRule="auto"/>
        <w:jc w:val="both"/>
        <w:rPr>
          <w:rFonts w:ascii="Book Antiqua" w:hAnsi="Book Antiqua"/>
          <w:sz w:val="24"/>
          <w:szCs w:val="24"/>
        </w:rPr>
      </w:pPr>
      <w:r w:rsidRPr="00DB7074">
        <w:rPr>
          <w:rFonts w:ascii="Book Antiqua" w:hAnsi="Book Antiqua"/>
          <w:sz w:val="24"/>
          <w:szCs w:val="24"/>
        </w:rPr>
        <w:t>Colorectal cancer (CRC)</w:t>
      </w:r>
      <w:r w:rsidR="009305D5" w:rsidRPr="00DB7074">
        <w:rPr>
          <w:rFonts w:ascii="Book Antiqua" w:hAnsi="Book Antiqua"/>
          <w:sz w:val="24"/>
          <w:szCs w:val="24"/>
        </w:rPr>
        <w:t xml:space="preserve"> is the second leading cause of cancer worldwide. CRC</w:t>
      </w:r>
      <w:r w:rsidRPr="00DB7074">
        <w:rPr>
          <w:rFonts w:ascii="Book Antiqua" w:hAnsi="Book Antiqua" w:cs="Times New Roman"/>
          <w:sz w:val="24"/>
          <w:szCs w:val="24"/>
        </w:rPr>
        <w:t xml:space="preserve"> </w:t>
      </w:r>
      <w:r w:rsidR="00C87FD5" w:rsidRPr="00DB7074">
        <w:rPr>
          <w:rFonts w:ascii="Book Antiqua" w:hAnsi="Book Antiqua" w:cs="Times New Roman"/>
          <w:sz w:val="24"/>
          <w:szCs w:val="24"/>
        </w:rPr>
        <w:t xml:space="preserve">is still </w:t>
      </w:r>
      <w:r w:rsidRPr="00DB7074">
        <w:rPr>
          <w:rFonts w:ascii="Book Antiqua" w:hAnsi="Book Antiqua" w:cs="Times New Roman"/>
          <w:sz w:val="24"/>
          <w:szCs w:val="24"/>
        </w:rPr>
        <w:t xml:space="preserve">associated with a poor prognosis among patients with advanced disease. </w:t>
      </w:r>
      <w:r w:rsidR="00C87FD5" w:rsidRPr="00DB7074">
        <w:rPr>
          <w:rFonts w:ascii="Book Antiqua" w:hAnsi="Book Antiqua" w:cs="Times New Roman"/>
          <w:sz w:val="24"/>
          <w:szCs w:val="24"/>
        </w:rPr>
        <w:t>On</w:t>
      </w:r>
      <w:r w:rsidRPr="00DB7074">
        <w:rPr>
          <w:rFonts w:ascii="Book Antiqua" w:hAnsi="Book Antiqua" w:cs="Times New Roman"/>
          <w:sz w:val="24"/>
          <w:szCs w:val="24"/>
        </w:rPr>
        <w:t xml:space="preserve"> the contrary, </w:t>
      </w:r>
      <w:r w:rsidR="009305D5" w:rsidRPr="00DB7074">
        <w:rPr>
          <w:rFonts w:ascii="Book Antiqua" w:hAnsi="Book Antiqua" w:cs="Times New Roman"/>
          <w:sz w:val="24"/>
          <w:szCs w:val="24"/>
        </w:rPr>
        <w:t xml:space="preserve">due to its slow progression from detectable precancerous lesions, </w:t>
      </w:r>
      <w:r w:rsidR="00C87FD5" w:rsidRPr="00DB7074">
        <w:rPr>
          <w:rFonts w:ascii="Book Antiqua" w:hAnsi="Book Antiqua" w:cs="Times New Roman"/>
          <w:sz w:val="24"/>
          <w:szCs w:val="24"/>
        </w:rPr>
        <w:t xml:space="preserve">the </w:t>
      </w:r>
      <w:r w:rsidRPr="00DB7074">
        <w:rPr>
          <w:rFonts w:ascii="Book Antiqua" w:hAnsi="Book Antiqua" w:cs="Times New Roman"/>
          <w:sz w:val="24"/>
          <w:szCs w:val="24"/>
        </w:rPr>
        <w:t xml:space="preserve">prognosis for </w:t>
      </w:r>
      <w:r w:rsidR="00C87FD5" w:rsidRPr="00DB7074">
        <w:rPr>
          <w:rFonts w:ascii="Book Antiqua" w:hAnsi="Book Antiqua" w:cs="Times New Roman"/>
          <w:sz w:val="24"/>
          <w:szCs w:val="24"/>
        </w:rPr>
        <w:t xml:space="preserve">patients with </w:t>
      </w:r>
      <w:r w:rsidRPr="00DB7074">
        <w:rPr>
          <w:rFonts w:ascii="Book Antiqua" w:hAnsi="Book Antiqua" w:cs="Times New Roman"/>
          <w:sz w:val="24"/>
          <w:szCs w:val="24"/>
        </w:rPr>
        <w:t xml:space="preserve">early stages </w:t>
      </w:r>
      <w:r w:rsidR="00C87FD5" w:rsidRPr="00DB7074">
        <w:rPr>
          <w:rFonts w:ascii="Book Antiqua" w:hAnsi="Book Antiqua" w:cs="Times New Roman"/>
          <w:sz w:val="24"/>
          <w:szCs w:val="24"/>
        </w:rPr>
        <w:t xml:space="preserve">of </w:t>
      </w:r>
      <w:r w:rsidRPr="00DB7074">
        <w:rPr>
          <w:rFonts w:ascii="Book Antiqua" w:hAnsi="Book Antiqua" w:cs="Times New Roman"/>
          <w:sz w:val="24"/>
          <w:szCs w:val="24"/>
        </w:rPr>
        <w:t xml:space="preserve">CRC is encouraging. </w:t>
      </w:r>
      <w:r w:rsidR="009305D5" w:rsidRPr="00DB7074">
        <w:rPr>
          <w:rFonts w:ascii="Book Antiqua" w:hAnsi="Book Antiqua" w:cs="Times New Roman"/>
          <w:sz w:val="24"/>
          <w:szCs w:val="24"/>
        </w:rPr>
        <w:t>While most robust methods are invasive and costly, a</w:t>
      </w:r>
      <w:r w:rsidR="00812448" w:rsidRPr="00DB7074">
        <w:rPr>
          <w:rFonts w:ascii="Book Antiqua" w:hAnsi="Book Antiqua" w:cs="Times New Roman"/>
          <w:sz w:val="24"/>
          <w:szCs w:val="24"/>
        </w:rPr>
        <w:t xml:space="preserve">ctual </w:t>
      </w:r>
      <w:r w:rsidR="009305D5" w:rsidRPr="00DB7074">
        <w:rPr>
          <w:rFonts w:ascii="Book Antiqua" w:hAnsi="Book Antiqua" w:cs="Times New Roman"/>
          <w:sz w:val="24"/>
          <w:szCs w:val="24"/>
        </w:rPr>
        <w:t xml:space="preserve">patient-friendly </w:t>
      </w:r>
      <w:r w:rsidR="00812448" w:rsidRPr="00DB7074">
        <w:rPr>
          <w:rFonts w:ascii="Book Antiqua" w:hAnsi="Book Antiqua" w:cs="Times New Roman"/>
          <w:sz w:val="24"/>
          <w:szCs w:val="24"/>
        </w:rPr>
        <w:t xml:space="preserve">screening methods </w:t>
      </w:r>
      <w:r w:rsidR="009305D5" w:rsidRPr="00DB7074">
        <w:rPr>
          <w:rFonts w:ascii="Book Antiqua" w:hAnsi="Book Antiqua" w:cs="Times New Roman"/>
          <w:sz w:val="24"/>
          <w:szCs w:val="24"/>
        </w:rPr>
        <w:t xml:space="preserve">for CRC suffer of lack of sensitivity and specificity. </w:t>
      </w:r>
      <w:r w:rsidRPr="00DB7074">
        <w:rPr>
          <w:rFonts w:ascii="Book Antiqua" w:hAnsi="Book Antiqua" w:cs="Times New Roman"/>
          <w:sz w:val="24"/>
          <w:szCs w:val="24"/>
        </w:rPr>
        <w:t xml:space="preserve">Therefore, </w:t>
      </w:r>
      <w:r w:rsidRPr="00DB7074">
        <w:rPr>
          <w:rFonts w:ascii="Book Antiqua" w:hAnsi="Book Antiqua"/>
          <w:sz w:val="24"/>
          <w:szCs w:val="24"/>
        </w:rPr>
        <w:t xml:space="preserve">the development of sensitive, non-invasive and cost-effective methods for CRC detection and prognosis are </w:t>
      </w:r>
      <w:r w:rsidR="00C87FD5" w:rsidRPr="00DB7074">
        <w:rPr>
          <w:rFonts w:ascii="Book Antiqua" w:hAnsi="Book Antiqua"/>
          <w:sz w:val="24"/>
          <w:szCs w:val="24"/>
        </w:rPr>
        <w:t xml:space="preserve">necessary </w:t>
      </w:r>
      <w:r w:rsidR="009C6913" w:rsidRPr="00DB7074">
        <w:rPr>
          <w:rFonts w:ascii="Book Antiqua" w:hAnsi="Book Antiqua"/>
          <w:sz w:val="24"/>
          <w:szCs w:val="24"/>
        </w:rPr>
        <w:t xml:space="preserve">for </w:t>
      </w:r>
      <w:r w:rsidRPr="00DB7074">
        <w:rPr>
          <w:rFonts w:ascii="Book Antiqua" w:hAnsi="Book Antiqua" w:cs="Times New Roman"/>
          <w:sz w:val="24"/>
          <w:szCs w:val="24"/>
        </w:rPr>
        <w:t xml:space="preserve">increasing </w:t>
      </w:r>
      <w:r w:rsidR="00C87FD5" w:rsidRPr="00DB7074">
        <w:rPr>
          <w:rFonts w:ascii="Book Antiqua" w:hAnsi="Book Antiqua" w:cs="Times New Roman"/>
          <w:sz w:val="24"/>
          <w:szCs w:val="24"/>
        </w:rPr>
        <w:t xml:space="preserve">the </w:t>
      </w:r>
      <w:r w:rsidRPr="00DB7074">
        <w:rPr>
          <w:rFonts w:ascii="Book Antiqua" w:hAnsi="Book Antiqua" w:cs="Times New Roman"/>
          <w:sz w:val="24"/>
          <w:szCs w:val="24"/>
        </w:rPr>
        <w:t>chance</w:t>
      </w:r>
      <w:r w:rsidR="00994D1B" w:rsidRPr="00DB7074">
        <w:rPr>
          <w:rFonts w:ascii="Book Antiqua" w:hAnsi="Book Antiqua" w:cs="Times New Roman"/>
          <w:sz w:val="24"/>
          <w:szCs w:val="24"/>
        </w:rPr>
        <w:t>s</w:t>
      </w:r>
      <w:r w:rsidRPr="00DB7074">
        <w:rPr>
          <w:rFonts w:ascii="Book Antiqua" w:hAnsi="Book Antiqua" w:cs="Times New Roman"/>
          <w:sz w:val="24"/>
          <w:szCs w:val="24"/>
        </w:rPr>
        <w:t xml:space="preserve"> of </w:t>
      </w:r>
      <w:r w:rsidR="00C87FD5" w:rsidRPr="00DB7074">
        <w:rPr>
          <w:rFonts w:ascii="Book Antiqua" w:hAnsi="Book Antiqua" w:cs="Times New Roman"/>
          <w:sz w:val="24"/>
          <w:szCs w:val="24"/>
        </w:rPr>
        <w:t xml:space="preserve">a </w:t>
      </w:r>
      <w:r w:rsidRPr="00DB7074">
        <w:rPr>
          <w:rFonts w:ascii="Book Antiqua" w:hAnsi="Book Antiqua" w:cs="Times New Roman"/>
          <w:sz w:val="24"/>
          <w:szCs w:val="24"/>
        </w:rPr>
        <w:t>cure</w:t>
      </w:r>
      <w:r w:rsidRPr="00DB7074">
        <w:rPr>
          <w:rFonts w:ascii="Book Antiqua" w:hAnsi="Book Antiqua"/>
          <w:sz w:val="24"/>
          <w:szCs w:val="24"/>
        </w:rPr>
        <w:t xml:space="preserve">. </w:t>
      </w:r>
      <w:r w:rsidR="00B152EE" w:rsidRPr="00DB7074">
        <w:rPr>
          <w:rFonts w:ascii="Book Antiqua" w:hAnsi="Book Antiqua"/>
          <w:sz w:val="24"/>
          <w:szCs w:val="24"/>
        </w:rPr>
        <w:t>Beyond its beneficial functions for the host, i</w:t>
      </w:r>
      <w:r w:rsidRPr="00DB7074">
        <w:rPr>
          <w:rFonts w:ascii="Book Antiqua" w:hAnsi="Book Antiqua"/>
          <w:sz w:val="24"/>
          <w:szCs w:val="24"/>
        </w:rPr>
        <w:t xml:space="preserve">ncreasing </w:t>
      </w:r>
      <w:r w:rsidR="00507882" w:rsidRPr="00DB7074">
        <w:rPr>
          <w:rFonts w:ascii="Book Antiqua" w:hAnsi="Book Antiqua"/>
          <w:sz w:val="24"/>
          <w:szCs w:val="24"/>
        </w:rPr>
        <w:t>evidence</w:t>
      </w:r>
      <w:r w:rsidRPr="00DB7074">
        <w:rPr>
          <w:rFonts w:ascii="Book Antiqua" w:hAnsi="Book Antiqua"/>
          <w:sz w:val="24"/>
          <w:szCs w:val="24"/>
        </w:rPr>
        <w:t xml:space="preserve"> suggest</w:t>
      </w:r>
      <w:r w:rsidR="00C87FD5" w:rsidRPr="00DB7074">
        <w:rPr>
          <w:rFonts w:ascii="Book Antiqua" w:hAnsi="Book Antiqua"/>
          <w:sz w:val="24"/>
          <w:szCs w:val="24"/>
        </w:rPr>
        <w:t>s</w:t>
      </w:r>
      <w:r w:rsidRPr="00DB7074">
        <w:rPr>
          <w:rFonts w:ascii="Book Antiqua" w:hAnsi="Book Antiqua"/>
          <w:sz w:val="24"/>
          <w:szCs w:val="24"/>
        </w:rPr>
        <w:t xml:space="preserve"> that </w:t>
      </w:r>
      <w:r w:rsidR="00256277" w:rsidRPr="00DB7074">
        <w:rPr>
          <w:rFonts w:ascii="Book Antiqua" w:hAnsi="Book Antiqua"/>
          <w:sz w:val="24"/>
          <w:szCs w:val="24"/>
        </w:rPr>
        <w:t xml:space="preserve">the </w:t>
      </w:r>
      <w:r w:rsidRPr="00DB7074">
        <w:rPr>
          <w:rFonts w:ascii="Book Antiqua" w:hAnsi="Book Antiqua"/>
          <w:sz w:val="24"/>
          <w:szCs w:val="24"/>
        </w:rPr>
        <w:t xml:space="preserve">intestinal microbiota is a key factor </w:t>
      </w:r>
      <w:r w:rsidR="00205EF9" w:rsidRPr="00DB7074">
        <w:rPr>
          <w:rFonts w:ascii="Book Antiqua" w:hAnsi="Book Antiqua"/>
          <w:sz w:val="24"/>
          <w:szCs w:val="24"/>
        </w:rPr>
        <w:t>associated with</w:t>
      </w:r>
      <w:r w:rsidRPr="00DB7074">
        <w:rPr>
          <w:rFonts w:ascii="Book Antiqua" w:hAnsi="Book Antiqua"/>
          <w:sz w:val="24"/>
          <w:szCs w:val="24"/>
        </w:rPr>
        <w:t xml:space="preserve"> carcinogenesis.</w:t>
      </w:r>
      <w:r w:rsidR="00CE0298">
        <w:rPr>
          <w:rFonts w:ascii="Book Antiqua" w:hAnsi="Book Antiqua" w:hint="eastAsia"/>
          <w:sz w:val="24"/>
          <w:szCs w:val="24"/>
          <w:lang w:eastAsia="zh-CN"/>
        </w:rPr>
        <w:t xml:space="preserve"> </w:t>
      </w:r>
      <w:r w:rsidRPr="00DB7074">
        <w:rPr>
          <w:rFonts w:ascii="Book Antiqua" w:hAnsi="Book Antiqua"/>
          <w:sz w:val="24"/>
          <w:szCs w:val="24"/>
        </w:rPr>
        <w:t xml:space="preserve">Many clinical studies have reported a disruption in the gut microbiota balance and </w:t>
      </w:r>
      <w:r w:rsidR="00B122EF" w:rsidRPr="00DB7074">
        <w:rPr>
          <w:rFonts w:ascii="Book Antiqua" w:hAnsi="Book Antiqua"/>
          <w:sz w:val="24"/>
          <w:szCs w:val="24"/>
        </w:rPr>
        <w:t>an alteration</w:t>
      </w:r>
      <w:r w:rsidR="00B152EE" w:rsidRPr="00DB7074">
        <w:rPr>
          <w:rFonts w:ascii="Book Antiqua" w:hAnsi="Book Antiqua"/>
          <w:sz w:val="24"/>
          <w:szCs w:val="24"/>
        </w:rPr>
        <w:t xml:space="preserve"> </w:t>
      </w:r>
      <w:r w:rsidRPr="00DB7074">
        <w:rPr>
          <w:rFonts w:ascii="Book Antiqua" w:hAnsi="Book Antiqua"/>
          <w:sz w:val="24"/>
          <w:szCs w:val="24"/>
        </w:rPr>
        <w:t xml:space="preserve">in the </w:t>
      </w:r>
      <w:r w:rsidR="00507882" w:rsidRPr="00DB7074">
        <w:rPr>
          <w:rFonts w:ascii="Book Antiqua" w:hAnsi="Book Antiqua"/>
          <w:sz w:val="24"/>
          <w:szCs w:val="24"/>
        </w:rPr>
        <w:t>faecal</w:t>
      </w:r>
      <w:r w:rsidRPr="00DB7074">
        <w:rPr>
          <w:rFonts w:ascii="Book Antiqua" w:hAnsi="Book Antiqua"/>
          <w:sz w:val="24"/>
          <w:szCs w:val="24"/>
        </w:rPr>
        <w:t xml:space="preserve"> metabolome </w:t>
      </w:r>
      <w:r w:rsidR="00B152EE" w:rsidRPr="00DB7074">
        <w:rPr>
          <w:rFonts w:ascii="Book Antiqua" w:hAnsi="Book Antiqua"/>
          <w:sz w:val="24"/>
          <w:szCs w:val="24"/>
        </w:rPr>
        <w:t>of</w:t>
      </w:r>
      <w:r w:rsidRPr="00DB7074">
        <w:rPr>
          <w:rFonts w:ascii="Book Antiqua" w:hAnsi="Book Antiqua"/>
          <w:sz w:val="24"/>
          <w:szCs w:val="24"/>
        </w:rPr>
        <w:t xml:space="preserve"> CRC</w:t>
      </w:r>
      <w:r w:rsidR="00B152EE" w:rsidRPr="00DB7074">
        <w:rPr>
          <w:rFonts w:ascii="Book Antiqua" w:hAnsi="Book Antiqua"/>
          <w:sz w:val="24"/>
          <w:szCs w:val="24"/>
        </w:rPr>
        <w:t xml:space="preserve"> patients</w:t>
      </w:r>
      <w:r w:rsidR="00C87FD5" w:rsidRPr="00DB7074">
        <w:rPr>
          <w:rFonts w:ascii="Book Antiqua" w:hAnsi="Book Antiqua"/>
          <w:sz w:val="24"/>
          <w:szCs w:val="24"/>
        </w:rPr>
        <w:t>,</w:t>
      </w:r>
      <w:r w:rsidRPr="00DB7074">
        <w:rPr>
          <w:rFonts w:ascii="Book Antiqua" w:hAnsi="Book Antiqua"/>
          <w:sz w:val="24"/>
          <w:szCs w:val="24"/>
        </w:rPr>
        <w:t xml:space="preserve"> suggesting the potential use of </w:t>
      </w:r>
      <w:r w:rsidR="00C87FD5" w:rsidRPr="00DB7074">
        <w:rPr>
          <w:rFonts w:ascii="Book Antiqua" w:hAnsi="Book Antiqua"/>
          <w:sz w:val="24"/>
          <w:szCs w:val="24"/>
        </w:rPr>
        <w:t xml:space="preserve">a </w:t>
      </w:r>
      <w:r w:rsidR="00B152EE" w:rsidRPr="00DB7074">
        <w:rPr>
          <w:rFonts w:ascii="Book Antiqua" w:hAnsi="Book Antiqua"/>
          <w:sz w:val="24"/>
          <w:szCs w:val="24"/>
        </w:rPr>
        <w:t>microbial-based test</w:t>
      </w:r>
      <w:r w:rsidRPr="00DB7074">
        <w:rPr>
          <w:rFonts w:ascii="Book Antiqua" w:hAnsi="Book Antiqua"/>
          <w:sz w:val="24"/>
          <w:szCs w:val="24"/>
        </w:rPr>
        <w:t xml:space="preserve"> as a non-invasive diagnostic and/or prognos</w:t>
      </w:r>
      <w:r w:rsidR="00C87FD5" w:rsidRPr="00DB7074">
        <w:rPr>
          <w:rFonts w:ascii="Book Antiqua" w:hAnsi="Book Antiqua"/>
          <w:sz w:val="24"/>
          <w:szCs w:val="24"/>
        </w:rPr>
        <w:t>tic</w:t>
      </w:r>
      <w:r w:rsidRPr="00DB7074">
        <w:rPr>
          <w:rFonts w:ascii="Book Antiqua" w:hAnsi="Book Antiqua"/>
          <w:sz w:val="24"/>
          <w:szCs w:val="24"/>
        </w:rPr>
        <w:t xml:space="preserve"> tool for CRC screening. This review aims </w:t>
      </w:r>
      <w:r w:rsidR="00C87FD5" w:rsidRPr="00DB7074">
        <w:rPr>
          <w:rFonts w:ascii="Book Antiqua" w:hAnsi="Book Antiqua"/>
          <w:sz w:val="24"/>
          <w:szCs w:val="24"/>
        </w:rPr>
        <w:t xml:space="preserve">to discuss </w:t>
      </w:r>
      <w:r w:rsidR="00B152EE" w:rsidRPr="00DB7074">
        <w:rPr>
          <w:rFonts w:ascii="Book Antiqua" w:hAnsi="Book Antiqua"/>
          <w:sz w:val="24"/>
          <w:szCs w:val="24"/>
        </w:rPr>
        <w:t xml:space="preserve">the microbial signatures associated with CRC known to date, including dysbiosis and </w:t>
      </w:r>
      <w:r w:rsidR="00B122EF" w:rsidRPr="00DB7074">
        <w:rPr>
          <w:rFonts w:ascii="Book Antiqua" w:hAnsi="Book Antiqua"/>
          <w:sz w:val="24"/>
          <w:szCs w:val="24"/>
        </w:rPr>
        <w:t xml:space="preserve">faecal </w:t>
      </w:r>
      <w:r w:rsidR="00B152EE" w:rsidRPr="00DB7074">
        <w:rPr>
          <w:rFonts w:ascii="Book Antiqua" w:hAnsi="Book Antiqua"/>
          <w:sz w:val="24"/>
          <w:szCs w:val="24"/>
        </w:rPr>
        <w:t>metabolome alterations</w:t>
      </w:r>
      <w:r w:rsidR="00B122EF" w:rsidRPr="00DB7074">
        <w:rPr>
          <w:rFonts w:ascii="Book Antiqua" w:hAnsi="Book Antiqua"/>
          <w:sz w:val="24"/>
          <w:szCs w:val="24"/>
        </w:rPr>
        <w:t xml:space="preserve">, and the potential use of </w:t>
      </w:r>
      <w:r w:rsidRPr="00DB7074">
        <w:rPr>
          <w:rFonts w:ascii="Book Antiqua" w:hAnsi="Book Antiqua"/>
          <w:sz w:val="24"/>
          <w:szCs w:val="24"/>
        </w:rPr>
        <w:t xml:space="preserve">microbial variation </w:t>
      </w:r>
      <w:r w:rsidR="00B122EF" w:rsidRPr="00DB7074">
        <w:rPr>
          <w:rFonts w:ascii="Book Antiqua" w:hAnsi="Book Antiqua"/>
          <w:sz w:val="24"/>
          <w:szCs w:val="24"/>
        </w:rPr>
        <w:t xml:space="preserve">markers </w:t>
      </w:r>
      <w:r w:rsidRPr="00DB7074">
        <w:rPr>
          <w:rFonts w:ascii="Book Antiqua" w:hAnsi="Book Antiqua"/>
          <w:sz w:val="24"/>
          <w:szCs w:val="24"/>
        </w:rPr>
        <w:t>for non-invasive early diagnosis and/or prognos</w:t>
      </w:r>
      <w:r w:rsidR="00C87FD5" w:rsidRPr="00DB7074">
        <w:rPr>
          <w:rFonts w:ascii="Book Antiqua" w:hAnsi="Book Antiqua"/>
          <w:sz w:val="24"/>
          <w:szCs w:val="24"/>
        </w:rPr>
        <w:t>tic assessment</w:t>
      </w:r>
      <w:r w:rsidR="003659CA" w:rsidRPr="00DB7074">
        <w:rPr>
          <w:rFonts w:ascii="Book Antiqua" w:hAnsi="Book Antiqua"/>
          <w:sz w:val="24"/>
          <w:szCs w:val="24"/>
        </w:rPr>
        <w:t xml:space="preserve"> of CRC and advanced adenomas.</w:t>
      </w:r>
      <w:r w:rsidR="00B122EF" w:rsidRPr="00DB7074">
        <w:rPr>
          <w:rFonts w:ascii="Book Antiqua" w:hAnsi="Book Antiqua"/>
          <w:sz w:val="24"/>
          <w:szCs w:val="24"/>
        </w:rPr>
        <w:t xml:space="preserve"> We will finally discuss the possible use of these markers as predicators for treatment response and their limitations.</w:t>
      </w:r>
    </w:p>
    <w:p w14:paraId="33B1A6DE" w14:textId="77777777" w:rsidR="003659CA" w:rsidRPr="00DB7074" w:rsidRDefault="003659CA" w:rsidP="00DB7074">
      <w:pPr>
        <w:snapToGrid w:val="0"/>
        <w:spacing w:after="0" w:line="360" w:lineRule="auto"/>
        <w:jc w:val="both"/>
        <w:rPr>
          <w:rFonts w:ascii="Book Antiqua" w:hAnsi="Book Antiqua"/>
          <w:sz w:val="24"/>
          <w:szCs w:val="24"/>
        </w:rPr>
      </w:pPr>
    </w:p>
    <w:p w14:paraId="0AE43045" w14:textId="3D1A4C8B" w:rsidR="00031EBA" w:rsidRPr="00DB7074" w:rsidRDefault="00031EBA" w:rsidP="00DB7074">
      <w:pPr>
        <w:snapToGrid w:val="0"/>
        <w:spacing w:after="0" w:line="360" w:lineRule="auto"/>
        <w:jc w:val="both"/>
        <w:rPr>
          <w:rFonts w:ascii="Book Antiqua" w:hAnsi="Book Antiqua"/>
          <w:sz w:val="24"/>
          <w:szCs w:val="24"/>
          <w:lang w:val="en-US" w:eastAsia="zh-CN"/>
        </w:rPr>
      </w:pPr>
      <w:r w:rsidRPr="00DB7074">
        <w:rPr>
          <w:rFonts w:ascii="Book Antiqua" w:hAnsi="Book Antiqua"/>
          <w:b/>
          <w:sz w:val="24"/>
          <w:szCs w:val="24"/>
          <w:lang w:val="en-US"/>
        </w:rPr>
        <w:t>Key</w:t>
      </w:r>
      <w:r w:rsidR="00CE0298">
        <w:rPr>
          <w:rFonts w:ascii="Book Antiqua" w:hAnsi="Book Antiqua" w:hint="eastAsia"/>
          <w:b/>
          <w:sz w:val="24"/>
          <w:szCs w:val="24"/>
          <w:lang w:val="en-US" w:eastAsia="zh-CN"/>
        </w:rPr>
        <w:t xml:space="preserve"> </w:t>
      </w:r>
      <w:r w:rsidRPr="00DB7074">
        <w:rPr>
          <w:rFonts w:ascii="Book Antiqua" w:hAnsi="Book Antiqua"/>
          <w:b/>
          <w:sz w:val="24"/>
          <w:szCs w:val="24"/>
          <w:lang w:val="en-US"/>
        </w:rPr>
        <w:t>words:</w:t>
      </w:r>
      <w:r w:rsidRPr="00DB7074">
        <w:rPr>
          <w:rFonts w:ascii="Book Antiqua" w:hAnsi="Book Antiqua"/>
          <w:sz w:val="24"/>
          <w:szCs w:val="24"/>
          <w:lang w:val="en-US"/>
        </w:rPr>
        <w:t xml:space="preserve"> Colorectal cancer</w:t>
      </w:r>
      <w:r w:rsidR="00CE0298">
        <w:rPr>
          <w:rFonts w:ascii="Book Antiqua" w:hAnsi="Book Antiqua" w:hint="eastAsia"/>
          <w:sz w:val="24"/>
          <w:szCs w:val="24"/>
          <w:lang w:val="en-US" w:eastAsia="zh-CN"/>
        </w:rPr>
        <w:t>;</w:t>
      </w:r>
      <w:r w:rsidRPr="00DB7074">
        <w:rPr>
          <w:rFonts w:ascii="Book Antiqua" w:hAnsi="Book Antiqua"/>
          <w:sz w:val="24"/>
          <w:szCs w:val="24"/>
          <w:lang w:val="en-US"/>
        </w:rPr>
        <w:t xml:space="preserve"> </w:t>
      </w:r>
      <w:r w:rsidRPr="00CE0298">
        <w:rPr>
          <w:rFonts w:ascii="Book Antiqua" w:hAnsi="Book Antiqua"/>
          <w:caps/>
          <w:sz w:val="24"/>
          <w:szCs w:val="24"/>
          <w:lang w:val="en-US"/>
        </w:rPr>
        <w:t>m</w:t>
      </w:r>
      <w:r w:rsidRPr="00DB7074">
        <w:rPr>
          <w:rFonts w:ascii="Book Antiqua" w:hAnsi="Book Antiqua"/>
          <w:sz w:val="24"/>
          <w:szCs w:val="24"/>
          <w:lang w:val="en-US"/>
        </w:rPr>
        <w:t>icrobiota</w:t>
      </w:r>
      <w:r w:rsidR="00341EF8">
        <w:rPr>
          <w:rFonts w:ascii="Book Antiqua" w:hAnsi="Book Antiqua" w:hint="eastAsia"/>
          <w:sz w:val="24"/>
          <w:szCs w:val="24"/>
          <w:lang w:val="en-US" w:eastAsia="zh-CN"/>
        </w:rPr>
        <w:t>;</w:t>
      </w:r>
      <w:r w:rsidRPr="00DB7074">
        <w:rPr>
          <w:rFonts w:ascii="Book Antiqua" w:hAnsi="Book Antiqua"/>
          <w:sz w:val="24"/>
          <w:szCs w:val="24"/>
          <w:lang w:val="en-US"/>
        </w:rPr>
        <w:t xml:space="preserve"> </w:t>
      </w:r>
      <w:r w:rsidRPr="00DB7074">
        <w:rPr>
          <w:rFonts w:ascii="Book Antiqua" w:hAnsi="Book Antiqua"/>
          <w:i/>
          <w:sz w:val="24"/>
          <w:szCs w:val="24"/>
          <w:lang w:val="en-US"/>
        </w:rPr>
        <w:t>F.</w:t>
      </w:r>
      <w:r w:rsidR="00CE0298">
        <w:rPr>
          <w:rFonts w:ascii="Book Antiqua" w:hAnsi="Book Antiqua" w:hint="eastAsia"/>
          <w:i/>
          <w:sz w:val="24"/>
          <w:szCs w:val="24"/>
          <w:lang w:val="en-US" w:eastAsia="zh-CN"/>
        </w:rPr>
        <w:t xml:space="preserve"> </w:t>
      </w:r>
      <w:r w:rsidRPr="00DB7074">
        <w:rPr>
          <w:rFonts w:ascii="Book Antiqua" w:hAnsi="Book Antiqua"/>
          <w:i/>
          <w:sz w:val="24"/>
          <w:szCs w:val="24"/>
          <w:lang w:val="en-US"/>
        </w:rPr>
        <w:t>nucleatum</w:t>
      </w:r>
      <w:r w:rsidR="00CE0298" w:rsidRPr="00CE0298">
        <w:rPr>
          <w:rFonts w:ascii="Book Antiqua" w:hAnsi="Book Antiqua" w:hint="eastAsia"/>
          <w:sz w:val="24"/>
          <w:szCs w:val="24"/>
          <w:lang w:val="en-US" w:eastAsia="zh-CN"/>
        </w:rPr>
        <w:t>;</w:t>
      </w:r>
      <w:r w:rsidRPr="00DB7074">
        <w:rPr>
          <w:rFonts w:ascii="Book Antiqua" w:hAnsi="Book Antiqua"/>
          <w:sz w:val="24"/>
          <w:szCs w:val="24"/>
          <w:lang w:val="en-US"/>
        </w:rPr>
        <w:t xml:space="preserve"> Colibactin-producing </w:t>
      </w:r>
      <w:r w:rsidRPr="00DB7074">
        <w:rPr>
          <w:rFonts w:ascii="Book Antiqua" w:hAnsi="Book Antiqua"/>
          <w:i/>
          <w:sz w:val="24"/>
          <w:szCs w:val="24"/>
          <w:lang w:val="en-US"/>
        </w:rPr>
        <w:t>E.</w:t>
      </w:r>
      <w:r w:rsidR="00CE0298">
        <w:rPr>
          <w:rFonts w:ascii="Book Antiqua" w:hAnsi="Book Antiqua" w:hint="eastAsia"/>
          <w:i/>
          <w:sz w:val="24"/>
          <w:szCs w:val="24"/>
          <w:lang w:val="en-US" w:eastAsia="zh-CN"/>
        </w:rPr>
        <w:t xml:space="preserve"> </w:t>
      </w:r>
      <w:r w:rsidRPr="00DB7074">
        <w:rPr>
          <w:rFonts w:ascii="Book Antiqua" w:hAnsi="Book Antiqua"/>
          <w:i/>
          <w:sz w:val="24"/>
          <w:szCs w:val="24"/>
          <w:lang w:val="en-US"/>
        </w:rPr>
        <w:t>coli</w:t>
      </w:r>
      <w:r w:rsidR="00CE0298">
        <w:rPr>
          <w:rFonts w:ascii="Book Antiqua" w:hAnsi="Book Antiqua" w:hint="eastAsia"/>
          <w:sz w:val="24"/>
          <w:szCs w:val="24"/>
          <w:lang w:val="en-US" w:eastAsia="zh-CN"/>
        </w:rPr>
        <w:t>;</w:t>
      </w:r>
      <w:r w:rsidRPr="00DB7074">
        <w:rPr>
          <w:rFonts w:ascii="Book Antiqua" w:hAnsi="Book Antiqua"/>
          <w:sz w:val="24"/>
          <w:szCs w:val="24"/>
          <w:lang w:val="en-US"/>
        </w:rPr>
        <w:t xml:space="preserve"> </w:t>
      </w:r>
      <w:r w:rsidRPr="00CE0298">
        <w:rPr>
          <w:rFonts w:ascii="Book Antiqua" w:hAnsi="Book Antiqua"/>
          <w:caps/>
          <w:sz w:val="24"/>
          <w:szCs w:val="24"/>
          <w:lang w:val="en-US"/>
        </w:rPr>
        <w:t>p</w:t>
      </w:r>
      <w:r w:rsidRPr="00DB7074">
        <w:rPr>
          <w:rFonts w:ascii="Book Antiqua" w:hAnsi="Book Antiqua"/>
          <w:sz w:val="24"/>
          <w:szCs w:val="24"/>
          <w:lang w:val="en-US"/>
        </w:rPr>
        <w:t>rognos</w:t>
      </w:r>
      <w:r w:rsidR="00D85940" w:rsidRPr="00DB7074">
        <w:rPr>
          <w:rFonts w:ascii="Book Antiqua" w:hAnsi="Book Antiqua"/>
          <w:sz w:val="24"/>
          <w:szCs w:val="24"/>
          <w:lang w:val="en-US"/>
        </w:rPr>
        <w:t>tic</w:t>
      </w:r>
      <w:r w:rsidRPr="00DB7074">
        <w:rPr>
          <w:rFonts w:ascii="Book Antiqua" w:hAnsi="Book Antiqua"/>
          <w:sz w:val="24"/>
          <w:szCs w:val="24"/>
          <w:lang w:val="en-US"/>
        </w:rPr>
        <w:t xml:space="preserve"> markers</w:t>
      </w:r>
      <w:r w:rsidR="00CE0298">
        <w:rPr>
          <w:rFonts w:ascii="Book Antiqua" w:hAnsi="Book Antiqua" w:hint="eastAsia"/>
          <w:sz w:val="24"/>
          <w:szCs w:val="24"/>
          <w:lang w:val="en-US" w:eastAsia="zh-CN"/>
        </w:rPr>
        <w:t>;</w:t>
      </w:r>
      <w:r w:rsidRPr="00DB7074">
        <w:rPr>
          <w:rFonts w:ascii="Book Antiqua" w:hAnsi="Book Antiqua"/>
          <w:sz w:val="24"/>
          <w:szCs w:val="24"/>
          <w:lang w:val="en-US"/>
        </w:rPr>
        <w:t xml:space="preserve"> </w:t>
      </w:r>
      <w:r w:rsidRPr="00CE0298">
        <w:rPr>
          <w:rFonts w:ascii="Book Antiqua" w:hAnsi="Book Antiqua"/>
          <w:caps/>
          <w:sz w:val="24"/>
          <w:szCs w:val="24"/>
          <w:lang w:val="en-US"/>
        </w:rPr>
        <w:t>d</w:t>
      </w:r>
      <w:r w:rsidRPr="00DB7074">
        <w:rPr>
          <w:rFonts w:ascii="Book Antiqua" w:hAnsi="Book Antiqua"/>
          <w:sz w:val="24"/>
          <w:szCs w:val="24"/>
          <w:lang w:val="en-US"/>
        </w:rPr>
        <w:t>iagnostic markers</w:t>
      </w:r>
      <w:r w:rsidR="00CE0298">
        <w:rPr>
          <w:rFonts w:ascii="Book Antiqua" w:hAnsi="Book Antiqua" w:hint="eastAsia"/>
          <w:sz w:val="24"/>
          <w:szCs w:val="24"/>
          <w:lang w:val="en-US" w:eastAsia="zh-CN"/>
        </w:rPr>
        <w:t xml:space="preserve">; </w:t>
      </w:r>
      <w:r w:rsidRPr="00CE0298">
        <w:rPr>
          <w:rFonts w:ascii="Book Antiqua" w:hAnsi="Book Antiqua"/>
          <w:caps/>
          <w:sz w:val="24"/>
          <w:szCs w:val="24"/>
          <w:lang w:val="en-US"/>
        </w:rPr>
        <w:t>d</w:t>
      </w:r>
      <w:r w:rsidR="00CE0298">
        <w:rPr>
          <w:rFonts w:ascii="Book Antiqua" w:hAnsi="Book Antiqua"/>
          <w:sz w:val="24"/>
          <w:szCs w:val="24"/>
          <w:lang w:val="en-US"/>
        </w:rPr>
        <w:t>ysbiosis</w:t>
      </w:r>
    </w:p>
    <w:p w14:paraId="2A333D0A" w14:textId="77777777" w:rsidR="00031EBA" w:rsidRDefault="00031EBA" w:rsidP="00DB7074">
      <w:pPr>
        <w:snapToGrid w:val="0"/>
        <w:spacing w:after="0" w:line="360" w:lineRule="auto"/>
        <w:jc w:val="both"/>
        <w:rPr>
          <w:rFonts w:ascii="Book Antiqua" w:hAnsi="Book Antiqua"/>
          <w:b/>
          <w:sz w:val="24"/>
          <w:szCs w:val="24"/>
          <w:lang w:eastAsia="zh-CN"/>
        </w:rPr>
      </w:pPr>
    </w:p>
    <w:p w14:paraId="7C6BEF89" w14:textId="77777777" w:rsidR="005D5F25" w:rsidRPr="005D5F25" w:rsidRDefault="005D5F25" w:rsidP="005D5F25">
      <w:pPr>
        <w:adjustRightInd w:val="0"/>
        <w:snapToGrid w:val="0"/>
        <w:spacing w:after="0" w:line="360" w:lineRule="auto"/>
        <w:jc w:val="both"/>
        <w:rPr>
          <w:rFonts w:ascii="Book Antiqua" w:eastAsia="SimSun" w:hAnsi="Book Antiqua" w:cs="SimSun"/>
          <w:sz w:val="24"/>
          <w:szCs w:val="24"/>
          <w:lang w:val="en-US" w:eastAsia="zh-CN"/>
        </w:rPr>
      </w:pPr>
      <w:bookmarkStart w:id="61" w:name="OLE_LINK363"/>
      <w:bookmarkStart w:id="62" w:name="OLE_LINK364"/>
      <w:bookmarkStart w:id="63" w:name="OLE_LINK359"/>
      <w:bookmarkStart w:id="64" w:name="OLE_LINK1037"/>
      <w:bookmarkStart w:id="65" w:name="OLE_LINK1195"/>
      <w:bookmarkStart w:id="66" w:name="OLE_LINK1140"/>
      <w:bookmarkStart w:id="67" w:name="OLE_LINK1062"/>
      <w:bookmarkStart w:id="68" w:name="OLE_LINK500"/>
      <w:bookmarkStart w:id="69" w:name="OLE_LINK916"/>
      <w:bookmarkStart w:id="70" w:name="OLE_LINK956"/>
      <w:bookmarkStart w:id="71" w:name="OLE_LINK994"/>
      <w:r w:rsidRPr="005D5F25">
        <w:rPr>
          <w:rFonts w:ascii="Book Antiqua" w:eastAsia="SimSun" w:hAnsi="Book Antiqua" w:cs="SimSun" w:hint="eastAsia"/>
          <w:b/>
          <w:sz w:val="24"/>
          <w:szCs w:val="24"/>
          <w:lang w:val="en-US" w:eastAsia="zh-CN"/>
        </w:rPr>
        <w:t>©</w:t>
      </w:r>
      <w:r w:rsidRPr="005D5F25">
        <w:rPr>
          <w:rFonts w:ascii="Book Antiqua" w:eastAsia="SimSun" w:hAnsi="Book Antiqua" w:cs="SimSun"/>
          <w:b/>
          <w:sz w:val="24"/>
          <w:szCs w:val="24"/>
          <w:lang w:val="en-US" w:eastAsia="zh-CN"/>
        </w:rPr>
        <w:t xml:space="preserve"> The Author(s) 201</w:t>
      </w:r>
      <w:r w:rsidRPr="005D5F25">
        <w:rPr>
          <w:rFonts w:ascii="Book Antiqua" w:eastAsia="SimSun" w:hAnsi="Book Antiqua" w:cs="SimSun" w:hint="eastAsia"/>
          <w:b/>
          <w:sz w:val="24"/>
          <w:szCs w:val="24"/>
          <w:lang w:val="en-US" w:eastAsia="zh-CN"/>
        </w:rPr>
        <w:t>8</w:t>
      </w:r>
      <w:r w:rsidRPr="005D5F25">
        <w:rPr>
          <w:rFonts w:ascii="Book Antiqua" w:eastAsia="SimSun" w:hAnsi="Book Antiqua" w:cs="SimSun"/>
          <w:b/>
          <w:sz w:val="24"/>
          <w:szCs w:val="24"/>
          <w:lang w:val="en-US" w:eastAsia="zh-CN"/>
        </w:rPr>
        <w:t>.</w:t>
      </w:r>
      <w:r w:rsidRPr="005D5F25">
        <w:rPr>
          <w:rFonts w:ascii="Book Antiqua" w:eastAsia="SimSun" w:hAnsi="Book Antiqua" w:cs="SimSun"/>
          <w:sz w:val="24"/>
          <w:szCs w:val="24"/>
          <w:lang w:val="en-US" w:eastAsia="zh-CN"/>
        </w:rPr>
        <w:t xml:space="preserve"> Published by Baishideng Publishing Group Inc. All rights reserved.</w:t>
      </w:r>
    </w:p>
    <w:bookmarkEnd w:id="61"/>
    <w:bookmarkEnd w:id="62"/>
    <w:bookmarkEnd w:id="63"/>
    <w:bookmarkEnd w:id="64"/>
    <w:bookmarkEnd w:id="65"/>
    <w:bookmarkEnd w:id="66"/>
    <w:bookmarkEnd w:id="67"/>
    <w:bookmarkEnd w:id="68"/>
    <w:bookmarkEnd w:id="69"/>
    <w:bookmarkEnd w:id="70"/>
    <w:bookmarkEnd w:id="71"/>
    <w:p w14:paraId="4C6E5558" w14:textId="77777777" w:rsidR="005D5F25" w:rsidRPr="00DB7074" w:rsidRDefault="005D5F25" w:rsidP="00DB7074">
      <w:pPr>
        <w:snapToGrid w:val="0"/>
        <w:spacing w:after="0" w:line="360" w:lineRule="auto"/>
        <w:jc w:val="both"/>
        <w:rPr>
          <w:rFonts w:ascii="Book Antiqua" w:hAnsi="Book Antiqua"/>
          <w:b/>
          <w:sz w:val="24"/>
          <w:szCs w:val="24"/>
          <w:lang w:eastAsia="zh-CN"/>
        </w:rPr>
      </w:pPr>
    </w:p>
    <w:p w14:paraId="05CA0988" w14:textId="566BC4BA" w:rsidR="00D60084" w:rsidRPr="005D5F25" w:rsidRDefault="0046161A" w:rsidP="005D5F25">
      <w:pPr>
        <w:snapToGrid w:val="0"/>
        <w:spacing w:after="0" w:line="360" w:lineRule="auto"/>
        <w:jc w:val="both"/>
        <w:rPr>
          <w:rFonts w:ascii="Book Antiqua" w:hAnsi="Book Antiqua"/>
          <w:b/>
          <w:sz w:val="24"/>
          <w:szCs w:val="24"/>
          <w:lang w:eastAsia="zh-CN"/>
        </w:rPr>
      </w:pPr>
      <w:r>
        <w:rPr>
          <w:rFonts w:ascii="Book Antiqua" w:hAnsi="Book Antiqua"/>
          <w:b/>
          <w:sz w:val="24"/>
          <w:szCs w:val="24"/>
        </w:rPr>
        <w:t>Core tip</w:t>
      </w:r>
      <w:r w:rsidR="005D5F25">
        <w:rPr>
          <w:rFonts w:ascii="Book Antiqua" w:hAnsi="Book Antiqua" w:hint="eastAsia"/>
          <w:b/>
          <w:sz w:val="24"/>
          <w:szCs w:val="24"/>
          <w:lang w:eastAsia="zh-CN"/>
        </w:rPr>
        <w:t xml:space="preserve">: </w:t>
      </w:r>
      <w:r w:rsidR="00D60084" w:rsidRPr="00DB7074">
        <w:rPr>
          <w:rFonts w:ascii="Book Antiqua" w:hAnsi="Book Antiqua"/>
          <w:sz w:val="24"/>
          <w:szCs w:val="24"/>
        </w:rPr>
        <w:t xml:space="preserve">Many clinical studies have reported a disruption in the gut microbiota balance and in the </w:t>
      </w:r>
      <w:r w:rsidR="00507882" w:rsidRPr="00DB7074">
        <w:rPr>
          <w:rFonts w:ascii="Book Antiqua" w:hAnsi="Book Antiqua"/>
          <w:sz w:val="24"/>
          <w:szCs w:val="24"/>
        </w:rPr>
        <w:t>faecal</w:t>
      </w:r>
      <w:r w:rsidR="00D60084" w:rsidRPr="00DB7074">
        <w:rPr>
          <w:rFonts w:ascii="Book Antiqua" w:hAnsi="Book Antiqua"/>
          <w:sz w:val="24"/>
          <w:szCs w:val="24"/>
        </w:rPr>
        <w:t xml:space="preserve"> metabolome </w:t>
      </w:r>
      <w:r w:rsidR="00C87FD5" w:rsidRPr="00DB7074">
        <w:rPr>
          <w:rFonts w:ascii="Book Antiqua" w:hAnsi="Book Antiqua"/>
          <w:sz w:val="24"/>
          <w:szCs w:val="24"/>
        </w:rPr>
        <w:t>in</w:t>
      </w:r>
      <w:r w:rsidR="00D60084" w:rsidRPr="00DB7074">
        <w:rPr>
          <w:rFonts w:ascii="Book Antiqua" w:hAnsi="Book Antiqua"/>
          <w:sz w:val="24"/>
          <w:szCs w:val="24"/>
        </w:rPr>
        <w:t xml:space="preserve"> colorectal cancer. </w:t>
      </w:r>
      <w:r w:rsidR="00D60084" w:rsidRPr="00DB7074">
        <w:rPr>
          <w:rFonts w:ascii="Book Antiqua" w:hAnsi="Book Antiqua" w:cs="Tahoma"/>
          <w:sz w:val="24"/>
          <w:szCs w:val="24"/>
        </w:rPr>
        <w:t>In this review, we describe the modification</w:t>
      </w:r>
      <w:r w:rsidR="00C87FD5" w:rsidRPr="00DB7074">
        <w:rPr>
          <w:rFonts w:ascii="Book Antiqua" w:hAnsi="Book Antiqua" w:cs="Tahoma"/>
          <w:sz w:val="24"/>
          <w:szCs w:val="24"/>
        </w:rPr>
        <w:t>s</w:t>
      </w:r>
      <w:r w:rsidR="00D60084" w:rsidRPr="00DB7074">
        <w:rPr>
          <w:rFonts w:ascii="Book Antiqua" w:hAnsi="Book Antiqua" w:cs="Tahoma"/>
          <w:sz w:val="24"/>
          <w:szCs w:val="24"/>
        </w:rPr>
        <w:t xml:space="preserve"> </w:t>
      </w:r>
      <w:r w:rsidR="00C87FD5" w:rsidRPr="00DB7074">
        <w:rPr>
          <w:rFonts w:ascii="Book Antiqua" w:hAnsi="Book Antiqua" w:cs="Tahoma"/>
          <w:sz w:val="24"/>
          <w:szCs w:val="24"/>
        </w:rPr>
        <w:t>in</w:t>
      </w:r>
      <w:r w:rsidR="00D60084" w:rsidRPr="00DB7074">
        <w:rPr>
          <w:rFonts w:ascii="Book Antiqua" w:hAnsi="Book Antiqua" w:cs="Tahoma"/>
          <w:sz w:val="24"/>
          <w:szCs w:val="24"/>
        </w:rPr>
        <w:t xml:space="preserve"> the microbiota composition and metabolome observed in </w:t>
      </w:r>
      <w:r w:rsidR="005B70B5" w:rsidRPr="005B70B5">
        <w:rPr>
          <w:rFonts w:ascii="Book Antiqua" w:hAnsi="Book Antiqua" w:cs="Tahoma"/>
          <w:sz w:val="24"/>
          <w:szCs w:val="24"/>
        </w:rPr>
        <w:t>colorectal cancer (CRC)</w:t>
      </w:r>
      <w:r w:rsidR="005B70B5">
        <w:rPr>
          <w:rFonts w:ascii="Book Antiqua" w:hAnsi="Book Antiqua" w:cs="Tahoma" w:hint="eastAsia"/>
          <w:sz w:val="24"/>
          <w:szCs w:val="24"/>
          <w:lang w:eastAsia="zh-CN"/>
        </w:rPr>
        <w:t xml:space="preserve"> </w:t>
      </w:r>
      <w:r w:rsidR="00D60084" w:rsidRPr="00DB7074">
        <w:rPr>
          <w:rFonts w:ascii="Book Antiqua" w:hAnsi="Book Antiqua" w:cs="Tahoma"/>
          <w:sz w:val="24"/>
          <w:szCs w:val="24"/>
        </w:rPr>
        <w:t>tissue and stool</w:t>
      </w:r>
      <w:r w:rsidR="00834B3A" w:rsidRPr="00DB7074">
        <w:rPr>
          <w:rFonts w:ascii="Book Antiqua" w:hAnsi="Book Antiqua" w:cs="Tahoma"/>
          <w:sz w:val="24"/>
          <w:szCs w:val="24"/>
        </w:rPr>
        <w:t xml:space="preserve"> samples</w:t>
      </w:r>
      <w:r w:rsidR="00D60084" w:rsidRPr="00DB7074">
        <w:rPr>
          <w:rFonts w:ascii="Book Antiqua" w:hAnsi="Book Antiqua" w:cs="Tahoma"/>
          <w:sz w:val="24"/>
          <w:szCs w:val="24"/>
        </w:rPr>
        <w:t xml:space="preserve">. </w:t>
      </w:r>
      <w:r w:rsidR="00507882" w:rsidRPr="00DB7074">
        <w:rPr>
          <w:rFonts w:ascii="Book Antiqua" w:hAnsi="Book Antiqua" w:cs="Tahoma"/>
          <w:sz w:val="24"/>
          <w:szCs w:val="24"/>
        </w:rPr>
        <w:t xml:space="preserve">Then, </w:t>
      </w:r>
      <w:r w:rsidR="00D60084" w:rsidRPr="00DB7074">
        <w:rPr>
          <w:rFonts w:ascii="Book Antiqua" w:hAnsi="Book Antiqua" w:cs="Tahoma"/>
          <w:sz w:val="24"/>
          <w:szCs w:val="24"/>
        </w:rPr>
        <w:t xml:space="preserve">we detail how these </w:t>
      </w:r>
      <w:r w:rsidR="00D60084" w:rsidRPr="00DB7074">
        <w:rPr>
          <w:rFonts w:ascii="Book Antiqua" w:hAnsi="Book Antiqua" w:cs="Tahoma"/>
          <w:sz w:val="24"/>
          <w:szCs w:val="24"/>
        </w:rPr>
        <w:lastRenderedPageBreak/>
        <w:t>microbiota modifications may represent novel and promising non-invasive diagnos</w:t>
      </w:r>
      <w:r w:rsidR="00834B3A" w:rsidRPr="00DB7074">
        <w:rPr>
          <w:rFonts w:ascii="Book Antiqua" w:hAnsi="Book Antiqua" w:cs="Tahoma"/>
          <w:sz w:val="24"/>
          <w:szCs w:val="24"/>
        </w:rPr>
        <w:t>tic</w:t>
      </w:r>
      <w:r w:rsidR="00D60084" w:rsidRPr="00DB7074">
        <w:rPr>
          <w:rFonts w:ascii="Book Antiqua" w:hAnsi="Book Antiqua" w:cs="Tahoma"/>
          <w:sz w:val="24"/>
          <w:szCs w:val="24"/>
        </w:rPr>
        <w:t xml:space="preserve"> and/or prognos</w:t>
      </w:r>
      <w:r w:rsidR="00834B3A" w:rsidRPr="00DB7074">
        <w:rPr>
          <w:rFonts w:ascii="Book Antiqua" w:hAnsi="Book Antiqua" w:cs="Tahoma"/>
          <w:sz w:val="24"/>
          <w:szCs w:val="24"/>
        </w:rPr>
        <w:t>tic</w:t>
      </w:r>
      <w:r w:rsidR="00D60084" w:rsidRPr="00DB7074">
        <w:rPr>
          <w:rFonts w:ascii="Book Antiqua" w:hAnsi="Book Antiqua" w:cs="Tahoma"/>
          <w:sz w:val="24"/>
          <w:szCs w:val="24"/>
        </w:rPr>
        <w:t xml:space="preserve"> markers </w:t>
      </w:r>
      <w:r w:rsidR="00834B3A" w:rsidRPr="00DB7074">
        <w:rPr>
          <w:rFonts w:ascii="Book Antiqua" w:hAnsi="Book Antiqua" w:cs="Tahoma"/>
          <w:sz w:val="24"/>
          <w:szCs w:val="24"/>
        </w:rPr>
        <w:t>for</w:t>
      </w:r>
      <w:r w:rsidR="00D60084" w:rsidRPr="00DB7074">
        <w:rPr>
          <w:rFonts w:ascii="Book Antiqua" w:hAnsi="Book Antiqua" w:cs="Tahoma"/>
          <w:sz w:val="24"/>
          <w:szCs w:val="24"/>
        </w:rPr>
        <w:t xml:space="preserve"> CRC and advanced adenoma.</w:t>
      </w:r>
    </w:p>
    <w:p w14:paraId="554F455A" w14:textId="77777777" w:rsidR="001B399F" w:rsidRPr="00DB7074" w:rsidRDefault="001B399F" w:rsidP="00DB7074">
      <w:pPr>
        <w:autoSpaceDE w:val="0"/>
        <w:autoSpaceDN w:val="0"/>
        <w:adjustRightInd w:val="0"/>
        <w:snapToGrid w:val="0"/>
        <w:spacing w:after="0" w:line="360" w:lineRule="auto"/>
        <w:jc w:val="both"/>
        <w:rPr>
          <w:rFonts w:ascii="Book Antiqua" w:hAnsi="Book Antiqua" w:cs="Tahoma"/>
          <w:sz w:val="24"/>
          <w:szCs w:val="24"/>
          <w:lang w:eastAsia="zh-CN"/>
        </w:rPr>
      </w:pPr>
    </w:p>
    <w:p w14:paraId="32A9D61F" w14:textId="20247245" w:rsidR="001B399F" w:rsidRPr="00DB7074" w:rsidRDefault="006514A8" w:rsidP="00DB7074">
      <w:pPr>
        <w:snapToGrid w:val="0"/>
        <w:spacing w:after="0" w:line="360" w:lineRule="auto"/>
        <w:jc w:val="both"/>
        <w:rPr>
          <w:rFonts w:ascii="Book Antiqua" w:hAnsi="Book Antiqua" w:cs="Times New Roman"/>
          <w:sz w:val="24"/>
          <w:szCs w:val="24"/>
        </w:rPr>
      </w:pPr>
      <w:bookmarkStart w:id="72" w:name="OLE_LINK286"/>
      <w:bookmarkStart w:id="73" w:name="OLE_LINK287"/>
      <w:bookmarkStart w:id="74" w:name="OLE_LINK310"/>
      <w:bookmarkStart w:id="75" w:name="OLE_LINK579"/>
      <w:bookmarkStart w:id="76" w:name="OLE_LINK712"/>
      <w:bookmarkStart w:id="77" w:name="OLE_LINK47"/>
      <w:bookmarkStart w:id="78" w:name="OLE_LINK48"/>
      <w:bookmarkStart w:id="79" w:name="OLE_LINK232"/>
      <w:bookmarkStart w:id="80" w:name="OLE_LINK233"/>
      <w:bookmarkStart w:id="81" w:name="OLE_LINK271"/>
      <w:bookmarkStart w:id="82" w:name="OLE_LINK311"/>
      <w:bookmarkStart w:id="83" w:name="OLE_LINK452"/>
      <w:bookmarkStart w:id="84" w:name="OLE_LINK753"/>
      <w:bookmarkStart w:id="85" w:name="OLE_LINK775"/>
      <w:bookmarkStart w:id="86" w:name="OLE_LINK892"/>
      <w:bookmarkStart w:id="87" w:name="OLE_LINK907"/>
      <w:bookmarkStart w:id="88" w:name="OLE_LINK924"/>
      <w:bookmarkStart w:id="89" w:name="OLE_LINK1016"/>
      <w:bookmarkStart w:id="90" w:name="OLE_LINK4"/>
      <w:bookmarkStart w:id="91" w:name="OLE_LINK70"/>
      <w:bookmarkStart w:id="92" w:name="OLE_LINK118"/>
      <w:bookmarkStart w:id="93" w:name="OLE_LINK145"/>
      <w:bookmarkStart w:id="94" w:name="OLE_LINK218"/>
      <w:bookmarkStart w:id="95" w:name="OLE_LINK520"/>
      <w:bookmarkStart w:id="96" w:name="OLE_LINK537"/>
      <w:bookmarkStart w:id="97" w:name="OLE_LINK598"/>
      <w:bookmarkStart w:id="98" w:name="OLE_LINK728"/>
      <w:bookmarkStart w:id="99" w:name="OLE_LINK745"/>
      <w:r>
        <w:rPr>
          <w:rFonts w:ascii="Book Antiqua" w:hAnsi="Book Antiqua"/>
          <w:sz w:val="24"/>
          <w:szCs w:val="24"/>
          <w:lang w:val="pl-PL"/>
        </w:rPr>
        <w:t>Villéger R,</w:t>
      </w:r>
      <w:r>
        <w:rPr>
          <w:rFonts w:ascii="Book Antiqua" w:hAnsi="Book Antiqua" w:hint="eastAsia"/>
          <w:sz w:val="24"/>
          <w:szCs w:val="24"/>
          <w:lang w:val="pl-PL" w:eastAsia="zh-CN"/>
        </w:rPr>
        <w:t xml:space="preserve"> </w:t>
      </w:r>
      <w:r>
        <w:rPr>
          <w:rFonts w:ascii="Book Antiqua" w:hAnsi="Book Antiqua"/>
          <w:sz w:val="24"/>
          <w:szCs w:val="24"/>
          <w:lang w:val="pl-PL"/>
        </w:rPr>
        <w:t>Lopès A</w:t>
      </w:r>
      <w:r w:rsidR="002D4BD9" w:rsidRPr="00DB7074">
        <w:rPr>
          <w:rFonts w:ascii="Book Antiqua" w:hAnsi="Book Antiqua"/>
          <w:sz w:val="24"/>
          <w:szCs w:val="24"/>
          <w:lang w:val="pl-PL"/>
        </w:rPr>
        <w:t>,</w:t>
      </w:r>
      <w:r>
        <w:rPr>
          <w:rFonts w:ascii="Book Antiqua" w:hAnsi="Book Antiqua" w:hint="eastAsia"/>
          <w:sz w:val="24"/>
          <w:szCs w:val="24"/>
          <w:lang w:val="pl-PL" w:eastAsia="zh-CN"/>
        </w:rPr>
        <w:t xml:space="preserve"> </w:t>
      </w:r>
      <w:r w:rsidR="002D4BD9" w:rsidRPr="00DB7074">
        <w:rPr>
          <w:rFonts w:ascii="Book Antiqua" w:hAnsi="Book Antiqua"/>
          <w:sz w:val="24"/>
          <w:szCs w:val="24"/>
          <w:lang w:val="pl-PL"/>
        </w:rPr>
        <w:t>Ve</w:t>
      </w:r>
      <w:r w:rsidR="006711EB" w:rsidRPr="00DB7074">
        <w:rPr>
          <w:rFonts w:ascii="Book Antiqua" w:hAnsi="Book Antiqua"/>
          <w:sz w:val="24"/>
          <w:szCs w:val="24"/>
          <w:lang w:val="pl-PL"/>
        </w:rPr>
        <w:t>ziant</w:t>
      </w:r>
      <w:r>
        <w:rPr>
          <w:rFonts w:ascii="Book Antiqua" w:hAnsi="Book Antiqua"/>
          <w:sz w:val="24"/>
          <w:szCs w:val="24"/>
          <w:lang w:val="pl-PL"/>
        </w:rPr>
        <w:t xml:space="preserve"> J, Gagnière J</w:t>
      </w:r>
      <w:r w:rsidR="00E802D8" w:rsidRPr="00DB7074">
        <w:rPr>
          <w:rFonts w:ascii="Book Antiqua" w:hAnsi="Book Antiqua"/>
          <w:sz w:val="24"/>
          <w:szCs w:val="24"/>
          <w:lang w:val="pl-PL"/>
        </w:rPr>
        <w:t>, Barnich N</w:t>
      </w:r>
      <w:r>
        <w:rPr>
          <w:rFonts w:ascii="Book Antiqua" w:hAnsi="Book Antiqua"/>
          <w:sz w:val="24"/>
          <w:szCs w:val="24"/>
          <w:lang w:val="pl-PL"/>
        </w:rPr>
        <w:t>, Billard E, Boucher D</w:t>
      </w:r>
      <w:r w:rsidR="006711EB" w:rsidRPr="00DB7074">
        <w:rPr>
          <w:rFonts w:ascii="Book Antiqua" w:hAnsi="Book Antiqua"/>
          <w:sz w:val="24"/>
          <w:szCs w:val="24"/>
          <w:lang w:val="pl-PL"/>
        </w:rPr>
        <w:t>, Bonnet M.</w:t>
      </w:r>
      <w:r>
        <w:rPr>
          <w:rFonts w:ascii="Book Antiqua" w:hAnsi="Book Antiqua" w:hint="eastAsia"/>
          <w:sz w:val="24"/>
          <w:szCs w:val="24"/>
          <w:lang w:val="pl-PL" w:eastAsia="zh-CN"/>
        </w:rPr>
        <w:t xml:space="preserve"> </w:t>
      </w:r>
      <w:r w:rsidR="006711EB" w:rsidRPr="00DB7074">
        <w:rPr>
          <w:rFonts w:ascii="Book Antiqua" w:hAnsi="Book Antiqua"/>
          <w:sz w:val="24"/>
          <w:szCs w:val="24"/>
          <w:lang w:val="pl-PL"/>
        </w:rPr>
        <w:t>Microbial markers in colorectal cancer detection and/or prognosis</w:t>
      </w:r>
      <w:r w:rsidR="001B399F" w:rsidRPr="00DB7074">
        <w:rPr>
          <w:rFonts w:ascii="Book Antiqua" w:hAnsi="Book Antiqua" w:cs="Times New Roman"/>
          <w:sz w:val="24"/>
          <w:szCs w:val="24"/>
          <w:lang w:val="pl-PL"/>
        </w:rPr>
        <w:t>.</w:t>
      </w:r>
      <w:bookmarkStart w:id="100" w:name="OLE_LINK1105"/>
      <w:bookmarkStart w:id="101" w:name="OLE_LINK1107"/>
      <w:bookmarkStart w:id="102" w:name="OLE_LINK200"/>
      <w:bookmarkStart w:id="103" w:name="OLE_LINK196"/>
      <w:bookmarkStart w:id="104" w:name="OLE_LINK341"/>
      <w:bookmarkStart w:id="105" w:name="OLE_LINK377"/>
      <w:bookmarkStart w:id="106" w:name="OLE_LINK366"/>
      <w:bookmarkStart w:id="107" w:name="OLE_LINK1038"/>
      <w:bookmarkStart w:id="108" w:name="OLE_LINK1166"/>
      <w:r>
        <w:rPr>
          <w:rFonts w:ascii="Book Antiqua" w:hAnsi="Book Antiqua" w:hint="eastAsia"/>
          <w:i/>
          <w:sz w:val="24"/>
          <w:szCs w:val="24"/>
          <w:lang w:val="pl-PL" w:eastAsia="zh-CN"/>
        </w:rPr>
        <w:t xml:space="preserve"> </w:t>
      </w:r>
      <w:r w:rsidR="001B399F" w:rsidRPr="00DB7074">
        <w:rPr>
          <w:rFonts w:ascii="Book Antiqua" w:hAnsi="Book Antiqua" w:cs="Times New Roman"/>
          <w:i/>
          <w:sz w:val="24"/>
          <w:szCs w:val="24"/>
        </w:rPr>
        <w:t>World J Gastroenterol</w:t>
      </w:r>
      <w:r>
        <w:rPr>
          <w:rFonts w:ascii="Book Antiqua" w:hAnsi="Book Antiqua" w:cs="Times New Roman" w:hint="eastAsia"/>
          <w:i/>
          <w:sz w:val="24"/>
          <w:szCs w:val="24"/>
          <w:lang w:eastAsia="zh-CN"/>
        </w:rPr>
        <w:t xml:space="preserve"> </w:t>
      </w:r>
      <w:r w:rsidR="001B399F" w:rsidRPr="00DB7074">
        <w:rPr>
          <w:rFonts w:ascii="Book Antiqua" w:hAnsi="Book Antiqua" w:cs="Times New Roman"/>
          <w:sz w:val="24"/>
          <w:szCs w:val="24"/>
        </w:rPr>
        <w:t>201</w:t>
      </w:r>
      <w:r w:rsidR="001B399F" w:rsidRPr="00DB7074">
        <w:rPr>
          <w:rFonts w:ascii="Book Antiqua" w:hAnsi="Book Antiqua" w:cs="Times New Roman" w:hint="eastAsia"/>
          <w:sz w:val="24"/>
          <w:szCs w:val="24"/>
        </w:rPr>
        <w:t>8</w:t>
      </w:r>
      <w:r w:rsidR="001B399F" w:rsidRPr="00DB7074">
        <w:rPr>
          <w:rFonts w:ascii="Book Antiqua" w:hAnsi="Book Antiqua" w:cs="Times New Roman"/>
          <w:sz w:val="24"/>
          <w:szCs w:val="24"/>
        </w:rPr>
        <w:t>;</w:t>
      </w:r>
      <w:r>
        <w:rPr>
          <w:rFonts w:ascii="Book Antiqua" w:hAnsi="Book Antiqua" w:cs="Times New Roman" w:hint="eastAsia"/>
          <w:sz w:val="24"/>
          <w:szCs w:val="24"/>
          <w:lang w:eastAsia="zh-CN"/>
        </w:rPr>
        <w:t xml:space="preserve"> </w:t>
      </w:r>
      <w:proofErr w:type="gramStart"/>
      <w:r w:rsidR="001B399F" w:rsidRPr="00DB7074">
        <w:rPr>
          <w:rFonts w:ascii="Book Antiqua" w:hAnsi="Book Antiqua" w:cs="Times New Roman"/>
          <w:sz w:val="24"/>
          <w:szCs w:val="24"/>
        </w:rPr>
        <w:t>In</w:t>
      </w:r>
      <w:proofErr w:type="gramEnd"/>
      <w:r w:rsidR="001B399F" w:rsidRPr="00DB7074">
        <w:rPr>
          <w:rFonts w:ascii="Book Antiqua" w:hAnsi="Book Antiqua" w:cs="Times New Roman"/>
          <w:sz w:val="24"/>
          <w:szCs w:val="24"/>
        </w:rPr>
        <w:t xml:space="preserve"> press</w:t>
      </w:r>
      <w:bookmarkEnd w:id="72"/>
      <w:bookmarkEnd w:id="73"/>
      <w:bookmarkEnd w:id="74"/>
      <w:bookmarkEnd w:id="75"/>
      <w:bookmarkEnd w:id="76"/>
      <w:bookmarkEnd w:id="77"/>
      <w:bookmarkEnd w:id="78"/>
      <w:bookmarkEnd w:id="100"/>
      <w:bookmarkEnd w:id="101"/>
    </w:p>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2"/>
    <w:bookmarkEnd w:id="103"/>
    <w:bookmarkEnd w:id="104"/>
    <w:bookmarkEnd w:id="105"/>
    <w:bookmarkEnd w:id="106"/>
    <w:bookmarkEnd w:id="107"/>
    <w:bookmarkEnd w:id="108"/>
    <w:p w14:paraId="5D245E64" w14:textId="77777777" w:rsidR="001B399F" w:rsidRPr="00DB7074" w:rsidRDefault="001B399F" w:rsidP="00DB7074">
      <w:pPr>
        <w:autoSpaceDE w:val="0"/>
        <w:autoSpaceDN w:val="0"/>
        <w:adjustRightInd w:val="0"/>
        <w:snapToGrid w:val="0"/>
        <w:spacing w:after="0" w:line="360" w:lineRule="auto"/>
        <w:jc w:val="both"/>
        <w:rPr>
          <w:rFonts w:ascii="Book Antiqua" w:hAnsi="Book Antiqua" w:cs="Tahoma"/>
          <w:sz w:val="24"/>
          <w:szCs w:val="24"/>
          <w:lang w:eastAsia="zh-CN"/>
        </w:rPr>
      </w:pPr>
    </w:p>
    <w:p w14:paraId="1B4884F9" w14:textId="15E04F94" w:rsidR="00640D4A" w:rsidRPr="00DB7074" w:rsidRDefault="00640D4A" w:rsidP="00DB7074">
      <w:pPr>
        <w:snapToGrid w:val="0"/>
        <w:spacing w:after="0" w:line="360" w:lineRule="auto"/>
        <w:jc w:val="both"/>
        <w:rPr>
          <w:rFonts w:ascii="Book Antiqua" w:hAnsi="Book Antiqua"/>
          <w:b/>
          <w:sz w:val="24"/>
          <w:szCs w:val="24"/>
        </w:rPr>
      </w:pPr>
      <w:r w:rsidRPr="00DB7074">
        <w:rPr>
          <w:rFonts w:ascii="Book Antiqua" w:hAnsi="Book Antiqua"/>
          <w:b/>
          <w:sz w:val="24"/>
          <w:szCs w:val="24"/>
        </w:rPr>
        <w:br w:type="page"/>
      </w:r>
    </w:p>
    <w:p w14:paraId="6C172891" w14:textId="2A8BE642" w:rsidR="008C30EF" w:rsidRPr="00DB7074" w:rsidRDefault="006711EB" w:rsidP="00DB7074">
      <w:pPr>
        <w:pStyle w:val="Heading1"/>
        <w:snapToGrid w:val="0"/>
        <w:spacing w:before="0" w:line="360" w:lineRule="auto"/>
        <w:jc w:val="both"/>
        <w:rPr>
          <w:rFonts w:ascii="Book Antiqua" w:hAnsi="Book Antiqua"/>
          <w:b/>
          <w:color w:val="auto"/>
          <w:sz w:val="24"/>
          <w:szCs w:val="22"/>
        </w:rPr>
      </w:pPr>
      <w:r w:rsidRPr="00DB7074">
        <w:rPr>
          <w:rFonts w:ascii="Book Antiqua" w:hAnsi="Book Antiqua"/>
          <w:b/>
          <w:color w:val="auto"/>
          <w:sz w:val="24"/>
          <w:szCs w:val="22"/>
        </w:rPr>
        <w:lastRenderedPageBreak/>
        <w:t xml:space="preserve">INTRODUCTION </w:t>
      </w:r>
    </w:p>
    <w:p w14:paraId="4650784C" w14:textId="122DF9E0" w:rsidR="00CF23E8" w:rsidRPr="00DB7074" w:rsidRDefault="000972E4" w:rsidP="00DB7074">
      <w:pPr>
        <w:snapToGrid w:val="0"/>
        <w:spacing w:after="0" w:line="360" w:lineRule="auto"/>
        <w:jc w:val="both"/>
        <w:rPr>
          <w:rFonts w:ascii="Book Antiqua" w:hAnsi="Book Antiqua" w:cs="Times New Roman"/>
          <w:sz w:val="24"/>
          <w:szCs w:val="24"/>
        </w:rPr>
      </w:pPr>
      <w:r w:rsidRPr="00DB7074">
        <w:rPr>
          <w:rFonts w:ascii="Book Antiqua" w:hAnsi="Book Antiqua" w:cs="Times New Roman"/>
          <w:sz w:val="24"/>
          <w:szCs w:val="24"/>
        </w:rPr>
        <w:t xml:space="preserve">Approximately 5% of the </w:t>
      </w:r>
      <w:r w:rsidR="00834B3A" w:rsidRPr="00DB7074">
        <w:rPr>
          <w:rFonts w:ascii="Book Antiqua" w:hAnsi="Book Antiqua" w:cs="Times New Roman"/>
          <w:sz w:val="24"/>
          <w:szCs w:val="24"/>
        </w:rPr>
        <w:t xml:space="preserve">population in </w:t>
      </w:r>
      <w:r w:rsidRPr="00DB7074">
        <w:rPr>
          <w:rFonts w:ascii="Book Antiqua" w:hAnsi="Book Antiqua" w:cs="Times New Roman"/>
          <w:sz w:val="24"/>
          <w:szCs w:val="24"/>
        </w:rPr>
        <w:t>Western countries will develop colorectal cancer (CRC) during their lifetime</w:t>
      </w:r>
      <w:r w:rsidR="00475E40"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{"citationID":"a1qfjhm2hrr","properties":{"formattedCitation":"\\super [1]\\nosupersub{}","plainCitation":"[1]","noteIndex":0},"citationItems":[{"id":"D1GMNV0O/24TjRSEO","uris":["http://zotero.org/users/4804376/items/Y3NFC54I"],"uri":["http://zotero.org/users/4804376/items/Y3NFC54I"],"itemData":{"id":559,"type":"article-journal","title":"Colorectal cancer statistics, 2014","container-title":"CA: a cancer journal for clinicians","page":"104-117","volume":"64","issue":"2","source":"PubMed","abstract":"Colorectal cancer is the third most common cancer and the third leading cause of cancer death in men and women in the United States. This article provides an overview of colorectal cancer statistics, including the most current data on incidence, survival, and mortality rates and trends. Incidence data were provided by the National Cancer Institute's Surveillance, Epidemiology, and End Results program and the North American Association of Central Cancer Registries. Mortality data were provided by the National Center for Health Statistics. In 2014, an estimated 71,830 men and 65,000 women will be diagnosed with colorectal cancer and 26,270 men and 24,040 women will die of the disease. Greater than one-third of all deaths (29% in men and 43% in women) will occur in individuals aged 80 years and older. There is substantial variation in tumor location by age. For example, 26% of colorectal cancers in women aged younger than 50 years occur in the proximal colon, compared with 56% of cases in women aged 80 years and older. Incidence and death rates are highest in blacks and lowest in Asians/Pacific Islanders; among males during 2006 through 2010, death rates in blacks (29.4 per 100,000 population) were more than double those in Asians/Pacific Islanders (13.1) and 50% higher than those in non-Hispanic whites (19.2). Overall, incidence rates decreased by approximately 3% per year during the past decade (2001-2010). Notably, the largest drops occurred in adults aged 65 and older. For instance, rates for tumors located in the distal colon decreased by more than 5% per year. In contrast, rates increased during this time period among adults younger than 50 years. Colorectal cancer death rates declined by approximately 2% per year during the 1990s and by approximately 3% per year during the past decade. Progress in reducing colorectal cancer death rates can be accelerated by improving access to and use of screening and standard treatment in all populations.","DOI":"10.3322/caac.21220","ISSN":"1542-4863","note":"PMID: 24639052","journalAbbreviation":"CA Cancer J Clin","language":"eng","author":[{"family":"Siegel","given":"Rebecca"},{"family":"Desantis","given":"Carol"},{"family":"Jemal","given":"Ahmedin"}],"issued":{"date-parts":[["2014",4]]}}}],"schema":"https://github.com/citation-style-language/schema/raw/master/csl-citation.json"} </w:instrText>
      </w:r>
      <w:r w:rsidR="00475E40"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w:t>
      </w:r>
      <w:r w:rsidR="00475E40" w:rsidRPr="00DB7074">
        <w:rPr>
          <w:rFonts w:ascii="Book Antiqua" w:hAnsi="Book Antiqua" w:cs="Times New Roman"/>
          <w:sz w:val="24"/>
          <w:szCs w:val="24"/>
        </w:rPr>
        <w:fldChar w:fldCharType="end"/>
      </w:r>
      <w:r w:rsidRPr="00DB7074">
        <w:rPr>
          <w:rFonts w:ascii="Book Antiqua" w:hAnsi="Book Antiqua" w:cs="Times New Roman"/>
          <w:sz w:val="24"/>
          <w:szCs w:val="24"/>
        </w:rPr>
        <w:t xml:space="preserve">. CRC is a heterogeneous disease with a wide range of long-term outcomes and responses to treatment. </w:t>
      </w:r>
      <w:r w:rsidR="00CA3DA7" w:rsidRPr="00DB7074">
        <w:rPr>
          <w:rFonts w:ascii="Book Antiqua" w:hAnsi="Book Antiqua" w:cs="Times New Roman"/>
          <w:sz w:val="24"/>
          <w:szCs w:val="24"/>
        </w:rPr>
        <w:t>D</w:t>
      </w:r>
      <w:r w:rsidRPr="00DB7074">
        <w:rPr>
          <w:rFonts w:ascii="Book Antiqua" w:hAnsi="Book Antiqua" w:cs="Times New Roman"/>
          <w:sz w:val="24"/>
          <w:szCs w:val="24"/>
        </w:rPr>
        <w:t xml:space="preserve">espite recent advances in the genetic and molecular characterization of </w:t>
      </w:r>
      <w:r w:rsidR="00507882" w:rsidRPr="00DB7074">
        <w:rPr>
          <w:rFonts w:ascii="Book Antiqua" w:hAnsi="Book Antiqua" w:cs="Times New Roman"/>
          <w:sz w:val="24"/>
          <w:szCs w:val="24"/>
        </w:rPr>
        <w:t>tumour</w:t>
      </w:r>
      <w:r w:rsidRPr="00DB7074">
        <w:rPr>
          <w:rFonts w:ascii="Book Antiqua" w:hAnsi="Book Antiqua" w:cs="Times New Roman"/>
          <w:sz w:val="24"/>
          <w:szCs w:val="24"/>
        </w:rPr>
        <w:t xml:space="preserve">s, CRC remains associated with a poor </w:t>
      </w:r>
      <w:r w:rsidR="00CC410C" w:rsidRPr="00DB7074">
        <w:rPr>
          <w:rFonts w:ascii="Book Antiqua" w:hAnsi="Book Antiqua" w:cs="Times New Roman"/>
          <w:sz w:val="24"/>
          <w:szCs w:val="24"/>
        </w:rPr>
        <w:t>prognosis</w:t>
      </w:r>
      <w:r w:rsidR="00834B3A" w:rsidRPr="00DB7074">
        <w:rPr>
          <w:rFonts w:ascii="Book Antiqua" w:hAnsi="Book Antiqua" w:cs="Times New Roman"/>
          <w:sz w:val="24"/>
          <w:szCs w:val="24"/>
        </w:rPr>
        <w:t xml:space="preserve"> and</w:t>
      </w:r>
      <w:r w:rsidR="00CC410C" w:rsidRPr="00DB7074">
        <w:rPr>
          <w:rFonts w:ascii="Book Antiqua" w:hAnsi="Book Antiqua" w:cs="Times New Roman"/>
          <w:sz w:val="24"/>
          <w:szCs w:val="24"/>
        </w:rPr>
        <w:t xml:space="preserve"> </w:t>
      </w:r>
      <w:r w:rsidRPr="00DB7074">
        <w:rPr>
          <w:rFonts w:ascii="Book Antiqua" w:hAnsi="Book Antiqua" w:cs="Times New Roman"/>
          <w:sz w:val="24"/>
          <w:szCs w:val="24"/>
        </w:rPr>
        <w:t>very low rates of long-term surviv</w:t>
      </w:r>
      <w:r w:rsidR="00834B3A" w:rsidRPr="00DB7074">
        <w:rPr>
          <w:rFonts w:ascii="Book Antiqua" w:hAnsi="Book Antiqua" w:cs="Times New Roman"/>
          <w:sz w:val="24"/>
          <w:szCs w:val="24"/>
        </w:rPr>
        <w:t>al</w:t>
      </w:r>
      <w:r w:rsidRPr="00DB7074">
        <w:rPr>
          <w:rFonts w:ascii="Book Antiqua" w:hAnsi="Book Antiqua" w:cs="Times New Roman"/>
          <w:sz w:val="24"/>
          <w:szCs w:val="24"/>
        </w:rPr>
        <w:t xml:space="preserve"> among patients with advanced disease</w:t>
      </w:r>
      <w:r w:rsidR="00475E40"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{"citationID":"sk9wXJt6","properties":{"formattedCitation":"\\super [2,3]\\nosupersub{}","plainCitation":"[2,3]","noteIndex":0},"citationItems":[{"id":"D1GMNV0O/RvBNSoqL","uris":["http://zotero.org/users/4804376/items/FFBZNS3A"],"uri":["http://zotero.org/users/4804376/items/FFBZNS3A"],"itemData":{"id":529,"type":"article-journal","title":"The National Health Service Bowel Cancer Screening Program: the early years","container-title":"Expert Review of Gastroenterology &amp; Hepatology","page":"421-437","volume":"7","issue":"5","source":"PubMed","abstract":"The National Health Service Bowel Cancer Screening Program (NHS BCSP) was developed to improve outcomes from colorectal cancer, the third most frequent cancer and the second highest cause of cancer deaths in the UK. Screening pilot programs were developed after previous trials demonstrated a reduction in mortality with the use of fecal occult blood population screening. A successful pilot period led to the roll out of national biennial screening for all 60-69 year olds in 2006, and extended to 60-74 year olds in 2010. To the end of 2012, there have been over 16 million invitations to screening, with uptake of 55.35%. FOBt positivity was 2.08%. Almost 15,000 cancers have been identified; screen-detected cancers have been shown to be at an earlier stage than non-screen-detected, with 35% Dukes' stage A. The BCSP provides high quality colonoscopy with low adverse events rates. It is also a rich data source for research.","DOI":"10.1586/17474124.2013.811045","ISSN":"1747-4132","note":"PMID: 23899282","shortTitle":"The National Health Service Bowel Cancer Screening Program","journalAbbreviation":"Expert Rev Gastroenterol Hepatol","language":"eng","author":[{"family":"Rees","given":"Colin J."},{"family":"Bevan","given":"Roisin"}],"issued":{"date-parts":[["2013",7]]}}},{"id":"D1GMNV0O/VDmaori1","uris":["http://zotero.org/users/4804376/items/27RFQ9GW"],"uri":["http://zotero.org/users/4804376/items/27RFQ9GW"],"itemData":{"id":455,"type":"article-journal","title":"Systematic review and meta-analysis of follow-up after hepatectomy for colorectal liver metastases","container-title":"The British Journal of Surgery","page":"477-486","volume":"99","issue":"4","source":"PubMed","abstract":"BACKGROUND: The evidence surrounding optimal follow-up after liver resection for colorectal metastases remains unclear. A significant proportion of recurrences occur in the early postoperative period, and some groups advocate more intensive review at this time.\nMETHODS: A systematic review of literature published between January 2003 and May 2010 was performed. Studies that described potentially curative primary resection of colorectal liver metastases that involved a defined follow-up protocol and long-term survival data were included. For meta-analysis, studies were grouped into intensive (more frequent review in the first 5 years after resection) and uniform (same throughout) follow-up.\nRESULTS: Thirty-five studies were identified that met the inclusion criteria, involving 7330 patients. Only five specifically addressed follow-up. Patients undergoing intensive early follow-up had a median survival of 39·8 (95 per cent confidence interval 34·3 to 45·3) months with a 5-year overall survival rate of 41·9 (34·4 to 49·4) per cent. Patients undergoing routine follow-up had a median survival of 40·2 (33·4 to 47·0) months, with a 5-year overall survival rate of 38·4 (32·6 to 44·3) months.\nCONCLUSION: Evidence regarding follow-up after liver resection is poor. Meta-analysis failed to identify a survival advantage for intensive early follow-up.","DOI":"10.1002/bjs.8667","ISSN":"1365-2168","note":"PMID: 22261895","journalAbbreviation":"Br J Surg","language":"eng","author":[{"family":"Jones","given":"R. P."},{"family":"Jackson","given":"R."},{"family":"Dunne","given":"D. F. J."},{"family":"Malik","given":"H. Z."},{"family":"Fenwick","given":"S. W."},{"family":"Poston","given":"G. J."},{"family":"Ghaneh","given":"P."}],"issued":{"date-parts":[["2012",4]]}}}],"schema":"https://github.com/citation-style-language/schema/raw/master/csl-citation.json"} </w:instrText>
      </w:r>
      <w:r w:rsidR="00475E40"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[2,3]</w:t>
      </w:r>
      <w:r w:rsidR="00475E40" w:rsidRPr="00DB7074">
        <w:rPr>
          <w:rFonts w:ascii="Book Antiqua" w:hAnsi="Book Antiqua" w:cs="Times New Roman"/>
          <w:sz w:val="24"/>
          <w:szCs w:val="24"/>
        </w:rPr>
        <w:fldChar w:fldCharType="end"/>
      </w:r>
      <w:r w:rsidRPr="00DB7074">
        <w:rPr>
          <w:rFonts w:ascii="Book Antiqua" w:hAnsi="Book Antiqua" w:cs="Times New Roman"/>
          <w:sz w:val="24"/>
          <w:szCs w:val="24"/>
        </w:rPr>
        <w:t xml:space="preserve">. </w:t>
      </w:r>
      <w:r w:rsidR="00834B3A" w:rsidRPr="00DB7074">
        <w:rPr>
          <w:rFonts w:ascii="Book Antiqua" w:hAnsi="Book Antiqua" w:cs="Times New Roman"/>
          <w:sz w:val="24"/>
          <w:szCs w:val="24"/>
        </w:rPr>
        <w:t>On</w:t>
      </w:r>
      <w:r w:rsidR="000636C1" w:rsidRPr="00DB7074">
        <w:rPr>
          <w:rFonts w:ascii="Book Antiqua" w:hAnsi="Book Antiqua" w:cs="Times New Roman"/>
          <w:sz w:val="24"/>
          <w:szCs w:val="24"/>
        </w:rPr>
        <w:t xml:space="preserve"> the contrary</w:t>
      </w:r>
      <w:r w:rsidRPr="00DB7074">
        <w:rPr>
          <w:rFonts w:ascii="Book Antiqua" w:hAnsi="Book Antiqua" w:cs="Times New Roman"/>
          <w:sz w:val="24"/>
          <w:szCs w:val="24"/>
        </w:rPr>
        <w:t xml:space="preserve">, </w:t>
      </w:r>
      <w:r w:rsidR="00834B3A" w:rsidRPr="00DB7074">
        <w:rPr>
          <w:rFonts w:ascii="Book Antiqua" w:hAnsi="Book Antiqua" w:cs="Times New Roman"/>
          <w:sz w:val="24"/>
          <w:szCs w:val="24"/>
        </w:rPr>
        <w:t xml:space="preserve">the </w:t>
      </w:r>
      <w:r w:rsidRPr="00DB7074">
        <w:rPr>
          <w:rFonts w:ascii="Book Antiqua" w:hAnsi="Book Antiqua" w:cs="Times New Roman"/>
          <w:sz w:val="24"/>
          <w:szCs w:val="24"/>
        </w:rPr>
        <w:t xml:space="preserve">5-year survival </w:t>
      </w:r>
      <w:r w:rsidR="00994D1B" w:rsidRPr="00DB7074">
        <w:rPr>
          <w:rFonts w:ascii="Book Antiqua" w:hAnsi="Book Antiqua" w:cs="Times New Roman"/>
          <w:sz w:val="24"/>
          <w:szCs w:val="24"/>
        </w:rPr>
        <w:t>of</w:t>
      </w:r>
      <w:r w:rsidRPr="00DB7074">
        <w:rPr>
          <w:rFonts w:ascii="Book Antiqua" w:hAnsi="Book Antiqua" w:cs="Times New Roman"/>
          <w:sz w:val="24"/>
          <w:szCs w:val="24"/>
        </w:rPr>
        <w:t xml:space="preserve"> patients treated</w:t>
      </w:r>
      <w:r w:rsidR="00834B3A" w:rsidRPr="00DB7074">
        <w:rPr>
          <w:rFonts w:ascii="Book Antiqua" w:hAnsi="Book Antiqua" w:cs="Times New Roman"/>
          <w:sz w:val="24"/>
          <w:szCs w:val="24"/>
        </w:rPr>
        <w:t xml:space="preserve"> during the </w:t>
      </w:r>
      <w:r w:rsidRPr="00DB7074">
        <w:rPr>
          <w:rFonts w:ascii="Book Antiqua" w:hAnsi="Book Antiqua" w:cs="Times New Roman"/>
          <w:sz w:val="24"/>
          <w:szCs w:val="24"/>
        </w:rPr>
        <w:t xml:space="preserve">early stages </w:t>
      </w:r>
      <w:r w:rsidR="00834B3A" w:rsidRPr="00DB7074">
        <w:rPr>
          <w:rFonts w:ascii="Book Antiqua" w:hAnsi="Book Antiqua" w:cs="Times New Roman"/>
          <w:sz w:val="24"/>
          <w:szCs w:val="24"/>
        </w:rPr>
        <w:t xml:space="preserve">of </w:t>
      </w:r>
      <w:r w:rsidRPr="00DB7074">
        <w:rPr>
          <w:rFonts w:ascii="Book Antiqua" w:hAnsi="Book Antiqua" w:cs="Times New Roman"/>
          <w:sz w:val="24"/>
          <w:szCs w:val="24"/>
        </w:rPr>
        <w:t>CRC, which represent only one</w:t>
      </w:r>
      <w:r w:rsidR="00994D1B" w:rsidRPr="00DB7074">
        <w:rPr>
          <w:rFonts w:ascii="Book Antiqua" w:hAnsi="Book Antiqua" w:cs="Times New Roman"/>
          <w:sz w:val="24"/>
          <w:szCs w:val="24"/>
        </w:rPr>
        <w:t>-</w:t>
      </w:r>
      <w:r w:rsidRPr="00DB7074">
        <w:rPr>
          <w:rFonts w:ascii="Book Antiqua" w:hAnsi="Book Antiqua" w:cs="Times New Roman"/>
          <w:sz w:val="24"/>
          <w:szCs w:val="24"/>
        </w:rPr>
        <w:t xml:space="preserve">third of </w:t>
      </w:r>
      <w:r w:rsidR="00994D1B" w:rsidRPr="00DB7074">
        <w:rPr>
          <w:rFonts w:ascii="Book Antiqua" w:hAnsi="Book Antiqua" w:cs="Times New Roman"/>
          <w:sz w:val="24"/>
          <w:szCs w:val="24"/>
        </w:rPr>
        <w:t xml:space="preserve">all </w:t>
      </w:r>
      <w:r w:rsidRPr="00DB7074">
        <w:rPr>
          <w:rFonts w:ascii="Book Antiqua" w:hAnsi="Book Antiqua" w:cs="Times New Roman"/>
          <w:sz w:val="24"/>
          <w:szCs w:val="24"/>
        </w:rPr>
        <w:t>CRC patients, is encouraging, ranging from 72</w:t>
      </w:r>
      <w:r w:rsidR="006514A8" w:rsidRPr="00DB7074">
        <w:rPr>
          <w:rFonts w:ascii="Book Antiqua" w:hAnsi="Book Antiqua" w:cs="Times New Roman"/>
          <w:sz w:val="24"/>
          <w:szCs w:val="24"/>
        </w:rPr>
        <w:t>%</w:t>
      </w:r>
      <w:r w:rsidRPr="00DB7074">
        <w:rPr>
          <w:rFonts w:ascii="Book Antiqua" w:hAnsi="Book Antiqua" w:cs="Times New Roman"/>
          <w:sz w:val="24"/>
          <w:szCs w:val="24"/>
        </w:rPr>
        <w:t xml:space="preserve"> to 100%</w:t>
      </w:r>
      <w:r w:rsidR="00475E40"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{"citationID":"avnjae1k80","properties":{"formattedCitation":"\\super [4]\\nosupersub{}","plainCitation":"[4]","noteIndex":0},"citationItems":[{"id":"D1GMNV0O/ZRhKWlpo","uris":["http://zotero.org/users/4804376/items/E43VG9YQ"],"uri":["http://zotero.org/users/4804376/items/E43VG9YQ"],"itemData":{"id":513,"type":"article-journal","title":"Colon cancer survival rates with the new American Joint Committee on Cancer sixth edition staging","container-title":"Journal of the National Cancer Institute","page":"1420-1425","volume":"96","issue":"19","source":"PubMed","abstract":"BACKGROUND: The recently revised American Joint Committee on Cancer (AJCC) sixth edition cancer staging system increased the stratification within colon cancer stages II and III defined by the AJCC fifth edition system. Using nationally representative Surveillance, Epidemiology, and End Results (SEER) data, we compared survival rates associated with colon cancer stages defined according to both AJCC systems.\nMETHODS: Using SEER data (from January 1, 1991, through December 31, 2000), we identified 119,363 patients with colon adenocarcinoma and included all patients in two analyses by stages defined by AJCC fifth and sixth edition systems. Tumors were stratified by SEER's \"extent of disease\" and \"number of positive [lymph] nodes\" coding schemes. Kaplan-Meier analyses were used to compare overall and stage-specific 5-year survival. All statistical tests were two-sided.\nRESULTS: Overall 5-year survival was 65.2%. According to stages defined by the AJCC fifth edition system, 5-year stage-specific survivals were 93.2% for stage I, 82.5% for stage II, 59.5% for stage III, and 8.1% for stage IV. According to stages defined by the AJCC sixth edition system, 5-year stage-specific survivals were 93.2% for stage I, 84.7% for stage IIa, 72.2% for stage IIb, 83.4% for stage IIIa, 64.1% for stage IIIb, 44.3% for stage IIIc, and 8.1% for stage IV. Under the sixth edition system, 5-year survival was statistically significantly better for patients with stage IIIa colon cancer (83.4%) than for patients with stage IIb disease (72.2%) (P&lt;.001).\nCONCLUSIONS: The AJCC sixth edition system for colon cancer stratifies survival more distinctly than the fifth edition system by providing more substages. The association of stage IIIa colon cancer with statistically significantly better survival than stage IIb in the new system may reflect current clinical practice, in which stage III patients receive chemotherapy but stage II patients generally do not.","DOI":"10.1093/jnci/djh275","ISSN":"1460-2105","note":"PMID: 15467030","journalAbbreviation":"J. Natl. Cancer Inst.","language":"eng","author":[{"family":"O'Connell","given":"Jessica B."},{"family":"Maggard","given":"Melinda A."},{"family":"Ko","given":"Clifford Y."}],"issued":{"date-parts":[["2004",10,6]]}}}],"schema":"https://github.com/citation-style-language/schema/raw/master/csl-citation.json"} </w:instrText>
      </w:r>
      <w:r w:rsidR="00475E40"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[4]</w:t>
      </w:r>
      <w:r w:rsidR="00475E40" w:rsidRPr="00DB7074">
        <w:rPr>
          <w:rFonts w:ascii="Book Antiqua" w:hAnsi="Book Antiqua" w:cs="Times New Roman"/>
          <w:sz w:val="24"/>
          <w:szCs w:val="24"/>
        </w:rPr>
        <w:fldChar w:fldCharType="end"/>
      </w:r>
      <w:r w:rsidR="0082267E" w:rsidRPr="00DB7074">
        <w:rPr>
          <w:rFonts w:ascii="Book Antiqua" w:hAnsi="Book Antiqua" w:cs="Times New Roman"/>
          <w:sz w:val="24"/>
          <w:szCs w:val="24"/>
        </w:rPr>
        <w:t xml:space="preserve">. </w:t>
      </w:r>
      <w:r w:rsidRPr="00DB7074">
        <w:rPr>
          <w:rFonts w:ascii="Book Antiqua" w:hAnsi="Book Antiqua" w:cs="Times New Roman"/>
          <w:sz w:val="24"/>
          <w:szCs w:val="24"/>
        </w:rPr>
        <w:t xml:space="preserve">Therefore, early detection of both premalignant lesions and CRC is crucial for increasing </w:t>
      </w:r>
      <w:r w:rsidR="00994D1B" w:rsidRPr="00DB7074">
        <w:rPr>
          <w:rFonts w:ascii="Book Antiqua" w:hAnsi="Book Antiqua" w:cs="Times New Roman"/>
          <w:sz w:val="24"/>
          <w:szCs w:val="24"/>
        </w:rPr>
        <w:t xml:space="preserve">the </w:t>
      </w:r>
      <w:r w:rsidRPr="00DB7074">
        <w:rPr>
          <w:rFonts w:ascii="Book Antiqua" w:hAnsi="Book Antiqua" w:cs="Times New Roman"/>
          <w:sz w:val="24"/>
          <w:szCs w:val="24"/>
        </w:rPr>
        <w:t>chance</w:t>
      </w:r>
      <w:r w:rsidR="00994D1B" w:rsidRPr="00DB7074">
        <w:rPr>
          <w:rFonts w:ascii="Book Antiqua" w:hAnsi="Book Antiqua" w:cs="Times New Roman"/>
          <w:sz w:val="24"/>
          <w:szCs w:val="24"/>
        </w:rPr>
        <w:t>s</w:t>
      </w:r>
      <w:r w:rsidRPr="00DB7074">
        <w:rPr>
          <w:rFonts w:ascii="Book Antiqua" w:hAnsi="Book Antiqua" w:cs="Times New Roman"/>
          <w:sz w:val="24"/>
          <w:szCs w:val="24"/>
        </w:rPr>
        <w:t xml:space="preserve"> of </w:t>
      </w:r>
      <w:r w:rsidR="00994D1B" w:rsidRPr="00DB7074">
        <w:rPr>
          <w:rFonts w:ascii="Book Antiqua" w:hAnsi="Book Antiqua" w:cs="Times New Roman"/>
          <w:sz w:val="24"/>
          <w:szCs w:val="24"/>
        </w:rPr>
        <w:t xml:space="preserve">a </w:t>
      </w:r>
      <w:r w:rsidRPr="00DB7074">
        <w:rPr>
          <w:rFonts w:ascii="Book Antiqua" w:hAnsi="Book Antiqua" w:cs="Times New Roman"/>
          <w:sz w:val="24"/>
          <w:szCs w:val="24"/>
        </w:rPr>
        <w:t>cure</w:t>
      </w:r>
      <w:r w:rsidR="00475E40"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{"citationID":"a1do8rfi39c","properties":{"formattedCitation":"\\super [5]\\nosupersub{}","plainCitation":"[5]","noteIndex":0},"citationItems":[{"id":"D1GMNV0O/4kz7c2v8","uris":["http://zotero.org/users/4804376/items/PH5ZG2HD"],"uri":["http://zotero.org/users/4804376/items/PH5ZG2HD"],"itemData":{"id":587,"type":"article-journal","title":"The history of colorectal cancer screening: a personal perspective","container-title":"Digestive Diseases and Sciences","page":"596-608","volume":"60","issue":"3","source":"PubMed","abstract":"The present explosive interest in screening for colorectal cancer (CRC), one of the most prevalent and preventable cancers, had its beginnings at a hospital in London and an Internist's office in Ohio. Demonstrated there were the concepts that CRC did not occur de-novo but arose from a premalignant polyp, that detection of the resultant cancer at an earlier stage was associated with better survival and that cancer could be detected at an early presymptomatic stage by screening. Many years later, the introduction of colonoscopy and colonoscopic polypectomy provided the opportunity for randomized trials to prove that these concepts were true. The sequence of rigorous science followed by guidelines consensus and then multilevel national efforts of screening implementation has resulted in a decline in the CRC incidence and mortality worldwide, most significantly in the USA. Campaigns have been initiated to maximize population screening and further investigate its optimal approach. Some historical details of this success story and many of the key participants are presented in this paper.","DOI":"10.1007/s10620-014-3466-y","ISSN":"1573-2568","note":"PMID: 25599958","shortTitle":"The history of colorectal cancer screening","journalAbbreviation":"Dig. Dis. Sci.","language":"eng","author":[{"family":"Winawer","given":"Sidney J."}],"issued":{"date-parts":[["2015",3]]}}}],"schema":"https://github.com/citation-style-language/schema/raw/master/csl-citation.json"} </w:instrText>
      </w:r>
      <w:r w:rsidR="00475E40"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[5]</w:t>
      </w:r>
      <w:r w:rsidR="00475E40" w:rsidRPr="00DB7074">
        <w:rPr>
          <w:rFonts w:ascii="Book Antiqua" w:hAnsi="Book Antiqua" w:cs="Times New Roman"/>
          <w:sz w:val="24"/>
          <w:szCs w:val="24"/>
        </w:rPr>
        <w:fldChar w:fldCharType="end"/>
      </w:r>
      <w:r w:rsidRPr="00DB7074">
        <w:rPr>
          <w:rFonts w:ascii="Book Antiqua" w:hAnsi="Book Antiqua" w:cs="Times New Roman"/>
          <w:sz w:val="24"/>
          <w:szCs w:val="24"/>
        </w:rPr>
        <w:t xml:space="preserve">. </w:t>
      </w:r>
      <w:r w:rsidR="00507882" w:rsidRPr="00DB7074">
        <w:rPr>
          <w:rFonts w:ascii="Book Antiqua" w:hAnsi="Book Antiqua" w:cs="Times New Roman"/>
          <w:sz w:val="24"/>
          <w:szCs w:val="24"/>
        </w:rPr>
        <w:t xml:space="preserve">Moreover, </w:t>
      </w:r>
      <w:r w:rsidR="008011E1" w:rsidRPr="00DB7074">
        <w:rPr>
          <w:rFonts w:ascii="Book Antiqua" w:hAnsi="Book Antiqua" w:cs="Times New Roman"/>
          <w:sz w:val="24"/>
          <w:szCs w:val="24"/>
        </w:rPr>
        <w:t>accurate determination of the prognosis is crucial for the practitioners, in order to optimize and personalize treatment strategies.</w:t>
      </w:r>
      <w:r w:rsidR="003B6084" w:rsidRPr="00DB7074">
        <w:rPr>
          <w:rFonts w:ascii="Book Antiqua" w:hAnsi="Book Antiqua"/>
          <w:sz w:val="24"/>
          <w:szCs w:val="24"/>
        </w:rPr>
        <w:t xml:space="preserve"> </w:t>
      </w:r>
      <w:r w:rsidR="003B6084" w:rsidRPr="00DB7074">
        <w:rPr>
          <w:rFonts w:ascii="Book Antiqua" w:hAnsi="Book Antiqua" w:cs="Times New Roman"/>
          <w:sz w:val="24"/>
          <w:szCs w:val="24"/>
        </w:rPr>
        <w:t>Given the poor prognosis of this cancer, it is essential to validate new diagnostic and prognostic markers</w:t>
      </w:r>
      <w:r w:rsidR="009D6AA4" w:rsidRPr="00DB7074">
        <w:rPr>
          <w:rFonts w:ascii="Book Antiqua" w:hAnsi="Book Antiqua" w:cs="Times New Roman"/>
          <w:sz w:val="24"/>
          <w:szCs w:val="24"/>
        </w:rPr>
        <w:t>.</w:t>
      </w:r>
      <w:r w:rsidR="00A46F36" w:rsidRPr="00DB7074">
        <w:rPr>
          <w:rFonts w:ascii="Book Antiqua" w:hAnsi="Book Antiqua" w:cs="Times New Roman"/>
          <w:sz w:val="24"/>
          <w:szCs w:val="24"/>
        </w:rPr>
        <w:t xml:space="preserve"> Studies on the implication</w:t>
      </w:r>
      <w:r w:rsidR="00994D1B" w:rsidRPr="00DB7074">
        <w:rPr>
          <w:rFonts w:ascii="Book Antiqua" w:hAnsi="Book Antiqua" w:cs="Times New Roman"/>
          <w:sz w:val="24"/>
          <w:szCs w:val="24"/>
        </w:rPr>
        <w:t>s</w:t>
      </w:r>
      <w:r w:rsidR="00A46F36" w:rsidRPr="00DB7074">
        <w:rPr>
          <w:rFonts w:ascii="Book Antiqua" w:hAnsi="Book Antiqua" w:cs="Times New Roman"/>
          <w:sz w:val="24"/>
          <w:szCs w:val="24"/>
        </w:rPr>
        <w:t xml:space="preserve"> of the gut microbiota in CRC </w:t>
      </w:r>
      <w:r w:rsidR="00994D1B" w:rsidRPr="00DB7074">
        <w:rPr>
          <w:rFonts w:ascii="Book Antiqua" w:hAnsi="Book Antiqua" w:cs="Times New Roman"/>
          <w:sz w:val="24"/>
          <w:szCs w:val="24"/>
        </w:rPr>
        <w:t>are</w:t>
      </w:r>
      <w:r w:rsidR="00A46F36" w:rsidRPr="00DB7074">
        <w:rPr>
          <w:rFonts w:ascii="Book Antiqua" w:hAnsi="Book Antiqua" w:cs="Times New Roman"/>
          <w:sz w:val="24"/>
          <w:szCs w:val="24"/>
        </w:rPr>
        <w:t xml:space="preserve"> now increasing</w:t>
      </w:r>
      <w:r w:rsidR="00475E40"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{"citationID":"ldT8dWiG","properties":{"formattedCitation":"\\super [6\\uc0\\u8211{}11]\\nosupersub{}","plainCitation":"[6–11]","noteIndex":0},"citationItems":[{"id":"D1GMNV0O/EnuVpDmc","uris":["http://zotero.org/users/4804376/items/3ZANCRF6"],"uri":["http://zotero.org/users/4804376/items/3ZANCRF6"],"itemData":{"id":65,"type":"article-journal","title":"Microbes, Microbiota, and Colon Cancer","container-title":"Cell Host &amp; Microbe","page":"317-328","volume":"15","issue":"3","source":"CrossRef","abstract":"Colorectal cancer (CRC) presents a considerable disease burden worldwide. The human colon is also an anatomical location with the largest number of microbes. It is natural therefore to anticipate a role for microbes, particularly bacteria, in colorectal carcinogenesis. The increasing accessibility of microbial meta’omics is fueling a surge in our understanding of the role that microbes and the microbiota play in CRC. In this review, we will discuss recent insights into contributions of the microbiota to CRC and explore conceptual frameworks for evaluating the role of microbes in cancer causation. We also highlight new findings on candidate CRC-potentiating species and current knowledge gaps. Finally, we explore the roles of microbial metabolism as it relates to bile acids, xenobiotics, and diet in the etiology and therapeutics of CRC.","DOI":"10.1016/j.chom.2014.02.007","ISSN":"19313128","language":"en","author":[{"family":"Sears","given":"Cynthia L."},{"family":"Garrett","given":"Wendy S."}],"issued":{"date-parts":[["2014",3]]}}},{"id":"D1GMNV0O/1MmGcIaD","uris":["http://zotero.org/users/4804376/items/CIN5494F"],"uri":["http://zotero.org/users/4804376/items/CIN5494F"],"itemData":{"id":64,"type":"article-journal","title":"The microbiome and cancer","container-title":"Nature Reviews Cancer","page":"800-812","volume":"13","issue":"11","source":"CrossRef","abstract":"Microbiota and host form a complex ‘super-organism’ in which symbiotic relationships confer benefits to the host in many key aspects of life. However, defects in the regulatory circuits of the host that control bacterial sensing and homeostasis, or alterations of the microbiome, through environmental changes (infection, diet or lifestyle), may disturb this symbiotic relationship and promote disease. Increasing evidence indicates a key role for the bacterial microbiota in carcinogenesis. In this Opinion article, we discuss links between the bacterial microbiota and cancer, with a particular focus on immune responses, dysbiosis, genotoxicity, metabolism and strategies to target the microbiome for cancer prevention.","DOI":"10.1038/nrc3610","ISSN":"1474-175X, 1474-1768","language":"en","author":[{"family":"Schwabe","given":"Robert F."},{"family":"Jobin","given":"Christian"}],"issued":{"date-parts":[["2013",11]]}}},{"id":"D1GMNV0O/dSH2vbRO","uris":["http://zotero.org/users/4804376/items/MVBICLR2"],"uri":["http://zotero.org/users/4804376/items/MVBICLR2"],"itemData":{"id":417,"type":"article-journal","title":"Gut microbiota and colorectal cancer","container-title":"European Journal of Clinical Microbiology &amp; Infectious Diseases: Official Publication of the European Society of Clinical Microbiology","page":"757-769","volume":"36","issue":"5","source":"PubMed","abstract":"The gut microbiota is considered as a forgotten organ in human health and disease. It maintains gut homeostasis by various complex mechanisms. However, disruption of the gut microbiota has been confirmed to be related to gastrointestinal diseases such as colorectal cancer, as well as remote organs in many studies. Colorectal cancer is a multi-factorial and multi-stage involved disorder. The role for microorganisms that initiate and facilitate the process of colorectal cancer has become clear. The candidate pathogens have been identified by culture and next sequencing technology. Persuasive models have also been proposed to illustrate the complicated and dynamic time and spatial change in the carcinogenesis. Related key molecules have also been investigated to demonstrate the pathways crucial for the development of colorectal cancer. In addition, risk factors that contribute to the tumorigenesis can also be modulated to decrease the susceptibility for certain population. In addition, the results of basic studies have also translated to clinical application, which displayed a critical value for the diagnosis and therapy of colorectal cancer. In this review, we not only emphasize the exploration of the mechanisms, but also potential clinical practice implication in this microbiota era.","DOI":"10.1007/s10096-016-2881-8","ISSN":"1435-4373","note":"PMID: 28063002\nPMCID: PMC5395603","journalAbbreviation":"Eur. J. Clin. Microbiol. Infect. Dis.","language":"eng","author":[{"family":"Gao","given":"R."},{"family":"Gao","given":"Z."},{"family":"Huang","given":"L."},{"family":"Qin","given":"H."}],"issued":{"date-parts":[["2017",5]]}}},{"id":"D1GMNV0O/T2ZFs85t","uris":["http://zotero.org/users/4804376/items/TKCG5EPH"],"uri":["http://zotero.org/users/4804376/items/TKCG5EPH"],"itemData":{"id":589,"type":"article-journal","title":"Gut Microbiota and Colorectal Cancer","container-title":"Gastrointestinal Tumors","page":"26-32","volume":"2","issue":"1","source":"PubMed","abstract":"BACKGROUND: Colorectal cancer (CRC) is a leading cause of cancer-related mortality worldwide whose incidence has increased rapidly in recent years. There is growing evidence that the complex gut microbiota community plays an important role in the development of intestinal tumorigenesis.\nSUMMARY: This review aimed to explore the correlation between gut microbiota and CRC as well as to identify the pathogens and their metabolites that affect CRC and the potential models of gut microbiota action. It promotes our understanding of the correlation between gut microbiota and CRC.\nKEY MESSAGE: Our knowledge of the risk factors associated with gut microbiota for CRC development, as well as of the mechanism how intestinal bacteria act on colorectal tumorigenesis, has improved, leading to a better understanding of the correlation between gut microbiota and CRC.\nPRACTICAL IMPLICATIONS: The intestinal microbiota community has a close relationship with CRC by influencing the mechanism of the body and by regulating the physiological function of the colorectum and even the entire digestive system. Gut microbiota have been linked to CRC based upon their toxic and genotoxic metabolites production by fermentation of dietary ingredients. These metabolites could bind specific intestinal cell surface receptors and subsequently affect intracellular signal transduction. The mechanisms by which gut microbiota affect CRC development include the 'Alpha-bug' model, the 'driver-passenger' model and the 'intestinal microbiota adaptions' model. This review promotes our understanding of the correlation between gut microbiota and CRC.","DOI":"10.1159/000380892","ISSN":"2296-3774","note":"PMID: 26674881\nPMCID: PMC4668798","journalAbbreviation":"Gastrointest Tumors","language":"eng","author":[{"family":"Yu","given":"Ya-Na"},{"family":"Fang","given":"Jing-Yua"}],"issued":{"date-parts":[["2015",5]]}}},{"id":"D1GMNV0O/brBt5NuL","uris":["http://zotero.org/users/4804376/items/Z72IYWVM"],"uri":["http://zotero.org/users/4804376/items/Z72IYWVM"],"itemData":{"id":351,"type":"article-journal","title":"Gut microbiota imbalance and colorectal cancer","container-title":"World Journal of Gastroenterology","page":"501-518","volume":"22","issue":"2","source":"PubMed","abstract":"The gut microbiota acts as a real organ. The symbiotic interactions between resident micro-organisms and the digestive tract highly contribute to maintain the gut homeostasis. However, alterations to the microbiome caused by environmental changes (e.g., infection, diet and/or lifestyle) can disturb this symbiotic relationship and promote disease, such as inflammatory bowel diseases and cancer. Colorectal cancer is a complex association of tumoral cells, non-neoplastic cells and a large amount of micro-organisms, and the involvement of the microbiota in colorectal carcinogenesis is becoming increasingly clear. Indeed, many changes in the bacterial composition of the gut microbiota have been reported in colorectal cancer, suggesting a major role of dysbiosis in colorectal carcinogenesis. Some bacterial species have been identified and suspected to play a role in colorectal carcinogenesis, such as Streptococcus bovis, Helicobacter pylori, Bacteroides fragilis, Enterococcus faecalis, Clostridium septicum, Fusobacterium spp. and Escherichia coli. The potential pro-carcinogenic effects of these bacteria are now better understood. In this review, we discuss the possible links between the bacterial microbiota and colorectal carcinogenesis, focusing on dysbiosis and the potential pro-carcinogenic properties of bacteria, such as genotoxicity and other virulence factors, inflammation, host defenses modulation, bacterial-derived metabolism, oxidative stress and anti-oxidative defenses modulation. We lastly describe how bacterial microbiota modifications could represent novel prognosis markers and/or targets for innovative therapeutic strategies.","DOI":"10.3748/wjg.v22.i2.501","ISSN":"2219-2840","note":"PMID: 26811603\nPMCID: PMC4716055","journalAbbreviation":"World J. Gastroenterol.","language":"eng","author":[{"family":"Gagnière","given":"Johan"},{"family":"Raisch","given":"Jennifer"},{"family":"Veziant","given":"Julie"},{"family":"Barnich","given":"Nicolas"},{"family":"Bonnet","given":"Richard"},{"family":"Buc","given":"Emmanuel"},{"family":"Bringer","given":"Marie-Agnès"},{"family":"Pezet","given":"Denis"},{"family":"Bonnet","given":"Mathilde"}],"issued":{"date-parts":[["2016",1,14]]}}},{"id":"D1GMNV0O/ms58br53","uris":["http://zotero.org/users/4804376/items/ZSSFA3EK"],"uri":["http://zotero.org/users/4804376/items/ZSSFA3EK"],"itemData":{"id":425,"type":"article-journal","title":"The keystone-pathogen hypothesis","container-title":"Nature Reviews. Microbiology","page":"717-725","volume":"10","issue":"10","source":"PubMed","abstract":"Recent studies have highlighted the importance of the human microbiome in health and disease. However, for the most part the mechanisms by which the microbiome mediates disease, or protection from it, remain poorly understood. The keystone-pathogen hypothesis holds that certain low-abundance microbial pathogens can orchestrate inflammatory disease by remodelling a normally benign microbiota into a dysbiotic one. In this Opinion article, we critically assess the available literature that supports this hypothesis, which may provide a novel conceptual basis for the development of targeted diagnostics and treatments for complex dysbiotic diseases.","DOI":"10.1038/nrmicro2873","ISSN":"1740-1534","note":"PMID: 22941505\nPMCID: PMC3498498","journalAbbreviation":"Nat. Rev. Microbiol.","language":"eng","author":[{"family":"Hajishengallis","given":"George"},{"family":"Darveau","given":"Richard P."},{"family":"Curtis","given":"Michael A."}],"issued":{"date-parts":[["2012",10]]}}}],"schema":"https://github.com/citation-style-language/schema/raw/master/csl-citation.json"} </w:instrText>
      </w:r>
      <w:r w:rsidR="00475E40"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[6–11]</w:t>
      </w:r>
      <w:r w:rsidR="00475E40" w:rsidRPr="00DB7074">
        <w:rPr>
          <w:rFonts w:ascii="Book Antiqua" w:hAnsi="Book Antiqua" w:cs="Times New Roman"/>
          <w:sz w:val="24"/>
          <w:szCs w:val="24"/>
        </w:rPr>
        <w:fldChar w:fldCharType="end"/>
      </w:r>
      <w:r w:rsidR="00A46F36" w:rsidRPr="00DB7074">
        <w:rPr>
          <w:rFonts w:ascii="Book Antiqua" w:hAnsi="Book Antiqua" w:cs="Times New Roman"/>
          <w:sz w:val="24"/>
          <w:szCs w:val="24"/>
        </w:rPr>
        <w:t xml:space="preserve">. Identification of a CRC-associated dysbiosis and/or the targeted detection of procarcinogenic bacterial species and/or their effectors in stool or tissue samples </w:t>
      </w:r>
      <w:r w:rsidR="00700DA3" w:rsidRPr="00DB7074">
        <w:rPr>
          <w:rFonts w:ascii="Book Antiqua" w:hAnsi="Book Antiqua" w:cs="Times New Roman"/>
          <w:sz w:val="24"/>
          <w:szCs w:val="24"/>
        </w:rPr>
        <w:t xml:space="preserve">may </w:t>
      </w:r>
      <w:r w:rsidR="00A46F36" w:rsidRPr="00DB7074">
        <w:rPr>
          <w:rFonts w:ascii="Book Antiqua" w:hAnsi="Book Antiqua" w:cs="Times New Roman"/>
          <w:sz w:val="24"/>
          <w:szCs w:val="24"/>
        </w:rPr>
        <w:t>represent promising tools to overcome the limit</w:t>
      </w:r>
      <w:r w:rsidR="00700DA3" w:rsidRPr="00DB7074">
        <w:rPr>
          <w:rFonts w:ascii="Book Antiqua" w:hAnsi="Book Antiqua" w:cs="Times New Roman"/>
          <w:sz w:val="24"/>
          <w:szCs w:val="24"/>
        </w:rPr>
        <w:t>ations</w:t>
      </w:r>
      <w:r w:rsidR="00A46F36" w:rsidRPr="00DB7074">
        <w:rPr>
          <w:rFonts w:ascii="Book Antiqua" w:hAnsi="Book Antiqua" w:cs="Times New Roman"/>
          <w:sz w:val="24"/>
          <w:szCs w:val="24"/>
        </w:rPr>
        <w:t xml:space="preserve"> and the </w:t>
      </w:r>
      <w:r w:rsidR="00700DA3" w:rsidRPr="00DB7074">
        <w:rPr>
          <w:rFonts w:ascii="Book Antiqua" w:hAnsi="Book Antiqua" w:cs="Times New Roman"/>
          <w:sz w:val="24"/>
          <w:szCs w:val="24"/>
        </w:rPr>
        <w:t xml:space="preserve">poor </w:t>
      </w:r>
      <w:r w:rsidR="00A46F36" w:rsidRPr="00DB7074">
        <w:rPr>
          <w:rFonts w:ascii="Book Antiqua" w:hAnsi="Book Antiqua" w:cs="Times New Roman"/>
          <w:sz w:val="24"/>
          <w:szCs w:val="24"/>
        </w:rPr>
        <w:t xml:space="preserve">performance of </w:t>
      </w:r>
      <w:r w:rsidR="00700DA3" w:rsidRPr="00DB7074">
        <w:rPr>
          <w:rFonts w:ascii="Book Antiqua" w:hAnsi="Book Antiqua" w:cs="Times New Roman"/>
          <w:sz w:val="24"/>
          <w:szCs w:val="24"/>
        </w:rPr>
        <w:t xml:space="preserve">current </w:t>
      </w:r>
      <w:r w:rsidR="00A46F36" w:rsidRPr="00DB7074">
        <w:rPr>
          <w:rFonts w:ascii="Book Antiqua" w:hAnsi="Book Antiqua" w:cs="Times New Roman"/>
          <w:sz w:val="24"/>
          <w:szCs w:val="24"/>
        </w:rPr>
        <w:t>CRC screening tools and prognostic/predictive factors.</w:t>
      </w:r>
      <w:r w:rsidR="00CF23E8" w:rsidRPr="00DB7074">
        <w:rPr>
          <w:rFonts w:ascii="Book Antiqua" w:hAnsi="Book Antiqua" w:cs="Times New Roman"/>
          <w:sz w:val="24"/>
          <w:szCs w:val="24"/>
        </w:rPr>
        <w:t xml:space="preserve"> </w:t>
      </w:r>
      <w:r w:rsidR="00A546D9" w:rsidRPr="00DB7074">
        <w:rPr>
          <w:rFonts w:ascii="Book Antiqua" w:hAnsi="Book Antiqua" w:cs="Times New Roman"/>
          <w:sz w:val="24"/>
          <w:szCs w:val="24"/>
        </w:rPr>
        <w:t xml:space="preserve">This review will focus on </w:t>
      </w:r>
      <w:r w:rsidR="0079557C" w:rsidRPr="00DB7074">
        <w:rPr>
          <w:rFonts w:ascii="Book Antiqua" w:hAnsi="Book Antiqua" w:cs="Times New Roman"/>
          <w:sz w:val="24"/>
          <w:szCs w:val="24"/>
        </w:rPr>
        <w:t xml:space="preserve">gut microbiota-related </w:t>
      </w:r>
      <w:r w:rsidR="00A546D9" w:rsidRPr="00DB7074">
        <w:rPr>
          <w:rFonts w:ascii="Book Antiqua" w:hAnsi="Book Antiqua" w:cs="Times New Roman"/>
          <w:sz w:val="24"/>
          <w:szCs w:val="24"/>
        </w:rPr>
        <w:t xml:space="preserve">markers, which </w:t>
      </w:r>
      <w:r w:rsidR="00700DA3" w:rsidRPr="00DB7074">
        <w:rPr>
          <w:rFonts w:ascii="Book Antiqua" w:hAnsi="Book Antiqua" w:cs="Times New Roman"/>
          <w:sz w:val="24"/>
          <w:szCs w:val="24"/>
        </w:rPr>
        <w:t xml:space="preserve">may </w:t>
      </w:r>
      <w:r w:rsidR="000A29E4" w:rsidRPr="00DB7074">
        <w:rPr>
          <w:rFonts w:ascii="Book Antiqua" w:hAnsi="Book Antiqua" w:cs="Times New Roman"/>
          <w:sz w:val="24"/>
          <w:szCs w:val="24"/>
        </w:rPr>
        <w:t>be new biological markers for CRC screening or prognosis determination.</w:t>
      </w:r>
    </w:p>
    <w:p w14:paraId="7DD0D4BE" w14:textId="2E2A2DCF" w:rsidR="001223CE" w:rsidRPr="00DB7074" w:rsidRDefault="001223CE" w:rsidP="00DB7074">
      <w:pPr>
        <w:snapToGrid w:val="0"/>
        <w:spacing w:after="0" w:line="360" w:lineRule="auto"/>
        <w:jc w:val="both"/>
        <w:rPr>
          <w:rFonts w:ascii="Book Antiqua" w:hAnsi="Book Antiqua"/>
          <w:b/>
          <w:sz w:val="24"/>
          <w:szCs w:val="24"/>
        </w:rPr>
      </w:pPr>
    </w:p>
    <w:p w14:paraId="5A769084" w14:textId="20F8523E" w:rsidR="00DC4337" w:rsidRPr="003C4267" w:rsidRDefault="006711EB" w:rsidP="003C4267">
      <w:pPr>
        <w:pStyle w:val="Heading1"/>
        <w:snapToGrid w:val="0"/>
        <w:spacing w:before="0" w:line="360" w:lineRule="auto"/>
        <w:jc w:val="both"/>
        <w:rPr>
          <w:rFonts w:ascii="Book Antiqua" w:hAnsi="Book Antiqua" w:cstheme="minorBidi"/>
          <w:b/>
          <w:color w:val="auto"/>
          <w:sz w:val="24"/>
          <w:szCs w:val="24"/>
          <w:lang w:eastAsia="zh-CN"/>
        </w:rPr>
      </w:pPr>
      <w:r w:rsidRPr="00DB7074">
        <w:rPr>
          <w:rFonts w:ascii="Book Antiqua" w:hAnsi="Book Antiqua" w:cs="Times New Roman"/>
          <w:b/>
          <w:color w:val="auto"/>
          <w:sz w:val="24"/>
          <w:szCs w:val="24"/>
        </w:rPr>
        <w:t>CURRENT STRATEGIES FOR CRC SCREENING AND PROGNOSTIC FACTORS</w:t>
      </w:r>
    </w:p>
    <w:p w14:paraId="07981751" w14:textId="77777777" w:rsidR="00C26247" w:rsidRPr="00DB7074" w:rsidRDefault="00C26247" w:rsidP="00DB7074">
      <w:pPr>
        <w:snapToGrid w:val="0"/>
        <w:spacing w:after="0" w:line="360" w:lineRule="auto"/>
        <w:jc w:val="both"/>
        <w:rPr>
          <w:rFonts w:ascii="Book Antiqua" w:hAnsi="Book Antiqua" w:cs="Times New Roman"/>
          <w:b/>
          <w:i/>
          <w:sz w:val="24"/>
          <w:szCs w:val="24"/>
        </w:rPr>
      </w:pPr>
      <w:r w:rsidRPr="00DB7074">
        <w:rPr>
          <w:rFonts w:ascii="Book Antiqua" w:hAnsi="Book Antiqua" w:cs="Times New Roman"/>
          <w:b/>
          <w:i/>
          <w:sz w:val="24"/>
          <w:szCs w:val="24"/>
        </w:rPr>
        <w:t>Screening strategies</w:t>
      </w:r>
    </w:p>
    <w:p w14:paraId="5525B30D" w14:textId="36BC7C84" w:rsidR="009E0870" w:rsidRPr="00DB7074" w:rsidRDefault="00485FDA" w:rsidP="003C4267">
      <w:pPr>
        <w:snapToGrid w:val="0"/>
        <w:spacing w:after="0" w:line="360" w:lineRule="auto"/>
        <w:jc w:val="both"/>
        <w:rPr>
          <w:rFonts w:ascii="Book Antiqua" w:hAnsi="Book Antiqua" w:cs="Times New Roman"/>
          <w:sz w:val="24"/>
          <w:szCs w:val="24"/>
        </w:rPr>
      </w:pPr>
      <w:r w:rsidRPr="00DB7074">
        <w:rPr>
          <w:rFonts w:ascii="Book Antiqua" w:hAnsi="Book Antiqua" w:cs="Times New Roman"/>
          <w:sz w:val="24"/>
          <w:szCs w:val="24"/>
        </w:rPr>
        <w:t>I</w:t>
      </w:r>
      <w:r w:rsidR="009E0870" w:rsidRPr="00DB7074">
        <w:rPr>
          <w:rFonts w:ascii="Book Antiqua" w:hAnsi="Book Antiqua" w:cs="Times New Roman"/>
          <w:sz w:val="24"/>
          <w:szCs w:val="24"/>
        </w:rPr>
        <w:t>ndividual (opportunistic) and population-based (organized) screening strategies have been established permitting the reduction of CRC mortality either by detecting CRC or removing premalignant lesions</w:t>
      </w:r>
      <w:r w:rsidR="00D71917"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{"citationID":"abbpe2u3qq","properties":{"formattedCitation":"\\super [12]\\nosupersub{}","plainCitation":"[12]","noteIndex":0},"citationItems":[{"id":"D1GMNV0O/8AWbq0jx","uris":["http://zotero.org/users/4804376/items/3EK4EQQ7"],"uri":["http://zotero.org/users/4804376/items/3EK4EQQ7"],"itemData":{"id":593,"type":"article-journal","title":"Effectiveness of Screening Modalities in Colorectal Cancer: A Network Meta-Analysis","container-title":"Clinical Colorectal Cancer","page":"252-263","volume":"16","issue":"4","source":"PubMed","abstract":"The aim of the study was to evaluate on the effectiveness of screening modalities in the prevention of colorectal cancer (CRC) occurrence and deaths. General meta-analysis was performed to produce pooled estimates of the effect of CRC incidence and mortality using a search of PubMed, Web of Science, and the Cochrane Library for eligible studies from January 1992 to March 2016. A network meta-analysis was performed to synthetically compare the effectiveness of 5 frequently used screening modalities. A total of 44 studies with a focus on mortality from CRC using different screening methods were included. General meta-analysis showed that fecal immunohistochemical testing (FIT), flexible sigmoidoscopy (FS), colonoscopy, combination of fecal occult blood testing and FS screening respectively reduced CRC mortality by 59% (relative risk [RR], 0.41; 95% confidence interval [CI], 0.29-0.59), 33% (RR, 0.67; 95% CI, 0.58-0.78), 61% (RR, 0.39; 95% CI, 0.31-0.50), 38% (RR, 0.62; 95% CI, 0.42-0.91) compared with no screening, whereas guaiac fecal occult blood testing (gFOBT) reduced CRC-related mortality by 14% (RR, 0.86; 95% CI, 0.82-0.90). Subgroup analysis showed that summary estimates of reduction in distal CRC mortality and proximal CRC mortality were 26% (95% CI, 62%-89%) and 10% (95% CI, 83%-98%). A network meta-analysis revealed rank probability analysis in which the colonoscopy had a 94.6% probability of being the most effective examination to reduce CRC mortality. In addition, the network meta-analysis estimated odds ratio, which was a 79% reduction (95% CI, 0.09-0.60) in CRC mortality when screening with FIT was compared with annual or biennial gFOBT and colonoscopy was approximately 80% more effective than gFOBT for reducing CRC mortality (RR, 0.25; 95% CI, 0.13-0.54). Analysis of the effects of different screening methods showed that there was a significant reduction in the incidence of colon cancer, excluding gFOBT. This meta-analysis confirmed that gFOBT, FIT, FS, and colonoscopy were all effective in preventing CRC deaths and a major reduction in distal but not proximal CRC mortality was found. In addition, they were more effective in preventing CRC incidence in addition to gFOBT. The network meta-analysis suggests that colonoscopy is the most effective screening for preventing CRC deaths.","DOI":"10.1016/j.clcc.2017.03.018","ISSN":"1938-0674","note":"PMID: 28687458","shortTitle":"Effectiveness of Screening Modalities in Colorectal Cancer","journalAbbreviation":"Clin Colorectal Cancer","language":"eng","author":[{"family":"Zhang","given":"Jianping"},{"family":"Cheng","given":"Zhiyuan"},{"family":"Ma","given":"Yubao"},{"family":"He","given":"Caili"},{"family":"Lu","given":"Yongbin"},{"family":"Zhao","given":"Yaxue"},{"family":"Chang","given":"Xiaoyu"},{"family":"Zhang","given":"Yawei"},{"family":"Bai","given":"Yana"},{"family":"Cheng","given":"Ning"}],"issued":{"date-parts":[["2017",12]]}}}],"schema":"https://github.com/citation-style-language/schema/raw/master/csl-citation.json"} </w:instrText>
      </w:r>
      <w:r w:rsidR="00D71917"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[12]</w:t>
      </w:r>
      <w:r w:rsidR="00D71917" w:rsidRPr="00DB7074">
        <w:rPr>
          <w:rFonts w:ascii="Book Antiqua" w:hAnsi="Book Antiqua" w:cs="Times New Roman"/>
          <w:sz w:val="24"/>
          <w:szCs w:val="24"/>
        </w:rPr>
        <w:fldChar w:fldCharType="end"/>
      </w:r>
      <w:r w:rsidR="009E0870" w:rsidRPr="00DB7074">
        <w:rPr>
          <w:rFonts w:ascii="Book Antiqua" w:hAnsi="Book Antiqua" w:cs="Times New Roman"/>
          <w:sz w:val="24"/>
          <w:szCs w:val="24"/>
        </w:rPr>
        <w:t xml:space="preserve">. </w:t>
      </w:r>
      <w:r w:rsidR="00F71DB5" w:rsidRPr="00DB7074">
        <w:rPr>
          <w:rFonts w:ascii="Book Antiqua" w:hAnsi="Book Antiqua" w:cs="Times New Roman"/>
          <w:sz w:val="24"/>
          <w:szCs w:val="24"/>
        </w:rPr>
        <w:t>S</w:t>
      </w:r>
      <w:r w:rsidR="009E0870" w:rsidRPr="00DB7074">
        <w:rPr>
          <w:rFonts w:ascii="Book Antiqua" w:hAnsi="Book Antiqua" w:cs="Times New Roman"/>
          <w:sz w:val="24"/>
          <w:szCs w:val="24"/>
        </w:rPr>
        <w:t xml:space="preserve">everal CRC screening tests have been </w:t>
      </w:r>
      <w:r w:rsidR="00700DA3" w:rsidRPr="00DB7074">
        <w:rPr>
          <w:rFonts w:ascii="Book Antiqua" w:hAnsi="Book Antiqua" w:cs="Times New Roman"/>
          <w:sz w:val="24"/>
          <w:szCs w:val="24"/>
        </w:rPr>
        <w:t>used and have</w:t>
      </w:r>
      <w:r w:rsidR="009E0870" w:rsidRPr="00DB7074">
        <w:rPr>
          <w:rFonts w:ascii="Book Antiqua" w:hAnsi="Book Antiqua" w:cs="Times New Roman"/>
          <w:sz w:val="24"/>
          <w:szCs w:val="24"/>
        </w:rPr>
        <w:t xml:space="preserve"> different degrees of performance</w:t>
      </w:r>
      <w:r w:rsidR="00700DA3" w:rsidRPr="00DB7074">
        <w:rPr>
          <w:rFonts w:ascii="Book Antiqua" w:hAnsi="Book Antiqua" w:cs="Times New Roman"/>
          <w:sz w:val="24"/>
          <w:szCs w:val="24"/>
        </w:rPr>
        <w:t xml:space="preserve"> that</w:t>
      </w:r>
      <w:r w:rsidR="009E0870" w:rsidRPr="00DB7074">
        <w:rPr>
          <w:rFonts w:ascii="Book Antiqua" w:hAnsi="Book Antiqua" w:cs="Times New Roman"/>
          <w:sz w:val="24"/>
          <w:szCs w:val="24"/>
        </w:rPr>
        <w:t xml:space="preserve"> vary worldwide and </w:t>
      </w:r>
      <w:r w:rsidR="00700DA3" w:rsidRPr="00DB7074">
        <w:rPr>
          <w:rFonts w:ascii="Book Antiqua" w:hAnsi="Book Antiqua" w:cs="Times New Roman"/>
          <w:sz w:val="24"/>
          <w:szCs w:val="24"/>
        </w:rPr>
        <w:t xml:space="preserve">are </w:t>
      </w:r>
      <w:r w:rsidR="009E0870" w:rsidRPr="00DB7074">
        <w:rPr>
          <w:rFonts w:ascii="Book Antiqua" w:hAnsi="Book Antiqua" w:cs="Times New Roman"/>
          <w:sz w:val="24"/>
          <w:szCs w:val="24"/>
        </w:rPr>
        <w:t xml:space="preserve">primarily driven by costs, lifestyle and endoscopic resource constraints. </w:t>
      </w:r>
      <w:r w:rsidR="00507882" w:rsidRPr="00DB7074">
        <w:rPr>
          <w:rFonts w:ascii="Book Antiqua" w:hAnsi="Book Antiqua" w:cs="Times New Roman"/>
          <w:sz w:val="24"/>
          <w:szCs w:val="24"/>
        </w:rPr>
        <w:t xml:space="preserve">In addition to </w:t>
      </w:r>
      <w:r w:rsidR="009E0870" w:rsidRPr="00DB7074">
        <w:rPr>
          <w:rFonts w:ascii="Book Antiqua" w:hAnsi="Book Antiqua" w:cs="Times New Roman"/>
          <w:sz w:val="24"/>
          <w:szCs w:val="24"/>
        </w:rPr>
        <w:t>the classic</w:t>
      </w:r>
      <w:r w:rsidR="00700DA3" w:rsidRPr="00DB7074">
        <w:rPr>
          <w:rFonts w:ascii="Book Antiqua" w:hAnsi="Book Antiqua" w:cs="Times New Roman"/>
          <w:sz w:val="24"/>
          <w:szCs w:val="24"/>
        </w:rPr>
        <w:t xml:space="preserve"> invasive</w:t>
      </w:r>
      <w:r w:rsidR="009E0870" w:rsidRPr="00DB7074">
        <w:rPr>
          <w:rFonts w:ascii="Book Antiqua" w:hAnsi="Book Antiqua" w:cs="Times New Roman"/>
          <w:sz w:val="24"/>
          <w:szCs w:val="24"/>
        </w:rPr>
        <w:t xml:space="preserve"> endoscopic approaches, </w:t>
      </w:r>
      <w:r w:rsidR="00700DA3" w:rsidRPr="00DB7074">
        <w:rPr>
          <w:rFonts w:ascii="Book Antiqua" w:hAnsi="Book Antiqua" w:cs="Times New Roman"/>
          <w:sz w:val="24"/>
          <w:szCs w:val="24"/>
        </w:rPr>
        <w:t>there has been great interest in</w:t>
      </w:r>
      <w:r w:rsidR="009E0870" w:rsidRPr="00DB7074">
        <w:rPr>
          <w:rFonts w:ascii="Book Antiqua" w:hAnsi="Book Antiqua" w:cs="Times New Roman"/>
          <w:sz w:val="24"/>
          <w:szCs w:val="24"/>
        </w:rPr>
        <w:t xml:space="preserve"> develop</w:t>
      </w:r>
      <w:r w:rsidR="00700DA3" w:rsidRPr="00DB7074">
        <w:rPr>
          <w:rFonts w:ascii="Book Antiqua" w:hAnsi="Book Antiqua" w:cs="Times New Roman"/>
          <w:sz w:val="24"/>
          <w:szCs w:val="24"/>
        </w:rPr>
        <w:t>ing</w:t>
      </w:r>
      <w:r w:rsidR="009E0870" w:rsidRPr="00DB7074">
        <w:rPr>
          <w:rFonts w:ascii="Book Antiqua" w:hAnsi="Book Antiqua" w:cs="Times New Roman"/>
          <w:sz w:val="24"/>
          <w:szCs w:val="24"/>
        </w:rPr>
        <w:t xml:space="preserve"> and evaluati</w:t>
      </w:r>
      <w:r w:rsidR="00700DA3" w:rsidRPr="00DB7074">
        <w:rPr>
          <w:rFonts w:ascii="Book Antiqua" w:hAnsi="Book Antiqua" w:cs="Times New Roman"/>
          <w:sz w:val="24"/>
          <w:szCs w:val="24"/>
        </w:rPr>
        <w:t>ng</w:t>
      </w:r>
      <w:r w:rsidR="009E0870" w:rsidRPr="00DB7074">
        <w:rPr>
          <w:rFonts w:ascii="Book Antiqua" w:hAnsi="Book Antiqua" w:cs="Times New Roman"/>
          <w:sz w:val="24"/>
          <w:szCs w:val="24"/>
        </w:rPr>
        <w:t xml:space="preserve"> non-invasive methods, </w:t>
      </w:r>
      <w:r w:rsidR="00700DA3" w:rsidRPr="00DB7074">
        <w:rPr>
          <w:rFonts w:ascii="Book Antiqua" w:hAnsi="Book Antiqua" w:cs="Times New Roman"/>
          <w:sz w:val="24"/>
          <w:szCs w:val="24"/>
        </w:rPr>
        <w:t xml:space="preserve">including </w:t>
      </w:r>
      <w:r w:rsidR="009E0870" w:rsidRPr="00DB7074">
        <w:rPr>
          <w:rFonts w:ascii="Book Antiqua" w:hAnsi="Book Antiqua" w:cs="Times New Roman"/>
          <w:sz w:val="24"/>
          <w:szCs w:val="24"/>
        </w:rPr>
        <w:t>radiographic</w:t>
      </w:r>
      <w:r w:rsidR="00700DA3" w:rsidRPr="00DB7074">
        <w:rPr>
          <w:rFonts w:ascii="Book Antiqua" w:hAnsi="Book Antiqua" w:cs="Times New Roman"/>
          <w:sz w:val="24"/>
          <w:szCs w:val="24"/>
        </w:rPr>
        <w:t xml:space="preserve"> </w:t>
      </w:r>
      <w:r w:rsidR="00700DA3" w:rsidRPr="00DB7074">
        <w:rPr>
          <w:rFonts w:ascii="Book Antiqua" w:hAnsi="Book Antiqua" w:cs="Times New Roman"/>
          <w:sz w:val="24"/>
          <w:szCs w:val="24"/>
        </w:rPr>
        <w:lastRenderedPageBreak/>
        <w:t>examinations and</w:t>
      </w:r>
      <w:r w:rsidR="009E0870" w:rsidRPr="00DB7074">
        <w:rPr>
          <w:rFonts w:ascii="Book Antiqua" w:hAnsi="Book Antiqua" w:cs="Times New Roman"/>
          <w:sz w:val="24"/>
          <w:szCs w:val="24"/>
        </w:rPr>
        <w:t xml:space="preserve"> stool- and blood-based tests</w:t>
      </w:r>
      <w:r w:rsidR="00700DA3" w:rsidRPr="00DB7074">
        <w:rPr>
          <w:rFonts w:ascii="Book Antiqua" w:hAnsi="Book Antiqua" w:cs="Times New Roman"/>
          <w:sz w:val="24"/>
          <w:szCs w:val="24"/>
        </w:rPr>
        <w:t>, with the goal of creating efficient, safe, convenient and cost-effective screening tools</w:t>
      </w:r>
      <w:r w:rsidR="00D71917"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{"citationID":"as6s9msjt0","properties":{"formattedCitation":"\\super [13\\uc0\\u8211{}18]\\nosupersub{}","plainCitation":"[13–18]","noteIndex":0},"citationItems":[{"id":"D1GMNV0O/yCUZBcsw","uris":["http://zotero.org/users/4804376/items/7RA2T446"],"uri":["http://zotero.org/users/4804376/items/7RA2T446"],"itemData":{"id":385,"type":"article-journal","title":"Colorectal Cancer Screening-Who, How, and When?","container-title":"Clinical Endoscopy","page":"37-49","volume":"51","issue":"1","source":"PubMed","abstract":"Colorectal cancer (CRC) is the third most common cancer worldwide. It is amenable to screening as it occurs in premalignant, latent, early, and curable stages. PubMed, Cochrane Database of Systematic Reviews, and national and international CRC screening guidelines were searched for CRC screening methods, populations, and timing. CRC screening can use direct or indirect tests, delivered opportunistically or via organized programs. Most CRCs are diagnosed after 60 years of age; most screening programs apply to individuals 50-75 years of age. Screening may reduce disease-specific mortality by detecting CRC in earlier stages, and CRC incidence by detecting premalignant polyps, which can subsequently be removed. In randomized controlled trials (RCTs) guaiac fecal occult blood testing (gFOBt) was found to reduce CRC mortality by 13%-33%. Fecal immunochemical testing (FIT) has no RCT data comparing it to no screening, but is superior to gFOBt. Flexible sigmoidoscopy (FS) trials demonstrated an 18% reduction in CRC incidence and a 28% reduction in CRC mortality. Currently, RCT evidence for colonoscopy screening is scarce. Although not yet corroborated by RCTs, it is likely that colonoscopy is the best screening modality for an individual. From a population perspective, organized programs are superior to opportunistic screening. However, no nation can offer organized population-wide colonoscopy screening. Thus, organized programs using cheaper modalities, such as FS/FIT, can be tailored to budget and capacity.","DOI":"10.5946/ce.2017.141","ISSN":"2234-2400","note":"PMID: 29397655\nPMCID: PMC5806924","journalAbbreviation":"Clin Endosc","language":"eng","author":[{"family":"Bevan","given":"Roisin"},{"family":"Rutter","given":"Matthew D."}],"issued":{"date-parts":[["2018",1]]}}},{"id":"D1GMNV0O/V3hgIQ0d","uris":["http://zotero.org/users/4804376/items/7RPKVMTZ"],"uri":["http://zotero.org/users/4804376/items/7RPKVMTZ"],"itemData":{"id":387,"type":"article-journal","title":"Colorectal Cancer Screening","container-title":"WMJ: official publication of the State Medical Society of Wisconsin","page":"27-33","volume":"116","issue":"1","source":"PubMed","abstract":"Colorectal cancer (CRC) continues to be one of the most commonly diagnosed cancers and contributes significantly to many cancer-related deaths despite sustained progress in diagnostic and treatment options. Many forms of CRC can be prevented through early and routine screening, when precancerous lesions may be detected and removed before they undergo malignant transformation or metastasis. Despite widespread efforts to improve CRC screening rates, at least 40% of age-eligible adults do not adhere to screening guidelines. A new generation of noninvasive, molecular-based diagnostic tests with high sensitivities and specificities has the potential to improve screening rates through optimal risk stratification of patients who may benefit from more invasive screening techniques. This review presents various guidelines and methods that are currently available for CRC screening, summarizes the rationale behind utilization of novel molecular-based diagnostic tests for CRC screening and prevention, and discusses appropriate screening techniques and intervals in populations of varying risk.","ISSN":"1098-1861","note":"PMID: 29099566","journalAbbreviation":"WMJ","language":"eng","author":[{"family":"Bray","given":"Christopher"},{"family":"Bell","given":"Lauren N."},{"family":"Liang","given":"Hong"},{"family":"Collins","given":"Dennis"},{"family":"Yale","given":"Steven H."}],"issued":{"date-parts":[["2017"]]}}},{"id":"D1GMNV0O/eVMWeHxH","uris":["http://zotero.org/users/4804376/items/ZZHJ46PC"],"uri":["http://zotero.org/users/4804376/items/ZZHJ46PC"],"itemData":{"id":423,"type":"article-journal","title":"Colorectal cancer, screening and primary care: A mini literature review","container-title":"World Journal of Gastroenterology","page":"6049-6058","volume":"23","issue":"33","source":"PubMed","abstract":"Colorectal cancer (CRC) is a common health problem, representing the third most commonly diagnosed cancer worldwide and causing a significant burden in terms of morbidity and mortality, with annual deaths estimated at 700000. The western way of life, that is being rapidly adopted in many regions of the world, is a well discussed risk factor for CRC and could be targeted in terms of primary prevention. Furthermore, the relatively slow development of this cancer permits drastic reduction of incidence and mortality through secondary prevention. These facts underlie primary care physicians (PCPs) being assigned a key role in health strategies that enhance prevention and prompt diagnosis. Herein, we review the main topics of CRC in the current literature, in order to better understand its pathogenesis, risk and protective factors, as well as screening techniques. Furthermore, we discuss preventive and screening policies to combat CRC and the crucial role served by PCPs in their successful implementation. Relevant articles were identified through electronic searches of MEDLINE and through manual searches of reference lists.","DOI":"10.3748/wjg.v23.i33.6049","ISSN":"2219-2840","note":"PMID: 28970720\nPMCID: PMC5597496","shortTitle":"Colorectal cancer, screening and primary care","journalAbbreviation":"World J. Gastroenterol.","language":"eng","author":[{"family":"Hadjipetrou","given":"Athanasios"},{"family":"Anyfantakis","given":"Dimitrios"},{"family":"Galanakis","given":"Christos G."},{"family":"Kastanakis","given":"Miltiades"},{"family":"Kastanakis","given":"Serafim"}],"issued":{"date-parts":[["2017",9,7]]}}},{"id":"D1GMNV0O/CYlV7BlT","uris":["http://zotero.org/users/4804376/items/AKKV2DIM"],"uri":["http://zotero.org/users/4804376/items/AKKV2DIM"],"itemData":{"id":427,"type":"article-journal","title":"Colorectal Cancer Screening: A Comprehensive Review to Recent Non-Invasive Methods","container-title":"International Journal of Hematology-Oncology and Stem Cell Research","page":"250-261","volume":"11","issue":"3","source":"PubMed","abstract":"Colorectal cancer (CRC) is one of the most common cancers worldwide and considered to be one of the hassles in medical communities. CRC develops from precancerous polyps in the colon or rectum and is preventable and curable by an early diagnosis and with the removal of premalignant polyps. In recent years, scientists have looked for inexpensive and safe ways to detect CRC in its earliest stages. Strong evidence shows that screening for CRC is a crucial way to reduce the incidence and mortality of this devastating disease. The main purpose for screening is to detect cancer or pre-cancer signs in all asymptomatic patients. In this review, we holistically introduce major pathways involved in the initiation and progression of colorectal tumorgenesis, which mainly includes chromosome instability (CIN), microsatellite instability (MSI), the CpG island methylator phenotype (CIMP), and we then will discuss different screening tests and especially the latest non-invasive fecal screening test kits for the detection of CRC.","ISSN":"2008-3009","note":"PMID: 28989593\nPMCID: PMC5625477","shortTitle":"Colorectal Cancer Screening","journalAbbreviation":"Int J Hematol Oncol Stem Cell Res","language":"eng","author":[{"family":"Hamzehzadeh","given":"Leila"},{"family":"Yousefi","given":"Meysam"},{"family":"Ghaffari","given":"Seyed-Hamidollah"}],"issued":{"date-parts":[["2017",7,1]]}}},{"id":"D1GMNV0O/lL7hiA5h","uris":["http://zotero.org/users/4804376/items/XIAJWZUN"],"uri":["http://zotero.org/users/4804376/items/XIAJWZUN"],"itemData":{"id":449,"type":"article-journal","title":"Colorectal cancer screening: An updated review of the available options","container-title":"World Journal of Gastroenterology","page":"5086-5096","volume":"23","issue":"28","source":"PubMed","abstract":"Colorectal cancer (CRC) is a significant cause of morbidity and mortality worldwide. However, colon cancer incidence and mortality is declining over the past decade owing to adoption of effective screening programs. Nevertheless, in some parts of the world, CRC incidence and mortality remain on the rise, likely due to factors including \"westernized\" diet, lifestyle, and lack of health-care infrastructure and resources. Participation and adherence to different national screening programs remain obstacles limiting the achievement of screening goals. Different modalities are available ranging from stool based tests to radiology and endoscopy with varying sensitivity and specificity. However, the availability of these tests is limited to areas with high economic resources. Recently, FDA approved a blood-based test (Epi procolon®) for CRC screening. This blood based test may serve to increase the participation and adherence rates. Hence, leading to increase in colon cancer detection and prevention. This article will discuss various CRC screening tests with a particular focus on the data regarding the new approved blood test. Finally, we will propose an algorithm for a simple cost-effective CRC screening program.","DOI":"10.3748/wjg.v23.i28.5086","ISSN":"2219-2840","note":"PMID: 28811705\nPMCID: PMC5537177","shortTitle":"Colorectal cancer screening","journalAbbreviation":"World J. Gastroenterol.","language":"eng","author":[{"family":"Issa","given":"Iyad A."},{"family":"Noureddine","given":"Malak"}],"issued":{"date-parts":[["2017",7,28]]}}},{"id":"D1GMNV0O/gjxDkGWI","uris":["http://zotero.org/users/4804376/items/5EIVWIF8"],"uri":["http://zotero.org/users/4804376/items/5EIVWIF8"],"itemData":{"id":483,"type":"article-journal","title":"Screening of colorectal cancer: present and future","container-title":"Expert Review of Anticancer Therapy","page":"1131-1146","volume":"17","issue":"12","source":"PubMed","abstract":"INTRODUCTION: Colorectal cancer (CRC) is the third most common cancer in males and second in females, and the fourth most common cause of cancer death worldwide. Currently, about 60-70% of diagnosed cases in symptomatic patients are detected at an advanced stage of disease. Earlier stage detection through the use of screening strategies would allow for better outcomes in terms of reducing the disease burden. Areas covered: The aim of this paper is to review the current published evidence from literature which assesses the performance and effectiveness of different screening tests for the early detection of CRC. Expert commentary: Adequate screening strategies can reduce CRC incidence and mortality. In the last few decades, several tests have been proposed for CRC screening. To date, there is still insufficient evidence to identify which approach is definitively superior, and no screening strategy for CRC can therefore be defined as universally ideal. The best strategy would be the one that can be economically viable and to which the patient can adhere best to over time. The latest guidelines suggest colonoscopy every 10 years or annual fecal immuno-chemical test (FIT) for people with normal risk, while for individuals with high risk or hereditary syndromes specific recommendations are provided.","DOI":"10.1080/14737140.2017.1392243","ISSN":"1744-8328","note":"PMID: 29022408","shortTitle":"Screening of colorectal cancer","journalAbbreviation":"Expert Rev Anticancer Ther","language":"eng","author":[{"family":"Maida","given":"Marcello"},{"family":"Macaluso","given":"Fabio Salvatore"},{"family":"Ianiro","given":"Gianluca"},{"family":"Mangiola","given":"Francesca"},{"family":"Sinagra","given":"Emanuele"},{"family":"Hold","given":"Georgina"},{"family":"Maida","given":"Carlo"},{"family":"Cammarota","given":"Giovanni"},{"family":"Gasbarrini","given":"Antonio"},{"family":"Scarpulla","given":"Giuseppe"}],"issued":{"date-parts":[["2017",12]]}}}],"schema":"https://github.com/citation-style-language/schema/raw/master/csl-citation.json"} </w:instrText>
      </w:r>
      <w:r w:rsidR="00D71917"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[13–18]</w:t>
      </w:r>
      <w:r w:rsidR="00D71917" w:rsidRPr="00DB7074">
        <w:rPr>
          <w:rFonts w:ascii="Book Antiqua" w:hAnsi="Book Antiqua" w:cs="Times New Roman"/>
          <w:sz w:val="24"/>
          <w:szCs w:val="24"/>
        </w:rPr>
        <w:fldChar w:fldCharType="end"/>
      </w:r>
      <w:r w:rsidR="00D71917" w:rsidRPr="00DB7074">
        <w:rPr>
          <w:rFonts w:ascii="Book Antiqua" w:hAnsi="Book Antiqua" w:cs="Times New Roman"/>
          <w:sz w:val="24"/>
          <w:szCs w:val="24"/>
        </w:rPr>
        <w:t>.</w:t>
      </w:r>
    </w:p>
    <w:p w14:paraId="22EB7EE4" w14:textId="57402E18" w:rsidR="00772F8E" w:rsidRPr="00DB7074" w:rsidRDefault="004726E4" w:rsidP="007D40E6">
      <w:pPr>
        <w:snapToGrid w:val="0"/>
        <w:spacing w:after="0" w:line="360" w:lineRule="auto"/>
        <w:ind w:firstLineChars="100" w:firstLine="240"/>
        <w:jc w:val="both"/>
        <w:rPr>
          <w:rFonts w:ascii="Book Antiqua" w:hAnsi="Book Antiqua" w:cs="Times New Roman"/>
          <w:sz w:val="24"/>
          <w:szCs w:val="24"/>
        </w:rPr>
      </w:pPr>
      <w:r w:rsidRPr="00DB7074">
        <w:rPr>
          <w:rFonts w:ascii="Book Antiqua" w:hAnsi="Book Antiqua" w:cs="Times New Roman"/>
          <w:sz w:val="24"/>
          <w:szCs w:val="24"/>
        </w:rPr>
        <w:t xml:space="preserve">Endoscopy is currently the most effective modality </w:t>
      </w:r>
      <w:r w:rsidR="00700DA3" w:rsidRPr="00DB7074">
        <w:rPr>
          <w:rFonts w:ascii="Book Antiqua" w:hAnsi="Book Antiqua" w:cs="Times New Roman"/>
          <w:sz w:val="24"/>
          <w:szCs w:val="24"/>
        </w:rPr>
        <w:t>for</w:t>
      </w:r>
      <w:r w:rsidRPr="00DB7074">
        <w:rPr>
          <w:rFonts w:ascii="Book Antiqua" w:hAnsi="Book Antiqua" w:cs="Times New Roman"/>
          <w:sz w:val="24"/>
          <w:szCs w:val="24"/>
        </w:rPr>
        <w:t xml:space="preserve"> detect</w:t>
      </w:r>
      <w:r w:rsidR="00700DA3" w:rsidRPr="00DB7074">
        <w:rPr>
          <w:rFonts w:ascii="Book Antiqua" w:hAnsi="Book Antiqua" w:cs="Times New Roman"/>
          <w:sz w:val="24"/>
          <w:szCs w:val="24"/>
        </w:rPr>
        <w:t>ing</w:t>
      </w:r>
      <w:r w:rsidRPr="00DB7074">
        <w:rPr>
          <w:rFonts w:ascii="Book Antiqua" w:hAnsi="Book Antiqua" w:cs="Times New Roman"/>
          <w:sz w:val="24"/>
          <w:szCs w:val="24"/>
        </w:rPr>
        <w:t xml:space="preserve"> asymptomatic premalignant polyps and CRC</w:t>
      </w:r>
      <w:r w:rsidR="00E5721A" w:rsidRPr="00DB7074">
        <w:rPr>
          <w:rFonts w:ascii="Book Antiqua" w:hAnsi="Book Antiqua" w:cs="Times New Roman"/>
          <w:sz w:val="24"/>
          <w:szCs w:val="24"/>
        </w:rPr>
        <w:t xml:space="preserve"> and</w:t>
      </w:r>
      <w:r w:rsidRPr="00DB7074">
        <w:rPr>
          <w:rFonts w:ascii="Book Antiqua" w:hAnsi="Book Antiqua" w:cs="Times New Roman"/>
          <w:sz w:val="24"/>
          <w:szCs w:val="24"/>
        </w:rPr>
        <w:t xml:space="preserve"> </w:t>
      </w:r>
      <w:r w:rsidR="00700DA3" w:rsidRPr="00DB7074">
        <w:rPr>
          <w:rFonts w:ascii="Book Antiqua" w:hAnsi="Book Antiqua" w:cs="Times New Roman"/>
          <w:sz w:val="24"/>
          <w:szCs w:val="24"/>
        </w:rPr>
        <w:t>for</w:t>
      </w:r>
      <w:r w:rsidRPr="00DB7074">
        <w:rPr>
          <w:rFonts w:ascii="Book Antiqua" w:hAnsi="Book Antiqua" w:cs="Times New Roman"/>
          <w:sz w:val="24"/>
          <w:szCs w:val="24"/>
        </w:rPr>
        <w:t xml:space="preserve"> prevent</w:t>
      </w:r>
      <w:r w:rsidR="00700DA3" w:rsidRPr="00DB7074">
        <w:rPr>
          <w:rFonts w:ascii="Book Antiqua" w:hAnsi="Book Antiqua" w:cs="Times New Roman"/>
          <w:sz w:val="24"/>
          <w:szCs w:val="24"/>
        </w:rPr>
        <w:t>ing</w:t>
      </w:r>
      <w:r w:rsidRPr="00DB7074">
        <w:rPr>
          <w:rFonts w:ascii="Book Antiqua" w:hAnsi="Book Antiqua" w:cs="Times New Roman"/>
          <w:sz w:val="24"/>
          <w:szCs w:val="24"/>
        </w:rPr>
        <w:t xml:space="preserve"> CRC development by the immediate removal of premalignant lesions</w:t>
      </w:r>
      <w:r w:rsidR="00D71917"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{"citationID":"a1nf9n8ct09","properties":{"formattedCitation":"\\super [13]\\nosupersub{}","plainCitation":"[13]","noteIndex":0},"citationItems":[{"id":"D1GMNV0O/yCUZBcsw","uris":["http://zotero.org/users/4804376/items/7RA2T446"],"uri":["http://zotero.org/users/4804376/items/7RA2T446"],"itemData":{"id":385,"type":"article-journal","title":"Colorectal Cancer Screening-Who, How, and When?","container-title":"Clinical Endoscopy","page":"37-49","volume":"51","issue":"1","source":"PubMed","abstract":"Colorectal cancer (CRC) is the third most common cancer worldwide. It is amenable to screening as it occurs in premalignant, latent, early, and curable stages. PubMed, Cochrane Database of Systematic Reviews, and national and international CRC screening guidelines were searched for CRC screening methods, populations, and timing. CRC screening can use direct or indirect tests, delivered opportunistically or via organized programs. Most CRCs are diagnosed after 60 years of age; most screening programs apply to individuals 50-75 years of age. Screening may reduce disease-specific mortality by detecting CRC in earlier stages, and CRC incidence by detecting premalignant polyps, which can subsequently be removed. In randomized controlled trials (RCTs) guaiac fecal occult blood testing (gFOBt) was found to reduce CRC mortality by 13%-33%. Fecal immunochemical testing (FIT) has no RCT data comparing it to no screening, but is superior to gFOBt. Flexible sigmoidoscopy (FS) trials demonstrated an 18% reduction in CRC incidence and a 28% reduction in CRC mortality. Currently, RCT evidence for colonoscopy screening is scarce. Although not yet corroborated by RCTs, it is likely that colonoscopy is the best screening modality for an individual. From a population perspective, organized programs are superior to opportunistic screening. However, no nation can offer organized population-wide colonoscopy screening. Thus, organized programs using cheaper modalities, such as FS/FIT, can be tailored to budget and capacity.","DOI":"10.5946/ce.2017.141","ISSN":"2234-2400","note":"PMID: 29397655\nPMCID: PMC5806924","journalAbbreviation":"Clin Endosc","language":"eng","author":[{"family":"Bevan","given":"Roisin"},{"family":"Rutter","given":"Matthew D."}],"issued":{"date-parts":[["2018",1]]}}}],"schema":"https://github.com/citation-style-language/schema/raw/master/csl-citation.json"} </w:instrText>
      </w:r>
      <w:r w:rsidR="00D71917"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[13]</w:t>
      </w:r>
      <w:r w:rsidR="00D71917" w:rsidRPr="00DB7074">
        <w:rPr>
          <w:rFonts w:ascii="Book Antiqua" w:hAnsi="Book Antiqua" w:cs="Times New Roman"/>
          <w:sz w:val="24"/>
          <w:szCs w:val="24"/>
        </w:rPr>
        <w:fldChar w:fldCharType="end"/>
      </w:r>
      <w:r w:rsidRPr="00DB7074">
        <w:rPr>
          <w:rFonts w:ascii="Book Antiqua" w:hAnsi="Book Antiqua" w:cs="Times New Roman"/>
          <w:sz w:val="24"/>
          <w:szCs w:val="24"/>
        </w:rPr>
        <w:t xml:space="preserve">. However, </w:t>
      </w:r>
      <w:r w:rsidR="00E13D83" w:rsidRPr="00DB7074">
        <w:rPr>
          <w:rFonts w:ascii="Book Antiqua" w:hAnsi="Book Antiqua" w:cs="Times New Roman"/>
          <w:sz w:val="24"/>
          <w:szCs w:val="24"/>
        </w:rPr>
        <w:t>this</w:t>
      </w:r>
      <w:r w:rsidRPr="00DB7074">
        <w:rPr>
          <w:rFonts w:ascii="Book Antiqua" w:hAnsi="Book Antiqua" w:cs="Times New Roman"/>
          <w:sz w:val="24"/>
          <w:szCs w:val="24"/>
        </w:rPr>
        <w:t xml:space="preserve"> procedure requir</w:t>
      </w:r>
      <w:r w:rsidR="00E13D83" w:rsidRPr="00DB7074">
        <w:rPr>
          <w:rFonts w:ascii="Book Antiqua" w:hAnsi="Book Antiqua" w:cs="Times New Roman"/>
          <w:sz w:val="24"/>
          <w:szCs w:val="24"/>
        </w:rPr>
        <w:t>es</w:t>
      </w:r>
      <w:r w:rsidRPr="00DB7074">
        <w:rPr>
          <w:rFonts w:ascii="Book Antiqua" w:hAnsi="Book Antiqua" w:cs="Times New Roman"/>
          <w:sz w:val="24"/>
          <w:szCs w:val="24"/>
        </w:rPr>
        <w:t xml:space="preserve"> prior bowel cleansing and caus</w:t>
      </w:r>
      <w:r w:rsidR="003F38C0" w:rsidRPr="00DB7074">
        <w:rPr>
          <w:rFonts w:ascii="Book Antiqua" w:hAnsi="Book Antiqua" w:cs="Times New Roman"/>
          <w:sz w:val="24"/>
          <w:szCs w:val="24"/>
        </w:rPr>
        <w:t>es</w:t>
      </w:r>
      <w:r w:rsidRPr="00DB7074">
        <w:rPr>
          <w:rFonts w:ascii="Book Antiqua" w:hAnsi="Book Antiqua" w:cs="Times New Roman"/>
          <w:sz w:val="24"/>
          <w:szCs w:val="24"/>
        </w:rPr>
        <w:t xml:space="preserve"> postprocedur</w:t>
      </w:r>
      <w:r w:rsidR="000F2740" w:rsidRPr="00DB7074">
        <w:rPr>
          <w:rFonts w:ascii="Book Antiqua" w:hAnsi="Book Antiqua" w:cs="Times New Roman"/>
          <w:sz w:val="24"/>
          <w:szCs w:val="24"/>
        </w:rPr>
        <w:t>al</w:t>
      </w:r>
      <w:r w:rsidRPr="00DB7074">
        <w:rPr>
          <w:rFonts w:ascii="Book Antiqua" w:hAnsi="Book Antiqua" w:cs="Times New Roman"/>
          <w:sz w:val="24"/>
          <w:szCs w:val="24"/>
        </w:rPr>
        <w:t xml:space="preserve"> discomfort</w:t>
      </w:r>
      <w:r w:rsidR="000F2740" w:rsidRPr="00DB7074">
        <w:rPr>
          <w:rFonts w:ascii="Book Antiqua" w:hAnsi="Book Antiqua" w:cs="Times New Roman"/>
          <w:sz w:val="24"/>
          <w:szCs w:val="24"/>
        </w:rPr>
        <w:t>,</w:t>
      </w:r>
      <w:r w:rsidRPr="00DB7074">
        <w:rPr>
          <w:rFonts w:ascii="Book Antiqua" w:hAnsi="Book Antiqua" w:cs="Times New Roman"/>
          <w:sz w:val="24"/>
          <w:szCs w:val="24"/>
        </w:rPr>
        <w:t xml:space="preserve"> </w:t>
      </w:r>
      <w:r w:rsidR="00E13D83" w:rsidRPr="00DB7074">
        <w:rPr>
          <w:rFonts w:ascii="Book Antiqua" w:hAnsi="Book Antiqua" w:cs="Times New Roman"/>
          <w:sz w:val="24"/>
          <w:szCs w:val="24"/>
        </w:rPr>
        <w:t xml:space="preserve">which are </w:t>
      </w:r>
      <w:r w:rsidR="00F02CD9" w:rsidRPr="00DB7074">
        <w:rPr>
          <w:rFonts w:ascii="Book Antiqua" w:hAnsi="Book Antiqua" w:cs="Times New Roman"/>
          <w:sz w:val="24"/>
          <w:szCs w:val="24"/>
        </w:rPr>
        <w:t>both r</w:t>
      </w:r>
      <w:r w:rsidRPr="00DB7074">
        <w:rPr>
          <w:rFonts w:ascii="Book Antiqua" w:hAnsi="Book Antiqua" w:cs="Times New Roman"/>
          <w:sz w:val="24"/>
          <w:szCs w:val="24"/>
        </w:rPr>
        <w:t xml:space="preserve">esponsible </w:t>
      </w:r>
      <w:r w:rsidR="000F2740" w:rsidRPr="00DB7074">
        <w:rPr>
          <w:rFonts w:ascii="Book Antiqua" w:hAnsi="Book Antiqua" w:cs="Times New Roman"/>
          <w:sz w:val="24"/>
          <w:szCs w:val="24"/>
        </w:rPr>
        <w:t>for</w:t>
      </w:r>
      <w:r w:rsidRPr="00DB7074">
        <w:rPr>
          <w:rFonts w:ascii="Book Antiqua" w:hAnsi="Book Antiqua" w:cs="Times New Roman"/>
          <w:sz w:val="24"/>
          <w:szCs w:val="24"/>
        </w:rPr>
        <w:t xml:space="preserve"> low participation rates </w:t>
      </w:r>
      <w:r w:rsidR="000F2740" w:rsidRPr="00DB7074">
        <w:rPr>
          <w:rFonts w:ascii="Book Antiqua" w:hAnsi="Book Antiqua" w:cs="Times New Roman"/>
          <w:sz w:val="24"/>
          <w:szCs w:val="24"/>
        </w:rPr>
        <w:t>in</w:t>
      </w:r>
      <w:r w:rsidRPr="00DB7074">
        <w:rPr>
          <w:rFonts w:ascii="Book Antiqua" w:hAnsi="Book Antiqua" w:cs="Times New Roman"/>
          <w:sz w:val="24"/>
          <w:szCs w:val="24"/>
        </w:rPr>
        <w:t xml:space="preserve"> colonoscopy CRC screening </w:t>
      </w:r>
      <w:r w:rsidR="00507882" w:rsidRPr="00DB7074">
        <w:rPr>
          <w:rFonts w:ascii="Book Antiqua" w:hAnsi="Book Antiqua" w:cs="Times New Roman"/>
          <w:sz w:val="24"/>
          <w:szCs w:val="24"/>
        </w:rPr>
        <w:t>programmes</w:t>
      </w:r>
      <w:r w:rsidR="00D71917"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{"citationID":"aetjgclgpn","properties":{"formattedCitation":"\\super [13]\\nosupersub{}","plainCitation":"[13]","noteIndex":0},"citationItems":[{"id":"D1GMNV0O/yCUZBcsw","uris":["http://zotero.org/users/4804376/items/7RA2T446"],"uri":["http://zotero.org/users/4804376/items/7RA2T446"],"itemData":{"id":385,"type":"article-journal","title":"Colorectal Cancer Screening-Who, How, and When?","container-title":"Clinical Endoscopy","page":"37-49","volume":"51","issue":"1","source":"PubMed","abstract":"Colorectal cancer (CRC) is the third most common cancer worldwide. It is amenable to screening as it occurs in premalignant, latent, early, and curable stages. PubMed, Cochrane Database of Systematic Reviews, and national and international CRC screening guidelines were searched for CRC screening methods, populations, and timing. CRC screening can use direct or indirect tests, delivered opportunistically or via organized programs. Most CRCs are diagnosed after 60 years of age; most screening programs apply to individuals 50-75 years of age. Screening may reduce disease-specific mortality by detecting CRC in earlier stages, and CRC incidence by detecting premalignant polyps, which can subsequently be removed. In randomized controlled trials (RCTs) guaiac fecal occult blood testing (gFOBt) was found to reduce CRC mortality by 13%-33%. Fecal immunochemical testing (FIT) has no RCT data comparing it to no screening, but is superior to gFOBt. Flexible sigmoidoscopy (FS) trials demonstrated an 18% reduction in CRC incidence and a 28% reduction in CRC mortality. Currently, RCT evidence for colonoscopy screening is scarce. Although not yet corroborated by RCTs, it is likely that colonoscopy is the best screening modality for an individual. From a population perspective, organized programs are superior to opportunistic screening. However, no nation can offer organized population-wide colonoscopy screening. Thus, organized programs using cheaper modalities, such as FS/FIT, can be tailored to budget and capacity.","DOI":"10.5946/ce.2017.141","ISSN":"2234-2400","note":"PMID: 29397655\nPMCID: PMC5806924","journalAbbreviation":"Clin Endosc","language":"eng","author":[{"family":"Bevan","given":"Roisin"},{"family":"Rutter","given":"Matthew D."}],"issued":{"date-parts":[["2018",1]]}}}],"schema":"https://github.com/citation-style-language/schema/raw/master/csl-citation.json"} </w:instrText>
      </w:r>
      <w:r w:rsidR="00D71917"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[13]</w:t>
      </w:r>
      <w:r w:rsidR="00D71917" w:rsidRPr="00DB7074">
        <w:rPr>
          <w:rFonts w:ascii="Book Antiqua" w:hAnsi="Book Antiqua" w:cs="Times New Roman"/>
          <w:sz w:val="24"/>
          <w:szCs w:val="24"/>
        </w:rPr>
        <w:fldChar w:fldCharType="end"/>
      </w:r>
      <w:r w:rsidR="00E13D83" w:rsidRPr="00DB7074">
        <w:rPr>
          <w:rFonts w:ascii="Book Antiqua" w:hAnsi="Book Antiqua" w:cs="Times New Roman"/>
          <w:sz w:val="24"/>
          <w:szCs w:val="24"/>
        </w:rPr>
        <w:t>. Moreover</w:t>
      </w:r>
      <w:r w:rsidR="00604435" w:rsidRPr="00DB7074">
        <w:rPr>
          <w:rFonts w:ascii="Book Antiqua" w:hAnsi="Book Antiqua" w:cs="Times New Roman"/>
          <w:sz w:val="24"/>
          <w:szCs w:val="24"/>
        </w:rPr>
        <w:t>,</w:t>
      </w:r>
      <w:r w:rsidRPr="00DB7074">
        <w:rPr>
          <w:rFonts w:ascii="Book Antiqua" w:hAnsi="Book Antiqua" w:cs="Times New Roman"/>
          <w:sz w:val="24"/>
          <w:szCs w:val="24"/>
        </w:rPr>
        <w:t xml:space="preserve"> the need for general </w:t>
      </w:r>
      <w:r w:rsidR="00507882" w:rsidRPr="00DB7074">
        <w:rPr>
          <w:rFonts w:ascii="Book Antiqua" w:hAnsi="Book Antiqua" w:cs="Times New Roman"/>
          <w:sz w:val="24"/>
          <w:szCs w:val="24"/>
        </w:rPr>
        <w:t>anaesthesia</w:t>
      </w:r>
      <w:r w:rsidRPr="00DB7074">
        <w:rPr>
          <w:rFonts w:ascii="Book Antiqua" w:hAnsi="Book Antiqua" w:cs="Times New Roman"/>
          <w:sz w:val="24"/>
          <w:szCs w:val="24"/>
        </w:rPr>
        <w:t xml:space="preserve"> and the invasiveness of the procedure expose</w:t>
      </w:r>
      <w:r w:rsidR="000F2740" w:rsidRPr="00DB7074">
        <w:rPr>
          <w:rFonts w:ascii="Book Antiqua" w:hAnsi="Book Antiqua" w:cs="Times New Roman"/>
          <w:sz w:val="24"/>
          <w:szCs w:val="24"/>
        </w:rPr>
        <w:t>s</w:t>
      </w:r>
      <w:r w:rsidRPr="00DB7074">
        <w:rPr>
          <w:rFonts w:ascii="Book Antiqua" w:hAnsi="Book Antiqua" w:cs="Times New Roman"/>
          <w:sz w:val="24"/>
          <w:szCs w:val="24"/>
        </w:rPr>
        <w:t xml:space="preserve"> patients to potentially severe complications</w:t>
      </w:r>
      <w:r w:rsidR="00D71917"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{"citationID":"RpI5oSqY","properties":{"formattedCitation":"\\super [19,20]\\nosupersub{}","plainCitation":"[19,20]","noteIndex":0},"citationItems":[{"id":"D1GMNV0O/YFS1VZsn","uris":["http://zotero.org/users/4804376/items/WHS66WXM"],"uri":["http://zotero.org/users/4804376/items/WHS66WXM"],"itemData":{"id":475,"type":"article-journal","title":"Colorectal cancer screening by guaiac faecal occult blood test in France: Evaluation of the programme two years after launching","container-title":"Cancer Epidemiology","page":"959-967","volume":"37","issue":"6","source":"PubMed","abstract":"BACKGROUND: The French national screening programme for colorectal cancer (CRC) was rolled out nationwide from 2008. It targets men and women aged 50-74 who are invited every 2 years to perform a guaiac faecal occult blood test, followed, if positive, by a colonoscopy. This paper presents the evaluation of the programme for the 46 French districts that conducted a comprehensive screening campaign during 2008-2009, targeting 9.7 million people.\nMETHODS: National database gathering information on people who were screened was used to estimate indicators reflecting the programme performance.\nRESULTS: Participation was 34.3%, with nearly three million people being tested. The percentage of positive tests was 2.8%. Completion of colonoscopies following a positive test was 88%. For men, 36.8% of the results of colonic explorations were normal, 40.1% were adenomas, and 9.0% were CRC, based on the most pejorative lesion. For women, corresponding figures were 55.9%, 25.7% and 5.8%. A CRC was detected for 7.5% of people who had a colonic exploration. The advanced adenoma detection rate among those screened was 4.9‰ and the CRC detection rate was 1.9‰. The description of CRC could only be made for 21 districts, for which 1441 invasive colonic adenocarcinomas were diagnosed; of these, 43% were stage I, 23% stage II, 25% stage III and 9% stage IV.\nCONCLUSION: This first evaluation since the programme was rolled out provides an inventory of CRC screening in France and points out some improvements expected, especially in terms of participation which is below the European recommendations. Future evaluations will analyse trends in these indicators.","DOI":"10.1016/j.canep.2013.07.008","ISSN":"1877-783X","note":"PMID: 24035240","shortTitle":"Colorectal cancer screening by guaiac faecal occult blood test in France","journalAbbreviation":"Cancer Epidemiol","language":"eng","author":[{"family":"Leuraud","given":"Klervi"},{"family":"Jezewski-Serra","given":"Delphine"},{"family":"Viguier","given":"Jérôme"},{"family":"Salines","given":"Emmanuelle"}],"issued":{"date-parts":[["2013",12]]}}},{"id":"D1GMNV0O/COTwcUoP","uris":["http://zotero.org/users/4804376/items/7ULFXS5L"],"uri":["http://zotero.org/users/4804376/items/7ULFXS5L"],"itemData":{"id":541,"type":"article-journal","title":"Risk factors for adverse events related to polypectomy in the English Bowel Cancer Screening Programme","container-title":"Endoscopy","page":"90-97","volume":"46","issue":"2","source":"PubMed","abstract":"BACKGROUND AND STUDY AIMS: The English National Health Service Bowel Cancer Screening Programme (NHSBCSP) is one of the world's largest organized screening programs. Minimizing adverse events is essential for any screening program. Study aims were to determine rates and to examine risk factors for adverse events.\nPATIENTS AND METHODS: Bleeding and perforations in NHSBCSP colonoscopies between August 2006 and January 2012 were examined. Logistic regression was used to examine risk factors for adverse events, including age, gender, polyp size, morphology, and location. For accurate attribution of adverse events, procedures with resection of only one polyp (\"single-polypectomy\") were analyzed in detail.\nRESULTS: 130</w:instrText>
      </w:r>
      <w:r w:rsidR="002A773B" w:rsidRPr="00DB7074">
        <w:rPr>
          <w:rFonts w:ascii="Times New Roman" w:hAnsi="Times New Roman" w:cs="Times New Roman"/>
          <w:sz w:val="24"/>
          <w:szCs w:val="24"/>
        </w:rPr>
        <w:instrText> </w:instrText>
      </w:r>
      <w:r w:rsidR="002A773B" w:rsidRPr="00DB7074">
        <w:rPr>
          <w:rFonts w:ascii="Book Antiqua" w:hAnsi="Book Antiqua" w:cs="Times New Roman"/>
          <w:sz w:val="24"/>
          <w:szCs w:val="24"/>
        </w:rPr>
        <w:instrText>831 colonoscopies (167</w:instrText>
      </w:r>
      <w:r w:rsidR="002A773B" w:rsidRPr="00DB7074">
        <w:rPr>
          <w:rFonts w:ascii="Times New Roman" w:hAnsi="Times New Roman" w:cs="Times New Roman"/>
          <w:sz w:val="24"/>
          <w:szCs w:val="24"/>
        </w:rPr>
        <w:instrText> </w:instrText>
      </w:r>
      <w:r w:rsidR="002A773B" w:rsidRPr="00DB7074">
        <w:rPr>
          <w:rFonts w:ascii="Book Antiqua" w:hAnsi="Book Antiqua" w:cs="Times New Roman"/>
          <w:sz w:val="24"/>
          <w:szCs w:val="24"/>
        </w:rPr>
        <w:instrText>208 polypectomies) were analyzed, including 30 881 single-polypectomies. Overall bleeding rate was 0.65</w:instrText>
      </w:r>
      <w:r w:rsidR="002A773B" w:rsidRPr="00DB7074">
        <w:rPr>
          <w:rFonts w:ascii="Times New Roman" w:hAnsi="Times New Roman" w:cs="Times New Roman"/>
          <w:sz w:val="24"/>
          <w:szCs w:val="24"/>
        </w:rPr>
        <w:instrText> </w:instrText>
      </w:r>
      <w:r w:rsidR="002A773B" w:rsidRPr="00DB7074">
        <w:rPr>
          <w:rFonts w:ascii="Book Antiqua" w:hAnsi="Book Antiqua" w:cs="Times New Roman"/>
          <w:sz w:val="24"/>
          <w:szCs w:val="24"/>
        </w:rPr>
        <w:instrText>%, rate of bleeding requiring transfusion was 0.04</w:instrText>
      </w:r>
      <w:r w:rsidR="002A773B" w:rsidRPr="00DB7074">
        <w:rPr>
          <w:rFonts w:ascii="Times New Roman" w:hAnsi="Times New Roman" w:cs="Times New Roman"/>
          <w:sz w:val="24"/>
          <w:szCs w:val="24"/>
        </w:rPr>
        <w:instrText> </w:instrText>
      </w:r>
      <w:r w:rsidR="002A773B" w:rsidRPr="00DB7074">
        <w:rPr>
          <w:rFonts w:ascii="Book Antiqua" w:hAnsi="Book Antiqua" w:cs="Times New Roman"/>
          <w:sz w:val="24"/>
          <w:szCs w:val="24"/>
        </w:rPr>
        <w:instrText>% and perforation rate was 0.06</w:instrText>
      </w:r>
      <w:r w:rsidR="002A773B" w:rsidRPr="00DB7074">
        <w:rPr>
          <w:rFonts w:ascii="Times New Roman" w:hAnsi="Times New Roman" w:cs="Times New Roman"/>
          <w:sz w:val="24"/>
          <w:szCs w:val="24"/>
        </w:rPr>
        <w:instrText> </w:instrText>
      </w:r>
      <w:r w:rsidR="002A773B" w:rsidRPr="00DB7074">
        <w:rPr>
          <w:rFonts w:ascii="Book Antiqua" w:hAnsi="Book Antiqua" w:cs="Times New Roman"/>
          <w:sz w:val="24"/>
          <w:szCs w:val="24"/>
        </w:rPr>
        <w:instrText>%. Polypectomy increased bleeding risk 11.14-fold and perforation risk 2.97-fold. Cecal location (but not elsewhere in the proximal colon) and increasing polyp size were the two most important risk factors for bleeding and perforation. After adjustment for polyp size, the odds ratio (OR) relative to the distal colon for bleeding requiring transfusion after cecal snare polypectomy was 13.5 (95</w:instrText>
      </w:r>
      <w:r w:rsidR="002A773B" w:rsidRPr="00DB7074">
        <w:rPr>
          <w:rFonts w:ascii="Times New Roman" w:hAnsi="Times New Roman" w:cs="Times New Roman"/>
          <w:sz w:val="24"/>
          <w:szCs w:val="24"/>
        </w:rPr>
        <w:instrText> </w:instrText>
      </w:r>
      <w:r w:rsidR="002A773B" w:rsidRPr="00DB7074">
        <w:rPr>
          <w:rFonts w:ascii="Book Antiqua" w:hAnsi="Book Antiqua" w:cs="Times New Roman"/>
          <w:sz w:val="24"/>
          <w:szCs w:val="24"/>
        </w:rPr>
        <w:instrText>%CI 3.9</w:instrText>
      </w:r>
      <w:r w:rsidR="002A773B" w:rsidRPr="00DB7074">
        <w:rPr>
          <w:rFonts w:ascii="Times New Roman" w:hAnsi="Times New Roman" w:cs="Times New Roman"/>
          <w:sz w:val="24"/>
          <w:szCs w:val="24"/>
        </w:rPr>
        <w:instrText> </w:instrText>
      </w:r>
      <w:r w:rsidR="002A773B" w:rsidRPr="00DB7074">
        <w:rPr>
          <w:rFonts w:ascii="Book Antiqua" w:hAnsi="Book Antiqua" w:cs="Times New Roman"/>
          <w:sz w:val="24"/>
          <w:szCs w:val="24"/>
        </w:rPr>
        <w:instrText>-</w:instrText>
      </w:r>
      <w:r w:rsidR="002A773B" w:rsidRPr="00DB7074">
        <w:rPr>
          <w:rFonts w:ascii="Times New Roman" w:hAnsi="Times New Roman" w:cs="Times New Roman"/>
          <w:sz w:val="24"/>
          <w:szCs w:val="24"/>
        </w:rPr>
        <w:instrText> </w:instrText>
      </w:r>
      <w:r w:rsidR="002A773B" w:rsidRPr="00DB7074">
        <w:rPr>
          <w:rFonts w:ascii="Book Antiqua" w:hAnsi="Book Antiqua" w:cs="Times New Roman"/>
          <w:sz w:val="24"/>
          <w:szCs w:val="24"/>
        </w:rPr>
        <w:instrText>46.4) and for perforation after cecal nonpedunculated polypectomy it was 12.2 (95</w:instrText>
      </w:r>
      <w:r w:rsidR="002A773B" w:rsidRPr="00DB7074">
        <w:rPr>
          <w:rFonts w:ascii="Times New Roman" w:hAnsi="Times New Roman" w:cs="Times New Roman"/>
          <w:sz w:val="24"/>
          <w:szCs w:val="24"/>
        </w:rPr>
        <w:instrText> </w:instrText>
      </w:r>
      <w:r w:rsidR="002A773B" w:rsidRPr="00DB7074">
        <w:rPr>
          <w:rFonts w:ascii="Book Antiqua" w:hAnsi="Book Antiqua" w:cs="Times New Roman"/>
          <w:sz w:val="24"/>
          <w:szCs w:val="24"/>
        </w:rPr>
        <w:instrText>%CI 1.2</w:instrText>
      </w:r>
      <w:r w:rsidR="002A773B" w:rsidRPr="00DB7074">
        <w:rPr>
          <w:rFonts w:ascii="Times New Roman" w:hAnsi="Times New Roman" w:cs="Times New Roman"/>
          <w:sz w:val="24"/>
          <w:szCs w:val="24"/>
        </w:rPr>
        <w:instrText> </w:instrText>
      </w:r>
      <w:r w:rsidR="002A773B" w:rsidRPr="00DB7074">
        <w:rPr>
          <w:rFonts w:ascii="Book Antiqua" w:hAnsi="Book Antiqua" w:cs="Times New Roman"/>
          <w:sz w:val="24"/>
          <w:szCs w:val="24"/>
        </w:rPr>
        <w:instrText>-</w:instrText>
      </w:r>
      <w:r w:rsidR="002A773B" w:rsidRPr="00DB7074">
        <w:rPr>
          <w:rFonts w:ascii="Times New Roman" w:hAnsi="Times New Roman" w:cs="Times New Roman"/>
          <w:sz w:val="24"/>
          <w:szCs w:val="24"/>
        </w:rPr>
        <w:instrText> </w:instrText>
      </w:r>
      <w:r w:rsidR="002A773B" w:rsidRPr="00DB7074">
        <w:rPr>
          <w:rFonts w:ascii="Book Antiqua" w:hAnsi="Book Antiqua" w:cs="Times New Roman"/>
          <w:sz w:val="24"/>
          <w:szCs w:val="24"/>
        </w:rPr>
        <w:instrText xml:space="preserve">119.5).\nCONCLUSION: This is the largest study focusing on polyp-specific risk factors. We have confirmed that the greatest risk factor for both post-polypectomy bleeding and perforation is polyp size. This is the first demonstration of substantial and significantly increased risk for both noteworthy bleeding (requiring transfusion) and perforation from cecal polypectomy for a given polyp size, compared with elsewhere in the colon.","DOI":"10.1055/s-0033-1344987","ISSN":"1438-8812","note":"PMID: 24477363","journalAbbreviation":"Endoscopy","language":"eng","author":[{"family":"Rutter","given":"Matthew D."},{"family":"Nickerson","given":"Claire"},{"family":"Rees","given":"Colin J."},{"family":"Patnick","given":"Julietta"},{"family":"Blanks","given":"Roger G."}],"issued":{"date-parts":[["2014",2]]}}}],"schema":"https://github.com/citation-style-language/schema/raw/master/csl-citation.json"} </w:instrText>
      </w:r>
      <w:r w:rsidR="00D71917"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[19,20]</w:t>
      </w:r>
      <w:r w:rsidR="00D71917" w:rsidRPr="00DB7074">
        <w:rPr>
          <w:rFonts w:ascii="Book Antiqua" w:hAnsi="Book Antiqua" w:cs="Times New Roman"/>
          <w:sz w:val="24"/>
          <w:szCs w:val="24"/>
        </w:rPr>
        <w:fldChar w:fldCharType="end"/>
      </w:r>
      <w:r w:rsidRPr="00DB7074">
        <w:rPr>
          <w:rFonts w:ascii="Book Antiqua" w:hAnsi="Book Antiqua" w:cs="Times New Roman"/>
          <w:sz w:val="24"/>
          <w:szCs w:val="24"/>
        </w:rPr>
        <w:t xml:space="preserve">. </w:t>
      </w:r>
      <w:r w:rsidR="000F2740" w:rsidRPr="00DB7074">
        <w:rPr>
          <w:rFonts w:ascii="Book Antiqua" w:hAnsi="Book Antiqua" w:cs="Times New Roman"/>
          <w:sz w:val="24"/>
          <w:szCs w:val="24"/>
        </w:rPr>
        <w:t>C</w:t>
      </w:r>
      <w:r w:rsidRPr="00DB7074">
        <w:rPr>
          <w:rFonts w:ascii="Book Antiqua" w:hAnsi="Book Antiqua" w:cs="Times New Roman"/>
          <w:sz w:val="24"/>
          <w:szCs w:val="24"/>
        </w:rPr>
        <w:t xml:space="preserve">omputed tomography (CT) colonography, also known as “virtual colonoscopy”, </w:t>
      </w:r>
      <w:r w:rsidR="00FF7BDD" w:rsidRPr="00DB7074">
        <w:rPr>
          <w:rFonts w:ascii="Book Antiqua" w:hAnsi="Book Antiqua" w:cs="Times New Roman"/>
          <w:sz w:val="24"/>
          <w:szCs w:val="24"/>
        </w:rPr>
        <w:t>is</w:t>
      </w:r>
      <w:r w:rsidR="00507882" w:rsidRPr="00DB7074">
        <w:rPr>
          <w:rFonts w:ascii="Book Antiqua" w:hAnsi="Book Antiqua" w:cs="Times New Roman"/>
          <w:sz w:val="24"/>
          <w:szCs w:val="24"/>
        </w:rPr>
        <w:t xml:space="preserve"> a no</w:t>
      </w:r>
      <w:r w:rsidR="00FF7BDD" w:rsidRPr="00DB7074">
        <w:rPr>
          <w:rFonts w:ascii="Book Antiqua" w:hAnsi="Book Antiqua" w:cs="Times New Roman"/>
          <w:sz w:val="24"/>
          <w:szCs w:val="24"/>
        </w:rPr>
        <w:t xml:space="preserve">n-invasive </w:t>
      </w:r>
      <w:r w:rsidRPr="00DB7074">
        <w:rPr>
          <w:rFonts w:ascii="Book Antiqua" w:hAnsi="Book Antiqua" w:cs="Times New Roman"/>
          <w:sz w:val="24"/>
          <w:szCs w:val="24"/>
        </w:rPr>
        <w:t>alternative to colonoscopy</w:t>
      </w:r>
      <w:r w:rsidR="004B5CC3"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{"citationID":"a1vgg1kvg2l","properties":{"formattedCitation":"\\super [21\\uc0\\u8211{}23]\\nosupersub{}","plainCitation":"[21–23]","noteIndex":0},"citationItems":[{"id":"D1GMNV0O/UYMxBSH3","uris":["http://zotero.org/users/4804376/items/8LC87CVD"],"uri":["http://zotero.org/users/4804376/items/8LC87CVD"],"itemData":{"id":533,"type":"article-journal","title":"American College of Gastroenterology guidelines for colorectal cancer screening 2009 [corrected]","container-title":"The American Journal of Gastroenterology","page":"739-750","volume":"104","issue":"3","source":"PubMed","abstract":"This document is the first update of the American College of Gastroenterology (ACG) colorectal cancer (CRC) screening recommendations since 2000. The CRC screening tests are now grouped into cancer prevention tests and cancer detection tests. Colonoscopy every 10 years, beginning at age 50, remains the preferred CRC screening strategy. It is recognized that colonoscopy is not available in every clinical setting because of economic limitations. It is also realized that not all eligible persons are willing to undergo colonoscopy for screening purposes. In these cases, patients should be offered an alternative CRC prevention test (flexible sigmoidoscopy every 5-10 years, or a computed tomography (CT) colonography every 5 years) or a cancer detection test (fecal immunochemical test for blood, FIT).","DOI":"10.1038/ajg.2009.104","ISSN":"1572-0241","note":"PMID: 19240699","journalAbbreviation":"Am. J. Gastroenterol.","language":"eng","author":[{"family":"Rex","given":"Douglas K."},{"family":"Johnson","given":"David A."},{"family":"Anderson","given":"Joseph C."},{"family":"Schoenfeld","given":"Phillip S."},{"family":"Burke","given":"Carol A."},{"family":"Inadomi","given":"John M."},{"literal":"American College of Gastroenterology"}],"issued":{"date-parts":[["2009",3]]}}},{"id":"D1GMNV0O/MBSWLDww","uris":["http://zotero.org/users/4804376/items/P4KZGTMN"],"uri":["http://zotero.org/users/4804376/items/P4KZGTMN"],"itemData":{"id":525,"type":"article-journal","title":"Controversies in colorectal cancer screening","container-title":"Digestion","page":"274-281","volume":"89","issue":"4","source":"PubMed","abstract":"BACKGROUND: Colorectal cancer (CRC) is one of the most common cancers worldwide and a good candidate for screening programmes. However, there is controversy concerning which of the available screening tests should be used.\nSUMMARY: There is general agreement that screening for CRC in the asymptomatic population should begin at the age of 50. Several different screening methods are available which can be separated into those that mainly detect cancers: faecal occult blood tests [guaiac (FOBT) and immunochemical (FIT)], genetic stool tests, blood tests and the M2-pyruvate kinase (M2-PK) test. Methods that detect cancers and polyps are colonoscopy, sigmoidoscopy, CT-colonography (CT-C) and colon capsule endoscopy. The only tests for which a reduction in CRC mortality compared to no screening have been proven in randomized trials are FOBT and sigmoidoscopy. Several trials suggest that FIT are superior to FOBT in terms of detection rates of cancers and advanced adenomas and possibly compliance. There is indirect evidence suggesting efficacy of colonoscopy as a screening test. The role of CT-C is controversial. There is data suggesting a good sensitivity for neoplasia &gt;9 mm with a lower sensitivity for smaller neoplasia. However, radiation exposure is considered a major limitation in some countries. Unresolved questions include the lesion cut-off for referral to colonoscopy and work-up of extracolonic findings. For other methods, like genetic stool testing using newer markers, blood tests, capsule endoscopy and M2-PK, there is currently insufficient data on screening of the asymptomatic population. Key Messages: Colorectal screening is recommended and should be performed in the form of an organized programme. If detection of early-stage cancers is the aim of a screening programme, FIT seem to be superior to FOBT. If detection and removal of adenomas is the aim of a screening programme, endoscopic methods seem to be good alternatives. Sigmoidoscopy is easier to perform but will likely only have an effect on distal cancers. Colonoscopy is more invasive but enables inspection of the whole colon. The role of CT-C, capsule endoscopy, genetic stool tests, blood tests and M2-PK is currently unknown.","DOI":"10.1159/000363287","ISSN":"1421-9867","note":"PMID: 25034478","journalAbbreviation":"Digestion","language":"eng","author":[{"family":"Pox","given":"Christian P."}],"issued":{"date-parts":[["2014"]]}}},{"id":"D1GMNV0O/G59F8Jtt","uris":["http://zotero.org/users/4804376/items/LX84DWDA"],"uri":["http://zotero.org/users/4804376/items/LX84DWDA"],"itemData":{"id":543,"type":"article-journal","title":"Reduced and Full-Preparation CT Colonography, Fecal Immunochemical Test, and Colonoscopy for Population Screening of Colorectal Cancer: A Randomized Trial","container-title":"Journal of the National Cancer Institute","volume":"108","issue":"2","source":"PubMed","abstract":"BACKGROUND: Population screening for colorectal cancer (CRC) is widely adopted, but the preferred strategy is still under debate. We aimed to compare reduced (r-CTC) and full cathartic preparation CT colonography (f-CTC), fecal immunochemical test (FIT), and optical colonoscopy (OC) as primary screening tests for CRC.\nMETHODS: Citizens of a district of Florence, Italy, age 54 to 65 years, were allocated (8:2.5:2.5:1) with simple randomization </w:instrText>
      </w:r>
      <w:r w:rsidR="002A773B" w:rsidRPr="00DB7074">
        <w:rPr>
          <w:rFonts w:ascii="Book Antiqua" w:hAnsi="Book Antiqua" w:cs="Times New Roman" w:hint="eastAsia"/>
          <w:sz w:val="24"/>
          <w:szCs w:val="24"/>
        </w:rPr>
        <w:instrText xml:space="preserve">to be invited by mail to one of four screening interventions: 1) biennial FIT for three rounds, 2) r-CTC, 3) f-CTC, 4) OC. Patients tested positive to FIT or CTC (at least one polyp </w:instrText>
      </w:r>
      <w:r w:rsidR="002A773B" w:rsidRPr="00DB7074">
        <w:rPr>
          <w:rFonts w:ascii="Book Antiqua" w:hAnsi="Book Antiqua" w:cs="Times New Roman" w:hint="eastAsia"/>
          <w:sz w:val="24"/>
          <w:szCs w:val="24"/>
        </w:rPr>
        <w:instrText>≥</w:instrText>
      </w:r>
      <w:r w:rsidR="002A773B" w:rsidRPr="00DB7074">
        <w:rPr>
          <w:rFonts w:ascii="Book Antiqua" w:hAnsi="Book Antiqua" w:cs="Times New Roman" w:hint="eastAsia"/>
          <w:sz w:val="24"/>
          <w:szCs w:val="24"/>
        </w:rPr>
        <w:instrText>6mm) were referred to OC work-up. The primary outcomes were participatio</w:instrText>
      </w:r>
      <w:r w:rsidR="002A773B" w:rsidRPr="00DB7074">
        <w:rPr>
          <w:rFonts w:ascii="Book Antiqua" w:hAnsi="Book Antiqua" w:cs="Times New Roman"/>
          <w:sz w:val="24"/>
          <w:szCs w:val="24"/>
        </w:rPr>
        <w:instrText xml:space="preserve">n rate and detection rate (DR) for cancer or advanced adenoma (advanced neoplasia). All statistical tests were two-sided.\nRESULTS: Sixteen thousand eighty-seven randomly assigned subjects were invited to the assigned screening test. Participation rates were 50.4% (4677/9288) for first-round FIT, 28.1% (674/2395) for r-CTC, 25.2% (612/2430) for f-CTC, and 14.8% (153/1036) for OC. All differences between groups were statistically significant (P = .047 for r-CTC vs f-CTC; P &lt; .001 for all others). DRs for advanced neoplasia were 1.7% (79/4677) for first-round FIT, 5.5% (37/674) for r-CTC, 4.9% (30/612) for f-CTC, and 7.2% (11/153) for OC. Differences in DR between CTC groups and FIT were statistically significant (P &lt; .001), but not between r-CTC and f-CTC (P = .65).\nCONCLUSIONS: Reduced preparation increases participation in CTC. Lower attendance and higher DR of CTC as compared with FIT are key factors for the optimization of its role in population screening of CRC.","DOI":"10.1093/jnci/djv319","ISSN":"1460-2105","note":"PMID: 26719225","shortTitle":"Reduced and Full-Preparation CT Colonography, Fecal Immunochemical Test, and Colonoscopy for Population Screening of Colorectal Cancer","journalAbbreviation":"J. Natl. Cancer Inst.","language":"eng","author":[{"family":"Sali","given":"Lapo"},{"family":"Mascalchi","given":"Mario"},{"family":"Falchini","given":"Massimo"},{"family":"Ventura","given":"Leonardo"},{"family":"Carozzi","given":"Francesca"},{"family":"Castiglione","given":"Guido"},{"family":"Delsanto","given":"Silvia"},{"family":"Mallardi","given":"Beatrice"},{"family":"Mantellini","given":"Paola"},{"family":"Milani","given":"Stefano"},{"family":"Zappa","given":"Marco"},{"family":"Grazzini","given":"Grazia"},{"literal":"SAVE study investigators"}],"issued":{"date-parts":[["2016",2]]}}}],"schema":"https://github.com/citation-style-language/schema/raw/master/csl-citation.json"} </w:instrText>
      </w:r>
      <w:r w:rsidR="004B5CC3"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[21</w:t>
      </w:r>
      <w:r w:rsidR="007D40E6">
        <w:rPr>
          <w:rFonts w:ascii="Book Antiqua" w:hAnsi="Book Antiqua" w:cs="Times New Roman" w:hint="eastAsia"/>
          <w:sz w:val="24"/>
          <w:szCs w:val="24"/>
          <w:vertAlign w:val="superscript"/>
          <w:lang w:eastAsia="zh-CN"/>
        </w:rPr>
        <w:t>-</w:t>
      </w:r>
      <w:r w:rsidR="00794414" w:rsidRPr="00DB7074">
        <w:rPr>
          <w:rFonts w:ascii="Book Antiqua" w:hAnsi="Book Antiqua" w:cs="Times New Roman"/>
          <w:sz w:val="24"/>
          <w:szCs w:val="24"/>
          <w:vertAlign w:val="superscript"/>
        </w:rPr>
        <w:t>23]</w:t>
      </w:r>
      <w:r w:rsidR="004B5CC3" w:rsidRPr="00DB7074">
        <w:rPr>
          <w:rFonts w:ascii="Book Antiqua" w:hAnsi="Book Antiqua" w:cs="Times New Roman"/>
          <w:sz w:val="24"/>
          <w:szCs w:val="24"/>
        </w:rPr>
        <w:fldChar w:fldCharType="end"/>
      </w:r>
      <w:r w:rsidRPr="00DB7074">
        <w:rPr>
          <w:rFonts w:ascii="Book Antiqua" w:hAnsi="Book Antiqua" w:cs="Times New Roman"/>
          <w:sz w:val="24"/>
          <w:szCs w:val="24"/>
        </w:rPr>
        <w:t xml:space="preserve">. However, CT colonography presents some drawbacks </w:t>
      </w:r>
      <w:r w:rsidR="000F2740" w:rsidRPr="00DB7074">
        <w:rPr>
          <w:rFonts w:ascii="Book Antiqua" w:hAnsi="Book Antiqua" w:cs="Times New Roman"/>
          <w:sz w:val="24"/>
          <w:szCs w:val="24"/>
        </w:rPr>
        <w:t xml:space="preserve">such </w:t>
      </w:r>
      <w:r w:rsidRPr="00DB7074">
        <w:rPr>
          <w:rFonts w:ascii="Book Antiqua" w:hAnsi="Book Antiqua" w:cs="Times New Roman"/>
          <w:sz w:val="24"/>
          <w:szCs w:val="24"/>
        </w:rPr>
        <w:t>as its high cost, lack of standardized methods, need for bowel cleansing,</w:t>
      </w:r>
      <w:r w:rsidR="00CE6BBB" w:rsidRPr="00DB7074">
        <w:rPr>
          <w:rFonts w:ascii="Book Antiqua" w:hAnsi="Book Antiqua" w:cs="Times New Roman"/>
          <w:sz w:val="24"/>
          <w:szCs w:val="24"/>
        </w:rPr>
        <w:t xml:space="preserve"> </w:t>
      </w:r>
      <w:r w:rsidR="000F2740" w:rsidRPr="00DB7074">
        <w:rPr>
          <w:rFonts w:ascii="Book Antiqua" w:hAnsi="Book Antiqua" w:cs="Times New Roman"/>
          <w:sz w:val="24"/>
          <w:szCs w:val="24"/>
        </w:rPr>
        <w:t>poor</w:t>
      </w:r>
      <w:r w:rsidRPr="00DB7074">
        <w:rPr>
          <w:rFonts w:ascii="Book Antiqua" w:hAnsi="Book Antiqua" w:cs="Times New Roman"/>
          <w:sz w:val="24"/>
          <w:szCs w:val="24"/>
        </w:rPr>
        <w:t xml:space="preserve"> performance </w:t>
      </w:r>
      <w:r w:rsidR="000F2740" w:rsidRPr="00DB7074">
        <w:rPr>
          <w:rFonts w:ascii="Book Antiqua" w:hAnsi="Book Antiqua" w:cs="Times New Roman"/>
          <w:sz w:val="24"/>
          <w:szCs w:val="24"/>
        </w:rPr>
        <w:t>for</w:t>
      </w:r>
      <w:r w:rsidRPr="00DB7074">
        <w:rPr>
          <w:rFonts w:ascii="Book Antiqua" w:hAnsi="Book Antiqua" w:cs="Times New Roman"/>
          <w:sz w:val="24"/>
          <w:szCs w:val="24"/>
        </w:rPr>
        <w:t xml:space="preserve"> detecting small or flat lesions, </w:t>
      </w:r>
      <w:r w:rsidR="000F2740" w:rsidRPr="00DB7074">
        <w:rPr>
          <w:rFonts w:ascii="Book Antiqua" w:hAnsi="Book Antiqua" w:cs="Times New Roman"/>
          <w:sz w:val="24"/>
          <w:szCs w:val="24"/>
        </w:rPr>
        <w:t xml:space="preserve">and lack of ability </w:t>
      </w:r>
      <w:r w:rsidRPr="00DB7074">
        <w:rPr>
          <w:rFonts w:ascii="Book Antiqua" w:hAnsi="Book Antiqua" w:cs="Times New Roman"/>
          <w:sz w:val="24"/>
          <w:szCs w:val="24"/>
        </w:rPr>
        <w:t>to perform immediate biopsy</w:t>
      </w:r>
      <w:r w:rsidR="004B5CC3"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{"citationID":"a1vldgvj046","properties":{"formattedCitation":"\\super [14,24]\\nosupersub{}","plainCitation":"[14,24]","noteIndex":0},"citationItems":[{"id":"D1GMNV0O/V3hgIQ0d","uris":["http://zotero.org/users/4804376/items/7RPKVMTZ"],"uri":["http://zotero.org/users/4804376/items/7RPKVMTZ"],"itemData":{"id":387,"type":"article-journal","title":"Colorectal Cancer Screening","container-title":"WMJ: official publication of the State Medical Society of Wisconsin","page":"27-33","volume":"116","issue":"1","source":"PubMed","abstract":"Colorectal cancer (CRC) continues to be one of the most commonly diagnosed cancers and contributes significantly to many cancer-related deaths despite sustained progress in diagnostic and treatment options. Many forms of CRC can be prevented through early and routine screening, when precancerous lesions may be detected and removed before they undergo malignant transformation or metastasis. Despite widespread efforts to improve CRC screening rates, at least 40% of age-eligible adults do not adhere to screening guidelines. A new generation of noninvasive, molecular-based diagnostic tests with high sensitivities and specificities has the potential to improve screening rates through optimal risk stratification of patients who may benefit from more invasive screening techniques. This review presents various guidelines and methods that are currently available for CRC screening, summarizes the rationale behind utilization of novel molecular-based diagnostic tests for CRC screening and prevention, and discusses appropriate screening techniques and intervals in populations of varying risk.","ISSN":"1098-1861","note":"PMID: 29099566","journalAbbreviation":"WMJ","language":"eng","author":[{"family":"Bray","given":"Christopher"},{"family":"Bell","given":"Lauren N."},{"family":"Liang","given":"Hong"},{"family":"Collins","given":"Dennis"},{"family":"Yale","given":"Steven H."}],"issued":{"date-parts":[["2017"]]}}},{"id":"D1GMNV0O/qJcHWUTo","uris":["http://zotero.org/users/4804376/items/5MHUS5CZ"],"uri":["http://zotero.org/users/4804376/items/5MHUS5CZ"],"itemData":{"id":521,"type":"article-journal","title":"Indeterminate but Likely Unimportant Extracolonic Findings at Screening CT Colonography (C-RADS Category E3): Incidence and Outcomes Data From a Clinical Screening Program","container-title":"AJR. American journal of roentgenology","page":"996-1001","volume":"207","issue":"5","source":"PubMed","abstract":"OBJECTIVE: The purpose of this study was to analyze the incidence and outcomes of unsuspected indeterminate but likely unimportant extracolonic findings (CT Colonography Reporting and Data System [C-RADS] category E3) at screening CT colonography (CTC).\nMATERIALS AND METHODS: Over 99 months (April 2004 through June 2012), 7952 consecutive adults without symptoms of colorectal cancer (4277 women, 3675 men; mean age ± SD, 56.7 ± 7.3 years) underwent first-time screening CTC. Findings prospectively placed into C-RADS category E3 were retrospectively reviewed, including follow-up (range, 2-10 years) and ultimate clinical outcome.\nRESULTS: Unsuspected C-RADS category E3 extracolonic findings were detected in 9.1% (725/7952) of our patient population. A total of 751 category E3 findings were detected among these 725 patients; 25 patients had multiple findings. Commonly involved organ systems included gynecologic (24.4%, 183/751), genitourinary (20.9%, 157/751), lung (20.6%, 155/751), and gastrointestinal (16.1%, 121/751). Consideration for further imaging, if clinically warranted, was suggested in 83.8% (608/725). Sixty-five patients were lost to follow-up. Conditions requiring treatment or surveillance were ultimately diagnosed in 8.3% (55/660), including eight malignant neoplasms. In the remaining 605 patients, 25 (4.1%) underwent invasive biopsy or surgery to prove benignity (including 18 complex adnexal masses), and 278 (46.0%) received additional imaging follow-up.\nCONCLUSION: Indeterminate but likely unimportant extracolonic findings (C-RADS category E3) occurred in less than 10% of adults without symptoms of colorectal cancer who underwent screening CTC. Over 90% of these findings ultimately proved to be clinically insignificant, with fewer than 5% requiring an invasive procedure to prove benign disease, the majority of which (&gt; 70%) were complex adnexal lesions in women.","DOI":"10.2214/AJR.16.16275","ISSN":"1546-3141","note":"PMID: 27505184\nPMCID: PMC5514550","shortTitle":"Indeterminate but Likely Unimportant Extracolonic Findings at Screening CT Colonography (C-RADS Category E3)","journalAbbreviation":"AJR Am J Roentgenol","language":"eng","author":[{"family":"Pooler","given":"B. Dustin"},{"family":"Kim","given":"David H."},{"family":"Pickhardt","given":"Perry J."}],"issued":{"date-parts":[["2016",11]]}}}],"schema":"https://github.com/citation-style-language/schema/raw/master/csl-citation.json"} </w:instrText>
      </w:r>
      <w:r w:rsidR="004B5CC3"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[14,24]</w:t>
      </w:r>
      <w:r w:rsidR="004B5CC3" w:rsidRPr="00DB7074">
        <w:rPr>
          <w:rFonts w:ascii="Book Antiqua" w:hAnsi="Book Antiqua" w:cs="Times New Roman"/>
          <w:sz w:val="24"/>
          <w:szCs w:val="24"/>
        </w:rPr>
        <w:fldChar w:fldCharType="end"/>
      </w:r>
      <w:r w:rsidRPr="00DB7074">
        <w:rPr>
          <w:rFonts w:ascii="Book Antiqua" w:hAnsi="Book Antiqua" w:cs="Times New Roman"/>
          <w:sz w:val="24"/>
          <w:szCs w:val="24"/>
        </w:rPr>
        <w:t xml:space="preserve">. For these reasons, other non-invasive stool- and blood-based tests </w:t>
      </w:r>
      <w:r w:rsidR="000F2740" w:rsidRPr="00DB7074">
        <w:rPr>
          <w:rFonts w:ascii="Book Antiqua" w:hAnsi="Book Antiqua" w:cs="Times New Roman"/>
          <w:sz w:val="24"/>
          <w:szCs w:val="24"/>
        </w:rPr>
        <w:t>are</w:t>
      </w:r>
      <w:r w:rsidRPr="00DB7074">
        <w:rPr>
          <w:rFonts w:ascii="Book Antiqua" w:hAnsi="Book Antiqua" w:cs="Times New Roman"/>
          <w:sz w:val="24"/>
          <w:szCs w:val="24"/>
        </w:rPr>
        <w:t xml:space="preserve"> more </w:t>
      </w:r>
      <w:r w:rsidR="00604435" w:rsidRPr="00DB7074">
        <w:rPr>
          <w:rFonts w:ascii="Book Antiqua" w:hAnsi="Book Antiqua" w:cs="Times New Roman"/>
          <w:sz w:val="24"/>
          <w:szCs w:val="24"/>
        </w:rPr>
        <w:t xml:space="preserve">promising </w:t>
      </w:r>
      <w:r w:rsidRPr="00DB7074">
        <w:rPr>
          <w:rFonts w:ascii="Book Antiqua" w:hAnsi="Book Antiqua" w:cs="Times New Roman"/>
          <w:sz w:val="24"/>
          <w:szCs w:val="24"/>
        </w:rPr>
        <w:t>tools for initial CRC screening in two-step approaches.</w:t>
      </w:r>
    </w:p>
    <w:p w14:paraId="5288C1DC" w14:textId="482E8BFB" w:rsidR="001F7E40" w:rsidRPr="00DB7074" w:rsidRDefault="001F7E40" w:rsidP="007D40E6">
      <w:pPr>
        <w:snapToGrid w:val="0"/>
        <w:spacing w:after="0" w:line="360" w:lineRule="auto"/>
        <w:ind w:firstLineChars="100" w:firstLine="240"/>
        <w:jc w:val="both"/>
        <w:rPr>
          <w:rFonts w:ascii="Book Antiqua" w:hAnsi="Book Antiqua" w:cs="Times New Roman"/>
          <w:sz w:val="24"/>
          <w:szCs w:val="24"/>
        </w:rPr>
      </w:pPr>
      <w:r w:rsidRPr="00DB7074">
        <w:rPr>
          <w:rFonts w:ascii="Book Antiqua" w:hAnsi="Book Antiqua" w:cs="Times New Roman"/>
          <w:sz w:val="24"/>
          <w:szCs w:val="24"/>
        </w:rPr>
        <w:t xml:space="preserve">Non-invasive stool-based early CRC screening modalities </w:t>
      </w:r>
      <w:r w:rsidR="000F2740" w:rsidRPr="00DB7074">
        <w:rPr>
          <w:rFonts w:ascii="Book Antiqua" w:hAnsi="Book Antiqua" w:cs="Times New Roman"/>
          <w:sz w:val="24"/>
          <w:szCs w:val="24"/>
        </w:rPr>
        <w:t xml:space="preserve">involve </w:t>
      </w:r>
      <w:r w:rsidRPr="00DB7074">
        <w:rPr>
          <w:rFonts w:ascii="Book Antiqua" w:hAnsi="Book Antiqua" w:cs="Times New Roman"/>
          <w:sz w:val="24"/>
          <w:szCs w:val="24"/>
        </w:rPr>
        <w:t>either detecti</w:t>
      </w:r>
      <w:r w:rsidR="000F2740" w:rsidRPr="00DB7074">
        <w:rPr>
          <w:rFonts w:ascii="Book Antiqua" w:hAnsi="Book Antiqua" w:cs="Times New Roman"/>
          <w:sz w:val="24"/>
          <w:szCs w:val="24"/>
        </w:rPr>
        <w:t>ng</w:t>
      </w:r>
      <w:r w:rsidRPr="00DB7074">
        <w:rPr>
          <w:rFonts w:ascii="Book Antiqua" w:hAnsi="Book Antiqua" w:cs="Times New Roman"/>
          <w:sz w:val="24"/>
          <w:szCs w:val="24"/>
        </w:rPr>
        <w:t xml:space="preserve"> occult bleeding in the stool, </w:t>
      </w:r>
      <w:r w:rsidR="000F2740" w:rsidRPr="00DB7074">
        <w:rPr>
          <w:rFonts w:ascii="Book Antiqua" w:hAnsi="Book Antiqua" w:cs="Times New Roman"/>
          <w:sz w:val="24"/>
          <w:szCs w:val="24"/>
        </w:rPr>
        <w:t xml:space="preserve">such as with </w:t>
      </w:r>
      <w:r w:rsidRPr="00DB7074">
        <w:rPr>
          <w:rFonts w:ascii="Book Antiqua" w:hAnsi="Book Antiqua" w:cs="Times New Roman"/>
          <w:sz w:val="24"/>
          <w:szCs w:val="24"/>
        </w:rPr>
        <w:t xml:space="preserve">guaiac </w:t>
      </w:r>
      <w:r w:rsidR="002309C0" w:rsidRPr="00DB7074">
        <w:rPr>
          <w:rFonts w:ascii="Book Antiqua" w:hAnsi="Book Antiqua" w:cs="Times New Roman"/>
          <w:sz w:val="24"/>
          <w:szCs w:val="24"/>
          <w:lang w:val="en-US"/>
        </w:rPr>
        <w:t xml:space="preserve">fecal occult blood test </w:t>
      </w:r>
      <w:r w:rsidRPr="00DB7074">
        <w:rPr>
          <w:rFonts w:ascii="Book Antiqua" w:hAnsi="Book Antiqua" w:cs="Times New Roman"/>
          <w:sz w:val="24"/>
          <w:szCs w:val="24"/>
        </w:rPr>
        <w:t xml:space="preserve">(gFOBT) and </w:t>
      </w:r>
      <w:r w:rsidR="00507882" w:rsidRPr="00DB7074">
        <w:rPr>
          <w:rFonts w:ascii="Book Antiqua" w:hAnsi="Book Antiqua" w:cs="Times New Roman"/>
          <w:sz w:val="24"/>
          <w:szCs w:val="24"/>
        </w:rPr>
        <w:t>faecal</w:t>
      </w:r>
      <w:r w:rsidRPr="00DB7074">
        <w:rPr>
          <w:rFonts w:ascii="Book Antiqua" w:hAnsi="Book Antiqua" w:cs="Times New Roman"/>
          <w:sz w:val="24"/>
          <w:szCs w:val="24"/>
        </w:rPr>
        <w:t xml:space="preserve"> immunohistochemical testing (FIT), or </w:t>
      </w:r>
      <w:r w:rsidR="000F2740" w:rsidRPr="00DB7074">
        <w:rPr>
          <w:rFonts w:ascii="Book Antiqua" w:hAnsi="Book Antiqua" w:cs="Times New Roman"/>
          <w:sz w:val="24"/>
          <w:szCs w:val="24"/>
        </w:rPr>
        <w:t>detecting</w:t>
      </w:r>
      <w:r w:rsidRPr="00DB7074">
        <w:rPr>
          <w:rFonts w:ascii="Book Antiqua" w:hAnsi="Book Antiqua" w:cs="Times New Roman"/>
          <w:sz w:val="24"/>
          <w:szCs w:val="24"/>
        </w:rPr>
        <w:t xml:space="preserve"> DNA, RNA and protein markers of neoplasia</w:t>
      </w:r>
      <w:r w:rsidR="000F2740" w:rsidRPr="00DB7074">
        <w:rPr>
          <w:rFonts w:ascii="Book Antiqua" w:hAnsi="Book Antiqua" w:cs="Times New Roman"/>
          <w:sz w:val="24"/>
          <w:szCs w:val="24"/>
        </w:rPr>
        <w:t xml:space="preserve"> in faeces</w:t>
      </w:r>
      <w:r w:rsidRPr="00DB7074">
        <w:rPr>
          <w:rFonts w:ascii="Book Antiqua" w:hAnsi="Book Antiqua" w:cs="Times New Roman"/>
          <w:sz w:val="24"/>
          <w:szCs w:val="24"/>
        </w:rPr>
        <w:t xml:space="preserve">. The rationale for the use of such tools is that the mucosa of both </w:t>
      </w:r>
      <w:r w:rsidR="00167160" w:rsidRPr="00DB7074">
        <w:rPr>
          <w:rFonts w:ascii="Book Antiqua" w:hAnsi="Book Antiqua" w:cs="Times New Roman"/>
          <w:sz w:val="24"/>
          <w:szCs w:val="24"/>
        </w:rPr>
        <w:t xml:space="preserve">polyps and CRC is more fragile </w:t>
      </w:r>
      <w:r w:rsidRPr="00DB7074">
        <w:rPr>
          <w:rFonts w:ascii="Book Antiqua" w:hAnsi="Book Antiqua" w:cs="Times New Roman"/>
          <w:sz w:val="24"/>
          <w:szCs w:val="24"/>
        </w:rPr>
        <w:t>and vascularized and thus bleed</w:t>
      </w:r>
      <w:r w:rsidR="008C3A4C" w:rsidRPr="00DB7074">
        <w:rPr>
          <w:rFonts w:ascii="Book Antiqua" w:hAnsi="Book Antiqua" w:cs="Times New Roman"/>
          <w:sz w:val="24"/>
          <w:szCs w:val="24"/>
        </w:rPr>
        <w:t>s</w:t>
      </w:r>
      <w:r w:rsidRPr="00DB7074">
        <w:rPr>
          <w:rFonts w:ascii="Book Antiqua" w:hAnsi="Book Antiqua" w:cs="Times New Roman"/>
          <w:sz w:val="24"/>
          <w:szCs w:val="24"/>
        </w:rPr>
        <w:t xml:space="preserve"> and desquamate</w:t>
      </w:r>
      <w:r w:rsidR="008C3A4C" w:rsidRPr="00DB7074">
        <w:rPr>
          <w:rFonts w:ascii="Book Antiqua" w:hAnsi="Book Antiqua" w:cs="Times New Roman"/>
          <w:sz w:val="24"/>
          <w:szCs w:val="24"/>
        </w:rPr>
        <w:t>s</w:t>
      </w:r>
      <w:r w:rsidRPr="00DB7074">
        <w:rPr>
          <w:rFonts w:ascii="Book Antiqua" w:hAnsi="Book Antiqua" w:cs="Times New Roman"/>
          <w:sz w:val="24"/>
          <w:szCs w:val="24"/>
        </w:rPr>
        <w:t xml:space="preserve"> more easily </w:t>
      </w:r>
      <w:r w:rsidR="008C3A4C" w:rsidRPr="00DB7074">
        <w:rPr>
          <w:rFonts w:ascii="Book Antiqua" w:hAnsi="Book Antiqua" w:cs="Times New Roman"/>
          <w:sz w:val="24"/>
          <w:szCs w:val="24"/>
        </w:rPr>
        <w:t>than</w:t>
      </w:r>
      <w:r w:rsidRPr="00DB7074">
        <w:rPr>
          <w:rFonts w:ascii="Book Antiqua" w:hAnsi="Book Antiqua" w:cs="Times New Roman"/>
          <w:sz w:val="24"/>
          <w:szCs w:val="24"/>
        </w:rPr>
        <w:t xml:space="preserve"> normal colonic mucosa. </w:t>
      </w:r>
      <w:r w:rsidR="008C3A4C" w:rsidRPr="00DB7074">
        <w:rPr>
          <w:rFonts w:ascii="Book Antiqua" w:hAnsi="Book Antiqua" w:cs="Times New Roman"/>
          <w:sz w:val="24"/>
          <w:szCs w:val="24"/>
        </w:rPr>
        <w:t>T</w:t>
      </w:r>
      <w:r w:rsidRPr="00DB7074">
        <w:rPr>
          <w:rFonts w:ascii="Book Antiqua" w:hAnsi="Book Antiqua" w:cs="Times New Roman"/>
          <w:sz w:val="24"/>
          <w:szCs w:val="24"/>
        </w:rPr>
        <w:t xml:space="preserve">he effectiveness of gFOBT and FIT </w:t>
      </w:r>
      <w:r w:rsidR="008C3A4C" w:rsidRPr="00DB7074">
        <w:rPr>
          <w:rFonts w:ascii="Book Antiqua" w:hAnsi="Book Antiqua" w:cs="Times New Roman"/>
          <w:sz w:val="24"/>
          <w:szCs w:val="24"/>
        </w:rPr>
        <w:t xml:space="preserve">have been </w:t>
      </w:r>
      <w:r w:rsidRPr="00DB7074">
        <w:rPr>
          <w:rFonts w:ascii="Book Antiqua" w:hAnsi="Book Antiqua" w:cs="Times New Roman"/>
          <w:sz w:val="24"/>
          <w:szCs w:val="24"/>
        </w:rPr>
        <w:t xml:space="preserve">established </w:t>
      </w:r>
      <w:r w:rsidR="008C3A4C" w:rsidRPr="00DB7074">
        <w:rPr>
          <w:rFonts w:ascii="Book Antiqua" w:hAnsi="Book Antiqua" w:cs="Times New Roman"/>
          <w:sz w:val="24"/>
          <w:szCs w:val="24"/>
        </w:rPr>
        <w:t>for</w:t>
      </w:r>
      <w:r w:rsidRPr="00DB7074">
        <w:rPr>
          <w:rFonts w:ascii="Book Antiqua" w:hAnsi="Book Antiqua" w:cs="Times New Roman"/>
          <w:sz w:val="24"/>
          <w:szCs w:val="24"/>
        </w:rPr>
        <w:t xml:space="preserve"> reduc</w:t>
      </w:r>
      <w:r w:rsidR="008C3A4C" w:rsidRPr="00DB7074">
        <w:rPr>
          <w:rFonts w:ascii="Book Antiqua" w:hAnsi="Book Antiqua" w:cs="Times New Roman"/>
          <w:sz w:val="24"/>
          <w:szCs w:val="24"/>
        </w:rPr>
        <w:t>ing</w:t>
      </w:r>
      <w:r w:rsidRPr="00DB7074">
        <w:rPr>
          <w:rFonts w:ascii="Book Antiqua" w:hAnsi="Book Antiqua" w:cs="Times New Roman"/>
          <w:sz w:val="24"/>
          <w:szCs w:val="24"/>
        </w:rPr>
        <w:t xml:space="preserve"> both CRC incidence and mortality, thus permitting their use in many CRC screening </w:t>
      </w:r>
      <w:r w:rsidR="00507882" w:rsidRPr="00DB7074">
        <w:rPr>
          <w:rFonts w:ascii="Book Antiqua" w:hAnsi="Book Antiqua" w:cs="Times New Roman"/>
          <w:sz w:val="24"/>
          <w:szCs w:val="24"/>
        </w:rPr>
        <w:t>programmes</w:t>
      </w:r>
      <w:r w:rsidR="004B5CC3"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{"citationID":"pzpXxRUi","properties":{"formattedCitation":"\\super [2,19,21,25\\uc0\\u8211{}36]\\nosupersub{}","plainCitation":"[2,19,21,25–36]","noteIndex":0},"citationItems":[{"id":"D1GMNV0O/K4sJIM7r","uris":["http://zotero.org/users/4804376/items/Q58AX595"],"uri":["http://zotero.org/users/4804376/items/Q58AX595"],"itemData":{"id":389,"type":"article-journal","title":"Effect of screening sigmoidoscopy and screening colonoscopy on colorectal cancer incidence and mortality: systematic review and meta-analysis of randomised controlled trials and observational studies","container-title":"BMJ (Clinical research ed.)","page":"g2467","volume":"348","source":"PubMed","abstract":"OBJECTIVES: To review, summarise, and compare the evidence for effectiveness of screening sigmoidoscopy and screening colonoscopy in the prevention of colorectal cancer occurrence and deaths.\nDESIGN: Systematic review and meta-analysis of randomised controlled trials and observational studies.\nDATA SOURCES: PubMed, Embase, and Web of Science. Two investigators independently extracted characteristics and results of identified studies and performed standardised quality ratings.\nELIGIBILITY CRITERIA: Randomised controlled trials and observational studies in English on the impact of screening sigmoidoscopy and screening colonoscopy on colorectal cancer incidence and mortality in the general population at average risk.\nRESULTS: For screening sigmoidoscopy, four randomised controlled trials and 10 observational studies were identified that consistently found a major reduction in distal but not proximal colorectal cancer incidence and mortality. Summary estimates of reduction in distal colorectal cancer incidence and mortality were 31% (95% confidence intervals 26% to 37%) and 46% (33% to 57%) in intention to screen analysis, 42% (29% to 53%) and 61% (27% to 79%) in per protocol analysis of randomised controlled trials, and 64% (50% to 74%) and 66% (38% to 81%) in observational studies. For screening colonoscopy, evidence was restricted to six observational studies, the results of which suggest tentatively an even stronger reduction in distal colorectal cancer incidence and mortality, along with a significant reduction in mortality from cancer of the proximal colon. Indirect comparisons of results of observational studies on screening sigmoidoscopy and colonoscopy suggest a 40% to 60% lower risk of incident colorectal cancer and death from colorectal cancer after screening colonoscopy even though this incremental risk reduction was statistically significant for deaths from cancer of the proximal colon only.\nCONCLUSIONS: Compelling and consistent evidence from randomised controlled trials and observational studies suggests that screening sigmoidoscopy and screening colonoscopy prevent most deaths from distal colorectal cancer. Observational studies suggest that colonoscopy compared with flexible sigmoidoscopy decreases mortality from cancer of the proximal colon. This added value should be examined in further research and weighed against the higher costs, discomfort, complication rates, capacities needed, and possible differences in compliance.","ISSN":"1756-1833","note":"PMID: 24922745\nPMCID: PMC3980789","shortTitle":"Effect of screening sigmoidoscopy and screening colonoscopy on colorectal cancer incidence and mortality","journalAbbreviation":"BMJ","language":"eng","author":[{"family":"Brenner","given":"Hermann"},{"family":"Stock","given":"Christian"},{"family":"Hoffmeister","given":"Michael"}],"issued":{"date-parts":[["2014",4,9]]}}},{"id":"D1GMNV0O/s9d7RWAA","uris":["http://zotero.org/users/4804376/items/6MHDHJYL"],"uri":["http://zotero.org/users/4804376/items/6MHDHJYL"],"itemData":{"id":585,"type":"article-journal","title":"Colorectal cancer screening by colonoscopy: putting it into perspective","container-title":"Digestive Endoscopy: Official Journal of the Japan Gastroenterological Endoscopy Society","page":"250-259","volume":"28","issue":"3","source":"PubMed","abstract":"Implementation of nationwide screening programs aims to decrease the disease burden of colorectal cancer (CRC) in the general population. Globally, most population screening programs for CRC are carried out by either fecal occult blood test, flexible sigmoidoscopy or colonoscopy. For screening programs with colonoscopy as the primary method, only circumstantial evidence from observational studies is available to prove its effectiveness, suggesting that colonoscopy effectively reduces CRC incidence and mortality. Currently, large randomized trials are being conducted to corroborate these findings. Besides the direct effect of a screening program for CRC, its protective effect is further enhanced by enrolment of patients that underwent polypectomy in surveillance programs. However, despite CRC screening and surveillance colonoscopies, interval CRC still occur. Those are predominantly located in the right-sided colon and potential explanations, besides unfavorable tumor characteristics, are preventable operator-dependent factors relating to the quality of the colonoscopy procedure. In an effort to reduce differences in endoscopists' performance and thereby the occurrence of interval CRC, quality indicators of colonoscopy have been introduced. In addition, emerging advanced colonoscopy techniques might contribute to improvement in polyp detection and removal. Meticulous inspection of the colonic mucosa not only results in the detection of advanced and relevant lesions, but also in the removal of many diminutive and small lesions leading to an increasing number of surveillance colonoscopies, known as the 'high-detection paradox'. More data on the cost-effectiveness of high-quality colonoscopy as a primary screening method and surveillance programs with intervals based on optimal risk stratification are eagerly awaited.","DOI":"10.1111/den.12533","ISSN":"1443-1661","note":"PMID: 26257272","shortTitle":"Colorectal cancer screening by colonoscopy","journalAbbreviation":"Dig Endosc","language":"eng","author":[{"family":"Vleugels","given":"Jasper L. A."},{"family":"Lanschot","given":"Meta C. J.","non-dropping-particle":"van"},{"family":"Dekker","given":"Evelien"}],"issued":{"date-parts":[["2016",4]]}}},{"id":"D1GMNV0O/0kiTNKvf","uris":["http://zotero.org/users/4804376/items/DRXGF4W3"],"uri":["http://zotero.org/users/4804376/items/DRXGF4W3"],"itemData":{"id":487,"type":"article-journal","title":"Reducing mortality from colorectal cancer by screening for fecal occult blood. Minnesota Colon Cancer Control Study","container-title":"The New England Journal of Medicine","page":"1365-1371","volume":"328","issue":"19","source":"PubMed","abstract":"BACKGROUND: Although tests for occult blood in the feces are widely used to screen for colorectal cancers, there is no conclusive evidence that they reduce mortality from this cause. We evaluated a fecal occult-blood test in a randomized trial and documented its effectiveness.\nMETHODS: We randomly assigned 46,551 participants 50 to 80 years of age to screening for colorectal cancer once a year, to screening every two years, or to a control group. Participants who were screened submitted six guaiac-impregnated paper slides with two smears from each of three consecutive stools. About 83 percent of the slides were rehydrated. Participants who tested positive underwent a diagnostic evaluation that included colonoscopy. Vital status was ascertained for all study participants during 13 years of follow-up. A committee determined causes of death. A single pathologist determined the stage of each tissue specimen. Differences in mortality from colorectal cancer, the primary study end point, were monitored with the sequential log-rank statistic.\nRESULTS: The 13-year cumulative mortality per 1000 from colorectal cancer was 5.88 in the annually screened group (95 percent confidence interval, 4.61 to 7.15), 8.33 in the biennially screened group (95 percent confidence interval, 6.82 to 9.84), and 8.83 in the control group (95 percent confidence interval, 7.26 to 10.40). The rate in the annually screened group, but not in the biennially screened group, was significantly lower than that in the control group. Reduced mortality in the annually screened group was accompanied by improved survival in those with colorectal cancer and a shift to detection at an earlier stage of cancer.\nCONCLUSIONS: Annual fecal occult-blood testing with rehydration of the samples decreased the 13-year cumulative mortality from colorectal cancer by 33 percent.","DOI":"10.1056/NEJM199305133281901","ISSN":"0028-4793","note":"PMID: 8474513","journalAbbreviation":"N. Engl. J. Med.","language":"eng","author":[{"family":"Mandel","given":"J. S."},{"family":"Bond","given":"J. H."},{"family":"Church","given":"T. R."},{"family":"Snover","given":"D. C."},{"family":"Bradley","given":"G. M."},{"family":"Schuman","given":"L. M."},{"family":"Ederer","given":"F."}],"issued":{"date-parts":[["1993",5,13]]}}},{"id":"D1GMNV0O/TzC5IlbR","uris":["http://zotero.org/users/4804376/items/96F4WV6G"],"uri":["http://zotero.org/users/4804376/items/96F4WV6G"],"itemData":{"id":555,"type":"article-journal","title":"Long-term mortality after screening for colorectal cancer","container-title":"The New England Journal of Medicine","page":"1106-1114","volume":"369","issue":"12","source":"PubMed","abstract":"BACKGROUND: In randomized trials, fecal occult-blood testing reduces mortality from colorectal cancer. However, the duration of the benefit is unknown, as are the effects specific to age and sex.\nMETHODS: In the Minnesota Colon Cancer Control Study, 46,551 participants, 50 to 80 years of age, were randomly assigned to usual care (control) or to annual or biennial screening with fecal occult-blood testing. Screening was performed from 1976 through 1982 and from 1986 through 1992. We used the National Death Index to obtain updated information on the vital status of participants and to determine causes of death through 2008.\nRESULTS: Through 30 years of follow-up, 33,020 participants (70.9%) died. A total of 732 deaths were attributed to colorectal cancer: 200 of the 11,072 deaths (1.8%) in the annual-screening group, 237 of the 11,004 deaths (2.2%) in the biennial-screening group, and 295 of the 10,944 deaths (2.7%) in the control group. Screening reduced colorectal-cancer mortality (relative risk with annual screening, 0.68; 95% confidence interval [CI], 0.56 to 0.82; relative risk with biennial screening, 0.78; 95% CI, 0.65 to 0.93) through 30 years of follow-up. No reduction was observed in all-cause mortality (relative risk with annual screening, 1.00; 95% CI, 0.99 to 1.01; relative risk with biennial screening, 0.99; 95% CI, 0.98 to 1.01). The reduction in colorectal-cancer mortality was larger for men than for women in the biennial-screening group (P=0.04 for interaction).\nCONCLUSIONS: The effect of screening with fecal occult-blood testing on colorectal-cancer mortality persists after 30 years but does not influence all-cause mortality. The sustained reduction in colorectal-cancer mortality supports the effect of polypectomy. (Funded by the Veterans Affairs Merit Review Award Program and others.).","DOI":"10.1056/NEJMoa1300720","ISSN":"1533-4406","note":"PMID: 24047060","journalAbbreviation":"N. Engl. J. Med.","language":"eng","author":[{"family":"Shaukat","given":"Aasma"},{"family":"Mongin","given":"Steven J."},{"family":"Geisser","given":"Mindy S."},{"family":"Lederle","given":"Frank A."},{"family":"Bond","given":"John H."},{"family":"Mandel","given":"Jack S."},{"family":"Church","given":"Timothy R."}],"issued":{"date-parts":[["2013",9,19]]}}},{"id":"D1GMNV0O/B2XG7pTZ","uris":["http://zotero.org/users/4804376/items/9M55MPJD"],"uri":["http://zotero.org/users/4804376/items/9M55MPJD"],"itemData":{"id":441,"type":"article-journal","title":"Flexible sigmoidoscopy versus faecal occult blood testing for colorectal cancer screening in asymptomatic individuals","container-title":"The Cochrane Database of Systematic Reviews","page":"CD009259","issue":"9","source":"PubMed","abstract":"BACKGROUND: Colorectal cancer is the third most frequent cancer in the world. As the sojourn time for this cancer is several years and a good prognosis is associated with early stage diagnosis, screening has been implemented in a number of countries. Both screening with faecal occult blood test and flexible sigmoidoscopy have been shown to reduce mortality from colorectal cancer in randomised controlled trials. The comparative effectiveness of these tests on colorectal cancer mortality has, however, never been evaluated, and controversies exist over which test to choose.\nOBJECTIVES: To compare the effectiveness of screening for colorectal cancer with flexible sigmoidoscopy to faecal occult blood testing.\nSEARCH METHODS: We searched MEDLINE and EMBASE (November 16, 2012), the Cochrane Central Register of Controlled Trials (CENTRAL) (2012, Issue 11) and reference lists for eligible studies.\nSELECTION CRITERIA: Randomised controlled trials comparing screening with flexible sigmoidoscopy or faecal occult blood testing to each other or to no screening. Only studies reporting mortality from colorectal cancer were included. Faecal occult blood testing had to be repeated (annually or biennially).\nDATA COLLECTION AND ANALYSIS: Data retrieval and assessment of risk of bias were performed independently by two review authors. Standard meta-analyses using a random-effects model were conducted for flexible sigmoidoscopy and faecal occult blood testing (FOBT) separately and we calculated relative risks with 95% confidence intervals (CI). We used a Bayesian approach (a contrast-based network meta-analysis method) for indirect analyses and presented the results as posterior median relative risk with 95% credibility intervals. We assessed the quality of evidence using GRADE.\nMAIN RESULTS: We identified nine studies comprising 338,467 individuals randomised to screening and 405,919 individuals to the control groups. Five studies compared flexible sigmoidoscopy to no screening and four studies compared repetitive guaiac-based FOBT (annually and biennially) to no screening. We did not consider that study risk of bias reduced our confidence in our results. We did not identify any studies comparing the two screening methods directly. When compared with no screening, colorectal cancer mortality was lower with flexible sigmoidoscopy (relative risk 0.72; 95% CI 0.65 to 0.79, high quality evidence) and FOBT (relative risk 0.86; 95% CI 0.80 to 0.92, high quality evidence). In the analyses based on indirect comparison of the two screening methods, the relative risk of dying from colorectal cancer was 0.85 (95% credibility interval 0.72 to 1.01, low quality evidence) for flexible sigmoidoscopy screening compared to FOBT. No complications occurred after the FOBT test itself, but 0.03% of participants suffered a major complication after follow-up. Among more than 60,000 flexible sigmoidoscopy screening procedures and almost 6000 work-up colonoscopies, a major complication was recorded in 0.08% of participants. Adverse event data should be interpreted with caution as the reporting of adverse effects was incomplete.\nAUTHORS' CONCLUSIONS: There is high quality evidence that both flexible sigmoidoscopy and faecal occult blood testing reduce colorectal cancer mortality when applied as screening tools. There is low quality indirect evidence that screening with either approach reduces colorectal cancer deaths more than the other. Major complications associated with screening require validation from studies with more complete reporting of harms","DOI":"10.1002/14651858.CD009259.pub2","ISSN":"1469-493X","note":"PMID: 24085634","journalAbbreviation":"Cochrane Database Syst Rev","language":"eng","author":[{"family":"Holme","given":"Øyvind"},{"family":"Bretthauer","given":"Michael"},{"family":"Fretheim","given":"Atle"},{"family":"Odgaard-Jensen","given":"Jan"},{"family":"Hoff","given":"Geir"}],"issued":{"date-parts":[["2013",10,1]]}}},{"id":"D1GMNV0O/NPaCR4eT","uris":["http://zotero.org/users/4804376/items/QQM2V4PT"],"uri":["http://zotero.org/users/4804376/items/QQM2V4PT"],"itemData":{"id":437,"type":"article-journal","title":"Review in depth and meta-analysis of controlled trials on colorectal cancer screening by faecal occult blood test","container-title":"European Journal of Gastroenterology &amp; Hepatology","page":"427-433","volume":"18","issue":"4","source":"PubMed","abstract":"BACKGROUND: Several randomized studies have shown that colorectal cancer (CRC) screening by faecal occult blood test (FOBT) reduces CRC mortality. These trials have different designs, especially concerning FOBT frequency and duration, as well as the length of follow-up after stopping FOBT campaigns.\nAIMS: To review the effectiveness of screening for CRC with FOBT, to consider the reduction in mortality during or after screening or to identify factors associated with a significant mortality reduction.\nMETHODS: A systematic review of trials of FOBT screening with a meta-analysis of four controlled trials selected for their biennial and population-based design. The main outcome measurements were mortality relative risk (RR) and 95% confidence interval (CI) of biennial FOBT during short (10 years, i.e. five or six rounds) or long-term (six or more rounds) screening periods, as well as after stopping screening and follow-up during 5-7 years. The meta-analysis used the Mantel-Haenszel method with fixed effects when the heterogeneity test was not significant, and used 'intent to screen' results.\nRESULTS: Although the quality of the four trials was high, only three were randomized, and one used rehydrated biennial FOBT associated with a high colonoscopy rate (28%). A meta-analysis of mortality results showed that subjects allocated to screening had a reduction of CRC mortality during a 10-year period (RR 0.86; CI 0.79-0.94) although CRC mortality was not decreased during the 5-7 years after the 10-year (six rounds) screening period, nor in the last phase (8-16 years after the onset of screening) of a long-term (16 years or nine rounds) biennial screening. Whatever the design of the period of ongoing FOBT, CRC incidence neither decreased nor increased, although it was reduced for 5-7 years after the 10-year screening period. Neither the design nor the clinical or demographic parameters of these trials were independently associated with CRC mortality reduction.\nCONCLUSION: Biennial FOBT decreased CRC mortality by 14% when performed over 10 years, without evidence-based benefit on CRC mortality when performed over a longer period. No independent predictors of CRC mortality reduction have been identified in order to allow a CRC screening programme in any subgroups of subjects at risk.","ISSN":"0954-691X","note":"PMID: 16538116","journalAbbreviation":"Eur J Gastroenterol Hepatol","language":"eng","author":[{"family":"Heresbach","given":"Denis"},{"family":"Manfredi","given":"Sylvain"},{"family":"D'halluin","given":"Pierre N."},{"family":"Bretagne","given":"Jean-François"},{"family":"Branger","given":"Bernard"}],"issued":{"date-parts":[["2006",4]]}}},{"id":"D1GMNV0O/LkIR27ur","uris":["http://zotero.org/users/4804376/items/SS4J3SSG"],"uri":["http://zotero.org/users/4804376/items/SS4J3SSG"],"itemData":{"id":519,"type":"article-journal","title":"Effectiveness of screening for colorectal cancer with a faecal occult-blood test, in Finland","container-title":"BMJ open gastroenterology","page":"e000034","volume":"2","issue":"1","source":"PubMed","abstract":"BACKGROUND: Screening for colorectal cancer (CRC) with guaiac-based faecal occult-blood test (FOBT) has been reported to reduce CRC mortality in randomised trials in the 1990s, but not in routine screening, so far. In Finland, a large randomised study on biennial FOB screening for CRC was gradually nested as part of the routine health services from 2004. We evaluate the effectiveness of screening as a public health policy in the largest population so far reported.\nMETHODS: We randomly allocated (1:1) men and women aged 60-69</w:instrText>
      </w:r>
      <w:r w:rsidR="002A773B" w:rsidRPr="00DB7074">
        <w:rPr>
          <w:rFonts w:ascii="Times New Roman" w:hAnsi="Times New Roman" w:cs="Times New Roman"/>
          <w:sz w:val="24"/>
          <w:szCs w:val="24"/>
        </w:rPr>
        <w:instrText> </w:instrText>
      </w:r>
      <w:r w:rsidR="002A773B" w:rsidRPr="00DB7074">
        <w:rPr>
          <w:rFonts w:ascii="Book Antiqua" w:hAnsi="Book Antiqua" w:cs="Times New Roman"/>
          <w:sz w:val="24"/>
          <w:szCs w:val="24"/>
        </w:rPr>
        <w:instrText>years to those invited for screening and those not invited (controls), between 2004 and 2012. This resulted in 180</w:instrText>
      </w:r>
      <w:r w:rsidR="002A773B" w:rsidRPr="00DB7074">
        <w:rPr>
          <w:rFonts w:ascii="Times New Roman" w:hAnsi="Times New Roman" w:cs="Times New Roman"/>
          <w:sz w:val="24"/>
          <w:szCs w:val="24"/>
        </w:rPr>
        <w:instrText> </w:instrText>
      </w:r>
      <w:r w:rsidR="002A773B" w:rsidRPr="00DB7074">
        <w:rPr>
          <w:rFonts w:ascii="Book Antiqua" w:hAnsi="Book Antiqua" w:cs="Times New Roman"/>
          <w:sz w:val="24"/>
          <w:szCs w:val="24"/>
        </w:rPr>
        <w:instrText>210 subjects in the screening arm and 180</w:instrText>
      </w:r>
      <w:r w:rsidR="002A773B" w:rsidRPr="00DB7074">
        <w:rPr>
          <w:rFonts w:ascii="Times New Roman" w:hAnsi="Times New Roman" w:cs="Times New Roman"/>
          <w:sz w:val="24"/>
          <w:szCs w:val="24"/>
        </w:rPr>
        <w:instrText> </w:instrText>
      </w:r>
      <w:r w:rsidR="002A773B" w:rsidRPr="00DB7074">
        <w:rPr>
          <w:rFonts w:ascii="Book Antiqua" w:hAnsi="Book Antiqua" w:cs="Times New Roman"/>
          <w:sz w:val="24"/>
          <w:szCs w:val="24"/>
        </w:rPr>
        <w:instrText>282 in the control arm. In 2012, the programme covered 43% of the target age population in Finland.\nRESULTS: The median follow-up time was 4.5</w:instrText>
      </w:r>
      <w:r w:rsidR="002A773B" w:rsidRPr="00DB7074">
        <w:rPr>
          <w:rFonts w:ascii="Times New Roman" w:hAnsi="Times New Roman" w:cs="Times New Roman"/>
          <w:sz w:val="24"/>
          <w:szCs w:val="24"/>
        </w:rPr>
        <w:instrText> </w:instrText>
      </w:r>
      <w:r w:rsidR="002A773B" w:rsidRPr="00DB7074">
        <w:rPr>
          <w:rFonts w:ascii="Book Antiqua" w:hAnsi="Book Antiqua" w:cs="Times New Roman"/>
          <w:sz w:val="24"/>
          <w:szCs w:val="24"/>
        </w:rPr>
        <w:instrText>years (maximum 8.3</w:instrText>
      </w:r>
      <w:r w:rsidR="002A773B" w:rsidRPr="00DB7074">
        <w:rPr>
          <w:rFonts w:ascii="Times New Roman" w:hAnsi="Times New Roman" w:cs="Times New Roman"/>
          <w:sz w:val="24"/>
          <w:szCs w:val="24"/>
        </w:rPr>
        <w:instrText> </w:instrText>
      </w:r>
      <w:r w:rsidR="002A773B" w:rsidRPr="00DB7074">
        <w:rPr>
          <w:rFonts w:ascii="Book Antiqua" w:hAnsi="Book Antiqua" w:cs="Times New Roman"/>
          <w:sz w:val="24"/>
          <w:szCs w:val="24"/>
        </w:rPr>
        <w:instrText>years), with a total of 1.6 million person-years. The CRC incidence rate ratio between the screening and control arm was 1.11 (95% CI 1.01 to 1.23). The mortality rate ratio from CRC between the screening and control arm was 1.04 (0.84 to 1.28), respectively. The CRC mortality risk ratio was 0.88 (0.66 to 1.16) and 1.33 (0.94 to 1.87) in males and females, respectively.\nCONCLUSIONS: We did not find any effect in a randomised health services study of FOBT screening on CRC mortality. The substantial effect difference between males and females is inconsistent with the evidence from randomised clinical trials and with the recommendations of several international organisations. Even if our findings are still inconclusive, they highlight the importance of randomised evaluation when new health policies are implemented.\nTRIAL REGISTRATION: 002_2010_august.","DOI":"10.1136/bmjgast-2015-000034","ISSN":"2054-4774","note":"PMID: 26462283\nPMCID: PMC4599169","journalAbbreviation":"BMJ Open Gastroenterol","language":"eng","author":[{"family":"Pitkäniemi","given":"J."},{"family":"Seppä","given":"K."},{"family":"Hakama","given":"M."},{"family":"Malminiemi","given":"O."},{"family":"Palva","given":"T."},{"family":"Vuoristo","given":"M.-S."},{"family":"Järvinen","given":"H."},{"family":"Paimela","given":"H."},{"family":"Pikkarainen","given":"P."},{"family":"Anttila","given":"A."},{"family":"Elovainio","given":"L."},{"family":"Hakulinen","given":"T."},{"family":"Karjalainen","given":"S."},{"family":"Pylkkänen","given":"L."},{"family":"Rautalahti","given":"M."},{"family":"Sarkeala","given":"T."},{"family":"Vertio","given":"H."},{"family":"Malila","given":"N."}],"issued":{"date-parts":[["2015"]]}}},{"id":"D1GMNV0O/RvBNSoqL","uris":["http://zotero.org/users/4804376/items/FFBZNS3A"],"uri":["http://zotero.org/users/4804376/items/FFBZNS3A"],"itemData":{"id":529,"type":"article-journal","title":"The National Health Service Bowel Cancer Screening Program: the early years","container-title":"Expert Review of Gastroenterology &amp; Hepatology","page":"421-437","volume":"7","issue":"5","source":"PubMed","abstract":"The National Health Service Bowel Cancer Screening Program (NHS BCSP) was developed to improve outcomes from colorectal cancer, the third most frequent cancer and the second highest cause of cancer deaths in the UK. Screening pilot programs were developed after previous trials demonstrated a reduction in mortality with the use of fecal occult blood population screening. A successful pilot period led to the roll out of national biennial screening for all 60-69 year olds in 2006, and extended to 60-74 year olds in 2010. To the end of 2012, there have been over 16 million invitations to screening, with uptake of 55.35%. FOBt positivity was 2.08%. Almost 15,000 cancers have been identified; screen-detected cancers have been shown to be at an earlier stage than non-screen-detected, with 35% Dukes' stage A. The BCSP provides high quality colonoscopy with low adverse events rates. It is also a rich data source for research.","DOI":"10.1586/17474124.2013.811045","ISSN":"1747-4132","note":"PMID: 23899282","shortTitle":"The National Health Service Bowel Cancer Screening Program","journalAbbreviation":"Expert Rev Gastroenterol Hepatol","language":"eng","author":[{"family":"Rees","given":"Colin J."},{"family":"Bevan","given":"Roisin"}],"issued":{"date-parts":[["2013",7]]}}},{"id":"D1GMNV0O/S80BKB6Y","uris":["http://zotero.org/users/4804376/items/QIRFTT3A"],"uri":["http://zotero.org/users/4804376/items/QIRFTT3A"],"itemData":{"id":461,"type":"article-journal","title":"Results of National Colorectal Cancer Screening Program in Croatia (2007-2011)","container-title":"World Journal of Gastroenterology","page":"4300-4307","volume":"18","issue":"32","source":"PubMed","abstract":"AIM: To study the epidemiologic indicators of uptake and characteristic colonoscopic findings in the Croatian National Colorectal Cancer Screening Program.\nMETHODS: Colorectal cancer (CRC) was the second leading cause of cancer mortality in men (n = 1063, 49.77/100,000), as well as women (n = 803, 34.89/100,000) in Croatia in 2009. The Croatian National CRC Screening Program was established by the Ministry of Health and Social Welfare, and its implementation started in September, 2007. The coordinators were recruited in each county institute of public health with an obligation to provide fecal occult blood testing (FOBT) to the participants, followed by colonoscopy in all positive cases. The FOBT was performed by hypersensitive guaiac-based Hemognost card test (Biognost, Zagreb). The test and short questionnaire were delivered to the home addresses of all citizens aged 50-74 years consecutively during a 3-year period. Each participant was required to complete the questionnaire and send it together with the stool specimen on three test cards back to the institute for further analysis. About 4% FOBT positive cases are expected in normal risk populations. A descriptive analysis was performed.\nRESULTS: A total of 1,056,694 individuals (born between 1933-1945 and 1952-1957) were invited to screening by the end of September 2011. In total, 210,239 (19.9%) persons returned the envelope with a completed questionnaire, and 181,102 of them returned it with a correctly placed stool specimen on FOBT cards. Until now, 12,477 (6.9%), FOBT-positive patients have been found, which is at the upper limit of the expected values in European Guidelines for Quality Assurance in CRC Screening and Diagnosis [European Union (EU) Guidelines]. Colonoscopy was performed in 8541 cases (uptake 66%). Screening has identified CRC in 472 patients (5.5% of colonoscopied, 3.8% of FOBT-positive, and 0.26% of all screened individuals). This is also in the expected range according to EU Guidelines. Polyps were found and removed in 3329 (39% of colonoscopied) patients. The largest number of polyps were found in the left half of the colon: 64% (19%, 37% and 8% in the rectum, sigma, and descendens, respectively). The other 36% were detected in the proximal part (17% in the transverse colon and 19% in ceco-ascending colon). Small polyps in the rectum (5-10 mm in diameter), sigmoid and descending colon were histologically found to be tubular adenomas in 60% of cases, with a low degree of dysplasia, and 40% were classified as hyperplastic. Polyps of this size in the transverse or ceco-ascending colon in almost 20% had a histologically villous component, but still had a low degree of dysplasia. Polyps sized 10-20 mm in diameter were in 43% cases tubulovillous, and among them, 32% had areas with a high degree of dysplasia, especially those polyps in the ceco-ascending or transverse part. The characteristics of the Croatian CRC Screening National Program in the first 3 years were as follows: relatively low percentage of returned FOBT, higher number of FOBT-positive persons but still in the range for population-based programs, and higher number of pathologic findings (polyps and cancers).\nCONCLUSION: These results suggest a need for intervention strategies that include organizational changes and educational activities to improve awareness of CRC screening usefulness and increase participation rates.","DOI":"10.3748/wjg.v18.i32.4300","ISSN":"2219-2840","note":"PMID: 22969192\nPMCID: PMC3436044","journalAbbreviation":"World J. Gastroenterol.","language":"eng","author":[{"family":"Katičić","given":"Miroslava"},{"family":"Antoljak","given":"Nataša"},{"family":"Kujundžić","given":"Milan"},{"family":"Stamenić","given":"Valerija"},{"family":"Skoko Poljak","given":"Dunja"},{"family":"Kramarić","given":"Danica"},{"family":"Stimac","given":"Davor"},{"family":"Strnad Pešikan","given":"Marija"},{"family":"Samija","given":"Mirko"},{"family":"Ebling","given":"Zdravko"}],"issued":{"date-parts":[["2012",8,28]]}}},{"id":"D1GMNV0O/YFS1VZsn","uris":["http://zotero.org/users/4804376/items/WHS66WXM"],"uri":["http://zotero.org/users/4804376/items/WHS66WXM"],"itemData":{"id":475,"type":"article-journal","title":"Colorectal cancer screening by guaiac faecal occult blood test in France: Evaluation of the programme two years after launching","container-title":"Cancer Epidemiology","page":"959-967","volume":"37","issue":"6","source":"PubMed","abstract":"BACKGROUND: The French national screening programme for colorectal cancer (CRC) was rolled out nationwide from 2008. It targets men and women aged 50-74 who are invited every 2 years to perform a guaiac faecal occult blood test, followed, if positive, by a colonoscopy. This paper presents the evaluation of the programme for the 46 French districts that conducted a comprehensive screening campaign during 2008-2009, targeting 9.7 million people.\nMETHODS: National database gathering information on people who were screened was used to estimate indicators reflecting the programme performance.\nRESULTS: Participation was 34.3%, with nearly three million people being tested. The percentage of positive tests was 2.8%. Completion of colonoscopies following a positive test was 88%. For men, 36.8% of the results of colonic explorations were normal, 40.1% were adenomas, and 9.0% were CRC, based on the most pejorative lesion. For women, corresponding figures were 55.9%, 25.7% and 5.8%. A CRC was detected for 7.5% of people who had a colonic exploration. The advanced adenoma detection rate among those screened was 4.9‰ and the CRC detection rate was 1.9‰. The description of CRC could only be made for 21 districts, for which 1441 invasive colonic adenocarcinomas were diagnosed; of these, 43% were stage I, 23% stage II, 25% stage III and 9% stage IV.\nCONCLUSION: This first evaluation since the programme was rolled out provides an inventory of CRC screening in France and points out some improvements expected, especially in terms of participation which is below the European recommendations. Future evaluations will analyse trends in these indicators.","DOI":"10.1016/j.canep.2013.07.008","ISSN":"1877-783X","note":"PMID: 24035240","shortTitle":"Colorectal cancer screening by guaiac faecal occult blood test in France","journalAbbreviation":"Cancer Epidemiol","language":"eng","author":[{"family":"Leuraud","given":"Klervi"},{"family":"Jezewski-Serra","given":"Delphine"},{"family":"Viguier","given":"Jérôme"},{"family":"Salines","given":"Emmanuelle"}],"issued":{"date-parts":[["2013",12]]}}},{"id":"D1GMNV0O/miohMryO","uris":["http://zotero.org/users/4804376/items/TTG96MXJ"],"uri":["http://zotero.org/users/4804376/items/TTG96MXJ"],"itemData":{"id":561,"type":"article-journal","title":"Results from the first three rounds of the Scottish demonstration pilot of FOBT screening for colorectal cancer","container-title":"Gut","page":"530-535","volume":"58","issue":"4","source":"PubMed","abstract":"OBJECTIVES: To assess the effects of the first three rounds of a pilot colorectal screening programme based on guaiac faecal occult blood testing (gFOBT) and their implications for a national population-based programme.\nMETHODS: A demonstration pilot programme was conducted in three Scottish NHS Boards. Residents aged between 50 and 69 years registered on the Community Health Index were included in the study.\nRESULTS: In the first round, the uptake was 55.0%, the positivity rate was 2.07% and the cancer detection rate was 2.1/1000 screened. In the second round, these were 53.0%, 1.90% and 1.2/1000, respectively, and in the third round, 55.3%, 1.16% and 0.7/1000, respectively. In the first round, the positive predictive value of the gFOBT was 12.0% for cancer and 36.5% for adenoma; these fell to 7.0% and 30.3% in the second round and were maintained at 7.5% and 29.1% in the third round. The percentage of screen-detected cancers diagnosed at Dukes' stage A was 49.2% in the first round, 40.1% in the second round and 36.3% in the third round.\nCONCLUSIONS: These results are compatible with those of previous randomised trials done in research settings, demonstrating that population-based colorectal cancer screening is feasible in Scotland and should lead to a comparable reduction in disease-specific mortality.","DOI":"10.1136/gut.2008.162883","ISSN":"1468-3288","note":"PMID: 19036949","journalAbbreviation":"Gut","language":"eng","author":[{"family":"Steele","given":"R. J. C."},{"family":"McClements","given":"P. L."},{"family":"Libby","given":"G."},{"family":"Black","given":"R."},{"family":"Morton","given":"C."},{"family":"Birrell","given":"J."},{"family":"Mowat","given":"N. a. G."},{"family":"Wilson","given":"J. A."},{"family":"Kenicer","given":"M."},{"family":"Carey","given":"F. A."},{"family":"Fraser","given":"C. G."}],"issued":{"date-parts":[["2009",4]]}}},{"id":"D1GMNV0O/UYMxBSH3","uris":["http://zotero.org/users/4804376/items/8LC87CVD"],"uri":["http://zotero.org/users/4804376/items/8LC87CVD"],"itemData":{"id":533,"type":"article-journal","title":"American College of Gastroenterology guidelines for colorectal cancer screening 2009 [corrected]","container-title":"The American Journal of Gastroenterology","page":"739-750","volume":"104","issue":"3","source":"PubMed","abstract":"This document is the first update of the American College of Gastroenterology (ACG) colorectal cancer (CRC) screening recommendations since 2000. The CRC screening tests are now grouped into cancer prevention tests and cancer detection tests. Colonoscopy every 10 years, beginning at age 50, remains the preferred CRC screening strategy. It is recognized that colonoscopy is not available in every clinical setting because of economic limitations. It is also realized that not all eligible persons are willing to undergo colonoscopy for screening purposes. In these cases, patients should be offered an alternative CRC prevention test (flexible sigmoidoscopy every 5-10 years, or a computed tomography (CT) colonography every 5 years) or a cancer detection test (fecal immunochemical test for blood, FIT).","DOI":"10.1038/ajg.2009.104","ISSN":"1572-0241","note":"PMID: 19240699","journalAbbreviation":"Am. J. Gastroenterol.","language":"eng","author":[{"family":"Rex","given":"Douglas K."},{"family":"Johnson","given":"David A."},{"family":"Anderson","given":"Joseph C."},{"family":"Schoenfeld","given":"Phillip S."},{"family":"Burke","given":"Carol A."},{"family":"Inadomi","given":"John M."},{"literal":"American College of Gastroenterology"}],"issued":{"date-parts":[["2009",3]]}}},{"id":"D1GMNV0O/4237um8K","uris":["http://zotero.org/users/4804376/items/8UTAXQRW"],"uri":["http://zotero.org/users/4804376/items/8UTAXQRW"],"itemData":{"id":531,"type":"article-journal","title":"Colorectal Cancer Screening: Recommendations for Physicians and Patients From the U.S. Multi-Society Task Force on Colorectal Cancer","container-title":"Gastroenterology","page":"307-323","volume":"153","issue":"1","source":"PubMed","abstract":"This document updates the colorectal cancer (CRC) screening recommendations of the U.S. Multi-Society Task Force of Colorectal Cancer (MSTF), which represents the American College of Gastroenterology, the American Gastroenterological Association, and The American Society for Gastrointestinal Endoscopy. CRC screening tests are ranked in 3 tiers based on performance features, costs, and practical considerations. The first-tier tests are colonoscopy every 10 years and annual fecal immunochemical test (FIT). Colonoscopy and FIT are recommended as the cornerstones of screening regardless of how screening is offered. Thus, in a sequential approach based on colonoscopy offered first, FIT should be offered to patients who decline colonoscopy. Colonoscopy and FIT are recommended as tests of choice when multiple options are presented as alternatives. A risk-stratified approach is also appropriate, with FIT screening in populations with an estimated low prevalence of advanced neoplasia and colonoscopy screening in high prevalence populations. The second-tier tests include CT colonography every 5 years, the FIT-fecal DNA test every 3 years, and flexible sigmoidoscopy every 5 to 10 years. These tests are appropriate screening tests, but each has disadvantages relative to the tier 1 tests. Because of limited evidence and current obstacles to use, capsule colonoscopy every 5 years is a third-tier test. We suggest that the Septin9 serum assay (Epigenomics, Seattle, Wash) not be used for screening. Screening should begin at age 50 years in average-risk persons, except in African Americans in whom limited evidence supports screening at 45 years. CRC incidence is rising in persons under age 50, and thorough diagnostic evaluation of young persons with suspected colorectal bleeding is recommended. Discontinuation of screening should be considered when persons up to date with screening, who have prior negative screening (particularly colonoscopy), reach age 75 or have &lt;10 years of life expectancy. Persons without prior screening should be considered for screening up to age 85, depending on age and comorbidities. Persons with a family history of CRC or a documented advanced adenoma in a first-degree relative age &lt;60 years or 2 first-degree relatives with these findings at any age are recommended to undergo screening by colonoscopy every 5 years, beginning 10 years before th</w:instrText>
      </w:r>
      <w:r w:rsidR="002A773B" w:rsidRPr="00DB7074">
        <w:rPr>
          <w:rFonts w:ascii="Book Antiqua" w:hAnsi="Book Antiqua" w:cs="Times New Roman" w:hint="eastAsia"/>
          <w:sz w:val="24"/>
          <w:szCs w:val="24"/>
        </w:rPr>
        <w:instrText>e age at diagnosis of the youngest affected relative or age 40, whichever is earlier. Persons with a single first-degree relative diagnosed at </w:instrText>
      </w:r>
      <w:r w:rsidR="002A773B" w:rsidRPr="00DB7074">
        <w:rPr>
          <w:rFonts w:ascii="Book Antiqua" w:hAnsi="Book Antiqua" w:cs="Times New Roman" w:hint="eastAsia"/>
          <w:sz w:val="24"/>
          <w:szCs w:val="24"/>
        </w:rPr>
        <w:instrText>≥</w:instrText>
      </w:r>
      <w:r w:rsidR="002A773B" w:rsidRPr="00DB7074">
        <w:rPr>
          <w:rFonts w:ascii="Book Antiqua" w:hAnsi="Book Antiqua" w:cs="Times New Roman" w:hint="eastAsia"/>
          <w:sz w:val="24"/>
          <w:szCs w:val="24"/>
        </w:rPr>
        <w:instrText>60 years with CRC or an advanced adenoma can be offered average-risk screening options beginning at age 40 year</w:instrText>
      </w:r>
      <w:r w:rsidR="002A773B" w:rsidRPr="00DB7074">
        <w:rPr>
          <w:rFonts w:ascii="Book Antiqua" w:hAnsi="Book Antiqua" w:cs="Times New Roman"/>
          <w:sz w:val="24"/>
          <w:szCs w:val="24"/>
        </w:rPr>
        <w:instrText xml:space="preserve">s.","DOI":"10.1053/j.gastro.2017.05.013","ISSN":"1528-0012","note":"PMID: 28600072","shortTitle":"Colorectal Cancer Screening","journalAbbreviation":"Gastroenterology","language":"eng","author":[{"family":"Rex","given":"Douglas K."},{"family":"Boland","given":"C. Richard"},{"family":"Dominitz","given":"Jason A."},{"family":"Giardiello","given":"Francis M."},{"family":"Johnson","given":"David A."},{"family":"Kaltenbach","given":"Tonya"},{"family":"Levin","given":"Theodore R."},{"family":"Lieberman","given":"David"},{"family":"Robertson","given":"Douglas J."}],"issued":{"date-parts":[["2017",7]]}}},{"id":"D1GMNV0O/5nlPkCw6","uris":["http://zotero.org/users/4804376/items/J4E4BA7X"],"uri":["http://zotero.org/users/4804376/items/J4E4BA7X"],"itemData":{"id":505,"type":"article-journal","title":"Colorectal cancer population screening programs worldwide in 2016: An update","container-title":"World Journal of Gastroenterology","page":"3632-3642","volume":"23","issue":"20","source":"PubMed","abstract":"Colorectal cancer (CRC) is the third most commonly diagnosed cancer in the world. The incidence and mortality show wide geographical variations. Screening is recommended to reduce both incidence and mortality. However, there are significant differences among studies in implementation strategies and detection. This review aimed to present the results and strategies of different screening programs worldwide. We reviewed the literature on national and international screening programs published in PubMed, on web pages, and in clinical guidelines. CRC Screening programs are currently underway in most European countries, Canada, specific regions in North and South America, Asia, and Oceania. The most extensive screening strategies were based on fecal occult blood testing, and more recently, the fecal immunochemical test (FIT). Participation in screening has varied greatly among different programs. The Netherlands showed the highest participation rate (68.2%) and some areas of Canada showed the lowest (16%). Participation rates were highest among women and in programs that used the FIT test. Men exhibited the greatest number of positive results. The FIT test has been the most widely used screening program worldwide. The advent of this test has increased participation rates and the detection of positive results.","DOI":"10.3748/wjg.v23.i20.3632","ISSN":"2219-2840","note":"PMID: 28611516\nPMCID: PMC5449420","shortTitle":"Colorectal cancer population screening programs worldwide in 2016","journalAbbreviation":"World J. Gastroenterol.","language":"eng","author":[{"family":"Navarro","given":"Mercedes"},{"family":"Nicolas","given":"Andrea"},{"family":"Ferrandez","given":"Angel"},{"family":"Lanas","given":"Angel"}],"issued":{"date-parts":[["2017",5,28]]}}},{"id":"D1GMNV0O/UKq5Bze8","uris":["http://zotero.org/users/4804376/items/3GVRJY34"],"uri":["http://zotero.org/users/4804376/items/3GVRJY34"],"itemData":{"id":710,"type":"article-journal","title":"Screening for colorectal cancer using the faecal occult blood test, Hemoccult","container-title":"The Cochrane Database of Systematic Reviews","page":"CD001216","issue":"1","source":"PubMed","abstract":"BACKGROUND: Colorectal cancer is a leading cause of morbidity and mortality, especially in the Western world. The human and financial costs of this disease have prompted considerable research efforts to evaluate the ability of screening tests to detect the cancer at an early curable stage. Tests that have been considered for population screening include variants of the faecal occult blood test, flexible sigmoidoscopy and colonoscopy. Reducing mortality from colorectal cancer (CRC) may be achieved by the introduction of population-based screening programmes.\nOBJECTIVES: To determine whether screening for colorectal cancer using the faecal occult blood test (guaiac or immunochemical) reduces colorectal cancer mortality and to consider the benefits, harms and potential consequences of screening.\nSEARCH STRATEGY: Published and unpublished data for this review were identified by: Reviewing studies included in the previous Cochrane review; Searching several electronic databases (Cochrane Library, Medline, Embase, CINAHL, PsychInfo, Amed, SIGLE, HMIC); and Writing to the principal investigators of potentially eligible trials.\nSELECTION CRITERIA: We included in this review all randomised trials of screening for colorectal cancer that compared faecal occult blood test (guaiac or immunochemical) on more than one occasion with no screening and reported colorectal cancer mortality.\nDATA COLLECTION AND ANALYSIS: Data from the eligible trials were independently extracted by two reviewers. The primary data analysis was performed using the group participants were originally randomised to ('intention to screen'), whether or not they attended screening; a secondary analysis adjusted for non-attendence. We calculated the relative risks and risk differences for each trial, and then overall, using fixed and random effects models (including testing for heterogeneity of effects). We identified nine articles concerning four randomised controlled trials and two controlled trials involving over 320,000 participants with follow-up ranging from 8 to 18 years.\nMAIN RESULTS: Combined results from the 4 eligible randomised controlled trials shows that participants allocated to screening had a 16% reduction in the relative risk of colorectal cancer mortality (RR 0.84, CI: 0.78-0.90). In the 3 studies that used biennial screening (Funen, Minnesota, Nottingham) there was a 15% relative risk reduction (RR 0.85, CI: 0.78-0.92) in colorectal cancer mortality. When adjusted for screening attendance in the individual studies, there was a 25% relative risk reduction (RR 0.75, CI: 0.66 - 0.84) for those attending at least one round of screening using the faecal occult blood test.\nAUTHORS' CONCLUSIONS: Benefits of screening include a modest reduction in colorectal cancer mortality, a possible reduction in cancer incidence through the detection and removal of colorectal adenomas, and potentially, the less invasive surgery that earlier treatment of colorectal cancers may involve. Harmful effects of screening include the psycho-social consequences of receiving a false-positive result, the potentially significant complications of colonoscopy or a false-negative result, the possibility of overdiagnosis (leading to unnecessary investigations or treatment) and the complications associated with treatment.","DOI":"10.1002/14651858.CD001216.pub2","ISSN":"1469-493X","note":"PMID: 17253456","journalAbbreviation":"Cochrane Database Syst Rev","language":"eng","author":[{"family":"Hewitson","given":"P."},{"family":"Glasziou","given":"P."},{"family":"Irwig","given":"L."},{"family":"Towler","given":"B."},{"family":"Watson","given":"E."}],"issued":{"date-parts":[["2007",1,24]]}}}],"schema":"https://github.com/citation-style-language/schema/raw/master/csl-citation.json"} </w:instrText>
      </w:r>
      <w:r w:rsidR="004B5CC3"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[2,19,21,25</w:t>
      </w:r>
      <w:r w:rsidR="007D40E6">
        <w:rPr>
          <w:rFonts w:ascii="Book Antiqua" w:hAnsi="Book Antiqua" w:cs="Times New Roman" w:hint="eastAsia"/>
          <w:sz w:val="24"/>
          <w:szCs w:val="24"/>
          <w:vertAlign w:val="superscript"/>
          <w:lang w:eastAsia="zh-CN"/>
        </w:rPr>
        <w:t>-</w:t>
      </w:r>
      <w:r w:rsidR="00794414" w:rsidRPr="00DB7074">
        <w:rPr>
          <w:rFonts w:ascii="Book Antiqua" w:hAnsi="Book Antiqua" w:cs="Times New Roman"/>
          <w:sz w:val="24"/>
          <w:szCs w:val="24"/>
          <w:vertAlign w:val="superscript"/>
        </w:rPr>
        <w:t>36]</w:t>
      </w:r>
      <w:r w:rsidR="004B5CC3" w:rsidRPr="00DB7074">
        <w:rPr>
          <w:rFonts w:ascii="Book Antiqua" w:hAnsi="Book Antiqua" w:cs="Times New Roman"/>
          <w:sz w:val="24"/>
          <w:szCs w:val="24"/>
        </w:rPr>
        <w:fldChar w:fldCharType="end"/>
      </w:r>
      <w:r w:rsidR="007C3E4D" w:rsidRPr="00DB7074">
        <w:rPr>
          <w:rFonts w:ascii="Book Antiqua" w:hAnsi="Book Antiqua" w:cs="Times New Roman"/>
          <w:sz w:val="24"/>
          <w:szCs w:val="24"/>
        </w:rPr>
        <w:t>. H</w:t>
      </w:r>
      <w:r w:rsidR="008C3A4C" w:rsidRPr="00DB7074">
        <w:rPr>
          <w:rFonts w:ascii="Book Antiqua" w:hAnsi="Book Antiqua" w:cs="Times New Roman"/>
          <w:sz w:val="24"/>
          <w:szCs w:val="24"/>
        </w:rPr>
        <w:t>owever,</w:t>
      </w:r>
      <w:r w:rsidRPr="00DB7074">
        <w:rPr>
          <w:rFonts w:ascii="Book Antiqua" w:hAnsi="Book Antiqua" w:cs="Times New Roman"/>
          <w:sz w:val="24"/>
          <w:szCs w:val="24"/>
        </w:rPr>
        <w:t xml:space="preserve"> the</w:t>
      </w:r>
      <w:r w:rsidR="008C3A4C" w:rsidRPr="00DB7074">
        <w:rPr>
          <w:rFonts w:ascii="Book Antiqua" w:hAnsi="Book Antiqua" w:cs="Times New Roman"/>
          <w:sz w:val="24"/>
          <w:szCs w:val="24"/>
        </w:rPr>
        <w:t>se techniques have been</w:t>
      </w:r>
      <w:r w:rsidRPr="00DB7074">
        <w:rPr>
          <w:rFonts w:ascii="Book Antiqua" w:hAnsi="Book Antiqua" w:cs="Times New Roman"/>
          <w:sz w:val="24"/>
          <w:szCs w:val="24"/>
        </w:rPr>
        <w:t xml:space="preserve"> criticized for their relatively low specificity</w:t>
      </w:r>
      <w:r w:rsidR="004B5CC3"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{"citationID":"a26g35g330h","properties":{"formattedCitation":"\\super [14]\\nosupersub{}","plainCitation":"[14]","noteIndex":0},"citationItems":[{"id":"D1GMNV0O/V3hgIQ0d","uris":["http://zotero.org/users/4804376/items/7RPKVMTZ"],"uri":["http://zotero.org/users/4804376/items/7RPKVMTZ"],"itemData":{"id":387,"type":"article-journal","title":"Colorectal Cancer Screening","container-title":"WMJ: official publication of the State Medical Society of Wisconsin","page":"27-33","volume":"116","issue":"1","source":"PubMed","abstract":"Colorectal cancer (CRC) continues to be one of the most commonly diagnosed cancers and contributes significantly to many cancer-related deaths despite sustained progress in diagnostic and treatment options. Many forms of CRC can be prevented through early and routine screening, when precancerous lesions may be detected and removed before they undergo malignant transformation or metastasis. Despite widespread efforts to improve CRC screening rates, at least 40% of age-eligible adults do not adhere to screening guidelines. A new generation of noninvasive, molecular-based diagnostic tests with high sensitivities and specificities has the potential to improve screening rates through optimal risk stratification of patients who may benefit from more invasive screening techniques. This review presents various guidelines and methods that are currently available for CRC screening, summarizes the rationale behind utilization of novel molecular-based diagnostic tests for CRC screening and prevention, and discusses appropriate screening techniques and intervals in populations of varying risk.","ISSN":"1098-1861","note":"PMID: 29099566","journalAbbreviation":"WMJ","language":"eng","author":[{"family":"Bray","given":"Christopher"},{"family":"Bell","given":"Lauren N."},{"family":"Liang","given":"Hong"},{"family":"Collins","given":"Dennis"},{"family":"Yale","given":"Steven H."}],"issued":{"date-parts":[["2017"]]}}}],"schema":"https://github.com/citation-style-language/schema/raw/master/csl-citation.json"} </w:instrText>
      </w:r>
      <w:r w:rsidR="004B5CC3"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[14]</w:t>
      </w:r>
      <w:r w:rsidR="004B5CC3" w:rsidRPr="00DB7074">
        <w:rPr>
          <w:rFonts w:ascii="Book Antiqua" w:hAnsi="Book Antiqua" w:cs="Times New Roman"/>
          <w:sz w:val="24"/>
          <w:szCs w:val="24"/>
        </w:rPr>
        <w:fldChar w:fldCharType="end"/>
      </w:r>
      <w:r w:rsidRPr="00DB7074">
        <w:rPr>
          <w:rFonts w:ascii="Book Antiqua" w:hAnsi="Book Antiqua" w:cs="Times New Roman"/>
          <w:sz w:val="24"/>
          <w:szCs w:val="24"/>
        </w:rPr>
        <w:t>. Therefore, new molecular CRC screening methods targeting abnormal proteins or mRNA expression (</w:t>
      </w:r>
      <w:r w:rsidR="00507882" w:rsidRPr="00041DE3">
        <w:rPr>
          <w:rFonts w:ascii="Book Antiqua" w:hAnsi="Book Antiqua" w:cs="Times New Roman"/>
          <w:i/>
          <w:sz w:val="24"/>
          <w:szCs w:val="24"/>
        </w:rPr>
        <w:t>e.g</w:t>
      </w:r>
      <w:r w:rsidR="00507882" w:rsidRPr="00DB7074">
        <w:rPr>
          <w:rFonts w:ascii="Book Antiqua" w:hAnsi="Book Antiqua" w:cs="Times New Roman"/>
          <w:sz w:val="24"/>
          <w:szCs w:val="24"/>
        </w:rPr>
        <w:t xml:space="preserve">., </w:t>
      </w:r>
      <w:r w:rsidRPr="00DB7074">
        <w:rPr>
          <w:rFonts w:ascii="Book Antiqua" w:hAnsi="Book Antiqua" w:cs="Times New Roman"/>
          <w:i/>
          <w:sz w:val="24"/>
          <w:szCs w:val="24"/>
        </w:rPr>
        <w:t>PKM2</w:t>
      </w:r>
      <w:r w:rsidRPr="00DB7074">
        <w:rPr>
          <w:rFonts w:ascii="Book Antiqua" w:hAnsi="Book Antiqua" w:cs="Times New Roman"/>
          <w:sz w:val="24"/>
          <w:szCs w:val="24"/>
        </w:rPr>
        <w:t>, β-actin expression), gene mutations (</w:t>
      </w:r>
      <w:r w:rsidR="00507882" w:rsidRPr="007D40E6">
        <w:rPr>
          <w:rFonts w:ascii="Book Antiqua" w:hAnsi="Book Antiqua" w:cs="Times New Roman"/>
          <w:i/>
          <w:sz w:val="24"/>
          <w:szCs w:val="24"/>
        </w:rPr>
        <w:t>e.g.</w:t>
      </w:r>
      <w:r w:rsidR="00507882" w:rsidRPr="00DB7074">
        <w:rPr>
          <w:rFonts w:ascii="Book Antiqua" w:hAnsi="Book Antiqua" w:cs="Times New Roman"/>
          <w:sz w:val="24"/>
          <w:szCs w:val="24"/>
        </w:rPr>
        <w:t xml:space="preserve">, </w:t>
      </w:r>
      <w:r w:rsidRPr="00DB7074">
        <w:rPr>
          <w:rFonts w:ascii="Book Antiqua" w:hAnsi="Book Antiqua" w:cs="Times New Roman"/>
          <w:i/>
          <w:sz w:val="24"/>
          <w:szCs w:val="24"/>
        </w:rPr>
        <w:t>KRAS</w:t>
      </w:r>
      <w:r w:rsidRPr="00DB7074">
        <w:rPr>
          <w:rFonts w:ascii="Book Antiqua" w:hAnsi="Book Antiqua" w:cs="Times New Roman"/>
          <w:sz w:val="24"/>
          <w:szCs w:val="24"/>
        </w:rPr>
        <w:t xml:space="preserve">, </w:t>
      </w:r>
      <w:r w:rsidRPr="00DB7074">
        <w:rPr>
          <w:rFonts w:ascii="Book Antiqua" w:hAnsi="Book Antiqua" w:cs="Times New Roman"/>
          <w:i/>
          <w:sz w:val="24"/>
          <w:szCs w:val="24"/>
        </w:rPr>
        <w:t>APC</w:t>
      </w:r>
      <w:r w:rsidRPr="00DB7074">
        <w:rPr>
          <w:rFonts w:ascii="Book Antiqua" w:hAnsi="Book Antiqua" w:cs="Times New Roman"/>
          <w:sz w:val="24"/>
          <w:szCs w:val="24"/>
        </w:rPr>
        <w:t xml:space="preserve">, </w:t>
      </w:r>
      <w:r w:rsidRPr="00DB7074">
        <w:rPr>
          <w:rFonts w:ascii="Book Antiqua" w:hAnsi="Book Antiqua" w:cs="Times New Roman"/>
          <w:i/>
          <w:sz w:val="24"/>
          <w:szCs w:val="24"/>
        </w:rPr>
        <w:t>P53</w:t>
      </w:r>
      <w:r w:rsidRPr="00DB7074">
        <w:rPr>
          <w:rFonts w:ascii="Book Antiqua" w:hAnsi="Book Antiqua" w:cs="Times New Roman"/>
          <w:sz w:val="24"/>
          <w:szCs w:val="24"/>
        </w:rPr>
        <w:t xml:space="preserve">), microsatellite instability (MSI) or aberrantly methylated promoter regions present in stool or body fluids are a developing area of investigation </w:t>
      </w:r>
      <w:r w:rsidR="008C3A4C" w:rsidRPr="00DB7074">
        <w:rPr>
          <w:rFonts w:ascii="Book Antiqua" w:hAnsi="Book Antiqua" w:cs="Times New Roman"/>
          <w:sz w:val="24"/>
          <w:szCs w:val="24"/>
        </w:rPr>
        <w:t>to establish</w:t>
      </w:r>
      <w:r w:rsidRPr="00DB7074">
        <w:rPr>
          <w:rFonts w:ascii="Book Antiqua" w:hAnsi="Book Antiqua" w:cs="Times New Roman"/>
          <w:sz w:val="24"/>
          <w:szCs w:val="24"/>
        </w:rPr>
        <w:t xml:space="preserve"> innovative large-scale screening </w:t>
      </w:r>
      <w:r w:rsidR="00507882" w:rsidRPr="00DB7074">
        <w:rPr>
          <w:rFonts w:ascii="Book Antiqua" w:hAnsi="Book Antiqua" w:cs="Times New Roman"/>
          <w:sz w:val="24"/>
          <w:szCs w:val="24"/>
        </w:rPr>
        <w:t>programmes</w:t>
      </w:r>
      <w:r w:rsidR="004B5CC3"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{"citationID":"uq899FHp","properties":{"formattedCitation":"\\super [13,14,37\\uc0\\u8211{}45]\\nosupersub{}","plainCitation":"[13,14,37–45]","noteIndex":0},"citationItems":[{"id":"D1GMNV0O/iLAKfs8t","uris":["http://zotero.org/users/4804376/items/R23UVFZH"],"uri":["http://zotero.org/users/4804376/items/R23UVFZH"],"itemData":{"id":477,"type":"article-journal","title":"Diagnostic value of fecal tumor M2-pyruvate kinase for CRC screening: a systematic review and meta-analysis","container-title":"International Journal of Cancer","page":"1837-1845","volume":"131","issue":"8","source":"PubMed","abstract":"The measurement of fecal tumor M2-pyruvate kinase (PKM2), overexpressed in tumor cells, has been proposed as a novel tool for detecting colorectal cancer (CRC). However, the sensitivity and specificity of this test varied among studies. The aim of this meta-analysis was to determine the diagnostic accuracy of fecal PKM2 for CRC and to evaluate its utility in the CRC screening. It was compared to guaiac fecal occult blood test (gFOBT) or immunological fecal occult blood test (iFOBT). Through comprehensive literature search, 10 studies met the inclusion criteria and were included. Summary estimates for sensitivity and specificity were calculated by using the bivariate random effect model. The hierarchical summary receiver operating characteristic curve was also undertaken. The overall sensitivity and specificity of fecal PKM2 for detecting CRC were 79% (95% CI = 75-83%) and 81% (95% CI = 73-87%), respectively. The summary positive predictive value and negative predictive value were 74% (95% CI = 56-87%) and 86% (95% CI = 79-91%), respectively. The pooled diagnostic odds ratio was 16 (95% CI = 10-26). In head-to-head comparison, the diagnostic odds ratio of PKM2 and gFOBT for CRC were 10.167 (95% CI = 5.992-17.250) and 6.557 (95% CI = 3.467-12.403), respectively. The diagnostic odds ratio of PKM2 and iFOBT for CRC were 9.542 (95% CI = 5.893-15.452) and 67.248 (95% CI = 16.194-279.26), respectively. The fecal PKM2 test was a diagnostic tool with moderate sensitivity and specificity for detecting CRC. Its diagnostic efficiency was similar to that of gFOBT. Because of its relatively low specificity and positive predict value, fecal PKM2 was not recommended used alone as a screening tool for CRC.","DOI":"10.1002/ijc.27442","ISSN":"1097-0215","note":"PMID: 22261915","shortTitle":"Diagnostic value of fecal tumor M2-pyruvate kinase for CRC screening","journalAbbreviation":"Int. J. Cancer","language":"eng","author":[{"family":"Li","given":"Rui"},{"family":"Liu","given":"Jianjun"},{"family":"Xue","given":"Huiping"},{"family":"Huang","given":"Gang"}],"issued":{"date-parts":[["2012",10,15]]}}},{"id":"D1GMNV0O/MqbQ14hq","uris":["http://zotero.org/users/4804376/items/QX8JD5SC"],"uri":["http://zotero.org/users/4804376/items/QX8JD5SC"],"itemData":{"id":431,"type":"article-journal","title":"Tumour M2-PK as a stool marker for colorectal cancer: comparative analysis in a large sample of unselected older adults vs colorectal cancer patients","container-title":"British Journal of Cancer","page":"1329-1334","volume":"96","issue":"9","source":"PubMed","abstract":"Stool testing based on tumour-derived markers might offer a promising approach for non-invasive colorectal cancer (CRC) screening. The aim of this study was to estimate the potential of a new test for faecal tumour M2-PK to discriminate patients with CRC from a large sample of unselected older adults. Faecal tumour M2-PK concentrations were determined in 65 CRC patients and in a population-based sample of 917 older adults (median age: 65 and 62 years, respectively). Sensitivity and specificity of the test were calculated at different cutoff values, and receiver-operating characteristic curves (ROC) were constructed to visualise the discriminatory power of the test. The median (interquartile range) faecal tumour M2-PK concentration was 8.6 U ml(-1) (2.8-18.0) among CRC patients and &lt;2 U ml(-1) (&lt;2-3.2; P&lt;0.0001) in the population sample. At a cutoff value of 4 U ml(-1), sensitivity (95% confidence interval) was 85% (65-96%) for colon cancer and 56% (41-74%) for rectum cancer. Specificity (95% confidence interval) was estimated to be 79% (76-81%). Given the comparatively high sensitivity of the tumour M2-PK stool test (especially for colon cancer) and its simple analysis, the potential use of the test for early detection of CRC merits further investigation. Possibilities to enhance specificity of the test should be explored.","DOI":"10.1038/sj.bjc.6603712","ISSN":"0007-0920","note":"PMID: 17406361\nPMCID: PMC2360192","shortTitle":"Tumour M2-PK as a stool marker for colorectal cancer","journalAbbreviation":"Br. J. Cancer","language":"eng","author":[{"family":"Haug","given":"U."},{"family":"Rothenbacher","given":"D."},{"family":"Wente","given":"M. N."},{"family":"Seiler","given":"C. M."},{"family":"Stegmaier","given":"C."},{"family":"Brenner","given":"H."}],"issued":{"date-parts":[["2007",5,7]]}}},{"id":"D1GMNV0O/lPq0styM","uris":["http://zotero.org/users/4804376/items/74G2DUYK"],"uri":["http://zotero.org/users/4804376/items/74G2DUYK"],"itemData":{"id":573,"type":"article-journal","title":"Faecal pyruvate kinase isoenzyme type M2 for colorectal cancer screening: a meta-analysis","container-title":"World Journal of Gastroenterology","page":"4004-4011","volume":"18","issue":"30","source":"PubMed","abstract":"AIM: To present a critical discussion of the efficacy of the faecal pyruvate kinase isoenzyme type M2 (faecal M2-PK) test for colorectal cancer (CRC) screening based on the currently available studies.\nMETHODS: A literature search in PubMed and Embase was conducted using the following search terms: fecal Tumor M2-PK, faecal Tumour M2-PK, fecal M2-PK, faecal M2-PK, fecal pyruvate kinase, faecal pyruvate kinase, pyruvate kinase stool and M2-PK stool.\nRESULTS: Stool samples from 704 patients with CRC and from 11 412 healthy subjects have been investigated for faecal M2-PK concentrations in seventeen independent studies. The mean faecal M2-PK sensitivity was 80.3%; the specificity was 95.2%. Four studies compared faecal M2-PK head-to-head with guaiac-based faecal occult blood test (gFOBT). Faecal M2-PK demonstrated a sensitivity of 81.1%, whereas the gFOBT detected only 36.9% of the CRCs. Eight independent studies investigated the sensitivity of faecal M2-PK for adenoma (n = 554), with the following sensitivities: adenoma &lt; 1 cm in diameter: 25%; adenoma &gt; 1 cm: 44%; adenoma of unspecified diameter: 51%. In a direct comparison with gFOBT of adenoma &gt; 1 cm in diameter, 47% tested positive with the faecal M2-PK test, whereas the gFOBT detected only 27%.\nCONCLUSION: We recommend faecal M2-PK as a routine test for CRC screening. Faecal M2-PK closes a gap in clinical practice because it detects bleeding and non-bleeding tumors and adenoma with high sensitivity and specificity.","DOI":"10.3748/wjg.v18.i30.4004","ISSN":"2219-2840","note":"PMID: 22912551\nPMCID: PMC3419997","shortTitle":"Faecal pyruvate kinase isoenzyme type M2 for colorectal cancer screening","journalAbbreviation":"World J. Gastroenterol.","language":"eng","author":[{"family":"Tonus","given":"Carolin"},{"family":"Sellinger","given":"Markus"},{"family":"Koss","given":"Konrad"},{"family":"Neupert","given":"Gero"}],"issued":{"date-parts":[["2012",8,14]]}}},{"id":"D1GMNV0O/yCUZBcsw","uris":["http://zotero.org/users/4804376/items/7RA2T446"],"uri":["http://zotero.org/users/4804376/items/7RA2T446"],"itemData":{"id":385,"type":"article-journal","title":"Colorectal Cancer Screening-Who, How, and When?","container-title":"Clinical Endoscopy","page":"37-49","volume":"51","issue":"1","source":"PubMed","abstract":"Colorectal cancer (CRC) is the third most common cancer worldwide. It is amenable to screening as it occurs in premalignant, latent, early, and curable stages. PubMed, Cochrane Database of Systematic Reviews, and national and international CRC screening guidelines were searched for CRC screening methods, populations, and timing. CRC screening can use direct or indirect tests, delivered opportunistically or via organized programs. Most CRCs are diagnosed after 60 years of age; most screening programs apply to individuals 50-75 years of age. Screening may reduce disease-specific mortality by detecting CRC in earlier stages, and CRC incidence by detecting premalignant polyps, which can subsequently be removed. In randomized controlled trials (RCTs) guaiac fecal occult blood testing (gFOBt) was found to reduce CRC mortality by 13%-33%. Fecal immunochemical testing (FIT) has no RCT data comparing it to no screening, but is superior to gFOBt. Flexible sigmoidoscopy (FS) trials demonstrated an 18% reduction in CRC incidence and a 28% reduction in CRC mortality. Currently, RCT evidence for colonoscopy screening is scarce. Although not yet corroborated by RCTs, it is likely that colonoscopy is the best screening modality for an individual. From a population perspective, organized programs are superior to opportunistic screening. However, no nation can offer organized population-wide colonoscopy screening. Thus, organized programs using cheaper modalities, such as FS/FIT, can be tailored to budget and capacity.","DOI":"10.5946/ce.2017.141","ISSN":"2234-2400","note":"PMID: 29397655\nPMCID: PMC5806924","journalAbbreviation":"Clin Endosc","language":"eng","author":[{"family":"Bevan","given":"Roisin"},{"family":"Rutter","given":"Matthew D."}],"issued":{"date-parts":[["2018",1]]}}},{"id":"D1GMNV0O/V3hgIQ0d","uris":["http://zotero.org/users/4804376/items/7RPKVMTZ"],"uri":["http://zotero.org/users/4804376/items/7RPKVMTZ"],"itemData":{"id":387,"type":"article-journal","title":"Colorectal Cancer Screening","container-title":"WMJ: official publication of the State Medical Society of Wisconsin","page":"27-33","volume":"116","issue":"1","source":"PubMed","abstract":"Colorectal cancer (CRC) continues to be one of the most commonly diagnosed cancers and contributes significantly to many cancer-related deaths despite sustained progress in diagnostic and treatment options. Many forms of CRC can be prevented through early and routine screening, when precancerous lesions may be detected and removed before they undergo malignant transformation or metastasis. Despite widespread efforts to improve CRC screening rates, at least 40% of age-eligible adults do not adhere to screening guidelines. A new generation of noninvasive, molecular-based diagnostic tests with high sensitivities and specificities has the potential to improve screening rates through optimal risk stratification of patients who may benefit from more invasive screening techniques. This review presents various guidelines and methods that are currently available for CRC screening, summarizes the rationale behind utilization of novel molecular-based diagnostic tests for CRC screening and prevention, and discusses appropriate screening techniques and intervals in populations of varying risk.","ISSN":"1098-1861","note":"PMID: 29099566","journalAbbreviation":"WMJ","language":"eng","author":[{"family":"Bray","given":"Christopher"},{"family":"Bell","given":"Lauren N."},{"family":"Liang","given":"Hong"},{"family":"Collins","given":"Dennis"},{"family":"Yale","given":"Steven H."}],"issued":{"date-parts":[["2017"]]}}},{"id":"D1GMNV0O/BtgPF2d7","uris":["http://zotero.org/users/4804376/items/6IIWRKRK"],"uri":["http://zotero.org/users/4804376/items/6IIWRKRK"],"itemData":{"id":447,"type":"article-journal","title":"Fecal DNA versus fecal occult blood for colorectal-cancer screening in an average-risk population","container-title":"The New England Journal of Medicine","page":"2704-2714","volume":"351","issue":"26","source":"PubMed","abstract":"BACKGROUND: Although fecal occult-blood testing is the only available noninvasive screening method that reduces the risk of death from colorectal cancer, it has limited sensitivity. We compared an approach that identifies abnormal DNA in stool samples with the Hemoccult II fecal occult-blood test in average-risk, asymptomatic persons 50 years of age or older.\nMETHODS: Eligible subjects submitted one stool specimen for DNA analysis, underwent standard Hemoccult II testing, and then underwent colonoscopy. Of 5486 subjects enrolled, 4404 completed all aspects of the study. A subgroup of 2507 subjects was analyzed, including all those with a diagnosis of invasive adenocarcinoma or advanced adenoma plus randomly chosen subjects with no polyps or minor polyps. The fecal DNA panel consisted of 21 mutations.\nRESULTS: The fecal DNA panel detected 16 of 31 invasive cancers, whereas Hemoccult II identified 4 of 31 (51.6 percent vs. 12.9 percent, P=0.003). The DNA panel detected 29 of 71 invasive cancers plus adenomas with high-grade dysplasia, whereas Hemoccult II identified 10 of 71 (40.8 percent vs. 14.1 percent, P&lt;0.001). Among 418 subjects with advanced neoplasia (defined as a tubular adenoma at least 1 cm in diameter, a polyp with a villous histologic appearance, a polyp with high-grade dysplasia, or cancer), the DNA panel was positive in 76 (18.2 percent), whereas Hemoccult II was positive in 45 (10.8 percent). Specificity in subjects with negative findings on colonoscopy was 94.4 percent for the fecal DNA panel and 95.2 percent for Hemoccult II.\nCONCLUSIONS: Although the majority of neoplastic lesions identified by colonoscopy were not detected by either noninvasive test, the multitarget analysis of fecal DNA detected a greater proportion of important colorectal neoplasia than did Hemoccult II without compromising specificity.","DOI":"10.1056/NEJMoa033403","ISSN":"1533-4406","note":"PMID: 15616205","journalAbbreviation":"N. Engl. J. Med.","language":"eng","author":[{"family":"Imperiale","given":"Thomas F."},{"family":"Ransohoff","given":"David F."},{"family":"Itzkowitz","given":"Steven H."},{"family":"Turnbull","given":"Barry A."},{"family":"Ross","given":"Michael E."},{"literal":"Colorectal Cancer Study Group"}],"issued":{"date-parts":[["2004",12,23]]}}},{"id":"D1GMNV0O/duGQGbu0","uris":["http://zotero.org/users/4804376/items/8RPBYZIT"],"uri":["http://zotero.org/users/4804376/items/8RPBYZIT"],"itemData":{"id":545,"type":"article-journal","title":"Advances in Fecal Tests for Colorectal Cancer Screening","container-title":"Current Treatment Options in Gastroenterology","page":"152-162","volume":"14","issue":"1","source":"PubMed","abstract":"OPINION STATEMENT: Colorectal cancer (CRC) forms an important public health problem, especially in developed countries. CRC screening tests can be used to identify asymptomatic individuals with CRC precursors and (early) cancer. Removal of these lesions reduces CRC incidence and prevents CRC-related mortality. There are a range of screening tests available, each with advantages and disadvantages. Stool screening tests can broadly be divided into fecal occult blood tests (FOBTs) and molecular biomarker test, such as DNA/RNA marker tests, protein markers, and fecal microbiome marker tests. Guaiac fecal occult blood tests (gFOBT) have been demonstrated in large randomized screening trials to reduce CRC mortality. Fecal immunochemical tests (FIT) have superior adherence, usability, and accuracy as compared to gFOBT. Advantage of the use of quantitative FITs in CRC screening programs is the cut-off level that can be adjusted. Molecular biomarker DNA tests have shown to detect significantly more cancers than FIT. By combining biomarker DNA tests with FIT, sensitivity for advanced adenomas can be increased significantly. However, it has lower specificity thus demands more colonoscopy resources, is more cumbersome, and costly. The adherence has not been assessed in population screening trials. For these reasons, FIT is therefore at present regarded as the preferred method of non-invasive CRC screening. This chapter will review the current status of fecal test-based CRC screening.","DOI":"10.1007/s11938-016-0076-0","ISSN":"1092-8472","note":"PMID: 26825703\nPMCID: PMC4783443","journalAbbreviation":"Curr Treat Options Gastroenterol","language":"eng","author":[{"family":"Schreuders","given":"Eline H."},{"family":"Grobbee","given":"Esmée J."},{"family":"Spaander","given":"Manon C. W."},{"family":"Kuipers","given":"Ernst J."}],"issued":{"date-parts":[["2016",3]]}}},{"id":"D1GMNV0O/Gl9Ka1L4","uris":["http://zotero.org/users/4804376/items/K25CS693"],"uri":["http://zotero.org/users/4804376/items/K25CS693"],"itemData":{"id":371,"type":"article-journal","title":"Multi-target stool DNA test: a new high bar for noninvasive screening","container-title":"Digestive Diseases and Sciences","page":"623-633","volume":"60","issue":"3","source":"PubMed","abstract":"Stool DNA testing has evolved into what is now a highly accurate and well-validated test for the screen detection of colorectal neoplasia. An optimized and automated multi-target stool DNA test (MT-sDNA) has achieved the same high point-sensitivities as reported for colonoscopy and significantly higher sensitivity than by fecal immunochemical blood testing for detection of early-stage cancer and advanced precancer. Thus, MT-sDNA sets a new high criterion standard for the noninvasive screen detection of colorectal neoplasia. With clinical application, MT-sDNA has potential to meaningfully address current gaps in our approach to CRC screening through benefits of its high accuracy on screening effectiveness, user-friendly features on patient compliance, and easy mail-out distribution on test access. The US Food and Drug Administration and Center for Medicaid and Medicare Services have recently completed their parallel reviews of MT-sDNA, which has just become available for clinical use. This review summarizes the recent clinical validation data on MT-sDNA, addresses central clinical questions at this front end of implementation, and touches on innovative future applications of stool DNA testing.","DOI":"10.1007/s10620-014-3451-5","ISSN":"1573-2568","note":"PMID: 25492503","shortTitle":"Multi-target stool DNA test","journalAbbreviation":"Dig. Dis. Sci.","language":"eng","author":[{"family":"Ahlquist","given":"David A."}],"issued":{"date-parts":[["2015",3]]}}},{"id":"D1GMNV0O/lJGfeVM5","uris":["http://zotero.org/users/4804376/items/CN8CJ22B"],"uri":["http://zotero.org/users/4804376/items/CN8CJ22B"],"itemData":{"id":405,"type":"article-journal","title":"Fecal DNA testing for colorectal cancer screening: Molecular targets and perspectives","container-title":"World Journal of Gastrointestinal Oncology","page":"178-183","volume":"7","issue":"10","source":"PubMed","abstract":"The early detection of colorectal cancer with effective screening is essential for reduction of cancer-specific mortality. The addition of fecal DNA testing in the armamentarium of screening methods already in clinical use launches a new era in the noninvasive part of colorectal cancer screening and emanates from a large number of previous and ongoing clinical investigations and technological advancements. In this review, we discuss the molecular rational and most important genetic alterations hallmarking the early colorectal carcinogenesis process. Also, representative DNA targets-markers and key aspects of their testing at the clinical level in comparison or/and association with other screening methods are described. Finally, a critical view of the strengths and limitations of fecal DNA tests is provided, along with anticipated barriers and suggestions for further exploitation of their use.","DOI":"10.4251/wjgo.v7.i10.178","ISSN":"1948-5204","note":"PMID: 26483873\nPMCID: PMC4606173","shortTitle":"Fecal DNA testing for colorectal cancer screening","journalAbbreviation":"World J Gastrointest Oncol","language":"eng","author":[{"family":"Dhaliwal","given":"Amaninder"},{"family":"Vlachostergios","given":"Panagiotis J."},{"family":"Oikonomou","given":"Katerina G."},{"family":"Moshenyat","given":"Yitzchak"}],"issued":{"date-parts":[["2015",10,15]]}}},{"id":"D1GMNV0O/5ONegH8Y","uris":["http://zotero.org/users/4804376/items/IAI5G5LV"],"uri":["http://zotero.org/users/4804376/items/IAI5G5LV"],"itemData":{"id":445,"type":"article-journal","title":"Multitarget stool DNA testing for colorectal-cancer screening","container-title":"The New England Journal of Medicine","page":"1287-1297","volume":"370","issue":"14","source":"PubMed","abstract":"BACKGROUND: An accurate, noninvasive test could improve the effectiveness of colorectal-cancer screening.\nMETHODS: We compared a noninvasive, multitarget stool DNA test with a fecal immunochemical test (FIT) in persons at average risk for colorectal cancer. The DNA test includes quantitative molecular assays for KRAS mutations, aberrant NDRG4 and BMP3 methylation, and β-actin, plus a hemoglobin immunoassay. Results were generated with the use of a logistic-regression algorithm, with values of 183 or more considered to be positive. FIT values of more than 100 ng of hemoglobin per milliliter of buffer were considered to be positive. Tests were processed independently of colonoscopic findings.\nRESULTS: Of the 9989 participants who </w:instrText>
      </w:r>
      <w:r w:rsidR="002A773B" w:rsidRPr="00DB7074">
        <w:rPr>
          <w:rFonts w:ascii="Book Antiqua" w:hAnsi="Book Antiqua" w:cs="Times New Roman" w:hint="eastAsia"/>
          <w:sz w:val="24"/>
          <w:szCs w:val="24"/>
        </w:rPr>
        <w:instrText xml:space="preserve">could be evaluated, 65 (0.7%) had colorectal cancer and 757 (7.6%) had advanced precancerous lesions (advanced adenomas or sessile serrated polyps measuring </w:instrText>
      </w:r>
      <w:r w:rsidR="002A773B" w:rsidRPr="00DB7074">
        <w:rPr>
          <w:rFonts w:ascii="Book Antiqua" w:hAnsi="Book Antiqua" w:cs="Times New Roman" w:hint="eastAsia"/>
          <w:sz w:val="24"/>
          <w:szCs w:val="24"/>
        </w:rPr>
        <w:instrText>≥</w:instrText>
      </w:r>
      <w:r w:rsidR="002A773B" w:rsidRPr="00DB7074">
        <w:rPr>
          <w:rFonts w:ascii="Book Antiqua" w:hAnsi="Book Antiqua" w:cs="Times New Roman" w:hint="eastAsia"/>
          <w:sz w:val="24"/>
          <w:szCs w:val="24"/>
        </w:rPr>
        <w:instrText>1 cm in the greatest dimension) on colonoscopy. The sensitivity for detecting colorectal cancer w</w:instrText>
      </w:r>
      <w:r w:rsidR="002A773B" w:rsidRPr="00DB7074">
        <w:rPr>
          <w:rFonts w:ascii="Book Antiqua" w:hAnsi="Book Antiqua" w:cs="Times New Roman"/>
          <w:sz w:val="24"/>
          <w:szCs w:val="24"/>
        </w:rPr>
        <w:instrText xml:space="preserve">as 92.3% with DNA testing and 73.8% with FIT (P=0.002). The sensitivity for detecting advanced precancerous lesions was 42.4% with DNA testing and 23.8% with FIT (P&lt;0.001). The rate of detection of polyps with high-grade dysplasia was 69.2% with DNA testing and 46.2% with FIT (P=0.004); the rates of detection of serrated sessile polyps measuring 1 cm or more were 42.4% and 5.1%, respectively (P&lt;0.001). Specificities with DNA testing and FIT were 86.6% and 94.9%, respectively, among participants with nonadvanced or negative findings (P&lt;0.001) and 89.8% and 96.4%, respectively, among those with negative results on colonoscopy (P&lt;0.001). The numbers of persons who would need to be screened to detect one cancer were 154 with colonoscopy, 166 with DNA testing, and 208 with FIT.\nCONCLUSIONS: In asymptomatic persons at average risk for colorectal cancer, multitarget stool DNA testing detected significantly more cancers than did FIT but had more false positive results. (Funded by Exact Sciences; ClinicalTrials.gov number, NCT01397747.).","DOI":"10.1056/NEJMoa1311194","ISSN":"1533-4406","note":"PMID: 24645800","journalAbbreviation":"N. Engl. J. Med.","language":"eng","author":[{"family":"Imperiale","given":"Thomas F."},{"family":"Ransohoff","given":"David F."},{"family":"Itzkowitz","given":"Steven H."},{"family":"Levin","given":"Theodore R."},{"family":"Lavin","given":"Philip"},{"family":"Lidgard","given":"Graham P."},{"family":"Ahlquist","given":"David A."},{"family":"Berger","given":"Barry M."}],"issued":{"date-parts":[["2014",4,3]]}}},{"id":"D1GMNV0O/oaYFn0zL","uris":["http://zotero.org/users/4804376/items/V5LLELKX"],"uri":["http://zotero.org/users/4804376/items/V5LLELKX"],"itemData":{"id":467,"type":"article-journal","title":"Estimation of Benefits, Burden, and Harms of Colorectal Cancer Screening Strategies: Modeling Study for the US Preventive Services Task Force","container-title":"JAMA","page":"2595-2609","volume":"315","issue":"23","source":"PubMed","abstract":"IMPORTANCE: The US Preventive Services Task Force (USPSTF) is updating its 2008 colorectal cancer (CRC) screening recommendations.\nOBJECTIVE: To inform the USPSTF by modeling the benefits, burden, and harms of CRC screening strategies; estimating the optimal ages to begin and end screening; and identifying a set of model-recommendable strategies that provide similar life-years gained (LYG) and a comparable balance between LYG and screening burden.\nDESIGN, SETTING, AND PARTICIPANTS: Comparative modeling with 3 microsimulation models of a hypothetical cohort of previously unscreened US 40-year-olds with no prior CRC diagnosis.\nEXPOSURES: Screening with sensitive guaiac-based fecal occult blood testing, fecal immunochemical testing (FIT), multitarget stool DNA testing, flexible sigmoidoscopy with or without stool testing, computed tomographic colonography (CTC), or colonoscopy starting at age 45, 50, or 55 years and ending at age 75, 80, or 85 years. Screening intervals varied by modality. Full adherence for all strategies was assumed.\nMAIN OUTCOMES AND MEASURES: Life-years gained compared with no screening (benefit), lifetime number of colonoscopies required (burden), lifetime number of colonoscopy complications (harms), and ratios of incremental burden and benefit (efficiency ratios) per 1000 40-year-olds.\nRESULTS: The screening strategies provided LYG in the range of 152 to 313 per 1000 40-year-olds. Lifetime colonoscopy burden per 1000 persons ranged from fewer than 900 (FIT every 3 years from ages 55-75 years) to more than 7500 (colonoscopy screening every 5 years from ages 45-85 years). Harm from screening was at most 23 complications per 1000 persons screened. Strategies with screening beginning at age 50 years generally provided more LYG as well as more additional LYG per additional colonoscopy than strategies with screening beginning at age 55 years. There were limited empirical data to support a start age of 45 years. For persons adequately screened up to age 75 years, additional screening yielded small increases in LYG relative to the increase in colonoscopy burden. With screening from ages 50 to 75 years, 4 strategies yielded a comparable balance of screening burden and similar LYG (median LYG per 1000 across the models): colonoscopy every 10 years (270 LYG); sigmoidoscopy every 10 years with annual FIT (256 LYG); CTC every 5 years (248 LYG); and annual FIT (244 LYG).\nCONCLUSIONS AND RELEVANCE: In this microsimulation modeling study of a previously unscreened population undergoing CRC screening that assumed 100% adherence, the strategies of colonoscopy every 10 years, annual FIT, sigmoidoscopy every 10 years with annual FIT, and CTC every 5 years performed from ages 50 through 75 years provided similar LYG and a comparable balance of benefit and screening burden.","DOI":"10.1001/jama.2016.6828","ISSN":"1538-3598","note":"PMID: 27305518\nPMCID: PMC5493310","shortTitle":"Estimation of Benefits, Burden, and Harms of Colorectal Cancer Screening Strategies","journalAbbreviation":"JAMA","language":"eng","author":[{"family":"Knudsen","given":"Amy B."},{"family":"Zauber","given":"Ann G."},{"family":"Rutter","given":"Carolyn M."},{"family":"Naber","given":"Steffie K."},{"family":"Doria-Rose","given":"V. Paul"},{"family":"Pabiniak","given":"Chester"},{"family":"Johanson","given":"Colden"},{"family":"Fischer","given":"Sara E."},{"family":"Lansdorp-Vogelaar","given":"Iris"},{"family":"Kuntz","given":"Karen M."}],"issued":{"date-parts":[["2016",6,21]]}}}],"schema":"https://github.com/citation-style-language/schema/raw/master/csl-citation.json"} </w:instrText>
      </w:r>
      <w:r w:rsidR="004B5CC3"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[13,14,37</w:t>
      </w:r>
      <w:r w:rsidR="00407FE8">
        <w:rPr>
          <w:rFonts w:ascii="Book Antiqua" w:hAnsi="Book Antiqua" w:cs="Times New Roman" w:hint="eastAsia"/>
          <w:sz w:val="24"/>
          <w:szCs w:val="24"/>
          <w:vertAlign w:val="superscript"/>
          <w:lang w:eastAsia="zh-CN"/>
        </w:rPr>
        <w:t>-</w:t>
      </w:r>
      <w:r w:rsidR="00794414" w:rsidRPr="00DB7074">
        <w:rPr>
          <w:rFonts w:ascii="Book Antiqua" w:hAnsi="Book Antiqua" w:cs="Times New Roman"/>
          <w:sz w:val="24"/>
          <w:szCs w:val="24"/>
          <w:vertAlign w:val="superscript"/>
        </w:rPr>
        <w:t>45]</w:t>
      </w:r>
      <w:r w:rsidR="004B5CC3" w:rsidRPr="00DB7074">
        <w:rPr>
          <w:rFonts w:ascii="Book Antiqua" w:hAnsi="Book Antiqua" w:cs="Times New Roman"/>
          <w:sz w:val="24"/>
          <w:szCs w:val="24"/>
        </w:rPr>
        <w:fldChar w:fldCharType="end"/>
      </w:r>
      <w:r w:rsidRPr="00DB7074">
        <w:rPr>
          <w:rFonts w:ascii="Book Antiqua" w:hAnsi="Book Antiqua" w:cs="Times New Roman"/>
          <w:sz w:val="24"/>
          <w:szCs w:val="24"/>
        </w:rPr>
        <w:t xml:space="preserve">. </w:t>
      </w:r>
      <w:r w:rsidR="00517431" w:rsidRPr="00DB7074">
        <w:rPr>
          <w:rFonts w:ascii="Book Antiqua" w:hAnsi="Book Antiqua" w:cs="Times New Roman"/>
          <w:sz w:val="24"/>
          <w:szCs w:val="24"/>
        </w:rPr>
        <w:t xml:space="preserve">As many tissues release some of their constituents in the bloodstream, the detection of </w:t>
      </w:r>
      <w:r w:rsidR="00821B37" w:rsidRPr="00DB7074">
        <w:rPr>
          <w:rFonts w:ascii="Book Antiqua" w:hAnsi="Book Antiqua" w:cs="Times New Roman"/>
          <w:sz w:val="24"/>
          <w:szCs w:val="24"/>
        </w:rPr>
        <w:t xml:space="preserve">circulating </w:t>
      </w:r>
      <w:r w:rsidR="00507882" w:rsidRPr="00DB7074">
        <w:rPr>
          <w:rFonts w:ascii="Book Antiqua" w:hAnsi="Book Antiqua" w:cs="Times New Roman"/>
          <w:sz w:val="24"/>
          <w:szCs w:val="24"/>
        </w:rPr>
        <w:t>tumour</w:t>
      </w:r>
      <w:r w:rsidR="00517431" w:rsidRPr="00DB7074">
        <w:rPr>
          <w:rFonts w:ascii="Book Antiqua" w:hAnsi="Book Antiqua" w:cs="Times New Roman"/>
          <w:sz w:val="24"/>
          <w:szCs w:val="24"/>
        </w:rPr>
        <w:t xml:space="preserve"> cells</w:t>
      </w:r>
      <w:r w:rsidR="00821B37" w:rsidRPr="00DB7074">
        <w:rPr>
          <w:rFonts w:ascii="Book Antiqua" w:hAnsi="Book Antiqua" w:cs="Times New Roman"/>
          <w:sz w:val="24"/>
          <w:szCs w:val="24"/>
        </w:rPr>
        <w:t xml:space="preserve"> </w:t>
      </w:r>
      <w:r w:rsidR="00821B37" w:rsidRPr="00DB7074">
        <w:rPr>
          <w:rFonts w:ascii="Book Antiqua" w:hAnsi="Book Antiqua" w:cs="Times New Roman"/>
          <w:sz w:val="24"/>
          <w:szCs w:val="24"/>
        </w:rPr>
        <w:lastRenderedPageBreak/>
        <w:t>DNA</w:t>
      </w:r>
      <w:r w:rsidR="00517431" w:rsidRPr="00DB7074">
        <w:rPr>
          <w:rFonts w:ascii="Book Antiqua" w:hAnsi="Book Antiqua" w:cs="Times New Roman"/>
          <w:sz w:val="24"/>
          <w:szCs w:val="24"/>
        </w:rPr>
        <w:t xml:space="preserve"> (cfDNA) </w:t>
      </w:r>
      <w:r w:rsidR="008C3A4C" w:rsidRPr="00DB7074">
        <w:rPr>
          <w:rFonts w:ascii="Book Antiqua" w:hAnsi="Book Antiqua" w:cs="Times New Roman"/>
          <w:sz w:val="24"/>
          <w:szCs w:val="24"/>
        </w:rPr>
        <w:t xml:space="preserve">in the blood is a </w:t>
      </w:r>
      <w:r w:rsidR="00517431" w:rsidRPr="00DB7074">
        <w:rPr>
          <w:rFonts w:ascii="Book Antiqua" w:hAnsi="Book Antiqua" w:cs="Times New Roman"/>
          <w:sz w:val="24"/>
          <w:szCs w:val="24"/>
        </w:rPr>
        <w:t xml:space="preserve">recent </w:t>
      </w:r>
      <w:r w:rsidR="008C3A4C" w:rsidRPr="00DB7074">
        <w:rPr>
          <w:rFonts w:ascii="Book Antiqua" w:hAnsi="Book Antiqua" w:cs="Times New Roman"/>
          <w:sz w:val="24"/>
          <w:szCs w:val="24"/>
        </w:rPr>
        <w:t xml:space="preserve">area of </w:t>
      </w:r>
      <w:r w:rsidR="00517431" w:rsidRPr="00DB7074">
        <w:rPr>
          <w:rFonts w:ascii="Book Antiqua" w:hAnsi="Book Antiqua" w:cs="Times New Roman"/>
          <w:sz w:val="24"/>
          <w:szCs w:val="24"/>
        </w:rPr>
        <w:t>great interest in CRC screening</w:t>
      </w:r>
      <w:r w:rsidR="00D76390"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{"citationID":"a1ai3l5ues9","properties":{"formattedCitation":"\\super [46\\uc0\\u8211{}49]\\nosupersub{}","plainCitation":"[46–49]","noteIndex":0},"citationItems":[{"id":"D1GMNV0O/aElTebpJ","uris":["http://zotero.org/users/4804376/items/QAUDJDAC"],"uri":["http://zotero.org/users/4804376/items/QAUDJDAC"],"itemData":{"id":433,"type":"article-journal","title":"Colorectal Cancer Blood-Based Biomarkers","container-title":"Gastroenterology Research and Practice","page":"2195361","volume":"2017","source":"PubMed","abstract":"Mortality and morbidity associated with colorectal cancer (CRC) are increasing globally, partly due to lack of early detection of the disease. The screening is usually performed with colonoscopy, which is invasive and unpleasant, discouraging participation in the screening. As a source of noninvasive and easily accessible biomarkers, liquid biopsies are emerging. Blood-based biomarkers have the potential as diagnostic and prognostic tool in CRC. Early stage detection of CRC with high sensitivity and specificity would likely lead to higher participation in the screening test. It would also improve the prognosis of the disease and improve the recurrence risk. In this review, we summarize the potential biomarkers for early detection and monitoring of CRC.","DOI":"10.1155/2017/2195361","ISSN":"1687-6121","note":"PMID: 29147109\nPMCID: PMC5632863","journalAbbreviation":"Gastroenterol Res Pract","language":"eng","author":[{"family":"Hauptman","given":"Nina"},{"family":"Glavač","given":"Damjan"}],"issued":{"date-parts":[["2017"]]}}},{"id":"D1GMNV0O/iZvn9Gzt","uris":["http://zotero.org/users/4804376/items/38Z3CUGW"],"uri":["http://zotero.org/users/4804376/items/38Z3CUGW"],"itemData":{"id":435,"type":"article-journal","title":"Liquid Biopsy in Clinical Management of Breast, Lung, and Colorectal Cancer","container-title":"Frontiers in Medicine","page":"9","volume":"5","source":"PubMed","abstract":"Examination of tumor molecular characteristics by liquid biopsy is likely to greatly influence personalized cancer patient management. Analysis of circulating tumor DNA (ctDNA), circulating tumor cells (CTCs), and tumor-derived exosomes, all collectively referred to as \"liquid biopsies,\" are not only a modality to monitor treatment efficacy, disease progression, and emerging therapy resistance mechanisms, but they also assess tumor heterogeneity and evolution in real time. We review the literature concerning the examination of ctDNA and CTC in a diagnostic setting, evaluating their prognostic, predictive, and monitoring capabilities. We discuss the advantages and limitations of various leading ctDNA/CTC analysis technologies. Finally, guided by the results of clinical trials, we discuss the readiness of cell-free DNA and CTC as routine biomarkers in the context of various common types of neoplastic disease. At this moment, one cannot conclude whether or not liquid biopsy will become a mainstay in oncology practice.","DOI":"10.3389/fmed.2018.00009","ISSN":"2296-858X","note":"PMID: 29441349\nPMCID: PMC5797586","journalAbbreviation":"Front Med (Lausanne)","language":"eng","author":[{"family":"Hench","given":"Ivana Bratić"},{"family":"Hench","given":"Jürgen"},{"family":"Tolnay","given":"Markus"}],"issued":{"date-parts":[["2018"]]}}},{"id":"D1GMNV0O/rLM1pljz","uris":["http://zotero.org/users/4804376/items/NUGU9MPU"],"uri":["http://zotero.org/users/4804376/items/NUGU9MPU"],"itemData":{"id":453,"type":"article-journal","title":"Clinical and biological significance of circulating tumor cells, circulating tumor DNA, and exosomes as biomarkers in colorectal cancer","container-title":"Oncotarget","page":"55632-55645","volume":"8","issue":"33","source":"PubMed","abstract":"Colorectal cancer (CRC) has been the fourth leading cause of cancer-related mortality worldwide. Owing to clonal evolution and selection, CRC treatment needs multimodal therapeutic approaches and due monitoring of tumor progression and therapeutic efficacy. Liquid biopsy, involving the use of circulating tumor cells (CTCs), circulating tumor DNA (ctDNA), and exosomes, may offer a promising noninvasive alternative for diagnosis and for real-time monitoring of tumor evolution and therapeutic response compared to traditional tissue biopsy. Monitoring of the disease processes can enable clinicians to readily adopt a strategy based on optimal therapeutic decision-making. This article provides an overview of the significant advances and the current clinical and biological significance of CTCs, ctDNA, and exosomes in CRC, as well as a comparison of the main merits and demerits of these three components. The hurdles that need to be resolved and potential directions to be followed with respect to liquid biopsies for detection and therapy of CRC are also discussed.","DOI":"10.18632/oncotarget.17184","ISSN":"1949-2553","note":"PMID: 28903450\nPMCID: PMC5589689","journalAbbreviation":"Oncotarget","language":"eng","author":[{"family":"Jia","given":"Shiyu"},{"family":"Zhang","given":"Rui"},{"family":"Li","given":"Ziyang"},{"family":"Li","given":"Jinming"}],"issued":{"date-parts":[["2017",8,15]]}}},{"id":"D1GMNV0O/x8GzUAOl","uris":["http://zotero.org/users/4804376/items/G7PBR2GA"],"uri":["http://zotero.org/users/4804376/items/G7PBR2GA"],"itemData":{"id":511,"type":"article-journal","title":"Circulating tumour cells and DNA as liquid biopsies in gastrointestinal cancer","container-title":"The British Journal of Surgery","page":"e110-e120","volume":"105","issue":"2","source":"PubMed","abstract":"BACKGROUND: Blood is the most extensively studied body fluid and, because it contains circulating tumour cells (CTCs) and circulating tumour-derived cell-free DNA (ctDNA), it may represent a liquid biopsy for cancer. Methods for enrichment and detection of CTCs and ctDNA, their clinical applications and future opportunities in gastrointestinal cancers were the focus of this review.\nMETHODS: The PubMed database was searched for literature up to 24 June 2017, with a focus on the past 10 years. Identified articles were further scrutinized for relevant references. Articles were those in English relating to colorectal, gastric and pancreatic cancer.\nRESULTS: Both CTCs and ctDNA are in low abundance compared with other cellular components of blood, but effective enrichment and highly sensitive techniques are available for their detection. Potential clinical applications of these liquid biopsies include screening, prognostic stratification, therapy administration, monitoring of treatment effect or resistance, and surveillance. Liquid biopsies provide opportunities to reduce the need for invasive tissue sampling, especially in the context of intratumoral heterogeneity and the need for tumour genotyping.\nCONCLUSION: Liquid biopsies have applications in gastrointestinal cancers to improve clinical decision-making.","DOI":"10.1002/bjs.10782","ISSN":"1365-2168","note":"PMID: 29341153","journalAbbreviation":"Br J Surg","language":"eng","author":[{"family":"Nordgård","given":"O."},{"family":"Tjensvoll","given":"K."},{"family":"Gilje","given":"B."},{"family":"Søreide","given":"K."}],"issued":{"date-parts":[["2018",1]]}}}],"schema":"https://github.com/citation-style-language/schema/raw/master/csl-citation.json"} </w:instrText>
      </w:r>
      <w:r w:rsidR="00D76390"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[46</w:t>
      </w:r>
      <w:r w:rsidR="006508E5">
        <w:rPr>
          <w:rFonts w:ascii="Book Antiqua" w:hAnsi="Book Antiqua" w:cs="Times New Roman" w:hint="eastAsia"/>
          <w:sz w:val="24"/>
          <w:szCs w:val="24"/>
          <w:vertAlign w:val="superscript"/>
          <w:lang w:eastAsia="zh-CN"/>
        </w:rPr>
        <w:t>-</w:t>
      </w:r>
      <w:r w:rsidR="00794414" w:rsidRPr="00DB7074">
        <w:rPr>
          <w:rFonts w:ascii="Book Antiqua" w:hAnsi="Book Antiqua" w:cs="Times New Roman"/>
          <w:sz w:val="24"/>
          <w:szCs w:val="24"/>
          <w:vertAlign w:val="superscript"/>
        </w:rPr>
        <w:t>49]</w:t>
      </w:r>
      <w:r w:rsidR="00D76390" w:rsidRPr="00DB7074">
        <w:rPr>
          <w:rFonts w:ascii="Book Antiqua" w:hAnsi="Book Antiqua" w:cs="Times New Roman"/>
          <w:sz w:val="24"/>
          <w:szCs w:val="24"/>
        </w:rPr>
        <w:fldChar w:fldCharType="end"/>
      </w:r>
      <w:r w:rsidR="00517431" w:rsidRPr="00DB7074">
        <w:rPr>
          <w:rFonts w:ascii="Book Antiqua" w:hAnsi="Book Antiqua" w:cs="Times New Roman"/>
          <w:sz w:val="24"/>
          <w:szCs w:val="24"/>
        </w:rPr>
        <w:t xml:space="preserve">. </w:t>
      </w:r>
      <w:r w:rsidRPr="00DB7074">
        <w:rPr>
          <w:rFonts w:ascii="Book Antiqua" w:hAnsi="Book Antiqua" w:cs="Times New Roman"/>
          <w:sz w:val="24"/>
          <w:szCs w:val="24"/>
        </w:rPr>
        <w:t xml:space="preserve">Although </w:t>
      </w:r>
      <w:r w:rsidR="008C3A4C" w:rsidRPr="00DB7074">
        <w:rPr>
          <w:rFonts w:ascii="Book Antiqua" w:hAnsi="Book Antiqua" w:cs="Times New Roman"/>
          <w:sz w:val="24"/>
          <w:szCs w:val="24"/>
        </w:rPr>
        <w:t xml:space="preserve">these biomarker tests show </w:t>
      </w:r>
      <w:r w:rsidRPr="00DB7074">
        <w:rPr>
          <w:rFonts w:ascii="Book Antiqua" w:hAnsi="Book Antiqua" w:cs="Times New Roman"/>
          <w:sz w:val="24"/>
          <w:szCs w:val="24"/>
        </w:rPr>
        <w:t>promising sensitivities, the</w:t>
      </w:r>
      <w:r w:rsidR="008C3A4C" w:rsidRPr="00DB7074">
        <w:rPr>
          <w:rFonts w:ascii="Book Antiqua" w:hAnsi="Book Antiqua" w:cs="Times New Roman"/>
          <w:sz w:val="24"/>
          <w:szCs w:val="24"/>
        </w:rPr>
        <w:t>ir</w:t>
      </w:r>
      <w:r w:rsidRPr="00DB7074">
        <w:rPr>
          <w:rFonts w:ascii="Book Antiqua" w:hAnsi="Book Antiqua" w:cs="Times New Roman"/>
          <w:sz w:val="24"/>
          <w:szCs w:val="24"/>
        </w:rPr>
        <w:t xml:space="preserve"> high costs</w:t>
      </w:r>
      <w:r w:rsidR="00821B37" w:rsidRPr="00DB7074">
        <w:rPr>
          <w:rFonts w:ascii="Book Antiqua" w:hAnsi="Book Antiqua" w:cs="Times New Roman"/>
          <w:sz w:val="24"/>
          <w:szCs w:val="24"/>
        </w:rPr>
        <w:t xml:space="preserve"> and </w:t>
      </w:r>
      <w:r w:rsidRPr="00DB7074">
        <w:rPr>
          <w:rFonts w:ascii="Book Antiqua" w:hAnsi="Book Antiqua" w:cs="Times New Roman"/>
          <w:sz w:val="24"/>
          <w:szCs w:val="24"/>
        </w:rPr>
        <w:t>high test positivity rate</w:t>
      </w:r>
      <w:r w:rsidR="00B521ED" w:rsidRPr="00DB7074">
        <w:rPr>
          <w:rFonts w:ascii="Book Antiqua" w:hAnsi="Book Antiqua" w:cs="Times New Roman"/>
          <w:sz w:val="24"/>
          <w:szCs w:val="24"/>
        </w:rPr>
        <w:t>s</w:t>
      </w:r>
      <w:r w:rsidRPr="00DB7074">
        <w:rPr>
          <w:rFonts w:ascii="Book Antiqua" w:hAnsi="Book Antiqua" w:cs="Times New Roman"/>
          <w:sz w:val="24"/>
          <w:szCs w:val="24"/>
        </w:rPr>
        <w:t xml:space="preserve"> </w:t>
      </w:r>
      <w:r w:rsidR="008C3A4C" w:rsidRPr="00DB7074">
        <w:rPr>
          <w:rFonts w:ascii="Book Antiqua" w:hAnsi="Book Antiqua" w:cs="Times New Roman"/>
          <w:sz w:val="24"/>
          <w:szCs w:val="24"/>
        </w:rPr>
        <w:t>may</w:t>
      </w:r>
      <w:r w:rsidRPr="00DB7074">
        <w:rPr>
          <w:rFonts w:ascii="Book Antiqua" w:hAnsi="Book Antiqua" w:cs="Times New Roman"/>
          <w:sz w:val="24"/>
          <w:szCs w:val="24"/>
        </w:rPr>
        <w:t xml:space="preserve"> lead to greater demands on endoscopy departments, and the absence of large-scale validation </w:t>
      </w:r>
      <w:r w:rsidR="008C3A4C" w:rsidRPr="00DB7074">
        <w:rPr>
          <w:rFonts w:ascii="Book Antiqua" w:hAnsi="Book Antiqua" w:cs="Times New Roman"/>
          <w:sz w:val="24"/>
          <w:szCs w:val="24"/>
        </w:rPr>
        <w:t xml:space="preserve">currently </w:t>
      </w:r>
      <w:r w:rsidRPr="00DB7074">
        <w:rPr>
          <w:rFonts w:ascii="Book Antiqua" w:hAnsi="Book Antiqua" w:cs="Times New Roman"/>
          <w:sz w:val="24"/>
          <w:szCs w:val="24"/>
        </w:rPr>
        <w:t>remain</w:t>
      </w:r>
      <w:r w:rsidR="008C3A4C" w:rsidRPr="00DB7074">
        <w:rPr>
          <w:rFonts w:ascii="Book Antiqua" w:hAnsi="Book Antiqua" w:cs="Times New Roman"/>
          <w:sz w:val="24"/>
          <w:szCs w:val="24"/>
        </w:rPr>
        <w:t>s</w:t>
      </w:r>
      <w:r w:rsidRPr="00DB7074">
        <w:rPr>
          <w:rFonts w:ascii="Book Antiqua" w:hAnsi="Book Antiqua" w:cs="Times New Roman"/>
          <w:sz w:val="24"/>
          <w:szCs w:val="24"/>
        </w:rPr>
        <w:t xml:space="preserve"> the main limitation</w:t>
      </w:r>
      <w:r w:rsidR="008C3A4C" w:rsidRPr="00DB7074">
        <w:rPr>
          <w:rFonts w:ascii="Book Antiqua" w:hAnsi="Book Antiqua" w:cs="Times New Roman"/>
          <w:sz w:val="24"/>
          <w:szCs w:val="24"/>
        </w:rPr>
        <w:t xml:space="preserve"> of</w:t>
      </w:r>
      <w:r w:rsidRPr="00DB7074">
        <w:rPr>
          <w:rFonts w:ascii="Book Antiqua" w:hAnsi="Book Antiqua" w:cs="Times New Roman"/>
          <w:sz w:val="24"/>
          <w:szCs w:val="24"/>
        </w:rPr>
        <w:t xml:space="preserve"> their routine use in population-based CRC screening </w:t>
      </w:r>
      <w:r w:rsidR="00507882" w:rsidRPr="00DB7074">
        <w:rPr>
          <w:rFonts w:ascii="Book Antiqua" w:hAnsi="Book Antiqua" w:cs="Times New Roman"/>
          <w:sz w:val="24"/>
          <w:szCs w:val="24"/>
        </w:rPr>
        <w:t>programmes</w:t>
      </w:r>
      <w:r w:rsidR="00CC2AF4"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{"citationID":"a1ul19e3o0o","properties":{"formattedCitation":"\\super [18,40,41]\\nosupersub{}","plainCitation":"[18,40,41]","noteIndex":0},"citationItems":[{"id":"D1GMNV0O/BtgPF2d7","uris":["http://zotero.org/users/4804376/items/6IIWRKRK"],"uri":["http://zotero.org/users/4804376/items/6IIWRKRK"],"itemData":{"id":447,"type":"article-journal","title":"Fecal DNA versus fecal occult blood for colorectal-cancer screening in an average-risk population","container-title":"The New England Journal of Medicine","page":"2704-2714","volume":"351","issue":"26","source":"PubMed","abstract":"BACKGROUND: Although fecal occult-blood testing is the only available noninvasive screening method that reduces the risk of death from colorectal cancer, it has limited sensitivity. We compared an approach that identifies abnormal DNA in stool samples with the Hemoccult II fecal occult-blood test in average-risk, asymptomatic persons 50 years of age or older.\nMETHODS: Eligible subjects submitted one stool specimen for DNA analysis, underwent standard Hemoccult II testing, and then underwent colonoscopy. Of 5486 subjects enrolled, 4404 completed all aspects of the study. A subgroup of 2507 subjects was analyzed, including all those with a diagnosis of invasive adenocarcinoma or advanced adenoma plus randomly chosen subjects with no polyps or minor polyps. The fecal DNA panel consisted of 21 mutations.\nRESULTS: The fecal DNA panel detected 16 of 31 invasive cancers, whereas Hemoccult II identified 4 of 31 (51.6 percent vs. 12.9 percent, P=0.003). The DNA panel detected 29 of 71 invasive cancers plus adenomas with high-grade dysplasia, whereas Hemoccult II identified 10 of 71 (40.8 percent vs. 14.1 percent, P&lt;0.001). Among 418 subjects with advanced neoplasia (defined as a tubular adenoma at least 1 cm in diameter, a polyp with a villous histologic appearance, a polyp with high-grade dysplasia, or cancer), the DNA panel was positive in 76 (18.2 percent), whereas Hemoccult II was positive in 45 (10.8 percent). Specificity in subjects with negative findings on colonoscopy was 94.4 percent for the fecal DNA panel and 95.2 percent for Hemoccult II.\nCONCLUSIONS: Although the majority of neoplastic lesions identified by colonoscopy were not detected by either noninvasive test, the multitarget analysis of fecal DNA detected a greater proportion of important colorectal neoplasia than did Hemoccult II without compromising specificity.","DOI":"10.1056/NEJMoa033403","ISSN":"1533-4406","note":"PMID: 15616205","journalAbbreviation":"N. Engl. J. Med.","language":"eng","author":[{"family":"Imperiale","given":"Thomas F."},{"family":"Ransohoff","given":"David F."},{"family":"Itzkowitz","given":"Steven H."},{"family":"Turnbull","given":"Barry A."},{"family":"Ross","given":"Michael E."},{"literal":"Colorectal Cancer Study Group"}],"issued":{"date-parts":[["2004",12,23]]}}},{"id":"D1GMNV0O/gjxDkGWI","uris":["http://zotero.org/users/4804376/items/5EIVWIF8"],"uri":["http://zotero.org/users/4804376/items/5EIVWIF8"],"itemData":{"id":483,"type":"article-journal","title":"Screening of colorectal cancer: present and future","container-title":"Expert Review of Anticancer Therapy","page":"1131-1146","volume":"17","issue":"12","source":"PubMed","abstract":"INTRODUCTION: Colorectal cancer (CRC) is the third most common cancer in males and second in females, and the fourth most common cause of cancer death worldwide. Currently, about 60-70% of diagnosed cases in symptomatic patients are detected at an advanced stage of disease. Earlier stage detection through the use of screening strategies would allow for better outcomes in terms of reducing the disease burden. Areas covered: The aim of this paper is to review the current published evidence from literature which assesses the performance and effectiveness of different screening tests for the early detection of CRC. Expert commentary: Adequate screening strategies can reduce CRC incidence and mortality. In the last few decades, several tests have been proposed for CRC screening. To date, there is still insufficient evidence to identify which approach is definitively superior, and no screening strategy for CRC can therefore be defined as universally ideal. The best strategy would be the one that can be economically viable and to which the patient can adhere best to over time. The latest guidelines suggest colonoscopy every 10 years or annual fecal immuno-chemical test (FIT) for people with normal risk, while for individuals with high risk or hereditary syndromes specific recommendations are provided.","DOI":"10.1080/14737140.2017.1392243","ISSN":"1744-8328","note":"PMID: 29022408","shortTitle":"Screening of colorectal cancer","journalAbbreviation":"Expert Rev Anticancer Ther","language":"eng","author":[{"family":"Maida","given":"Marcello"},{"family":"Macaluso","given":"Fabio Salvatore"},{"family":"Ianiro","given":"Gianluca"},{"family":"Mangiola","given":"Francesca"},{"family":"Sinagra","given":"Emanuele"},{"family":"Hold","given":"Georgina"},{"family":"Maida","given":"Carlo"},{"family":"Cammarota","given":"Giovanni"},{"family":"Gasbarrini","given":"Antonio"},{"family":"Scarpulla","given":"Giuseppe"}],"issued":{"date-parts":[["2017",12]]}}},{"id":"D1GMNV0O/duGQGbu0","uris":["http://zotero.org/users/4804376/items/8RPBYZIT"],"uri":["http://zotero.org/users/4804376/items/8RPBYZIT"],"itemData":{"id":545,"type":"article-journal","title":"Advances in Fecal Tests for Colorectal Cancer Screening","container-title":"Current Treatment Options in Gastroenterology","page":"152-162","volume":"14","issue":"1","source":"PubMed","abstract":"OPINION STATEMENT: Colorectal cancer (CRC) forms an important public health problem, especially in developed countries. CRC screening tests can be used to identify asymptomatic individuals with CRC precursors and (early) cancer. Removal of these lesions reduces CRC incidence and prevents CRC-related mortality. There are a range of screening tests available, each with advantages and disadvantages. Stool screening tests can broadly be divided into fecal occult blood tests (FOBTs) and molecular biomarker test, such as DNA/RNA marker tests, protein markers, and fecal microbiome marker tests. Guaiac fecal occult blood tests (gFOBT) have been demonstrated in large randomized screening trials to reduce CRC mortality. Fecal immunochemical tests (FIT) have superior adherence, usability, and accuracy as compared to gFOBT. Advantage of the use of quantitative FITs in CRC screening programs is the cut-off level that can be adjusted. Molecular biomarker DNA tests have shown to detect significantly more cancers than FIT. By combining biomarker DNA tests with FIT, sensitivity for advanced adenomas can be increased significantly. However, it has lower specificity thus demands more colonoscopy resources, is more cumbersome, and costly. The adherence has not been assessed in population screening trials. For these reasons, FIT is therefore at present regarded as the preferred method of non-invasive CRC screening. This chapter will review the current status of fecal test-based CRC screening.","DOI":"10.1007/s11938-016-0076-0","ISSN":"1092-8472","note":"PMID: 26825703\nPMCID: PMC4783443","journalAbbreviation":"Curr Treat Options Gastroenterol","language":"eng","author":[{"family":"Schreuders","given":"Eline H."},{"family":"Grobbee","given":"Esmée J."},{"family":"Spaander","given":"Manon C. W."},{"family":"Kuipers","given":"Ernst J."}],"issued":{"date-parts":[["2016",3]]}}}],"schema":"https://github.com/citation-style-language/schema/raw/master/csl-citation.json"} </w:instrText>
      </w:r>
      <w:r w:rsidR="00CC2AF4"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[18,40,41]</w:t>
      </w:r>
      <w:r w:rsidR="00CC2AF4" w:rsidRPr="00DB7074">
        <w:rPr>
          <w:rFonts w:ascii="Book Antiqua" w:hAnsi="Book Antiqua" w:cs="Times New Roman"/>
          <w:sz w:val="24"/>
          <w:szCs w:val="24"/>
        </w:rPr>
        <w:fldChar w:fldCharType="end"/>
      </w:r>
      <w:r w:rsidRPr="00DB7074">
        <w:rPr>
          <w:rFonts w:ascii="Book Antiqua" w:hAnsi="Book Antiqua" w:cs="Times New Roman"/>
          <w:sz w:val="24"/>
          <w:szCs w:val="24"/>
        </w:rPr>
        <w:t xml:space="preserve">. </w:t>
      </w:r>
    </w:p>
    <w:p w14:paraId="0006CD57" w14:textId="77777777" w:rsidR="00517431" w:rsidRPr="00DB7074" w:rsidRDefault="00517431" w:rsidP="003A0E43">
      <w:pPr>
        <w:snapToGrid w:val="0"/>
        <w:spacing w:after="0" w:line="360" w:lineRule="auto"/>
        <w:jc w:val="both"/>
        <w:rPr>
          <w:rFonts w:ascii="Book Antiqua" w:hAnsi="Book Antiqua" w:cs="Times New Roman"/>
          <w:sz w:val="24"/>
          <w:szCs w:val="24"/>
          <w:lang w:eastAsia="zh-CN"/>
        </w:rPr>
      </w:pPr>
    </w:p>
    <w:p w14:paraId="26DB1E9D" w14:textId="77777777" w:rsidR="00114F28" w:rsidRPr="00DB7074" w:rsidRDefault="00114F28" w:rsidP="00DB7074">
      <w:pPr>
        <w:snapToGrid w:val="0"/>
        <w:spacing w:after="0" w:line="360" w:lineRule="auto"/>
        <w:jc w:val="both"/>
        <w:rPr>
          <w:rFonts w:ascii="Book Antiqua" w:hAnsi="Book Antiqua" w:cs="Times New Roman"/>
          <w:b/>
          <w:i/>
          <w:sz w:val="24"/>
          <w:szCs w:val="24"/>
        </w:rPr>
      </w:pPr>
      <w:r w:rsidRPr="00DB7074">
        <w:rPr>
          <w:rFonts w:ascii="Book Antiqua" w:hAnsi="Book Antiqua" w:cs="Times New Roman"/>
          <w:b/>
          <w:i/>
          <w:sz w:val="24"/>
          <w:szCs w:val="24"/>
        </w:rPr>
        <w:t>Prognostic and predictive factors</w:t>
      </w:r>
    </w:p>
    <w:p w14:paraId="668B55D2" w14:textId="15973707" w:rsidR="00CF1551" w:rsidRPr="00DB7074" w:rsidRDefault="00114F28" w:rsidP="00DB7074">
      <w:pPr>
        <w:snapToGrid w:val="0"/>
        <w:spacing w:after="0" w:line="360" w:lineRule="auto"/>
        <w:jc w:val="both"/>
        <w:rPr>
          <w:rFonts w:ascii="Book Antiqua" w:hAnsi="Book Antiqua" w:cs="Times New Roman"/>
          <w:sz w:val="24"/>
          <w:szCs w:val="24"/>
        </w:rPr>
      </w:pPr>
      <w:r w:rsidRPr="00DB7074">
        <w:rPr>
          <w:rFonts w:ascii="Book Antiqua" w:hAnsi="Book Antiqua" w:cs="Times New Roman"/>
          <w:sz w:val="24"/>
          <w:szCs w:val="24"/>
        </w:rPr>
        <w:t xml:space="preserve">Many prognostic factors </w:t>
      </w:r>
      <w:r w:rsidR="005217CC" w:rsidRPr="00DB7074">
        <w:rPr>
          <w:rFonts w:ascii="Book Antiqua" w:hAnsi="Book Antiqua" w:cs="Times New Roman"/>
          <w:sz w:val="24"/>
          <w:szCs w:val="24"/>
        </w:rPr>
        <w:t xml:space="preserve">including </w:t>
      </w:r>
      <w:r w:rsidRPr="00DB7074">
        <w:rPr>
          <w:rFonts w:ascii="Book Antiqua" w:hAnsi="Book Antiqua" w:cs="Times New Roman"/>
          <w:sz w:val="24"/>
          <w:szCs w:val="24"/>
        </w:rPr>
        <w:t>many socioeconomic and clinical factors are routinely used to optimize and personalize treatment strategies</w:t>
      </w:r>
      <w:r w:rsidR="009069A3"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{"citationID":"W1xSzzFI","properties":{"formattedCitation":"\\super [50\\uc0\\u8211{}53]\\nosupersub{}","plainCitation":"[50–53]","noteIndex":0},"citationItems":[{"id":"D1GMNV0O/yv3Gq0I8","uris":["http://zotero.org/users/4804376/items/8K5ZR6WC"],"uri":["http://zotero.org/users/4804376/items/8K5ZR6WC"],"itemData":{"id":471,"type":"article-journal","title":"The impact of postoperative complications on long-term outcomes following curative resection for colorectal cancer","container-title":"Annals of Surgical Oncology","page":"2559-2566","volume":"14","issue":"9","source":"PubMed","abstract":"BACKGROUND: This study aimed to investigate the impact of postoperative complications on long-term survival and disease recurrence in patients who underwent curative resection for colorectal cancer.\nMETHOD: Patients who underwent radical resection for colorectal cancer with curative intent from January 1996 to December 2004 were included. Operative mortality and morbidity were documented prospectively. Factors that might affect long-term outcome were analyzed with multivariate analysis.\nRESULTS: Curative resection was performed in 1657 patients (943 men), and the median age was 70 years (range: 24-94 years). The 30-day mortality was 2.4%, and the complication rate was 27.3%. Age over 70 years (P &lt; .001, odds ratio: 2.06, 95% CI: 1.63-2.61), male gender (P = .001, odds ratio: 1.49, 95% CI: 1.19-1.88), emergency operation (P &lt; .001, odds ratio: 3.14, 95% CI: 2.26-4.35) and rectal cancer (P &lt; .001, odds ratio: 1.41, 95% CI: 1.25-1.61) were associated with a significantly higher complication rate. With exclusion of patients who died within 30 days, the median follow-up of the surviving patients was 45.3 months. The 5-year overall survival was 64.9%, and the overall recurrence rate was 29.1%. The presence of postoperative complications was an independent factor associated with a worse overall survival (P = .023, hazard ratio: 1.26; 95% CI: 1.03-1.52) and a higher overall recurrence rate (P = .04, hazard ratio: 1.26; 95% CI: 1.01-1.57).\nCONCLUSION: The presence of postoperative complication not only affects the short-term results of resection of colorectal cancer, but the long-term oncologic outcomes are also adversely affected. Long-term outcomes can be improved with efforts to reduce postoperative complications.","DOI":"10.1245/s10434-007-9434-4","ISSN":"1068-9265","note":"PMID: 17522945","journalAbbreviation":"Ann. Surg. Oncol.","language":"eng","author":[{"family":"Law","given":"Wai Lun"},{"family":"Choi","given":"Hok Kwok"},{"family":"Lee","given":"Yee Man"},{"family":"Ho","given":"Judy Wc"}],"issued":{"date-parts":[["2007",9]]}}},{"id":"D1GMNV0O/F6428DBz","uris":["http://zotero.org/users/4804376/items/9YI7DUKG"],"uri":["http://zotero.org/users/4804376/items/9YI7DUKG"],"itemData":{"id":489,"type":"article-journal","title":"Impact of anastomotic leakage on long-term survival of patients undergoing curative resection for colorectal cancer","container-title":"The British Journal of Surgery","page":"1150-1154","volume":"92","issue":"9","source":"PubMed","abstract":"BACKGROUND: The impact of anastomotic leakage on immediate postoperative mortality in patients undergoing potentially curative resection for colorectal cancer is well recognized. Its impact on long-term survival is less clear. The aim of the present study was to evaluate the relationship between anastomotic leakage and long-term survival in patients undergoing potentially curative resection for colorectal cancer.\nMETHODS: A total of 2235 patients who underwent potentially curative resection for colorectal cancer between 1991 and 1994 in Scotland were included in the study. Five-year survival rates and adjusted hazard ratios were calculated.\nRESULTS: Fourteen (16 per cent) of the 86 patients with an anastomotic leak died within 30 days of surgery compared with 83 (3.9 per cent) of 2149 without a leak. The 5-year cancer-specific survival rate, including postoperative deaths, was 42 per cent in patients with an anastomotic leak compared with 66.9 per cent in those with no leak (P &lt; 0.001). Excluding postoperative deaths, respective values were 50 and 68.0 per cent (P &lt; 0.001). The adjusted relative hazard ratios, for patients with an anastomotic leak compared with those without a leak, and excluding 30-day mortality, were 1.61 (95 per cent confidence interval (c.i.) 1.19 to 2.16; P = 0.002) for overall survival and 1.99 (95 per cent c.i. 1.42 to 2.79; P &lt; 0.001) for cancer-specific survival.\nCONCLUSION: Development of an anastomotic leak is associated with worse long-term survival after potentially curative resection for colorectal cancer.","DOI":"10.1002/bjs.5054","ISSN":"0007-1323","note":"PMID: 16035134","journalAbbreviation":"Br J Surg","language":"eng","author":[{"family":"McArdle","given":"C. S."},{"family":"McMillan","given":"D. C."},{"family":"Hole","given":"D. J."}],"issued":{"date-parts":[["2005",9]]}}},{"id":"D1GMNV0O/GYcifw4E","uris":["http://zotero.org/users/4804376/items/BEHW7DDE"],"uri":["http://zotero.org/users/4804376/items/BEHW7DDE"],"itemData":{"id":507,"type":"article-journal","title":"Correlation between postoperative infections and long-term survival after colorectal resection for cancer","container-title":"Tumori","page":"485-490","volume":"90","issue":"5","source":"PubMed","abstract":"INTRODUCTION: Predicting long-term survival and cancer recurrence in patients with colorectal cancer is difficult because of the many factors that may affect the prognosis. This study investigated the prognostic significance of postoperative infections for patient outcome.\nMETHODS: From an electronic database we selected 192 patients undergoing elective radical surgery for Dukes' stage B and C colorectal adenocarcinoma. The five-year survival rates were analyzed by the Kaplan-Meier method. Univariate and multivariate analyses were carried out to evaluate the potential prognostic variables using the Cox proportional hazard model.\nRESULTS: Forty-three patients developed deep incisional or organ/space surgical site infections, while the remaining 149 were complication free. The two groups were comparable for baseline, surgical and histopathological characteristics. At univariate analysis, Dukes' stage and infections were negative prognostic factors, while peritumoral infiltration of lymphocytes and eosinophils and fibrotic tissue appeared as protective variables. However, multivariate analysis showed that only Dukes' stage (P = 0.048) and occurrence of postoperative infectious complications (P = 0.011) were independently associated with outcome. In patients with infectious complications, the survival rate was significantly lower than in patients without infections (log-rank = 0.0004).\nCONCLUSIONS: The present results suggest the importance of evaluating other variables besides tumor stage in the prediction of long-term outcome. In prognostic studies more attention should be paid to postoperative infections.","ISSN":"0300-8916","note":"PMID: 15656334","journalAbbreviation":"Tumori","language":"eng","author":[{"family":"Nespoli","given":"Angelo"},{"family":"Gianotti","given":"Luca"},{"family":"Totis","given":"Mauro"},{"family":"Bovo","given":"Giorgio"},{"family":"Nespoli","given":"Luca"},{"family":"Chiodini","given":"Paolo"},{"family":"Brivio","given":"Ferdinando"}],"issued":{"date-parts":[["2004",10]]}}},{"id":"D1GMNV0O/j5OHHqZA","uris":["http://zotero.org/users/4804376/items/TWGQCE89"],"uri":["http://zotero.org/users/4804376/items/TWGQCE89"],"itemData":{"id":501,"type":"article-journal","title":"Effects of the combination of blood transfusion and postoperative infectious complications on prognosis after surgery for colorectal cancer. Danish RANX05 Colorectal Cancer Study Group","container-title":"The British Journal of Surgery","page":"1553-1562","volume":"87","issue":"11","source":"PubMed","abstract":"BACKGROUND: The frequency of postoperative infectious complications is significantly increased in patients with colorectal cancer receiving perioperative blood transfusion. It is still debated, however, whether perioperative blood transfusion alters the incidence of disease recurrence or otherwise affects the prognosis.\nMETHODS: Patient risk variables, variables related to operation technique, blood transfusion and the development of infectious complications were recorded prospectively in 740 patients undergoing elective resection for primary colorectal cancer. Endpoints were overall survival (n = 740) and time to diagnosis of recurrent disease in the subgroup of patients operated on with curative intention (n = 532). The patients were analysed in four groups divided with respect to administration or not of perioperative blood transfusion and development or non-development of postoperative infectious complications.\nRESULTS: Overall, 19 per cent of 288 non-transfused and 31 per cent of 452 transfused patients developed postoperative infectious complications (P&lt; 0.001). The median observation period was 6.8 (range 5.4-7.9) years. In a multivariate analysis, risk of death was significantly increased among patients developing infection after transfusion (n = 142) compared with patients receiving neither blood transfusion nor developing infection (n = 234): hazard ratio 1.38 (95 per cent confidence interval (c.i.) 1.05-1.81). Overall survival of patients receiving blood transfusion without subsequent infection (n = 310) and patients developing infection without preceding transfusion (n = 54) was not significantly decreased. In an analysis of disease recurrence the combination of blood transfusion and subsequent development of infection (hazard ratio 1.79 (95 per cent c.i. 1.13-2.82)), localization of cancer in the rectum and Dukes classification were independent risk factors.\nCONCLUSION: Blood transfusion per se may not be a risk factor for poor prognosis after colorectal cancer surgery. However, the combination of perioperative blood transfusion and subsequent development of postoperative infectious complications may be associated with a poor prognosis.","DOI":"10.1046/j.1365-2168.2000.01570.x","ISSN":"0007-1323","note":"PMID: 11091245","journalAbbreviation":"Br J Surg","language":"eng","author":[{"family":"Mynster","given":"T."},{"family":"Christensen","given":"I. J."},{"family":"Moesgaard","given":"F."},{"family":"Nielsen","given":"H. J."}],"issued":{"date-parts":[["2000",11]]}}}],"schema":"https://github.com/citation-style-language/schema/raw/master/csl-citation.json"} </w:instrText>
      </w:r>
      <w:r w:rsidR="009069A3"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[50</w:t>
      </w:r>
      <w:r w:rsidR="003A0E43">
        <w:rPr>
          <w:rFonts w:ascii="Book Antiqua" w:hAnsi="Book Antiqua" w:cs="Times New Roman" w:hint="eastAsia"/>
          <w:sz w:val="24"/>
          <w:szCs w:val="24"/>
          <w:vertAlign w:val="superscript"/>
          <w:lang w:eastAsia="zh-CN"/>
        </w:rPr>
        <w:t>-</w:t>
      </w:r>
      <w:r w:rsidR="00794414" w:rsidRPr="00DB7074">
        <w:rPr>
          <w:rFonts w:ascii="Book Antiqua" w:hAnsi="Book Antiqua" w:cs="Times New Roman"/>
          <w:sz w:val="24"/>
          <w:szCs w:val="24"/>
          <w:vertAlign w:val="superscript"/>
        </w:rPr>
        <w:t>53]</w:t>
      </w:r>
      <w:r w:rsidR="009069A3" w:rsidRPr="00DB7074">
        <w:rPr>
          <w:rFonts w:ascii="Book Antiqua" w:hAnsi="Book Antiqua" w:cs="Times New Roman"/>
          <w:sz w:val="24"/>
          <w:szCs w:val="24"/>
        </w:rPr>
        <w:fldChar w:fldCharType="end"/>
      </w:r>
      <w:r w:rsidR="00574046" w:rsidRPr="00DB7074">
        <w:rPr>
          <w:rFonts w:ascii="Book Antiqua" w:hAnsi="Book Antiqua" w:cs="Times New Roman"/>
          <w:sz w:val="24"/>
          <w:szCs w:val="24"/>
        </w:rPr>
        <w:t xml:space="preserve">. </w:t>
      </w:r>
      <w:r w:rsidR="00507882" w:rsidRPr="00DB7074">
        <w:rPr>
          <w:rFonts w:ascii="Book Antiqua" w:hAnsi="Book Antiqua" w:cs="Times New Roman"/>
          <w:sz w:val="24"/>
          <w:szCs w:val="24"/>
        </w:rPr>
        <w:t xml:space="preserve">However, </w:t>
      </w:r>
      <w:r w:rsidR="00574046" w:rsidRPr="00DB7074">
        <w:rPr>
          <w:rFonts w:ascii="Book Antiqua" w:hAnsi="Book Antiqua" w:cs="Times New Roman"/>
          <w:sz w:val="24"/>
          <w:szCs w:val="24"/>
        </w:rPr>
        <w:t xml:space="preserve">pathological factors are currently the most powerful tools </w:t>
      </w:r>
      <w:r w:rsidR="002C2A46" w:rsidRPr="00DB7074">
        <w:rPr>
          <w:rFonts w:ascii="Book Antiqua" w:hAnsi="Book Antiqua" w:cs="Times New Roman"/>
          <w:sz w:val="24"/>
          <w:szCs w:val="24"/>
        </w:rPr>
        <w:t xml:space="preserve">that are </w:t>
      </w:r>
      <w:r w:rsidR="00574046" w:rsidRPr="00DB7074">
        <w:rPr>
          <w:rFonts w:ascii="Book Antiqua" w:hAnsi="Book Antiqua" w:cs="Times New Roman"/>
          <w:sz w:val="24"/>
          <w:szCs w:val="24"/>
        </w:rPr>
        <w:t>routinely used to adapt therapeutic strateg</w:t>
      </w:r>
      <w:r w:rsidR="002C2A46" w:rsidRPr="00DB7074">
        <w:rPr>
          <w:rFonts w:ascii="Book Antiqua" w:hAnsi="Book Antiqua" w:cs="Times New Roman"/>
          <w:sz w:val="24"/>
          <w:szCs w:val="24"/>
        </w:rPr>
        <w:t>ies</w:t>
      </w:r>
      <w:r w:rsidR="00574046" w:rsidRPr="00DB7074">
        <w:rPr>
          <w:rFonts w:ascii="Book Antiqua" w:hAnsi="Book Antiqua" w:cs="Times New Roman"/>
          <w:sz w:val="24"/>
          <w:szCs w:val="24"/>
        </w:rPr>
        <w:t>, especially</w:t>
      </w:r>
      <w:r w:rsidR="002C2A46" w:rsidRPr="00DB7074">
        <w:rPr>
          <w:rFonts w:ascii="Book Antiqua" w:hAnsi="Book Antiqua" w:cs="Times New Roman"/>
          <w:sz w:val="24"/>
          <w:szCs w:val="24"/>
        </w:rPr>
        <w:t xml:space="preserve"> for</w:t>
      </w:r>
      <w:r w:rsidR="00574046" w:rsidRPr="00DB7074">
        <w:rPr>
          <w:rFonts w:ascii="Book Antiqua" w:hAnsi="Book Antiqua" w:cs="Times New Roman"/>
          <w:sz w:val="24"/>
          <w:szCs w:val="24"/>
        </w:rPr>
        <w:t xml:space="preserve"> conditioning the administration of non-operative treatments, such as chemotherapy and radiotherapy. The TNM international staging system remains the gold-standard for determin</w:t>
      </w:r>
      <w:r w:rsidR="0083727F" w:rsidRPr="00DB7074">
        <w:rPr>
          <w:rFonts w:ascii="Book Antiqua" w:hAnsi="Book Antiqua" w:cs="Times New Roman"/>
          <w:sz w:val="24"/>
          <w:szCs w:val="24"/>
        </w:rPr>
        <w:t>ing</w:t>
      </w:r>
      <w:r w:rsidR="00574046" w:rsidRPr="00DB7074">
        <w:rPr>
          <w:rFonts w:ascii="Book Antiqua" w:hAnsi="Book Antiqua" w:cs="Times New Roman"/>
          <w:sz w:val="24"/>
          <w:szCs w:val="24"/>
        </w:rPr>
        <w:t xml:space="preserve"> both CRC prognosis and treatment indications</w:t>
      </w:r>
      <w:r w:rsidR="009069A3"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{"citationID":"a1dc409si5e","properties":{"formattedCitation":"\\super [4,54\\uc0\\u8211{}56]\\nosupersub{}","plainCitation":"[4,54–56]","noteIndex":0},"citationItems":[{"id":"D1GMNV0O/z3UxQnuI","uris":["http://zotero.org/users/4804376/items/E6Q2N2A8"],"uri":["http://zotero.org/users/4804376/items/E6Q2N2A8"],"itemData":{"id":369,"type":"article-journal","title":"[Can the prognosis of patients treated surgically in cancer of the rectum or colon be improved by follow-up? Prospective study of 909 patients]","container-title":"Chirurgie; Memoires De l'Academie De Chirurgie","page":"228-236; discussion 236-237","volume":"115","issue":"3","source":"PubMed","abstract":"Outpatient follow up may be performed to detect early recurrence or metastasis in the hope to be cured by further surgery. 909 patients have been prospectively followed after resection for cure of colorectal carcinoma. The mean duration of this follow up was 48 months. 1. Only 322 (35.4%) patients agreed to be submitted to an strict regiment of frequent check up. 2. Only 92 recurrences were diagnosed at times of follow up, the 308 others were discovered between regular follow up examination. 3. Only 32 recurrences out of 92 detected by the follow up schedule were totally without symptoms. 4. In the follow up group 30 patients (32.6%) benefited from second surgery versus 7 for the others (7.8%) p less than 0.001. 5. The comparison about the five years actuarial survival rates between the follow up group and the others is statistically significant: p less than 0.01.","ISSN":"0001-4001","note":"PMID: 2805932","shortTitle":"[Can the prognosis of patients treated surgically in cancer of the rectum or colon be improved by follow-up?","journalAbbreviation":"Chirurgie","language":"fre","author":[{"family":"Adloff","given":"M."},{"family":"Arnaud","given":"J. P."},{"family":"Ollier","given":"J. C."},{"family":"Schloegel","given":"M."}],"issued":{"date-parts":[["1989"]]}}},{"id":"D1GMNV0O/ZRhKWlpo","uris":["http://zotero.org/users/4804376/items/E43VG9YQ"],"uri":["http://zotero.org/users/4804376/items/E43VG9YQ"],"itemData":{"id":513,"type":"article-journal","title":"Colon cancer survival rates with the new American Joint Committee on Cancer sixth edition staging","container-title":"Journal of the National Cancer Institute","page":"1420-1425","volume":"96","issue":"19","source":"PubMed","abstract":"BACKGROUND: The recently revised American Joint Committee on Cancer (AJCC) sixth edition cancer staging system increased the stratification within colon cancer stages II and III defined by the AJCC fifth edition system. Using nationally representative Surveillance, Epidemiology, and End Results (SEER) data, we compared survival rates associated with colon cancer stages defined according to both AJCC systems.\nMETHODS: Using SEER data (from January 1, 1991, through December 31, 2000), we identified 119,363 patients with colon adenocarcinoma and included all patients in two analyses by stages defined by AJCC fifth and sixth edition systems. Tumors were stratified by SEER's \"extent of disease\" and \"number of positive [lymph] nodes\" coding schemes. Kaplan-Meier analyses were used to compare overall and stage-specific 5-year survival. All statistical tests were two-sided.\nRESULTS: Overall 5-year survival was 65.2%. According to stages defined by the AJCC fifth edition system, 5-year stage-specific survivals were 93.2% for stage I, 82.5% for stage II, 59.5% for stage III, and 8.1% for stage IV. According to stages defined by the AJCC sixth edition system, 5-year stage-specific survivals were 93.2% for stage I, 84.7% for stage IIa, 72.2% for stage IIb, 83.4% for stage IIIa, 64.1% for stage IIIb, 44.3% for stage IIIc, and 8.1% for stage IV. Under the sixth edition system, 5-year survival was statistically significantly better for patients with stage IIIa colon cancer (83.4%) than for patients with stage IIb disease (72.2%) (P&lt;.001).\nCONCLUSIONS: The AJCC sixth edition system for colon cancer stratifies survival more distinctly than the fifth edition system by providing more substages. The association of stage IIIa colon cancer with statistically significantly better survival than stage IIb in the new system may reflect current clinical practice, in which stage III patients receive chemotherapy but stage II patients generally do not.","DOI":"10.1093/jnci/djh275","ISSN":"1460-2105","note":"PMID: 15467030","journalAbbreviation":"J. Natl. Cancer Inst.","language":"eng","author":[{"family":"O'Connell","given":"Jessica B."},{"family":"Maggard","given":"Melinda A."},{"family":"Ko","given":"Clifford Y."}],"issued":{"date-parts":[["2004",10,6]]}}},{"id":"D1GMNV0O/yT0XcAMy","uris":["http://zotero.org/users/4804376/items/PYJMFWI8"],"uri":["http://zotero.org/users/4804376/items/PYJMFWI8"],"itemData":{"id":497,"type":"article-journal","title":"Levamisole and fluorouracil for adjuvant therapy of resected colon carcinoma","container-title":"The New England Journal of Medicine","page":"352-358","volume":"322","issue":"6","source":"PubMed","abstract":"Twelve hundred ninety-six patients with resected colon cancer that either was locally invasive (Stage B2) or had regional nodal involvement (Stage C) were randomly assigned to observation or to treatment for one year with levamisole combined with fluorouracil. Patients with Stage C disease could also be randomly assigned to treatment with levamisole alone. The median follow-up time at this writing is 3 years (range, 2 to 5 1/2). Among the patients with Stage C disease, therapy with levamisole plus fluorouracil reduced the risk of cancer recurrence by 41 percent (P less than 0.0001). The overall death rate was reduced by 33 percent (P approximately 0.006). Treatment with levamisole alone had no detectable effect. The results in the patients with Stage B2 disease were equivocal and too preliminary to allow firm conclusions. Toxic effects of levamisole alone were infrequent, usually consisting of mild nausea with occasional dermatitis or leukopenia, and those of levamisole plus fluorouracil were essentially the same as those of fluorouracil alone--i.e., nausea, vomiting, stomatitis, diarrhea, dermatitis, and leukopenia. These reactions were usually not severe and did not greatly impede patients' compliance with their regimen. We conclude that adjuvant therapy with levamisole and fluorouracil should be standard treatment for Stage C colon carcinoma. Since most patients in our study were treated by community oncologists, this approach should be readily adaptable to conventional medical practice.","DOI":"10.1056/NEJM199002083220602","ISSN":"0028-4793","note":"PMID: 2300087","journalAbbreviation":"N. Engl. J. Med.","language":"eng","author":[{"family":"Moertel","given":"C. G."},{"family":"Fleming","given":"T. R."},{"family":"Macdonald","given":"J. S."},{"family":"Haller","given":"D. G."},{"family":"Laurie","given":"J. A."},{"family":"Goodman","given":"P. J."},{"family":"Ungerleider","given":"J. S."},{"family":"Emerson","given":"W. A."},{"family":"Tormey","given":"D. C."},{"family":"Glick","given":"J. H."}],"issued":{"date-parts":[["1990",2,8]]}}},{"id":"D1GMNV0O/PAADP8yR","uris":["http://zotero.org/users/4804376/items/78VII75S"],"uri":["http://zotero.org/users/4804376/items/78VII75S"],"itemData":{"id":419,"type":"article-journal","title":"A new TNM staging strategy for node-positive (stage III) colon cancer: an analysis of 50,042 patients","container-title":"Annals of Surgery","page":"416-421; discussion 421","volume":"236","issue":"4","source":"PubMed","abstract":"OBJECTIVE: To analyze a large cohort of patients with stage III colon cancer to determine whether subgroup stratification better defines outcome.\nSUMMARY BACKGROUND DATA: The Tumor (T), Node (N), Metastasis (M) system is based on depth of tumor invasion into the colonic wall, the number of regional lymph nodes involved, and distant metastasis. Traditionally, colon cancer has been designated as stage III based on nodal involvement regardless of the depth (T1-4) of tumor penetration. Treatment decisions have been based on nodal involvement with less emphasis on colonic wall penetration in stage III patients.\nMETHODS: Patients (n = 50,042) with stage III colon cancer reported to the National Cancer Data Base from 1987 through 1993 were analyzed. Observed survival was calculated by actuarial life table methods for three new node-positive subgroups (IIIA: T1/2, N1; IIIB: T3/4, N1; IIIC: any T, N2). The Cox proportional hazards model was used to test the prognostic strength of selected covariates.\nRESULTS: Three distinct subcategories within a traditional stage III cohort of colonic cancer were identified. Five-year observed survival rates for these three subcategories were 59.8%, IIIA; 42.0%, IIIB; and 27.3%, IIIC. Differences between subgroups were significant ( &lt;.0001). Similar differences were calculated after stratification for treatment. A multivariate proportional hazards model identified the new stage III subgroups, modality of the first course of therapy, patient age, and tumor grade as significant independent prognostic covariates.\nCONCLUSIONS: The current stage III designation of colon cancer excludes prognostic subgroups stratified for mural penetration (T1-4) or nodal involvement (N1 vs. N2). Analysis of a large data set supports stratification into three subsets, confirming the benefit of adjuvant chemotherapy in each subgroup. This strategy should be used in the reporting and staging of node-positive colon cancers.","DOI":"10.1097/01.SLA.0000029243.59219.7E","ISSN":"0003-4932","note":"PMID: 12368669\nPMCID: PMC1422595","shortTitle":"A new TNM staging strategy for node-positive (stage III) colon cancer","journalAbbreviation":"Ann. Surg.","language":"eng","author":[{"family":"Greene","given":"Frederick L."},{"family":"Stewart","given":"Andrew K."},{"family":"Norton","given":"H. James"}],"issued":{"date-parts":[["2002",10]]}}}],"schema":"https://github.com/citation-style-language/schema/raw/master/csl-citation.json"} </w:instrText>
      </w:r>
      <w:r w:rsidR="009069A3"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[4,54–56]</w:t>
      </w:r>
      <w:r w:rsidR="009069A3" w:rsidRPr="00DB7074">
        <w:rPr>
          <w:rFonts w:ascii="Book Antiqua" w:hAnsi="Book Antiqua" w:cs="Times New Roman"/>
          <w:sz w:val="24"/>
          <w:szCs w:val="24"/>
        </w:rPr>
        <w:fldChar w:fldCharType="end"/>
      </w:r>
      <w:r w:rsidR="00574046" w:rsidRPr="00DB7074">
        <w:rPr>
          <w:rFonts w:ascii="Book Antiqua" w:hAnsi="Book Antiqua" w:cs="Times New Roman"/>
          <w:sz w:val="24"/>
          <w:szCs w:val="24"/>
        </w:rPr>
        <w:t xml:space="preserve">. </w:t>
      </w:r>
      <w:r w:rsidR="000A23D9" w:rsidRPr="00DB7074">
        <w:rPr>
          <w:rFonts w:ascii="Times New Roman" w:hAnsi="Times New Roman" w:cs="Times New Roman"/>
          <w:sz w:val="24"/>
          <w:szCs w:val="24"/>
        </w:rPr>
        <w:t>Unfortunately</w:t>
      </w:r>
      <w:r w:rsidR="00574046" w:rsidRPr="00DB7074">
        <w:rPr>
          <w:rFonts w:ascii="Book Antiqua" w:hAnsi="Book Antiqua" w:cs="Times New Roman"/>
          <w:sz w:val="24"/>
          <w:szCs w:val="24"/>
        </w:rPr>
        <w:t xml:space="preserve">, this classification is largely imperfect, </w:t>
      </w:r>
      <w:r w:rsidR="0083727F" w:rsidRPr="00DB7074">
        <w:rPr>
          <w:rFonts w:ascii="Book Antiqua" w:hAnsi="Book Antiqua" w:cs="Times New Roman"/>
          <w:sz w:val="24"/>
          <w:szCs w:val="24"/>
        </w:rPr>
        <w:t xml:space="preserve">which </w:t>
      </w:r>
      <w:r w:rsidR="00574046" w:rsidRPr="00DB7074">
        <w:rPr>
          <w:rFonts w:ascii="Book Antiqua" w:hAnsi="Book Antiqua" w:cs="Times New Roman"/>
          <w:sz w:val="24"/>
          <w:szCs w:val="24"/>
        </w:rPr>
        <w:t>is highlighted by</w:t>
      </w:r>
      <w:r w:rsidR="0083727F" w:rsidRPr="00DB7074">
        <w:rPr>
          <w:rFonts w:ascii="Book Antiqua" w:hAnsi="Book Antiqua" w:cs="Times New Roman"/>
          <w:sz w:val="24"/>
          <w:szCs w:val="24"/>
        </w:rPr>
        <w:t xml:space="preserve"> the</w:t>
      </w:r>
      <w:r w:rsidR="00574046" w:rsidRPr="00DB7074">
        <w:rPr>
          <w:rFonts w:ascii="Book Antiqua" w:hAnsi="Book Antiqua" w:cs="Times New Roman"/>
          <w:sz w:val="24"/>
          <w:szCs w:val="24"/>
        </w:rPr>
        <w:t xml:space="preserve"> constant changes </w:t>
      </w:r>
      <w:r w:rsidR="0083727F" w:rsidRPr="00DB7074">
        <w:rPr>
          <w:rFonts w:ascii="Book Antiqua" w:hAnsi="Book Antiqua" w:cs="Times New Roman"/>
          <w:sz w:val="24"/>
          <w:szCs w:val="24"/>
        </w:rPr>
        <w:t xml:space="preserve">it undergoes </w:t>
      </w:r>
      <w:r w:rsidR="00574046" w:rsidRPr="00DB7074">
        <w:rPr>
          <w:rFonts w:ascii="Book Antiqua" w:hAnsi="Book Antiqua" w:cs="Times New Roman"/>
          <w:sz w:val="24"/>
          <w:szCs w:val="24"/>
        </w:rPr>
        <w:t>with the advances in the field of CRC research</w:t>
      </w:r>
      <w:r w:rsidR="0083727F" w:rsidRPr="00DB7074">
        <w:rPr>
          <w:rFonts w:ascii="Book Antiqua" w:hAnsi="Book Antiqua" w:cs="Times New Roman"/>
          <w:sz w:val="24"/>
          <w:szCs w:val="24"/>
        </w:rPr>
        <w:t>. Furthermore, it has</w:t>
      </w:r>
      <w:r w:rsidR="00574046" w:rsidRPr="00DB7074">
        <w:rPr>
          <w:rFonts w:ascii="Book Antiqua" w:hAnsi="Book Antiqua" w:cs="Times New Roman"/>
          <w:sz w:val="24"/>
          <w:szCs w:val="24"/>
        </w:rPr>
        <w:t xml:space="preserve"> some limitations</w:t>
      </w:r>
      <w:r w:rsidR="007C3E4D" w:rsidRPr="00DB7074">
        <w:rPr>
          <w:rFonts w:ascii="Book Antiqua" w:hAnsi="Book Antiqua" w:cs="Times New Roman"/>
          <w:sz w:val="24"/>
          <w:szCs w:val="24"/>
        </w:rPr>
        <w:t>.</w:t>
      </w:r>
      <w:r w:rsidR="0083727F" w:rsidRPr="00DB7074">
        <w:rPr>
          <w:rFonts w:ascii="Book Antiqua" w:hAnsi="Book Antiqua" w:cs="Times New Roman"/>
          <w:sz w:val="24"/>
          <w:szCs w:val="24"/>
        </w:rPr>
        <w:t xml:space="preserve"> </w:t>
      </w:r>
      <w:r w:rsidR="007C3E4D" w:rsidRPr="00DB7074">
        <w:rPr>
          <w:rFonts w:ascii="Book Antiqua" w:hAnsi="Book Antiqua" w:cs="Times New Roman"/>
          <w:sz w:val="24"/>
          <w:szCs w:val="24"/>
        </w:rPr>
        <w:t>I</w:t>
      </w:r>
      <w:r w:rsidR="0083727F" w:rsidRPr="00DB7074">
        <w:rPr>
          <w:rFonts w:ascii="Book Antiqua" w:hAnsi="Book Antiqua" w:cs="Times New Roman"/>
          <w:sz w:val="24"/>
          <w:szCs w:val="24"/>
        </w:rPr>
        <w:t>n particular, it is</w:t>
      </w:r>
      <w:r w:rsidR="00574046" w:rsidRPr="00DB7074">
        <w:rPr>
          <w:rFonts w:ascii="Book Antiqua" w:hAnsi="Book Antiqua" w:cs="Times New Roman"/>
          <w:sz w:val="24"/>
          <w:szCs w:val="24"/>
        </w:rPr>
        <w:t xml:space="preserve"> inaccurate for some subgroups of patients whose prognosis and in</w:t>
      </w:r>
      <w:r w:rsidR="0083727F" w:rsidRPr="00DB7074">
        <w:rPr>
          <w:rFonts w:ascii="Book Antiqua" w:hAnsi="Book Antiqua" w:cs="Times New Roman"/>
          <w:sz w:val="24"/>
          <w:szCs w:val="24"/>
        </w:rPr>
        <w:t>dications</w:t>
      </w:r>
      <w:r w:rsidR="00574046" w:rsidRPr="00DB7074">
        <w:rPr>
          <w:rFonts w:ascii="Book Antiqua" w:hAnsi="Book Antiqua" w:cs="Times New Roman"/>
          <w:sz w:val="24"/>
          <w:szCs w:val="24"/>
        </w:rPr>
        <w:t xml:space="preserve"> for adjuvant treatments remain unclear. Therefore, some other pathological prognostic factors are routinely used</w:t>
      </w:r>
      <w:r w:rsidR="0083727F" w:rsidRPr="00DB7074">
        <w:rPr>
          <w:rFonts w:ascii="Book Antiqua" w:hAnsi="Book Antiqua" w:cs="Times New Roman"/>
          <w:sz w:val="24"/>
          <w:szCs w:val="24"/>
        </w:rPr>
        <w:t>, such</w:t>
      </w:r>
      <w:r w:rsidR="00574046" w:rsidRPr="00DB7074">
        <w:rPr>
          <w:rFonts w:ascii="Book Antiqua" w:hAnsi="Book Antiqua" w:cs="Times New Roman"/>
          <w:sz w:val="24"/>
          <w:szCs w:val="24"/>
        </w:rPr>
        <w:t xml:space="preserve"> as the presence of lymphovenous and/or perineural invasion</w:t>
      </w:r>
      <w:r w:rsidR="009069A3"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{"citationID":"a2lt0972nra","properties":{"formattedCitation":"\\super [57\\uc0\\u8211{}60]\\nosupersub{}","plainCitation":"[57–60]","noteIndex":0},"citationItems":[{"id":"D1GMNV0O/pjbVWdA1","uris":["http://zotero.org/users/4804376/items/IEVGYWXF"],"uri":["http://zotero.org/users/4804376/items/IEVGYWXF"],"itemData":{"id":401,"type":"article-journal","title":"Prognostic factors in colorectal cancer. College of American Pathologists Consensus Statement 1999","container-title":"Archives of Pathology &amp; Laboratory Medicine","page":"979-994","volume":"124","issue":"7","source":"PubMed","abstract":"BACKGROUND: Under the auspices of the College of American Pathologists, the current state of knowledge regarding pathologic prognostic factors (factors linked to outcome) and predictive factors (factors predicting response to therapy) in colorectal carcinoma was evaluated. A multidisciplinary group of clinical (including the disciplines of medical oncology, surgical oncology, and radiation oncology), pathologic, and statistical experts in colorectal cancer reviewed all relevant medical literature and stratified the reported prognostic factors into categories that reflected the strength of the published evidence demonstrating their prognostic value. Accordingly, the following categories of prognostic factors were defined. Category I includes factors definitively proven to be of prognostic import based on evidence from multiple statistically robust published trials and generally used in patient management. Category IIA includes factors extensively studied biologically and/or clinically and repeatedly shown to have prognostic value for outcome and/or predictive value for therapy that is of sufficient import to be included in the pathology report but that remains to be validated in statistically robust studies. Category IIB includes factors shown to be promising in multiple studies but lacking sufficient data for inclusion in category I or IIA. Category III includes factors not yet sufficiently studied to determine their prognostic value. Category IV includes factors well studied and shown to have no prognostic significance.\nMATERIALS AND METHODS: The medical literature was critically reviewed, and the analysis revealed specific points of variability in approach that prevented direct comparisons among published studies and compromised the quality of the collective data. Categories of variability recognized included the following: (1) methods of analysis, (2) interpretation of findings, (3) reporting of data, and (4) statistical evaluation. Additional points of variability within these categories were defined from the collective experience of the group. Reasons for the assignment of an individual prognostic factor to category I, II, III, or IV (categories defined by the level of scientific validation) were outlined with reference to the specific types of variability associated with the supportive data. For each factor and category of variability related to that factor, detailed recommendations for improvement were made. The recommendations were based on the following aims: (1) to increase the uniformity and completeness of pathologic evaluation of tumor specimens, (2) to enhance the quality of the data needed for definitive evaluation of the prognostic value of individual prognostic factors, and (3) ultimately, to improve patient care.\nRESULTS AND CONCLUSIONS: Factors that were determined to merit inclusion in category I were as follows: the local extent of tumor assessed pathologically (the pT category of the TNM staging system of the American Joint Committee on Cancer and the Union Internationale Contre le Cancer [AJCC/UICC]); regional lymph node metastasis (the pN category of the TNM staging system); blood or lymphatic vessel invasion; residual tumor following surgery with curative intent (the R classification of the AJCC/UICC staging system), especially as it relates to positive surgical margins; and preoperative elevation of carcinoembryonic antigen elevation (a factor established by laboratory medicine methods rather than anatomic pathology). Factors in category IIA included the following: tumor grade, radial margin status (for resection specimens with nonperitonealized surfaces), and residual tumor in the resection specimen following neoadjuvant therapy (the ypTNM category of the TNM staging system of the AJCC/UICC). (ABSTRACT TRUNCATED)","DOI":"10.1043/0003-9985(2000)124&lt;0979:PFICC&gt;2.0.CO;2","ISSN":"0003-9985","note":"PMID: 10888773","journalAbbreviation":"Arch. Pathol. Lab. Med.","language":"eng","author":[{"family":"Compton","given":"C. C."},{"family":"Fielding","given":"L. P."},{"family":"Burgart","given":"L. J."},{"family":"Conley","given":"B."},{"family":"Cooper","given":"H. S."},{"family":"Hamilton","given":"S. R."},{"family":"Hammond","given":"M. E."},{"family":"Henson","given":"D. E."},{"family":"Hutter","given":"R. V."},{"family":"Nagle","given":"R. B."},{"family":"Nielsen","given":"M. L."},{"family":"Sargent","given":"D. J."},{"family":"Taylor","given":"C. R."},{"family":"Welton","given":"M."},{"family":"Willett","given":"C."}],"issued":{"date-parts":[["2000",7]]}}},{"id":"D1GMNV0O/mIYRMV83","uris":["http://zotero.org/users/4804376/items/KAJZM2HW"],"uri":["http://zotero.org/users/4804376/items/KAJZM2HW"],"itemData":{"id":399,"type":"article-journal","title":"Colorectal carcinoma: diagnostic, prognostic, and molecular features","container-title":"Modern Pathology: An Official Journal of the United States and Canadian Academy of Pathology, Inc","page":"376-388","volume":"16","issue":"4","source":"PubMed","abstract":"Surgical resection is the primary treatment modality for colorectal cancer, and the pathologic assessment of the resection specimen provides data that is essential for patient management, including the estimation of postoperative outcome and the rationale for adjuvant therapy. The essential elements of the pathological assessment of colorectal cancer resection specimens include the pathologic determination of TNM stage, tumor type, histologic grade, status of resection margins, and vascular invasion. The prognostic and/or predictive value of these elements, as well as guidelines for their derivation and interpretation, are reviewed in detail. Other tissue-based prognostic factors that are strongly suggested by existing data to have stage-independent prognostic value or to predict response to adjuvant therapy but that have not yet been validated for routine patient care are also reviewed. These include perineural invasion, tumor border configuration, host immune response to tumor, and molecular features such as microsatellite instability or loss of heterozygosity of chromosome 18. The need for high-quality, reproducible pathologic data in the care of the colorectal cancer patient, and the dependence of that data on standardization of all aspects of pathological assessment, is emphasized.","DOI":"10.1097/01.MP.0000062859.46942.93","ISSN":"0893-3952","note":"PMID: 12692203","shortTitle":"Colorectal carcinoma","journalAbbreviation":"Mod. Pathol.","language":"eng","author":[{"family":"Compton","given":"Carolyn C."}],"issued":{"date-parts":[["2003",4]]}}},{"id":"D1GMNV0O/zV7OaXeJ","uris":["http://zotero.org/users/4804376/items/Q3X2PJ73"],"uri":["http://zotero.org/users/4804376/items/Q3X2PJ73"],"itemData":{"id":443,"type":"article-journal","title":"Lymphovascular or perineural invasion may predict lymph node metastasis in patients with T1 and T2 colorectal cancer","container-title":"Journal of Gastrointestinal Surgery: Official Journal of the Society for Surgery of the Alimentary Tract","page":"1074-1080","volume":"14","issue":"7","source":"PubMed","abstract":"BACKGROUND: The aim of the study was to evaluate factors for predicting lymph node metastasis in patients who had T1 and T2 colorectal cancer.\nMETHODS: A total of 224 patients with T1 or T2 colorectal cancers who underwent radical surgery with regional lymphadenectomy from January 1999 to January 2008 were analyzed.\nRESULTS: Predictive factors for lymph node metastasis and prognostic factors were analyzed. Tumor stage was classified as T1 in 69 (30.8%) and T2 in 155 (69.2%) of patients. The overall incidence of lymph node metastasis was 21.0% (14.5% for T1 cancer and 23.9% for T2 cancer; P = 0.112). The node positive and negative groups were similar with regard to patient demographics, except that the former contained a significantly higher number of lymphovascular invasion and perineural invasion cases. During the median follow-up period of 49 months, the 5-year overall and disease-free survival rates for patients without lymph node metastasis were 97.1% and 94.6%, which were significantly higher than the rates for those with lymph node metastasis (85.5%, P = 0.008, and 82.0%, P = 0.007, respectively). A multivariate analysis revealed that lymph node status was the only significant independent prognostic factor for both overall survival (P = 0.025) and disease-free survival (P = 0.040). Moreover, the presence of lymphovascular invasion (P &lt; 0.001) or perineural invasion (P = 0.004) was an independent predictor for lymph node metastasis.\nCONCLUSION: Lymph node metastasis was the most powerful predictor for poorer survival in patients with T1 or T2 colorectal cancer. For patients with positive lymphovascular or perineural invasion, radical surgery should be recommended because of a greater chance for lymph node metastasis.","DOI":"10.1007/s11605-010-1206-y","ISSN":"1873-4626","note":"PMID: 20431977","journalAbbreviation":"J. Gastrointest. Surg.","language":"eng","author":[{"family":"Huh","given":"Jung Wook"},{"family":"Kim","given":"Hyeong Rok"},{"family":"Kim","given":"Young Jin"}],"issued":{"date-parts":[["2010",7]]}}},{"id":"D1GMNV0O/Ew37l7dR","uris":["http://zotero.org/users/4804376/items/FE4ZABN9"],"uri":["http://zotero.org/users/4804376/items/FE4ZABN9"],"itemData":{"id":479,"type":"article-journal","title":"Perineural invasion is an independent predictor of outcome in colorectal cancer","container-title":"Journal of Clinical Oncology: Official Journal of the American Society of Clinical Oncology","page":"5131-5137","volume":"27","issue":"31","source":"PubMed","abstract":"PURPOSE: Perineural invasion (PNI) is associated with decreased survival in several malignancies, but its significance in colorectal cancer (CRC) remains to be clearly defined. We evaluated PNI as a potential prognostic indicator in CRC, focusing on its significance in node-negative patients.\nPATIENTS AND METHODS: We identified 269 consecutive patients who had CRC resected at our institution. Tumors were re-reviewed for PNI by a pathologist blinded to the patients' outcomes. Overall and disease-free survivals were determined using the Kaplan-Meier method, with differences determined by multivariate analysis using the Cox multiple hazards model. Results were compared using the log-rank test.\nRESULTS: PNI was identified in less than 0.5% of the initial pathology reports. On rereview, 22% of tumors in our series were found to be PNI positive. The 5-year disease-free survival rate was four-fold greater for patients with PNI-negative tumors versus those with PNI-positive tumors (65% v 16%, respectively; P &lt; .0001). The 5-year overall survival rate was 72% for PNI-negative tumors versus 25% for PNI-positive tumors. On multivariate analysis, PNI was an independent prognostic factor for both cancer-specific overall and disease-free survival. In a subset analysis comparing patients with node-negative disease with patients with stage III disease, the 5-year disease-free survival rate was 56% for stage III patients versus 29% for patients with node-negative, PNI-positive tumors (P = .0002). Similar results were seen for overall survival.\nCONCLUSION: PNI is grossly underreported in CRC and could serve as an independent prognostic factor of outcomes in these patients. PNI should be considered when stratifying CRC patients for adjuvant treatment.","DOI":"10.1200/JCO.2009.22.4949","ISSN":"1527-7755","note":"PMID: 19738119\nPMCID: PMC2773472","journalAbbreviation":"J. Clin. Oncol.","language":"eng","author":[{"family":"Liebig","given":"Catherine"},{"family":"Ayala","given":"Gustavo"},{"family":"Wilks","given":"Jonathan"},{"family":"Verstovsek","given":"Gordana"},{"family":"Liu","given":"Hao"},{"family":"Agarwal","given":"Neeti"},{"family":"Berger","given":"David H."},{"family":"Albo","given":"Daniel"}],"issued":{"date-parts":[["2009",11,1]]}}}],"schema":"https://github.com/citation-style-language/schema/raw/master/csl-citation.json"} </w:instrText>
      </w:r>
      <w:r w:rsidR="009069A3"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[57–60]</w:t>
      </w:r>
      <w:r w:rsidR="009069A3" w:rsidRPr="00DB7074">
        <w:rPr>
          <w:rFonts w:ascii="Book Antiqua" w:hAnsi="Book Antiqua" w:cs="Times New Roman"/>
          <w:sz w:val="24"/>
          <w:szCs w:val="24"/>
        </w:rPr>
        <w:fldChar w:fldCharType="end"/>
      </w:r>
      <w:r w:rsidR="00574046" w:rsidRPr="00DB7074">
        <w:rPr>
          <w:rFonts w:ascii="Book Antiqua" w:hAnsi="Book Antiqua" w:cs="Times New Roman"/>
          <w:sz w:val="24"/>
          <w:szCs w:val="24"/>
        </w:rPr>
        <w:t xml:space="preserve">, </w:t>
      </w:r>
      <w:r w:rsidR="00507882" w:rsidRPr="00DB7074">
        <w:rPr>
          <w:rFonts w:ascii="Book Antiqua" w:hAnsi="Book Antiqua" w:cs="Times New Roman"/>
          <w:sz w:val="24"/>
          <w:szCs w:val="24"/>
        </w:rPr>
        <w:t>tumour</w:t>
      </w:r>
      <w:r w:rsidR="00187D5E">
        <w:rPr>
          <w:rFonts w:ascii="Book Antiqua" w:hAnsi="Book Antiqua" w:cs="Times New Roman"/>
          <w:sz w:val="24"/>
          <w:szCs w:val="24"/>
        </w:rPr>
        <w:t xml:space="preserve"> budding</w:t>
      </w:r>
      <w:r w:rsidR="009069A3"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{"citationID":"akh5unao7b","properties":{"formattedCitation":"\\super [61,62]\\nosupersub{}","plainCitation":"[61,62]","noteIndex":0},"citationItems":[{"id":"D1GMNV0O/Y9m8ltFj","uris":["http://zotero.org/users/4804376/items/DXRPZTK9"],"uri":["http://zotero.org/users/4804376/items/DXRPZTK9"],"itemData":{"id":503,"type":"article-journal","title":"Evaluation of the usefulness of tumor budding on the prediction of metastasis to the lung and liver after curative excision of colorectal cancer","container-title":"Hepato-Gastroenterology","page":"1432-1435","volume":"52","issue":"65","source":"PubMed","abstract":"BACKGROUND/AIMS: We evaluated the usefulness of tumor budding, defined as the morphology of infiltration by small clusters of undifferentiated adenocarcinoma into the invasive front of the lesion, for the prediction of metastasis to the lung and liver after curative excision of colorectal cancer.\nMETHODOLOGY: The subjects were 491 patients with a single colorectal cancer lesion, in whom follow-up observation was performed for more than 5 years, consisting of 278 patients without recurrence, 155 patients with the first metastasis to the liver alone, and 58 patients with the first metastasis to the lung alone. The invasive front was histologically re-examined using sections with the largest diameter of the primary colorectal cancer lesion, and the tumor budding was classified into 3 grades based on the morphology of infiltration. The usefulness of this factor for the prediction of metastasis to the lung and liver was examined by multivariate analysis together with conventional clinicopathological factors such as age, sex, tumor location, tumor size, histological type, tumor depth, invasion of lymph ducts, venous invasion, and metastasis to lymph nodes.\nRESULTS: Comparisons of the no-recurrence and lung metastasis groups by multivariate analysis indicated that moderate to severe tumor budding (odds ratio=0.1291, P&lt;0.0001) and positive metastasis to lymph nodes (odds ratio=0.1142, P&lt;0.0001) were extracted as the independent prediction factors of metastasis to the lung. Comparisons of the no-recurrence and liver metastasis groups indicated that infiltration over the proper muscular tunics (odds ratio=0.0284, P&lt;0.0001) and positive metastasis to lymph nodes (odds ratio=0.3289, P=0.0002) were extracted as the independent prediction factors of metastasis to the liver.\nCONCLUSIONS: Tumor budding in the invasive front of the lesion was considered to be a simple and useful pathohistological factor for the prediction of metastasis to the lung in patients with colorectal cancer after curative excision. It was suggested that this factor is important for the prediction of metastasis to the lung after surgery and for the planning of treatment methods.","ISSN":"0172-6390","note":"PMID: 16201089","journalAbbreviation":"Hepatogastroenterology","language":"eng","author":[{"family":"Nakamura","given":"Takatoshi"},{"family":"Mitomi","given":"Hiroyuki"},{"family":"Kikuchi","given":"Shiro"},{"family":"Ohtani","given":"Yoshimasa"},{"family":"Sato","given":"Koshi"}],"issued":{"date-parts":[["2005",10]]}}},{"id":"D1GMNV0O/DkNFwzWq","uris":["http://zotero.org/users/4804376/items/HYI8PIR7"],"uri":["http://zotero.org/users/4804376/items/HYI8PIR7"],"itemData":{"id":595,"type":"article-journal","title":"Role of APAF-1, E-cadherin and peritumoral lymphocytic infiltration in tumour budding in colorectal cancer","container-title":"The Journal of Pathology","page":"260-268","volume":"212","issue":"3","source":"PubMed","abstract":"Tumour budding or dedifferentiation at the invasive margin of colorectal cancer (CRC) is an important prognostic marker and linked mechanistically to dysregulation of Wnt pathway signalling. Since budding is observed in only 40% of CRCs, we hypothesized that Wnt pathway dysregulation may be a necessary but insufficient explanation for budding and that buds may be destroyed selectively by tumour immune mechanisms. Twenty potential markers of tumour budding were evaluated in tissue microarrays (TMAs) obtained from the main tumour body of 1164 DNA mismatch repair-proficient CRCs and the findings were correlated with tumour budding, lymphocytic infiltration and survival. Loss of expression of E-cadherin and APAF-1 were independent predictors of budding (sensitivity 70.3% and specificity 48.2% when one or the other was lost). Peritumoral lymphocytes (PTLs) were observed more frequently in CRCs with loss of either E-cadherin or APAF-1 that were budding-negative. PTLs and tumour-infiltrating lymphocytes (TILs) were strongly correlated. The absence of TILs increased the adverse prognostic impact of E-cadherin and APAF-1 loss. Co-occurrence of E-cadherin loss, APAF-1 loss and low TIL counts in CRCs was an independent prognostic factor. The findings were verified in whole tissue sections from 88 CRCs with known KRAS mutation status (which was not associated with budding). Loss of E-cadherin and APAF-1 within the main body of CRCs are independent predictors of tumour budding. The prognostic benefit of lymphocytic infiltration may be explained by the immune destruction of budding cells.","DOI":"10.1002/path.2164","ISSN":"0022-3417","note":"PMID: 17516584","journalAbbreviation":"J. Pathol.","language":"eng","author":[{"family":"Zlobec","given":"I."},{"family":"Lugli","given":"A."},{"family":"Baker","given":"K."},{"family":"Roth","given":"S."},{"family":"Minoo","given":"P."},{"family":"Hayashi","given":"S."},{"family":"Terracciano","given":"L."},{"family":"Jass","given":"J. R."}],"issued":{"date-parts":[["2007",7]]}}}],"schema":"https://github.com/citation-style-language/schema/raw/master/csl-citation.json"} </w:instrText>
      </w:r>
      <w:r w:rsidR="009069A3"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[61,62]</w:t>
      </w:r>
      <w:r w:rsidR="009069A3" w:rsidRPr="00DB7074">
        <w:rPr>
          <w:rFonts w:ascii="Book Antiqua" w:hAnsi="Book Antiqua" w:cs="Times New Roman"/>
          <w:sz w:val="24"/>
          <w:szCs w:val="24"/>
        </w:rPr>
        <w:fldChar w:fldCharType="end"/>
      </w:r>
      <w:r w:rsidR="00574046" w:rsidRPr="00DB7074">
        <w:rPr>
          <w:rFonts w:ascii="Book Antiqua" w:hAnsi="Book Antiqua" w:cs="Times New Roman"/>
          <w:sz w:val="24"/>
          <w:szCs w:val="24"/>
        </w:rPr>
        <w:t xml:space="preserve"> and </w:t>
      </w:r>
      <w:r w:rsidR="00507882" w:rsidRPr="00DB7074">
        <w:rPr>
          <w:rFonts w:ascii="Book Antiqua" w:hAnsi="Book Antiqua" w:cs="Times New Roman"/>
          <w:sz w:val="24"/>
          <w:szCs w:val="24"/>
        </w:rPr>
        <w:t>tumour</w:t>
      </w:r>
      <w:r w:rsidR="00574046" w:rsidRPr="00DB7074">
        <w:rPr>
          <w:rFonts w:ascii="Book Antiqua" w:hAnsi="Book Antiqua" w:cs="Times New Roman"/>
          <w:sz w:val="24"/>
          <w:szCs w:val="24"/>
        </w:rPr>
        <w:t xml:space="preserve"> differentiation grade</w:t>
      </w:r>
      <w:r w:rsidR="009069A3"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{"citationID":"apfqcqnrt7","properties":{"formattedCitation":"\\super [63,64]\\nosupersub{}","plainCitation":"[63,64]","noteIndex":0},"citationItems":[{"id":"D1GMNV0O/KVVmiNvl","uris":["http://zotero.org/users/4804376/items/EZ38RI4H"],"uri":["http://zotero.org/users/4804376/items/EZ38RI4H"],"itemData":{"id":527,"type":"article-journal","title":"Histopathological grade, mucinous differentiation and DNA ploidy in relation to prognosis in colorectal carcinoma","container-title":"Histopathology","page":"121-126","volume":"36","issue":"2","source":"PubMed","abstract":"AIMS: We investigated parameters which might help identify poor prognosis colorectal cancers and, in particular, we stratified Dukes' stage B carcinomas in order to identify those patients who would benefit from adjuvant therapy.\nMETHODS AND RESULTS: Histopathological parameters and DNA ploidy were analysed in a consecutive series of 256 resected colorectal cancers and their relationship with patient survival were investigated. By univariate analysis, Dukes' stage, degree of differentiation, nature of the invasive margin and DNA ploidy all correlated with prognosis. However, degree of differentiation assessed by the worst pattern seen anywhere in the tumour correlated more significantly with clinical outcome than did the predominant pattern. This was confirmed by multivariate analysis which showed only Dukes' stage and worst pattern differentiation as independent prognostic variables. Mucinous carcinomas showed no significant difference in outcome when compared to adenocarcinomas. DNA ploidy correlated with prognosis but only at a low level (P = 0.035) but this was maintained for Dukes' B carcinomas.\nCONCLUSIONS: Dukes' stage and degree of differentiation provide independent prognostic information in colorectal cancer. However, differentiation should be assessed by the worst pattern and not by the predominant pattern as is currently recommended by the UKCCCR. DNA ploidy provides some prognostic information and does stratify Dukes' B cancers and thus might provide useful information on which to base decisions concerning adjuvant therapies in this difficult group. Mucinous differentiation has no prognostic significance.","ISSN":"0309-0167","note":"PMID: 10672056","journalAbbreviation":"Histopathology","language":"eng","author":[{"family":"Purdie","given":"C. A."},{"family":"Piris","given":"J."}],"issued":{"date-parts":[["2000",2]]}}},{"id":"D1GMNV0O/fF5cHf7U","uris":["http://zotero.org/users/4804376/items/LMCHDQBX"],"uri":["http://zotero.org/users/4804376/items/LMCHDQBX"],"itemData":{"id":397,"type":"article-journal","title":"Histological grade predicts survival time associated with recurrence after resection for colorectal cancer","container-title":"Hepato-Gastroenterology","page":"1335-1340","volume":"56","issue":"94-95","source":"PubMed","abstract":"BACKGROUND/AIMS: This study analyzed the patients who died of recurrent colorectal cancer and determined the clinicopathologic indicators that were associated with the survival time.\nMETHODOLOGY: The study included 282 patients who died of recurrent colorectal cancer after resection. The clinicopathologic findings were compared between 162 patients who died within 3 years after resection (the short-term survival group) and 120 patients who died more than 3 years after resection (the long-term survival group). Multivariate analysis was performed to determine the independent factors correlated with the timing of death.\nRESULTS: When compared with the long-term survival group, the short-term survival group was characterized by a tumor size &gt;5 cm (51.2% in the short-term survival group vs. 39.2% in the long-term survival group), poorly differentiated tumor (13.3% vs. 0.9%), invasion through the muscularis propria (98.8% vs. 88.3%), positive lymphatic invasion (43.2% vs. 20.8%), positive vascular invasion (34.0% vs. 16.7%), positive perineural invasion (17.9% vs. 8.3%), extended lymph node metastasis and Dukes' stage C disease (80.9% vs. 60.8%). The mean survival time was significantly influenced by the histologic grade, the depth of wall invasion, the presence of lymphatic or vascular invasion, the level of lymph node metastasis and the Dukes' stage. On multivariate analysis, however, histologic grade was the only independent factor associated with the survival time.\nCONCLUSIONS: The histological grade was the only significant factor influencing the survival time after resection of colorectal cancer. The patients with poorly differentiated adenocarcinoma frequently died of recurrence within 3 years after colorectal resection.","ISSN":"0172-6390","note":"PMID: 19950787","journalAbbreviation":"Hepatogastroenterology","language":"eng","author":[{"family":"Cho","given":"Yong Beom"},{"family":"Chun","given":"Ho-Kyung"},{"family":"Yun","given":"Hae Ran"},{"family":"Kim","given":"Hee Cheol"},{"family":"Yun","given":"Seong Hyeon"},{"family":"Lee","given":"Woo Yong"}],"issued":{"date-parts":[["2009",10]]}}}],"schema":"https://github.com/citation-style-language/schema/raw/master/csl-citation.json"} </w:instrText>
      </w:r>
      <w:r w:rsidR="009069A3"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[63,64]</w:t>
      </w:r>
      <w:r w:rsidR="009069A3" w:rsidRPr="00DB7074">
        <w:rPr>
          <w:rFonts w:ascii="Book Antiqua" w:hAnsi="Book Antiqua" w:cs="Times New Roman"/>
          <w:sz w:val="24"/>
          <w:szCs w:val="24"/>
        </w:rPr>
        <w:fldChar w:fldCharType="end"/>
      </w:r>
      <w:r w:rsidR="00574046" w:rsidRPr="00DB7074">
        <w:rPr>
          <w:rFonts w:ascii="Book Antiqua" w:hAnsi="Book Antiqua" w:cs="Times New Roman"/>
          <w:sz w:val="24"/>
          <w:szCs w:val="24"/>
        </w:rPr>
        <w:t>.</w:t>
      </w:r>
    </w:p>
    <w:p w14:paraId="611C8750" w14:textId="194C0737" w:rsidR="00574046" w:rsidRPr="00DB7074" w:rsidRDefault="00507882" w:rsidP="00187D5E">
      <w:pPr>
        <w:snapToGrid w:val="0"/>
        <w:spacing w:after="0" w:line="360" w:lineRule="auto"/>
        <w:ind w:firstLineChars="100" w:firstLine="240"/>
        <w:jc w:val="both"/>
        <w:rPr>
          <w:rFonts w:ascii="Book Antiqua" w:hAnsi="Book Antiqua" w:cs="Times New Roman"/>
          <w:sz w:val="24"/>
          <w:szCs w:val="24"/>
        </w:rPr>
      </w:pPr>
      <w:r w:rsidRPr="00DB7074">
        <w:rPr>
          <w:rFonts w:ascii="Times New Roman" w:hAnsi="Times New Roman" w:cs="Times New Roman"/>
          <w:sz w:val="24"/>
          <w:szCs w:val="24"/>
        </w:rPr>
        <w:t xml:space="preserve">In addition, </w:t>
      </w:r>
      <w:r w:rsidR="00CB78BE" w:rsidRPr="00DB7074">
        <w:rPr>
          <w:rFonts w:ascii="Times New Roman" w:hAnsi="Times New Roman" w:cs="Times New Roman"/>
          <w:sz w:val="24"/>
          <w:szCs w:val="24"/>
        </w:rPr>
        <w:t xml:space="preserve">studies </w:t>
      </w:r>
      <w:r w:rsidR="0083727F" w:rsidRPr="00DB7074">
        <w:rPr>
          <w:rFonts w:ascii="Times New Roman" w:hAnsi="Times New Roman" w:cs="Times New Roman"/>
          <w:sz w:val="24"/>
          <w:szCs w:val="24"/>
        </w:rPr>
        <w:t>have shown</w:t>
      </w:r>
      <w:r w:rsidR="00CF1551" w:rsidRPr="00DB7074">
        <w:rPr>
          <w:rFonts w:ascii="Book Antiqua" w:hAnsi="Book Antiqua" w:cs="Times New Roman"/>
          <w:sz w:val="24"/>
          <w:szCs w:val="24"/>
        </w:rPr>
        <w:t xml:space="preserve"> </w:t>
      </w:r>
      <w:r w:rsidRPr="00DB7074">
        <w:rPr>
          <w:rFonts w:ascii="Book Antiqua" w:hAnsi="Book Antiqua" w:cs="Times New Roman"/>
          <w:sz w:val="24"/>
          <w:szCs w:val="24"/>
        </w:rPr>
        <w:t>tumour</w:t>
      </w:r>
      <w:r w:rsidR="00CF1551" w:rsidRPr="00DB7074">
        <w:rPr>
          <w:rFonts w:ascii="Book Antiqua" w:hAnsi="Book Antiqua" w:cs="Times New Roman"/>
          <w:sz w:val="24"/>
          <w:szCs w:val="24"/>
        </w:rPr>
        <w:t xml:space="preserve"> genomics and cellular alterations </w:t>
      </w:r>
      <w:r w:rsidR="0083727F" w:rsidRPr="00DB7074">
        <w:rPr>
          <w:rFonts w:ascii="Book Antiqua" w:hAnsi="Book Antiqua" w:cs="Times New Roman"/>
          <w:sz w:val="24"/>
          <w:szCs w:val="24"/>
        </w:rPr>
        <w:t xml:space="preserve">can </w:t>
      </w:r>
      <w:r w:rsidR="00CF1551" w:rsidRPr="00DB7074">
        <w:rPr>
          <w:rFonts w:ascii="Book Antiqua" w:hAnsi="Book Antiqua" w:cs="Times New Roman"/>
          <w:sz w:val="24"/>
          <w:szCs w:val="24"/>
        </w:rPr>
        <w:t xml:space="preserve">supplement clinicopathological factors. </w:t>
      </w:r>
      <w:r w:rsidR="00AB5DAA" w:rsidRPr="00DB7074">
        <w:rPr>
          <w:rFonts w:ascii="Book Antiqua" w:hAnsi="Book Antiqua" w:cs="Times New Roman"/>
          <w:sz w:val="24"/>
          <w:szCs w:val="24"/>
        </w:rPr>
        <w:t>A</w:t>
      </w:r>
      <w:r w:rsidR="00CF1551" w:rsidRPr="00DB7074">
        <w:rPr>
          <w:rFonts w:ascii="Book Antiqua" w:hAnsi="Book Antiqua" w:cs="Times New Roman"/>
          <w:sz w:val="24"/>
          <w:szCs w:val="24"/>
        </w:rPr>
        <w:t>neuploidy</w:t>
      </w:r>
      <w:r w:rsidR="009069A3"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{"citationID":"a1qrou0f07p","properties":{"formattedCitation":"\\super [65]\\nosupersub{}","plainCitation":"[65]","noteIndex":0},"citationItems":[{"id":"D1GMNV0O/OFqLDs4T","uris":["http://zotero.org/users/4804376/items/BUJU26XC"],"uri":["http://zotero.org/users/4804376/items/BUJU26XC"],"itemData":{"id":591,"type":"article-journal","title":"Prognostic significance of DNA ploidy and proliferation in 309 colorectal carcinomas as determined by two-color multiparametric DNA flow cytometry","container-title":"Cancer","page":"2073-2086","volume":"79","issue":"11","source":"PubMed","abstract":"BACKGROUND: Although DNA flow cytometry has been shown to be of independent value in determining the prognosis of colorectal carcinoma, a number of well-designed studies with contradictory findings have left unresolved the clinical significance of DNA ploidy and proliferation in biologically meaningful subsets of colorectal carcinoma cases.\nMETHODS: To evaluate the prognostic significance of DNA ploidy and proliferation as determined by flow cytometry in a prospective series of 309 human colorectal carcinomas with 4-6 years of follow-up, fresh tumors were mechanically dissociated into whole cell suspensions and dual fluorescence-labeled to allow gated analysis of subpopulations with phenotypic markers. Software programs with histogram-dependent algorithms employing background, aggregate, and debris correction were used in DNA and cell cycle quantitation. Data were analyzed according to recommendations of the 1992 DNA Flow Cytometry Consensus Conference.\nRESULTS: None of the clinical, site, or staging parameters, including TNM stage variables, correlated with any flow cytometric DNA ploidy or proliferation measurement. Tumors classified as DNA aneuploid or tetraploid, by any definition, did not differ in prognosis or correlate with stage or any pathologic parameter. Univariate Kaplan-Meier survival analysis showed prognostic significance of the following: Dukes staging, individual components of TNM stage (tumor depth, lymph node status, and metastasis), vascular invasion, histologic pattern of tumor infiltration, and peritumoral lymphocytic inflammation. DNA ploidy status and proliferation measurements were not predictive of survival for the overall group or within any particular stage. Only Dukes Stage D (metastasis), vascular invasion, and depth of invasion (T classification) were significant independent predictors of survival in multivariate Cox regression models.\nCONCLUSIONS: In this analysis, DNA ploidy and proliferation measurements were not predictive of survival in any stage of colorectal carcinoma. However, clinical and pathologic documentation of staging and select histopathologic observations were significant predictors of survival in univariate and multivariate analyses.","ISSN":"0008-543X","note":"PMID: 9179053","journalAbbreviation":"Cancer","language":"eng","author":[{"family":"Zarbo","given":"R. J."},{"family":"Nakhleh","given":"R. E."},{"family":"Brown","given":"R. D."},{"family":"Kubus","given":"J. J."},{"family":"Ma","given":"C. K."},{"family":"Mackowiak","given":"P."}],"issued":{"date-parts":[["1997",6,1]]}}}],"schema":"https://github.com/citation-style-language/schema/raw/master/csl-citation.json"} </w:instrText>
      </w:r>
      <w:r w:rsidR="009069A3"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[65]</w:t>
      </w:r>
      <w:r w:rsidR="009069A3" w:rsidRPr="00DB7074">
        <w:rPr>
          <w:rFonts w:ascii="Book Antiqua" w:hAnsi="Book Antiqua" w:cs="Times New Roman"/>
          <w:sz w:val="24"/>
          <w:szCs w:val="24"/>
        </w:rPr>
        <w:fldChar w:fldCharType="end"/>
      </w:r>
      <w:r w:rsidR="009069A3" w:rsidRPr="00DB7074">
        <w:rPr>
          <w:rFonts w:ascii="Book Antiqua" w:hAnsi="Book Antiqua" w:cs="Times New Roman"/>
          <w:sz w:val="24"/>
          <w:szCs w:val="24"/>
        </w:rPr>
        <w:t>,</w:t>
      </w:r>
      <w:r w:rsidR="00187D5E">
        <w:rPr>
          <w:rFonts w:ascii="Book Antiqua" w:hAnsi="Book Antiqua" w:cs="Times New Roman" w:hint="eastAsia"/>
          <w:sz w:val="24"/>
          <w:szCs w:val="24"/>
          <w:lang w:eastAsia="zh-CN"/>
        </w:rPr>
        <w:t xml:space="preserve"> </w:t>
      </w:r>
      <w:r w:rsidRPr="00DB7074">
        <w:rPr>
          <w:rFonts w:ascii="Book Antiqua" w:hAnsi="Book Antiqua" w:cs="Times New Roman"/>
          <w:sz w:val="24"/>
          <w:szCs w:val="24"/>
        </w:rPr>
        <w:t>tumour</w:t>
      </w:r>
      <w:r w:rsidR="00187D5E">
        <w:rPr>
          <w:rFonts w:ascii="Book Antiqua" w:hAnsi="Book Antiqua" w:cs="Times New Roman"/>
          <w:sz w:val="24"/>
          <w:szCs w:val="24"/>
        </w:rPr>
        <w:t>-</w:t>
      </w:r>
      <w:r w:rsidR="00CF1551" w:rsidRPr="00DB7074">
        <w:rPr>
          <w:rFonts w:ascii="Book Antiqua" w:hAnsi="Book Antiqua" w:cs="Times New Roman"/>
          <w:sz w:val="24"/>
          <w:szCs w:val="24"/>
        </w:rPr>
        <w:t>infiltrating lymphocytes</w:t>
      </w:r>
      <w:r w:rsidR="009069A3"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{"citationID":"a1id99t2u87","properties":{"formattedCitation":"\\super [66,67]\\nosupersub{}","plainCitation":"[66,67]","noteIndex":0},"citationItems":[{"id":"D1GMNV0O/HrEnTEoS","uris":["http://zotero.org/users/4804376/items/GBL75I4G"],"uri":["http://zotero.org/users/4804376/items/GBL75I4G"],"itemData":{"id":515,"type":"article-journal","title":"Focus on TILs: prognostic significance of tumor infiltrating lymphocytes in human colorectal cancer","container-title":"Cancer Immunity","page":"4","volume":"7","source":"PubMed","abstract":"Human colorectal cancer tissues are infiltrated by various immune/inflammatory cells, usually along the invasive margin. These responses tend be regarded as \"non-specific\". However, it is now clear that these cellular responses, particularly lymphocytic reactions, are independent prognostic factors for a better survival. Immunohistochemical subset analyses have generally disclosed that the number of T-lymphocytes is important. The effects of these T cells tend to be more manifest when the observation periods are longer. These data suggest that some degrees of anti-tumor immunity exist in human colorectal carcinomas. However, human tumors are generally composed of various histologic subtypes, which sometimes complicates these analyses and simple explanations may be misleading. Considered with precaution, these morphologic analyses on immune cell subtypes are important tools to understand the immune responses in human cancers.","ISSN":"1424-9634","note":"PMID: 17311363\nPMCID: PMC2935759","shortTitle":"Focus on TILs","journalAbbreviation":"Cancer Immun.","language":"eng","author":[{"family":"Ohtani","given":"Haruo"}],"issued":{"date-parts":[["2007",2,21]]}}},{"id":"D1GMNV0O/Vbr46fUU","uris":["http://zotero.org/users/4804376/items/J4YDWUE4"],"uri":["http://zotero.org/users/4804376/items/J4YDWUE4"],"itemData":{"id":377,"type":"article-journal","title":"Differential significance of tumour infiltrating lymphocytes in sporadic mismatch repair deficient versus proficient colorectal cancers: a potential role for dysregulation of the transforming growth factor-beta pathway","container-title":"European Journal of Cancer (Oxford, England: 1990)","page":"624-631","volume":"43","issue":"3","source":"PubMed","abstract":"The prognostic importance of tumour infiltrating lymphocytes (TILs) in colorectal cancer (CRC) remains controversial. The present study was undertaken to evaluate the role of TILs as prognostic indicators and to investigate the role of transforming growth factor-beta (TGF-beta) in TIL infiltration. Immunohistochemical staining for components in the TGF-beta pathway was performed on a tissue microarray of 1420 unselected CRCs with complete clinico-pathological data. Statistical analyses were carried out on samples stratified by mismatch repair (MMR) proficiency status and TIL counts. TIL infiltration was found to correlate with multiple clinico-pathological features but was a prognostic marker only in MMR proficient CRCs. In all CRCs, findings indicative of insensitivity to TGF-beta and increased TGF-beta secretion were independent predictors of high TIL counts, suggesting that perturbations in the TGF-beta signalling pathway play an important role in the recruitment and retention of TILs within CRC epithelium.","DOI":"10.1016/j.ejca.2006.11.012","ISSN":"0959-8049","note":"PMID: 17223543","shortTitle":"Differential significance of tumour infiltrating lymphocytes in sporadic mismatch repair deficient versus proficient colorectal cancers","journalAbbreviation":"Eur. J. Cancer","language":"eng","author":[{"family":"Baker","given":"Kristi"},{"family":"Zlobec","given":"Inti"},{"family":"Tornillo","given":"Luigi"},{"family":"Terracciano","given":"Luigi"},{"family":"Jass","given":"Jeremy R."},{"family":"Lugli","given":"Alessandro"}],"issued":{"date-parts":[["2007",2]]}}}],"schema":"https://github.com/citation-style-language/schema/raw/master/csl-citation.json"} </w:instrText>
      </w:r>
      <w:r w:rsidR="009069A3"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[66,67]</w:t>
      </w:r>
      <w:r w:rsidR="009069A3" w:rsidRPr="00DB7074">
        <w:rPr>
          <w:rFonts w:ascii="Book Antiqua" w:hAnsi="Book Antiqua" w:cs="Times New Roman"/>
          <w:sz w:val="24"/>
          <w:szCs w:val="24"/>
        </w:rPr>
        <w:fldChar w:fldCharType="end"/>
      </w:r>
      <w:r w:rsidR="00CF1551" w:rsidRPr="00DB7074">
        <w:rPr>
          <w:rFonts w:ascii="Book Antiqua" w:hAnsi="Book Antiqua" w:cs="Times New Roman"/>
          <w:sz w:val="24"/>
          <w:szCs w:val="24"/>
        </w:rPr>
        <w:t xml:space="preserve">, overexpression of the CEA in </w:t>
      </w:r>
      <w:r w:rsidRPr="00DB7074">
        <w:rPr>
          <w:rFonts w:ascii="Book Antiqua" w:hAnsi="Book Antiqua" w:cs="Times New Roman"/>
          <w:sz w:val="24"/>
          <w:szCs w:val="24"/>
        </w:rPr>
        <w:t>tumour</w:t>
      </w:r>
      <w:r w:rsidR="00CF1551" w:rsidRPr="00DB7074">
        <w:rPr>
          <w:rFonts w:ascii="Book Antiqua" w:hAnsi="Book Antiqua" w:cs="Times New Roman"/>
          <w:sz w:val="24"/>
          <w:szCs w:val="24"/>
        </w:rPr>
        <w:t>s</w:t>
      </w:r>
      <w:r w:rsidR="009069A3"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{"citationID":"a1mjna1jgd8","properties":{"formattedCitation":"\\super [68]\\nosupersub{}","plainCitation":"[68]","noteIndex":0},"citationItems":[{"id":"D1GMNV0O/fWgCPPYS","uris":["http://zotero.org/users/4804376/items/4WNDY5AS"],"uri":["http://zotero.org/users/4804376/items/4WNDY5AS"],"itemData":{"id":451,"type":"article-journal","title":"Expression of CEACAM6 in resectable colorectal cancer: a factor of independent prognostic significance","container-title":"Journal of Clinical Oncology: Official Journal of the American Society of Clinical Oncology","page":"3638-3646","volume":"21","issue":"19","source":"PubMed","abstract":"PURPOSE: CEACAM6, CEACAM1, and human carcinoembryonic antigen (CEA) are coexpressed in normal colorectal epithelia, but show deregulated expression in colorectal cancers (CRC). Upregulation of CEACAM6 expression in hyperplastic polyps and early adenomas represents one of the earliest observable molecular events leading to colorectal tumors. The aim of our study was to evaluate the prognostic relevance of CEACAM6, CEACAM1, and CEA tissue expression in patients with CRC.\nPATIENTS AND METHODS: Immunohistochemical analysis was carried out on tissue microarrays from 243 paraffin-embedded biopsies from a randomized controlled clinical trial (Swiss Group for Clinical Cancer Research [SAKK] 40/81) of adjuvant fluorouracil-based chemotherapy with CEACAM-specific monoclonal antibodies. The median follow-up was 8 years. Overall survival (OS) and disease-free survival (DFS) were calculated using Kaplan-Meier estimates and hazard ratios (HRs) estimated using Cox proportional hazards models.\nRESULTS: Tissue expression of CEACAM6, CEACAM1, and CEA was enhanced in 55%, 58%, and 94% of patients, respectively. Multivariate Cox analysis including sex, age, tumor site, stage, differentiation grade, treatment, and nodal status as covariates showed that CEACAM6 overexpression independently predicted poor OS (HR, 1.86; P =.0100) and DFS (HR, 2.00; P =.0028), whereas CEACAM1 or CEA were not significantly related to these outcomes. The data did not provide evidence for or against the hypothesis that the CEACAM6 effect on survival differs according to treatment.\nCONCLUSION: Expression of the cell adhesion molecule CEACAM6 in CRC is an independent prognostic factor allowing subdivision of patients into low- and high-risk groups. Whether CEACAM6 or CEA and CEACAM1 might be useful as predictive markers of chemotherapy benefit remains unclear.","DOI":"10.1200/JCO.2003.55.135","ISSN":"0732-183X","note":"PMID: 14512395","shortTitle":"Expression of CEACAM6 in resectable colorectal cancer","journalAbbreviation":"J. Clin. Oncol.","language":"eng","author":[{"family":"Jantscheff","given":"Peter"},{"family":"Terracciano","given":"Luigi"},{"family":"Lowy","given":"Adam"},{"family":"Glatz-Krieger","given":"Katharina"},{"family":"Grunert","given":"Fritz"},{"family":"Micheel","given":"Burkhard"},{"family":"Brümmer","given":"Jens"},{"family":"Laffer","given":"Urs"},{"family":"Metzger","given":"Urs"},{"family":"Herrmann","given":"Richard"},{"family":"Rochlitz","given":"Christoph"}],"issued":{"date-parts":[["2003",10,1]]}}}],"schema":"https://github.com/citation-style-language/schema/raw/master/csl-citation.json"} </w:instrText>
      </w:r>
      <w:r w:rsidR="009069A3"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[68]</w:t>
      </w:r>
      <w:r w:rsidR="009069A3" w:rsidRPr="00DB7074">
        <w:rPr>
          <w:rFonts w:ascii="Book Antiqua" w:hAnsi="Book Antiqua" w:cs="Times New Roman"/>
          <w:sz w:val="24"/>
          <w:szCs w:val="24"/>
        </w:rPr>
        <w:fldChar w:fldCharType="end"/>
      </w:r>
      <w:r w:rsidR="009069A3" w:rsidRPr="00DB7074">
        <w:rPr>
          <w:rFonts w:ascii="Book Antiqua" w:hAnsi="Book Antiqua" w:cs="Times New Roman"/>
          <w:sz w:val="24"/>
          <w:szCs w:val="24"/>
        </w:rPr>
        <w:t xml:space="preserve">, </w:t>
      </w:r>
      <w:r w:rsidR="00CF1551" w:rsidRPr="00DB7074">
        <w:rPr>
          <w:rFonts w:ascii="Book Antiqua" w:hAnsi="Book Antiqua" w:cs="Times New Roman"/>
          <w:sz w:val="24"/>
          <w:szCs w:val="24"/>
        </w:rPr>
        <w:t xml:space="preserve">allelic loss </w:t>
      </w:r>
      <w:r w:rsidR="0083727F" w:rsidRPr="00DB7074">
        <w:rPr>
          <w:rFonts w:ascii="Book Antiqua" w:hAnsi="Book Antiqua" w:cs="Times New Roman"/>
          <w:sz w:val="24"/>
          <w:szCs w:val="24"/>
        </w:rPr>
        <w:t>in</w:t>
      </w:r>
      <w:r w:rsidR="00CF1551" w:rsidRPr="00DB7074">
        <w:rPr>
          <w:rFonts w:ascii="Book Antiqua" w:hAnsi="Book Antiqua" w:cs="Times New Roman"/>
          <w:sz w:val="24"/>
          <w:szCs w:val="24"/>
        </w:rPr>
        <w:t xml:space="preserve"> DCC, TP53, APC and MCC genes</w:t>
      </w:r>
      <w:r w:rsidR="009069A3"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{"citationID":"a1i64ja1tf1","properties":{"formattedCitation":"\\super [69,70]\\nosupersub{}","plainCitation":"[69,70]","noteIndex":0},"citationItems":[{"id":"D1GMNV0O/I42KEfDs","uris":["http://zotero.org/users/4804376/items/DX653UJ8"],"uri":["http://zotero.org/users/4804376/items/DX653UJ8"],"itemData":{"id":523,"type":"article-journal","title":"A systematic review and meta-analysis of the relationship between chromosome 18q genotype, DCC status and colorectal cancer prognosis","container-title":"European Journal of Cancer (Oxford, England: 1990)","page":"2060-2070","volume":"41","issue":"14","source":"PubMed","abstract":"Results from studies investigating the relationship between colorectal cancer survival and chromosome 18q allelic imbalance (AI)/loss of DCC expression (LOE) have been inconsistent. We have reviewed and pooled published studies to estimate the prognostic significance of chromosome 18q status more precisely. Data from 27 studies were eligible. Survival data were pooled using standard meta-analysis techniques. Considerable variation between assessment method, marker choice, and threshold for assigning AI/LOE was observed. Pooling data from a 2189 cases from 17 studies showed significantly worse overall survival in patients with AI/LOE (HR = 2.00, 95%CI: 1.49-2.69), maintained both in the adjuvant setting (HR = 1.69, 95%CI:1.13-2.54), and also by method (HR = 1.67, 95%CI: 1.19-2.36, genotyping microsatellites; HR = 3.00, 95%CI: 1.98-4.56, immunohistochemistry). There was however evidence of heterogeneity and publication bias. Cancers with chromosome 18q loss appear to have a poorer prognosis. Prospective studies using consistent methodology are needed to precisely quantify its effect and role in patients with stage II-III disease.","DOI":"10.1016/j.ejca.2005.04.039","ISSN":"0959-8049","note":"PMID: 16125380","journalAbbreviation":"Eur. J. Cancer","language":"eng","author":[{"family":"Popat","given":"Sanjay"},{"family":"Houlston","given":"Richard S."}],"issued":{"date-parts":[["2005",9]]}}},{"id":"D1GMNV0O/7lrgNtrD","uris":["http://zotero.org/users/4804376/items/CMJ29GT4"],"uri":["http://zotero.org/users/4804376/items/CMJ29GT4"],"itemData":{"id":557,"type":"article-journal","title":"The DCC protein and prognosis in colorectal cancer","container-title":"The New England Journal of Medicine","page":"1727-1732","volume":"335","issue":"23","source":"PubMed","abstract":"BACKGROUND: Allelic loss of chromosome 18q predicts a poor outcome in patients with stage II colorectal cancer. Although the specific gene inactivated by this allelic loss has not been elucidated, the DCC (deleted in colorectal cancer) gene is a candidate. We investigated whether the expression of the DCC protein in tumor cells is a prognostic marker in colorectal carcinoma.\nMETHODS: The expression of DCC was evaluated immunohistochemically in 132 paraffin-embedded samples from patients with curatively resected stage II and III colorectal carcinomas. The Cox proportional-hazards model was used to adjust for covariates including age, sex, tumor site, degree of tumor differentiation, and use of adjuvant therapy.\nRESULTS: The expression of DCC was a strong positive predictive factor for survival in both stage II and stage III colorectal carcinomas. In patients with stage II disease whose tumors expressed DCC, the five-year survival rate was 94.3 percent, whereas in patients with DCC-negative tumors, the survival rate was 61.6 percent (P&lt;0.001). In patients with stage III disease, the respective survival rates were 59.3 percent and 33.2 percent (P=0.03).\nCONCLUSIONS: DCC is a prognostic marker in patients with stage II or stage III colorectal cancer. In stage II colorectal carcinomas, the absence of DCC identifies a subgroup of patients with lesions that behave like stage III cancers. These findings may thus have therapeutic implications in this group of patients.","DOI":"10.1056/NEJM199612053352303","ISSN":"0028-4793","note":"PMID: 8929264","journalAbbreviation":"N. Engl. J. Med.","language":"eng","author":[{"family":"Shibata","given":"D."},{"family":"Reale","given":"M. A."},{"family":"Lavin","given":"P."},{"family":"Silverman","given":"M."},{"family":"Fearon","given":"E. R."},{"family":"Steele","given":"G."},{"family":"Jessup","given":"J. M."},{"family":"Loda","given":"M."},{"family":"Summerhayes","given":"I. C."}],"issued":{"date-parts":[["1996",12,5]]}}}],"schema":"https://github.com/citation-style-language/schema/raw/master/csl-citation.json"} </w:instrText>
      </w:r>
      <w:r w:rsidR="009069A3"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[69,70]</w:t>
      </w:r>
      <w:r w:rsidR="009069A3" w:rsidRPr="00DB7074">
        <w:rPr>
          <w:rFonts w:ascii="Book Antiqua" w:hAnsi="Book Antiqua" w:cs="Times New Roman"/>
          <w:sz w:val="24"/>
          <w:szCs w:val="24"/>
        </w:rPr>
        <w:fldChar w:fldCharType="end"/>
      </w:r>
      <w:r w:rsidR="00CF1551" w:rsidRPr="00DB7074">
        <w:rPr>
          <w:rFonts w:ascii="Book Antiqua" w:hAnsi="Book Antiqua" w:cs="Times New Roman"/>
          <w:sz w:val="24"/>
          <w:szCs w:val="24"/>
        </w:rPr>
        <w:t>, TP53 gene mutations</w:t>
      </w:r>
      <w:r w:rsidR="009069A3"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{"citationID":"a1dlvtslp77","properties":{"formattedCitation":"\\super [71]\\nosupersub{}","plainCitation":"[71]","noteIndex":0},"citationItems":[{"id":"D1GMNV0O/xjOFzOEN","uris":["http://zotero.org/users/4804376/items/JXHNLPD5"],"uri":["http://zotero.org/users/4804376/items/JXHNLPD5"],"itemData":{"id":551,"type":"article-journal","title":"p53 and Bcl-2 as significant predictors of recurrence and survival in rectal cancer","container-title":"European Journal of Cancer (Oxford, England: 1990)","page":"348-356","volume":"36","issue":"3","source":"PubMed","abstract":"The aim of this study was to evaluate the prognostic value of p53 nuclear accumulation and Bcl-2 expression after curative surgery for rectal cancer. Immunohistochemistry was performed using monoclonal antibodies (MAb) (DO-1 for p53; anti-human Bcl-2 MAb, clone 124, for Bcl-2) on formalin-fixed, paraffin-embedded tissues of 160 rectal carcinomas (UICC stages I-III), and results were compared with data from the prospective registry of rectal cancer by univariate and multivariate logistic regression model focusing specifically on recurrence. Survival was calculated by the Kaplan-Meier method and proportional hazards model. p53 nuclear accumulation was documented in 39% (n=63) of tumours and was associated with a higher incidence of tumour progression (local or distant recurrence) and poorer disease-free survival (P&lt;0.0001). Bcl-2 expression was detected in 29% (n=47), and was associated with longer disease-free survival and lower incidence of recurrence (P&lt;0.0086). Multivariate logistic regression analysis demonstrated that gender (P=0.0136), UICC stage (P=0.0002), p53 expression (P=0.0002) and Bcl-2 expression (P=0. 0243) were independent factors predictive of recurrence. The proportional hazards model identified p53 (P=0.0009), UICC stage (P=0.0480), gender (P=0.0049), but not Bcl-2 (P=0.1503), as independently related to disease-free survival. Looking at the p53/Bcl-2 subgroups, the poorest prognosis was observed in the p53+/Bcl-2- subgroup, whereas patients whose tumours were p53-/Bcl-2+ had the best prognosis (P&lt;0.0001). Immunohistochemical assessment of both p53 and Bcl-2 status may be valuable in predicting recurrence and survival after curative surgery for rectal cancer. Therefore, they play a role as prognostic factors in rectal cancer. p53 is a stronger predictor of prognosis than Bcl-2.","ISSN":"0959-8049","note":"PMID: 10708936","journalAbbreviation":"Eur. J. Cancer","language":"eng","author":[{"family":"Schwandner","given":"O."},{"family":"Schiedeck","given":"T. H."},{"family":"Bruch","given":"H. P."},{"family":"Duchrow","given":"M."},{"family":"Windhoevel","given":"U."},{"family":"Broll","given":"R."}],"issued":{"date-parts":[["2000",2]]}}}],"schema":"https://github.com/citation-style-language/schema/raw/master/csl-citation.json"} </w:instrText>
      </w:r>
      <w:r w:rsidR="009069A3"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[71]</w:t>
      </w:r>
      <w:r w:rsidR="009069A3" w:rsidRPr="00DB7074">
        <w:rPr>
          <w:rFonts w:ascii="Book Antiqua" w:hAnsi="Book Antiqua" w:cs="Times New Roman"/>
          <w:sz w:val="24"/>
          <w:szCs w:val="24"/>
        </w:rPr>
        <w:fldChar w:fldCharType="end"/>
      </w:r>
      <w:r w:rsidR="00CF1551" w:rsidRPr="00DB7074">
        <w:rPr>
          <w:rFonts w:ascii="Book Antiqua" w:hAnsi="Book Antiqua" w:cs="Times New Roman"/>
          <w:sz w:val="24"/>
          <w:szCs w:val="24"/>
        </w:rPr>
        <w:t>, expression of CD44 protein</w:t>
      </w:r>
      <w:r w:rsidR="009069A3"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{"citationID":"a1ano87ciem","properties":{"formattedCitation":"\\super [72]\\nosupersub{}","plainCitation":"[72]","noteIndex":0},"citationItems":[{"id":"D1GMNV0O/OLteelxW","uris":["http://zotero.org/users/4804376/items/8KQTS23T"],"uri":["http://zotero.org/users/4804376/items/8KQTS23T"],"itemData":{"id":499,"type":"article-journal","title":"Colorectal cancer prognosis and expression of exon-v6-containing CD44 proteins","container-title":"Lancet (London, England)","page":"1470-1472","volume":"344","issue":"8935","source":"PubMed","abstract":"CD44 variants containing v6 confer metastatic potential to rat carcinoma cell-lines. In man, CD44v6 is increasingly expressed during colorectal tumour progression. In 68 colorectal carcinoma patients, survival analysis showed that CD44v6 expression in the tumours was associated with tumour-related death. In patients who had an apparently radical resection of their primary tumour, CD44v6 expression had prognostic value independent of Dukes' stage. CD44v6 expression may reflect propensity for metastasis after apparently curative surgery, making adjuvant therapy an option in these patients.","ISSN":"0140-6736","note":"PMID: 7526103","journalAbbreviation":"Lancet","language":"eng","author":[{"family":"Mulder","given":"J. W."},{"family":"Kruyt","given":"P. M."},{"family":"Sewnath","given":"M."},{"family":"Oosting","given":"J."},{"family":"Seldenrijk","given":"C. A."},{"family":"Weidema","given":"W. F."},{"family":"Offerhaus","given":"G. J."},{"family":"Pals","given":"S. T."}],"issued":{"date-parts":[["1994",11,26]]}}}],"schema":"https://github.com/citation-style-language/schema/raw/master/csl-citation.json"} </w:instrText>
      </w:r>
      <w:r w:rsidR="009069A3"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[72]</w:t>
      </w:r>
      <w:r w:rsidR="009069A3" w:rsidRPr="00DB7074">
        <w:rPr>
          <w:rFonts w:ascii="Book Antiqua" w:hAnsi="Book Antiqua" w:cs="Times New Roman"/>
          <w:sz w:val="24"/>
          <w:szCs w:val="24"/>
        </w:rPr>
        <w:fldChar w:fldCharType="end"/>
      </w:r>
      <w:r w:rsidR="00CF1551" w:rsidRPr="00DB7074">
        <w:rPr>
          <w:rFonts w:ascii="Book Antiqua" w:hAnsi="Book Antiqua" w:cs="Times New Roman"/>
          <w:sz w:val="24"/>
          <w:szCs w:val="24"/>
        </w:rPr>
        <w:t>, high levels of thymidylate synthetase</w:t>
      </w:r>
      <w:r w:rsidR="009069A3"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{"citationID":"a2ddek58nkl","properties":{"formattedCitation":"\\super [73]\\nosupersub{}","plainCitation":"[73]","noteIndex":0},"citationItems":[{"id":"D1GMNV0O/iYYzOY3x","uris":["http://zotero.org/users/4804376/items/WC28HUC5"],"uri":["http://zotero.org/users/4804376/items/WC28HUC5"],"itemData":{"id":469,"type":"article-journal","title":"A review on the use of molecular markers of cytotoxic therapy for colorectal cancer, what have we learned?","container-title":"European Journal of Cancer (Oxford, England: 1990)","page":"1935-1949","volume":"45","issue":"11","source":"PubMed","abstract":"BACKGROUND: Over the past decades, significant progress has been achieved in the cytotoxic treatment of colorectal cancer (CRC) by the use of fluoropyrimidines, irinotecan and oxaliplatin. However, as not all patients do respond to chemotherapy, there is a need for predictive and prognostic factors in order to optimise the treatment for individual patients. Although many potential molecular markers have been studied, none of these have been implemented in the standard of care for colorectal cancer patients.\nMETHOD: We performed a review of the data on the prognostic and/or predictive value of molecular markers for cytotoxic drugs in CRC. The following markers were included: dihydropyrimidine dehydrogenase, orotate phosphoribosyl transferase, thymidine phosphorylase, thymidylate synthase, mismatch repair deficiency, topoisomerase 1, excision cross-complementing gene and carboxylesterases.\nRESULTS: With the exception of mismatch repair deficiency, these molecular markers showed divergent and inconsistent results on their prognostic and/or predictive value. This underscores the complexity of the role of these markers.\nCONCLUSIONS: We conclude that further retrospective testing of these markers is unlikely to add clinically useful results. More definite results may only be expected when these markers are included in the design of prospective randomised studies.","DOI":"10.1016/j.ejca.2009.04.023","ISSN":"1879-0852","note":"PMID: 19473832","journalAbbreviation":"Eur. J. Cancer","language":"eng","author":[{"family":"Koopman","given":"Miriam"},{"family":"Venderbosch","given":"Sabine"},{"family":"Nagtegaal","given":"Iris D."},{"family":"Krieken","given":"Johan H.","non-dropping-particle":"van"},{"family":"Punt","given":"Cornelis J."}],"issued":{"date-parts":[["2009",7]]}}}],"schema":"https://github.com/citation-style-language/schema/raw/master/csl-citation.json"} </w:instrText>
      </w:r>
      <w:r w:rsidR="009069A3"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[73]</w:t>
      </w:r>
      <w:r w:rsidR="009069A3" w:rsidRPr="00DB7074">
        <w:rPr>
          <w:rFonts w:ascii="Book Antiqua" w:hAnsi="Book Antiqua" w:cs="Times New Roman"/>
          <w:sz w:val="24"/>
          <w:szCs w:val="24"/>
        </w:rPr>
        <w:fldChar w:fldCharType="end"/>
      </w:r>
      <w:r w:rsidR="009069A3" w:rsidRPr="00DB7074">
        <w:rPr>
          <w:rFonts w:ascii="Book Antiqua" w:hAnsi="Book Antiqua" w:cs="Times New Roman"/>
          <w:sz w:val="24"/>
          <w:szCs w:val="24"/>
        </w:rPr>
        <w:t xml:space="preserve">, </w:t>
      </w:r>
      <w:r w:rsidR="0083727F" w:rsidRPr="00DB7074">
        <w:rPr>
          <w:rFonts w:ascii="Book Antiqua" w:hAnsi="Book Antiqua" w:cs="Times New Roman"/>
          <w:sz w:val="24"/>
          <w:szCs w:val="24"/>
        </w:rPr>
        <w:t xml:space="preserve">and the </w:t>
      </w:r>
      <w:r w:rsidR="00CF1551" w:rsidRPr="00DB7074">
        <w:rPr>
          <w:rFonts w:ascii="Book Antiqua" w:hAnsi="Book Antiqua" w:cs="Times New Roman"/>
          <w:sz w:val="24"/>
          <w:szCs w:val="24"/>
        </w:rPr>
        <w:t xml:space="preserve">detection of MSI and both </w:t>
      </w:r>
      <w:r w:rsidR="00CF1551" w:rsidRPr="00DB7074">
        <w:rPr>
          <w:rFonts w:ascii="Book Antiqua" w:hAnsi="Book Antiqua" w:cs="Times New Roman"/>
          <w:i/>
          <w:sz w:val="24"/>
          <w:szCs w:val="24"/>
        </w:rPr>
        <w:t>RAS</w:t>
      </w:r>
      <w:r w:rsidR="00CF1551" w:rsidRPr="00DB7074">
        <w:rPr>
          <w:rFonts w:ascii="Book Antiqua" w:hAnsi="Book Antiqua" w:cs="Times New Roman"/>
          <w:sz w:val="24"/>
          <w:szCs w:val="24"/>
        </w:rPr>
        <w:t xml:space="preserve"> and </w:t>
      </w:r>
      <w:r w:rsidR="00CF1551" w:rsidRPr="00DB7074">
        <w:rPr>
          <w:rFonts w:ascii="Book Antiqua" w:hAnsi="Book Antiqua" w:cs="Times New Roman"/>
          <w:i/>
          <w:sz w:val="24"/>
          <w:szCs w:val="24"/>
        </w:rPr>
        <w:t>BRAF</w:t>
      </w:r>
      <w:r w:rsidR="00CF1551" w:rsidRPr="00DB7074">
        <w:rPr>
          <w:rFonts w:ascii="Book Antiqua" w:hAnsi="Book Antiqua" w:cs="Times New Roman"/>
          <w:sz w:val="24"/>
          <w:szCs w:val="24"/>
        </w:rPr>
        <w:t xml:space="preserve"> genes mutations </w:t>
      </w:r>
      <w:r w:rsidR="0083727F" w:rsidRPr="00DB7074">
        <w:rPr>
          <w:rFonts w:ascii="Book Antiqua" w:hAnsi="Book Antiqua" w:cs="Times New Roman"/>
          <w:sz w:val="24"/>
          <w:szCs w:val="24"/>
        </w:rPr>
        <w:t xml:space="preserve">all </w:t>
      </w:r>
      <w:r w:rsidR="00CF1551" w:rsidRPr="00DB7074">
        <w:rPr>
          <w:rFonts w:ascii="Book Antiqua" w:hAnsi="Book Antiqua" w:cs="Times New Roman"/>
          <w:sz w:val="24"/>
          <w:szCs w:val="24"/>
        </w:rPr>
        <w:t>play prominent role</w:t>
      </w:r>
      <w:r w:rsidR="0083727F" w:rsidRPr="00DB7074">
        <w:rPr>
          <w:rFonts w:ascii="Book Antiqua" w:hAnsi="Book Antiqua" w:cs="Times New Roman"/>
          <w:sz w:val="24"/>
          <w:szCs w:val="24"/>
        </w:rPr>
        <w:t>s</w:t>
      </w:r>
      <w:r w:rsidR="00CF1551" w:rsidRPr="00DB7074">
        <w:rPr>
          <w:rFonts w:ascii="Book Antiqua" w:hAnsi="Book Antiqua" w:cs="Times New Roman"/>
          <w:sz w:val="24"/>
          <w:szCs w:val="24"/>
        </w:rPr>
        <w:t xml:space="preserve"> in determin</w:t>
      </w:r>
      <w:r w:rsidR="0083727F" w:rsidRPr="00DB7074">
        <w:rPr>
          <w:rFonts w:ascii="Book Antiqua" w:hAnsi="Book Antiqua" w:cs="Times New Roman"/>
          <w:sz w:val="24"/>
          <w:szCs w:val="24"/>
        </w:rPr>
        <w:t>ing</w:t>
      </w:r>
      <w:r w:rsidR="00CF1551" w:rsidRPr="00DB7074">
        <w:rPr>
          <w:rFonts w:ascii="Book Antiqua" w:hAnsi="Book Antiqua" w:cs="Times New Roman"/>
          <w:sz w:val="24"/>
          <w:szCs w:val="24"/>
        </w:rPr>
        <w:t xml:space="preserve"> CRC prognosis and</w:t>
      </w:r>
      <w:r w:rsidR="0083727F" w:rsidRPr="00DB7074">
        <w:rPr>
          <w:rFonts w:ascii="Book Antiqua" w:hAnsi="Book Antiqua" w:cs="Times New Roman"/>
          <w:sz w:val="24"/>
          <w:szCs w:val="24"/>
        </w:rPr>
        <w:t xml:space="preserve"> in</w:t>
      </w:r>
      <w:r w:rsidR="00E75B67" w:rsidRPr="00DB7074">
        <w:rPr>
          <w:rFonts w:ascii="Times New Roman" w:hAnsi="Times New Roman" w:cs="Times New Roman"/>
          <w:sz w:val="24"/>
          <w:szCs w:val="24"/>
        </w:rPr>
        <w:t xml:space="preserve"> personaliz</w:t>
      </w:r>
      <w:r w:rsidR="0083727F" w:rsidRPr="00DB7074">
        <w:rPr>
          <w:rFonts w:ascii="Times New Roman" w:hAnsi="Times New Roman" w:cs="Times New Roman"/>
          <w:sz w:val="24"/>
          <w:szCs w:val="24"/>
        </w:rPr>
        <w:t>ing</w:t>
      </w:r>
      <w:r w:rsidR="00E75B67" w:rsidRPr="00DB7074">
        <w:rPr>
          <w:rFonts w:ascii="Times New Roman" w:hAnsi="Times New Roman" w:cs="Times New Roman"/>
          <w:sz w:val="24"/>
          <w:szCs w:val="24"/>
        </w:rPr>
        <w:t xml:space="preserve"> treatments</w:t>
      </w:r>
      <w:r w:rsidR="00CF1551" w:rsidRPr="00DB7074">
        <w:rPr>
          <w:rFonts w:ascii="Book Antiqua" w:hAnsi="Book Antiqua" w:cs="Times New Roman"/>
          <w:sz w:val="24"/>
          <w:szCs w:val="24"/>
        </w:rPr>
        <w:t xml:space="preserve">. </w:t>
      </w:r>
      <w:r w:rsidR="00AB5DAA" w:rsidRPr="00DB7074">
        <w:rPr>
          <w:rFonts w:ascii="Book Antiqua" w:hAnsi="Book Antiqua" w:cs="Times New Roman"/>
          <w:sz w:val="24"/>
          <w:szCs w:val="24"/>
        </w:rPr>
        <w:t>T</w:t>
      </w:r>
      <w:r w:rsidR="00CF1551" w:rsidRPr="00DB7074">
        <w:rPr>
          <w:rFonts w:ascii="Book Antiqua" w:hAnsi="Book Antiqua" w:cs="Times New Roman"/>
          <w:sz w:val="24"/>
          <w:szCs w:val="24"/>
        </w:rPr>
        <w:t>hey are independent strong prognostic factors</w:t>
      </w:r>
      <w:r w:rsidR="009069A3"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{"citationID":"7aJGvF8g","properties":{"formattedCitation":"\\super [74\\uc0\\u8211{}82]\\nosupersub{}","plainCitation":"[74–82]","noteIndex":0},"citationItems":[{"id":"D1GMNV0O/4gzW6TKq","uris":["http://zotero.org/users/4804376/items/Y3GLIE3D"],"uri":["http://zotero.org/users/4804376/items/Y3GLIE3D"],"itemData":{"id":421,"type":"article-journal","title":"Tumor microsatellite instability and clinical outcome in young patients with colorectal cancer","container-title":"The New England Journal of Medicine","page":"69-77","volume":"342","issue":"2","source":"PubMed","abstract":"BACKGROUND: Colorectal cancer can arise through two distinct mutational pathways: microsatellite instability or chromosomal instability. We tested the hypothesis that colorectal cancers arising from the microsatellite-instability pathway have distinctive clinical attributes that affect clinical outcome.\nMETHODS: We tested specimens of colorectal cancer from a population-based series of 607 patients (50 years of age or younger at diagnosis) for microsatellite instability. We compared the clinical features and survival of patients who had colorectal cancer characterized by high-frequency microsatellite instability with these characteristics in patients who had colorectal cancers with microsatellite stability.\nRESULT: We found high-frequency microsatellite instability in 17 percent of the colorectal cancers in 607 patients, and in a multivariate analysis, microsatellite instability was associated with a significant survival advantage independently of all standard prognostic factors, including tumor stage (hazard ratio, 0.42; 95 percent confidence interval, 0.27 to 0.67; P&lt; 0.001). Furthermore, regardless of the depth of tumor invasion, colorectal cancers with high-frequency microsatellite instability had a decreased likelihood of metastasizing to regional lymph nodes (odds ratio, 0.33; 95 percent confidence interval, 0.21 to 0.53; P&lt; 0.001) or distant organs (odds ratio, 0.49; 95 percent confidence interval, 0.27 to 0.89; P=0.02).\nCONCLUSION: High-frequency microsatellite instability in colorectal cancer is independently predictive of a relatively favorable outcome and, in addition, reduces the likelihood of metastases.","DOI":"10.1056/NEJM200001133420201","ISSN":"0028-4793","note":"PMID: 10631274","journalAbbreviation":"N. Engl. J. Med.","language":"eng","author":[{"family":"Gryfe","given":"R."},{"family":"Kim","given":"H."},{"family":"Hsieh","given":"E. T."},{"family":"Aronson","given":"M. D."},{"family":"Holowaty","given":"E. J."},{"family":"Bull","given":"S. B."},{"family":"Redston","given":"M."},{"family":"Gallinger","given":"S."}],"issued":{"date-parts":[["2000",1,13]]}}},{"id":"D1GMNV0O/GgT83fSr","uris":["http://zotero.org/users/4804376/items/GEBL9BHD"],"uri":["http://zotero.org/users/4804376/items/GEBL9BHD"],"itemData":{"id":411,"type":"article-journal","title":"Mutation location on the RAS oncogene affects pathologic features and survival after resection of colorectal liver metastases","container-title":"Cancer","page":"568-575","volume":"123","issue":"4","source":"PubMed","abstract":"BACKGROUND: In the past 3 decades, a better understanding of gene mutations and their role in carcinogenesis has led to improvement in our ability to treat patients with metastatic disease. The objective of the current study was to determine whether the location of a driver mutation within an affected gene impacts the biology of metastatic colorectal cancer.\nMETHODS: DNA was collected from 165 randomly selected specimens of patients who underwent margin-negative resection of colorectal liver metastases with curative intent. Sequenom analysis and Sanger sequencing were used to evaluate mutations in K/NRAS, PIK3CA, BRAF, and TP53.\nRESULTS: BRAF mutation was associated with early recurrence and death, whereas no impact of TP53 or PIK3CA mutation was identified. Although K/NRAS mutation was associated with worse survival in this cohort, this difference was no longer evident when those who had received anti-EGFR therapy were excluded. When stratifying patients according to the exon on which K/NRAS was mutated, there were dramatic differences in both survival and pathologic features. Exon 4 mutations were associated with large, solitary metastases occurring at long disease-free intervals compared with exon 3 mutations, which presented with small, numerous lesions. Patients who had exon 4 mutations recurred infrequently and had significantly longer survival compared with those who had wild type or other mutations.\nCONCLUSIONS: By using this model of curative-intent, margin-negative resection in patients at high risk of recurrence, the authors were able to establish a link between mutation location within the K/NRAS gene and the biology of metastatic colorectal cancer. Cancer 2017;123:568-575. © 2016 American Cancer Society.","DOI":"10.1002/cncr.30351","ISSN":"1097-0142","note":"PMID: 27737491\nPMCID: PMC5477980","journalAbbreviation":"Cancer","language":"eng","author":[{"family":"Frankel","given":"Timothy L."},{"family":"Vakiani","given":"Efsevia"},{"family":"Nathan","given":"Hari"},{"family":"DeMatteo","given":"Ronald P."},{"family":"Kingham","given":"T. Peter"},{"family":"Allen","given":"Peter J."},{"family":"Jarnagin","given":"William R."},{"family":"Kemeny","given":"Nancy E."},{"family":"Solit","given":"David B."},{"family":"D'Angelica","given":"Michael I."}],"issued":{"date-parts":[["2017",2,15]]}}},{"id":"D1GMNV0O/Q8LUcOXy","uris":["http://zotero.org/users/4804376/items/SQAPS6TE"],"uri":["http://zotero.org/users/4804376/items/SQAPS6TE"],"itemData":{"id":459,"type":"article-journal","title":"Incidence and prognostic impact of KRAS and BRAF mutation in patients undergoing liver surgery for colorectal metastases","container-title":"Cancer","page":"4137-4144","volume":"119","issue":"23","source":"PubMed","abstract":"BACKGROUND: Molecular biomarkers offer the potential for refining prognostic determinants in patients undergoing cancer surgery. Among patients with colorectal cancer, KRAS and BRAF are important biomarkers, but their role in patients undergoing surgical therapy for liver metastases is unknown. In this study, the incidence and prognostic significance of KRAS and BRAF mutations were determined in patients undergoing surgical therapy of colorectal liver metastases (CRLM).\nMETHODS: KRAS and BRAF analysis was performed on 202 patients undergoing surgery for CRLM between 2003 and 2008. Tumor samples were analyzed for somatic mutations using sequencing analysis (KRAS, codon12/13, BRAF, V600E). The frequency of mutations was ascertained, and their impact on outcome was determined relative to other clinicopathologic factors.\nRESULTS: KRAS gene mutations were detected in 58/202 patients (29%). In contrast, mutation in the BRAF gene was identified in very low frequency in this surgical cohort, found in only 4/202 (2%) patients. On multivariate analysis, KRAS mutation was associated with worse survival (hazard ratio [HR], 1.99; 95% confidence interval [CI], 1.21-3.26), as well as recurrence risk (HR, 1.68; 95% CI, 1.04-2.70). Although other clinicopathologic features, including tumor number, carcinoembryonic antigen, and primary stage were also associated with survival, KRAS status remained independently predictive of outcome. The low incidence of BRAF mutation limited assessment of its prognostic impact.\nCONCLUSION: Whereas KRAS mutations were found in approximately one third of patients, BFAF mutations were found in only 2% of patients undergoing surgery for CRLM. KRAS status was an independent predictor of overall and recurrence-free survival. Molecular biomarkers such as KRAS may help to refine our prognostic assessment of patients undergoing surgical therapy for CRLM.","DOI":"10.1002/cncr.28347","ISSN":"1097-0142","note":"PMID: 24104864\nPMCID: PMC3967132","journalAbbreviation":"Cancer","language":"eng","author":[{"family":"Karagkounis","given":"Georgios"},{"family":"Torbenson","given":"Michael S."},{"family":"Daniel","given":"Hubert D."},{"family":"Azad","given":"Nilofer S."},{"family":"Diaz","given":"Luis A."},{"family":"Donehower","given":"Ross C."},{"family":"Hirose","given":"Kenzo"},{"family":"Ahuja","given":"Nita"},{"family":"Pawlik","given":"Timothy M."},{"family":"Choti","given":"Michael A."}],"issued":{"date-parts":[["2013",12,1]]}}},{"id":"D1GMNV0O/eH2lNdZv","uris":["http://zotero.org/users/4804376/items/VZDFEBSG"],"uri":["http://zotero.org/users/4804376/items/VZDFEBSG"],"itemData":{"id":563,"type":"article-journal","title":"KRAS status and outcome of liver resection after neoadjuvant chemotherapy including bevacizumab","container-title":"The British Journal of Surgery","page":"1575-1582","volume":"99","issue":"11","source":"PubMed","abstract":"BACKGROUND: The prognostic value of KRAS mutation in patients with colorectal cancer liver metastases (CLM) receiving neoadjuvant chemotherapy including bevacizumab before liver resection is unclear.\nMETHODS: The KRAS and BRAF status of resected CLM was assessed in prospectively studied patients. Mutations were correlated with recurrence-free and overall survival. Only patients with remaining vital tumour cells in the resected specimen and those without disease progression were analysed; those with progressive disease did not undergo resection.\nRESULTS: A total of 60 patients were enrolled. Fifteen (25 per cent) had a KRAS mutation, but none of the 60 patients had a BRAF mutation. The radiological response to neoadjuvant chemotherapy including bevacizumab, assessed according to the Response Evaluation Criteria In Solid Tumours, was partial in 52 patients (87 per cent) and the remaining eight had stable disease. The partial response rate was similar in patients with a KRAS mutation and those with the wild-type gene (12 of 15 versus 40 of 45 patients; P = 0·400). KRAS mutation had a negative prognostic effect on recurrence-free survival (hazard ratio (HR) 2·48, 95 per cent confidence interval 1·26 to 4·89; P = 0·009) and overall survival (HR 3·51, 1·30 to 9·45; P = 0·013).\nCONCLUSION: This study provided further evidence for the prognostic importance of KRAS status in terms of recurrence-free and overall survival. Neoadjuvant chemotherapy including bevacizumab elicited a response, irrespective of KRAS status, in this selected group of patients with CLM.","DOI":"10.1002/bjs.8909","ISSN":"1365-2168","note":"PMID: 23027075","journalAbbreviation":"Br J Surg","language":"eng","author":[{"family":"Stremitzer","given":"S."},{"family":"Stift","given":"J."},{"family":"Gruenberger","given":"B."},{"family":"Tamandl","given":"D."},{"family":"Aschacher","given":"T."},{"family":"Wolf","given":"B."},{"family":"Wrba","given":"F."},{"family":"Gruenberger","given":"T."}],"issued":{"date-parts":[["2012",11]]}}},{"id":"D1GMNV0O/GJU4UWUz","uris":["http://zotero.org/users/4804376/items/SWPYFHF9"],"uri":["http://zotero.org/users/4804376/items/SWPYFHF9"],"itemData":{"id":583,"type":"article-journal","title":"RAS mutation status predicts survival and patterns of recurrence in patients undergoing hepatectomy for colorectal liver metastases","container-title":"Annals of Surgery","page":"619-626; discussion 626-627","volume":"258","issue":"4","source":"PubMed","abstract":"OBJECTIVE: To determine the impact of RAS mutation status on survival and patterns of recurrence in patients undergoing curative resection of colorectal liver metastases (CLM) after preoperative modern chemotherapy.\nBACKGROUND: RAS mutation has been reported to be associated with aggressive tumor biology. However, the effect of RAS mutation on survival and patterns of recurrence after resection of CLM remains unclear.\nMETHODS: Somatic mutations were analyzed using mass spectroscopy in 193 patients who underwent single-regimen modern chemotherapy before resection of CLM. The relationship between RAS mutation status and survival outcomes was investigated.\nRESULTS: Detected somatic mutations included RAS (KRAS/NRAS) in 34 (18%), PIK3CA in 13 (7%), and BRAF in 2 (1%) patients. At a median follow-up of 33 months, 3-year overall survival (OS) rates were 81% in patients with wild-type versus 52.2% in patients with mutant RAS (P = 0.002); 3-year recurrence-free survival (RFS) rates were 33.5% with wild-type versus 13.5% with mutant RAS (P = 0.001). Liver and lung recurrences were observed in 89 and 83 patients, respectively. Patients with RAS mutation had a lower 3-year lung RFS rate (34.6% vs 59.3%, P &lt; 0.001) but not a lower 3-year liver RFS rate (43.8% vs 50.2%, P = 0.181). In multivariate analyses, RAS mutation predicted worse OS [hazard ratio (HR) = 2.3, P = 0.002), overall RFS (HR = 1.9, P = 0.005), and lung RFS (HR = 2.0, P = 0.01), but not liver RFS (P = 0.181).\nCONCLUSIONS: RAS mutation predicts early lung recurrence and worse survival after curative resection of CLM. This information may be used to individualize systemic and local tumor-directed therapies and follow-up strategies.","DOI":"10.1097/SLA.0b013e3182a5025a","ISSN":"1528-1140","note":"PMID: 24018645\nPMCID: PMC3856211","journalAbbreviation":"Ann. Surg.","language":"eng","author":[{"family":"Vauthey","given":"Jean-Nicolas"},{"family":"Zimmitti","given":"Giuseppe"},{"family":"Kopetz","given":"Scott E."},{"family":"Shindoh","given":"Junichi"},{"family":"Chen","given":"Su S."},{"family":"Andreou","given":"Andreas"},{"family":"Curley","given":"Steven A."},{"family":"Aloia","given":"Thomas A."},{"family":"Maru","given":"Dipen M."}],"issued":{"date-parts":[["2013",10]]}}},{"id":"D1GMNV0O/H9OrvIJZ","uris":["http://zotero.org/users/4804376/items/QDNUQF9Z"],"uri":["http://zotero.org/users/4804376/items/QDNUQF9Z"],"itemData":{"id":537,"type":"article-journal","title":"KRAS and BRAF mutations in advanced colorectal cancer are associated with poor prognosis but do not preclude benefit from oxaliplatin or irinotecan: results from the MRC FOCUS trial","container-title":"Journal of Clinical Oncology: Official Journal of the American Society of Clinical Oncology","page":"5931-5937","volume":"27","issue":"35","source":"PubMed","abstract":"PURPOSE: Activating mutation of the KRAS oncogene is an established predictive biomarker for resistance to anti-epidermal growth factor receptor (anti-EGFR) therapies in advanced colorectal cancer (aCRC). We wanted to determine whether KRAS and/or BRAF mutation is also a predictive biomarker for other aCRC therapies.\nPATIENTS AND METHODS: The Medical Research Council Fluorouracil, Oxaliplatin and Irinotecan: Use and Sequencing (MRC FOCUS) trial compared treatment sequences including first-line fluorouracil (FU), FU/irinotecan or FU/oxaliplatin in aCRC. Tumor blocks were obtained from 711 consenting patients. DNA was extracted and KRAS codons 12, 13, and 61 and BRAF codon 600 were assessed by pyrosequencing. Mutation (mut) status was assessed first as a prognostic factor and then as a predictive biomarker for the benefit of adding irinotecan or oxaliplatin to FU. The association of BRAF-mut with loss of MLH1 was assessed by immunohistochemistry.\nRESULTS: Three hundred eight (43.3%) of 711 patients had KRAS-mut and 56 (7.9%) of 711 had BRAF-mut. Mutation of KRAS, BRAF, or both was present in 360 (50.6%) of 711 patients. Mutation in either KRAS or BRAF was a poor prognostic factor for overall survival (OS; hazard ratio [HR], 1.40; 95% CI, 1.20 to 1.65; P &lt; .0001) but had minimal impact on progression-free survival (PFS; HR, 1.16; 95% CI, 1.00 to 1.36; P = .05). Mutation status did not affect the impact of irinotecan or oxaliplatin on PFS or OS. BRAF-mut was weakly associated with loss of MLH1 staining (P = .012).\nCONCLUSION: KRAS/BRAF mutation is associated with poor prognosis but is not a predictive biomarker for irinotecan or oxaliplatin. There is no evidence that patients with KRAS/BRAF mutated tumors are less likely to benefit from these standard chemotherapy agents.","DOI":"10.1200/JCO.2009.22.4295","ISSN":"1527-7755","note":"PMID: 19884549","shortTitle":"KRAS and BRAF mutations in advanced colorectal cancer are associated with poor prognosis but do not preclude benefit from oxaliplatin or irinotecan","journalAbbreviation":"J. Clin. Oncol.","language":"eng","author":[{"family":"Richman","given":"Susan D."},{"family":"Seymour","given":"Matthew T."},{"family":"Chambers","given":"Philip"},{"family":"Elliott","given":"Faye"},{"family":"Daly","given":"Catherine L."},{"family":"Meade","given":"Angela M."},{"family":"Taylor","given":"Graham"},{"family":"Barrett","given":"Jennifer H."},{"family":"Quirke","given":"Philip"}],"issued":{"date-parts":[["2009",12,10]]}}},{"id":"D1GMNV0O/Rp9KsRRW","uris":["http://zotero.org/users/4804376/items/YUZ439TW"],"uri":["http://zotero.org/users/4804376/items/YUZ439TW"],"itemData":{"id":575,"type":"article-journal","title":"Impact of BRAF mutation and microsatellite instability on the pattern of metastatic spread and prognosis in metastatic colorectal cancer","container-title":"Cancer","page":"4623-4632","volume":"117","issue":"20","source":"PubMed","abstract":"BACKGROUND: It is hypothesized that BRAF mutant cancers represent a discrete subset of metastatic colorectal cancer (CRC) defined by poorer survival. This study investigates whether BRAF mutant CRC is further defined by a distinct pattern of metastatic spread and explores the impact of BRAF mutation and microsatellite instability (MSI) on prognosis in metastatic CRC.\nMETHODS: By using prospective clinical data and molecular analyses from 2 major centers (Royal Melbourne Hospital and The University of Texas MD Anderson Cancer Center), patients with known BRAF mutation status were analyzed for clinical characteristics, survival, and metastatic sites.\nRESULTS: The authors identified 524 metastatic CRC patients where BRAF mutation status was known; 57 (11%) were BRAF mutant tumors. BRAF mutant tumors were significantly associated with right-sided primary tumor, MSI, and poorer survival (median, 10.4 months vs 34.7 months, P &lt; .001). A distinct pattern of metastatic spread was observed in BRAF mutant tumors, namely higher rates of peritoneal metastases (46% vs 24%, P = .001), distant lymph node metastases (53% vs 38%, P = .008), and lower rates of lung metastases (35% vs 49%, P = .049). In additional survival analyses, MSI tumors had significantly poorer survival compared with microsatellite stable tumors (22.1 months vs 11.1 months, P = .017), but this difference was not evident in the BRAF mutant population.\nCONCLUSIONS: The pattern of metastatic spread observed in this study further defines BRAF mutant CRC as a discrete disease subset. The authors demonstrated that, unlikely early stage disease, MSI is associated with poorer survival in metastatic CRC, although this is driven by its association with BRAF mutation.","DOI":"10.1002/cncr.26086","ISSN":"1097-0142","note":"PMID: 21456008\nPMCID: PMC4257471","journalAbbreviation":"Cancer","language":"eng","author":[{"family":"Tran","given":"Ben"},{"family":"Kopetz","given":"Scott"},{"family":"Tie","given":"Jeanne"},{"family":"Gibbs","given":"Peter"},{"family":"Jiang","given":"Zhi-Qin"},{"family":"Lieu","given":"Christopher H."},{"family":"Agarwal","given":"Atin"},{"family":"Maru","given":"Dipen M."},{"family":"Sieber","given":"Oliver"},{"family":"Desai","given":"Jayesh"}],"issued":{"date-parts":[["2011",10,15]]}}},{"id":"D1GMNV0O/rAmCzFHi","uris":["http://zotero.org/users/4804376/items/JDNURJNA"],"uri":["http://zotero.org/users/4804376/items/JDNURJNA"],"itemData":{"id":581,"type":"article-journal","title":"Cetuximab plus irinotecan, fluorouracil, and leucovorin as first-line treatment for metastatic colorectal cancer: updated analysis of overall survival according to tumor KRAS and BRAF mutation status","container-title":"Journal of Clinical Oncology: Official Journal of the American Society of Clinical Oncology","page":"2011-2019","volume":"29","issue":"15","source":"PubMed","abstract":"PURPOSE: The addition of cetuximab to irinotecan, fluorouracil, and leucovorin (FOLFIRI) as first-line treatment for metastatic colorectal cancer (mCRC) was shown to reduce the risk of disease progression and increase the chance of response in patients with KRAS wild-type disease. An updated survival analysis, including additional patients analyzed for tumor mutation status, was undertaken.\nPATIENTS AND METHODS: Patients were randomly assigned to receive FOLFIRI with or without cetuximab. DNA was extracted from additional slide-mounted tumor samples previously used to assess epidermal growth factor receptor expression. Clinical outcome according to the tumor mutation status of KRAS and BRAF was assessed in the expanded patient series.\nRESULTS: The ascertainment rate of patients analyzed for tumor KRAS status was increased from 45% to 89%, with mutations detected in 37% of tumors. The addition of cetuximab to FOLFIRI in patients with KRAS wild-type disease resulted in significant improvements in overall survival (median, 23.5 v 20.0 months; hazard ratio [HR], 0.796; P = .0093), progression-free survival (median, 9.9 v 8.4 months; HR, 0.696; P = .0012), and response (rate 57.3% v 39.7%; odds ratio, 2.069; P &lt; .001) compared with FOLFIRI alone. Significant interactions between KRAS status and treatment effect were noted for all key efficacy end points. KRAS mutation status was confirmed as a powerful predictive biomarker for the efficacy of cetuximab plus FOLFIRI. BRAF tumor mutation was a strong indicator of poor prognosis.\nCONCLUSION: The addition of cetuximab to FOLFIRI as first-line therapy improves survival in patients with KRAS wild-type mCRC. BRAF tumor mutation is an indicator of poor prognosis.","DOI":"10.1200/JCO.2010.33.5091","ISSN":"1527-7755","note":"PMID: 21502544","shortTitle":"Cetuximab plus irinotecan, fluorouracil, and leucovorin as first-line treatment for metastatic colorectal cancer","journalAbbreviation":"J. Clin. Oncol.","language":"eng","author":[{"family":"Van Cutsem","given":"Eric"},{"family":"Köhne","given":"Claus-Henning"},{"family":"Láng","given":"István"},{"family":"Folprecht","given":"Gunnar"},{"family":"Nowacki","given":"Marek P."},{"family":"Cascinu","given":"Stefano"},{"family":"Shchepotin","given":"Igor"},{"family":"Maurel","given":"Joan"},{"family":"Cunningham","given":"David"},{"family":"Tejpar","given":"Sabine"},{"family":"Schlichting","given":"Michael"},{"family":"Zubel","given":"Angela"},{"family":"Celik","given":"Ilhan"},{"family":"Rougier","given":"Philippe"},{"family":"Ciardiello","given":"Fortunato"}],"issued":{"date-parts":[["2011",5,20]]}}},{"id":"D1GMNV0O/rULwcl4J","uris":["http://zotero.org/users/4804376/items/T4CW3XEL"],"uri":["http://zotero.org/users/4804376/items/T4CW3XEL"],"itemData":{"id":413,"type":"article-journal","title":"Sporadic colorectal adenocarcinomas with high-frequency microsatellite instability","container-title":"Cancer","page":"2025-2037","volume":"89","issue":"10","source":"PubMed","abstract":"BACKGROUND: Widespread microsatellite instability (MSI) occurs in nearly 15% of sporadic colorectal cancers. Large bowel carcinomas with high-frequency MSI (MSI-H) (instability at &gt; or = 30% of microsatellite loci) are believed to display distinctive pathologic features and to behave less aggressively than microsatellite-stable (MSS) tumors and carcinomas with low-frequency MSI (MSI-L) (instability at &lt; 30% of microsatellite loci). The aim of the current study was to accurately define the clinicopathologic and biologic features of MSI-H sporadic colorectal carcinomas.\nMETHODS: MSI status was evaluated in 216 large bowel adenocarcinomas using polymerase chain reaction (PCR) and 6 microsatellite markers. Tumors that showed instability with at least two microsatellite markers were classified as MSI-H, whereas the other tumors were classified as MSI-L (instability at one locus) or MSS (no instability). Expression of p53, hMLH1, and hMSH2 gene products was determined by immunohistochemistry, and DNA ploidy pattern was determined by flow cytometry. The prognostic significance of MSI status was assessed by univariate and multivariate survival analyses.\nRESULTS: The significantly different pathologic features of MSI-H carcinomas were proximal location; large size; mucinous and medullary histotype; poor differentiation; expanding pattern of growth; more frequent Crohn-like conspicuous lymphoid reaction; and low incidence of extramural vein invasion. Most MSI-H tumors were DNA diploid (33 of 40 tumors; 82.5%) and p53 negative (34 of 44 tumors; 77.3%). Conversely, DNA aneuploidy and p53 overexpression were observed in 82.3% (130 of 158 tumors; P &lt; 0.0001) and 54.1% (93 of 172 tumors; P = 0.0002) of MSI-L/MSS tumors, respectively. Loss of hMLH1 or hMSH2 expression was detected in a high fraction of MSI-H carcinomas (86. 0%). Patients with MSI-H tumors showed a better clinical outcome than patients with MSI-L/MSS tumors (P = 0.0017). Furthermore, in multivariate analysis that included conventional clinicopathologic parameters, MSI status, and p53 expression as covariates, MSI status was a significant independent prognostic indicator of disease specific survival.\nCONCLUSIONS: Assessment of MSI status is an essential step in the genetic characterization of large bowel carcinomas and identifies a subset of tumors with distinct clinical, pathologic, and biologic features.","ISSN":"0008-543X","note":"PMID: 11066042","journalAbbreviation":"Cancer","language":"eng","author":[{"family":"Gafà","given":"R."},{"family":"Maestri","given":"I."},{"family":"Matteuzzi","given":"M."},{"family":"Santini","given":"A."},{"family":"Ferretti","given":"S."},{"family":"Cavazzini","given":"L."},{"family":"Lanza","given":"G."}],"issued":{"date-parts":[["2000",11,15]]}}}],"schema":"https://github.com/citation-style-language/schema/raw/master/csl-citation.json"} </w:instrText>
      </w:r>
      <w:r w:rsidR="009069A3"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[74–82]</w:t>
      </w:r>
      <w:r w:rsidR="009069A3" w:rsidRPr="00DB7074">
        <w:rPr>
          <w:rFonts w:ascii="Book Antiqua" w:hAnsi="Book Antiqua" w:cs="Times New Roman"/>
          <w:sz w:val="24"/>
          <w:szCs w:val="24"/>
        </w:rPr>
        <w:fldChar w:fldCharType="end"/>
      </w:r>
      <w:r w:rsidR="0083727F" w:rsidRPr="00DB7074">
        <w:rPr>
          <w:rFonts w:ascii="Book Antiqua" w:hAnsi="Book Antiqua" w:cs="Times New Roman"/>
          <w:sz w:val="24"/>
          <w:szCs w:val="24"/>
        </w:rPr>
        <w:t xml:space="preserve"> and are </w:t>
      </w:r>
      <w:r w:rsidR="00CF1551" w:rsidRPr="00DB7074">
        <w:rPr>
          <w:rFonts w:ascii="Book Antiqua" w:hAnsi="Book Antiqua" w:cs="Times New Roman"/>
          <w:sz w:val="24"/>
          <w:szCs w:val="24"/>
        </w:rPr>
        <w:t xml:space="preserve">also predictive of the response to some widely used </w:t>
      </w:r>
      <w:r w:rsidR="0055482B" w:rsidRPr="00DB7074">
        <w:rPr>
          <w:rFonts w:ascii="Book Antiqua" w:hAnsi="Book Antiqua" w:cs="Times New Roman"/>
          <w:sz w:val="24"/>
          <w:szCs w:val="24"/>
        </w:rPr>
        <w:t>chemo</w:t>
      </w:r>
      <w:r w:rsidR="00CF1551" w:rsidRPr="00DB7074">
        <w:rPr>
          <w:rFonts w:ascii="Book Antiqua" w:hAnsi="Book Antiqua" w:cs="Times New Roman"/>
          <w:sz w:val="24"/>
          <w:szCs w:val="24"/>
        </w:rPr>
        <w:t>therapy regimens, including targeted therapies and immunotherapy</w:t>
      </w:r>
      <w:r w:rsidR="009069A3"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{"citationID":"UyMpiyQ1","properties":{"formattedCitation":"\\super [74,76,83\\uc0\\u8211{}94]\\nosupersub{}","plainCitation":"[74,76,83–94]","noteIndex":0},"citationItems":[{"id":"D1GMNV0O/4gzW6TKq","uris":["http://zotero.org/users/4804376/items/Y3GLIE3D"],"uri":["http://zotero.org/users/4804376/items/Y3GLIE3D"],"itemData":{"id":421,"type":"article-journal","title":"Tumor microsatellite instability and clinical outcome in young patients with colorectal cancer","container-title":"The New England Journal of Medicine","page":"69-77","volume":"342","issue":"2","source":"PubMed","abstract":"BACKGROUND: Colorectal cancer can arise through two distinct mutational pathways: microsatellite instability or chromosomal instability. We tested the hypothesis that colorectal cancers arising from the microsatellite-instability pathway have distinctive clinical attributes that affect clinical outcome.\nMETHODS: We tested specimens of colorectal cancer from a population-based series of 607 patients (50 years of age or younger at diagnosis) for microsatellite instability. We compared the clinical features and survival of patients who had colorectal cancer characterized by high-frequency microsatellite instability with these characteristics in patients who had colorectal cancers with microsatellite stability.\nRESULT: We found high-frequency microsatellite instability in 17 percent of the colorectal cancers in 607 patients, and in a multivariate analysis, microsatellite instability was associated with a significant survival advantage independently of all standard prognostic factors, including tumor stage (hazard ratio, 0.42; 95 percent confidence interval, 0.27 to 0.67; P&lt; 0.001). Furthermore, regardless of the depth of tumor invasion, colorectal cancers with high-frequency microsatellite instability had a decreased likelihood of metastasizing to regional lymph nodes (odds ratio, 0.33; 95 percent confidence interval, 0.21 to 0.53; P&lt; 0.001) or distant organs (odds ratio, 0.49; 95 percent confidence interval, 0.27 to 0.89; P=0.02).\nCONCLUSION: High-frequency microsatellite instability in colorectal cancer is independently predictive of a relatively favorable outcome and, in addition, reduces the likelihood of metastases.","DOI":"10.1056/NEJM200001133420201","ISSN":"0028-4793","note":"PMID: 10631274","journalAbbreviation":"N. Engl. J. Med.","language":"eng","author":[{"family":"Gryfe","given":"R."},{"family":"Kim","given":"H."},{"family":"Hsieh","given":"E. T."},{"family":"Aronson","given":"M. D."},{"family":"Holowaty","given":"E. J."},{"family":"Bull","given":"S. B."},{"family":"Redston","given":"M."},{"family":"Gallinger","given":"S."}],"issued":{"date-parts":[["2000",1,13]]}}},{"id":"D1GMNV0O/ZtIXvPoi","uris":["http://zotero.org/users/4804376/items/WJRDI7YU"],"uri":["http://zotero.org/users/4804376/items/WJRDI7YU"],"itemData":{"id":381,"type":"article-journal","title":"Microsatellite instability and colorectal cancer prognosis","container-title":"Clinical Cancer Research: An Official Journal of the American Association for Cancer Research","page":"8332-8340","volume":"11","issue":"23","source":"PubMed","abstract":"PURPOSE: Many studies have evaluated the role of high levels of microsatellite instability (MSI) as a prognostic marker and predictor of the response to chemotherapy in colorectal cancer (CRC); however, the results are not conclusive. The aim of this study was to analyze the prognostic significance of high levels of MSI (MSI-H) in CRC patients in relation to fluorouracil-based chemotherapy.\nEXPERIMENTAL DESIGN: In three different institutions, 1,263 patients with CRC were tested for the presence of MSI, and CRC-specific survival was then analyzed in relation to MSI status, chemotherapy, and other clinical and pathologic variables.\nRESULTS: Two hundred and fifty-six tumors were MSI-H (20.3%): these were more frequently at a less advanced stage, right-sided, poorly differentiated, with mucinous phenotype, and expansive growth pattern than microsatellite stable carcinomas. Univariate and multivariate analyses of 5-year-specific survival revealed stage, tumor location, grade of differentiation, MSI, gender, and age as significant prognostic factors. The prognostic advantage of MSI tumors was particularly evident in stages II and III in which chemotherapy did not significantly affect the survival of MSI-H patients. Finally, we analyzed survival in MSI-H patients in relation to the presence of mismatch repair gene mutations. MSI-H patients with hereditary non-polyposis colorectal cancer showed a better prognosis as compared with sporadic MSI-H; however, in multivariate analysis, this difference disappeared.\nCONCLUSIONS: The type of genomic instability could influence the prognosis of CRC, in particular in stages II and III. Fluorouracil-based chemotherapy does not seem to improve survival among MSI-H patients. The survival benefit for patients with hereditary non-polyposis colorectal cancer is mainly determined by younger age and less advanced stage as compared with sporadic MSI-H counterpart.","DOI":"10.1158/1078-0432.CCR-05-1030","ISSN":"1078-0432","note":"PMID: 16322293","journalAbbreviation":"Clin. Cancer Res.","language":"eng","author":[{"family":"Benatti","given":"Piero"},{"family":"Gafà","given":"Roberta"},{"family":"Barana","given":"Daniela"},{"family":"Marino","given":"Massimiliano"},{"family":"Scarselli","given":"Alessandra"},{"family":"Pedroni","given":"Monica"},{"family":"Maestri","given":"Iva"},{"family":"Guerzoni","given":"Laura"},{"family":"Roncucci","given":"Luca"},{"family":"Menigatti","given":"Mirco"},{"family":"Roncari","given":"Barbara"},{"family":"Maffei","given":"Stefania"},{"family":"Rossi","given":"Giuseppina"},{"family":"Ponti","given":"Giovanni"},{"family":"Santini","given":"Alessandra"},{"family":"Losi","given":"Lorena"},{"family":"Di Gregorio","given":"Carmela"},{"family":"Oliani","given":"Cristina"},{"family":"Ponz de Leon","given":"Maurizio"},{"family":"Lanza","given":"Giovanni"}],"issued":{"date-parts":[["2005",12,1]]}}},{"id":"D1GMNV0O/vRnd44Zt","uris":["http://zotero.org/users/4804376/items/Q7DCKPV5"],"uri":["http://zotero.org/users/4804376/items/Q7DCKPV5"],"itemData":{"id":383,"type":"article-journal","title":"Mismatch repair status is a predictive factor of tumour response to 5-fluorouracil and irinotecan chemotherapy in patients with advanced colorectal cancer","container-title":"Tumour Biology: The Journal of the International Society for Oncodevelopmental Biology and Medicine","page":"212-220","volume":"28","issue":"4","source":"PubMed","abstract":"BACKGROUND AND AIMS: To determine the association between DNA mismatch repair (MMR) protein expression and response to chemotherapy in patients with advanced colorectal cancer (CRC).\nMETHODS: Using immunohistochemistry, tumour expression of 2 MMR genes, hMLH1 and hMSH2, was assessed in 86 patients with advanced CRC, who were treated with either irinotecan alone or in combination with 5-flurouracil/folinic acid.\nRESULTS: Weak/negative staining in the tumours was associated with the presence of metastases at diagnosis (p = 0.026) and with the time for metastases to appear (p = 0.0001). An objective response to treatment was observed in 32/56 (57%) patients who had tumours with negative/weak MMR protein expression (p = 0.001), compared to 17% of patients with tumours with moderate/strong expression. Those who had tumours with weak/absent expression of either hMLH1 or hMSH2 who received the combination therapy were more likely to show an objective response (p = 0.0001).\nCONCLUSION: Advanced CRC patients whose tumours have deficient MMR demonstrate a shorter time to metastasis than those with normal hMLH1/hMSH2 expression. Patients with MMR-deficient tumours are also more likely to benefit from combination chemotherapy (irinotecan plus 5-flurouracil/folinic acid).","DOI":"10.1159/000107417","ISSN":"1010-4283","note":"PMID: 17717427","journalAbbreviation":"Tumour Biol.","language":"eng","author":[{"family":"Bendardaf","given":"R."},{"family":"Lamlum","given":"H."},{"family":"Ristamäki","given":"R."},{"family":"Korkeila","given":"E."},{"family":"Syrjänen","given":"K."},{"family":"Pyrhönen","given":"S."}],"issued":{"date-parts":[["2007"]]}}},{"id":"D1GMNV0O/2H67Pefd","uris":["http://zotero.org/users/4804376/items/EM8K3AMR"],"uri":["http://zotero.org/users/4804376/items/EM8K3AMR"],"itemData":{"id":393,"type":"article-journal","title":"Use of 5-fluorouracil and survival in patients with microsatellite-unstable colorectal cancer","container-title":"Gastroenterology","page":"394-401","volume":"126","issue":"2","source":"PubMed","abstract":"BACKGROUND &amp; AIMS: 5-Fluorouracil improves mortality in stage III colorectal cancer patients. In vitro studies suggest that microsatellite instability influences cell survival after 5-fluorouracil treatment. We investigated the survival influence of 5-fluorouracil in patients with microsatellite instability-high tumors.\nMETHODS: We collected data and tumors on 204 consecutive stage II and III colorectal cancer patients from registries at the University of California and Veterans Administration hospitals in San Diego, California, from 1982 to 1999. Archival DNA was extracted, and microsatellite instability was assessed by National Cancer Institute-recommended markers. Cox proportional hazard modeling was used to determine survival associations for microsatellite instability and 5-fluorouracil treatment status.\nRESULTS: We identified 36 microsatellite instability-high (17.6%) and 168 non-microsatellite instability-high tumors (82.4%). Microsatellite instability-high tumors were significantly associated with proximal colon location, presence of mucin, and surrounding lymphoid reaction. Univariate and multivariate analyses showed no survival difference between microsatellite instability-high and non-microsatellite instability-high groups (hazard ratio, 1.04; P = 0.88). Dichotomized by use of 5-fluorouracil, there was increased risk of death in patients who received no adjuvant chemotherapy (hazard ratio, 2.02; P = 0.02). However, the benefit of 5-fluorouracil was different between microsatellite instability-high and non-microsatellite instability-high groups. Patients with non-microsatellite instability-high tumors who received 5-fluorouracil had better survival compared with patients who were not treated (P &lt; 0.05). Conversely, patients with microsatellite instability-high tumors who were treated with 5-fluorouracil had no survival difference compared with patients without treatment (P = 0.52).\nCONCLUSIONS: There is improved survival in patients with non-microsatellite instability-high tumors after 5-fluorouracil-based chemotherapy that does not extend to patients with microsatellite instability-high tumors. The microsatellite instability status of a patient's colorectal cancer may indicate differences in 5-fluorouracil-based chemosensitivity; this is consistent with in vitro studies.","ISSN":"0016-5085","note":"PMID: 14762775","journalAbbreviation":"Gastroenterology","language":"eng","author":[{"family":"Carethers","given":"John M."},{"family":"Smith","given":"E. Julieta"},{"family":"Behling","given":"Cynthia A."},{"family":"Nguyen","given":"Lanchinh"},{"family":"Tajima","given":"Akihiro"},{"family":"Doctolero","given":"Ryan T."},{"family":"Cabrera","given":"Betty L."},{"family":"Goel","given":"Ajay"},{"family":"Arnold","given":"Christian A."},{"family":"Miyai","given":"Katsumi"},{"family":"Boland","given":"C. Richard"}],"issued":{"date-parts":[["2004",2]]}}},{"id":"D1GMNV0O/UFDX9LdX","uris":["http://zotero.org/users/4804376/items/4ETMJ5YY"],"uri":["http://zotero.org/users/4804376/items/4ETMJ5YY"],"itemData":{"id":457,"type":"article-journal","title":"Mismatch repair status in the prediction of benefit from adjuvant fluorouracil chemotherapy in colorectal cancer","container-title":"Gut","page":"848-855","volume":"55","issue":"6","source":"PubMed","abstract":"AIM: Some retrospective studies have shown a lack of benefit of 5-fluorouracil (5-FU) adjuvant chemotherapy in patients with mismatch repair (MMR) deficient colorectal cancer. Our aim was to assess if this molecular marker can predict benefit from 5-FU adjuvant chemotherapy. A second objective was to determine if MMR status influences short term survival.\nMETHODS: We included 754 patients with a median follow up of 728.5 days (range 1-1097). A total of 260 patients with stage II or III tumours received 5-FU adjuvant chemotherapy, according to standard clinical criteria and irrespective of their MMR status. A tumour was considered MMR deficient when either BAT-26 showed instability or there was loss of MLH1 or MSH2 protein expression.\nRESULTS: At the end of the follow up period, 206 patients died and 120 presented with tumour recurrence. Sixty six (8.8%) patients had MMR deficient tumours. There were no significant differences in overall survival (MMR competent 72.1%; MMR deficient 78.8%; p = 0.3) or disease free survival (MMR competent 61.3%; MMR deficient 72.3%; p = 0.08). In patients with stage II and III tumours, benefit from 5-FU adjuvant chemotherapy was restricted to patients with MMR competent tumours (overall survival: chemotherapy 87.1%; non-chemotherapy 73.5%; log rank, p = 0.00001). Patients with MMR deficient tumours did not benefit from adjuvant chemotherapy (overall survival: chemotherapy 89.5%; non-chemotherapy 82.4%; log rank, p = 0.4).\nCONCLUSIONS: Benefit from 5-FU adjuvant chemotherapy depends on the MMR status of tumours in patients with colorectal cancer. 5-FU adjuvant chemotherapy improves survival in patients with MMR competent tumours but this benefit from chemotherapy cannot be extended to patients with MMR deficient tumours.","DOI":"10.1136/gut.2005.073015","ISSN":"0017-5749","note":"PMID: 16299036\nPMCID: PMC1856227","journalAbbreviation":"Gut","language":"eng","author":[{"family":"Jover","given":"R."},{"family":"Zapater","given":"P."},{"family":"Castells","given":"A."},{"family":"Llor","given":"X."},{"family":"Andreu","given":"M."},{"family":"Cubiella","given":"J."},{"family":"Piñol","given":"V."},{"family":"Xicola","given":"R. M."},{"family":"Bujanda","given":"L."},{"family":"Reñé","given":"J. M."},{"family":"Clofent","given":"J."},{"family":"Bessa","given":"X."},{"family":"Morillas","given":"J. D."},{"family":"Nicolás-Pérez","given":"D."},{"family":"Payá","given":"A."},{"family":"Alenda","given":"C."},{"literal":"Gastrointestinal Oncology Group of the Spanish Gastroenterological Association"}],"issued":{"date-parts":[["2006",6]]}}},{"id":"D1GMNV0O/PuLkWFjt","uris":["http://zotero.org/users/4804376/items/V7LV2R38"],"uri":["http://zotero.org/users/4804376/items/V7LV2R38"],"itemData":{"id":535,"type":"article-journal","title":"Tumor microsatellite-instability status as a predictor of benefit from fluorouracil-based adjuvant chemotherapy for colon cancer","container-title":"The New England Journal of Medicine","page":"247-257","volume":"349","issue":"3","source":"PubMed","abstract":"BACKGROUND: Colon cancers with high-frequency microsatellite instability have clinical and pathological features that distinguish them from microsatellite-stable tumors. We investigated the usefulness of microsatellite-instability status as a predictor of the benefit of adjuvant chemotherapy with fluorouracil in stage II and stage III colon cancer.\nMETHODS: Tumor specimens were collected from patients with colon cancer who were enrolled in randomized trials of fluorouracil-based adjuvant chemotherapy. Microsatellite instability was assessed with the use of mononucleotide and dinucleotide markers.\nRESULTS: Of 570 tissue specimens, 95 (16.7 percent) exhibited high-frequency microsatellite instability. Among 287 patients who did not receive adjuvant therapy, those with tumors displaying high-frequency microsatellite instability had a better five-year rate of overall survival than patients with tumors exhibiting microsatellite stability or low-frequency instability (hazard ratio for death, 0.31 [95 percent confidence interval, 0.14 to 0.72]; P=0.004). Among patients who received adjuvant chemotherapy, high-frequency microsatellite instability was not correlated with increased overall survival (hazard ratio for death, 1.07 [95 percent confidence interval, 0.62 to 1.86]; P=0.80). The benefit of treatment differed significantly according to the microsatellite-instability status (P=0.01). Adjuvant chemotherapy improved overall survival among patients with microsatellite-stable tumors or tumors exhibiting low-frequency microsatellite instability, according to a multivariate analysis adjusted for stage and grade (hazard ratio for death, 0.72 [95 percent confidence interval, 0.53 to 0.99]; P=0.04). By contrast, there was no benefit of adjuvant chemotherapy in the group with high-frequency microsatellite instability.\nCONCLUSIONS: Fluorouracil-based adjuvant chemotherapy benefited patients with stage II or stage III colon cancer with microsatellite-stable tumors or tumors exhibiting low-frequency microsatellite instability but not those with tumors exhibiting high-frequency microsatellite instability.","DOI":"10.1056/NEJMoa022289","ISSN":"1533-4406","note":"PMID: 12867608\nPMCID: PMC3584639","journalAbbreviation":"N. Engl. J. Med.","language":"eng","author":[{"family":"Ribic","given":"Christine M."},{"family":"Sargent","given":"Daniel J."},{"family":"Moore","given":"Malcolm J."},{"family":"Thibodeau","given":"Stephen N."},{"family":"French","given":"Amy J."},{"family":"Goldberg","given":"Richard M."},{"family":"Hamilton","given":"Stanley R."},{"family":"Laurent-Puig","given":"Pierre"},{"family":"Gryfe","given":"Robert"},{"family":"Shepherd","given":"Lois E."},{"family":"Tu","given":"Dongsheng"},{"family":"Redston","given":"Mark"},{"family":"Gallinger","given":"Steven"}],"issued":{"date-parts":[["2003",7,17]]}}},{"id":"D1GMNV0O/1yu4DSKj","uris":["http://zotero.org/users/4804376/items/NJH57HJX"],"uri":["http://zotero.org/users/4804376/items/NJH57HJX"],"itemData":{"id":481,"type":"article-journal","title":"The vigorous immune microenvironment of microsatellite instable colon cancer is balanced by multiple counter-inhibitory checkpoints","container-title":"Cancer Discovery","page":"43-51","volume":"5","issue":"1","source":"PubMed","abstract":"We examined the immune microenvironment of primary colorectal cancer using immunohistochemistry, laser capture microdissection/qRT-PCR, flow cytometry, and functional analysis of tumor-infiltrating lymphocytes. A subset of colorectal cancer displayed high infiltration with activated CD8(+) cytotoxic T lymphocyte (CTL) as well as activated Th1 cells characterized by IFNγ production and the Th1 transcription factor TBET. Parallel analysis of tumor genotypes revealed that virtually all of the tumors with this active Th1/CTL microenvironment had defects in mismatch repair, as evidenced by microsatellite instability (MSI). Counterbalancing this active Th1/CTL microenvironment, MSI tumors selectively demonstrated highly upregulated expression of multiple immune checkpoints, including five-PD-1, PD-L1, CTLA-4, LAG-3, and IDO-currently being targeted clinically with inhibitors. These findings link tumor genotype with the immune microenvironment, and explain why MSI tumors are not naturally eliminated despite a hostile Th1/CTL microenvironment. They further suggest that blockade of specific checkpoints may be selectively efficacious in the MSI subset of colorectal cancer.\nSIGNIFICANCE: The findings reported in this article are the first to demonstrate a link between a genetically defined subtype of cancer and its corresponding expression of immune checkpoints in the tumor microenvironment. The mismatch repair-defective subset of colorectal cancer selectively upregulates at least five checkpoint molecules that are targets of inhibitors currently being clinically tested.","DOI":"10.1158/2159-8290.CD-14-0863","ISSN":"2159-8290","note":"PMID: 25358689\nPMCID: PMC4293246","journalAbbreviation":"Cancer Discov","language":"eng","author":[{"family":"Llosa","given":"Nicolas J."},{"family":"Cruise","given":"Michael"},{"family":"Tam","given":"Ada"},{"family":"Wicks","given":"Elizabeth C."},{"family":"Hechenbleikner","given":"Elizabeth M."},{"family":"Taube","given":"Janis M."},{"family":"Blosser","given":"Richard L."},{"family":"Fan","given":"Hongni"},{"family":"Wang","given":"Hao"},{"family":"Luber","given":"Brandon S."},{"family":"Zhang","given":"Ming"},{"family":"Papadopoulos","given":"Nickolas"},{"family":"Kinzler","given":"Kenneth W."},{"family":"Vogelstein","given":"Bert"},{"family":"Sears","given":"Cynthia L."},{"family":"Anders","given":"Robert A."},{"family":"Pardoll","given":"Drew M."},{"family":"Housseau","given":"Franck"}],"issued":{"date-parts":[["2015",1]]}}},{"id":"D1GMNV0O/X9sqX9ud","uris":["http://zotero.org/users/4804376/items/5N89NEI8"],"uri":["http://zotero.org/users/4804376/items/5N89NEI8"],"itemData":{"id":375,"type":"article-journal","title":"Wild-type KRAS is required for panitumumab efficacy in patients with metastatic colorectal cancer","container-title":"Journal of Clinical Oncology: Official Journal of the American Society of Clinical Oncology","page":"1626-1634","volume":"26","issue":"10","source":"PubMed","abstract":"PURPOSE: Panitumumab, a fully human antibody against the epidermal growth factor receptor (EGFR), has activity in a subset of patients with metastatic colorectal cancer (mCRC). Although activating mutations in KRAS, a small G-protein downstream of EGFR, correlate with poor response to anti-EGFR antibodies in mCRC, their role as a selection marker has not been established in randomized trials.\nPATIENTS AND METHODS: KRAS mutations were detected using polymerase chain reaction on DNA from tumor sections collected in a phase III mCRC trial comparing panitumumab monotherapy to best supportive care (BSC). We tested whether the effect of panitumumab on progression-free survival (PFS) differed by KRAS status.\nRESULTS: KRAS status was ascertained in 427 (92%) of 463 patients (208 panitumumab, 219 BSC). KRAS mutations were found in 43% of patients. The treatment effect on PFS in the wild-type (WT) KRAS group (hazard ratio [HR], 0.45; 95% CI: 0.34 to 0.59) was significantly greater (P &lt; .0001) than in the mutant group (HR, 0.99; 95% CI, 0.73 to 1.36). Median PFS in the WT KRAS group was 12.3 weeks for panitumumab and 7.3 weeks for BSC. Response rates to panitumumab were 17% and 0%, for the WT and mutant groups, respectively. WT KRAS patients had longer overall survival (HR, 0.67; 95% CI, 0.55 to 0.82; treatment arms combined). Consistent with longer exposure, more grade III treatment-related toxicities occurred in the WT KRAS group. No significant differences in toxicity were observed between the WT KRAS group and the overall population.\nCONCLUSION: Panitumumab monotherapy efficacy in mCRC is confined to patients with WT KRAS tumors. KRAS status should be considered in selecting patients with mCRC as candidates for panitumumab monotherapy.","DOI":"10.1200/JCO.2007.14.7116","ISSN":"1527-7755","note":"PMID: 18316791","journalAbbreviation":"J. Clin. Oncol.","language":"eng","author":[{"family":"Amado","given":"Rafael G."},{"family":"Wolf","given":"Michael"},{"family":"Peeters","given":"Marc"},{"family":"Van Cutsem","given":"Eric"},{"family":"Siena","given":"Salvatore"},{"family":"Freeman","given":"Daniel J."},{"family":"Juan","given":"Todd"},{"family":"Sikorski","given":"Robert"},{"family":"Suggs","given":"Sid"},{"family":"Radinsky","given":"Robert"},{"family":"Patterson","given":"Scott D."},{"family":"Chang","given":"David D."}],"issued":{"date-parts":[["2008",4,1]]}}},{"id":"D1GMNV0O/JYD543RU","uris":["http://zotero.org/users/4804376/items/WMKLJVZK"],"uri":["http://zotero.org/users/4804376/items/WMKLJVZK"],"itemData":{"id":407,"type":"article-journal","title":"Panitumumab-FOLFOX4 treatment and RAS mutations in colorectal cancer","container-title":"The New England Journal of Medicine","page":"1023-1034","volume":"369","issue":"11","source":"PubMed","abstract":"BACKGROUND: Patients with metastatic colorectal cancer that harbors KRAS mutations in exon 2 do not benefit from anti-epidermal growth factor receptor (EGFR) therapy. Other activating RAS mutations may also be negative predictive biomarkers for anti-EGFR therapy.\nMETHODS: In this prospective-retrospective analysis, we assessed the efficacy and safety of panitumumab plus oxaliplatin, fluorouracil, and leucovorin (FOLFOX4) as compared with FOLFOX4 alone, according to RAS (KRAS or NRAS) or BRAF mutation status. A total of 639 patients who had metastatic colorectal cancer without KRAS mutations in exon 2 had results for at least one of the following: KRAS exon 3 or 4; NRAS exon 2, 3, or 4; or BRAF exon 15. The overall rate of ascertainment of RAS status was 90%.\nRESULTS: Among 512 patients without RAS mutations, progression-free survival was 10.1 months with panitumumab-FOLFOX4 versus 7.9 months with FOLFOX4 alone (hazard ratio for progression or death with combination therapy, 0.72; 95% confidence interval [CI], 0.58 to 0.90; P=0.004). Overall survival was 26.0 months in the panitumumab-FOLFOX4 group versus 20.2 months in the FOLFOX4-alone group (hazard ratio for death, 0.78; 95% CI, 0.62 to 0.99; P=0.04). A total of 108 patients (17%) with nonmutated KRAS exon 2 had other RAS mutations. These mutations were associated with inferior progression-free survival and overall survival with panitumumab-FOLFOX4 treatment, which was consistent with the findings in patients with KRAS mutations in exon 2. BRAF mutations were a negative prognostic factor. No new safety signals were identified.\nCONCLUSIONS: Additional RAS mutations predicted a lack of response in patients who received panitumumab-FOLFOX4. In patients who had metastatic colorectal cancer without RAS mutations, improvements in overall survival were observed with panitumumab-FOLFOX4 therapy. (Funded by Amgen and others; PRIME ClinicalTrials.gov number, NCT00364013.).","DOI":"10.1056/NEJMoa1305275","ISSN":"1533-4406","note":"PMID: 24024839","journalAbbreviation":"N. Engl. J. Med.","language":"eng","author":[{"family":"Douillard","given":"Jean-Yves"},{"family":"Oliner","given":"Kelly S."},{"family":"Siena","given":"Salvatore"},{"family":"Tabernero","given":"Josep"},{"family":"Burkes","given":"Ronald"},{"family":"Barugel","given":"Mario"},{"family":"Humblet","given":"Yves"},{"family":"Bodoky","given":"Gyorgy"},{"family":"Cunningham","given":"David"},{"family":"Jassem","given":"Jacek"},{"family":"Rivera","given":"Fernando"},{"family":"Kocákova","given":"Ilona"},{"family":"Ruff","given":"Paul"},{"family":"Błasińska-Morawiec","given":"Maria"},{"family":"Šmakal","given":"Martin"},{"family":"Canon","given":"Jean Luc"},{"family":"Rother","given":"Mark"},{"family":"Williams","given":"Richard"},{"family":"Rong","given":"Alan"},{"family":"Wiezorek","given":"Jeffrey"},{"family":"Sidhu","given":"Roger"},{"family":"Patterson","given":"Scott D."}],"issued":{"date-parts":[["2013",9,12]]}}},{"id":"D1GMNV0O/Q8LUcOXy","uris":["http://zotero.org/users/4804376/items/SQAPS6TE"],"uri":["http://zotero.org/users/4804376/items/SQAPS6TE"],"itemData":{"id":459,"type":"article-journal","title":"Incidence and prognostic impact of KRAS and BRAF mutation in patients undergoing liver surgery for colorectal metastases","container-title":"Cancer","page":"4137-4144","volume":"119","issue":"23","source":"PubMed","abstract":"BACKGROUND: Molecular biomarkers offer the potential for refining prognostic determinants in patients undergoing cancer surgery. Among patients with colorectal cancer, KRAS and BRAF are important biomarkers, but their role in patients undergoing surgical therapy for liver metastases is unknown. In this study, the incidence and prognostic significance of KRAS and BRAF mutations were determined in patients undergoing surgical therapy of colorectal liver metastases (CRLM).\nMETHODS: KRAS and BRAF analysis was performed on 202 patients undergoing surgery for CRLM between 2003 and 2008. Tumor samples were analyzed for somatic mutations using sequencing analysis (KRAS, codon12/13, BRAF, V600E). The frequency of mutations was ascertained, and their impact on outcome was determined relative to other clinicopathologic factors.\nRESULTS: KRAS gene mutations were detected in 58/202 patients (29%). In contrast, mutation in the BRAF gene was identified in very low frequency in this surgical cohort, found in only 4/202 (2%) patients. On multivariate analysis, KRAS mutation was associated with worse survival (hazard ratio [HR], 1.99; 95% confidence interval [CI], 1.21-3.26), as well as recurrence risk (HR, 1.68; 95% CI, 1.04-2.70). Although other clinicopathologic features, including tumor number, carcinoembryonic antigen, and primary stage were also associated with survival, KRAS status remained independently predictive of outcome. The low incidence of BRAF mutation limited assessment of its prognostic impact.\nCONCLUSION: Whereas KRAS mutations were found in approximately one third of patients, BFAF mutations were found in only 2% of patients undergoing surgery for CRLM. KRAS status was an independent predictor of overall and recurrence-free survival. Molecular biomarkers such as KRAS may help to refine our prognostic assessment of patients undergoing surgical therapy for CRLM.","DOI":"10.1002/cncr.28347","ISSN":"1097-0142","note":"PMID: 24104864\nPMCID: PMC3967132","journalAbbreviation":"Cancer","language":"eng","author":[{"family":"Karagkounis","given":"Georgios"},{"family":"Torbenson","given":"Michael S."},{"family":"Daniel","given":"Hubert D."},{"family":"Azad","given":"Nilofer S."},{"family":"Diaz","given":"Luis A."},{"family":"Donehower","given":"Ross C."},{"family":"Hirose","given":"Kenzo"},{"family":"Ahuja","given":"Nita"},{"family":"Pawlik","given":"Timothy M."},{"family":"Choti","given":"Michael A."}],"issued":{"date-parts":[["2013",12,1]]}}},{"id":"D1GMNV0O/S64QbGKu","uris":["http://zotero.org/users/4804376/items/WYQBBTHM"],"uri":["http://zotero.org/users/4804376/items/WYQBBTHM"],"itemData":{"id":579,"type":"article-journal","title":"Cetuximab and chemotherapy as initial treatment for metastatic colorectal cancer","container-title":"The New England Journal of Medicine","page":"1408-1417","volume":"360","issue":"14","source":"PubMed","abstract":"BACKGROUND: We investigated the efficacy of cetuximab plus irinotecan, fluorouracil, and leucovorin (FOLFIRI) as first-line treatment for metastatic colorectal cancer and sought associations between the mutation status of the KRAS gene in tumors and clinical response to cetuximab.\nMETHODS: We randomly assigned patients with epidermal growth factor receptor-positive colorectal cancer with unresectable metastases to receive FOLFIRI either alone or in combination with cetuximab. The primary end point was progression-free survival.\nRESULTS: A total of 599 patients received cetuximab plus FOLFIRI, and 599 received FOLFIRI alone. The hazard ratio for progression-free survival in the cetuximab-FOLFIRI group as compared with the FOLFIRI group was 0.85 (95% confidence interval [CI], 0.72 to 0.99; P=0.048). There was no significant difference in the overall survival between the two treatment groups (hazard ratio, 0.93; 95% CI, 0.81 to 1.07; P=0.31). There was a significant interaction between treatment group and KRAS mutation status for tumor response (P=0.03) but not for progression-free survival (P=0.07) or overall survival (P=0.44). The hazard ratio for progression-free survival among patients with wild-type-KRAS tumors was 0.68 (95% CI, 0.50 to 0.94), in favor of the cetuximab-FOLFIRI group. The following grade 3 or 4 adverse events were more frequent with cetuximab plus FOLFIRI than with FOLFIRI alone: skin reactions (which were grade 3 only) (in 19.7% vs. 0.2% of patients, P&lt;0.001), infusion-related reactions (in 2.5% vs. 0%, P&lt;0.001), and diarrhea (in 15.7% vs. 10.5%, P=0.008).\nCONCLUSIONS: First-line treatment with cetuximab plus FOLFIRI, as compared with FOLFIRI alone, reduced the risk of progression of metastatic colorectal cancer. The benefit of cetuximab was limited to patients with KRAS wild-type tumors. (ClinicalTrials.gov number, NCT00154102.)","DOI":"10.1056/NEJMoa0805019","ISSN":"1533-4406","note":"PMID: 19339720","journalAbbreviation":"N. Engl. J. Med.","language":"eng","author":[{"family":"Van Cutsem","given":"Eric"},{"family":"Köhne","given":"Claus-Henning"},{"family":"Hitre","given":"Erika"},{"family":"Zaluski","given":"Jerzy"},{"family":"Chang Chien","given":"Chung-Rong"},{"family":"Makhson","given":"Anatoly"},{"family":"D'Haens","given":"Geert"},{"family":"Pintér","given":"Tamás"},{"family":"Lim","given":"Robert"},{"family":"Bodoky","given":"György"},{"family":"Roh","given":"Jae Kyung"},{"family":"Folprecht","given":"Gunnar"},{"family":"Ruff","given":"Paul"},{"family":"Stroh","given":"Christopher"},{"family":"Tejpar","given":"Sabine"},{"family":"Schlichting","given":"Michael"},{"family":"Nippgen","given":"Johannes"},{"family":"Rougier","given":"Philippe"}],"issued":{"date-parts":[["2009",4,2]]}}},{"id":"D1GMNV0O/Aoe8NixZ","uris":["http://zotero.org/users/4804376/items/MV2CPAGY"],"uri":["http://zotero.org/users/4804376/items/MV2CPAGY"],"itemData":{"id":517,"type":"article-journal","title":"Predictive role of BRAF mutations in patients with advanced colorectal cancer receiving cetuximab and panitumumab: a meta-analysis","container-title":"European Journal of Cancer (Oxford, England: 1990)","page":"587-594","volume":"51","issue":"5","source":"PubMed","abstract":"BACKGROUND: Wild type RAS (RAS-wt) status is predictive of the activities of the anti-epidermal growth factor receptor (EGFR) monoclonal antibodies cetuximab (C) and panitumumab (P). We examined the impact of C and P on progression-free survival (PFS), overall survival (OS) and overall response rate (ORR) in advanced colorectal cancer (CRC) patients who have RAS-wt/BRAF-mutant (BRAF-mut) status.\nMETHODS: Randomised trials that compared C or P plus chemotherapy (or C or P monotherapy) with standard therapy or best supportive care (BSC) were included. We used published hazard ratios (HRs) if they were available, or we derived treatment estimates from other survival data. Pooled estimates of the treatment efficacy of anti-EGFR-based therapy with C or P for the RAS-wt/BRAF-mut subgroup were calculated with the random-effect inverse variance weighted method. All statistical tests were two-sided.\nRESULTS: Nine phase III trials and one phase II trial (six first-line and two second-line trials, plus two trials involving chemorefractory patients), that included 463 RAS-wt/BRAF-mut CRC patients, were analysed. Overall, the addition of C or P treatment in the BRAF-mut subgroup did not significantly improve PFS (HR, 0.88; 95% confidence interval (CI), 0.67-1.14; p=0.33), OS (HR, 0.91; 95% CI, 0.62-1.34; p=0.63) and ORR (relative risk, 1.31; 95% CI 0.83-2.08, p=0.25) compared with control regimens.\nCONCLUSIONS: C- or P-based therapy did not increase the benefit of standard therapy or the BSC in RAS-wt/BRAF-mut CRC patients. These findings support BRAF mutation assessment before initiation of treatment with anti-EGFR monoclonal antibodies.","DOI":"10.1016/j.ejca.2015.01.054","ISSN":"1879-0852","note":"PMID: 25673558","shortTitle":"Predictive role of BRAF mutations in patients with advanced colorectal cancer receiving cetuximab and panitumumab","journalAbbreviation":"Eur. J. Cancer","language":"eng","author":[{"family":"Pietrantonio","given":"Filippo"},{"family":"Petrelli","given":"Fausto"},{"family":"Coinu","given":"Andrea"},{"family":"Di Bartolomeo","given":"Maria"},{"family":"Borgonovo","given":"Karen"},{"family":"Maggi","given":"Claudia"},{"family":"Cabiddu","given":"Mary"},{"family":"Iacovelli","given":"Roberto"},{"family":"Bossi","given":"Ilaria"},{"family":"Lonati","given":"Veronica"},{"family":"Ghilardi","given":"Mara"},{"family":"Braud","given":"Filippo","non-dropping-particle":"de"},{"family":"Barni","given":"Sandro"}],"issued":{"date-parts":[["2015",3]]}}},{"id":"D1GMNV0O/PMtiDg9K","uris":["http://zotero.org/users/4804376/items/CZM59E37"],"uri":["http://zotero.org/users/4804376/items/CZM59E37"],"itemData":{"id":539,"type":"article-journal","title":"Meta-analysis of BRAF mutation as a predictive biomarker of benefit from anti-EGFR monoclonal antibody therapy for RAS wild-type metastatic colorectal cancer","container-title":"British Journal of Cancer","page":"1888-1894","volume":"112","issue":"12","source":"PubMed","abstract":"BACKGROUND: Metastatic colorectal cancer (mCRC) that harbours a BRAF V600E mutation (BRAF MT) is associated with poorer outcomes. However, whether this mutation is predictive of treatment benefit from anti-epidermal growth factor receptor (EGFR) monoclonal antibodies (mAbs) is uncertain.\nMETHODS: We conducted a systematic review and meta-analysis of randomised controlled trials (RCTs) published up to July 2014 that evaluated the effect of BRAF MT on the treatment benefit from anti-EGFR mAbs for mCRC.\nRESULTS: Seven RCTs met the inclusion criteria for assessment of overall survival (OS), whereas eight RCTs met the inclusion criteria for assessment of progression-free survival (PFS). For RAS WT/BRAF MT tumours, the hazard ratio for OS benefit with anti-EGFR mAbs was 0.97 (95% CI; 0.67-1.41), whereas the hazard ratio was 0.81 (95% CI; 0.70-0.95) for RAS WT/BRAF WT tumours. However, the test of interaction (P=0.43) was not statistically significant, highlighting that the observed differences in the effect of anti-EGFR mAbs on OS according to the BRAF mutation status may be due to chance alone. Regarding PFS benefit with anti-EGFR mAbs, the hazard ratio was 0.86 (95% CI; 0.61-1.21) for RAS WT/BRAF MT tumours as compared with 0.62 (95% CI; 0.50-0.77) for RAS WT/BRAF WT tumours (test of interaction, P=0.07).\nINTERPRETATION: This meta-analysis demonstrates that there is insufficient evidence to definitively state that RAS WT/BRAF MT individuals attain a different treatment benefit from anti-EGFR mAbs for mCRC compared with RAS WT/BRAF WT individuals. As such, there are insufficient data to justify the exclusion of anti-EGFR mAb therapy for patients with RAS WT/BRAF MT mCRC.","DOI":"10.1038/bjc.2015.173","ISSN":"1532-1827","note":"PMID: 25989278\nPMCID: PMC4580381","journalAbbreviation":"Br. J. Cancer","language":"eng","author":[{"family":"Rowland","given":"A."},{"family":"Dias","given":"M. M."},{"family":"Wiese","given":"M. D."},{"family":"Kichenadasse","given":"G."},{"family":"McKinnon","given":"R. A."},{"family":"Karapetis","given":"C. S."},{"family":"Sorich","given":"M. J."}],"issued":{"date-parts":[["2015",6,9]]}}},{"id":"D1GMNV0O/DxWy6fjJ","uris":["http://zotero.org/users/4804376/items/WASNWBPM"],"uri":["http://zotero.org/users/4804376/items/WASNWBPM"],"itemData":{"id":577,"type":"article-journal","title":"BRAF Mutations as Predictive Biomarker for Response to Anti-EGFR Monoclonal Antibodies","container-title":"The Oncologist","page":"864-872","volume":"22","issue":"7","source":"PubMed","abstract":"Recently, the American Society of Clinical Oncology (ASCO) and the European Society for Medical Oncology (ESMO) recommended that patients with epidermal growth factor receptor (EGFR)-expressing metastatic colorectal cancer could be treated with anti-EGFR monoclonal antibodies (mAbs) cetuximab and panitumumab only in absence of Rat-Sarcoma (RAS) mutations. In addition to the previously established biomarker Kirsten rat sarcoma viral oncogene homolog (KRAS) exon 2, cumulative evidence also shows that patients whose tumors harborKRASexons 3 or 4 and neuroblastoma rat-sarcoma viral oncogene homolog (NRAS) exons 2, 3, and 4 mutations are found unlikely to benefit from anti-EGFR treatment.In line with the resistance ofRASmutated (mt) tumors, treatment response inBRAFmt tumors may also be altered given their important role in the EGFR signaling pathway. However,BRAFis not recommended as predictive biomarker yet because the evidence for the impact ofBRAFmutations on treatment outcome is considered insufficient.This article summarizes the evidence for the impact ofBRAFmutations on treatment outcome of anti-EGFR mAbs. Based on a review of literature, eight meta-analyses were included that consistently show that patients withBRAFmutations have a lack of treatment benefit of anti-EGFR mAbs. After discussing the quality and quantity of available evidence, we conclude that evidence is stronger than suggested by ESMO and ASCO. Additionally, we highlight that the quality of evidence forBRAFis even higher than for extendedRASas a biomarker. We therefore advise ESMO and ASCO to reconsiderBRAFstatus as a predictive biomarker for response.\nIMPLICATIONS FOR PRACTICE: In metastatic colorectal cancer (mCRC), therapy with anti-epidermal growth factor receptor (EGFR) monoclonal antibodies cetuximab and panitumumab is indicated in absence ofRASmutations. Cumulative evidence shows that patients withBRAFmutations, who comprise 10% of the mCRC population, do not benefit from anti-EGFR-antibody treatment. Although guidelines state that evidence forBRAFas a predictive marker is insufficient, we highlight that the quality and quantity of evidence is higher than suggested. We therefore encourage the use ofBRAFas a predictive marker in order to exclude patients from therapy for whom limited treatment benefit is expected.","DOI":"10.1634/theoncologist.2017-0031","ISSN":"1549-490X","note":"PMID: 28576857\nPMCID: PMC5507642","journalAbbreviation":"Oncologist","language":"eng","author":[{"family":"Brummelen","given":"Emilie M. J.","non-dropping-particle":"van"},{"family":"Boer","given":"Anthonius","non-dropping-particle":"de"},{"family":"Beijnen","given":"Jos H."},{"family":"Schellens","given":"Jan H. M."}],"issued":{"date-parts":[["2017",7]]}}}],"schema":"https://github.com/citation-style-language/schema/raw/master/csl-citation.json"} </w:instrText>
      </w:r>
      <w:r w:rsidR="009069A3"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[74,76,83–94]</w:t>
      </w:r>
      <w:r w:rsidR="009069A3" w:rsidRPr="00DB7074">
        <w:rPr>
          <w:rFonts w:ascii="Book Antiqua" w:hAnsi="Book Antiqua" w:cs="Times New Roman"/>
          <w:sz w:val="24"/>
          <w:szCs w:val="24"/>
        </w:rPr>
        <w:fldChar w:fldCharType="end"/>
      </w:r>
      <w:r w:rsidR="00087488" w:rsidRPr="00DB7074">
        <w:rPr>
          <w:rFonts w:ascii="Book Antiqua" w:hAnsi="Book Antiqua" w:cs="Times New Roman"/>
          <w:sz w:val="24"/>
          <w:szCs w:val="24"/>
        </w:rPr>
        <w:t>.</w:t>
      </w:r>
    </w:p>
    <w:p w14:paraId="20401300" w14:textId="7A24366A" w:rsidR="009E0870" w:rsidRPr="00DB7074" w:rsidRDefault="00BC4083" w:rsidP="00187D5E">
      <w:pPr>
        <w:snapToGrid w:val="0"/>
        <w:spacing w:after="0" w:line="360" w:lineRule="auto"/>
        <w:ind w:firstLineChars="100" w:firstLine="240"/>
        <w:jc w:val="both"/>
        <w:rPr>
          <w:rFonts w:ascii="Book Antiqua" w:hAnsi="Book Antiqua" w:cs="Times New Roman"/>
          <w:sz w:val="24"/>
          <w:szCs w:val="24"/>
        </w:rPr>
      </w:pPr>
      <w:r w:rsidRPr="00DB7074">
        <w:rPr>
          <w:rFonts w:ascii="Book Antiqua" w:hAnsi="Book Antiqua" w:cs="Times New Roman"/>
          <w:sz w:val="24"/>
          <w:szCs w:val="24"/>
        </w:rPr>
        <w:lastRenderedPageBreak/>
        <w:t>S</w:t>
      </w:r>
      <w:r w:rsidR="00114F28" w:rsidRPr="00DB7074">
        <w:rPr>
          <w:rFonts w:ascii="Book Antiqua" w:hAnsi="Book Antiqua" w:cs="Times New Roman"/>
          <w:sz w:val="24"/>
          <w:szCs w:val="24"/>
        </w:rPr>
        <w:t xml:space="preserve">erum prognostic factors </w:t>
      </w:r>
      <w:r w:rsidR="0083727F" w:rsidRPr="00DB7074">
        <w:rPr>
          <w:rFonts w:ascii="Book Antiqua" w:hAnsi="Book Antiqua" w:cs="Times New Roman"/>
          <w:sz w:val="24"/>
          <w:szCs w:val="24"/>
        </w:rPr>
        <w:t>[</w:t>
      </w:r>
      <w:r w:rsidR="00507882" w:rsidRPr="00187D5E">
        <w:rPr>
          <w:rFonts w:ascii="Book Antiqua" w:hAnsi="Book Antiqua" w:cs="Times New Roman"/>
          <w:i/>
          <w:sz w:val="24"/>
          <w:szCs w:val="24"/>
        </w:rPr>
        <w:t>e.g.</w:t>
      </w:r>
      <w:r w:rsidR="00507882" w:rsidRPr="00DB7074">
        <w:rPr>
          <w:rFonts w:ascii="Book Antiqua" w:hAnsi="Book Antiqua" w:cs="Times New Roman"/>
          <w:sz w:val="24"/>
          <w:szCs w:val="24"/>
        </w:rPr>
        <w:t xml:space="preserve">, </w:t>
      </w:r>
      <w:r w:rsidR="00114F28" w:rsidRPr="00DB7074">
        <w:rPr>
          <w:rFonts w:ascii="Book Antiqua" w:hAnsi="Book Antiqua" w:cs="Times New Roman"/>
          <w:sz w:val="24"/>
          <w:szCs w:val="24"/>
        </w:rPr>
        <w:t>C</w:t>
      </w:r>
      <w:r w:rsidR="00187D5E">
        <w:rPr>
          <w:rFonts w:ascii="Book Antiqua" w:hAnsi="Book Antiqua" w:cs="Times New Roman"/>
          <w:sz w:val="24"/>
          <w:szCs w:val="24"/>
        </w:rPr>
        <w:t>-</w:t>
      </w:r>
      <w:r w:rsidR="00114F28" w:rsidRPr="00DB7074">
        <w:rPr>
          <w:rFonts w:ascii="Book Antiqua" w:hAnsi="Book Antiqua" w:cs="Times New Roman"/>
          <w:sz w:val="24"/>
          <w:szCs w:val="24"/>
        </w:rPr>
        <w:t>reactive protein</w:t>
      </w:r>
      <w:r w:rsidR="0083727F" w:rsidRPr="00DB7074">
        <w:rPr>
          <w:rFonts w:ascii="Book Antiqua" w:hAnsi="Book Antiqua" w:cs="Times New Roman"/>
          <w:sz w:val="24"/>
          <w:szCs w:val="24"/>
        </w:rPr>
        <w:t xml:space="preserve"> (</w:t>
      </w:r>
      <w:r w:rsidR="00114F28" w:rsidRPr="00DB7074">
        <w:rPr>
          <w:rFonts w:ascii="Book Antiqua" w:hAnsi="Book Antiqua" w:cs="Times New Roman"/>
          <w:sz w:val="24"/>
          <w:szCs w:val="24"/>
        </w:rPr>
        <w:t>CRP</w:t>
      </w:r>
      <w:r w:rsidR="0083727F" w:rsidRPr="00DB7074">
        <w:rPr>
          <w:rFonts w:ascii="Book Antiqua" w:hAnsi="Book Antiqua" w:cs="Times New Roman"/>
          <w:sz w:val="24"/>
          <w:szCs w:val="24"/>
        </w:rPr>
        <w:t>)</w:t>
      </w:r>
      <w:r w:rsidR="00114F28" w:rsidRPr="00DB7074">
        <w:rPr>
          <w:rFonts w:ascii="Book Antiqua" w:hAnsi="Book Antiqua" w:cs="Times New Roman"/>
          <w:sz w:val="24"/>
          <w:szCs w:val="24"/>
        </w:rPr>
        <w:t xml:space="preserve">, </w:t>
      </w:r>
      <w:r w:rsidR="0083727F" w:rsidRPr="00DB7074">
        <w:rPr>
          <w:rFonts w:ascii="Book Antiqua" w:hAnsi="Book Antiqua" w:cs="Times New Roman"/>
          <w:sz w:val="24"/>
          <w:szCs w:val="24"/>
        </w:rPr>
        <w:t>c</w:t>
      </w:r>
      <w:r w:rsidR="00114F28" w:rsidRPr="00DB7074">
        <w:rPr>
          <w:rFonts w:ascii="Book Antiqua" w:hAnsi="Book Antiqua" w:cs="Times New Roman"/>
          <w:sz w:val="24"/>
          <w:szCs w:val="24"/>
        </w:rPr>
        <w:t xml:space="preserve">arcinoembryonic antigen </w:t>
      </w:r>
      <w:r w:rsidR="0083727F" w:rsidRPr="00DB7074">
        <w:rPr>
          <w:rFonts w:ascii="Book Antiqua" w:hAnsi="Book Antiqua" w:cs="Times New Roman"/>
          <w:sz w:val="24"/>
          <w:szCs w:val="24"/>
        </w:rPr>
        <w:t>(</w:t>
      </w:r>
      <w:r w:rsidR="00114F28" w:rsidRPr="00DB7074">
        <w:rPr>
          <w:rFonts w:ascii="Book Antiqua" w:hAnsi="Book Antiqua" w:cs="Times New Roman"/>
          <w:sz w:val="24"/>
          <w:szCs w:val="24"/>
        </w:rPr>
        <w:t>CEA</w:t>
      </w:r>
      <w:r w:rsidR="0083727F" w:rsidRPr="00DB7074">
        <w:rPr>
          <w:rFonts w:ascii="Book Antiqua" w:hAnsi="Book Antiqua" w:cs="Times New Roman"/>
          <w:sz w:val="24"/>
          <w:szCs w:val="24"/>
        </w:rPr>
        <w:t>), and</w:t>
      </w:r>
      <w:r w:rsidR="00114F28" w:rsidRPr="00DB7074">
        <w:rPr>
          <w:rFonts w:ascii="Book Antiqua" w:hAnsi="Book Antiqua" w:cs="Times New Roman"/>
          <w:sz w:val="24"/>
          <w:szCs w:val="24"/>
        </w:rPr>
        <w:t xml:space="preserve"> cfDNA</w:t>
      </w:r>
      <w:r w:rsidR="0083727F" w:rsidRPr="00DB7074">
        <w:rPr>
          <w:rFonts w:ascii="Book Antiqua" w:hAnsi="Book Antiqua" w:cs="Times New Roman"/>
          <w:sz w:val="24"/>
          <w:szCs w:val="24"/>
        </w:rPr>
        <w:t>]</w:t>
      </w:r>
      <w:r w:rsidR="00114F28" w:rsidRPr="00DB7074">
        <w:rPr>
          <w:rFonts w:ascii="Book Antiqua" w:hAnsi="Book Antiqua" w:cs="Times New Roman"/>
          <w:sz w:val="24"/>
          <w:szCs w:val="24"/>
        </w:rPr>
        <w:t xml:space="preserve"> </w:t>
      </w:r>
      <w:r w:rsidR="0083727F" w:rsidRPr="00DB7074">
        <w:rPr>
          <w:rFonts w:ascii="Book Antiqua" w:hAnsi="Book Antiqua" w:cs="Times New Roman"/>
          <w:sz w:val="24"/>
          <w:szCs w:val="24"/>
        </w:rPr>
        <w:t>can</w:t>
      </w:r>
      <w:r w:rsidR="00114F28" w:rsidRPr="00DB7074">
        <w:rPr>
          <w:rFonts w:ascii="Book Antiqua" w:hAnsi="Book Antiqua" w:cs="Times New Roman"/>
          <w:sz w:val="24"/>
          <w:szCs w:val="24"/>
        </w:rPr>
        <w:t xml:space="preserve"> </w:t>
      </w:r>
      <w:r w:rsidR="0000124A" w:rsidRPr="00DB7074">
        <w:rPr>
          <w:rFonts w:ascii="Book Antiqua" w:hAnsi="Book Antiqua" w:cs="Times New Roman"/>
          <w:sz w:val="24"/>
          <w:szCs w:val="24"/>
        </w:rPr>
        <w:t xml:space="preserve">also be very </w:t>
      </w:r>
      <w:r w:rsidR="002404A7" w:rsidRPr="00DB7074">
        <w:rPr>
          <w:rFonts w:ascii="Book Antiqua" w:hAnsi="Book Antiqua" w:cs="Times New Roman"/>
          <w:sz w:val="24"/>
          <w:szCs w:val="24"/>
        </w:rPr>
        <w:t>useful</w:t>
      </w:r>
      <w:r w:rsidR="0000124A" w:rsidRPr="00DB7074">
        <w:rPr>
          <w:rFonts w:ascii="Book Antiqua" w:hAnsi="Book Antiqua" w:cs="Times New Roman"/>
          <w:sz w:val="24"/>
          <w:szCs w:val="24"/>
        </w:rPr>
        <w:t xml:space="preserve"> tools. </w:t>
      </w:r>
      <w:r w:rsidR="00111759" w:rsidRPr="00DB7074">
        <w:rPr>
          <w:rFonts w:ascii="Book Antiqua" w:hAnsi="Book Antiqua" w:cs="Times New Roman"/>
          <w:sz w:val="24"/>
          <w:szCs w:val="24"/>
        </w:rPr>
        <w:t>B</w:t>
      </w:r>
      <w:r w:rsidR="00114F28" w:rsidRPr="00DB7074">
        <w:rPr>
          <w:rFonts w:ascii="Book Antiqua" w:hAnsi="Book Antiqua" w:cs="Times New Roman"/>
          <w:sz w:val="24"/>
          <w:szCs w:val="24"/>
        </w:rPr>
        <w:t xml:space="preserve">oth CRP and </w:t>
      </w:r>
      <w:r w:rsidR="0083727F" w:rsidRPr="00DB7074">
        <w:rPr>
          <w:rFonts w:ascii="Book Antiqua" w:hAnsi="Book Antiqua" w:cs="Times New Roman"/>
          <w:sz w:val="24"/>
          <w:szCs w:val="24"/>
        </w:rPr>
        <w:t xml:space="preserve">serum </w:t>
      </w:r>
      <w:r w:rsidR="00114F28" w:rsidRPr="00DB7074">
        <w:rPr>
          <w:rFonts w:ascii="Book Antiqua" w:hAnsi="Book Antiqua" w:cs="Times New Roman"/>
          <w:sz w:val="24"/>
          <w:szCs w:val="24"/>
        </w:rPr>
        <w:t>albumin levels</w:t>
      </w:r>
      <w:r w:rsidR="00111759" w:rsidRPr="00DB7074">
        <w:rPr>
          <w:rFonts w:ascii="Book Antiqua" w:hAnsi="Book Antiqua" w:cs="Times New Roman"/>
          <w:sz w:val="24"/>
          <w:szCs w:val="24"/>
        </w:rPr>
        <w:t xml:space="preserve"> </w:t>
      </w:r>
      <w:r w:rsidR="0083727F" w:rsidRPr="00DB7074">
        <w:rPr>
          <w:rFonts w:ascii="Book Antiqua" w:hAnsi="Book Antiqua" w:cs="Times New Roman"/>
          <w:sz w:val="24"/>
          <w:szCs w:val="24"/>
        </w:rPr>
        <w:t xml:space="preserve">are </w:t>
      </w:r>
      <w:r w:rsidR="00114F28" w:rsidRPr="00DB7074">
        <w:rPr>
          <w:rFonts w:ascii="Book Antiqua" w:hAnsi="Book Antiqua" w:cs="Times New Roman"/>
          <w:sz w:val="24"/>
          <w:szCs w:val="24"/>
        </w:rPr>
        <w:t xml:space="preserve">associated with </w:t>
      </w:r>
      <w:r w:rsidR="0083727F" w:rsidRPr="00DB7074">
        <w:rPr>
          <w:rFonts w:ascii="Book Antiqua" w:hAnsi="Book Antiqua" w:cs="Times New Roman"/>
          <w:sz w:val="24"/>
          <w:szCs w:val="24"/>
        </w:rPr>
        <w:t xml:space="preserve">a worse </w:t>
      </w:r>
      <w:r w:rsidR="00114F28" w:rsidRPr="00DB7074">
        <w:rPr>
          <w:rFonts w:ascii="Book Antiqua" w:hAnsi="Book Antiqua" w:cs="Times New Roman"/>
          <w:sz w:val="24"/>
          <w:szCs w:val="24"/>
        </w:rPr>
        <w:t xml:space="preserve">prognosis but </w:t>
      </w:r>
      <w:r w:rsidR="002404A7" w:rsidRPr="00DB7074">
        <w:rPr>
          <w:rFonts w:ascii="Book Antiqua" w:hAnsi="Book Antiqua" w:cs="Times New Roman"/>
          <w:sz w:val="24"/>
          <w:szCs w:val="24"/>
        </w:rPr>
        <w:t xml:space="preserve">are </w:t>
      </w:r>
      <w:r w:rsidR="00114F28" w:rsidRPr="00DB7074">
        <w:rPr>
          <w:rFonts w:ascii="Book Antiqua" w:hAnsi="Book Antiqua" w:cs="Times New Roman"/>
          <w:sz w:val="24"/>
          <w:szCs w:val="24"/>
        </w:rPr>
        <w:t>not routinely used as prognostic factors</w:t>
      </w:r>
      <w:r w:rsidR="0083727F" w:rsidRPr="00DB7074">
        <w:rPr>
          <w:rFonts w:ascii="Book Antiqua" w:hAnsi="Book Antiqua" w:cs="Times New Roman"/>
          <w:sz w:val="24"/>
          <w:szCs w:val="24"/>
        </w:rPr>
        <w:t xml:space="preserve"> for CRC</w:t>
      </w:r>
      <w:r w:rsidR="00C55CB1"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{"citationID":"Q4IKJhOG","properties":{"formattedCitation":"\\super [95\\uc0\\u8211{}101]\\nosupersub{}","plainCitation":"[95–101]","noteIndex":0},"citationItems":[{"id":"D1GMNV0O/uzZ3CVfu","uris":["http://zotero.org/users/4804376/items/6MBNBZLY"],"uri":["http://zotero.org/users/4804376/items/6MBNBZLY"],"itemData":{"id":493,"type":"article-journal","title":"A prospective study of tumor recurrence and the acute-phase response after apparently curative colorectal cancer surgery","container-title":"American Journal of Surgery","page":"319-322","volume":"170","issue":"4","source":"PubMed","abstract":"BACKGROUND: Approximately 70% of patients who are going to develop tumor recurrence following curative colorectal surgery do so within 24 months of surgery.\nPATIENTS AND METHODS: The relationship was prospectively examined between an ongoing acute-phase response and subsequent clinical relapse in 36 colorectal cancer patients who had undergone a curative resection. Approximately 4 months after their operation, patients were grouped according to the presence (n = 15) or absence (n = 21) of an acute-phase response (C-reactive protein &gt; 5 mg/L) and were followed-up for a minimum of 24 months.\nRESULTS: Age, tumor site, and serum carcinoembryonic antigen concentrations were similar in both groups. There was a significantly higher recurrence rate in patients with an acute-phase response (11 of 15) compared to those with no acute-phase response (2 of 21, P &lt; 0.01).\nCONCLUSIONS: These results are consistent with the presence of an acute-phase response being an important predictive factor in the early stages of tumor recurrence in patients who have had apparently curative colorectal surgery.","ISSN":"0002-9610","note":"PMID: 7573721","journalAbbreviation":"Am. J. Surg.","language":"eng","author":[{"family":"McMillan","given":"D. C."},{"family":"Wotherspoon","given":"H. A."},{"family":"Fearon","given":"K. C."},{"family":"Sturgeon","given":"C."},{"family":"Cooke","given":"T. G."},{"family":"McArdle","given":"C. S."}],"issued":{"date-parts":[["1995",10]]}}},{"id":"D1GMNV0O/wId4bt83","uris":["http://zotero.org/users/4804376/items/57LZRFX6"],"uri":["http://zotero.org/users/4804376/items/57LZRFX6"],"itemData":{"id":391,"type":"article-journal","title":"Evaluation of a cumulative prognostic score based on the systemic inflammatory response in patients undergoing potentially curative surgery for colorectal cancer","container-title":"British Journal of Cancer","page":"1707-1709","volume":"90","issue":"9","source":"PubMed","abstract":"The value of combining Dukes' stage and C-reactive protein to form a cumulative prognostic score was assessed in 147 patients undergoing potentially curative resection for colorectal cancer. The cancer-specific survival rates at 3 years for patients with a cumulative prognostic score of 0, 1 and 2 were 100, 77 and 40%, respectively (HR 4.76, 2.78-8.15, P&lt;0.001).","DOI":"10.1038/sj.bjc.6601757","ISSN":"0007-0920","note":"PMID: 15150596\nPMCID: PMC2409754","journalAbbreviation":"Br. J. Cancer","language":"eng","author":[{"family":"Canna","given":"K."},{"family":"McMillan","given":"D. C."},{"family":"McKee","given":"R. F."},{"family":"McNicol","given":"A.-M."},{"family":"Horgan","given":"P. G."},{"family":"McArdle","given":"C. S."}],"issued":{"date-parts":[["2004",5,4]]}}},{"id":"D1GMNV0O/WgXhAS0t","uris":["http://zotero.org/users/4804376/items/JKHMCRDS"],"uri":["http://zotero.org/users/4804376/items/JKHMCRDS"],"itemData":{"id":403,"type":"article-journal","title":"The presence of a systemic inflammatory response predicts poorer survival in patients receiving adjuvant 5-FU chemotherapy following potentially curative resection for colorectal cancer","container-title":"British Journal of Cancer","page":"1833-1836","volume":"94","issue":"12","source":"PubMed","abstract":"There is increasing evidence that the presence of a systemic inflammatory response plays an important role in survival following curative resection for colorectal cancer. The present study evaluated the relationship between C-reactive protein concentrations and survival in a cohort of patients receiving adjuvant 5-fluorouracil (5-FU) chemotherapy following potentially curative resection for colorectal cancer. In all, 222 patients undergoing potentially curative resection for colorectal cancer were studied. Of these, 50 patients received adjuvant 5-FU-based chemotherapy. Circulating concentrations of C-reactive protein were measured prior to surgery. The minimum follow-up was 15 months; the median follow-up of the survivors was 38 months. During this period 61 patients died, 32 patients of their cancer and 29 of intercurrent disease. In those patients who did not receive adjuvant chemotherapy, age (P &lt; 0.001), Dukes stage (P &lt; 0.05) and an elevated C-reactive protein (P &lt; 0.01) were significantly associated with survival. In those patients who did receive adjuvant chemotherapy, an elevated C-reactive protein concentration (P &lt; 0.01) was significantly associated with survival. The presence of a systemic inflammatory response is an independent predictor of poor outcome in patients receiving adjuvant 5-FU-based chemotherapy following potentially curative resection for colorectal cancer.","DOI":"10.1038/sj.bjc.6603185","ISSN":"0007-0920","note":"PMID: 16721360\nPMCID: PMC2361334","journalAbbreviation":"Br. J. Cancer","language":"eng","author":[{"family":"Crozier","given":"J. E. M."},{"family":"McKee","given":"R. F."},{"family":"McArdle","given":"C. S."},{"family":"Angerson","given":"W. J."},{"family":"Anderson","given":"J. H."},{"family":"Horgan","given":"P. G."},{"family":"McMillan","given":"D. C."}],"issued":{"date-parts":[["2006",6,19]]}}},{"id":"D1GMNV0O/LVCDtqbs","uris":["http://zotero.org/users/4804376/items/RFU3V7FK"],"uri":["http://zotero.org/users/4804376/items/RFU3V7FK"],"itemData":{"id":373,"type":"article-journal","title":"The relationship between hypoalbuminaemia, tumour volume and the systemic inflammatory response in patients with colorectal liver metastases","container-title":"British Journal of Cancer","page":"205-207","volume":"91","issue":"2","source":"PubMed","abstract":"The relationship between hypoalbuminaemia, tumour volume and C-reactive protein was examined in patients with colorectal liver metastases (n=57). On multiple regression analysis, albumin concentrations were independently associated with C-reactive protein (r=0.56, P&lt;0.001) but not percentage hepatic replacement (P=0.34). These results show that hypoalbuminaemia is associated with the presence of a systemic inflammatory response rather than tumour volume in patients with colorectal liver metastases.","DOI":"10.1038/sj.bjc.6601886","ISSN":"0007-0920","note":"PMID: 15213726\nPMCID: PMC2409827","journalAbbreviation":"Br. J. Cancer","language":"eng","author":[{"family":"Al-Shaiba","given":"R."},{"family":"McMillan","given":"D. C."},{"family":"Angerson","given":"W. J."},{"family":"Leen","given":"E."},{"family":"McArdle","given":"C. S."},{"family":"Horgan","given":"P."}],"issued":{"date-parts":[["2004",7,19]]}}},{"id":"D1GMNV0O/SvjBvzdX","uris":["http://zotero.org/users/4804376/items/5P64BLBD"],"uri":["http://zotero.org/users/4804376/items/5P64BLBD"],"itemData":{"id":491,"type":"article-journal","title":"Albumin concentrations are primarily determined by the body cell mass and the systemic inflammatory response in cancer patients with weight loss","container-title":"Nutrition and Cancer","page":"210-213","volume":"39","issue":"2","source":"PubMed","abstract":"The association between hypoalbuminemia and poor prognosis in patients with cancer is well recognized. However, the factors that contribute to the fall in albumin concentrations are not well understood. In the present study, we examined the relationship between circulating albumin concentrations, weight loss, the body cell mass (measured using total body potassium), and the presence of an inflammatory response (measured using C-reactive protein) in male patients (n = 40) with advanced lung or gastrointestinal cancer. Albumin concentrations were significantly correlated with the percent ideal body weight (r = 0.390, p &lt; 0.05), extent of reported weight loss (r = -0.492, p &lt; 0.01), percent predicted total body potassium (adjusted for age, height, and weight, r = 0.686, p &lt; 0.001), and log10 C-reactive protein concentrations (r = -0.545, p &lt; 0.001). On multiple regression analysis, the percent predicted total body potassium and log10 C-reactive protein concentrations accounted for 63% of the variation in albumin concentrations (r2 = 0.626, p &lt; 0.001). The interrelationship between albumin, body cell mass, and the inflammatory response is consistent with the concept that the presence of an ongoing inflammatory response contributes to the progressive loss of these vital protein components of the body and the subsequent death of patients with advanced cancer.","DOI":"10.1207/S15327914nc392_8","ISSN":"0163-5581","note":"PMID: 11759282","journalAbbreviation":"Nutr Cancer","language":"eng","author":[{"family":"McMillan","given":"D. C."},{"family":"Watson","given":"W. S."},{"family":"O'Gorman","given":"P."},{"family":"Preston","given":"T."},{"family":"Scott","given":"H. R."},{"family":"McArdle","given":"C. S."}],"issued":{"date-parts":[["2001"]]}}},{"id":"D1GMNV0O/YT8VDBxi","uris":["http://zotero.org/users/4804376/items/863PHFU7"],"uri":["http://zotero.org/users/4804376/items/863PHFU7"],"itemData":{"id":395,"type":"article-journal","title":"Are pretreatment serum albumin and cholesterol levels prognostic tools in patients with colorectal carcinoma?","container-title":"Medical Science Monitor: International Medical Journal of Experimental and Clinical Research","page":"CR240-247","volume":"12","issue":"6","source":"PubMed","abstract":"BACKGROUND: The purpose of this study was to determine if pretreatment serum albumin and cholesterol levels are prognostic factors in patients with colorectal carcinomas.\nMATERIAL/METHODS: Ninety-nine patients with colorectal carcinoma were included in this study. Retrospective data analysis included the clinicopathological parameters of age and gender; emergent surgical intervention; stage at presentation; tumor location, size, and differentiation; lymph node metastases; lymphatic, venous and perineural invasion; preoperative serum albumin, cholesterol, hemoglobin, and CEA levels; the presence of preoperative and postoperative metastases; and tumor recurrence.\nRESULTS: Low levels of serum albumin, advanced TNM stage, presence of venous invasion, and high CEA levels were independently correlated with prognosis in multivariate analysis. Advanced stage and low levels of serum cholesterol were found to be a statistically significant parameter for disease free survival. Mean serum albumin levels were found to be decreased in patients with advanced stage, which correlated with increased tumor burden. Although not statistically significant for cholesterol levels, the patients with low serum albumin and low cholesterol levels had shorter overall survival than patients with normal serum albumin and normal cholesterol levels.\nCONCLUSIONS: These results suggest that a preoperative low level of serum albumin can be an indicator for the malignant potential of the tumor and represents an unfavorable prognosis for patients with colorectal carcinoma.","ISSN":"1234-1010","note":"PMID: 16733481","journalAbbreviation":"Med. Sci. Monit.","language":"eng","author":[{"family":"Cengiz","given":"Omer"},{"family":"Kocer","given":"Belma"},{"family":"Sürmeli","given":"Süleyman"},{"family":"Santicky","given":"Mary-Jo"},{"family":"Soran","given":"Atilla"}],"issued":{"date-parts":[["2006",6]]}}},{"id":"D1GMNV0O/UqY1Yxxj","uris":["http://zotero.org/users/4804376/items/DS5DP6CU"],"uri":["http://zotero.org/users/4804376/items/DS5DP6CU"],"itemData":{"id":670,"type":"article-journal","title":"Systemic inflammatory response predicts survival following curative resection of colorectal cancer","container-title":"The British Journal of Surgery","page":"215-219","volume":"90","issue":"2","source":"PubMed","abstract":"BACKGROUND: Some studies have shown that the presence of a systemic inflammatory response, as evidenced by raised circulating concentrations of C-reactive protein (CRP), predicted recurrence and overall survival in patients with colorectal cancer. The aim of this study was to examine the relationship between the inflammatory response and overall and cancer-specific survival in patients undergoing potentially curative resection for colorectal cancer.\nMETHODS: A total of 174 patients considered to have undergone curative resection were studied. Circulating CRP concentrations were measured before and/or after operation.\nRESULTS: The majority of patients were aged 65 years or more, had colonic tumours and Dukes' stage B lesions. During follow-up, 47 patients (27 per cent) developed recurrence and 59 (34 per cent) died. On univariate analysis, age (P &lt; 0.01), Dukes' stage (P &lt; 0.001), and CRP levels before (P &lt; 0.01) and after (P &lt; 0.01) operation were significantly associated with overall and cancer-specific survival. On multivariate analysis of patients in whom preoperative CRP concentration was measured, age (P &lt; 0.01), Dukes' stage (P &lt; 0.05) and CRP concentration (P &lt; 0.01) were independently associated with both overall and cancer-specific survival.\nCONCLUSION: In patients who have undergone potentially curative resection for colorectal cancer, the presence of a systemic inflammatory response predicts a poor outcome.","DOI":"10.1002/bjs.4038","ISSN":"0007-1323","note":"PMID: 12555298","journalAbbreviation":"Br J Surg","language":"eng","author":[{"family":"McMillan","given":"D. C."},{"family":"Canna","given":"K."},{"family":"McArdle","given":"C. S."}],"issued":{"date-parts":[["2003",2]]}}}],"schema":"https://github.com/citation-style-language/schema/raw/master/csl-citation.json"} </w:instrText>
      </w:r>
      <w:r w:rsidR="00C55CB1"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[95–101]</w:t>
      </w:r>
      <w:r w:rsidR="00C55CB1" w:rsidRPr="00DB7074">
        <w:rPr>
          <w:rFonts w:ascii="Book Antiqua" w:hAnsi="Book Antiqua" w:cs="Times New Roman"/>
          <w:sz w:val="24"/>
          <w:szCs w:val="24"/>
        </w:rPr>
        <w:fldChar w:fldCharType="end"/>
      </w:r>
      <w:r w:rsidR="00111759" w:rsidRPr="00DB7074">
        <w:rPr>
          <w:rFonts w:ascii="Book Antiqua" w:hAnsi="Book Antiqua" w:cs="Times New Roman"/>
          <w:sz w:val="24"/>
          <w:szCs w:val="24"/>
        </w:rPr>
        <w:t>. T</w:t>
      </w:r>
      <w:r w:rsidR="00114F28" w:rsidRPr="00DB7074">
        <w:rPr>
          <w:rFonts w:ascii="Book Antiqua" w:hAnsi="Book Antiqua" w:cs="Times New Roman"/>
          <w:sz w:val="24"/>
          <w:szCs w:val="24"/>
        </w:rPr>
        <w:t xml:space="preserve">he CEA </w:t>
      </w:r>
      <w:r w:rsidR="006772BA" w:rsidRPr="00DB7074">
        <w:rPr>
          <w:rFonts w:ascii="Book Antiqua" w:hAnsi="Book Antiqua" w:cs="Times New Roman"/>
          <w:sz w:val="24"/>
          <w:szCs w:val="24"/>
        </w:rPr>
        <w:t xml:space="preserve">level </w:t>
      </w:r>
      <w:r w:rsidR="00114F28" w:rsidRPr="00DB7074">
        <w:rPr>
          <w:rFonts w:ascii="Book Antiqua" w:hAnsi="Book Antiqua" w:cs="Times New Roman"/>
          <w:sz w:val="24"/>
          <w:szCs w:val="24"/>
        </w:rPr>
        <w:t>is a well</w:t>
      </w:r>
      <w:r w:rsidR="00187D5E">
        <w:rPr>
          <w:rFonts w:ascii="Book Antiqua" w:hAnsi="Book Antiqua" w:cs="Times New Roman"/>
          <w:sz w:val="24"/>
          <w:szCs w:val="24"/>
        </w:rPr>
        <w:t>-</w:t>
      </w:r>
      <w:r w:rsidR="00114F28" w:rsidRPr="00DB7074">
        <w:rPr>
          <w:rFonts w:ascii="Book Antiqua" w:hAnsi="Book Antiqua" w:cs="Times New Roman"/>
          <w:sz w:val="24"/>
          <w:szCs w:val="24"/>
        </w:rPr>
        <w:t>recognized and routinely used independent prognos</w:t>
      </w:r>
      <w:r w:rsidR="0083727F" w:rsidRPr="00DB7074">
        <w:rPr>
          <w:rFonts w:ascii="Book Antiqua" w:hAnsi="Book Antiqua" w:cs="Times New Roman"/>
          <w:sz w:val="24"/>
          <w:szCs w:val="24"/>
        </w:rPr>
        <w:t>tic</w:t>
      </w:r>
      <w:r w:rsidR="00114F28" w:rsidRPr="00DB7074">
        <w:rPr>
          <w:rFonts w:ascii="Book Antiqua" w:hAnsi="Book Antiqua" w:cs="Times New Roman"/>
          <w:sz w:val="24"/>
          <w:szCs w:val="24"/>
        </w:rPr>
        <w:t xml:space="preserve"> factor </w:t>
      </w:r>
      <w:r w:rsidR="0083727F" w:rsidRPr="00DB7074">
        <w:rPr>
          <w:rFonts w:ascii="Book Antiqua" w:hAnsi="Book Antiqua" w:cs="Times New Roman"/>
          <w:sz w:val="24"/>
          <w:szCs w:val="24"/>
        </w:rPr>
        <w:t>for</w:t>
      </w:r>
      <w:r w:rsidR="00114F28" w:rsidRPr="00DB7074">
        <w:rPr>
          <w:rFonts w:ascii="Book Antiqua" w:hAnsi="Book Antiqua" w:cs="Times New Roman"/>
          <w:sz w:val="24"/>
          <w:szCs w:val="24"/>
        </w:rPr>
        <w:t xml:space="preserve"> CRC</w:t>
      </w:r>
      <w:r w:rsidR="00C55CB1"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{"citationID":"a12g29fv2b4","properties":{"formattedCitation":"\\super [102,103]\\nosupersub{}","plainCitation":"[102,103]","noteIndex":0},"citationItems":[{"id":"D1GMNV0O/40ljzKpC","uris":["http://zotero.org/users/4804376/items/ETLFQEDF"],"uri":["http://zotero.org/users/4804376/items/ETLFQEDF"],"itemData":{"id":565,"type":"article-journal","title":"Serum HGF levels in acute renal rejection after living related renal transplantation","container-title":"Transplant International: Official Journal of the European Society for Organ Transplantation","page":"151-154","volume":"9","issue":"2","source":"PubMed","abstract":"Hepatocyte growth factor (HGF), a long sought-after hepatotrophic factor, has recently been shown to act as a renotrophic factor in regeneration of the kidney. We investigated serum HGF levels in 16 renal transplant patients. In patients with acute rejection, the serum HGF level was markedly increased (over 1 ng/ml), and its elevation was accompanied by an increase in serum creatinine and blood urea nitrogen (BUN). In contrast, serum HGF levels were continuously low in patients without rejection. We conclude that serum HGF may become a clinically useful marker for the assessment of acute renal rejection.","ISSN":"0934-0874","note":"PMID: 8639257","journalAbbreviation":"Transpl. Int.","language":"eng","author":[{"family":"Takada","given":"S."},{"family":"Namiki","given":"M."},{"family":"Takahara","given":"S."},{"family":"Matsumiya","given":"K."},{"family":"Kondoh","given":"N."},{"family":"Kokado","given":"Y."},{"family":"Matsumoto","given":"K."},{"family":"Nakamura","given":"T."},{"family":"Okuyama","given":"A."}],"issued":{"date-parts":[["1996"]]}}},{"id":"D1GMNV0O/av8Nl7YM","uris":["http://zotero.org/users/4804376/items/YP9XMS77"],"uri":["http://zotero.org/users/4804376/items/YP9XMS77"],"itemData":{"id":429,"type":"article-journal","title":"Preoperative carcinoembryonic antigen predicts outcomes in node-negative colon cancer patients: a multivariate analysis of 572 patients","container-title":"Journal of the American College of Surgeons","page":"55-59","volume":"185","issue":"1","source":"PubMed","abstract":"BACKGROUND: Although prospective trials have demonstrated that postoperative chemotherapy for node-positive colon cancer patients provides survival benefit, no improvement in survival has been documented for node-negative colon cancer patients. There are, however, a subset of node-negative patients that go on to die of their disease. We hypothesize that this subset of node-negative patients may benefit from postoperative chemotherapy. We analyzed a large cohort of node-negative colon cancer patients from a single institution to determine prognostic factors that predict which patients with node-negative colon cancer might experience recurrence and can benefit from postoperative chemotherapy.\nSTUDY DESIGN: A review of the prospective database for colorectal cancer at Memorial Sloan-Kettering Cancer Center (MSKCC) between 1985 and 1993 identified 572 patients who underwent curative resection for node-negative colon cancer (T(1,2,3,4)N0M0). Demographic, serum, and pathologic factors were analyzed for prognostic significance. Survival was calculated by the method of Kaplan-Meier and compared by log rank test. Multivariate analysis was calculated by the Cox proportional hazard model.\nRESULTS: Median follow-up was 35 months. Factors predictive of survival by univariate analysis include tumor stage, overall stage, and preoperative serum carcinoembryonic antigen (CEA) elevation. By multivariate analysis, overall stage and preoperative serum CEA level predicted survival.\nCONCLUSIONS: Routine histologic and demographic factors do not predict outcome in node-negative colon cancer patients. Preoperative CEA and overall stage predict survival by multivariate analysis. Preoperative CEA elevation in node-negative patients identifies a group of patients that has a poor prognosis and defines a subset of patients who may benefit from postoperative chemotherapy.","ISSN":"1072-7515","note":"PMID: 9208961","shortTitle":"Preoperative carcinoembryonic antigen predicts outcomes in node-negative colon cancer patients","journalAbbreviation":"J. Am. Coll. Surg.","language":"eng","author":[{"family":"Harrison","given":"L. E."},{"family":"Guillem","given":"J. G."},{"family":"Paty","given":"P."},{"family":"Cohen","given":"A. M."}],"issued":{"date-parts":[["1997",7]]}}}],"schema":"https://github.com/citation-style-language/schema/raw/master/csl-citation.json"} </w:instrText>
      </w:r>
      <w:r w:rsidR="00C55CB1"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[102,103]</w:t>
      </w:r>
      <w:r w:rsidR="00C55CB1" w:rsidRPr="00DB7074">
        <w:rPr>
          <w:rFonts w:ascii="Book Antiqua" w:hAnsi="Book Antiqua" w:cs="Times New Roman"/>
          <w:sz w:val="24"/>
          <w:szCs w:val="24"/>
        </w:rPr>
        <w:fldChar w:fldCharType="end"/>
      </w:r>
      <w:r w:rsidR="00890EF6" w:rsidRPr="00DB7074">
        <w:rPr>
          <w:rFonts w:ascii="Book Antiqua" w:hAnsi="Book Antiqua" w:cs="Times New Roman"/>
          <w:sz w:val="24"/>
          <w:szCs w:val="24"/>
        </w:rPr>
        <w:t>. P</w:t>
      </w:r>
      <w:r w:rsidR="00114F28" w:rsidRPr="00DB7074">
        <w:rPr>
          <w:rFonts w:ascii="Book Antiqua" w:hAnsi="Book Antiqua" w:cs="Times New Roman"/>
          <w:sz w:val="24"/>
          <w:szCs w:val="24"/>
        </w:rPr>
        <w:t>ersisten</w:t>
      </w:r>
      <w:r w:rsidR="0083727F" w:rsidRPr="00DB7074">
        <w:rPr>
          <w:rFonts w:ascii="Book Antiqua" w:hAnsi="Book Antiqua" w:cs="Times New Roman"/>
          <w:sz w:val="24"/>
          <w:szCs w:val="24"/>
        </w:rPr>
        <w:t>tly</w:t>
      </w:r>
      <w:r w:rsidR="00114F28" w:rsidRPr="00DB7074">
        <w:rPr>
          <w:rFonts w:ascii="Book Antiqua" w:hAnsi="Book Antiqua" w:cs="Times New Roman"/>
          <w:sz w:val="24"/>
          <w:szCs w:val="24"/>
        </w:rPr>
        <w:t xml:space="preserve"> elevated </w:t>
      </w:r>
      <w:r w:rsidR="0083727F" w:rsidRPr="00DB7074">
        <w:rPr>
          <w:rFonts w:ascii="Book Antiqua" w:hAnsi="Book Antiqua" w:cs="Times New Roman"/>
          <w:sz w:val="24"/>
          <w:szCs w:val="24"/>
        </w:rPr>
        <w:t xml:space="preserve">CEA </w:t>
      </w:r>
      <w:r w:rsidR="00114F28" w:rsidRPr="00DB7074">
        <w:rPr>
          <w:rFonts w:ascii="Book Antiqua" w:hAnsi="Book Antiqua" w:cs="Times New Roman"/>
          <w:sz w:val="24"/>
          <w:szCs w:val="24"/>
        </w:rPr>
        <w:t xml:space="preserve">levels after treatment </w:t>
      </w:r>
      <w:r w:rsidR="0083727F" w:rsidRPr="00DB7074">
        <w:rPr>
          <w:rFonts w:ascii="Book Antiqua" w:hAnsi="Book Antiqua" w:cs="Times New Roman"/>
          <w:sz w:val="24"/>
          <w:szCs w:val="24"/>
        </w:rPr>
        <w:t xml:space="preserve">are </w:t>
      </w:r>
      <w:r w:rsidR="00114F28" w:rsidRPr="00DB7074">
        <w:rPr>
          <w:rFonts w:ascii="Book Antiqua" w:hAnsi="Book Antiqua" w:cs="Times New Roman"/>
          <w:sz w:val="24"/>
          <w:szCs w:val="24"/>
        </w:rPr>
        <w:t xml:space="preserve">correlated to both </w:t>
      </w:r>
      <w:r w:rsidR="0083727F" w:rsidRPr="00DB7074">
        <w:rPr>
          <w:rFonts w:ascii="Book Antiqua" w:hAnsi="Book Antiqua" w:cs="Times New Roman"/>
          <w:sz w:val="24"/>
          <w:szCs w:val="24"/>
        </w:rPr>
        <w:t xml:space="preserve">a </w:t>
      </w:r>
      <w:r w:rsidR="00114F28" w:rsidRPr="00DB7074">
        <w:rPr>
          <w:rFonts w:ascii="Book Antiqua" w:hAnsi="Book Antiqua" w:cs="Times New Roman"/>
          <w:sz w:val="24"/>
          <w:szCs w:val="24"/>
        </w:rPr>
        <w:t xml:space="preserve">higher risk </w:t>
      </w:r>
      <w:r w:rsidR="0083727F" w:rsidRPr="00DB7074">
        <w:rPr>
          <w:rFonts w:ascii="Book Antiqua" w:hAnsi="Book Antiqua" w:cs="Times New Roman"/>
          <w:sz w:val="24"/>
          <w:szCs w:val="24"/>
        </w:rPr>
        <w:t xml:space="preserve">of </w:t>
      </w:r>
      <w:r w:rsidR="00114F28" w:rsidRPr="00DB7074">
        <w:rPr>
          <w:rFonts w:ascii="Book Antiqua" w:hAnsi="Book Antiqua" w:cs="Times New Roman"/>
          <w:sz w:val="24"/>
          <w:szCs w:val="24"/>
        </w:rPr>
        <w:t xml:space="preserve">recurrence and </w:t>
      </w:r>
      <w:r w:rsidR="0083727F" w:rsidRPr="00DB7074">
        <w:rPr>
          <w:rFonts w:ascii="Book Antiqua" w:hAnsi="Book Antiqua" w:cs="Times New Roman"/>
          <w:sz w:val="24"/>
          <w:szCs w:val="24"/>
        </w:rPr>
        <w:t xml:space="preserve">decreased </w:t>
      </w:r>
      <w:r w:rsidR="00114F28" w:rsidRPr="00DB7074">
        <w:rPr>
          <w:rFonts w:ascii="Book Antiqua" w:hAnsi="Book Antiqua" w:cs="Times New Roman"/>
          <w:sz w:val="24"/>
          <w:szCs w:val="24"/>
        </w:rPr>
        <w:t xml:space="preserve">survival. </w:t>
      </w:r>
      <w:r w:rsidR="0083727F" w:rsidRPr="00DB7074">
        <w:rPr>
          <w:rFonts w:ascii="Book Antiqua" w:hAnsi="Book Antiqua" w:cs="Times New Roman"/>
          <w:sz w:val="24"/>
          <w:szCs w:val="24"/>
        </w:rPr>
        <w:t>Similarly</w:t>
      </w:r>
      <w:r w:rsidR="00890EF6" w:rsidRPr="00DB7074">
        <w:rPr>
          <w:rFonts w:ascii="Book Antiqua" w:hAnsi="Book Antiqua" w:cs="Times New Roman"/>
          <w:sz w:val="24"/>
          <w:szCs w:val="24"/>
        </w:rPr>
        <w:t xml:space="preserve">, normal </w:t>
      </w:r>
      <w:r w:rsidR="0083727F" w:rsidRPr="00DB7074">
        <w:rPr>
          <w:rFonts w:ascii="Book Antiqua" w:hAnsi="Book Antiqua" w:cs="Times New Roman"/>
          <w:sz w:val="24"/>
          <w:szCs w:val="24"/>
        </w:rPr>
        <w:t xml:space="preserve">CEA </w:t>
      </w:r>
      <w:r w:rsidR="00890EF6" w:rsidRPr="00DB7074">
        <w:rPr>
          <w:rFonts w:ascii="Book Antiqua" w:hAnsi="Book Antiqua" w:cs="Times New Roman"/>
          <w:sz w:val="24"/>
          <w:szCs w:val="24"/>
        </w:rPr>
        <w:t>level</w:t>
      </w:r>
      <w:r w:rsidR="0083727F" w:rsidRPr="00DB7074">
        <w:rPr>
          <w:rFonts w:ascii="Book Antiqua" w:hAnsi="Book Antiqua" w:cs="Times New Roman"/>
          <w:sz w:val="24"/>
          <w:szCs w:val="24"/>
        </w:rPr>
        <w:t>s</w:t>
      </w:r>
      <w:r w:rsidR="00114F28" w:rsidRPr="00DB7074">
        <w:rPr>
          <w:rFonts w:ascii="Book Antiqua" w:hAnsi="Book Antiqua" w:cs="Times New Roman"/>
          <w:sz w:val="24"/>
          <w:szCs w:val="24"/>
        </w:rPr>
        <w:t xml:space="preserve"> after treatment </w:t>
      </w:r>
      <w:r w:rsidR="0083727F" w:rsidRPr="00DB7074">
        <w:rPr>
          <w:rFonts w:ascii="Book Antiqua" w:hAnsi="Book Antiqua" w:cs="Times New Roman"/>
          <w:sz w:val="24"/>
          <w:szCs w:val="24"/>
        </w:rPr>
        <w:t xml:space="preserve">are </w:t>
      </w:r>
      <w:r w:rsidR="00114F28" w:rsidRPr="00DB7074">
        <w:rPr>
          <w:rFonts w:ascii="Book Antiqua" w:hAnsi="Book Antiqua" w:cs="Times New Roman"/>
          <w:sz w:val="24"/>
          <w:szCs w:val="24"/>
        </w:rPr>
        <w:t>associated with improved recurrence</w:t>
      </w:r>
      <w:r w:rsidR="00187D5E">
        <w:rPr>
          <w:rFonts w:ascii="Book Antiqua" w:hAnsi="Book Antiqua" w:cs="Times New Roman"/>
          <w:sz w:val="24"/>
          <w:szCs w:val="24"/>
        </w:rPr>
        <w:t>-</w:t>
      </w:r>
      <w:r w:rsidR="00114F28" w:rsidRPr="00DB7074">
        <w:rPr>
          <w:rFonts w:ascii="Book Antiqua" w:hAnsi="Book Antiqua" w:cs="Times New Roman"/>
          <w:sz w:val="24"/>
          <w:szCs w:val="24"/>
        </w:rPr>
        <w:t>free and overall survival</w:t>
      </w:r>
      <w:r w:rsidR="00C55CB1"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{"citationID":"a1jrhss8m5s","properties":{"formattedCitation":"\\super [104]\\nosupersub{}","plainCitation":"[104]","noteIndex":0},"citationItems":[{"id":"D1GMNV0O/GELUXd33","uris":["http://zotero.org/users/4804376/items/E952JDHC"],"uri":["http://zotero.org/users/4804376/items/E952JDHC"],"itemData":{"id":439,"type":"article-journal","title":"Pre- and postoperative carcinoembryonic antigen determinations in hepatic resection for colorectal metastases. Predictive value and implications for adjuvant treatment based on multivariate analysis","container-title":"Annals of Surgery","page":"135-143","volume":"219","issue":"2","source":"PubMed","abstract":"OBJECTIVE: The object of this study was to evaluate the prognostic significance of pre- and postoperative serum carcinoembryonic antigen (CEA) levels in the resectional treatment of colorectal hepatic metastases. The main question was whether postoperative CEA levels correlated with survival and the time to recurrence.\nSUMMARY BACKGROUND DATA: Despite numerous investigations on prognostic factors in colorectal cancer, only sparse data are available to estimate the patient's individual risk for tumor recurrence postoperatively. It is controversial whether preoperative CEA values are of prognostic significance, and after observing the kinetics of CEA decline, elevated CEA levels postoperatively were found to be an ominous sign. CEA therefore could indicate the presence of a tumor burden after resection.\nMETHODS: One hundred sixty-six patients undergoing hepatic resection for colorectal metastases with curative intent were prospectively documented and underwent multivariate analysis for indicators of prognosis.\nRESULTS: Abnormal preoperative CEA levels were not of prognostic significance compared with values within the normal range (survival, 36 vs. 30 months; p = 0.12; disease-free survival, 12 vs. 10 months; p = 0.82). The postoperative serum CEA level, however, was the most predictive factor with regard to survival and the disease-free interval. Patients in whom CEA levels were abnormal before surgery and returned into the normal range after resection had significantly better survival times (37 vs. 23 months, p = 0.0001) and disease-free survival times (12 vs. 6.2 months, p = 0.0001) compared with patients with persistently abnormal values.\nCONCLUSIONS: Pre- and postoperative determination of the serum CEA level is mandatory to judge whether a curative resection has been performed and whether tumor has been left behind after the operation. Postoperative CEA levels also should be used as a stratification criterion in adjuvant treatment studies after hepatic resection to indicate patients with a high risk of tumor recurrence.","ISSN":"0003-4932","note":"PMID: 8129484\nPMCID: PMC1243115","journalAbbreviation":"Ann. Surg.","language":"eng","author":[{"family":"Hohenberger","given":"P."},{"family":"Schlag","given":"P. M."},{"family":"Gerneth","given":"T."},{"family":"Herfarth","given":"C."}],"issued":{"date-parts":[["1994",2]]}}}],"schema":"https://github.com/citation-style-language/schema/raw/master/csl-citation.json"} </w:instrText>
      </w:r>
      <w:r w:rsidR="00C55CB1"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[104]</w:t>
      </w:r>
      <w:r w:rsidR="00C55CB1" w:rsidRPr="00DB7074">
        <w:rPr>
          <w:rFonts w:ascii="Book Antiqua" w:hAnsi="Book Antiqua" w:cs="Times New Roman"/>
          <w:sz w:val="24"/>
          <w:szCs w:val="24"/>
        </w:rPr>
        <w:fldChar w:fldCharType="end"/>
      </w:r>
      <w:r w:rsidR="00114F28" w:rsidRPr="00DB7074">
        <w:rPr>
          <w:rFonts w:ascii="Book Antiqua" w:hAnsi="Book Antiqua" w:cs="Times New Roman"/>
          <w:sz w:val="24"/>
          <w:szCs w:val="24"/>
        </w:rPr>
        <w:t xml:space="preserve">. </w:t>
      </w:r>
      <w:r w:rsidR="00277C75" w:rsidRPr="00DB7074">
        <w:rPr>
          <w:rFonts w:ascii="Book Antiqua" w:hAnsi="Book Antiqua" w:cs="Times New Roman"/>
          <w:sz w:val="24"/>
          <w:szCs w:val="24"/>
        </w:rPr>
        <w:t>In addition to</w:t>
      </w:r>
      <w:r w:rsidR="00114F28" w:rsidRPr="00DB7074">
        <w:rPr>
          <w:rFonts w:ascii="Book Antiqua" w:hAnsi="Book Antiqua" w:cs="Times New Roman"/>
          <w:sz w:val="24"/>
          <w:szCs w:val="24"/>
        </w:rPr>
        <w:t xml:space="preserve"> CRC screening, investigations </w:t>
      </w:r>
      <w:r w:rsidR="00277C75" w:rsidRPr="00DB7074">
        <w:rPr>
          <w:rFonts w:ascii="Book Antiqua" w:hAnsi="Book Antiqua" w:cs="Times New Roman"/>
          <w:sz w:val="24"/>
          <w:szCs w:val="24"/>
        </w:rPr>
        <w:t>evaluating</w:t>
      </w:r>
      <w:r w:rsidR="00114F28" w:rsidRPr="00DB7074">
        <w:rPr>
          <w:rFonts w:ascii="Book Antiqua" w:hAnsi="Book Antiqua" w:cs="Times New Roman"/>
          <w:sz w:val="24"/>
          <w:szCs w:val="24"/>
        </w:rPr>
        <w:t xml:space="preserve"> cfDNA have recently </w:t>
      </w:r>
      <w:r w:rsidR="00277C75" w:rsidRPr="00DB7074">
        <w:rPr>
          <w:rFonts w:ascii="Book Antiqua" w:hAnsi="Book Antiqua" w:cs="Times New Roman"/>
          <w:sz w:val="24"/>
          <w:szCs w:val="24"/>
        </w:rPr>
        <w:t>gained</w:t>
      </w:r>
      <w:r w:rsidR="00E711AF" w:rsidRPr="00DB7074">
        <w:rPr>
          <w:rFonts w:ascii="Book Antiqua" w:hAnsi="Book Antiqua" w:cs="Times New Roman"/>
          <w:sz w:val="24"/>
          <w:szCs w:val="24"/>
        </w:rPr>
        <w:t xml:space="preserve"> attention in the field of CRC research</w:t>
      </w:r>
      <w:r w:rsidR="00114F28" w:rsidRPr="00DB7074">
        <w:rPr>
          <w:rFonts w:ascii="Book Antiqua" w:hAnsi="Book Antiqua" w:cs="Times New Roman"/>
          <w:sz w:val="24"/>
          <w:szCs w:val="24"/>
        </w:rPr>
        <w:t xml:space="preserve">. </w:t>
      </w:r>
      <w:r w:rsidR="006D0D4E" w:rsidRPr="00DB7074">
        <w:rPr>
          <w:rFonts w:ascii="Book Antiqua" w:hAnsi="Book Antiqua" w:cs="Times New Roman"/>
          <w:sz w:val="24"/>
          <w:szCs w:val="24"/>
        </w:rPr>
        <w:t>T</w:t>
      </w:r>
      <w:r w:rsidR="00114F28" w:rsidRPr="00DB7074">
        <w:rPr>
          <w:rFonts w:ascii="Book Antiqua" w:hAnsi="Book Antiqua" w:cs="Times New Roman"/>
          <w:sz w:val="24"/>
          <w:szCs w:val="24"/>
        </w:rPr>
        <w:t xml:space="preserve">he detection </w:t>
      </w:r>
      <w:r w:rsidR="006D0D4E" w:rsidRPr="00DB7074">
        <w:rPr>
          <w:rFonts w:ascii="Book Antiqua" w:hAnsi="Book Antiqua" w:cs="Times New Roman"/>
          <w:sz w:val="24"/>
          <w:szCs w:val="24"/>
        </w:rPr>
        <w:t xml:space="preserve">and </w:t>
      </w:r>
      <w:r w:rsidR="0053268C" w:rsidRPr="00DB7074">
        <w:rPr>
          <w:rFonts w:ascii="Book Antiqua" w:hAnsi="Book Antiqua" w:cs="Times New Roman"/>
          <w:sz w:val="24"/>
          <w:szCs w:val="24"/>
        </w:rPr>
        <w:t xml:space="preserve">the </w:t>
      </w:r>
      <w:r w:rsidR="006D0D4E" w:rsidRPr="00DB7074">
        <w:rPr>
          <w:rFonts w:ascii="Book Antiqua" w:hAnsi="Book Antiqua" w:cs="Times New Roman"/>
          <w:sz w:val="24"/>
          <w:szCs w:val="24"/>
        </w:rPr>
        <w:t xml:space="preserve">quantification </w:t>
      </w:r>
      <w:r w:rsidR="00114F28" w:rsidRPr="00DB7074">
        <w:rPr>
          <w:rFonts w:ascii="Book Antiqua" w:hAnsi="Book Antiqua" w:cs="Times New Roman"/>
          <w:sz w:val="24"/>
          <w:szCs w:val="24"/>
        </w:rPr>
        <w:t xml:space="preserve">of specific gene mutations </w:t>
      </w:r>
      <w:r w:rsidR="006D0D4E" w:rsidRPr="00DB7074">
        <w:rPr>
          <w:rFonts w:ascii="Book Antiqua" w:hAnsi="Book Antiqua" w:cs="Times New Roman"/>
          <w:sz w:val="24"/>
          <w:szCs w:val="24"/>
        </w:rPr>
        <w:t>(</w:t>
      </w:r>
      <w:r w:rsidR="006D0D4E" w:rsidRPr="00DB7074">
        <w:rPr>
          <w:rFonts w:ascii="Book Antiqua" w:hAnsi="Book Antiqua" w:cs="Times New Roman"/>
          <w:i/>
          <w:sz w:val="24"/>
          <w:szCs w:val="24"/>
        </w:rPr>
        <w:t>RAS</w:t>
      </w:r>
      <w:r w:rsidR="006D0D4E" w:rsidRPr="00DB7074">
        <w:rPr>
          <w:rFonts w:ascii="Book Antiqua" w:hAnsi="Book Antiqua" w:cs="Times New Roman"/>
          <w:sz w:val="24"/>
          <w:szCs w:val="24"/>
        </w:rPr>
        <w:t xml:space="preserve"> and </w:t>
      </w:r>
      <w:r w:rsidR="006D0D4E" w:rsidRPr="00DB7074">
        <w:rPr>
          <w:rFonts w:ascii="Book Antiqua" w:hAnsi="Book Antiqua" w:cs="Times New Roman"/>
          <w:i/>
          <w:sz w:val="24"/>
          <w:szCs w:val="24"/>
        </w:rPr>
        <w:t>BRAF</w:t>
      </w:r>
      <w:r w:rsidR="006D0D4E" w:rsidRPr="00DB7074">
        <w:rPr>
          <w:rFonts w:ascii="Book Antiqua" w:hAnsi="Book Antiqua" w:cs="Times New Roman"/>
          <w:sz w:val="24"/>
          <w:szCs w:val="24"/>
        </w:rPr>
        <w:t xml:space="preserve"> genes) </w:t>
      </w:r>
      <w:r w:rsidR="00114F28" w:rsidRPr="00DB7074">
        <w:rPr>
          <w:rFonts w:ascii="Book Antiqua" w:hAnsi="Book Antiqua" w:cs="Times New Roman"/>
          <w:sz w:val="24"/>
          <w:szCs w:val="24"/>
        </w:rPr>
        <w:t>or DNA methylation alterations</w:t>
      </w:r>
      <w:r w:rsidR="00C55CB1"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{"citationID":"oxpUNTVF","properties":{"formattedCitation":"\\super [105,106]\\nosupersub{}","plainCitation":"[105,106]","noteIndex":0},"citationItems":[{"id":"D1GMNV0O/les8ya6T","uris":["http://zotero.org/users/4804376/items/A2E3IHY2"],"uri":["http://zotero.org/users/4804376/items/A2E3IHY2"],"itemData":{"id":485,"type":"article-journal","title":"Development of a gene panel for next-generation sequencing of clinically relevant mutations in cell-free DNA from cancer patients","container-title":"British Journal of Cancer","page":"802-810","volume":"116","issue":"6","source":"PubMed","abstract":"BACKGROUND: When tumour tissue is unavailable, cell-free DNA (cfDNA)can serve as a surrogate for genetic analyses. Because mutated alleles in cfDNA are usually below 1%, next-generation sequencing (NGS)must be narrowed to target only clinically relevant genes. In this proof-of-concept study, we developed a panel to use in ultra-deep sequencing to identify such mutations in cfDNA.\nMETHODS: Our panel ('SiRe') covers 568 mutations in six genes (EGFR, KRAS, NRAS, BRAF, cKIT and PDGFRα)involved in non-small-cell lung cancer (NSCLC), gastrointestinal stromal tumour, colorectal carcinoma and melanoma. We evaluated the panel performance in three steps. First, we analysed its analytical sensitivity on cell line DNA and by using an artificial reference standard with multiple mutations in different genes. Second, we analysed cfDNA from cancer patients at presentation (n=42), treatment response (n=12) and tumour progression (n=11); all patients had paired tumour tissue and cfDNA previously genotyped with a Taqman-derived assay (TDA). Third, we tested blood samples prospectively collected from NSCLC patients (n=79) to assess the performance of SiRe in clinical practice.\nRESULTS: SiRe had a high analytical performance and a 0.01% lower limit of detection. In the retrospective series, SiRe detected 40 EGFR, 11 KRAS, 1 NRAS and 5 BRAF mutations (96.8% concordance with TDA). In the baseline samples, SiRe had 100% specificity and 79% sensitivity relative to tumour tissue. Finally, in the prospective series, SiRe detected 8.7% (4/46) of EGFR mutations at baseline and 42.9% (9/21) of EGFR p.T790M in patients at tumour progression.\nCONCLUSIONS: SiRe is a feasible NGS panel for cfDNA analysis in clinical practice.","DOI":"10.1038/bjc.2017.8","ISSN":"1532-1827","note":"PMID: 28170370\nPMCID: PMC5355934","journalAbbreviation":"Br. J. Cancer","language":"eng","author":[{"family":"Malapelle","given":"Umberto"},{"family":"Mayo de-Las-Casas","given":"Clara"},{"family":"Rocco","given":"Danilo"},{"family":"Garzon","given":"Monica"},{"family":"Pisapia","given":"Pasquale"},{"family":"Jordana-Ariza","given":"Nuria"},{"family":"Russo","given":"Maria"},{"family":"Sgariglia","given":"Roberta"},{"family":"De Luca","given":"Caterina"},{"family":"Pepe","given":"Francesco"},{"family":"Martinez-Bueno","given":"Alejandro"},{"family":"Morales-Espinosa","given":"Daniela"},{"family":"González-Cao","given":"María"},{"family":"Karachaliou","given":"Niki"},{"family":"Viteri Ramirez","given":"Santiago"},{"family":"Bellevicine","given":"Claudio"},{"family":"Molina-Vila","given":"Miguel Angel"},{"family":"Rosell","given":"Rafael"},{"family":"Troncone","given":"Giancarlo"}],"issued":{"date-parts":[["2017",3,14]]}}},{"id":"D1GMNV0O/GUhZWZIa","uris":["http://zotero.org/users/4804376/items/NPVX3QCB"],"uri":["http://zotero.org/users/4804376/items/NPVX3QCB"],"itemData":{"id":708,"type":"article-journal","title":"Promoter hypermethylation of tumour suppressor genes as potential biomarkers in colorectal cancer","container-title":"International Journal of Molecular Sciences","page":"2472-2496","volume":"16","issue":"2","source":"PubMed","abstract":"Colorectal cancer (CRC) is a common malignancy and the fourth leading cause of cancer deaths worldwide. It results from the accumulation of multiple genetic and epigenetic changes leading to the transformation of colon epithelial cells into invasive adenocarcinomas. In CRC, epigenetic changes, in particular promoter CpG island methylation, occur more frequently than genetic mutations. Hypermethylation contributes to carcinogenesis by inducing transcriptional silencing or downregulation of tumour suppressor genes and currently, over 600 candidate hypermethylated genes have been identified. Over the past decade, a deeper understanding of epigenetics coupled with technological advances have hinted at the potential of translating benchtop research into biomarkers for clinical use. DNA methylation represents one of the largest bodies of literature in epigenetics, and hence has the highest potential for minimally invasive biomarker development. Most progress has been made in the development of diagnostic markers and there are currently two, one stool-based and one blood-based, biomarkers that are commercially available for diagnostics. Prognostic and predictive methylation markers are still at their infantile stages.","DOI":"10.3390/ijms16022472","ISSN":"1422-0067","note":"PMID: 25622259\nPMCID: PMC4346847","journalAbbreviation":"Int J Mol Sci","language":"eng","author":[{"family":"Ng","given":"Jennifer Mun-Kar"},{"family":"Yu","given":"Jun"}],"issued":{"date-parts":[["2015",1,22]]}}}],"schema":"https://github.com/citation-style-language/schema/raw/master/csl-citation.json"} </w:instrText>
      </w:r>
      <w:r w:rsidR="00C55CB1"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[105,106]</w:t>
      </w:r>
      <w:r w:rsidR="00C55CB1" w:rsidRPr="00DB7074">
        <w:rPr>
          <w:rFonts w:ascii="Book Antiqua" w:hAnsi="Book Antiqua" w:cs="Times New Roman"/>
          <w:sz w:val="24"/>
          <w:szCs w:val="24"/>
        </w:rPr>
        <w:fldChar w:fldCharType="end"/>
      </w:r>
      <w:r w:rsidR="00277C75" w:rsidRPr="00DB7074">
        <w:rPr>
          <w:rFonts w:ascii="Book Antiqua" w:hAnsi="Book Antiqua" w:cs="Times New Roman"/>
          <w:sz w:val="24"/>
          <w:szCs w:val="24"/>
        </w:rPr>
        <w:t xml:space="preserve"> are </w:t>
      </w:r>
      <w:r w:rsidR="00114F28" w:rsidRPr="00DB7074">
        <w:rPr>
          <w:rFonts w:ascii="Book Antiqua" w:hAnsi="Book Antiqua" w:cs="Times New Roman"/>
          <w:sz w:val="24"/>
          <w:szCs w:val="24"/>
        </w:rPr>
        <w:t xml:space="preserve">correlated </w:t>
      </w:r>
      <w:r w:rsidR="00277C75" w:rsidRPr="00DB7074">
        <w:rPr>
          <w:rFonts w:ascii="Book Antiqua" w:hAnsi="Book Antiqua" w:cs="Times New Roman"/>
          <w:sz w:val="24"/>
          <w:szCs w:val="24"/>
        </w:rPr>
        <w:t>with</w:t>
      </w:r>
      <w:r w:rsidR="00114F28" w:rsidRPr="00DB7074">
        <w:rPr>
          <w:rFonts w:ascii="Book Antiqua" w:hAnsi="Book Antiqua" w:cs="Times New Roman"/>
          <w:sz w:val="24"/>
          <w:szCs w:val="24"/>
        </w:rPr>
        <w:t xml:space="preserve"> CRC prognosis</w:t>
      </w:r>
      <w:r w:rsidR="00C55CB1"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{"citationID":"a2e1e5t60ro","properties":{"formattedCitation":"\\super [107,108]\\nosupersub{}","plainCitation":"[107,108]","noteIndex":0},"citationItems":[{"id":"D1GMNV0O/JUgNsiGM","uris":["http://zotero.org/users/4804376/items/AAXIDTND"],"uri":["http://zotero.org/users/4804376/items/AAXIDTND"],"itemData":{"id":379,"type":"article-journal","title":"The Prognostic Value of Circulating Cell-Free DNA in Colorectal Cancer: A Meta-Analysis","container-title":"Journal of Cancer","page":"1105-1113","volume":"7","issue":"9","source":"PubMed","abstract":"BACKGROUND: Circulating cell-free DNA (cfDNA) is a promising candidate biomarker for detection, monitoring and survival prediction of colorectal cancer (CRC). However, its prognostic significance for patients with CRC remains controversial. To derive a precise estimation of the prognostic significance of cfDNA, a meta-analysis was performed.\nMETHODS: We made a systematic search in data base of the Science Citation Index Embase and Pubmed for studies reporting prognostic data of cfDNA in CRC patients. The data of cfDNA on recurrences-free survival (RFS) and overall survival (OS) were extracted and measured in hazard rates (HRs) and 95% confident intervals (CIs). Subgroup analyses were carried out as well. Finally, the meta-analysis is accompanied with nine studies including 19 subunits.\nRESULTS: The pooled HRs with 95% CIs revealed strong associations between cfDNA and RFS (HR [95%CI]=2.78[2.08-3.72], I(2)=32.23%, n=7) along with OS (HR [95%CI]=3.03[2.51-3.66], I(2)=29.24%, n=12) in patients with CRC. Entire subgroup analyses indicated strong prognostic value of cfDNA irrespective tumor stage, study size, tumor markers, detection methods and marker origin.\nCONCLUSIONS: All the results exhibits that appearance of cfDNA in blood is an indicator for adverse RFS and OS in CRC patients.","DOI":"10.7150/jca.14801","ISSN":"1837-9664","note":"PMID: 27326254\nPMCID: PMC4911878","shortTitle":"The Prognostic Value of Circulating Cell-Free DNA in Colorectal Cancer","journalAbbreviation":"J Cancer","language":"eng","author":[{"family":"Basnet","given":"Shiva"},{"family":"Zhang","given":"Zhen-Yu"},{"family":"Liao","given":"Wen-Qiang"},{"family":"Li","given":"Shu-Heng"},{"family":"Li","given":"Ping-Shu"},{"family":"Ge","given":"Hai-Yan"}],"issued":{"date-parts":[["2016"]]}}},{"id":"D1GMNV0O/SVLmtNsw","uris":["http://zotero.org/users/4804376/items/IMGNGQ4G"],"uri":["http://zotero.org/users/4804376/items/IMGNGQ4G"],"itemData":{"id":409,"type":"article-journal","title":"Circulating DNA as a Strong Multimarker Prognostic Tool for Metastatic Colorectal Cancer Patient Management Care","container-title":"Clinical Cancer Research: An Official Journal of the American Association for Cancer Research","page":"3067-3077","volume":"22","issue":"12","source":"PubMed","abstract":"PURPOSE: Circulating cell-free DNA (ccfDNA) is a valuable source of tumor material obtained from a simple blood sampling that enables noninvasive analysis of the tumor genome. Our goal was to carry out a multiparametric analysis of ccfDNA and evaluate its prognostic value by investigating the overall survival (OS) of 97 metastatic colorectal cancer patients (mCRC).\nEXPERIMENTAL DESIGN: Qualitative parameters (determination of the main KRAS exon2 and BRAF V600E mutations) and quantitative parameters (total ccfDNA concentration, mutant ccfDNA concentration, the proportion of mutant ccfDNA, and ccfDNA integrity index) were determined simultaneously in a single run using a unique Q-PCR multimarker approach (100% success rate).\nRESULTS: The median follow-up time was 36 months and median OS was 22 months. Patients showing high ccfDNA levels had significantly shorter OS (18.07 months vs. 28.5 months, P = 0.0087). Moreover, multivariate analysis revealed that a high ccfDNA level is an independent prognostic factor (P = 0.034). All ccfDNA parameters were of prognostic interest: patients with higher levels of mutant ccfDNA and higher mutation loads for the detected mutations had shorter OS (P = 0.0089 and P = 0.05, respectively). In addition, the level of ccfDNA fragmentation correlated positively with decreased OS in the exclusive KRAS/BRAF-mutant cohort of patients (P = 0.0052) and appeared as a strong independent prognostic factor (P = 0.0072), whereas it was not significant in the exclusive KRAS/BRAF WT cohort of patients (P = 0.67).\nCONCLUSIONS: Our data provide for the first time qualitative and quantitative evidence in favor of multiparametric ccfDNA analysis in mCRC patients for prognostic assessment. Clin Cancer Res; 22(12); 3067-77. ©2016 AACR.","DOI":"10.1158/1078-0432.CCR-15-0297","ISSN":"1078-0432","note":"PMID: 26847055","journalAbbreviation":"Clin. Cancer Res.","language":"eng","author":[{"family":"El Messaoudi","given":"Safia"},{"family":"Mouliere","given":"Florent"},{"family":"Du Manoir","given":"Stanislas"},{"family":"Bascoul-Mollevi","given":"Caroline"},{"family":"Gillet","given":"Brigitte"},{"family":"Nouaille","given":"Michelle"},{"family":"Fiess","given":"Catherine"},{"family":"Crapez","given":"Evelyne"},{"family":"Bibeau","given":"Frederic"},{"family":"Theillet","given":"Charles"},{"family":"Mazard","given":"Thibault"},{"family":"Pezet","given":"Denis"},{"family":"Mathonnet","given":"Muriel"},{"family":"Ychou","given":"Marc"},{"family":"Thierry","given":"Alain R."}],"issued":{"date-parts":[["2016",6,15]]}}}],"schema":"https://github.com/citation-style-language/schema/raw/master/csl-citation.json"} </w:instrText>
      </w:r>
      <w:r w:rsidR="00C55CB1"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[107,108]</w:t>
      </w:r>
      <w:r w:rsidR="00C55CB1" w:rsidRPr="00DB7074">
        <w:rPr>
          <w:rFonts w:ascii="Book Antiqua" w:hAnsi="Book Antiqua" w:cs="Times New Roman"/>
          <w:sz w:val="24"/>
          <w:szCs w:val="24"/>
        </w:rPr>
        <w:fldChar w:fldCharType="end"/>
      </w:r>
      <w:r w:rsidR="00114F28" w:rsidRPr="00DB7074">
        <w:rPr>
          <w:rFonts w:ascii="Book Antiqua" w:hAnsi="Book Antiqua" w:cs="Times New Roman"/>
          <w:sz w:val="24"/>
          <w:szCs w:val="24"/>
        </w:rPr>
        <w:t>, independent</w:t>
      </w:r>
      <w:r w:rsidR="00CE6BBB" w:rsidRPr="00DB7074">
        <w:rPr>
          <w:rFonts w:ascii="Book Antiqua" w:hAnsi="Book Antiqua" w:cs="Times New Roman"/>
          <w:sz w:val="24"/>
          <w:szCs w:val="24"/>
        </w:rPr>
        <w:t xml:space="preserve"> </w:t>
      </w:r>
      <w:r w:rsidR="00277C75" w:rsidRPr="00DB7074">
        <w:rPr>
          <w:rFonts w:ascii="Book Antiqua" w:hAnsi="Book Antiqua" w:cs="Times New Roman"/>
          <w:sz w:val="24"/>
          <w:szCs w:val="24"/>
        </w:rPr>
        <w:t>of</w:t>
      </w:r>
      <w:r w:rsidR="00114F28" w:rsidRPr="00DB7074">
        <w:rPr>
          <w:rFonts w:ascii="Book Antiqua" w:hAnsi="Book Antiqua" w:cs="Times New Roman"/>
          <w:sz w:val="24"/>
          <w:szCs w:val="24"/>
        </w:rPr>
        <w:t xml:space="preserve"> the </w:t>
      </w:r>
      <w:r w:rsidR="00507882" w:rsidRPr="00DB7074">
        <w:rPr>
          <w:rFonts w:ascii="Book Antiqua" w:hAnsi="Book Antiqua" w:cs="Times New Roman"/>
          <w:sz w:val="24"/>
          <w:szCs w:val="24"/>
        </w:rPr>
        <w:t>tumour</w:t>
      </w:r>
      <w:r w:rsidR="00114F28" w:rsidRPr="00DB7074">
        <w:rPr>
          <w:rFonts w:ascii="Book Antiqua" w:hAnsi="Book Antiqua" w:cs="Times New Roman"/>
          <w:sz w:val="24"/>
          <w:szCs w:val="24"/>
        </w:rPr>
        <w:t xml:space="preserve"> stage. In the future, monitoring of cfDNA levels </w:t>
      </w:r>
      <w:r w:rsidR="00277C75" w:rsidRPr="00DB7074">
        <w:rPr>
          <w:rFonts w:ascii="Book Antiqua" w:hAnsi="Book Antiqua" w:cs="Times New Roman"/>
          <w:sz w:val="24"/>
          <w:szCs w:val="24"/>
        </w:rPr>
        <w:t xml:space="preserve">may </w:t>
      </w:r>
      <w:r w:rsidR="00114F28" w:rsidRPr="00DB7074">
        <w:rPr>
          <w:rFonts w:ascii="Book Antiqua" w:hAnsi="Book Antiqua" w:cs="Times New Roman"/>
          <w:sz w:val="24"/>
          <w:szCs w:val="24"/>
        </w:rPr>
        <w:t>guide therapeutic strategies</w:t>
      </w:r>
      <w:r w:rsidR="00C55CB1"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{"citationID":"a25udt8m6dh","properties":{"formattedCitation":"\\super [109,110]\\nosupersub{}","plainCitation":"[109,110]","noteIndex":0},"citationItems":[{"id":"D1GMNV0O/29RNxouw","uris":["http://zotero.org/users/4804376/items/PAEQD44G"],"uri":["http://zotero.org/users/4804376/items/PAEQD44G"],"itemData":{"id":465,"type":"article-journal","title":"Prediction of the efficacy of immunotherapy by measuring the integrity of cell-free DNA in plasma in colorectal cancer","container-title":"Cancer Science","page":"1825-1829","volume":"107","issue":"12","source":"PubMed","abstract":"We previously reported a phase II study of a cancer vaccine using five novel peptides recognized by HLA-A*2402-restricted CTL in combination with oxaliplatin-containing chemotherapy (FXV study) as first-line therapy for patients with metastatic colorectal cancer and demonstrated the safety and promising potential of our five-peptide cocktail. The objective of this analysis was to identify predictive biomarkers for identifying patients who are likely to receive a clinical benefit from immunochemotherapy. Circulating cell-free DNA (cfDNA) in plasma has been reported to be a candidate molecular biomarker for the efficacy of anticancer therapy. Unlike uniformly truncated small-sized DNA released from apoptotic normal cells, DNA released from necrotic cancer cells varies in size. The integrity of plasma cfDNA (i.e. the ratio of longer fragments [400 bp] to shorter fragments [100 bp] of cfDNA), may be clinically useful for detecting colorectal cancer progression. We assessed plasma samples collected from 93 patients prior to receiving immunochemotherapy. The cfDNA levels and integrity were analyzed by semi-quantitative real-time PCR. Progression-free survival was significantly better in patients with a low plasma cfDNA integrity value than in those with a high value (P = 0.0027). Surprisingly, in the HLA-A*2402-matched group, patients with a low plasma cfDNA integrity value had significantly better progression-free survival than those with a high value (P = 0.0015). This difference was not observed in the HLA-A*2402-unmatched group. In conclusion, the integrity of plasma cfDNA may provide important clinical information and may be a useful predictive biomarker of the outcome of immunotherapy in metastatic colorectal cancer.","DOI":"10.1111/cas.13085","ISSN":"1349-7006","note":"PMID: 27663862\nPMCID: PMC5199104","journalAbbreviation":"Cancer Sci.","language":"eng","author":[{"family":"Kitahara","given":"Masahiro"},{"family":"Hazama","given":"Shoichi"},{"family":"Tsunedomi","given":"Ryouichi"},{"family":"Takenouchi","given":"Hiroko"},{"family":"Kanekiyo","given":"Shinsuke"},{"family":"Inoue","given":"Yuka"},{"family":"Nakajima","given":"Masao"},{"family":"Tomochika","given":"Shinobu"},{"family":"Tokuhisa","given":"Yoshihiro"},{"family":"Iida","given":"Michihisa"},{"family":"Sakamoto","given":"Kazuhiko"},{"family":"Suzuki","given":"Nobuaki"},{"family":"Takeda","given":"Shigeru"},{"family":"Ueno","given":"Tomio"},{"family":"Yamamoto","given":"Shigeru"},{"family":"Yoshino","given":"Shigefumi"},{"family":"Nagano","given":"Hiroaki"}],"issued":{"date-parts":[["2016",12]]}}},{"id":"D1GMNV0O/oyuGI5EP","uris":["http://zotero.org/users/4804376/items/MRWGPVIG"],"uri":["http://zotero.org/users/4804376/items/MRWGPVIG"],"itemData":{"id":571,"type":"article-journal","title":"Clinical validation of prospective liquid biopsy monitoring in patients with wild-type RAS metastatic colorectal cancer treated with FOLFIRI-cetuximab","container-title":"Oncotarget","page":"35289-35300","volume":"8","issue":"21","source":"PubMed","abstract":"Cancer genomics and translational medicine rely on the molecular profiling of patient's tumor obtained during surgery or biopsy. Alternatively, blood is a less invasive source of tumor DNA shed, amongst other ways, as cell-free DNA (cfDNA). Highly-sensitive assays capable to detect cancer genetic events from patient's blood plasma became popularly known as liquid biopsy (LqB). Importantly, retrospective studies including small number of selected patients with metastatic colorectal cancer (mCRC) patients treated with anti-EGFR therapy have shown LqB capable to detect the acquired clonal mutations in RAS genes leading to therapy resistance. However, the usefulness of LqB in the real-life clinical monitoring of these patients still lack additional validation on controlled studies. In this context, we designed a prospective LqB clinical trial to monitor newly diagnosed KRAS wild-type (wt) mCRC patients who received a standard FOLFIRI-cetuximab regimen. We used BEAMing technique for evaluate cfDNA mutations in KRAS, NRAS, BRAF, and PIK3CA in twenty-five patients during a 2-y period. A total of 2,178 cfDNA mutation analyses were performed and we observed that: a) continued wt circulating status was correlated with a prolonged response; b) smoldering increases in mutant cfDNA were correlated with acquired resistance; while c) mutation upsurge/explosion anticipated a remarkable clinical deterioration. The current study provides evidences, obtained for the first time in an unbiased and prospective manner, that reinforces the utility of LqB for monitoring mCRC patients.","DOI":"10.18632/oncotarget.13311","ISSN":"1949-2553","note":"PMID: 27852040\nPMCID: PMC5471055","journalAbbreviation":"Oncotarget","language":"eng","author":[{"family":"Toledo","given":"Rodrigo A."},{"family":"Cubillo","given":"Antonio"},{"family":"Vega","given":"Estela"},{"family":"Garralda","given":"Elena"},{"family":"Alvarez","given":"Rafael"},{"family":"Varga","given":"Lisardo U.","non-dropping-particle":"de la"},{"family":"Pascual","given":"Jesús R."},{"family":"Sánchez","given":"Gema"},{"family":"Sarno","given":"Francesca"},{"family":"Prieto","given":"Susana H."},{"family":"Perea","given":"Sofía"},{"family":"Lopéz-Casas","given":"Pedro P."},{"family":"López-Ríos","given":"Fernando"},{"family":"Hidalgo","given":"Manuel"}],"issued":{"date-parts":[["2017",5,23]]}}}],"schema":"https://github.com/citation-style-language/schema/raw/master/csl-citation.json"} </w:instrText>
      </w:r>
      <w:r w:rsidR="00C55CB1"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[109,110]</w:t>
      </w:r>
      <w:r w:rsidR="00C55CB1" w:rsidRPr="00DB7074">
        <w:rPr>
          <w:rFonts w:ascii="Book Antiqua" w:hAnsi="Book Antiqua" w:cs="Times New Roman"/>
          <w:sz w:val="24"/>
          <w:szCs w:val="24"/>
        </w:rPr>
        <w:fldChar w:fldCharType="end"/>
      </w:r>
      <w:r w:rsidR="00114F28" w:rsidRPr="00DB7074">
        <w:rPr>
          <w:rFonts w:ascii="Book Antiqua" w:hAnsi="Book Antiqua" w:cs="Times New Roman"/>
          <w:sz w:val="24"/>
          <w:szCs w:val="24"/>
        </w:rPr>
        <w:t xml:space="preserve"> and improve patient follow</w:t>
      </w:r>
      <w:r w:rsidR="00187D5E">
        <w:rPr>
          <w:rFonts w:ascii="Book Antiqua" w:hAnsi="Book Antiqua" w:cs="Times New Roman"/>
          <w:sz w:val="24"/>
          <w:szCs w:val="24"/>
        </w:rPr>
        <w:t>-</w:t>
      </w:r>
      <w:r w:rsidR="00114F28" w:rsidRPr="00DB7074">
        <w:rPr>
          <w:rFonts w:ascii="Book Antiqua" w:hAnsi="Book Antiqua" w:cs="Times New Roman"/>
          <w:sz w:val="24"/>
          <w:szCs w:val="24"/>
        </w:rPr>
        <w:t>up, allowing the earlier detection of recurrence.</w:t>
      </w:r>
    </w:p>
    <w:p w14:paraId="293EF516" w14:textId="27B897BC" w:rsidR="00446C80" w:rsidRPr="00DB7074" w:rsidRDefault="0053268C" w:rsidP="00F02A24">
      <w:pPr>
        <w:snapToGrid w:val="0"/>
        <w:spacing w:after="0" w:line="360" w:lineRule="auto"/>
        <w:ind w:firstLineChars="100" w:firstLine="240"/>
        <w:jc w:val="both"/>
        <w:rPr>
          <w:rFonts w:ascii="Book Antiqua" w:hAnsi="Book Antiqua" w:cs="Times New Roman"/>
          <w:sz w:val="24"/>
          <w:szCs w:val="24"/>
        </w:rPr>
      </w:pPr>
      <w:r w:rsidRPr="00DB7074">
        <w:rPr>
          <w:rFonts w:ascii="Book Antiqua" w:hAnsi="Book Antiqua" w:cs="Times New Roman"/>
          <w:sz w:val="24"/>
          <w:szCs w:val="24"/>
        </w:rPr>
        <w:t xml:space="preserve">As we previously mentioned, all these screening strategies and prognostic markers present many limitations. Therefore, there is still a need </w:t>
      </w:r>
      <w:r w:rsidR="00277C75" w:rsidRPr="00DB7074">
        <w:rPr>
          <w:rFonts w:ascii="Book Antiqua" w:hAnsi="Book Antiqua" w:cs="Times New Roman"/>
          <w:sz w:val="24"/>
          <w:szCs w:val="24"/>
        </w:rPr>
        <w:t>to</w:t>
      </w:r>
      <w:r w:rsidRPr="00DB7074">
        <w:rPr>
          <w:rFonts w:ascii="Book Antiqua" w:hAnsi="Book Antiqua" w:cs="Times New Roman"/>
          <w:sz w:val="24"/>
          <w:szCs w:val="24"/>
        </w:rPr>
        <w:t xml:space="preserve"> develop other effective non</w:t>
      </w:r>
      <w:r w:rsidR="00187D5E">
        <w:rPr>
          <w:rFonts w:ascii="Book Antiqua" w:hAnsi="Book Antiqua" w:cs="Times New Roman"/>
          <w:sz w:val="24"/>
          <w:szCs w:val="24"/>
        </w:rPr>
        <w:t>-</w:t>
      </w:r>
      <w:r w:rsidRPr="00DB7074">
        <w:rPr>
          <w:rFonts w:ascii="Book Antiqua" w:hAnsi="Book Antiqua" w:cs="Times New Roman"/>
          <w:sz w:val="24"/>
          <w:szCs w:val="24"/>
        </w:rPr>
        <w:t xml:space="preserve">invasive screening and prognostic tools </w:t>
      </w:r>
      <w:r w:rsidR="00277C75" w:rsidRPr="00DB7074">
        <w:rPr>
          <w:rFonts w:ascii="Book Antiqua" w:hAnsi="Book Antiqua" w:cs="Times New Roman"/>
          <w:sz w:val="24"/>
          <w:szCs w:val="24"/>
        </w:rPr>
        <w:t>to</w:t>
      </w:r>
      <w:r w:rsidRPr="00DB7074">
        <w:rPr>
          <w:rFonts w:ascii="Book Antiqua" w:hAnsi="Book Antiqua" w:cs="Times New Roman"/>
          <w:sz w:val="24"/>
          <w:szCs w:val="24"/>
        </w:rPr>
        <w:t xml:space="preserve"> replace or supplement those currently </w:t>
      </w:r>
      <w:r w:rsidR="00277C75" w:rsidRPr="00DB7074">
        <w:rPr>
          <w:rFonts w:ascii="Book Antiqua" w:hAnsi="Book Antiqua" w:cs="Times New Roman"/>
          <w:sz w:val="24"/>
          <w:szCs w:val="24"/>
        </w:rPr>
        <w:t xml:space="preserve">in </w:t>
      </w:r>
      <w:r w:rsidRPr="00DB7074">
        <w:rPr>
          <w:rFonts w:ascii="Book Antiqua" w:hAnsi="Book Antiqua" w:cs="Times New Roman"/>
          <w:sz w:val="24"/>
          <w:szCs w:val="24"/>
        </w:rPr>
        <w:t>use, with the aim</w:t>
      </w:r>
      <w:r w:rsidR="00277C75" w:rsidRPr="00DB7074">
        <w:rPr>
          <w:rFonts w:ascii="Book Antiqua" w:hAnsi="Book Antiqua" w:cs="Times New Roman"/>
          <w:sz w:val="24"/>
          <w:szCs w:val="24"/>
        </w:rPr>
        <w:t xml:space="preserve"> of</w:t>
      </w:r>
      <w:r w:rsidRPr="00DB7074">
        <w:rPr>
          <w:rFonts w:ascii="Book Antiqua" w:hAnsi="Book Antiqua" w:cs="Times New Roman"/>
          <w:sz w:val="24"/>
          <w:szCs w:val="24"/>
        </w:rPr>
        <w:t xml:space="preserve"> decreas</w:t>
      </w:r>
      <w:r w:rsidR="00277C75" w:rsidRPr="00DB7074">
        <w:rPr>
          <w:rFonts w:ascii="Book Antiqua" w:hAnsi="Book Antiqua" w:cs="Times New Roman"/>
          <w:sz w:val="24"/>
          <w:szCs w:val="24"/>
        </w:rPr>
        <w:t>ing</w:t>
      </w:r>
      <w:r w:rsidRPr="00DB7074">
        <w:rPr>
          <w:rFonts w:ascii="Book Antiqua" w:hAnsi="Book Antiqua" w:cs="Times New Roman"/>
          <w:sz w:val="24"/>
          <w:szCs w:val="24"/>
        </w:rPr>
        <w:t xml:space="preserve"> CRC mortality and optimiz</w:t>
      </w:r>
      <w:r w:rsidR="00277C75" w:rsidRPr="00DB7074">
        <w:rPr>
          <w:rFonts w:ascii="Book Antiqua" w:hAnsi="Book Antiqua" w:cs="Times New Roman"/>
          <w:sz w:val="24"/>
          <w:szCs w:val="24"/>
        </w:rPr>
        <w:t>ing</w:t>
      </w:r>
      <w:r w:rsidRPr="00DB7074">
        <w:rPr>
          <w:rFonts w:ascii="Book Antiqua" w:hAnsi="Book Antiqua" w:cs="Times New Roman"/>
          <w:sz w:val="24"/>
          <w:szCs w:val="24"/>
        </w:rPr>
        <w:t xml:space="preserve"> treatment strategies</w:t>
      </w:r>
      <w:r w:rsidR="00556620" w:rsidRPr="00DB7074">
        <w:rPr>
          <w:rFonts w:ascii="Book Antiqua" w:hAnsi="Book Antiqua" w:cs="Times New Roman"/>
          <w:sz w:val="24"/>
          <w:szCs w:val="24"/>
        </w:rPr>
        <w:t xml:space="preserve">. The study of intestinal microbiota provides new leads to identify </w:t>
      </w:r>
      <w:r w:rsidR="00366DE6" w:rsidRPr="00DB7074">
        <w:rPr>
          <w:rFonts w:ascii="Book Antiqua" w:hAnsi="Book Antiqua" w:cs="Times New Roman"/>
          <w:sz w:val="24"/>
          <w:szCs w:val="24"/>
        </w:rPr>
        <w:t xml:space="preserve">powerful </w:t>
      </w:r>
      <w:r w:rsidR="00556620" w:rsidRPr="00DB7074">
        <w:rPr>
          <w:rFonts w:ascii="Book Antiqua" w:hAnsi="Book Antiqua" w:cs="Times New Roman"/>
          <w:sz w:val="24"/>
          <w:szCs w:val="24"/>
        </w:rPr>
        <w:t>biomarkers.</w:t>
      </w:r>
    </w:p>
    <w:p w14:paraId="5E9946E3" w14:textId="77777777" w:rsidR="00634C0D" w:rsidRPr="00DB7074" w:rsidRDefault="00634C0D" w:rsidP="00F02A24">
      <w:pPr>
        <w:snapToGrid w:val="0"/>
        <w:spacing w:after="0" w:line="360" w:lineRule="auto"/>
        <w:jc w:val="both"/>
        <w:rPr>
          <w:rFonts w:ascii="Book Antiqua" w:hAnsi="Book Antiqua" w:cs="Times New Roman"/>
          <w:sz w:val="24"/>
          <w:szCs w:val="24"/>
          <w:lang w:eastAsia="zh-CN"/>
        </w:rPr>
      </w:pPr>
    </w:p>
    <w:p w14:paraId="240ED178" w14:textId="4ECD0C8B" w:rsidR="008C30EF" w:rsidRPr="00DB7074" w:rsidRDefault="006711EB" w:rsidP="00DB7074">
      <w:pPr>
        <w:pStyle w:val="Heading1"/>
        <w:snapToGrid w:val="0"/>
        <w:spacing w:before="0" w:line="360" w:lineRule="auto"/>
        <w:jc w:val="both"/>
        <w:rPr>
          <w:rFonts w:ascii="Book Antiqua" w:hAnsi="Book Antiqua"/>
          <w:b/>
          <w:color w:val="auto"/>
          <w:sz w:val="24"/>
          <w:szCs w:val="24"/>
        </w:rPr>
      </w:pPr>
      <w:r w:rsidRPr="00DB7074">
        <w:rPr>
          <w:rFonts w:ascii="Book Antiqua" w:hAnsi="Book Antiqua"/>
          <w:b/>
          <w:color w:val="auto"/>
          <w:sz w:val="24"/>
          <w:szCs w:val="24"/>
        </w:rPr>
        <w:t>MICROBIAL SIGNATURES IN CRC</w:t>
      </w:r>
    </w:p>
    <w:p w14:paraId="0CFAFF46" w14:textId="374C1A84" w:rsidR="00FA661A" w:rsidRPr="00DB7074" w:rsidRDefault="00FA661A" w:rsidP="00DB7074">
      <w:pPr>
        <w:snapToGrid w:val="0"/>
        <w:spacing w:after="0" w:line="360" w:lineRule="auto"/>
        <w:jc w:val="both"/>
        <w:rPr>
          <w:rFonts w:ascii="Book Antiqua" w:hAnsi="Book Antiqua" w:cs="Times New Roman"/>
          <w:b/>
          <w:i/>
          <w:sz w:val="24"/>
          <w:szCs w:val="24"/>
        </w:rPr>
      </w:pPr>
      <w:r w:rsidRPr="00DB7074">
        <w:rPr>
          <w:rFonts w:ascii="Book Antiqua" w:hAnsi="Book Antiqua" w:cs="Times New Roman"/>
          <w:b/>
          <w:i/>
          <w:sz w:val="24"/>
          <w:szCs w:val="24"/>
        </w:rPr>
        <w:t>Functions of intestinal microbiota on gut homeostasis</w:t>
      </w:r>
    </w:p>
    <w:p w14:paraId="141FCE83" w14:textId="689F4E15" w:rsidR="00FA661A" w:rsidRPr="00DB7074" w:rsidRDefault="00FA661A" w:rsidP="00F02A24">
      <w:pPr>
        <w:snapToGrid w:val="0"/>
        <w:spacing w:after="0" w:line="360" w:lineRule="auto"/>
        <w:jc w:val="both"/>
        <w:rPr>
          <w:rFonts w:ascii="Book Antiqua" w:hAnsi="Book Antiqua" w:cs="Times New Roman"/>
          <w:sz w:val="24"/>
          <w:szCs w:val="24"/>
        </w:rPr>
      </w:pPr>
      <w:r w:rsidRPr="00DB7074">
        <w:rPr>
          <w:rFonts w:ascii="Book Antiqua" w:hAnsi="Book Antiqua" w:cs="Times New Roman"/>
          <w:sz w:val="24"/>
          <w:szCs w:val="24"/>
        </w:rPr>
        <w:t>The int</w:t>
      </w:r>
      <w:r w:rsidR="00752243" w:rsidRPr="00DB7074">
        <w:rPr>
          <w:rFonts w:ascii="Book Antiqua" w:hAnsi="Book Antiqua" w:cs="Times New Roman"/>
          <w:sz w:val="24"/>
          <w:szCs w:val="24"/>
        </w:rPr>
        <w:t xml:space="preserve">estinal microbiota and its host </w:t>
      </w:r>
      <w:r w:rsidR="00366DE6" w:rsidRPr="00DB7074">
        <w:rPr>
          <w:rFonts w:ascii="Book Antiqua" w:hAnsi="Book Antiqua" w:cs="Times New Roman"/>
          <w:sz w:val="24"/>
          <w:szCs w:val="24"/>
        </w:rPr>
        <w:t xml:space="preserve">have </w:t>
      </w:r>
      <w:r w:rsidRPr="00DB7074">
        <w:rPr>
          <w:rFonts w:ascii="Book Antiqua" w:hAnsi="Book Antiqua" w:cs="Times New Roman"/>
          <w:sz w:val="24"/>
          <w:szCs w:val="24"/>
        </w:rPr>
        <w:t xml:space="preserve">coevolved to establish </w:t>
      </w:r>
      <w:r w:rsidR="00366DE6" w:rsidRPr="00DB7074">
        <w:rPr>
          <w:rFonts w:ascii="Book Antiqua" w:hAnsi="Book Antiqua" w:cs="Times New Roman"/>
          <w:sz w:val="24"/>
          <w:szCs w:val="24"/>
        </w:rPr>
        <w:t xml:space="preserve">a </w:t>
      </w:r>
      <w:r w:rsidRPr="00DB7074">
        <w:rPr>
          <w:rFonts w:ascii="Book Antiqua" w:hAnsi="Book Antiqua" w:cs="Times New Roman"/>
          <w:sz w:val="24"/>
          <w:szCs w:val="24"/>
        </w:rPr>
        <w:t xml:space="preserve">symbiotic relationship leading to digestive system homeostasis. Many metabolic, immunological, structural and protection functions </w:t>
      </w:r>
      <w:r w:rsidR="00366DE6" w:rsidRPr="00DB7074">
        <w:rPr>
          <w:rFonts w:ascii="Book Antiqua" w:hAnsi="Book Antiqua" w:cs="Times New Roman"/>
          <w:sz w:val="24"/>
          <w:szCs w:val="24"/>
        </w:rPr>
        <w:t xml:space="preserve">that are </w:t>
      </w:r>
      <w:r w:rsidRPr="00DB7074">
        <w:rPr>
          <w:rFonts w:ascii="Book Antiqua" w:hAnsi="Book Antiqua" w:cs="Times New Roman"/>
          <w:sz w:val="24"/>
          <w:szCs w:val="24"/>
        </w:rPr>
        <w:t xml:space="preserve">essential to the health of the host are performed by the intestinal microbiota. Thus, one of the major functions of </w:t>
      </w:r>
      <w:r w:rsidR="00366DE6" w:rsidRPr="00DB7074">
        <w:rPr>
          <w:rFonts w:ascii="Book Antiqua" w:hAnsi="Book Antiqua" w:cs="Times New Roman"/>
          <w:sz w:val="24"/>
          <w:szCs w:val="24"/>
        </w:rPr>
        <w:t xml:space="preserve">the </w:t>
      </w:r>
      <w:r w:rsidRPr="00DB7074">
        <w:rPr>
          <w:rFonts w:ascii="Book Antiqua" w:hAnsi="Book Antiqua" w:cs="Times New Roman"/>
          <w:sz w:val="24"/>
          <w:szCs w:val="24"/>
        </w:rPr>
        <w:t xml:space="preserve">gut microbiota is </w:t>
      </w:r>
      <w:r w:rsidR="00366DE6" w:rsidRPr="00DB7074">
        <w:rPr>
          <w:rFonts w:ascii="Book Antiqua" w:hAnsi="Book Antiqua" w:cs="Times New Roman"/>
          <w:sz w:val="24"/>
          <w:szCs w:val="24"/>
        </w:rPr>
        <w:t xml:space="preserve">to </w:t>
      </w:r>
      <w:r w:rsidRPr="00DB7074">
        <w:rPr>
          <w:rFonts w:ascii="Book Antiqua" w:hAnsi="Book Antiqua" w:cs="Times New Roman"/>
          <w:sz w:val="24"/>
          <w:szCs w:val="24"/>
        </w:rPr>
        <w:t>ferment complex carbohydrates in order to produce a large amount of metabolites (</w:t>
      </w:r>
      <w:r w:rsidR="00366DE6" w:rsidRPr="00DB7074">
        <w:rPr>
          <w:rFonts w:ascii="Book Antiqua" w:hAnsi="Book Antiqua" w:cs="Times New Roman"/>
          <w:sz w:val="24"/>
          <w:szCs w:val="24"/>
        </w:rPr>
        <w:t>s</w:t>
      </w:r>
      <w:r w:rsidRPr="00DB7074">
        <w:rPr>
          <w:rFonts w:ascii="Book Antiqua" w:hAnsi="Book Antiqua" w:cs="Times New Roman"/>
          <w:sz w:val="24"/>
          <w:szCs w:val="24"/>
        </w:rPr>
        <w:t xml:space="preserve">hort </w:t>
      </w:r>
      <w:r w:rsidR="00366DE6" w:rsidRPr="00DB7074">
        <w:rPr>
          <w:rFonts w:ascii="Book Antiqua" w:hAnsi="Book Antiqua" w:cs="Times New Roman"/>
          <w:sz w:val="24"/>
          <w:szCs w:val="24"/>
        </w:rPr>
        <w:t>c</w:t>
      </w:r>
      <w:r w:rsidRPr="00DB7074">
        <w:rPr>
          <w:rFonts w:ascii="Book Antiqua" w:hAnsi="Book Antiqua" w:cs="Times New Roman"/>
          <w:sz w:val="24"/>
          <w:szCs w:val="24"/>
        </w:rPr>
        <w:t xml:space="preserve">hain </w:t>
      </w:r>
      <w:r w:rsidR="00366DE6" w:rsidRPr="00DB7074">
        <w:rPr>
          <w:rFonts w:ascii="Book Antiqua" w:hAnsi="Book Antiqua" w:cs="Times New Roman"/>
          <w:sz w:val="24"/>
          <w:szCs w:val="24"/>
        </w:rPr>
        <w:t>f</w:t>
      </w:r>
      <w:r w:rsidRPr="00DB7074">
        <w:rPr>
          <w:rFonts w:ascii="Book Antiqua" w:hAnsi="Book Antiqua" w:cs="Times New Roman"/>
          <w:sz w:val="24"/>
          <w:szCs w:val="24"/>
        </w:rPr>
        <w:t xml:space="preserve">atty </w:t>
      </w:r>
      <w:r w:rsidR="00366DE6" w:rsidRPr="00DB7074">
        <w:rPr>
          <w:rFonts w:ascii="Book Antiqua" w:hAnsi="Book Antiqua" w:cs="Times New Roman"/>
          <w:sz w:val="24"/>
          <w:szCs w:val="24"/>
        </w:rPr>
        <w:t>a</w:t>
      </w:r>
      <w:r w:rsidRPr="00DB7074">
        <w:rPr>
          <w:rFonts w:ascii="Book Antiqua" w:hAnsi="Book Antiqua" w:cs="Times New Roman"/>
          <w:sz w:val="24"/>
          <w:szCs w:val="24"/>
        </w:rPr>
        <w:t>cids (SCFAs), bile acids, choline, essential vitamins</w:t>
      </w:r>
      <w:r w:rsidR="00366DE6" w:rsidRPr="00DB7074">
        <w:rPr>
          <w:rFonts w:ascii="Book Antiqua" w:hAnsi="Book Antiqua" w:cs="Times New Roman"/>
          <w:sz w:val="24"/>
          <w:szCs w:val="24"/>
        </w:rPr>
        <w:t>, etc.</w:t>
      </w:r>
      <w:r w:rsidRPr="00DB7074">
        <w:rPr>
          <w:rFonts w:ascii="Book Antiqua" w:hAnsi="Book Antiqua" w:cs="Times New Roman"/>
          <w:sz w:val="24"/>
          <w:szCs w:val="24"/>
        </w:rPr>
        <w:t>)</w:t>
      </w:r>
      <w:r w:rsidR="00366DE6" w:rsidRPr="00DB7074">
        <w:rPr>
          <w:rFonts w:ascii="Book Antiqua" w:hAnsi="Book Antiqua" w:cs="Times New Roman"/>
          <w:sz w:val="24"/>
          <w:szCs w:val="24"/>
        </w:rPr>
        <w:t>,</w:t>
      </w:r>
      <w:r w:rsidRPr="00DB7074">
        <w:rPr>
          <w:rFonts w:ascii="Book Antiqua" w:hAnsi="Book Antiqua" w:cs="Times New Roman"/>
          <w:sz w:val="24"/>
          <w:szCs w:val="24"/>
        </w:rPr>
        <w:t xml:space="preserve"> some of which represent energetic and nutrient substrates for intestinal cells</w:t>
      </w:r>
      <w:r w:rsidR="0009224E"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{"citationID":"Gu5kS5Kh","properties":{"formattedCitation":"\\super [111,112]\\nosupersub{}","plainCitation":"[111,112]","noteIndex":0},"citationItems":[{"id":"D1GMNV0O/KyFkEM6n","uris":["http://zotero.org/users/4804376/items/PXXGU6QA"],"uri":["http://zotero.org/users/4804376/items/PXXGU6QA"],"itemData":{"id":291,"type":"article-journal","title":"Bacteria as vitamin suppliers to their host: a gut microbiota perspective","container-title":"Current Opinion in Biotechnology","page":"160-168","volume":"24","issue":"2","source":"PubMed","abstract":"Food-related lactic acid bacteria (LAB) as well as human gut commensals such as bifidobacteria can de novo synthesize and supply vitamins. This is important since humans lack the biosynthetic capacity for most vitamins and these must thus be provided exogenously. Although vitamins are present in a variety of foods, deficiencies still occur, mainly due to malnutrition as a result of insufficient food intake and because of poor eating habits. Fermented milks with high levels of B-group vitamins (such as folate and riboflavin) can be produced by LAB-promoted and possibly bifidobacteria-promoted biosynthesis. Moreover, certain strains of LAB produce the complex vitamin cobalamin (or vitamin B12). In this review, fermented foods with elevated levels of B-group vitamins produced by LAB used as starter cultures will be covered. In addition, genetic abilities for vitamin biosynthesis by selected human gut commensals will be discussed.","DOI":"10.1016/j.copbio.2012.08.005","ISSN":"1879-0429","note":"PMID: 22940212","shortTitle":"Bacteria as vitamin suppliers to their host","journalAbbreviation":"Curr. Opin. Biotechnol.","language":"eng","author":[{"family":"LeBlanc","given":"Jean Guy"},{"family":"Milani","given":"Christian"},{"family":"Giori","given":"Graciela Savoy","non-dropping-particle":"de"},{"family":"Sesma","given":"Fernando"},{"family":"Sinderen","given":"Douwe","non-dropping-particle":"van"},{"family":"Ventura","given":"Marco"}],"issued":{"date-parts":[["2013",4]]}}},{"id":"D1GMNV0O/uHhmwzM5","uris":["http://zotero.org/users/4804376/items/NC2DJMZ4"],"uri":["http://zotero.org/users/4804376/items/NC2DJMZ4"],"itemData":{"id":289,"type":"article-journal","title":"Regulation of immune cell function by short-chain fatty acids","container-title":"Clinical &amp; Translational Immunology","page":"e73","volume":"5","issue":"4","source":"PubMed","abstract":"Short-chain fatty acids (SCFAs) are bacterial fermentation products, which are chemically composed by a carboxylic acid moiety and a small hydrocarbon chain. Among them, acetic, propionic and butyric acids are the most studied, presenting, respectively, two, three and four carbons in their chemical structure. These metabolites are found in high concentrations in the intestinal tract, from where they are uptaken by intestinal epithelial cells (IECs). The SCFAs are partially used as a source of ATP by these cells. In addition, these molecules act as a link between the microbiota and the immune system by modulating different aspects of IECs and leukocytes development, survival and function through activation of G protein coupled receptors (FFAR2, FFAR3, GPR109a and Olfr78) and by modulation of the activity of enzymes and transcription factors including the histone acetyltransferase and deacetylase and the hypoxia-inducible factor. Considering that, it is not a surprise, the fact that these molecules and/or their targets are suggested to have an important role in the maintenance of intestinal homeostasis and that changes in components of this system are associated with pathological conditions including inflammatory bowel disease, obesity and others. The aim of this review is to present a clear and updated description of the effects of the SCFAs derived from bacteria on host immune system, as well as the molecular mechanisms involved on them.","DOI":"10.1038/cti.2016.17","ISSN":"2050-0068","note":"PMID: 27195116\nPMCID: PMC4855267","journalAbbreviation":"Clin Transl Immunology","language":"eng","author":[{"family":"Corrêa-Oliveira","given":"Renan"},{"family":"Fachi","given":"José Luís"},{"family":"Vieira","given":"Aline"},{"family":"Sato","given":"Fabio Takeo"},{"family":"Vinolo","given":"Marco Aurélio R."}],"issued":{"date-parts":[["2016",4]]}}}],"schema":"https://github.com/citation-style-language/schema/raw/master/csl-citation.json"} </w:instrText>
      </w:r>
      <w:r w:rsidR="0009224E"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[111,112]</w:t>
      </w:r>
      <w:r w:rsidR="0009224E" w:rsidRPr="00DB7074">
        <w:rPr>
          <w:rFonts w:ascii="Book Antiqua" w:hAnsi="Book Antiqua" w:cs="Times New Roman"/>
          <w:sz w:val="24"/>
          <w:szCs w:val="24"/>
        </w:rPr>
        <w:fldChar w:fldCharType="end"/>
      </w:r>
      <w:r w:rsidRPr="00DB7074">
        <w:rPr>
          <w:rFonts w:ascii="Book Antiqua" w:hAnsi="Book Antiqua" w:cs="Times New Roman"/>
          <w:sz w:val="24"/>
          <w:szCs w:val="24"/>
        </w:rPr>
        <w:t>. Other</w:t>
      </w:r>
      <w:r w:rsidR="00366DE6" w:rsidRPr="00DB7074">
        <w:rPr>
          <w:rFonts w:ascii="Book Antiqua" w:hAnsi="Book Antiqua" w:cs="Times New Roman"/>
          <w:sz w:val="24"/>
          <w:szCs w:val="24"/>
        </w:rPr>
        <w:t>s</w:t>
      </w:r>
      <w:r w:rsidRPr="00DB7074">
        <w:rPr>
          <w:rFonts w:ascii="Book Antiqua" w:hAnsi="Book Antiqua" w:cs="Times New Roman"/>
          <w:sz w:val="24"/>
          <w:szCs w:val="24"/>
        </w:rPr>
        <w:t xml:space="preserve"> are involved in the regulation of cellular processes or </w:t>
      </w:r>
      <w:r w:rsidRPr="00DB7074">
        <w:rPr>
          <w:rFonts w:ascii="Book Antiqua" w:hAnsi="Book Antiqua" w:cs="Times New Roman"/>
          <w:sz w:val="24"/>
          <w:szCs w:val="24"/>
        </w:rPr>
        <w:lastRenderedPageBreak/>
        <w:t xml:space="preserve">participate </w:t>
      </w:r>
      <w:r w:rsidR="00366DE6" w:rsidRPr="00DB7074">
        <w:rPr>
          <w:rFonts w:ascii="Book Antiqua" w:hAnsi="Book Antiqua" w:cs="Times New Roman"/>
          <w:sz w:val="24"/>
          <w:szCs w:val="24"/>
        </w:rPr>
        <w:t>in</w:t>
      </w:r>
      <w:r w:rsidRPr="00DB7074">
        <w:rPr>
          <w:rFonts w:ascii="Book Antiqua" w:hAnsi="Book Antiqua" w:cs="Times New Roman"/>
          <w:sz w:val="24"/>
          <w:szCs w:val="24"/>
        </w:rPr>
        <w:t xml:space="preserve"> regulati</w:t>
      </w:r>
      <w:r w:rsidR="00366DE6" w:rsidRPr="00DB7074">
        <w:rPr>
          <w:rFonts w:ascii="Book Antiqua" w:hAnsi="Book Antiqua" w:cs="Times New Roman"/>
          <w:sz w:val="24"/>
          <w:szCs w:val="24"/>
        </w:rPr>
        <w:t>ng</w:t>
      </w:r>
      <w:r w:rsidRPr="00DB7074">
        <w:rPr>
          <w:rFonts w:ascii="Book Antiqua" w:hAnsi="Book Antiqua" w:cs="Times New Roman"/>
          <w:sz w:val="24"/>
          <w:szCs w:val="24"/>
        </w:rPr>
        <w:t xml:space="preserve"> hepatic lipid and glucose homeostasis</w:t>
      </w:r>
      <w:r w:rsidR="0009224E"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{"citationID":"ADKhZvsB","properties":{"formattedCitation":"\\super [112,113]\\nosupersub{}","plainCitation":"[112,113]","noteIndex":0},"citationItems":[{"id":"D1GMNV0O/03RFi3au","uris":["http://zotero.org/users/4804376/items/2SCG7JHV"],"uri":["http://zotero.org/users/4804376/items/2SCG7JHV"],"itemData":{"id":17,"type":"article-journal","title":"Formation of short chain fatty acids by the gut microbiota and their impact on human metabolism","container-title":"Gut Microbes","page":"189-200","volume":"7","issue":"3","source":"CrossRef","abstract":"The formation of SCFA is the result of a complex interplay between diet and the gut microbiota within the gut lumen environment. The discovery of receptors, across a range of cell and tissue types for which short chain fatty acids SCFA appear to be the natural ligands, has led to increased interest in SCFA as signaling molecules between the gut microbiota and the host. SCFA represent the major carbon ﬂux from the diet through the gut microbiota to the host and evidence is emerging for a regulatory role of SCFA in local, intermediary and peripheral metabolism. However, a lack of well-designed and controlled human studies has hampered our understanding of the signiﬁcance of SCFA in human metabolic health. This review aims to pull together recent ﬁndings on the role of SCFA in human metabolism to highlight the multi-faceted role of SCFA on different metabolic systems.","DOI":"10.1080/19490976.2015.1134082","ISSN":"1949-0976, 1949-0984","language":"en","author":[{"family":"Morrison","given":"Douglas J."},{"family":"Preston","given":"Tom"}],"issued":{"date-parts":[["2016",5,3]]}}},{"id":"D1GMNV0O/uHhmwzM5","uris":["http://zotero.org/users/4804376/items/NC2DJMZ4"],"uri":["http://zotero.org/users/4804376/items/NC2DJMZ4"],"itemData":{"id":289,"type":"article-journal","title":"Regulation of immune cell function by short-chain fatty acids","container-title":"Clinical &amp; Translational Immunology","page":"e73","volume":"5","issue":"4","source":"PubMed","abstract":"Short-chain fatty acids (SCFAs) are bacterial fermentation products, which are chemically composed by a carboxylic acid moiety and a small hydrocarbon chain. Among them, acetic, propionic and butyric acids are the most studied, presenting, respectively, two, three and four carbons in their chemical structure. These metabolites are found in high concentrations in the intestinal tract, from where they are uptaken by intestinal epithelial cells (IECs). The SCFAs are partially used as a source of ATP by these cells. In addition, these molecules act as a link between the microbiota and the immune system by modulating different aspects of IECs and leukocytes development, survival and function through activation of G protein coupled receptors (FFAR2, FFAR3, GPR109a and Olfr78) and by modulation of the activity of enzymes and transcription factors including the histone acetyltransferase and deacetylase and the hypoxia-inducible factor. Considering that, it is not a surprise, the fact that these molecules and/or their targets are suggested to have an important role in the maintenance of intestinal homeostasis and that changes in components of this system are associated with pathological conditions including inflammatory bowel disease, obesity and others. The aim of this review is to present a clear and updated description of the effects of the SCFAs derived from bacteria on host immune system, as well as the molecular mechanisms involved on them.","DOI":"10.1038/cti.2016.17","ISSN":"2050-0068","note":"PMID: 27195116\nPMCID: PMC4855267","journalAbbreviation":"Clin Transl Immunology","language":"eng","author":[{"family":"Corrêa-Oliveira","given":"Renan"},{"family":"Fachi","given":"José Luís"},{"family":"Vieira","given":"Aline"},{"family":"Sato","given":"Fabio Takeo"},{"family":"Vinolo","given":"Marco Aurélio R."}],"issued":{"date-parts":[["2016",4]]}}}],"schema":"https://github.com/citation-style-language/schema/raw/master/csl-citation.json"} </w:instrText>
      </w:r>
      <w:r w:rsidR="0009224E"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[112,113]</w:t>
      </w:r>
      <w:r w:rsidR="0009224E" w:rsidRPr="00DB7074">
        <w:rPr>
          <w:rFonts w:ascii="Book Antiqua" w:hAnsi="Book Antiqua" w:cs="Times New Roman"/>
          <w:sz w:val="24"/>
          <w:szCs w:val="24"/>
        </w:rPr>
        <w:fldChar w:fldCharType="end"/>
      </w:r>
      <w:r w:rsidRPr="00DB7074">
        <w:rPr>
          <w:rFonts w:ascii="Book Antiqua" w:hAnsi="Book Antiqua" w:cs="Times New Roman"/>
          <w:sz w:val="24"/>
          <w:szCs w:val="24"/>
        </w:rPr>
        <w:t xml:space="preserve">. Another </w:t>
      </w:r>
      <w:r w:rsidR="009C7B54" w:rsidRPr="00DB7074">
        <w:rPr>
          <w:rFonts w:ascii="Book Antiqua" w:hAnsi="Book Antiqua" w:cs="Times New Roman"/>
          <w:sz w:val="24"/>
          <w:szCs w:val="24"/>
        </w:rPr>
        <w:t>function</w:t>
      </w:r>
      <w:r w:rsidR="00366DE6" w:rsidRPr="00DB7074">
        <w:rPr>
          <w:rFonts w:ascii="Book Antiqua" w:hAnsi="Book Antiqua" w:cs="Times New Roman"/>
          <w:sz w:val="24"/>
          <w:szCs w:val="24"/>
        </w:rPr>
        <w:t xml:space="preserve"> of the gut microbiota</w:t>
      </w:r>
      <w:r w:rsidRPr="00DB7074">
        <w:rPr>
          <w:rFonts w:ascii="Book Antiqua" w:hAnsi="Book Antiqua" w:cs="Times New Roman"/>
          <w:sz w:val="24"/>
          <w:szCs w:val="24"/>
        </w:rPr>
        <w:t xml:space="preserve"> is the maintenance of epithelial homeostasis since commensal bacteria can promote epithelial integrity</w:t>
      </w:r>
      <w:r w:rsidR="0009224E"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{"citationID":"a7t9pqdik2","properties":{"formattedCitation":"\\super [114]\\nosupersub{}","plainCitation":"[114]","noteIndex":0},"citationItems":[{"id":"D1GMNV0O/slFoCJau","uris":["http://zotero.org/users/4804376/items/UYBGTSPT"],"uri":["http://zotero.org/users/4804376/items/UYBGTSPT"],"itemData":{"id":295,"type":"article-journal","title":"Modulation of intestinal barrier by intestinal microbiota: pathological and therapeutic implications","container-title":"Pharmacological Research","page":"42-51","volume":"69","issue":"1","source":"PubMed","abstract":"Mammals and their intestinal microbiota peacefully coexist in a mutualistic relationship. Commensal bacteria play an active role in shaping and modulating physiological processes in the host, which include, but are not restricted to, the immune system and the intestinal barrier. Both play a crucial role in containing intestinal bacteria and other potentially noxious luminal antigens within the lumen and mucosal compartment. Although mutualism defines the relationship between the host and the intestinal microbiota, disruptions in this equilibrium may promote disease. Thus, alterations in gut microbiota (dysbiosis) have been linked to the recent increased expression of obesity, allergy, autoimmunity, functional and inflammatory disorders such as irritable bowel syndrome (IBS) and inflammatory bowel disease (IBD). In this article, we review the evidence supporting a role of gut microbiota in regulating intestinal barrier function. We discuss the hypothesis that microbial factors can modulate the barrier in ways that can prevent or promote gastrointestinal disease. A better understanding of the role of the intestinal microbiota in maintaining a functional intestinal barrier may help develop targeted strategies to prevent and treat disease.","DOI":"10.1016/j.phrs.2012.10.007","ISSN":"1096-1186","note":"PMID: 23089410","shortTitle":"Modulation of intestinal barrier by intestinal microbiota","journalAbbreviation":"Pharmacol. Res.","language":"eng","author":[{"family":"Natividad","given":"Jane M. M."},{"family":"Verdu","given":"Elena F."}],"issued":{"date-parts":[["2013",3]]}}}],"schema":"https://github.com/citation-style-language/schema/raw/master/csl-citation.json"} </w:instrText>
      </w:r>
      <w:r w:rsidR="0009224E"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[114]</w:t>
      </w:r>
      <w:r w:rsidR="0009224E" w:rsidRPr="00DB7074">
        <w:rPr>
          <w:rFonts w:ascii="Book Antiqua" w:hAnsi="Book Antiqua" w:cs="Times New Roman"/>
          <w:sz w:val="24"/>
          <w:szCs w:val="24"/>
        </w:rPr>
        <w:fldChar w:fldCharType="end"/>
      </w:r>
      <w:r w:rsidRPr="00DB7074">
        <w:rPr>
          <w:rFonts w:ascii="Book Antiqua" w:hAnsi="Book Antiqua" w:cs="Times New Roman"/>
          <w:sz w:val="24"/>
          <w:szCs w:val="24"/>
        </w:rPr>
        <w:t xml:space="preserve">. They can induce structural and functional maturation of </w:t>
      </w:r>
      <w:r w:rsidR="00FA5207" w:rsidRPr="00DB7074">
        <w:rPr>
          <w:rFonts w:ascii="Book Antiqua" w:hAnsi="Book Antiqua" w:cs="Times New Roman"/>
          <w:sz w:val="24"/>
          <w:szCs w:val="24"/>
        </w:rPr>
        <w:t xml:space="preserve">the </w:t>
      </w:r>
      <w:r w:rsidRPr="00DB7074">
        <w:rPr>
          <w:rFonts w:ascii="Book Antiqua" w:hAnsi="Book Antiqua" w:cs="Times New Roman"/>
          <w:sz w:val="24"/>
          <w:szCs w:val="24"/>
        </w:rPr>
        <w:t>colonic epithelium with strong modulation of mucus cells</w:t>
      </w:r>
      <w:r w:rsidR="0009224E"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{"citationID":"a2ck73udtr3","properties":{"formattedCitation":"\\super [115]\\nosupersub{}","plainCitation":"[115]","noteIndex":0},"citationItems":[{"id":"D1GMNV0O/KlsFmV5S","uris":["http://zotero.org/users/4804376/items/GLKQ6QKI"],"uri":["http://zotero.org/users/4804376/items/GLKQ6QKI"],"itemData":{"id":297,"type":"article-journal","title":"The gut microbiota--masters of host development and physiology","container-title":"Nature Reviews. Microbiology","page":"227-238","volume":"11","issue":"4","source":"PubMed","abstract":"Establishing and maintaining beneficial interactions between the host and its associated microbiota are key requirements for host health. Although the gut microbiota has previously been studied in the context of inflammatory diseases, it has recently become clear that this microbial community has a beneficial role during normal homeostasis, modulating the host's immune system as well as influencing host development and physiology, including organ development and morphogenesis, and host metabolism. The underlying molecular mechanisms of host-microorganism interactions remain largely unknown, but recent studies have begun to identify the key signalling pathways of the cross-species homeostatic regulation between the gut microbiota and its host.","DOI":"10.1038/nrmicro2974","ISSN":"1740-1534","note":"PMID: 23435359","journalAbbreviation":"Nat. Rev. Microbiol.","language":"eng","author":[{"family":"Sommer","given":"Felix"},{"family":"Bäckhed","given":"Fredrik"}],"issued":{"date-parts":[["2013",4]]}}}],"schema":"https://github.com/citation-style-language/schema/raw/master/csl-citation.json"} </w:instrText>
      </w:r>
      <w:r w:rsidR="0009224E"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[115]</w:t>
      </w:r>
      <w:r w:rsidR="0009224E" w:rsidRPr="00DB7074">
        <w:rPr>
          <w:rFonts w:ascii="Book Antiqua" w:hAnsi="Book Antiqua" w:cs="Times New Roman"/>
          <w:sz w:val="24"/>
          <w:szCs w:val="24"/>
        </w:rPr>
        <w:fldChar w:fldCharType="end"/>
      </w:r>
      <w:r w:rsidRPr="00DB7074">
        <w:rPr>
          <w:rFonts w:ascii="Book Antiqua" w:hAnsi="Book Antiqua" w:cs="Times New Roman"/>
          <w:sz w:val="24"/>
          <w:szCs w:val="24"/>
        </w:rPr>
        <w:t xml:space="preserve">. The intestinal microbiota </w:t>
      </w:r>
      <w:r w:rsidR="00FA5207" w:rsidRPr="00DB7074">
        <w:rPr>
          <w:rFonts w:ascii="Book Antiqua" w:hAnsi="Book Antiqua" w:cs="Times New Roman"/>
          <w:sz w:val="24"/>
          <w:szCs w:val="24"/>
        </w:rPr>
        <w:t xml:space="preserve">also </w:t>
      </w:r>
      <w:r w:rsidRPr="00DB7074">
        <w:rPr>
          <w:rFonts w:ascii="Book Antiqua" w:hAnsi="Book Antiqua" w:cs="Times New Roman"/>
          <w:sz w:val="24"/>
          <w:szCs w:val="24"/>
        </w:rPr>
        <w:t>plays a fundamental role in the development, maturation and function of the host immune system</w:t>
      </w:r>
      <w:r w:rsidR="0009224E"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{"citationID":"a2ldrulmvov","properties":{"formattedCitation":"\\super [115,116]\\nosupersub{}","plainCitation":"[115,116]","noteIndex":0},"citationItems":[{"id":"D1GMNV0O/veETwwNI","uris":["http://zotero.org/users/4804376/items/GXUIS9UG"],"uri":["http://zotero.org/users/4804376/items/GXUIS9UG"],"itemData":{"id":299,"type":"article-journal","title":"The Toll-like receptor 2 pathway establishes colonization by a commensal of the human microbiota","container-title":"Science (New York, N.Y.)","page":"974-977","volume":"332","issue":"6032","source":"PubMed","abstract":"Mucosal surfaces constantly encounter microbes. Toll-like receptors (TLRs) mediate recognition of microbial patterns to eliminate pathogens. By contrast, we demonstrate that the prominent gut commensal Bacteroides fragilis activates the TLR pathway to establish host-microbial symbiosis. TLR2 on CD4(+) T cells is required for B. fragilis colonization of a unique mucosal niche in mice during homeostasis. A symbiosis factor (PSA, polysaccharide A) of B. fragilis signals through TLR2 directly on Foxp3(+) regulatory T cells to promote immunologic tolerance. B. fragilis lacking PSA is unable to restrain T helper 17 cell responses and is defective in niche-specific mucosal colonization. Therefore, commensal bacteria exploit the TLR pathway to actively suppress immunity. We propose that the immune system can discriminate between pathogens and the microbiota through recognition of symbiotic bacterial molecules in a process that engenders commensal colonization.","DOI":"10.1126/science.1206095","ISSN":"1095-9203","note":"PMID: 21512004\nPMCID: PMC3164325","journalAbbreviation":"Science","language":"eng","author":[{"family":"Round","given":"June L."},{"family":"Lee","given":"S. Melanie"},{"family":"Li","given":"Jennifer"},{"family":"Tran","given":"Gloria"},{"family":"Jabri","given":"Bana"},{"family":"Chatila","given":"Talal A."},{"family":"Mazmanian","given":"Sarkis K."}],"issued":{"date-parts":[["2011",5,20]]}}},{"id":"D1GMNV0O/KlsFmV5S","uris":["http://zotero.org/users/4804376/items/GLKQ6QKI"],"uri":["http://zotero.org/users/4804376/items/GLKQ6QKI"],"itemData":{"id":297,"type":"article-journal","title":"The gut microbiota--masters of host development and physiology","container-title":"Nature Reviews. Microbiology","page":"227-238","volume":"11","issue":"4","source":"PubMed","abstract":"Establishing and maintaining beneficial interactions between the host and its associated microbiota are key requirements for host health. Although the gut microbiota has previously been studied in the context of inflammatory diseases, it has recently become clear that this microbial community has a beneficial role during normal homeostasis, modulating the host's immune system as well as influencing host development and physiology, including organ development and morphogenesis, and host metabolism. The underlying molecular mechanisms of host-microorganism interactions remain largely unknown, but recent studies have begun to identify the key signalling pathways of the cross-species homeostatic regulation between the gut microbiota and its host.","DOI":"10.1038/nrmicro2974","ISSN":"1740-1534","note":"PMID: 23435359","journalAbbreviation":"Nat. Rev. Microbiol.","language":"eng","author":[{"family":"Sommer","given":"Felix"},{"family":"Bäckhed","given":"Fredrik"}],"issued":{"date-parts":[["2013",4]]}}}],"schema":"https://github.com/citation-style-language/schema/raw/master/csl-citation.json"} </w:instrText>
      </w:r>
      <w:r w:rsidR="0009224E"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[115,116]</w:t>
      </w:r>
      <w:r w:rsidR="0009224E" w:rsidRPr="00DB7074">
        <w:rPr>
          <w:rFonts w:ascii="Book Antiqua" w:hAnsi="Book Antiqua" w:cs="Times New Roman"/>
          <w:sz w:val="24"/>
          <w:szCs w:val="24"/>
        </w:rPr>
        <w:fldChar w:fldCharType="end"/>
      </w:r>
      <w:r w:rsidR="0009224E" w:rsidRPr="00DB7074">
        <w:rPr>
          <w:rFonts w:ascii="Book Antiqua" w:hAnsi="Book Antiqua" w:cs="Times New Roman"/>
          <w:sz w:val="24"/>
          <w:szCs w:val="24"/>
        </w:rPr>
        <w:t xml:space="preserve"> </w:t>
      </w:r>
      <w:r w:rsidRPr="00DB7074">
        <w:rPr>
          <w:rFonts w:ascii="Book Antiqua" w:hAnsi="Book Antiqua" w:cs="Times New Roman"/>
          <w:sz w:val="24"/>
          <w:szCs w:val="24"/>
        </w:rPr>
        <w:t>and also confer</w:t>
      </w:r>
      <w:r w:rsidR="00FA5207" w:rsidRPr="00DB7074">
        <w:rPr>
          <w:rFonts w:ascii="Book Antiqua" w:hAnsi="Book Antiqua" w:cs="Times New Roman"/>
          <w:sz w:val="24"/>
          <w:szCs w:val="24"/>
        </w:rPr>
        <w:t>s</w:t>
      </w:r>
      <w:r w:rsidRPr="00DB7074">
        <w:rPr>
          <w:rFonts w:ascii="Book Antiqua" w:hAnsi="Book Antiqua" w:cs="Times New Roman"/>
          <w:sz w:val="24"/>
          <w:szCs w:val="24"/>
        </w:rPr>
        <w:t xml:space="preserve"> resistance to </w:t>
      </w:r>
      <w:r w:rsidR="00FA5207" w:rsidRPr="00DB7074">
        <w:rPr>
          <w:rFonts w:ascii="Book Antiqua" w:hAnsi="Book Antiqua" w:cs="Times New Roman"/>
          <w:sz w:val="24"/>
          <w:szCs w:val="24"/>
        </w:rPr>
        <w:t xml:space="preserve">colonization by </w:t>
      </w:r>
      <w:r w:rsidRPr="00DB7074">
        <w:rPr>
          <w:rFonts w:ascii="Book Antiqua" w:hAnsi="Book Antiqua" w:cs="Times New Roman"/>
          <w:sz w:val="24"/>
          <w:szCs w:val="24"/>
        </w:rPr>
        <w:t>pathogenic microorganism</w:t>
      </w:r>
      <w:r w:rsidR="00FA5207" w:rsidRPr="00DB7074">
        <w:rPr>
          <w:rFonts w:ascii="Book Antiqua" w:hAnsi="Book Antiqua" w:cs="Times New Roman"/>
          <w:sz w:val="24"/>
          <w:szCs w:val="24"/>
        </w:rPr>
        <w:t>s</w:t>
      </w:r>
      <w:r w:rsidRPr="00DB7074">
        <w:rPr>
          <w:rFonts w:ascii="Book Antiqua" w:hAnsi="Book Antiqua" w:cs="Times New Roman"/>
          <w:sz w:val="24"/>
          <w:szCs w:val="24"/>
        </w:rPr>
        <w:t xml:space="preserve"> by competi</w:t>
      </w:r>
      <w:r w:rsidR="00FA5207" w:rsidRPr="00DB7074">
        <w:rPr>
          <w:rFonts w:ascii="Book Antiqua" w:hAnsi="Book Antiqua" w:cs="Times New Roman"/>
          <w:sz w:val="24"/>
          <w:szCs w:val="24"/>
        </w:rPr>
        <w:t>ng</w:t>
      </w:r>
      <w:r w:rsidRPr="00DB7074">
        <w:rPr>
          <w:rFonts w:ascii="Book Antiqua" w:hAnsi="Book Antiqua" w:cs="Times New Roman"/>
          <w:sz w:val="24"/>
          <w:szCs w:val="24"/>
        </w:rPr>
        <w:t xml:space="preserve"> both for nutrients and attachment sites to the intestinal epithelium, by producing and secreting antimicrobial compounds</w:t>
      </w:r>
      <w:r w:rsidR="00FA5207" w:rsidRPr="00DB7074">
        <w:rPr>
          <w:rFonts w:ascii="Book Antiqua" w:hAnsi="Book Antiqua" w:cs="Times New Roman"/>
          <w:sz w:val="24"/>
          <w:szCs w:val="24"/>
        </w:rPr>
        <w:t>,</w:t>
      </w:r>
      <w:r w:rsidRPr="00DB7074">
        <w:rPr>
          <w:rFonts w:ascii="Book Antiqua" w:hAnsi="Book Antiqua" w:cs="Times New Roman"/>
          <w:sz w:val="24"/>
          <w:szCs w:val="24"/>
        </w:rPr>
        <w:t xml:space="preserve"> such as bacteriocins, </w:t>
      </w:r>
      <w:r w:rsidR="00FA5207" w:rsidRPr="00DB7074">
        <w:rPr>
          <w:rFonts w:ascii="Book Antiqua" w:hAnsi="Book Antiqua" w:cs="Times New Roman"/>
          <w:sz w:val="24"/>
          <w:szCs w:val="24"/>
        </w:rPr>
        <w:t>and</w:t>
      </w:r>
      <w:r w:rsidRPr="00DB7074">
        <w:rPr>
          <w:rFonts w:ascii="Book Antiqua" w:hAnsi="Book Antiqua" w:cs="Times New Roman"/>
          <w:sz w:val="24"/>
          <w:szCs w:val="24"/>
        </w:rPr>
        <w:t xml:space="preserve"> by strengthening epithelial tight junctions</w:t>
      </w:r>
      <w:r w:rsidR="00C87F02"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{"citationID":"a28412h6h7f","properties":{"formattedCitation":"\\super [117]\\nosupersub{}","plainCitation":"[117]","noteIndex":0},"citationItems":[{"id":"D1GMNV0O/mQtzhKtm","uris":["http://zotero.org/users/4804376/items/E8YWGWRI"],"uri":["http://zotero.org/users/4804376/items/E8YWGWRI"],"itemData":{"id":301,"type":"article-journal","title":"Interactions between the microbiota and pathogenic bacteria in the gut","container-title":"Nature","page":"85-93","volume":"535","issue":"7610","source":"PubMed","abstract":"The microbiome has an important role in human health. Changes in the microbiota can confer resistance to or promote infection by pathogenic bacteria. Antibiotics have a profound impact on the microbiota that alters the nutritional landscape of the gut and can lead to the expansion of pathogenic populations. Pathogenic bacteria exploit microbiota-derived sources of carbon and nitrogen as nutrients and regulatory signals to promote their own growth and virulence. By eliciting inflammation, these bacteria alter the intestinal environment and use unique systems for respiration and metal acquisition to drive their expansion. Unravelling the interactions between the microbiota, the host and pathogenic bacteria will produce strategies for manipulating the microbiota against infectious diseases.","DOI":"10.1038/nature18849","ISSN":"1476-4687","note":"PMID: 27383983\nPMCID: PMC5114849","journalAbbreviation":"Nature","language":"eng","author":[{"family":"Bäumler","given":"Andreas J."},{"family":"Sperandio","given":"Vanessa"}],"issued":{"date-parts":[["2016"]],"season":"07"}}}],"schema":"https://github.com/citation-style-language/schema/raw/master/csl-citation.json"} </w:instrText>
      </w:r>
      <w:r w:rsidR="00C87F02"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[117]</w:t>
      </w:r>
      <w:r w:rsidR="00C87F02" w:rsidRPr="00DB7074">
        <w:rPr>
          <w:rFonts w:ascii="Book Antiqua" w:hAnsi="Book Antiqua" w:cs="Times New Roman"/>
          <w:sz w:val="24"/>
          <w:szCs w:val="24"/>
        </w:rPr>
        <w:fldChar w:fldCharType="end"/>
      </w:r>
      <w:r w:rsidR="00C87F02" w:rsidRPr="00DB7074">
        <w:rPr>
          <w:rFonts w:ascii="Book Antiqua" w:hAnsi="Book Antiqua" w:cs="Times New Roman"/>
          <w:sz w:val="24"/>
          <w:szCs w:val="24"/>
        </w:rPr>
        <w:t>.</w:t>
      </w:r>
    </w:p>
    <w:p w14:paraId="23424644" w14:textId="77777777" w:rsidR="00FA661A" w:rsidRPr="00DB7074" w:rsidRDefault="00FA661A" w:rsidP="00DB7074">
      <w:pPr>
        <w:autoSpaceDE w:val="0"/>
        <w:autoSpaceDN w:val="0"/>
        <w:adjustRightInd w:val="0"/>
        <w:snapToGrid w:val="0"/>
        <w:spacing w:after="0" w:line="360" w:lineRule="auto"/>
        <w:jc w:val="both"/>
        <w:rPr>
          <w:rFonts w:ascii="Book Antiqua" w:hAnsi="Book Antiqua" w:cs="Times New Roman"/>
          <w:sz w:val="24"/>
          <w:szCs w:val="24"/>
        </w:rPr>
      </w:pPr>
    </w:p>
    <w:p w14:paraId="24DF70AF" w14:textId="2D868D13" w:rsidR="008F3865" w:rsidRPr="00DB7074" w:rsidRDefault="008F3865" w:rsidP="00DB7074">
      <w:pPr>
        <w:autoSpaceDE w:val="0"/>
        <w:autoSpaceDN w:val="0"/>
        <w:adjustRightInd w:val="0"/>
        <w:snapToGrid w:val="0"/>
        <w:spacing w:after="0" w:line="360" w:lineRule="auto"/>
        <w:jc w:val="both"/>
        <w:rPr>
          <w:rFonts w:ascii="Book Antiqua" w:hAnsi="Book Antiqua" w:cs="Times New Roman"/>
          <w:b/>
          <w:i/>
          <w:sz w:val="24"/>
          <w:szCs w:val="24"/>
        </w:rPr>
      </w:pPr>
      <w:r w:rsidRPr="00DB7074">
        <w:rPr>
          <w:rFonts w:ascii="Book Antiqua" w:hAnsi="Book Antiqua" w:cs="Times New Roman"/>
          <w:b/>
          <w:i/>
          <w:sz w:val="24"/>
          <w:szCs w:val="24"/>
        </w:rPr>
        <w:t>CRC</w:t>
      </w:r>
      <w:r w:rsidR="00187D5E">
        <w:rPr>
          <w:rFonts w:ascii="Book Antiqua" w:hAnsi="Book Antiqua" w:cs="Times New Roman"/>
          <w:b/>
          <w:i/>
          <w:sz w:val="24"/>
          <w:szCs w:val="24"/>
        </w:rPr>
        <w:t>-</w:t>
      </w:r>
      <w:r w:rsidRPr="00DB7074">
        <w:rPr>
          <w:rFonts w:ascii="Book Antiqua" w:hAnsi="Book Antiqua" w:cs="Times New Roman"/>
          <w:b/>
          <w:i/>
          <w:sz w:val="24"/>
          <w:szCs w:val="24"/>
        </w:rPr>
        <w:t xml:space="preserve">associated </w:t>
      </w:r>
      <w:r w:rsidR="00074283" w:rsidRPr="00DB7074">
        <w:rPr>
          <w:rFonts w:ascii="Book Antiqua" w:hAnsi="Book Antiqua" w:cs="Times New Roman"/>
          <w:b/>
          <w:i/>
          <w:sz w:val="24"/>
          <w:szCs w:val="24"/>
        </w:rPr>
        <w:t>gut microbiota dysbiosis</w:t>
      </w:r>
    </w:p>
    <w:p w14:paraId="5BA69115" w14:textId="32641566" w:rsidR="002A7172" w:rsidRPr="00F02A24" w:rsidRDefault="00FA661A" w:rsidP="00F02A24">
      <w:pPr>
        <w:autoSpaceDE w:val="0"/>
        <w:autoSpaceDN w:val="0"/>
        <w:adjustRightInd w:val="0"/>
        <w:snapToGrid w:val="0"/>
        <w:spacing w:after="0" w:line="360" w:lineRule="auto"/>
        <w:jc w:val="both"/>
        <w:rPr>
          <w:rFonts w:ascii="Book Antiqua" w:hAnsi="Book Antiqua" w:cs="Times New Roman"/>
          <w:b/>
          <w:sz w:val="24"/>
          <w:szCs w:val="24"/>
        </w:rPr>
      </w:pPr>
      <w:r w:rsidRPr="00DB7074">
        <w:rPr>
          <w:rFonts w:ascii="Book Antiqua" w:hAnsi="Book Antiqua" w:cs="Times New Roman"/>
          <w:b/>
          <w:sz w:val="24"/>
          <w:szCs w:val="24"/>
        </w:rPr>
        <w:t xml:space="preserve">Approaches used to study </w:t>
      </w:r>
      <w:r w:rsidR="00FA5207" w:rsidRPr="00DB7074">
        <w:rPr>
          <w:rFonts w:ascii="Book Antiqua" w:hAnsi="Book Antiqua" w:cs="Times New Roman"/>
          <w:b/>
          <w:sz w:val="24"/>
          <w:szCs w:val="24"/>
        </w:rPr>
        <w:t xml:space="preserve">the </w:t>
      </w:r>
      <w:r w:rsidRPr="00DB7074">
        <w:rPr>
          <w:rFonts w:ascii="Book Antiqua" w:hAnsi="Book Antiqua" w:cs="Times New Roman"/>
          <w:b/>
          <w:sz w:val="24"/>
          <w:szCs w:val="24"/>
        </w:rPr>
        <w:t xml:space="preserve">gut </w:t>
      </w:r>
      <w:r w:rsidR="00074283" w:rsidRPr="00DB7074">
        <w:rPr>
          <w:rFonts w:ascii="Book Antiqua" w:hAnsi="Book Antiqua" w:cs="Times New Roman"/>
          <w:b/>
          <w:sz w:val="24"/>
          <w:szCs w:val="24"/>
        </w:rPr>
        <w:t>microbiome</w:t>
      </w:r>
      <w:r w:rsidR="00F02A24">
        <w:rPr>
          <w:rFonts w:ascii="Book Antiqua" w:hAnsi="Book Antiqua" w:cs="Times New Roman" w:hint="eastAsia"/>
          <w:b/>
          <w:sz w:val="24"/>
          <w:szCs w:val="24"/>
          <w:lang w:eastAsia="zh-CN"/>
        </w:rPr>
        <w:t xml:space="preserve">: </w:t>
      </w:r>
      <w:r w:rsidR="002A7172" w:rsidRPr="00DB7074">
        <w:rPr>
          <w:rFonts w:ascii="Book Antiqua" w:hAnsi="Book Antiqua" w:cs="Times New Roman"/>
          <w:sz w:val="24"/>
          <w:szCs w:val="24"/>
        </w:rPr>
        <w:t xml:space="preserve">The </w:t>
      </w:r>
      <w:r w:rsidR="00801BF4" w:rsidRPr="00DB7074">
        <w:rPr>
          <w:rFonts w:ascii="Book Antiqua" w:hAnsi="Book Antiqua" w:cs="Times New Roman"/>
          <w:sz w:val="24"/>
          <w:szCs w:val="24"/>
        </w:rPr>
        <w:t>gut</w:t>
      </w:r>
      <w:r w:rsidR="002A7172" w:rsidRPr="00DB7074">
        <w:rPr>
          <w:rFonts w:ascii="Book Antiqua" w:hAnsi="Book Antiqua" w:cs="Times New Roman"/>
          <w:sz w:val="24"/>
          <w:szCs w:val="24"/>
        </w:rPr>
        <w:t xml:space="preserve"> microbiota </w:t>
      </w:r>
      <w:r w:rsidR="00FA5207" w:rsidRPr="00DB7074">
        <w:rPr>
          <w:rFonts w:ascii="Book Antiqua" w:hAnsi="Book Antiqua" w:cs="Times New Roman"/>
          <w:sz w:val="24"/>
          <w:szCs w:val="24"/>
        </w:rPr>
        <w:t xml:space="preserve">has </w:t>
      </w:r>
      <w:r w:rsidR="002A7172" w:rsidRPr="00DB7074">
        <w:rPr>
          <w:rFonts w:ascii="Book Antiqua" w:hAnsi="Book Antiqua" w:cs="Times New Roman"/>
          <w:sz w:val="24"/>
          <w:szCs w:val="24"/>
        </w:rPr>
        <w:t xml:space="preserve">a very large diversity of microbial populations such as bacteria, archaea, eukaryotes and viruses. </w:t>
      </w:r>
      <w:r w:rsidR="00801BF4" w:rsidRPr="00DB7074">
        <w:rPr>
          <w:rFonts w:ascii="Book Antiqua" w:hAnsi="Book Antiqua" w:cs="Times New Roman"/>
          <w:sz w:val="24"/>
          <w:szCs w:val="24"/>
        </w:rPr>
        <w:t xml:space="preserve">Because the colonic microbiota is mostly represented by bacteria, </w:t>
      </w:r>
      <w:r w:rsidR="002A7172" w:rsidRPr="00DB7074">
        <w:rPr>
          <w:rFonts w:ascii="Book Antiqua" w:hAnsi="Book Antiqua" w:cs="Times New Roman"/>
          <w:sz w:val="24"/>
          <w:szCs w:val="24"/>
        </w:rPr>
        <w:t xml:space="preserve">the bacterial community </w:t>
      </w:r>
      <w:r w:rsidR="00FA5207" w:rsidRPr="00DB7074">
        <w:rPr>
          <w:rFonts w:ascii="Book Antiqua" w:hAnsi="Book Antiqua" w:cs="Times New Roman"/>
          <w:sz w:val="24"/>
          <w:szCs w:val="24"/>
        </w:rPr>
        <w:t xml:space="preserve">is </w:t>
      </w:r>
      <w:r w:rsidR="002A7172" w:rsidRPr="00DB7074">
        <w:rPr>
          <w:rFonts w:ascii="Book Antiqua" w:hAnsi="Book Antiqua" w:cs="Times New Roman"/>
          <w:sz w:val="24"/>
          <w:szCs w:val="24"/>
        </w:rPr>
        <w:t xml:space="preserve">the most studied. Both tissue and </w:t>
      </w:r>
      <w:r w:rsidR="00507882" w:rsidRPr="00DB7074">
        <w:rPr>
          <w:rFonts w:ascii="Book Antiqua" w:hAnsi="Book Antiqua" w:cs="Times New Roman"/>
          <w:sz w:val="24"/>
          <w:szCs w:val="24"/>
        </w:rPr>
        <w:t>faec</w:t>
      </w:r>
      <w:r w:rsidR="00FA5207" w:rsidRPr="00DB7074">
        <w:rPr>
          <w:rFonts w:ascii="Book Antiqua" w:hAnsi="Book Antiqua" w:cs="Times New Roman"/>
          <w:sz w:val="24"/>
          <w:szCs w:val="24"/>
        </w:rPr>
        <w:t>al</w:t>
      </w:r>
      <w:r w:rsidR="002A7172" w:rsidRPr="00DB7074">
        <w:rPr>
          <w:rFonts w:ascii="Book Antiqua" w:hAnsi="Book Antiqua" w:cs="Times New Roman"/>
          <w:sz w:val="24"/>
          <w:szCs w:val="24"/>
        </w:rPr>
        <w:t xml:space="preserve"> samples </w:t>
      </w:r>
      <w:r w:rsidR="00FA5207" w:rsidRPr="00DB7074">
        <w:rPr>
          <w:rFonts w:ascii="Book Antiqua" w:hAnsi="Book Antiqua" w:cs="Times New Roman"/>
          <w:sz w:val="24"/>
          <w:szCs w:val="24"/>
        </w:rPr>
        <w:t>provide</w:t>
      </w:r>
      <w:r w:rsidR="002A7172" w:rsidRPr="00DB7074">
        <w:rPr>
          <w:rFonts w:ascii="Book Antiqua" w:hAnsi="Book Antiqua" w:cs="Times New Roman"/>
          <w:sz w:val="24"/>
          <w:szCs w:val="24"/>
        </w:rPr>
        <w:t xml:space="preserve"> information about the structure of bacterial populations. The analysis of tissues is more relevant for </w:t>
      </w:r>
      <w:r w:rsidR="00FA5207" w:rsidRPr="00DB7074">
        <w:rPr>
          <w:rFonts w:ascii="Book Antiqua" w:hAnsi="Book Antiqua" w:cs="Times New Roman"/>
          <w:sz w:val="24"/>
          <w:szCs w:val="24"/>
        </w:rPr>
        <w:t xml:space="preserve">evaluating the </w:t>
      </w:r>
      <w:r w:rsidR="002A7172" w:rsidRPr="00DB7074">
        <w:rPr>
          <w:rFonts w:ascii="Book Antiqua" w:hAnsi="Book Antiqua" w:cs="Times New Roman"/>
          <w:sz w:val="24"/>
          <w:szCs w:val="24"/>
        </w:rPr>
        <w:t>mechanis</w:t>
      </w:r>
      <w:r w:rsidR="00FA5207" w:rsidRPr="00DB7074">
        <w:rPr>
          <w:rFonts w:ascii="Book Antiqua" w:hAnsi="Book Antiqua" w:cs="Times New Roman"/>
          <w:sz w:val="24"/>
          <w:szCs w:val="24"/>
        </w:rPr>
        <w:t>ms of</w:t>
      </w:r>
      <w:r w:rsidR="002A7172" w:rsidRPr="00DB7074">
        <w:rPr>
          <w:rFonts w:ascii="Book Antiqua" w:hAnsi="Book Antiqua" w:cs="Times New Roman"/>
          <w:sz w:val="24"/>
          <w:szCs w:val="24"/>
        </w:rPr>
        <w:t xml:space="preserve"> microbiota involvement in physiopathology. However, sampling of mucosa</w:t>
      </w:r>
      <w:r w:rsidR="00187D5E">
        <w:rPr>
          <w:rFonts w:ascii="Book Antiqua" w:hAnsi="Book Antiqua" w:cs="Times New Roman"/>
          <w:sz w:val="24"/>
          <w:szCs w:val="24"/>
        </w:rPr>
        <w:t>-</w:t>
      </w:r>
      <w:r w:rsidR="002A7172" w:rsidRPr="00DB7074">
        <w:rPr>
          <w:rFonts w:ascii="Book Antiqua" w:hAnsi="Book Antiqua" w:cs="Times New Roman"/>
          <w:sz w:val="24"/>
          <w:szCs w:val="24"/>
        </w:rPr>
        <w:t>associated bacteria by endoscopic biopsy of intestinal tissue is an invasive procedure</w:t>
      </w:r>
      <w:r w:rsidR="007C3E4D" w:rsidRPr="00DB7074">
        <w:rPr>
          <w:rFonts w:ascii="Book Antiqua" w:hAnsi="Book Antiqua" w:cs="Times New Roman"/>
          <w:sz w:val="24"/>
          <w:szCs w:val="24"/>
        </w:rPr>
        <w:t>.</w:t>
      </w:r>
      <w:r w:rsidR="00FA5207" w:rsidRPr="00DB7074">
        <w:rPr>
          <w:rFonts w:ascii="Book Antiqua" w:hAnsi="Book Antiqua" w:cs="Times New Roman"/>
          <w:sz w:val="24"/>
          <w:szCs w:val="24"/>
        </w:rPr>
        <w:t xml:space="preserve"> </w:t>
      </w:r>
      <w:r w:rsidR="007C3E4D" w:rsidRPr="00DB7074">
        <w:rPr>
          <w:rFonts w:ascii="Book Antiqua" w:hAnsi="Book Antiqua" w:cs="Times New Roman"/>
          <w:sz w:val="24"/>
          <w:szCs w:val="24"/>
        </w:rPr>
        <w:t>I</w:t>
      </w:r>
      <w:r w:rsidR="00FA5207" w:rsidRPr="00DB7074">
        <w:rPr>
          <w:rFonts w:ascii="Book Antiqua" w:hAnsi="Book Antiqua" w:cs="Times New Roman"/>
          <w:sz w:val="24"/>
          <w:szCs w:val="24"/>
        </w:rPr>
        <w:t>t is</w:t>
      </w:r>
      <w:r w:rsidR="002A7172" w:rsidRPr="00DB7074">
        <w:rPr>
          <w:rFonts w:ascii="Book Antiqua" w:hAnsi="Book Antiqua" w:cs="Times New Roman"/>
          <w:sz w:val="24"/>
          <w:szCs w:val="24"/>
        </w:rPr>
        <w:t xml:space="preserve"> more difficult to implement than collection</w:t>
      </w:r>
      <w:r w:rsidR="00FA5207" w:rsidRPr="00DB7074">
        <w:rPr>
          <w:rFonts w:ascii="Book Antiqua" w:hAnsi="Book Antiqua" w:cs="Times New Roman"/>
          <w:sz w:val="24"/>
          <w:szCs w:val="24"/>
        </w:rPr>
        <w:t xml:space="preserve"> of a faecal sample</w:t>
      </w:r>
      <w:r w:rsidR="002A7172" w:rsidRPr="00DB7074">
        <w:rPr>
          <w:rFonts w:ascii="Book Antiqua" w:hAnsi="Book Antiqua" w:cs="Times New Roman"/>
          <w:sz w:val="24"/>
          <w:szCs w:val="24"/>
        </w:rPr>
        <w:t>, especially in healthy donors. T</w:t>
      </w:r>
      <w:r w:rsidR="008F73B0" w:rsidRPr="00DB7074">
        <w:rPr>
          <w:rFonts w:ascii="Book Antiqua" w:hAnsi="Book Antiqua" w:cs="Times New Roman"/>
          <w:sz w:val="24"/>
          <w:szCs w:val="24"/>
        </w:rPr>
        <w:t>herefore, t</w:t>
      </w:r>
      <w:r w:rsidR="002A7172" w:rsidRPr="00DB7074">
        <w:rPr>
          <w:rFonts w:ascii="Book Antiqua" w:hAnsi="Book Antiqua" w:cs="Times New Roman"/>
          <w:sz w:val="24"/>
          <w:szCs w:val="24"/>
        </w:rPr>
        <w:t xml:space="preserve">he vast majority of studies on the diversity and richness of </w:t>
      </w:r>
      <w:r w:rsidR="00FA5207" w:rsidRPr="00DB7074">
        <w:rPr>
          <w:rFonts w:ascii="Book Antiqua" w:hAnsi="Book Antiqua" w:cs="Times New Roman"/>
          <w:sz w:val="24"/>
          <w:szCs w:val="24"/>
        </w:rPr>
        <w:t xml:space="preserve">the </w:t>
      </w:r>
      <w:r w:rsidR="002A7172" w:rsidRPr="00DB7074">
        <w:rPr>
          <w:rFonts w:ascii="Book Antiqua" w:hAnsi="Book Antiqua" w:cs="Times New Roman"/>
          <w:sz w:val="24"/>
          <w:szCs w:val="24"/>
        </w:rPr>
        <w:t xml:space="preserve">gut microbiota are conducted </w:t>
      </w:r>
      <w:r w:rsidR="00FA5207" w:rsidRPr="00DB7074">
        <w:rPr>
          <w:rFonts w:ascii="Book Antiqua" w:hAnsi="Book Antiqua" w:cs="Times New Roman"/>
          <w:sz w:val="24"/>
          <w:szCs w:val="24"/>
        </w:rPr>
        <w:t xml:space="preserve">on </w:t>
      </w:r>
      <w:r w:rsidR="002A7172" w:rsidRPr="00DB7074">
        <w:rPr>
          <w:rFonts w:ascii="Book Antiqua" w:hAnsi="Book Antiqua" w:cs="Times New Roman"/>
          <w:sz w:val="24"/>
          <w:szCs w:val="24"/>
        </w:rPr>
        <w:t>stool samples</w:t>
      </w:r>
      <w:r w:rsidR="00FA5207" w:rsidRPr="00DB7074">
        <w:rPr>
          <w:rFonts w:ascii="Book Antiqua" w:hAnsi="Book Antiqua" w:cs="Times New Roman"/>
          <w:sz w:val="24"/>
          <w:szCs w:val="24"/>
        </w:rPr>
        <w:t>,</w:t>
      </w:r>
      <w:r w:rsidR="002A7172" w:rsidRPr="00DB7074">
        <w:rPr>
          <w:rFonts w:ascii="Book Antiqua" w:hAnsi="Book Antiqua" w:cs="Times New Roman"/>
          <w:sz w:val="24"/>
          <w:szCs w:val="24"/>
        </w:rPr>
        <w:t xml:space="preserve"> which </w:t>
      </w:r>
      <w:r w:rsidR="00FA5207" w:rsidRPr="00DB7074">
        <w:rPr>
          <w:rFonts w:ascii="Book Antiqua" w:hAnsi="Book Antiqua" w:cs="Times New Roman"/>
          <w:sz w:val="24"/>
          <w:szCs w:val="24"/>
        </w:rPr>
        <w:t xml:space="preserve">are </w:t>
      </w:r>
      <w:r w:rsidR="002A7172" w:rsidRPr="00DB7074">
        <w:rPr>
          <w:rFonts w:ascii="Book Antiqua" w:hAnsi="Book Antiqua" w:cs="Times New Roman"/>
          <w:sz w:val="24"/>
          <w:szCs w:val="24"/>
        </w:rPr>
        <w:t>more useful for identify</w:t>
      </w:r>
      <w:r w:rsidR="00FA5207" w:rsidRPr="00DB7074">
        <w:rPr>
          <w:rFonts w:ascii="Book Antiqua" w:hAnsi="Book Antiqua" w:cs="Times New Roman"/>
          <w:sz w:val="24"/>
          <w:szCs w:val="24"/>
        </w:rPr>
        <w:t>ing</w:t>
      </w:r>
      <w:r w:rsidR="002A7172" w:rsidRPr="00DB7074">
        <w:rPr>
          <w:rFonts w:ascii="Book Antiqua" w:hAnsi="Book Antiqua" w:cs="Times New Roman"/>
          <w:sz w:val="24"/>
          <w:szCs w:val="24"/>
        </w:rPr>
        <w:t xml:space="preserve"> diagnostic or prognostic markers for pathologies such as CRC.</w:t>
      </w:r>
    </w:p>
    <w:p w14:paraId="715EB185" w14:textId="39C75E88" w:rsidR="00FA661A" w:rsidRPr="00DB7074" w:rsidRDefault="00FA661A" w:rsidP="002D0B80">
      <w:pPr>
        <w:snapToGrid w:val="0"/>
        <w:spacing w:after="0" w:line="360" w:lineRule="auto"/>
        <w:ind w:firstLineChars="100" w:firstLine="240"/>
        <w:jc w:val="both"/>
        <w:rPr>
          <w:rFonts w:ascii="Book Antiqua" w:hAnsi="Book Antiqua" w:cs="Times New Roman"/>
          <w:sz w:val="24"/>
          <w:szCs w:val="24"/>
        </w:rPr>
      </w:pPr>
      <w:r w:rsidRPr="00DB7074">
        <w:rPr>
          <w:rFonts w:ascii="Book Antiqua" w:hAnsi="Book Antiqua" w:cs="Times New Roman"/>
          <w:sz w:val="24"/>
          <w:szCs w:val="24"/>
        </w:rPr>
        <w:t xml:space="preserve">The first data concerning the gut microbiota </w:t>
      </w:r>
      <w:r w:rsidR="00203101" w:rsidRPr="00DB7074">
        <w:rPr>
          <w:rFonts w:ascii="Book Antiqua" w:hAnsi="Book Antiqua" w:cs="Times New Roman"/>
          <w:sz w:val="24"/>
          <w:szCs w:val="24"/>
        </w:rPr>
        <w:t xml:space="preserve">were </w:t>
      </w:r>
      <w:r w:rsidRPr="00DB7074">
        <w:rPr>
          <w:rFonts w:ascii="Book Antiqua" w:hAnsi="Book Antiqua" w:cs="Times New Roman"/>
          <w:sz w:val="24"/>
          <w:szCs w:val="24"/>
        </w:rPr>
        <w:t xml:space="preserve">provided by cultural approaches. However, these </w:t>
      </w:r>
      <w:r w:rsidR="00203101" w:rsidRPr="00DB7074">
        <w:rPr>
          <w:rFonts w:ascii="Book Antiqua" w:hAnsi="Book Antiqua" w:cs="Times New Roman"/>
          <w:sz w:val="24"/>
          <w:szCs w:val="24"/>
        </w:rPr>
        <w:t>approaches</w:t>
      </w:r>
      <w:r w:rsidRPr="00DB7074">
        <w:rPr>
          <w:rFonts w:ascii="Book Antiqua" w:hAnsi="Book Antiqua" w:cs="Times New Roman"/>
          <w:sz w:val="24"/>
          <w:szCs w:val="24"/>
        </w:rPr>
        <w:t xml:space="preserve"> allow only limited </w:t>
      </w:r>
      <w:r w:rsidR="00203101" w:rsidRPr="00DB7074">
        <w:rPr>
          <w:rFonts w:ascii="Book Antiqua" w:hAnsi="Book Antiqua" w:cs="Times New Roman"/>
          <w:sz w:val="24"/>
          <w:szCs w:val="24"/>
        </w:rPr>
        <w:t xml:space="preserve">evaluation </w:t>
      </w:r>
      <w:r w:rsidRPr="00DB7074">
        <w:rPr>
          <w:rFonts w:ascii="Book Antiqua" w:hAnsi="Book Antiqua" w:cs="Times New Roman"/>
          <w:sz w:val="24"/>
          <w:szCs w:val="24"/>
        </w:rPr>
        <w:t>of this ecosystem</w:t>
      </w:r>
      <w:r w:rsidR="00203101" w:rsidRPr="00DB7074">
        <w:rPr>
          <w:rFonts w:ascii="Book Antiqua" w:hAnsi="Book Antiqua" w:cs="Times New Roman"/>
          <w:sz w:val="24"/>
          <w:szCs w:val="24"/>
        </w:rPr>
        <w:t>,</w:t>
      </w:r>
      <w:r w:rsidRPr="00DB7074">
        <w:rPr>
          <w:rFonts w:ascii="Book Antiqua" w:hAnsi="Book Antiqua" w:cs="Times New Roman"/>
          <w:sz w:val="24"/>
          <w:szCs w:val="24"/>
        </w:rPr>
        <w:t xml:space="preserve"> since less than 30% of intestinal bacteria </w:t>
      </w:r>
      <w:r w:rsidR="00203101" w:rsidRPr="00DB7074">
        <w:rPr>
          <w:rFonts w:ascii="Book Antiqua" w:hAnsi="Book Antiqua" w:cs="Times New Roman"/>
          <w:sz w:val="24"/>
          <w:szCs w:val="24"/>
        </w:rPr>
        <w:t xml:space="preserve">have been </w:t>
      </w:r>
      <w:r w:rsidRPr="00DB7074">
        <w:rPr>
          <w:rFonts w:ascii="Book Antiqua" w:hAnsi="Book Antiqua" w:cs="Times New Roman"/>
          <w:sz w:val="24"/>
          <w:szCs w:val="24"/>
        </w:rPr>
        <w:t xml:space="preserve">cultivated to date. Since the 1990s, the advent of molecular tools targeting </w:t>
      </w:r>
      <w:r w:rsidR="00203101" w:rsidRPr="00DB7074">
        <w:rPr>
          <w:rFonts w:ascii="Book Antiqua" w:hAnsi="Book Antiqua" w:cs="Times New Roman"/>
          <w:sz w:val="24"/>
          <w:szCs w:val="24"/>
        </w:rPr>
        <w:t xml:space="preserve">the </w:t>
      </w:r>
      <w:r w:rsidRPr="00DB7074">
        <w:rPr>
          <w:rFonts w:ascii="Book Antiqua" w:hAnsi="Book Antiqua" w:cs="Times New Roman"/>
          <w:sz w:val="24"/>
          <w:szCs w:val="24"/>
        </w:rPr>
        <w:t>bacterial</w:t>
      </w:r>
      <w:r w:rsidR="003D636B" w:rsidRPr="00DB7074">
        <w:rPr>
          <w:rFonts w:ascii="Book Antiqua" w:hAnsi="Book Antiqua" w:cs="Times New Roman"/>
          <w:sz w:val="24"/>
          <w:szCs w:val="24"/>
        </w:rPr>
        <w:t xml:space="preserve"> 16S ribosomal RNA (rRNA) gene </w:t>
      </w:r>
      <w:r w:rsidR="00203101" w:rsidRPr="00DB7074">
        <w:rPr>
          <w:rFonts w:ascii="Book Antiqua" w:hAnsi="Book Antiqua" w:cs="Times New Roman"/>
          <w:sz w:val="24"/>
          <w:szCs w:val="24"/>
        </w:rPr>
        <w:t xml:space="preserve">has </w:t>
      </w:r>
      <w:r w:rsidRPr="00DB7074">
        <w:rPr>
          <w:rFonts w:ascii="Book Antiqua" w:hAnsi="Book Antiqua" w:cs="Times New Roman"/>
          <w:sz w:val="24"/>
          <w:szCs w:val="24"/>
        </w:rPr>
        <w:t xml:space="preserve">revolutionized our knowledge of the gut microbiota </w:t>
      </w:r>
      <w:r w:rsidR="009C7B54" w:rsidRPr="00DB7074">
        <w:rPr>
          <w:rFonts w:ascii="Book Antiqua" w:hAnsi="Book Antiqua" w:cs="Times New Roman"/>
          <w:sz w:val="24"/>
          <w:szCs w:val="24"/>
        </w:rPr>
        <w:t>from both</w:t>
      </w:r>
      <w:r w:rsidRPr="00DB7074">
        <w:rPr>
          <w:rFonts w:ascii="Book Antiqua" w:hAnsi="Book Antiqua" w:cs="Times New Roman"/>
          <w:sz w:val="24"/>
          <w:szCs w:val="24"/>
        </w:rPr>
        <w:t xml:space="preserve"> </w:t>
      </w:r>
      <w:r w:rsidR="00A27C1E" w:rsidRPr="00DB7074">
        <w:rPr>
          <w:rFonts w:ascii="Book Antiqua" w:hAnsi="Book Antiqua" w:cs="Times New Roman"/>
          <w:sz w:val="24"/>
          <w:szCs w:val="24"/>
        </w:rPr>
        <w:t>fae</w:t>
      </w:r>
      <w:r w:rsidR="00507882" w:rsidRPr="00DB7074">
        <w:rPr>
          <w:rFonts w:ascii="Book Antiqua" w:hAnsi="Book Antiqua" w:cs="Times New Roman"/>
          <w:sz w:val="24"/>
          <w:szCs w:val="24"/>
        </w:rPr>
        <w:t>ces</w:t>
      </w:r>
      <w:r w:rsidRPr="00DB7074">
        <w:rPr>
          <w:rFonts w:ascii="Book Antiqua" w:hAnsi="Book Antiqua" w:cs="Times New Roman"/>
          <w:sz w:val="24"/>
          <w:szCs w:val="24"/>
        </w:rPr>
        <w:t xml:space="preserve"> and tissues. Thus, genetic fingerprinting techni</w:t>
      </w:r>
      <w:r w:rsidR="00203101" w:rsidRPr="00DB7074">
        <w:rPr>
          <w:rFonts w:ascii="Book Antiqua" w:hAnsi="Book Antiqua" w:cs="Times New Roman"/>
          <w:sz w:val="24"/>
          <w:szCs w:val="24"/>
        </w:rPr>
        <w:t>ques</w:t>
      </w:r>
      <w:r w:rsidRPr="00DB7074">
        <w:rPr>
          <w:rFonts w:ascii="Book Antiqua" w:hAnsi="Book Antiqua" w:cs="Times New Roman"/>
          <w:sz w:val="24"/>
          <w:szCs w:val="24"/>
        </w:rPr>
        <w:t xml:space="preserve"> (</w:t>
      </w:r>
      <w:r w:rsidR="00203101" w:rsidRPr="00DB7074">
        <w:rPr>
          <w:rFonts w:ascii="Book Antiqua" w:hAnsi="Book Antiqua" w:cs="Times New Roman"/>
          <w:sz w:val="24"/>
          <w:szCs w:val="24"/>
        </w:rPr>
        <w:t>t</w:t>
      </w:r>
      <w:r w:rsidRPr="00DB7074">
        <w:rPr>
          <w:rFonts w:ascii="Book Antiqua" w:hAnsi="Book Antiqua" w:cs="Times New Roman"/>
          <w:sz w:val="24"/>
          <w:szCs w:val="24"/>
        </w:rPr>
        <w:t xml:space="preserve">erminal </w:t>
      </w:r>
      <w:r w:rsidR="00203101" w:rsidRPr="00DB7074">
        <w:rPr>
          <w:rFonts w:ascii="Book Antiqua" w:hAnsi="Book Antiqua" w:cs="Times New Roman"/>
          <w:sz w:val="24"/>
          <w:szCs w:val="24"/>
        </w:rPr>
        <w:t>r</w:t>
      </w:r>
      <w:r w:rsidRPr="00DB7074">
        <w:rPr>
          <w:rFonts w:ascii="Book Antiqua" w:hAnsi="Book Antiqua" w:cs="Times New Roman"/>
          <w:sz w:val="24"/>
          <w:szCs w:val="24"/>
        </w:rPr>
        <w:t xml:space="preserve">estriction </w:t>
      </w:r>
      <w:r w:rsidR="00203101" w:rsidRPr="00DB7074">
        <w:rPr>
          <w:rFonts w:ascii="Book Antiqua" w:hAnsi="Book Antiqua" w:cs="Times New Roman"/>
          <w:sz w:val="24"/>
          <w:szCs w:val="24"/>
        </w:rPr>
        <w:t>f</w:t>
      </w:r>
      <w:r w:rsidRPr="00DB7074">
        <w:rPr>
          <w:rFonts w:ascii="Book Antiqua" w:hAnsi="Book Antiqua" w:cs="Times New Roman"/>
          <w:sz w:val="24"/>
          <w:szCs w:val="24"/>
        </w:rPr>
        <w:t xml:space="preserve">ragment </w:t>
      </w:r>
      <w:r w:rsidR="00203101" w:rsidRPr="00DB7074">
        <w:rPr>
          <w:rFonts w:ascii="Book Antiqua" w:hAnsi="Book Antiqua" w:cs="Times New Roman"/>
          <w:sz w:val="24"/>
          <w:szCs w:val="24"/>
        </w:rPr>
        <w:t>l</w:t>
      </w:r>
      <w:r w:rsidRPr="00DB7074">
        <w:rPr>
          <w:rFonts w:ascii="Book Antiqua" w:hAnsi="Book Antiqua" w:cs="Times New Roman"/>
          <w:sz w:val="24"/>
          <w:szCs w:val="24"/>
        </w:rPr>
        <w:t xml:space="preserve">ength </w:t>
      </w:r>
      <w:r w:rsidR="00203101" w:rsidRPr="00DB7074">
        <w:rPr>
          <w:rFonts w:ascii="Book Antiqua" w:hAnsi="Book Antiqua" w:cs="Times New Roman"/>
          <w:sz w:val="24"/>
          <w:szCs w:val="24"/>
        </w:rPr>
        <w:t>p</w:t>
      </w:r>
      <w:r w:rsidRPr="00DB7074">
        <w:rPr>
          <w:rFonts w:ascii="Book Antiqua" w:hAnsi="Book Antiqua" w:cs="Times New Roman"/>
          <w:sz w:val="24"/>
          <w:szCs w:val="24"/>
        </w:rPr>
        <w:t>olymorphism (T</w:t>
      </w:r>
      <w:r w:rsidR="00187D5E">
        <w:rPr>
          <w:rFonts w:ascii="Book Antiqua" w:hAnsi="Book Antiqua" w:cs="Times New Roman"/>
          <w:sz w:val="24"/>
          <w:szCs w:val="24"/>
        </w:rPr>
        <w:t>-</w:t>
      </w:r>
      <w:r w:rsidRPr="00DB7074">
        <w:rPr>
          <w:rFonts w:ascii="Book Antiqua" w:hAnsi="Book Antiqua" w:cs="Times New Roman"/>
          <w:sz w:val="24"/>
          <w:szCs w:val="24"/>
        </w:rPr>
        <w:t xml:space="preserve">RFLP), </w:t>
      </w:r>
      <w:r w:rsidR="00203101" w:rsidRPr="00DB7074">
        <w:rPr>
          <w:rFonts w:ascii="Book Antiqua" w:hAnsi="Book Antiqua" w:cs="Times New Roman"/>
          <w:sz w:val="24"/>
          <w:szCs w:val="24"/>
        </w:rPr>
        <w:t>d</w:t>
      </w:r>
      <w:r w:rsidRPr="00DB7074">
        <w:rPr>
          <w:rFonts w:ascii="Book Antiqua" w:hAnsi="Book Antiqua" w:cs="Times New Roman"/>
          <w:sz w:val="24"/>
          <w:szCs w:val="24"/>
        </w:rPr>
        <w:t>enaturing</w:t>
      </w:r>
      <w:r w:rsidR="00203101" w:rsidRPr="00DB7074">
        <w:rPr>
          <w:rFonts w:ascii="Book Antiqua" w:hAnsi="Book Antiqua" w:cs="Times New Roman"/>
          <w:sz w:val="24"/>
          <w:szCs w:val="24"/>
        </w:rPr>
        <w:t xml:space="preserve"> g</w:t>
      </w:r>
      <w:r w:rsidRPr="00DB7074">
        <w:rPr>
          <w:rFonts w:ascii="Book Antiqua" w:hAnsi="Book Antiqua" w:cs="Times New Roman"/>
          <w:sz w:val="24"/>
          <w:szCs w:val="24"/>
        </w:rPr>
        <w:t xml:space="preserve">radient </w:t>
      </w:r>
      <w:r w:rsidR="00203101" w:rsidRPr="00DB7074">
        <w:rPr>
          <w:rFonts w:ascii="Book Antiqua" w:hAnsi="Book Antiqua" w:cs="Times New Roman"/>
          <w:sz w:val="24"/>
          <w:szCs w:val="24"/>
        </w:rPr>
        <w:t>g</w:t>
      </w:r>
      <w:r w:rsidRPr="00DB7074">
        <w:rPr>
          <w:rFonts w:ascii="Book Antiqua" w:hAnsi="Book Antiqua" w:cs="Times New Roman"/>
          <w:sz w:val="24"/>
          <w:szCs w:val="24"/>
        </w:rPr>
        <w:t xml:space="preserve">el </w:t>
      </w:r>
      <w:r w:rsidR="00203101" w:rsidRPr="00DB7074">
        <w:rPr>
          <w:rFonts w:ascii="Book Antiqua" w:hAnsi="Book Antiqua" w:cs="Times New Roman"/>
          <w:sz w:val="24"/>
          <w:szCs w:val="24"/>
        </w:rPr>
        <w:t>e</w:t>
      </w:r>
      <w:r w:rsidRPr="00DB7074">
        <w:rPr>
          <w:rFonts w:ascii="Book Antiqua" w:hAnsi="Book Antiqua" w:cs="Times New Roman"/>
          <w:sz w:val="24"/>
          <w:szCs w:val="24"/>
        </w:rPr>
        <w:t xml:space="preserve">lectrophoresis </w:t>
      </w:r>
      <w:r w:rsidRPr="00DB7074">
        <w:rPr>
          <w:rFonts w:ascii="Book Antiqua" w:hAnsi="Book Antiqua" w:cs="Times New Roman"/>
          <w:sz w:val="24"/>
          <w:szCs w:val="24"/>
        </w:rPr>
        <w:lastRenderedPageBreak/>
        <w:t>(DGGE), hybridization approaches (</w:t>
      </w:r>
      <w:r w:rsidR="00203101" w:rsidRPr="00DB7074">
        <w:rPr>
          <w:rFonts w:ascii="Book Antiqua" w:hAnsi="Book Antiqua" w:cs="Times New Roman"/>
          <w:sz w:val="24"/>
          <w:szCs w:val="24"/>
        </w:rPr>
        <w:t>f</w:t>
      </w:r>
      <w:r w:rsidRPr="00DB7074">
        <w:rPr>
          <w:rFonts w:ascii="Book Antiqua" w:hAnsi="Book Antiqua" w:cs="Times New Roman"/>
          <w:sz w:val="24"/>
          <w:szCs w:val="24"/>
        </w:rPr>
        <w:t xml:space="preserve">luorescence </w:t>
      </w:r>
      <w:r w:rsidR="00203101" w:rsidRPr="00DB7074">
        <w:rPr>
          <w:rFonts w:ascii="Book Antiqua" w:hAnsi="Book Antiqua" w:cs="Times New Roman"/>
          <w:sz w:val="24"/>
          <w:szCs w:val="24"/>
        </w:rPr>
        <w:t>i</w:t>
      </w:r>
      <w:r w:rsidRPr="00DB7074">
        <w:rPr>
          <w:rFonts w:ascii="Book Antiqua" w:hAnsi="Book Antiqua" w:cs="Times New Roman"/>
          <w:sz w:val="24"/>
          <w:szCs w:val="24"/>
        </w:rPr>
        <w:t xml:space="preserve">n </w:t>
      </w:r>
      <w:r w:rsidR="00203101" w:rsidRPr="00DB7074">
        <w:rPr>
          <w:rFonts w:ascii="Book Antiqua" w:hAnsi="Book Antiqua" w:cs="Times New Roman"/>
          <w:sz w:val="24"/>
          <w:szCs w:val="24"/>
        </w:rPr>
        <w:t>s</w:t>
      </w:r>
      <w:r w:rsidRPr="00DB7074">
        <w:rPr>
          <w:rFonts w:ascii="Book Antiqua" w:hAnsi="Book Antiqua" w:cs="Times New Roman"/>
          <w:sz w:val="24"/>
          <w:szCs w:val="24"/>
        </w:rPr>
        <w:t xml:space="preserve">itu </w:t>
      </w:r>
      <w:r w:rsidR="00203101" w:rsidRPr="00DB7074">
        <w:rPr>
          <w:rFonts w:ascii="Book Antiqua" w:hAnsi="Book Antiqua" w:cs="Times New Roman"/>
          <w:sz w:val="24"/>
          <w:szCs w:val="24"/>
        </w:rPr>
        <w:t>h</w:t>
      </w:r>
      <w:r w:rsidRPr="00DB7074">
        <w:rPr>
          <w:rFonts w:ascii="Book Antiqua" w:hAnsi="Book Antiqua" w:cs="Times New Roman"/>
          <w:sz w:val="24"/>
          <w:szCs w:val="24"/>
        </w:rPr>
        <w:t xml:space="preserve">ybridization (FISH), microarrays) </w:t>
      </w:r>
      <w:r w:rsidR="00203101" w:rsidRPr="00DB7074">
        <w:rPr>
          <w:rFonts w:ascii="Book Antiqua" w:hAnsi="Book Antiqua" w:cs="Times New Roman"/>
          <w:sz w:val="24"/>
          <w:szCs w:val="24"/>
        </w:rPr>
        <w:t>and</w:t>
      </w:r>
      <w:r w:rsidRPr="00DB7074">
        <w:rPr>
          <w:rFonts w:ascii="Book Antiqua" w:hAnsi="Book Antiqua" w:cs="Times New Roman"/>
          <w:sz w:val="24"/>
          <w:szCs w:val="24"/>
        </w:rPr>
        <w:t xml:space="preserve"> clone library analysis have been applied to </w:t>
      </w:r>
      <w:r w:rsidR="00203101" w:rsidRPr="00DB7074">
        <w:rPr>
          <w:rFonts w:ascii="Book Antiqua" w:hAnsi="Book Antiqua" w:cs="Times New Roman"/>
          <w:sz w:val="24"/>
          <w:szCs w:val="24"/>
        </w:rPr>
        <w:t xml:space="preserve">provide </w:t>
      </w:r>
      <w:r w:rsidRPr="00DB7074">
        <w:rPr>
          <w:rFonts w:ascii="Book Antiqua" w:hAnsi="Book Antiqua" w:cs="Times New Roman"/>
          <w:sz w:val="24"/>
          <w:szCs w:val="24"/>
        </w:rPr>
        <w:t>a more complete description of its structure</w:t>
      </w:r>
      <w:r w:rsidR="0009224E"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{"citationID":"rZlO8A5M","properties":{"formattedCitation":"\\super [118\\uc0\\u8211{}122]\\nosupersub{}","plainCitation":"[118–122]","noteIndex":0},"citationItems":[{"id":"D1GMNV0O/jHB3ZNkW","uris":["http://zotero.org/users/4804376/items/RZ7FIHH6"],"uri":["http://zotero.org/users/4804376/items/RZ7FIHH6"],"itemData":{"id":303,"type":"article-journal","title":"Phylogenetic analysis of the human gut microbiota using 16S rDNA clone libraries and strictly anaerobic culture-based methods","container-title":"Microbiology and Immunology","page":"535-548","volume":"46","issue":"8","source":"PubMed","abstract":"The human gut microbiota from three healthy subjects were compared by the use of a sequence analysis of 16S rDNA libraries and a culture-based method. Direct counts ranged from 1.9 X 10\" to 4.0 X 10\" cells/g (wet weight), and plate counts totaled 6.6 X 10(10) to 1.2 X 10(11) CFU/g (wet weight). Sixty to seventy percent of the bacteria in the human intestinal tract cannot be cultured with currently available methods. The 16S rDNA libraries from three subjects were generated from total community DNA in the intestinal tract with universal primer sets. Randomly selected clones were partially sequenced. All purified colonies detected from the surface of the agar plate were used for a partial sequencing of 16S rDNA. On the basis of sequence similarities, the clones and colonies were classified into several clusters corresponding to the major phylum of the domain Bacteria. Among a total of 744 clones obtained, approximately 25% of them belonged to 31 known species. About 75% of the remaining clones were novel \"phylotypes\" (at least 98% similarity of clone sequence). The predominant intestinal microbial community consisted of 130 species or phylotypes according to the sequence data in this study. The 16S rDNA libraries and colonies included the Bacteroides group, Streptococcus group, Bifidobacterium group, and Clostridium rRNA clusters IV, IX, XIVa, and XVIII. Moreover, several previously uncharacterized and uncultured microorganisms were recognized in clone libraries and colonies. Our results also showed marked individual differences in the composition of intestinal microbiota.","ISSN":"0385-5600","note":"PMID: 12363017","journalAbbreviation":"Microbiol. Immunol.","language":"eng","author":[{"family":"Hayashi","given":"Hidenori"},{"family":"Sakamoto","given":"Mitsuo"},{"family":"Benno","given":"Yoshimi"}],"issued":{"date-parts":[["2002"]]}}},{"id":"D1GMNV0O/74z27cCU","uris":["http://zotero.org/users/4804376/items/BXC2K8YC"],"uri":["http://zotero.org/users/4804376/items/BXC2K8YC"],"itemData":{"id":305,"type":"article-journal","title":"Novel phylogenetic assignment database for terminal-restriction fragment length polymorphism analysis of human colonic microbiota","container-title":"Journal of Microbiological Methods","page":"305-319","volume":"61","issue":"3","source":"PubMed","abstract":"Various molecular-biological approaches using the 16S rRNA gene sequence have been used for the analysis of human colonic microbiota. Terminal- restriction fragment length polymorphism (T-RFLP) analysis is suitable for a rapid comparison of complex bacterial communities. Terminal-restriction fragment (T-RF) length can be calculated from a known sequence, thus one can predict bacterial species on the basis of their T-RF length by this analysis. The aim of this study was to build a phylogenetic assignment database for T-RFLP analysis of human colonic microbiota (PAD-HCM), and to demonstrate the effectiveness of PAD-HCM compared with the results of 16S rRNA gene clone library analysis. PAD-HCM was completed to include 342 sequence data obtained using four restriction enzymes. Approximately 80% of the total clones detected by 16S rRNA gene clone library analysis were the same bacterial species or phylotypes as those assigned from T-RF using PAD-HCM. Moreover, large T-RFs consisted of common species or phylotypes detected by both analytical methods. All pseudo-T-RFs identified by mung bean nuclease digestion could not be assigned to a bacterial species or phylotype, and this finding shows that pseudo-T-RFs can also be predicted using PAD-HCM. We conclude that PAD-HCM built in this study enables the prediction of T-RFs at the species level including difficult-to-culture bacteria, and that it is very useful for the T-RFLP analysis of human colonic microbiota.","DOI":"10.1016/j.mimet.2004.12.009","ISSN":"0167-7012","note":"PMID: 15767007","journalAbbreviation":"J. Microbiol. Methods","language":"eng","author":[{"family":"Matsumoto","given":"Mitsuharu"},{"family":"Sakamoto","given":"Mitsuo"},{"family":"Hayashi","given":"Hidenori"},{"family":"Benno","given":"Yoshimi"}],"issued":{"date-parts":[["2005",6]]}}},{"id":"D1GMNV0O/jKV8H5zL","uris":["http://zotero.org/users/4804376/items/9BVIBNN2"],"uri":["http://zotero.org/users/4804376/items/9BVIBNN2"],"itemData":{"id":307,"type":"article-journal","title":"Gut bacterial diversity of the tribes of India and comparison with the worldwide data","container-title":"Scientific Reports","page":"18563","volume":"5","source":"PubMed","abstract":"The gut bacteria exert phenotypic traits to the host but the factors which determine the gut bacterial profile (GBP) is poorly understood. This study aimed to understand the effect of ethnicity and geography on GBP of Mongoloid and Proto-Australoid tribes of India. Fecal bacterial diversity was studied in fifteen tribal populations representing four geographic regions (Assam, Telangana, Manipur and Sikkim) by DGGE followed by NGS analysis on Illumina MiSeq platform. Geography and diet had significant effect on GBP of the Indian tribes which was dominated by Prevotella. The effects were more prominent with lower taxonomic levels, indicating probable functional redundancy of the core GBP. A comparison with the worldwide data revealed that GBP of the Indian population was similar to the Mongolian population (Mongolia). The bacterial genera Faecalibacterium, Eubacterium, Clostridium, Blautia, Ruminococcus and Roseburia were found to be core genera in the representative populations of the world.","DOI":"10.1038/srep18563","ISSN":"2045-2322","note":"PMID: 26689136\nPMCID: PMC4686986","journalAbbreviation":"Sci Rep","language":"eng","author":[{"family":"Dehingia","given":"Madhusmita"},{"family":"Devi","given":"Kanchal Thangjam"},{"family":"Talukdar","given":"Narayan C."},{"family":"Talukdar","given":"Rupjyoti"},{"family":"Reddy","given":"Nageshwar"},{"family":"Mande","given":"Sharmila S."},{"family":"Deka","given":"Manab"},{"family":"Khan","given":"Mojibur R."}],"issued":{"date-parts":[["2015",12,22]]}}},{"id":"D1GMNV0O/2BGr8yNv","uris":["http://zotero.org/users/4804376/items/LLDL8AMK"],"uri":["http://zotero.org/users/4804376/items/LLDL8AMK"],"itemData":{"id":309,"type":"article-journal","title":"Abundance and Diversity of Hydrogenotrophic Microorganisms in the Infant Gut before the Weaning Period Assessed by Denaturing Gradient Gel Electrophoresis and Quantitative PCR","container-title":"Frontiers in Nutrition","page":"29","volume":"4","source":"PubMed","abstract":"Delivery mode (natural vs. cesarean) and feeding type (breast vs. formula feeding) are relevant factors for neonatal gut colonization. Biomolecular methods have shown that the ecological structure of infant microbiota is more complex than previously proposed, suggesting a relevant presence of unculturable bacteria. It has also been postulated that among unculturable bacteria, hydrogenotrophic populations might play a key role in infant health. Sulfate-reducing bacteria (SRB), acetogens, and methanogenic archaea use hydrogenotrophic pathways within the human colon. However, to date, few studies have reported detection of hydrogenotrophic microorganisms in newborns, possibly because of limitations on available group-specific, culture-independent quantification procedures. In the present work, we analyzed 16 fecal samples of healthy babies aged 1-6</w:instrText>
      </w:r>
      <w:r w:rsidR="002A773B" w:rsidRPr="00DB7074">
        <w:rPr>
          <w:rFonts w:ascii="Times New Roman" w:hAnsi="Times New Roman" w:cs="Times New Roman"/>
          <w:sz w:val="24"/>
          <w:szCs w:val="24"/>
        </w:rPr>
        <w:instrText> </w:instrText>
      </w:r>
      <w:r w:rsidR="002A773B" w:rsidRPr="00DB7074">
        <w:rPr>
          <w:rFonts w:ascii="Book Antiqua" w:hAnsi="Book Antiqua" w:cs="Times New Roman"/>
          <w:sz w:val="24"/>
          <w:szCs w:val="24"/>
        </w:rPr>
        <w:instrText xml:space="preserve">months by means of quantitative PCR (qPCR) targeting the 16S rRNA or metabolic functional genes and by denaturing gradient gel electrophoresis (DGGE). qPCR data showed quantifiable levels of methanogens, SRB, and acetogens in all samples, indicating that the relative abundances of these microbial groups were not affected by delivery mode (natural vs. caesarian). DGGE revealed a high prevalence of theBlautiagenus within the acetogenic bacteria despite strong interindividual variability. Our preliminary results suggest that hydrogenotrophic microorganisms, which have been a neglected group to date, should be included in future ecological and metabolic studies evaluating the infant intestinal microbiota.","DOI":"10.3389/fnut.2017.00029","ISSN":"2296-861X","note":"PMID: 28695121\nPMCID: PMC5483434","journalAbbreviation":"Front Nutr","language":"eng","author":[{"family":"Sagheddu","given":"Valeria"},{"family":"Patrone","given":"Vania"},{"family":"Miragoli","given":"Francesco"},{"family":"Morelli","given":"Lorenzo"}],"issued":{"date-parts":[["2017"]]}}},{"id":"D1GMNV0O/Dldznul7","uris":["http://zotero.org/users/4804376/items/WMND2C7V"],"uri":["http://zotero.org/users/4804376/items/WMND2C7V"],"itemData":{"id":311,"type":"article-journal","title":"Impact of humic acids on the colonic microbiome in healthy volunteers","container-title":"World Journal of Gastroenterology","page":"885-890","volume":"23","issue":"5","source":"PubMed","abstract":"AIM: To test the effects of humic acids on innate microbial communities of the colon.\nMETHODS: We followed the effects of oral supplementation with humic acids (Activomin®) on concentrations and composition of colonic microbiome in 14 healthy volunteers for 45 d. 3 × 800 mg Activomin®were taken orally for 10 d followed by 3 × 400 mg for 35 d. Colonic microbiota were investigated using multicolor fluorescencein situhybridization (FISH) of Carnoy fixated and paraffin embedded stool cylinders. Two stool samples were collected a week prior to therapy and one stool sample on days 10, 31 and 45. Forty-one FISH probes representing different bacterial groups were used.\nRESULTS: The sum concentration of colonic microbiota increased from 20% at day 10 to 30% by day 31 and remained stable until day 45 (32%) of humic acid supplementation (P&lt; 0.001). The increase in the concentrations in each person was due to growth of preexisting groups. The individual microbial profile of the patients remained unchanged. Similarly, the bacterial diversity remained stable. Concentrations of 24 of the 35 substantial groups increased from 20% to 96%. Two bacterial groups detected with Bac303 (Bacteroides) and Myc657 (mycolic acid-containingActinomycetes) FISH probes decreased (P&gt; 0.05). The others remained unaffected. Bacterial groups with initially marginal concentrations (&lt; 0.1 × 109/mL) demonstrated no response to humic acids. The concentrations of pioneer groups ofBifidobacteriaceae,EnterobacteriaceaeandClostridium difficileincreased but the observed differences were statistically not significant.\nCONCLUSION: Humic acids have a profound effect on healthy colonic microbiome and may be potentially interesting substances for the development of drugs that control the innate colonic microbiome.","DOI":"10.3748/wjg.v23.i5.885","ISSN":"2219-2840","note":"PMID: 28223733\nPMCID: PMC5296205","journalAbbreviation":"World J. Gastroenterol.","language":"eng","author":[{"family":"Swidsinski","given":"Alexander"},{"family":"Dörffel","given":"Yvonne"},{"family":"Loening-Baucke","given":"Vera"},{"family":"Gille","given":"Christoph"},{"family":"Reißhauer","given":"Anne"},{"family":"Göktas","given":"Onder"},{"family":"Krüger","given":"Monika"},{"family":"Neuhaus","given":"Jürgen"},{"family":"Schrödl","given":"Wieland"}],"issued":{"date-parts":[["2017",2,7]]}}}],"schema":"https://github.com/citation-style-language/schema/raw/master/csl-citation.json"} </w:instrText>
      </w:r>
      <w:r w:rsidR="0009224E"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[118–122]</w:t>
      </w:r>
      <w:r w:rsidR="0009224E" w:rsidRPr="00DB7074">
        <w:rPr>
          <w:rFonts w:ascii="Book Antiqua" w:hAnsi="Book Antiqua" w:cs="Times New Roman"/>
          <w:sz w:val="24"/>
          <w:szCs w:val="24"/>
        </w:rPr>
        <w:fldChar w:fldCharType="end"/>
      </w:r>
      <w:r w:rsidRPr="00DB7074">
        <w:rPr>
          <w:rFonts w:ascii="Book Antiqua" w:hAnsi="Book Antiqua" w:cs="Times New Roman"/>
          <w:sz w:val="24"/>
          <w:szCs w:val="24"/>
        </w:rPr>
        <w:t xml:space="preserve">. </w:t>
      </w:r>
      <w:r w:rsidR="00507882" w:rsidRPr="00DB7074">
        <w:rPr>
          <w:rFonts w:ascii="Book Antiqua" w:hAnsi="Book Antiqua" w:cs="Times New Roman"/>
          <w:sz w:val="24"/>
          <w:szCs w:val="24"/>
        </w:rPr>
        <w:t>Currently</w:t>
      </w:r>
      <w:r w:rsidRPr="00DB7074">
        <w:rPr>
          <w:rFonts w:ascii="Book Antiqua" w:hAnsi="Book Antiqua" w:cs="Times New Roman"/>
          <w:sz w:val="24"/>
          <w:szCs w:val="24"/>
        </w:rPr>
        <w:t>, quantitative PCR (Q-PCR) and 16S rRNA gene next</w:t>
      </w:r>
      <w:r w:rsidR="00203101" w:rsidRPr="00DB7074">
        <w:rPr>
          <w:rFonts w:ascii="Book Antiqua" w:hAnsi="Book Antiqua" w:cs="Times New Roman"/>
          <w:sz w:val="24"/>
          <w:szCs w:val="24"/>
        </w:rPr>
        <w:t>-</w:t>
      </w:r>
      <w:r w:rsidRPr="00DB7074">
        <w:rPr>
          <w:rFonts w:ascii="Book Antiqua" w:hAnsi="Book Antiqua" w:cs="Times New Roman"/>
          <w:sz w:val="24"/>
          <w:szCs w:val="24"/>
        </w:rPr>
        <w:t xml:space="preserve">generation sequencing (NGS) </w:t>
      </w:r>
      <w:r w:rsidR="00203101" w:rsidRPr="00DB7074">
        <w:rPr>
          <w:rFonts w:ascii="Book Antiqua" w:hAnsi="Book Antiqua" w:cs="Times New Roman"/>
          <w:sz w:val="24"/>
          <w:szCs w:val="24"/>
        </w:rPr>
        <w:t xml:space="preserve">are </w:t>
      </w:r>
      <w:r w:rsidRPr="00DB7074">
        <w:rPr>
          <w:rFonts w:ascii="Book Antiqua" w:hAnsi="Book Antiqua" w:cs="Times New Roman"/>
          <w:sz w:val="24"/>
          <w:szCs w:val="24"/>
        </w:rPr>
        <w:t xml:space="preserve">the most used </w:t>
      </w:r>
      <w:r w:rsidR="009C7B54" w:rsidRPr="00DB7074">
        <w:rPr>
          <w:rFonts w:ascii="Book Antiqua" w:hAnsi="Book Antiqua" w:cs="Times New Roman"/>
          <w:sz w:val="24"/>
          <w:szCs w:val="24"/>
        </w:rPr>
        <w:t xml:space="preserve">methods </w:t>
      </w:r>
      <w:r w:rsidR="00203101" w:rsidRPr="00DB7074">
        <w:rPr>
          <w:rFonts w:ascii="Book Antiqua" w:hAnsi="Book Antiqua" w:cs="Times New Roman"/>
          <w:sz w:val="24"/>
          <w:szCs w:val="24"/>
        </w:rPr>
        <w:t>for</w:t>
      </w:r>
      <w:r w:rsidRPr="00DB7074">
        <w:rPr>
          <w:rFonts w:ascii="Book Antiqua" w:hAnsi="Book Antiqua" w:cs="Times New Roman"/>
          <w:sz w:val="24"/>
          <w:szCs w:val="24"/>
        </w:rPr>
        <w:t xml:space="preserve"> describ</w:t>
      </w:r>
      <w:r w:rsidR="00203101" w:rsidRPr="00DB7074">
        <w:rPr>
          <w:rFonts w:ascii="Book Antiqua" w:hAnsi="Book Antiqua" w:cs="Times New Roman"/>
          <w:sz w:val="24"/>
          <w:szCs w:val="24"/>
        </w:rPr>
        <w:t>ing</w:t>
      </w:r>
      <w:r w:rsidRPr="00DB7074">
        <w:rPr>
          <w:rFonts w:ascii="Book Antiqua" w:hAnsi="Book Antiqua" w:cs="Times New Roman"/>
          <w:sz w:val="24"/>
          <w:szCs w:val="24"/>
        </w:rPr>
        <w:t xml:space="preserve"> the </w:t>
      </w:r>
      <w:r w:rsidR="00203101" w:rsidRPr="00DB7074">
        <w:rPr>
          <w:rFonts w:ascii="Book Antiqua" w:hAnsi="Book Antiqua" w:cs="Times New Roman"/>
          <w:sz w:val="24"/>
          <w:szCs w:val="24"/>
        </w:rPr>
        <w:t xml:space="preserve">composition of the </w:t>
      </w:r>
      <w:r w:rsidRPr="00DB7074">
        <w:rPr>
          <w:rFonts w:ascii="Book Antiqua" w:hAnsi="Book Antiqua" w:cs="Times New Roman"/>
          <w:sz w:val="24"/>
          <w:szCs w:val="24"/>
        </w:rPr>
        <w:t xml:space="preserve">intestinal bacterial community and therefore </w:t>
      </w:r>
      <w:r w:rsidR="00203101" w:rsidRPr="00DB7074">
        <w:rPr>
          <w:rFonts w:ascii="Book Antiqua" w:hAnsi="Book Antiqua" w:cs="Times New Roman"/>
          <w:sz w:val="24"/>
          <w:szCs w:val="24"/>
        </w:rPr>
        <w:t>for</w:t>
      </w:r>
      <w:r w:rsidRPr="00DB7074">
        <w:rPr>
          <w:rFonts w:ascii="Book Antiqua" w:hAnsi="Book Antiqua" w:cs="Times New Roman"/>
          <w:sz w:val="24"/>
          <w:szCs w:val="24"/>
        </w:rPr>
        <w:t xml:space="preserve"> compar</w:t>
      </w:r>
      <w:r w:rsidR="00203101" w:rsidRPr="00DB7074">
        <w:rPr>
          <w:rFonts w:ascii="Book Antiqua" w:hAnsi="Book Antiqua" w:cs="Times New Roman"/>
          <w:sz w:val="24"/>
          <w:szCs w:val="24"/>
        </w:rPr>
        <w:t>ing</w:t>
      </w:r>
      <w:r w:rsidRPr="00DB7074">
        <w:rPr>
          <w:rFonts w:ascii="Book Antiqua" w:hAnsi="Book Antiqua" w:cs="Times New Roman"/>
          <w:sz w:val="24"/>
          <w:szCs w:val="24"/>
        </w:rPr>
        <w:t xml:space="preserve"> the gut microbiota of healthy individual </w:t>
      </w:r>
      <w:r w:rsidR="009C7B54" w:rsidRPr="00DB7074">
        <w:rPr>
          <w:rFonts w:ascii="Book Antiqua" w:hAnsi="Book Antiqua" w:cs="Times New Roman"/>
          <w:sz w:val="24"/>
          <w:szCs w:val="24"/>
        </w:rPr>
        <w:t xml:space="preserve">to </w:t>
      </w:r>
      <w:r w:rsidR="00203101" w:rsidRPr="00DB7074">
        <w:rPr>
          <w:rFonts w:ascii="Book Antiqua" w:hAnsi="Book Antiqua" w:cs="Times New Roman"/>
          <w:sz w:val="24"/>
          <w:szCs w:val="24"/>
        </w:rPr>
        <w:t xml:space="preserve">that of </w:t>
      </w:r>
      <w:r w:rsidRPr="00DB7074">
        <w:rPr>
          <w:rFonts w:ascii="Book Antiqua" w:hAnsi="Book Antiqua" w:cs="Times New Roman"/>
          <w:sz w:val="24"/>
          <w:szCs w:val="24"/>
        </w:rPr>
        <w:t xml:space="preserve">patients with diseases. Thus, modifications </w:t>
      </w:r>
      <w:r w:rsidR="00203101" w:rsidRPr="00DB7074">
        <w:rPr>
          <w:rFonts w:ascii="Book Antiqua" w:hAnsi="Book Antiqua" w:cs="Times New Roman"/>
          <w:sz w:val="24"/>
          <w:szCs w:val="24"/>
        </w:rPr>
        <w:t xml:space="preserve">in </w:t>
      </w:r>
      <w:r w:rsidRPr="00DB7074">
        <w:rPr>
          <w:rFonts w:ascii="Book Antiqua" w:hAnsi="Book Antiqua" w:cs="Times New Roman"/>
          <w:sz w:val="24"/>
          <w:szCs w:val="24"/>
        </w:rPr>
        <w:t xml:space="preserve">the </w:t>
      </w:r>
      <w:r w:rsidR="001A68A7" w:rsidRPr="00DB7074">
        <w:rPr>
          <w:rFonts w:ascii="Book Antiqua" w:hAnsi="Book Antiqua" w:cs="Times New Roman"/>
          <w:sz w:val="24"/>
          <w:szCs w:val="24"/>
        </w:rPr>
        <w:t>microbiota composition</w:t>
      </w:r>
      <w:r w:rsidRPr="00DB7074">
        <w:rPr>
          <w:rFonts w:ascii="Book Antiqua" w:hAnsi="Book Antiqua" w:cs="Times New Roman"/>
          <w:sz w:val="24"/>
          <w:szCs w:val="24"/>
        </w:rPr>
        <w:t xml:space="preserve">, also called dysbiosis, in </w:t>
      </w:r>
      <w:r w:rsidR="00507882" w:rsidRPr="00DB7074">
        <w:rPr>
          <w:rFonts w:ascii="Book Antiqua" w:hAnsi="Book Antiqua" w:cs="Times New Roman"/>
          <w:sz w:val="24"/>
          <w:szCs w:val="24"/>
        </w:rPr>
        <w:t>faeces</w:t>
      </w:r>
      <w:r w:rsidRPr="00DB7074">
        <w:rPr>
          <w:rFonts w:ascii="Book Antiqua" w:hAnsi="Book Antiqua" w:cs="Times New Roman"/>
          <w:sz w:val="24"/>
          <w:szCs w:val="24"/>
        </w:rPr>
        <w:t xml:space="preserve"> and tissues </w:t>
      </w:r>
      <w:r w:rsidR="00203101" w:rsidRPr="00DB7074">
        <w:rPr>
          <w:rFonts w:ascii="Book Antiqua" w:hAnsi="Book Antiqua" w:cs="Times New Roman"/>
          <w:sz w:val="24"/>
          <w:szCs w:val="24"/>
        </w:rPr>
        <w:t xml:space="preserve">have been </w:t>
      </w:r>
      <w:r w:rsidR="001A68A7" w:rsidRPr="00DB7074">
        <w:rPr>
          <w:rFonts w:ascii="Book Antiqua" w:hAnsi="Book Antiqua" w:cs="Times New Roman"/>
          <w:sz w:val="24"/>
          <w:szCs w:val="24"/>
        </w:rPr>
        <w:t xml:space="preserve">described </w:t>
      </w:r>
      <w:r w:rsidR="009C7B54" w:rsidRPr="00DB7074">
        <w:rPr>
          <w:rFonts w:ascii="Book Antiqua" w:hAnsi="Book Antiqua" w:cs="Times New Roman"/>
          <w:sz w:val="24"/>
          <w:szCs w:val="24"/>
        </w:rPr>
        <w:t xml:space="preserve">in </w:t>
      </w:r>
      <w:r w:rsidRPr="00DB7074">
        <w:rPr>
          <w:rFonts w:ascii="Book Antiqua" w:hAnsi="Book Antiqua" w:cs="Times New Roman"/>
          <w:sz w:val="24"/>
          <w:szCs w:val="24"/>
        </w:rPr>
        <w:t>CRC</w:t>
      </w:r>
      <w:r w:rsidR="0009224E"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{"citationID":"a2drige60p4","properties":{"formattedCitation":"\\super [123\\uc0\\u8211{}130]\\nosupersub{}","plainCitation":"[123–130]","noteIndex":0},"citationItems":[{"id":"D1GMNV0O/YeAqa1dR","uris":["http://zotero.org/users/4804376/items/BC2WPF6V"],"uri":["http://zotero.org/users/4804376/items/BC2WPF6V"],"itemData":{"id":313,"type":"article-journal","title":"Bacterial succession in the colon during childhood and adolescence: molecular studies in a southern Indian village","container-title":"The American Journal of Clinical Nutrition","page":"1643-1647","volume":"88","issue":"6","source":"PubMed","abstract":"BACKGROUND: The colonic bacterial flora, largely anaerobic, is believed to establish and stabilize in the first 2 y of life.\nOBJECTIVE: This study was undertaken to determine whether the bacterial flora of the colon undergoes further changes (succession) during childhood and adolescence.\nDESIGN: This cross-sectional study examined fecal samples from 130 healthy children and adolescents in the age group 2-17 y and from 30 healthy adults (median age: 42 y) residing in a single village in southern India. DNA was extracted and subjected to 16S rDNA-targeted real-time polymerase chain reaction to determine the relative predominance of Bifidobacterium genus, Bacteroides-Prevotella-Porphyromonas group, Lactobacillus acidophilus group, Eubacterium rectale, and Faecalibacterium prausnitzii.\nRESULTS: Bifidobacterium species and Bacteroides-Prevotella group were dominant fecal bacteria overall. E. rectale and Lactobacillus species were considerably less abundant. Clear age-related differences emerged, with a steep decline in Bifidobacterium species in adults (P &lt; 0.0001), a steep decline of Lactobacillus species &gt;5 y of age (P &lt; 0.0001), an increase in Bacteroides during late adolescence and in adults (P = 0.0040), an increase in E. rectale during childhood and adolescence followed by a steep decline in adults (P &lt; 0.0001), and a late childhood peak of F. prausnitzii with decline in adolescents and adults (P &lt; 0.0001).\nCONCLUSIONS: Changes in the bacterial flora occur during childhood and adolescence characterized by reduction in Lactobacillus and Bifidobacterium species and an increase in Bacteroides, E rectale, and F. prausnitzii peaked during late childhood in this population.","DOI":"10.3945/ajcn.2008.26511","ISSN":"1938-3207","note":"PMID: 19064526","shortTitle":"Bacterial succession in the colon during childhood and adolescence","journalAbbreviation":"Am. J. Clin. Nutr.","language":"eng","author":[{"family":"Balamurugan","given":"Ramadass"},{"family":"Janardhan","given":"Harish P."},{"family":"George","given":"Sarah"},{"family":"Chittaranjan","given":"Sucharita Priya"},{"family":"Ramakrishna","given":"Balakrishnan S."}],"issued":{"date-parts":[["2008",12]]}}},{"id":"D1GMNV0O/CzTZ0kJp","uris":["http://zotero.org/users/4804376/items/89RRK8PE"],"uri":["http://zotero.org/users/4804376/items/89RRK8PE"],"itemData":{"id":315,"type":"article-journal","title":"Microbial dysbiosis in colorectal cancer (CRC) patients","container-title":"PloS One","page":"e16393","volume":"6","issue":"1","source":"PubMed","abstract":"The composition of the human intestinal microbiota is linked to health status. The aim was to analyze the microbiota of normal and colon cancer patients in order to establish cancer-related dysbiosis.\nPATIENTS AND METHODS: Stool bacterial DNA was extracted prior to colonoscopy from 179 patients: 60 with colorectal cancer, and 119 with normal colonoscopy. Bacterial genes obtained by pyrosequencing of 12 stool samples (6 Normal and 6 Cancer) were subjected to a validated Principal Component Analysis (PCA) test. The dominant and subdominant bacterial population (C. leptum, C. coccoides, Bacteroides/Prevotella, Lactobacillus/Leuconostoc/Pediococcus groups, Bifidobacterium genus, and E. coli, and Faecalibacterium prausnitzii species) were quantified in all individuals using qPCR and specific IL17 producer cells in the intestinal mucosa were characterized using immunohistochemistry.\nFINDINGS: Pyrosequencing (Minimal sequence 200 nucleotide reads) revealed 80% of all sequences could be assigned to a total of 819 taxa based on default parameter of Classifier software. The phylogenetic core in Cancer individuals was different from that in Normal individuals according to the PCA analysis, with trends towards differences in the dominant and subdominant families of bacteria. Consequently, All-bacteria [log(10) (bacteria/g of stool)] in Normal, and Cancer individuals were similar [11.88±0.35, and 11.80±0.56, respectively, (P</w:instrText>
      </w:r>
      <w:r w:rsidR="002A773B" w:rsidRPr="00DB7074">
        <w:rPr>
          <w:rFonts w:ascii="Times New Roman" w:hAnsi="Times New Roman" w:cs="Times New Roman"/>
          <w:sz w:val="24"/>
          <w:szCs w:val="24"/>
        </w:rPr>
        <w:instrText> </w:instrText>
      </w:r>
      <w:r w:rsidR="002A773B" w:rsidRPr="00DB7074">
        <w:rPr>
          <w:rFonts w:ascii="Book Antiqua" w:hAnsi="Book Antiqua" w:cs="Times New Roman"/>
          <w:sz w:val="24"/>
          <w:szCs w:val="24"/>
        </w:rPr>
        <w:instrText>=</w:instrText>
      </w:r>
      <w:r w:rsidR="002A773B" w:rsidRPr="00DB7074">
        <w:rPr>
          <w:rFonts w:ascii="Times New Roman" w:hAnsi="Times New Roman" w:cs="Times New Roman"/>
          <w:sz w:val="24"/>
          <w:szCs w:val="24"/>
        </w:rPr>
        <w:instrText> </w:instrText>
      </w:r>
      <w:r w:rsidR="002A773B" w:rsidRPr="00DB7074">
        <w:rPr>
          <w:rFonts w:ascii="Book Antiqua" w:hAnsi="Book Antiqua" w:cs="Times New Roman"/>
          <w:sz w:val="24"/>
          <w:szCs w:val="24"/>
        </w:rPr>
        <w:instrText>0.16)], according to qPCR values whereas among all dominant and subdominant species only those of Bacteroides/Prevotella were higher (All bacteria-specific bacterium; P</w:instrText>
      </w:r>
      <w:r w:rsidR="002A773B" w:rsidRPr="00DB7074">
        <w:rPr>
          <w:rFonts w:ascii="Times New Roman" w:hAnsi="Times New Roman" w:cs="Times New Roman"/>
          <w:sz w:val="24"/>
          <w:szCs w:val="24"/>
        </w:rPr>
        <w:instrText> </w:instrText>
      </w:r>
      <w:r w:rsidR="002A773B" w:rsidRPr="00DB7074">
        <w:rPr>
          <w:rFonts w:ascii="Book Antiqua" w:hAnsi="Book Antiqua" w:cs="Times New Roman"/>
          <w:sz w:val="24"/>
          <w:szCs w:val="24"/>
        </w:rPr>
        <w:instrText>=</w:instrText>
      </w:r>
      <w:r w:rsidR="002A773B" w:rsidRPr="00DB7074">
        <w:rPr>
          <w:rFonts w:ascii="Times New Roman" w:hAnsi="Times New Roman" w:cs="Times New Roman"/>
          <w:sz w:val="24"/>
          <w:szCs w:val="24"/>
        </w:rPr>
        <w:instrText> </w:instrText>
      </w:r>
      <w:r w:rsidR="002A773B" w:rsidRPr="00DB7074">
        <w:rPr>
          <w:rFonts w:ascii="Book Antiqua" w:hAnsi="Book Antiqua" w:cs="Times New Roman"/>
          <w:sz w:val="24"/>
          <w:szCs w:val="24"/>
        </w:rPr>
        <w:instrText>0.009) in Cancer (-1.04</w:instrText>
      </w:r>
      <w:r w:rsidR="002A773B" w:rsidRPr="00DB7074">
        <w:rPr>
          <w:rFonts w:ascii="Book Antiqua" w:hAnsi="Book Antiqua" w:cs="Book Antiqua"/>
          <w:sz w:val="24"/>
          <w:szCs w:val="24"/>
        </w:rPr>
        <w:instrText>±</w:instrText>
      </w:r>
      <w:r w:rsidR="002A773B" w:rsidRPr="00DB7074">
        <w:rPr>
          <w:rFonts w:ascii="Book Antiqua" w:hAnsi="Book Antiqua" w:cs="Times New Roman"/>
          <w:sz w:val="24"/>
          <w:szCs w:val="24"/>
        </w:rPr>
        <w:instrText>0.55) than in Normal (-1.40</w:instrText>
      </w:r>
      <w:r w:rsidR="002A773B" w:rsidRPr="00DB7074">
        <w:rPr>
          <w:rFonts w:ascii="Book Antiqua" w:hAnsi="Book Antiqua" w:cs="Book Antiqua"/>
          <w:sz w:val="24"/>
          <w:szCs w:val="24"/>
        </w:rPr>
        <w:instrText>±</w:instrText>
      </w:r>
      <w:r w:rsidR="002A773B" w:rsidRPr="00DB7074">
        <w:rPr>
          <w:rFonts w:ascii="Book Antiqua" w:hAnsi="Book Antiqua" w:cs="Times New Roman"/>
          <w:sz w:val="24"/>
          <w:szCs w:val="24"/>
        </w:rPr>
        <w:instrText xml:space="preserve">0.83) individuals. IL17 immunoreactive cells were significantly expressed more in the normal mucosa of cancer patients than in those with normal colonoscopy.\nCONCLUSION: This is the first large series to demonstrate a composition change in the microbiota of colon cancer patients with possible impact on mucosal immune response. These data open new filed for mass screening and pathophysiology investigations.","DOI":"10.1371/journal.pone.0016393","ISSN":"1932-6203","note":"PMID: 21297998\nPMCID: PMC3029306","journalAbbreviation":"PLoS ONE","language":"eng","author":[{"family":"Sobhani","given":"Iradj"},{"family":"Tap","given":"Julien"},{"family":"Roudot-Thoraval","given":"Françoise"},{"family":"Roperch","given":"Jean P."},{"family":"Letulle","given":"Sophie"},{"family":"Langella","given":"Philippe"},{"family":"Corthier","given":"Gérard"},{"family":"Tran Van Nhieu","given":"Jeanne"},{"family":"Furet","given":"Jean P."}],"issued":{"date-parts":[["2011",1,27]]}}},{"id":"D1GMNV0O/JE8udYew","uris":["http://zotero.org/users/4804376/items/98FBDYNS"],"uri":["http://zotero.org/users/4804376/items/98FBDYNS"],"itemData":{"id":317,"type":"article-journal","title":"Gut microbiome development along the colorectal adenoma-carcinoma sequence","container-title":"Nature Communications","page":"6528","volume":"6","source":"PubMed","abstract":"Colorectal cancer, a commonly diagnosed cancer in the elderly, often develops slowly from benign polyps called adenoma. The gut microbiota is believed to be directly involved in colorectal carcinogenesis. The identity and functional capacity of the adenoma- or carcinoma-related gut microbe(s), however, have not been surveyed in a comprehensive manner. Here we perform a metagenome-wide association study (MGWAS) on stools from advanced adenoma and carcinoma patients and from healthy subjects, revealing microbial genes, strains and functions enriched in each group. An analysis of potential risk factors indicates that high intake of red meat relative to fruits and vegetables appears to associate with outgrowth of bacteria that might contribute to a more hostile gut environment. These findings suggest that faecal microbiome-based strategies may be useful for early diagnosis and treatment of colorectal adenoma or carcinoma.","DOI":"10.1038/ncomms7528","ISSN":"2041-1723","note":"PMID: 25758642","journalAbbreviation":"Nat Commun","language":"eng","author":[{"family":"Feng","given":"Qiang"},{"family":"Liang","given":"Suisha"},{"family":"Jia","given":"Huijue"},{"family":"Stadlmayr","given":"Andreas"},{"family":"Tang","given":"Longqing"},{"family":"Lan","given":"Zhou"},{"family":"Zhang","given":"Dongya"},{"family":"Xia","given":"Huihua"},{"family":"Xu","given":"Xiaoying"},{"family":"Jie","given":"Zhuye"},{"family":"Su","given":"Lili"},{"family":"Li","given":"Xiaoping"},{"family":"Li","given":"Xin"},{"family":"Li","given":"Junhua"},{"family":"Xiao","given":"Liang"},{"family":"Huber-Schönauer","given":"Ursula"},{"family":"Niederseer","given":"David"},{"family":"Xu","given":"Xun"},{"family":"Al-Aama","given":"Jumana Yousuf"},{"family":"Yang","given":"Huanming"},{"family":"Wang","given":"Jian"},{"family":"Kristiansen","given":"Karsten"},{"family":"Arumugam","given":"Manimozhiyan"},{"family":"Tilg","given":"Herbert"},{"family":"Datz","given":"Christian"},{"family":"Wang","given":"Jun"}],"issued":{"date-parts":[["2015",3,11]]}}},{"id":"D1GMNV0O/f40CllF2","uris":["http://zotero.org/users/4804376/items/882XXTZV"],"uri":["http://zotero.org/users/4804376/items/882XXTZV"],"itemData":{"id":53,"type":"article-journal","title":"Metagenomic analysis of faecal microbiome as a tool towards targeted non-invasive biomarkers for colorectal cancer","container-title":"Gut","page":"70-78","volume":"66","issue":"1","source":"CrossRef","abstract":"Objective To evaluate the potential for diagnosing colorectal cancer (CRC) from faecal metagenomes. Design We performed metagenome-wide association studies on faecal samples from 74 patients with CRC and 54 controls from China, and validated the results in 16 patients and 24 controls from Denmark. We further validated the biomarkers in two published cohorts from France and Austria. Finally, we employed targeted quantitative PCR (qPCR) assays to evaluate diagnostic potential of selected biomarkers in an independent Chinese cohort of 47 patients and 109 controls. Results Besides conﬁrming known associations of Fusobacterium nucleatum and Peptostreptococcus stomatis with CRC, we found signiﬁcant associations with several species, including Parvimonas micra and Solobacterium moorei. We identiﬁed 20 microbial gene markers that differentiated CRC and control microbiomes, and validated 4 markers in the Danish cohort. In the French and Austrian cohorts, these four genes distinguished CRC metagenomes from controls with areas under the receiver-operating curve (AUC) of 0.72 and 0.77, respectively. qPCR measurements of two of these genes accurately classiﬁed patients with CRC in the independent Chinese cohort with AUC=0.84 and OR of 23. These genes were enriched in early-stage (I–II) patient microbiomes, highlighting the potential for using faecal metagenomic biomarkers for early diagnosis of CRC. Conclusions We present the ﬁrst metagenomic proﬁling study of CRC faecal microbiomes to discover and validate microbial biomarkers in ethnically different cohorts, and to independently validate selected biomarkers using an affordable clinically relevant technology. Our study thus takes a step further towards affordable non-invasive early diagnostic biomarkers for CRC from faecal samples.","DOI":"10.1136/gutjnl-2015-309800","ISSN":"0017-5749, 1468-3288","language":"en","author":[{"family":"Yu","given":"Jun"},{"family":"Feng","given":"Qiang"},{"family":"Wong","given":"Sunny Hei"},{"family":"Zhang","given":"Dongya"},{"family":"Liang","given":"Qiao","dropping-particle":"yi"},{"family":"Qin","given":"Youwen"},{"family":"Tang","given":"Longqing"},{"family":"Zhao","given":"Hui"},{"family":"Stenvang","given":"Jan"},{"family":"Li","given":"Yanli"},{"family":"Wang","given":"Xiaokai"},{"family":"Xu","given":"Xiaoqiang"},{"family":"Chen","given":"Ning"},{"family":"Wu","given":"William Ka Kei"},{"family":"Al-Aama","given":"Jumana"},{"family":"Nielsen","given":"Hans Jørgen"},{"family":"Kiilerich","given":"Pia"},{"family":"Jensen","given":"Benjamin Anderschou Holbech"},{"family":"Yau","given":"Tung On"},{"family":"Lan","given":"Zhou"},{"family":"Jia","given":"Huijue"},{"family":"Li","given":"Junhua"},{"family":"Xiao","given":"Liang"},{"family":"Lam","given":"Thomas Yuen Tung"},{"family":"Ng","given":"Siew Chien"},{"family":"Cheng","given":"Alfred Sze-Lok"},{"family":"Wong","given":"Vincent Wai-Sun"},{"family":"Chan","given":"Francis Ka Leung"},{"family":"Xu","given":"Xun"},{"family":"Yang","given":"Huanming"},{"family":"Madsen","given":"Lise"},{"family":"Datz","given":"Christian"},{"family":"Tilg","given":"Herbert"},{"family":"Wang","given":"Jian"},{"family":"Brünner","given":"Nils"},{"family":"Kristiansen","given":"Karsten"},{"family":"Arumugam","given":"Manimozhiyan"},{"family":"Sung","given":"Joseph Jao-Yiu"},{"family":"Wang","given":"Jun"}],"issued":{"date-parts":[["2017",1]]}}},{"id":"D1GMNV0O/CjV71YtU","uris":["http://zotero.org/users/4804376/items/SJSRJW4A"],"uri":["http://zotero.org/users/4804376/items/SJSRJW4A"],"itemData":{"id":321,"type":"article-journal","title":"Fusobacterium and colorectal cancer: causal factor or passenger? Results from a large colorectal cancer screening study","container-title":"Carcinogenesis","page":"781-788","volume":"38","issue":"8","source":"PubMed","abstract":"Colorectal cancer is a leading cause of morbidity and mortality worldwide in both men and women. The gut microbiome is increasingly recognized as having an important role in human health and disease. Fusobacterium has been identified in former studies as a leading gut bacterium associated with colorectal cancer, but it is still not clear if it plays an oncogenic role. In the current study, fecal samples were collected prior to bowel preparation from participants of screening colonoscopy in the German BliTz study. Using 16S rRNA gene analysis, we examined the presence and relative abundance of Fusobacterium in fecal samples from 500 participants, including 46, 113, 110 and 231 individuals with colorectal cancer, advanced adenomas, non-advanced adenomas and without any neoplasms, respectively. We found that the abundance of Fusobacterium in feces was strongly associated with the presence of colorectal cancer (P-value &lt; 0.0001). This was confirmed by PCR at the species level for Fusobacterium nucleatum. However, no association was seen with the presence of advanced adenomas (P-value = 0.80) or non-advanced adenomas (P-value = 0.80), nor were there any associations observed with dietary or lifestyle habits. Although a causal role cannot be ruled out, our observations, based on fecal microbiome, support the hypothesis that Fusobacterium is a passenger that multiplies in the more favorable conditions caused by the malignant tumor rather than a causal factor in colorectal cancer development.","DOI":"10.1093/carcin/bgx053","ISSN":"1460-2180","note":"PMID: 28582482","shortTitle":"Fusobacterium and colorectal cancer","journalAbbreviation":"Carcinogenesis","language":"eng","author":[{"family":"Amitay","given":"Efrat L."},{"family":"Werner","given":"Simone"},{"family":"Vital","given":"Marius"},{"family":"Pieper","given":"Dietmar H."},{"family":"Höfler","given":"Daniela"},{"family":"Gierse","given":"Indra-Jasmin"},{"family":"Butt","given":"Julia"},{"family":"Balavarca","given":"Yesilda"},{"family":"Cuk","given":"Katarina"},{"family":"Brenner","given":"Hermann"}],"issued":{"date-parts":[["2017",8,1]]}}},{"id":"D1GMNV0O/EJj8XJ3C","uris":["http://zotero.org/users/4804376/items/4YSTSTWK"],"uri":["http://zotero.org/users/4804376/items/4YSTSTWK"],"itemData":{"id":359,"type":"article-journal","title":"Enhanced Escherichia coli adherence and invasion in Crohn's disease and colon cancer","container-title":"Gastroenterology","page":"80-93","volume":"127","issue":"1","source":"PubMed","abstract":"BACKGROUND &amp; AIMS: Altered mucosal glycosylation in inflammatory bowel disease and colon cancer could affect mucosal bacterial adherence. This study aimed to quantify and characterize mucosa-associated and intramucosal bacteria, particularly Escherichia coli, in these conditions.\nMETHODS: Mucosa-associated bacteria were isolated, after dithiothreitol mucolysis, from biopsy samples obtained at colonoscopy (Crohn's disease, n = 14 patients; ulcerative colitis, n = 21; noninflamed controls, n = 24) and at surgical resection (colon cancer, n = 21). Intramucosal bacteria were grown after gentamicin treatment followed by hypotonic lysis.\nRESULTS: Mucosa-associated and intramucosal bacteria were cultured more commonly in Crohn's disease (79%, P = 0.03; and 71%, P &lt; 0.01, respectively), but not ulcerative colitis (38% and 48%), than in noninflamed controls (42% and 29%) and were commonly cultured from colon cancers (71% and 57%). Mucosa-associated E. coli, which accounted for 53% of isolates, were more common in Crohn's disease (6/14; 43%) than in noninflamed controls (4/24, 17%), as also were intramucosal E. coli: Crohn's disease, 29%; controls, 9%. E. coli expressed hemagglutinins in 39% of Crohn's cases and 38% of cancers but only 4% of controls, and this correlated (P = 0.01) with adherence to the I407 and HT29 cell lines. Invasion was cell-line dependent. E. coli, including nonadherent isolates, induced interleukin-8 release from the cell lines. E. coli adhesins showed no blood group specificity, excepting 1 cancer isolate (HM44) with specificity for the Thomsen-Friedenreich antigen, but they could be blocked by soluble plantain fiber.\nCONCLUSIONS: These studies support a central role for mucosally adherent bacteria in the pathogenesis of Crohn's disease and colon cancer. Soluble plant fibers that inhibit their adherence have therapeutic potential.","ISSN":"0016-5085","note":"PMID: 15236175","journalAbbreviation":"Gastroenterology","language":"eng","author":[{"family":"Martin","given":"Helen M."},{"family":"Campbell","given":"Barry J."},{"family":"Hart","given":"C. Anthony"},{"family":"Mpofu","given":"Chiedzo"},{"family":"Nayar","given":"Manu"},{"family":"Singh","given":"Ravinder"},{"family":"Englyst","given":"Hans"},{"family":"Williams","given":"Helen F."},{"family":"Rhodes","given":"Jonathan M."}],"issued":{"date-parts":[["2004",7]]}}},{"id":"D1GMNV0O/1BZ29xLt","uris":["http://zotero.org/users/4804376/items/DHKW766U"],"uri":["http://zotero.org/users/4804376/items/DHKW766U"],"itemData":{"id":323,"type":"article-journal","title":"Molecular detection, quantification, and isolation of Streptococcus gallolyticus bacteria colonizing colorectal tumors: inflammation-driven potential of carcinogenesis via IL-1, COX-2, and IL-8","container-title":"Molecular Cancer","page":"249","volume":"9","source":"PubMed","abstract":"BACKGROUND: Colorectal cancer (CRC) has long been associated with bacteremia and/or endocarditis by Streptococcus gallolyticus member bacteria (SGMB) but the direct colonization of SGMB along with its molecular carcinogenic role, if any, has not been investigated. We assessed the colonization of SGMB in CRC patients with history of bacteremia (CRC-w/bac) and without history of bacteremia (CRC-wo/bac) by isolating SGMB from feces, mucosal surfaces of colorectum, and colorectal tissues and detecting SGMB DNA, via PCR and in situ hybridization (ISH) assays targeting SodA gene in colorectal tissues. Moreover, mRNA of IL1, IL-8, COX-2, IFN-γ, c-Myc, and Bcl-2 in colorectal tissues of studied groups was assessed via ISH and RT-PCR.\nRESULTS: SGMB were found to be remarkably isolated in tumorous (TU) and non-tumorous (NTU) tissues of CRC-w/bac, 20.5% and 17.3%, and CRC-wo/bac, 12.8% and 11.5%, respectively while only 2% of control tissues revealed SGMB (P &lt; 0.05); such contrast was not found in mucosal and fecal isolation of SGMB. The positive detection of SGMB DNA in TU and NTU of CRC-w/bac and CRC-wo/bac via PCR, 48.7%, 35.9%, 32.7%, and 23%, respectively, and ISH, 46.1%, 30.7%, 28.8%, and 17.3%, respectively, was higher than in control tissues, 4 and 2%, respectively (P &lt; 0.05). SGMB count measured via quantitative PCR of SGMB DNA in terms of copy number (CN), in TU and NTU of CRC-w/bac and CRC-wo/bac, 2.96-4.72, 1.29-2.81, 2.16-2.92, and 0.67-2.07 log10 CN/g respectively, showed higher colonization in TU than in NTU and in CRC-w/bac than in CRC-wo/bac (P &lt; 0.05). The PCR-based mRNA ratio and ISH-based percentage of positively stained cells of IL-1, 1.77 and 70.3%, COX-2, 1.63 and 44.8%, and IL-8, 1.73 and 70.3%, respectively, rather than IFN-γ, c-Myc, and Bcl-2, were higher in SGMB positive patients than in control or SGMB negative patients (P &lt; 0.05).\nCONCLUSIONS: The current study indicated that colorectal cancer is remarkably associated with SGMB; moreover, molecular detection of SGMB in CRC was superior to link SGMB with CRC tumors highlighting a possible direct and active role of SGMB in CRC development through most probably inflammation-based sequel of tumor development or propagation via, but not limited to, IL-1, COX-2, and IL-8.","DOI":"10.1186/1476-4598-9-249","ISSN":"1476-4598","note":"PMID: 20846456\nPMCID: PMC2946291","shortTitle":"Molecular detection, quantification, and isolation of Streptococcus gallolyticus bacteria colonizing colorectal tumors","journalAbbreviation":"Mol. Cancer","language":"eng","author":[{"family":"Abdulamir","given":"Ahmed S."},{"family":"Hafidh","given":"Rand R."},{"family":"Bakar","given":"Fatimah Abu"}],"issued":{"date-parts":[["2010",9,17]]}}},{"id":"D1GMNV0O/I2dFbx48","uris":["http://zotero.org/users/4804376/items/JIYSTXEH"],"uri":["http://zotero.org/users/4804376/items/JIYSTXEH"],"itemData":{"id":325,"type":"article-journal","title":"The Bacteroides fragilis toxin gene is prevalent in the colon mucosa of colorectal cancer patients","container-title":"Clinical Infectious Diseases: An Official Publication of the Infectious Diseases Society of America","page":"208-215","volume":"60","issue":"2","source":"PubMed","abstract":"BACKGROUND: Enterotoxigenic Bacteroides fragilis (ETBF) produces the Bacteroides fragilis toxin, which has been associated with acute diarrheal disease, inflammatory bowel disease, and colorectal cancer (CRC). ETBF induces colon carcinogenesis in experimental models. Previous human studies have demonstrated frequent asymptomatic fecal colonization with ETBF, but no study has investigated mucosal colonization that is expected to impact colon carcinogenesis.\nMETHODS: We compared the presence of the bft gene in mucosal samples from colorectal neoplasia patients (cases, n = 49) to a control group undergoing outpatient colonoscopy for CRC screening or diagnostic workup (controls, n = 49). Single bacterial colonies isolated anaerobically from mucosal colon tissue were tested for the bft gene with touch-down polymerase chain reaction.\nRESULTS: The mucosa of cases was significantly more often bft-positive on left (85.7%) and right (91.7%) tumor and/or paired normal tissues compared with left and right control biopsies (53.1%; P = .033 and 55.5%; P = .04, respectively). Detection of bft was concordant in most paired mucosal samples from individual cases or controls (75% cases; 67% controls). There was a trend toward increased bft positivity in mucosa from late- vs early-stage CRC patients (100% vs 72.7%, respectively; P </w:instrText>
      </w:r>
      <w:r w:rsidR="002A773B" w:rsidRPr="00DB7074">
        <w:rPr>
          <w:rFonts w:ascii="Book Antiqua" w:hAnsi="Book Antiqua" w:cs="Times New Roman" w:hint="eastAsia"/>
          <w:sz w:val="24"/>
          <w:szCs w:val="24"/>
        </w:rPr>
        <w:instrText xml:space="preserve">= .093). In contrast to ETBF diarrheal disease where bft-1 detection dominates, bft-2 was the most frequent toxin isotype identified in both cases and controls, whereas multiple bft isotypes were detected more frequently in cases (P </w:instrText>
      </w:r>
      <w:r w:rsidR="002A773B" w:rsidRPr="00DB7074">
        <w:rPr>
          <w:rFonts w:ascii="Book Antiqua" w:hAnsi="Book Antiqua" w:cs="Times New Roman" w:hint="eastAsia"/>
          <w:sz w:val="24"/>
          <w:szCs w:val="24"/>
        </w:rPr>
        <w:instrText>≤</w:instrText>
      </w:r>
      <w:r w:rsidR="002A773B" w:rsidRPr="00DB7074">
        <w:rPr>
          <w:rFonts w:ascii="Book Antiqua" w:hAnsi="Book Antiqua" w:cs="Times New Roman" w:hint="eastAsia"/>
          <w:sz w:val="24"/>
          <w:szCs w:val="24"/>
        </w:rPr>
        <w:instrText xml:space="preserve"> .02).\nCONCLUSIONS: </w:instrText>
      </w:r>
      <w:r w:rsidR="002A773B" w:rsidRPr="00DB7074">
        <w:rPr>
          <w:rFonts w:ascii="Book Antiqua" w:hAnsi="Book Antiqua" w:cs="Times New Roman"/>
          <w:sz w:val="24"/>
          <w:szCs w:val="24"/>
        </w:rPr>
        <w:instrText xml:space="preserve">The bft gene is associated with colorectal neoplasia, especially in late-stage CRC. Our results suggest that mucosal bft exposure is common and may be a risk factor for developing CRC.","DOI":"10.1093/cid/ciu787","ISSN":"1537-6591","note":"PMID: 25305284\nPMCID: PMC4351371","journalAbbreviation":"Clin. Infect. Dis.","language":"eng","author":[{"family":"Boleij","given":"Annemarie"},{"family":"Hechenbleikner","given":"Elizabeth M."},{"family":"Goodwin","given":"Andrew C."},{"family":"Badani","given":"Ruchi"},{"family":"Stein","given":"Ellen M."},{"family":"Lazarev","given":"Mark G."},{"family":"Ellis","given":"Brandon"},{"family":"Carroll","given":"Karen C."},{"family":"Albesiano","given":"Emilia"},{"family":"Wick","given":"Elizabeth C."},{"family":"Platz","given":"Elizabeth A."},{"family":"Pardoll","given":"Drew M."},{"family":"Sears","given":"Cynthia L."}],"issued":{"date-parts":[["2015",1,15]]}}}],"schema":"https://github.com/citation-style-language/schema/raw/master/csl-citation.json"} </w:instrText>
      </w:r>
      <w:r w:rsidR="0009224E"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[123–130]</w:t>
      </w:r>
      <w:r w:rsidR="0009224E" w:rsidRPr="00DB7074">
        <w:rPr>
          <w:rFonts w:ascii="Book Antiqua" w:hAnsi="Book Antiqua" w:cs="Times New Roman"/>
          <w:sz w:val="24"/>
          <w:szCs w:val="24"/>
        </w:rPr>
        <w:fldChar w:fldCharType="end"/>
      </w:r>
      <w:r w:rsidRPr="00DB7074">
        <w:rPr>
          <w:rFonts w:ascii="Book Antiqua" w:hAnsi="Book Antiqua" w:cs="Times New Roman"/>
          <w:sz w:val="24"/>
          <w:szCs w:val="24"/>
        </w:rPr>
        <w:t xml:space="preserve">. These different approaches allow </w:t>
      </w:r>
      <w:r w:rsidR="0050212B" w:rsidRPr="00DB7074">
        <w:rPr>
          <w:rFonts w:ascii="Book Antiqua" w:hAnsi="Book Antiqua" w:cs="Times New Roman"/>
          <w:sz w:val="24"/>
          <w:szCs w:val="24"/>
        </w:rPr>
        <w:t>only</w:t>
      </w:r>
      <w:r w:rsidRPr="00DB7074">
        <w:rPr>
          <w:rFonts w:ascii="Book Antiqua" w:hAnsi="Book Antiqua" w:cs="Times New Roman"/>
          <w:sz w:val="24"/>
          <w:szCs w:val="24"/>
        </w:rPr>
        <w:t xml:space="preserve"> taxonomic identification of microbial communities. </w:t>
      </w:r>
      <w:r w:rsidR="00507882" w:rsidRPr="00DB7074">
        <w:rPr>
          <w:rFonts w:ascii="Book Antiqua" w:hAnsi="Book Antiqua" w:cs="Times New Roman"/>
          <w:sz w:val="24"/>
          <w:szCs w:val="24"/>
        </w:rPr>
        <w:t xml:space="preserve">However, </w:t>
      </w:r>
      <w:r w:rsidRPr="00DB7074">
        <w:rPr>
          <w:rFonts w:ascii="Book Antiqua" w:hAnsi="Book Antiqua" w:cs="Times New Roman"/>
          <w:sz w:val="24"/>
          <w:szCs w:val="24"/>
        </w:rPr>
        <w:t>the gut is a complex and variable ecosystem</w:t>
      </w:r>
      <w:r w:rsidR="002C70F0" w:rsidRPr="00DB7074">
        <w:rPr>
          <w:rFonts w:ascii="Book Antiqua" w:hAnsi="Book Antiqua" w:cs="Times New Roman"/>
          <w:sz w:val="24"/>
          <w:szCs w:val="24"/>
        </w:rPr>
        <w:t>. Understanding its function and the specific role of the different bacterial populations is essential</w:t>
      </w:r>
      <w:r w:rsidRPr="00DB7074">
        <w:rPr>
          <w:rFonts w:ascii="Book Antiqua" w:hAnsi="Book Antiqua" w:cs="Times New Roman"/>
          <w:sz w:val="24"/>
          <w:szCs w:val="24"/>
        </w:rPr>
        <w:t xml:space="preserve">. </w:t>
      </w:r>
      <w:r w:rsidR="00203101" w:rsidRPr="00DB7074">
        <w:rPr>
          <w:rFonts w:ascii="Book Antiqua" w:hAnsi="Book Antiqua" w:cs="Times New Roman"/>
          <w:sz w:val="24"/>
          <w:szCs w:val="24"/>
        </w:rPr>
        <w:t>A m</w:t>
      </w:r>
      <w:r w:rsidRPr="00DB7074">
        <w:rPr>
          <w:rFonts w:ascii="Book Antiqua" w:hAnsi="Book Antiqua" w:cs="Times New Roman"/>
          <w:sz w:val="24"/>
          <w:szCs w:val="24"/>
        </w:rPr>
        <w:t xml:space="preserve">etagenomics approach (shotgun sequencing) makes </w:t>
      </w:r>
      <w:r w:rsidR="002C70F0" w:rsidRPr="00DB7074">
        <w:rPr>
          <w:rFonts w:ascii="Book Antiqua" w:hAnsi="Book Antiqua" w:cs="Times New Roman"/>
          <w:sz w:val="24"/>
          <w:szCs w:val="24"/>
        </w:rPr>
        <w:t>taxa identification possible</w:t>
      </w:r>
      <w:r w:rsidR="00507882" w:rsidRPr="00DB7074">
        <w:rPr>
          <w:rFonts w:ascii="Book Antiqua" w:hAnsi="Book Antiqua" w:cs="Times New Roman"/>
          <w:sz w:val="24"/>
          <w:szCs w:val="24"/>
        </w:rPr>
        <w:t xml:space="preserve"> </w:t>
      </w:r>
      <w:r w:rsidR="00203101" w:rsidRPr="00DB7074">
        <w:rPr>
          <w:rFonts w:ascii="Book Antiqua" w:hAnsi="Book Antiqua" w:cs="Times New Roman"/>
          <w:sz w:val="24"/>
          <w:szCs w:val="24"/>
        </w:rPr>
        <w:t>and allows</w:t>
      </w:r>
      <w:r w:rsidR="002C70F0" w:rsidRPr="00DB7074">
        <w:rPr>
          <w:rFonts w:ascii="Book Antiqua" w:hAnsi="Book Antiqua" w:cs="Times New Roman"/>
          <w:sz w:val="24"/>
          <w:szCs w:val="24"/>
        </w:rPr>
        <w:t xml:space="preserve"> exploration of</w:t>
      </w:r>
      <w:r w:rsidRPr="00DB7074">
        <w:rPr>
          <w:rFonts w:ascii="Book Antiqua" w:hAnsi="Book Antiqua" w:cs="Times New Roman"/>
          <w:sz w:val="24"/>
          <w:szCs w:val="24"/>
        </w:rPr>
        <w:t xml:space="preserve"> </w:t>
      </w:r>
      <w:r w:rsidR="00203101" w:rsidRPr="00DB7074">
        <w:rPr>
          <w:rFonts w:ascii="Book Antiqua" w:hAnsi="Book Antiqua" w:cs="Times New Roman"/>
          <w:sz w:val="24"/>
          <w:szCs w:val="24"/>
        </w:rPr>
        <w:t xml:space="preserve">the </w:t>
      </w:r>
      <w:r w:rsidRPr="00DB7074">
        <w:rPr>
          <w:rFonts w:ascii="Book Antiqua" w:hAnsi="Book Antiqua" w:cs="Times New Roman"/>
          <w:sz w:val="24"/>
          <w:szCs w:val="24"/>
        </w:rPr>
        <w:t>metabolic potential of the intestinal microbiota</w:t>
      </w:r>
      <w:r w:rsidR="0009224E"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{"citationID":"vsA0qC4x","properties":{"formattedCitation":"\\super [126,131,132]\\nosupersub{}","plainCitation":"[126,131,132]","noteIndex":0},"citationItems":[{"id":"D1GMNV0O/6FXNbvpi","uris":["http://zotero.org/users/4804376/items/M58YNUQZ"],"uri":["http://zotero.org/users/4804376/items/M58YNUQZ"],"itemData":{"id":75,"type":"article-journal","title":"Potential of fecal microbiota for early-stage detection of colorectal cancer","container-title":"Molecular Systems Biology","page":"766-766","volume":"10","issue":"11","source":"CrossRef","abstract":"Several bacterial species have been implicated in the development of colorectal carcinoma (CRC), but CRC-associated changes of fecal microbiota and their potential for cancer screening remain to be explored. Here, we used metagenomic sequencing of fecal samples to identify taxonomic markers that distinguished CRC patients from tumor-free controls in a study population of 156 participants. Accuracy of metagenomic CRC detection was similar to the standard fecal occult blood test (FOBT) and when both approaches were combined, sensitivity improved &gt; 45% relative to the FOBT, while maintaining its specificity. Accuracy of metagenomic CRC detection did not differ significantly between early- and late-stage cancer and could be validated in independent patient and control populations (N = 335) from different countries. CRC-associated changes in the fecal microbiome at least partially reflected microbial community composition at the tumor itself, indicating that observed gene pool differences may reveal tumor-related host–microbe interactions. Indeed, we deduced a metabolic shift from fiber degradation in controls to utilization of host carbohydrates and amino acids in CRC patients, accompanied by an increase of lipopolysaccharide metabolism.","DOI":"10.15252/msb.20145645","ISSN":"1744-4292","language":"en","author":[{"family":"Zeller","given":"G."},{"family":"Tap","given":"J."},{"family":"Voigt","given":"A. Y."},{"family":"Sunagawa","given":"S."},{"family":"Kultima","given":"J. R."},{"family":"Costea","given":"P. I."},{"family":"Amiot","given":"A."},{"family":"Bohm","given":"J."},{"family":"Brunetti","given":"F."},{"family":"Habermann","given":"N."},{"family":"Hercog","given":"R."},{"family":"Koch","given":"M."},{"family":"Luciani","given":"A."},{"family":"Mende","given":"D. R."},{"family":"Schneider","given":"M. A."},{"family":"Schrotz-King","given":"P."},{"family":"Tournigand","given":"C."},{"family":"Tran Van Nhieu","given":"J."},{"family":"Yamada","given":"T."},{"family":"Zimmermann","given":"J."},{"family":"Benes","given":"V."},{"family":"Kloor","given":"M."},{"family":"Ulrich","given":"C. M."},{"family":"Knebel Doeberitz","given":"M.","non-dropping-particle":"von"},{"family":"Sobhani","given":"I."},{"family":"Bork","given":"P."}],"issued":{"date-parts":[["2014",11,28]]}}},{"id":"D1GMNV0O/f40CllF2","uris":["http://zotero.org/users/4804376/items/882XXTZV"],"uri":["http://zotero.org/users/4804376/items/882XXTZV"],"itemData":{"id":53,"type":"article-journal","title":"Metagenomic analysis of faecal microbiome as a tool towards targeted non-invasive biomarkers for colorectal cancer","container-title":"Gut","page":"70-78","volume":"66","issue":"1","source":"CrossRef","abstract":"Objective To evaluate the potential for diagnosing colorectal cancer (CRC) from faecal metagenomes. Design We performed metagenome-wide association studies on faecal samples from 74 patients with CRC and 54 controls from China, and validated the results in 16 patients and 24 controls from Denmark. We further validated the biomarkers in two published cohorts from France and Austria. Finally, we employed targeted quantitative PCR (qPCR) assays to evaluate diagnostic potential of selected biomarkers in an independent Chinese cohort of 47 patients and 109 controls. Results Besides conﬁrming known associations of Fusobacterium nucleatum and Peptostreptococcus stomatis with CRC, we found signiﬁcant associations with several species, including Parvimonas micra and Solobacterium moorei. We identiﬁed 20 microbial gene markers that differentiated CRC and control microbiomes, and validated 4 markers in the Danish cohort. In the French and Austrian cohorts, these four genes distinguished CRC metagenomes from controls with areas under the receiver-operating curve (AUC) of 0.72 and 0.77, respectively. qPCR measurements of two of these genes accurately classiﬁed patients with CRC in the independent Chinese cohort with AUC=0.84 and OR of 23. These genes were enriched in early-stage (I–II) patient microbiomes, highlighting the potential for using faecal metagenomic biomarkers for early diagnosis of CRC. Conclusions We present the ﬁrst metagenomic proﬁling study of CRC faecal microbiomes to discover and validate microbial biomarkers in ethnically different cohorts, and to independently validate selected biomarkers using an affordable clinically relevant technology. Our study thus takes a step further towards affordable non-invasive early diagnostic biomarkers for CRC from faecal samples.","DOI":"10.1136/gutjnl-2015-309800","ISSN":"0017-5749, 1468-3288","language":"en","author":[{"family":"Yu","given":"Jun"},{"family":"Feng","given":"Qiang"},{"family":"Wong","given":"Sunny Hei"},{"family":"Zhang","given":"Dongya"},{"family":"Liang","given":"Qiao","dropping-particle":"yi"},{"family":"Qin","given":"Youwen"},{"family":"Tang","given":"Longqing"},{"family":"Zhao","given":"Hui"},{"family":"Stenvang","given":"Jan"},{"family":"Li","given":"Yanli"},{"family":"Wang","given":"Xiaokai"},{"family":"Xu","given":"Xiaoqiang"},{"family":"Chen","given":"Ning"},{"family":"Wu","given":"William Ka Kei"},{"family":"Al-Aama","given":"Jumana"},{"family":"Nielsen","given":"Hans Jørgen"},{"family":"Kiilerich","given":"Pia"},{"family":"Jensen","given":"Benjamin Anderschou Holbech"},{"family":"Yau","given":"Tung On"},{"family":"Lan","given":"Zhou"},{"family":"Jia","given":"Huijue"},{"family":"Li","given":"Junhua"},{"family":"Xiao","given":"Liang"},{"family":"Lam","given":"Thomas Yuen Tung"},{"family":"Ng","given":"Siew Chien"},{"family":"Cheng","given":"Alfred Sze-Lok"},{"family":"Wong","given":"Vincent Wai-Sun"},{"family":"Chan","given":"Francis Ka Leung"},{"family":"Xu","given":"Xun"},{"family":"Yang","given":"Huanming"},{"family":"Madsen","given":"Lise"},{"family":"Datz","given":"Christian"},{"family":"Tilg","given":"Herbert"},{"family":"Wang","given":"Jian"},{"family":"Brünner","given":"Nils"},{"family":"Kristiansen","given":"Karsten"},{"family":"Arumugam","given":"Manimozhiyan"},{"family":"Sung","given":"Joseph Jao-Yiu"},{"family":"Wang","given":"Jun"}],"issued":{"date-parts":[["2017",1]]}}},{"id":"D1GMNV0O/AewYyorI","uris":["http://zotero.org/users/4804376/items/GXKPXPRB"],"uri":["http://zotero.org/users/4804376/items/GXKPXPRB"],"itemData":{"id":343,"type":"article-journal","title":"Virulence genes are a signature of the microbiome in the colorectal tumor microenvironment","container-title":"Genome Medicine","page":"55","volume":"7","issue":"1","source":"PubMed","abstract":"BACKGROUND: The human gut microbiome is associated with the development of colon cancer, and recent studies have found changes in the microbiome in cancer patients compared to healthy controls. Studying the microbial communities in the tumor microenvironment may shed light on the role of host-bacteria interactions in colorectal cancer. Here, we highlight the major shifts in the colorectal tumor microbiome relative to that of matched normal colon tissue from the same individual, allowing us to survey the microbial communities in the tumor microenvironment and providing intrinsic control for environmental and host genetic effects on the microbiome.\nMETHODS: We sequenced the microbiome in 44 primary tumor and 44 patient-matched normal colon tissue samples to determine differentially abundant microbial taxa These data were also used to functionally characterize the microbiome of the cancer and normal sample pairs and identify functional pathways enriched in the tumor-associated microbiota.\nRESULTS: We find that tumors harbor distinct microbial communities compared to nearby healthy tissue. Our results show increased microbial diversity in the tumor microenvironment, with changes in the abundances of commensal and pathogenic bacterial taxa, including Fusobacterium and Providencia. While Fusobacterium has previously been implicated in colorectal cancer, Providencia is a novel tumor-associated agent which has not been identified in previous studies. Additionally, we identified a clear, significant enrichment of predicted virulence-associated genes in the colorectal cancer microenvironment, likely dependent upon the genomes of Fusobacterium and Providencia.\nCONCLUSIONS: This work identifies bacterial taxa significantly correlated with colorectal cancer, including a novel finding of an elevated abundance of Providencia in the tumor microenvironment. We also describe the predicted metabolic pathways and enzymes differentially present in the tumor-associated microbiome, and show an enrichment of virulence-associated bacterial genes in the tumor microenvironment. This predicted virulence enrichment supports the hypothesis that the microbiome plays an active role in colorectal cancer development and/or progression. Our results provide a starting point for future prognostic and therapeutic research with the potential to improve patient outcomes.","DOI":"10.1186/s13073-015-0177-8","ISSN":"1756-994X","note":"PMID: 26170900\nPMCID: PMC4499914","journalAbbreviation":"Genome Med","language":"eng","author":[{"family":"Burns","given":"Michael B."},{"family":"Lynch","given":"Joshua"},{"family":"Starr","given":"Timothy K."},{"family":"Knights","given":"Dan"},{"family":"Blekhman","given":"Ran"}],"issued":{"date-parts":[["2015"]]}}}],"schema":"https://github.com/citation-style-language/schema/raw/master/csl-citation.json"} </w:instrText>
      </w:r>
      <w:r w:rsidR="0009224E"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[126,131,132]</w:t>
      </w:r>
      <w:r w:rsidR="0009224E" w:rsidRPr="00DB7074">
        <w:rPr>
          <w:rFonts w:ascii="Book Antiqua" w:hAnsi="Book Antiqua" w:cs="Times New Roman"/>
          <w:sz w:val="24"/>
          <w:szCs w:val="24"/>
        </w:rPr>
        <w:fldChar w:fldCharType="end"/>
      </w:r>
      <w:r w:rsidRPr="00DB7074">
        <w:rPr>
          <w:rFonts w:ascii="Book Antiqua" w:hAnsi="Book Antiqua" w:cs="Times New Roman"/>
          <w:sz w:val="24"/>
          <w:szCs w:val="24"/>
        </w:rPr>
        <w:t xml:space="preserve">. Thus, the </w:t>
      </w:r>
      <w:r w:rsidR="00203101" w:rsidRPr="00DB7074">
        <w:rPr>
          <w:rFonts w:ascii="Book Antiqua" w:hAnsi="Book Antiqua" w:cs="Times New Roman"/>
          <w:sz w:val="24"/>
          <w:szCs w:val="24"/>
        </w:rPr>
        <w:t>A</w:t>
      </w:r>
      <w:r w:rsidRPr="00DB7074">
        <w:rPr>
          <w:rFonts w:ascii="Book Antiqua" w:hAnsi="Book Antiqua" w:cs="Times New Roman"/>
          <w:sz w:val="24"/>
          <w:szCs w:val="24"/>
        </w:rPr>
        <w:t xml:space="preserve">merican Human Microbiome Project (HMP) and </w:t>
      </w:r>
      <w:r w:rsidR="00203101" w:rsidRPr="00DB7074">
        <w:rPr>
          <w:rFonts w:ascii="Book Antiqua" w:hAnsi="Book Antiqua" w:cs="Times New Roman"/>
          <w:sz w:val="24"/>
          <w:szCs w:val="24"/>
        </w:rPr>
        <w:t>the E</w:t>
      </w:r>
      <w:r w:rsidRPr="00DB7074">
        <w:rPr>
          <w:rFonts w:ascii="Book Antiqua" w:hAnsi="Book Antiqua" w:cs="Times New Roman"/>
          <w:sz w:val="24"/>
          <w:szCs w:val="24"/>
        </w:rPr>
        <w:t xml:space="preserve">uropean "MetaHIT" (Metagenomics of the Human Intestinal Tract) consortia were formed in order to </w:t>
      </w:r>
      <w:r w:rsidR="00DC4621" w:rsidRPr="00DB7074">
        <w:rPr>
          <w:rFonts w:ascii="Book Antiqua" w:hAnsi="Book Antiqua" w:cs="Times New Roman"/>
          <w:sz w:val="24"/>
          <w:szCs w:val="24"/>
        </w:rPr>
        <w:t xml:space="preserve">generate </w:t>
      </w:r>
      <w:r w:rsidRPr="00DB7074">
        <w:rPr>
          <w:rFonts w:ascii="Book Antiqua" w:hAnsi="Book Antiqua" w:cs="Times New Roman"/>
          <w:sz w:val="24"/>
          <w:szCs w:val="24"/>
        </w:rPr>
        <w:t xml:space="preserve">a </w:t>
      </w:r>
      <w:r w:rsidR="00507882" w:rsidRPr="00DB7074">
        <w:rPr>
          <w:rFonts w:ascii="Book Antiqua" w:hAnsi="Book Antiqua" w:cs="Times New Roman"/>
          <w:sz w:val="24"/>
          <w:szCs w:val="24"/>
        </w:rPr>
        <w:t xml:space="preserve">catalogue </w:t>
      </w:r>
      <w:r w:rsidRPr="00DB7074">
        <w:rPr>
          <w:rFonts w:ascii="Book Antiqua" w:hAnsi="Book Antiqua" w:cs="Times New Roman"/>
          <w:sz w:val="24"/>
          <w:szCs w:val="24"/>
        </w:rPr>
        <w:t>of genes carried by the gut microbiota</w:t>
      </w:r>
      <w:r w:rsidR="00C87F02"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{"citationID":"a1oo5svb3em","properties":{"formattedCitation":"\\super [133]\\nosupersub{}","plainCitation":"[133]","noteIndex":0},"citationItems":[{"id":"D1GMNV0O/CmYU6XKK","uris":["http://zotero.org/users/4804376/items/8FEZGEF8"],"uri":["http://zotero.org/users/4804376/items/8FEZGEF8"],"itemData":{"id":676,"type":"article-journal","title":"Enterotypes of the human gut microbiome","container-title":"Nature","page":"174-180","volume":"473","issue":"7346","source":"PubMed","abstract":"Our knowledge of species and functional composition of the human gut microbiome is rapidly increasing, but it is still based on very few cohorts and little is known about variation across the world. By combining 22 newly sequenced faecal metagenomes of individuals from four countries with previously published data sets, here we identify three robust clusters (referred to as enterotypes hereafter) that are not nation or continent specific. We also confirmed the enterotypes in two published, larger cohorts, indicating that intestinal microbiota variation is generally stratified, not continuous. This indicates further the existence of a limited number of well-balanced host-microbial symbiotic states that might respond differently to diet and drug intake. The enterotypes are mostly driven by species composition, but abundant molecular functions are not necessarily provided by abundant species, highlighting the importance of a functional analysis to understand microbial communities. Although individual host properties such as body mass index, age, or gender cannot explain the observed enterotypes, data-driven marker genes or functional modules can be identified for each of these host properties. For example, twelve genes significantly correlate with age and three functional modules with the body mass index, hinting at a diagnostic potential of microbial markers.","DOI":"10.1038/nature09944","ISSN":"1476-4687","note":"PMID: 21508958\nPMCID: PMC3728647","journalAbbreviation":"Nature","language":"eng","author":[{"family":"Arumugam","given":"Manimozhiyan"},{"family":"Raes","given":"Jeroen"},{"family":"Pelletier","given":"Eric"},{"family":"Le Paslier","given":"Denis"},{"family":"Yamada","given":"Takuji"},{"family":"Mende","given":"Daniel R."},{"family":"Fernandes","given":"Gabriel R."},{"family":"Tap","given":"Julien"},{"family":"Bruls","given":"Thomas"},{"family":"Batto","given":"Jean-Michel"},{"family":"Bertalan","given":"Marcelo"},{"family":"Borruel","given":"Natalia"},{"family":"Casellas","given":"Francesc"},{"family":"Fernandez","given":"Leyden"},{"family":"Gautier","given":"Laurent"},{"family":"Hansen","given":"Torben"},{"family":"Hattori","given":"Masahira"},{"family":"Hayashi","given":"Tetsuya"},{"family":"Kleerebezem","given":"Michiel"},{"family":"Kurokawa","given":"Ken"},{"family":"Leclerc","given":"Marion"},{"family":"Levenez","given":"Florence"},{"family":"Manichanh","given":"Chaysavanh"},{"family":"Nielsen","given":"H. Bjørn"},{"family":"Nielsen","given":"Trine"},{"family":"Pons","given":"Nicolas"},{"family":"Poulain","given":"Julie"},{"family":"Qin","given":"Junjie"},{"family":"Sicheritz-Ponten","given":"Thomas"},{"family":"Tims","given":"Sebastian"},{"family":"Torrents","given":"David"},{"family":"Ugarte","given":"Edgardo"},{"family":"Zoetendal","given":"Erwin G."},{"family":"Wang","given":"Jun"},{"family":"Guarner","given":"Francisco"},{"family":"Pedersen","given":"Oluf"},{"family":"Vos","given":"Willem M.","non-dropping-particle":"de"},{"family":"Brunak","given":"Søren"},{"family":"Doré","given":"Joel"},{"literal":"MetaHIT Consortium"},{"family":"Antolín","given":"María"},{"family":"Artiguenave","given":"François"},{"family":"Blottiere","given":"Hervé M."},{"family":"Almeida","given":"Mathieu"},{"family":"Brechot","given":"Christian"},{"family":"Cara","given":"Carlos"},{"family":"Chervaux","given":"Christian"},{"family":"Cultrone","given":"Antonella"},{"family":"Delorme","given":"Christine"},{"family":"Denariaz","given":"Gérard"},{"family":"Dervyn","given":"Rozenn"},{"family":"Foerstner","given":"Konrad U."},{"family":"Friss","given":"Carsten"},{"family":"Guchte","given":"Maarten","non-dropping-particle":"van de"},{"family":"Guedon","given":"Eric"},{"family":"Haimet","given":"Florence"},{"family":"Huber","given":"Wolfgang"},{"family":"Hylckama-Vlieg","given":"Johan","non-dropping-particle":"van"},{"family":"Jamet","given":"Alexandre"},{"family":"Juste","given":"Catherine"},{"family":"Kaci","given":"Ghalia"},{"family":"Knol","given":"Jan"},{"family":"Lakhdari","given":"Omar"},{"family":"Layec","given":"Severine"},{"family":"Le Roux","given":"Karine"},{"family":"Maguin","given":"Emmanuelle"},{"family":"Mérieux","given":"Alexandre"},{"family":"Melo Minardi","given":"Raquel"},{"family":"M'rini","given":"Christine"},{"family":"Muller","given":"Jean"},{"family":"Oozeer","given":"Raish"},{"family":"Parkhill","given":"Julian"},{"family":"Renault","given":"Pierre"},{"family":"Rescigno","given":"Maria"},{"family":"Sanchez","given":"Nicolas"},{"family":"Sunagawa","given":"Shinichi"},{"family":"Torrejon","given":"Antonio"},{"family":"Turner","given":"Keith"},{"family":"Vandemeulebrouck","given":"Gaetana"},{"family":"Varela","given":"Encarna"},{"family":"Winogradsky","given":"Yohanan"},{"family":"Zeller","given":"Georg"},{"family":"Weissenbach","given":"Jean"},{"family":"Ehrlich","given":"S. Dusko"},{"family":"Bork","given":"Peer"}],"issued":{"date-parts":[["2011",5,12]]}}}],"schema":"https://github.com/citation-style-language/schema/raw/master/csl-citation.json"} </w:instrText>
      </w:r>
      <w:r w:rsidR="00C87F02"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[133]</w:t>
      </w:r>
      <w:r w:rsidR="00C87F02" w:rsidRPr="00DB7074">
        <w:rPr>
          <w:rFonts w:ascii="Book Antiqua" w:hAnsi="Book Antiqua" w:cs="Times New Roman"/>
          <w:sz w:val="24"/>
          <w:szCs w:val="24"/>
        </w:rPr>
        <w:fldChar w:fldCharType="end"/>
      </w:r>
      <w:r w:rsidRPr="00DB7074">
        <w:rPr>
          <w:rFonts w:ascii="Book Antiqua" w:hAnsi="Book Antiqua" w:cs="Times New Roman"/>
          <w:sz w:val="24"/>
          <w:szCs w:val="24"/>
        </w:rPr>
        <w:t xml:space="preserve">. </w:t>
      </w:r>
      <w:r w:rsidR="00DC4621" w:rsidRPr="00DB7074">
        <w:rPr>
          <w:rFonts w:ascii="Book Antiqua" w:hAnsi="Book Antiqua" w:cs="Times New Roman"/>
          <w:sz w:val="24"/>
          <w:szCs w:val="24"/>
        </w:rPr>
        <w:t>I</w:t>
      </w:r>
      <w:r w:rsidRPr="00DB7074">
        <w:rPr>
          <w:rFonts w:ascii="Book Antiqua" w:hAnsi="Book Antiqua" w:cs="Times New Roman"/>
          <w:sz w:val="24"/>
          <w:szCs w:val="24"/>
        </w:rPr>
        <w:t xml:space="preserve">ntestinal microbial dysbiosis </w:t>
      </w:r>
      <w:r w:rsidR="00DC4621" w:rsidRPr="00DB7074">
        <w:rPr>
          <w:rFonts w:ascii="Book Antiqua" w:hAnsi="Book Antiqua" w:cs="Times New Roman"/>
          <w:sz w:val="24"/>
          <w:szCs w:val="24"/>
        </w:rPr>
        <w:t xml:space="preserve">was </w:t>
      </w:r>
      <w:r w:rsidRPr="00DB7074">
        <w:rPr>
          <w:rFonts w:ascii="Book Antiqua" w:hAnsi="Book Antiqua" w:cs="Times New Roman"/>
          <w:sz w:val="24"/>
          <w:szCs w:val="24"/>
        </w:rPr>
        <w:t>recently investigated in patients with CRC</w:t>
      </w:r>
      <w:r w:rsidR="00E7342A"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{"citationID":"ajqd4sl6uv","properties":{"formattedCitation":"\\super [125,126,131,132]\\nosupersub{}","plainCitation":"[125,126,131,132]","noteIndex":0},"citationItems":[{"id":"D1GMNV0O/f40CllF2","uris":["http://zotero.org/users/4804376/items/882XXTZV"],"uri":["http://zotero.org/users/4804376/items/882XXTZV"],"itemData":{"id":53,"type":"article-journal","title":"Metagenomic analysis of faecal microbiome as a tool towards targeted non-invasive biomarkers for colorectal cancer","container-title":"Gut","page":"70-78","volume":"66","issue":"1","source":"CrossRef","abstract":"Objective To evaluate the potential for diagnosing colorectal cancer (CRC) from faecal metagenomes. Design We performed metagenome-wide association studies on faecal samples from 74 patients with CRC and 54 controls from China, and validated the results in 16 patients and 24 controls from Denmark. We further validated the biomarkers in two published cohorts from France and Austria. Finally, we employed targeted quantitative PCR (qPCR) assays to evaluate diagnostic potential of selected biomarkers in an independent Chinese cohort of 47 patients and 109 controls. Results Besides conﬁrming known associations of Fusobacterium nucleatum and Peptostreptococcus stomatis with CRC, we found signiﬁcant associations with several species, including Parvimonas micra and Solobacterium moorei. We identiﬁed 20 microbial gene markers that differentiated CRC and control microbiomes, and validated 4 markers in the Danish cohort. In the French and Austrian cohorts, these four genes distinguished CRC metagenomes from controls with areas under the receiver-operating curve (AUC) of 0.72 and 0.77, respectively. qPCR measurements of two of these genes accurately classiﬁed patients with CRC in the independent Chinese cohort with AUC=0.84 and OR of 23. These genes were enriched in early-stage (I–II) patient microbiomes, highlighting the potential for using faecal metagenomic biomarkers for early diagnosis of CRC. Conclusions We present the ﬁrst metagenomic proﬁling study of CRC faecal microbiomes to discover and validate microbial biomarkers in ethnically different cohorts, and to independently validate selected biomarkers using an affordable clinically relevant technology. Our study thus takes a step further towards affordable non-invasive early diagnostic biomarkers for CRC from faecal samples.","DOI":"10.1136/gutjnl-2015-309800","ISSN":"0017-5749, 1468-3288","language":"en","author":[{"family":"Yu","given":"Jun"},{"family":"Feng","given":"Qiang"},{"family":"Wong","given":"Sunny Hei"},{"family":"Zhang","given":"Dongya"},{"family":"Liang","given":"Qiao","dropping-particle":"yi"},{"family":"Qin","given":"Youwen"},{"family":"Tang","given":"Longqing"},{"family":"Zhao","given":"Hui"},{"family":"Stenvang","given":"Jan"},{"family":"Li","given":"Yanli"},{"family":"Wang","given":"Xiaokai"},{"family":"Xu","given":"Xiaoqiang"},{"family":"Chen","given":"Ning"},{"family":"Wu","given":"William Ka Kei"},{"family":"Al-Aama","given":"Jumana"},{"family":"Nielsen","given":"Hans Jørgen"},{"family":"Kiilerich","given":"Pia"},{"family":"Jensen","given":"Benjamin Anderschou Holbech"},{"family":"Yau","given":"Tung On"},{"family":"Lan","given":"Zhou"},{"family":"Jia","given":"Huijue"},{"family":"Li","given":"Junhua"},{"family":"Xiao","given":"Liang"},{"family":"Lam","given":"Thomas Yuen Tung"},{"family":"Ng","given":"Siew Chien"},{"family":"Cheng","given":"Alfred Sze-Lok"},{"family":"Wong","given":"Vincent Wai-Sun"},{"family":"Chan","given":"Francis Ka Leung"},{"family":"Xu","given":"Xun"},{"family":"Yang","given":"Huanming"},{"family":"Madsen","given":"Lise"},{"family":"Datz","given":"Christian"},{"family":"Tilg","given":"Herbert"},{"family":"Wang","given":"Jian"},{"family":"Brünner","given":"Nils"},{"family":"Kristiansen","given":"Karsten"},{"family":"Arumugam","given":"Manimozhiyan"},{"family":"Sung","given":"Joseph Jao-Yiu"},{"family":"Wang","given":"Jun"}],"issued":{"date-parts":[["2017",1]]}}},{"id":"D1GMNV0O/6FXNbvpi","uris":["http://zotero.org/users/4804376/items/M58YNUQZ"],"uri":["http://zotero.org/users/4804376/items/M58YNUQZ"],"itemData":{"id":75,"type":"article-journal","title":"Potential of fecal microbiota for early-stage detection of colorectal cancer","container-title":"Molecular Systems Biology","page":"766-766","volume":"10","issue":"11","source":"CrossRef","abstract":"Several bacterial species have been implicated in the development of colorectal carcinoma (CRC), but CRC-associated changes of fecal microbiota and their potential for cancer screening remain to be explored. Here, we used metagenomic sequencing of fecal samples to identify taxonomic markers that distinguished CRC patients from tumor-free controls in a study population of 156 participants. Accuracy of metagenomic CRC detection was similar to the standard fecal occult blood test (FOBT) and when both approaches were combined, sensitivity improved &gt; 45% relative to the FOBT, while maintaining its specificity. Accuracy of metagenomic CRC detection did not differ significantly between early- and late-stage cancer and could be validated in independent patient and control populations (N = 335) from different countries. CRC-associated changes in the fecal microbiome at least partially reflected microbial community composition at the tumor itself, indicating that observed gene pool differences may reveal tumor-related host–microbe interactions. Indeed, we deduced a metabolic shift from fiber degradation in controls to utilization of host carbohydrates and amino acids in CRC patients, accompanied by an increase of lipopolysaccharide metabolism.","DOI":"10.15252/msb.20145645","ISSN":"1744-4292","language":"en","author":[{"family":"Zeller","given":"G."},{"family":"Tap","given":"J."},{"family":"Voigt","given":"A. Y."},{"family":"Sunagawa","given":"S."},{"family":"Kultima","given":"J. R."},{"family":"Costea","given":"P. I."},{"family":"Amiot","given":"A."},{"family":"Bohm","given":"J."},{"family":"Brunetti","given":"F."},{"family":"Habermann","given":"N."},{"family":"Hercog","given":"R."},{"family":"Koch","given":"M."},{"family":"Luciani","given":"A."},{"family":"Mende","given":"D. R."},{"family":"Schneider","given":"M. A."},{"family":"Schrotz-King","given":"P."},{"family":"Tournigand","given":"C."},{"family":"Tran Van Nhieu","given":"J."},{"family":"Yamada","given":"T."},{"family":"Zimmermann","given":"J."},{"family":"Benes","given":"V."},{"family":"Kloor","given":"M."},{"family":"Ulrich","given":"C. M."},{"family":"Knebel Doeberitz","given":"M.","non-dropping-particle":"von"},{"family":"Sobhani","given":"I."},{"family":"Bork","given":"P."}],"issued":{"date-parts":[["2014",11,28]]}}},{"id":"D1GMNV0O/JE8udYew","uris":["http://zotero.org/users/4804376/items/98FBDYNS"],"uri":["http://zotero.org/users/4804376/items/98FBDYNS"],"itemData":{"id":317,"type":"article-journal","title":"Gut microbiome development along the colorectal adenoma-carcinoma sequence","container-title":"Nature Communications","page":"6528","volume":"6","source":"PubMed","abstract":"Colorectal cancer, a commonly diagnosed cancer in the elderly, often develops slowly from benign polyps called adenoma. The gut microbiota is believed to be directly involved in colorectal carcinogenesis. The identity and functional capacity of the adenoma- or carcinoma-related gut microbe(s), however, have not been surveyed in a comprehensive manner. Here we perform a metagenome-wide association study (MGWAS) on stools from advanced adenoma and carcinoma patients and from healthy subjects, revealing microbial genes, strains and functions enriched in each group. An analysis of potential risk factors indicates that high intake of red meat relative to fruits and vegetables appears to associate with outgrowth of bacteria that might contribute to a more hostile gut environment. These findings suggest that faecal microbiome-based strategies may be useful for early diagnosis and treatment of colorectal adenoma or carcinoma.","DOI":"10.1038/ncomms7528","ISSN":"2041-1723","note":"PMID: 25758642","journalAbbreviation":"Nat Commun","language":"eng","author":[{"family":"Feng","given":"Qiang"},{"family":"Liang","given":"Suisha"},{"family":"Jia","given":"Huijue"},{"family":"Stadlmayr","given":"Andreas"},{"family":"Tang","given":"Longqing"},{"family":"Lan","given":"Zhou"},{"family":"Zhang","given":"Dongya"},{"family":"Xia","given":"Huihua"},{"family":"Xu","given":"Xiaoying"},{"family":"Jie","given":"Zhuye"},{"family":"Su","given":"Lili"},{"family":"Li","given":"Xiaoping"},{"family":"Li","given":"Xin"},{"family":"Li","given":"Junhua"},{"family":"Xiao","given":"Liang"},{"family":"Huber-Schönauer","given":"Ursula"},{"family":"Niederseer","given":"David"},{"family":"Xu","given":"Xun"},{"family":"Al-Aama","given":"Jumana Yousuf"},{"family":"Yang","given":"Huanming"},{"family":"Wang","given":"Jian"},{"family":"Kristiansen","given":"Karsten"},{"family":"Arumugam","given":"Manimozhiyan"},{"family":"Tilg","given":"Herbert"},{"family":"Datz","given":"Christian"},{"family":"Wang","given":"Jun"}],"issued":{"date-parts":[["2015",3,11]]}}},{"id":"D1GMNV0O/AewYyorI","uris":["http://zotero.org/users/4804376/items/GXKPXPRB"],"uri":["http://zotero.org/users/4804376/items/GXKPXPRB"],"itemData":{"id":343,"type":"article-journal","title":"Virulence genes are a signature of the microbiome in the colorectal tumor microenvironment","container-title":"Genome Medicine","page":"55","volume":"7","issue":"1","source":"PubMed","abstract":"BACKGROUND: The human gut microbiome is associated with the development of colon cancer, and recent studies have found changes in the microbiome in cancer patients compared to healthy controls. Studying the microbial communities in the tumor microenvironment may shed light on the role of host-bacteria interactions in colorectal cancer. Here, we highlight the major shifts in the colorectal tumor microbiome relative to that of matched normal colon tissue from the same individual, allowing us to survey the microbial communities in the tumor microenvironment and providing intrinsic control for environmental and host genetic effects on the microbiome.\nMETHODS: We sequenced the microbiome in 44 primary tumor and 44 patient-matched normal colon tissue samples to determine differentially abundant microbial taxa These data were also used to functionally characterize the microbiome of the cancer and normal sample pairs and identify functional pathways enriched in the tumor-associated microbiota.\nRESULTS: We find that tumors harbor distinct microbial communities compared to nearby healthy tissue. Our results show increased microbial diversity in the tumor microenvironment, with changes in the abundances of commensal and pathogenic bacterial taxa, including Fusobacterium and Providencia. While Fusobacterium has previously been implicated in colorectal cancer, Providencia is a novel tumor-associated agent which has not been identified in previous studies. Additionally, we identified a clear, significant enrichment of predicted virulence-associated genes in the colorectal cancer microenvironment, likely dependent upon the genomes of Fusobacterium and Providencia.\nCONCLUSIONS: This work identifies bacterial taxa significantly correlated with colorectal cancer, including a novel finding of an elevated abundance of Providencia in the tumor microenvironment. We also describe the predicted metabolic pathways and enzymes differentially present in the tumor-associated microbiome, and show an enrichment of virulence-associated bacterial genes in the tumor microenvironment. This predicted virulence enrichment supports the hypothesis that the microbiome plays an active role in colorectal cancer development and/or progression. Our results provide a starting point for future prognostic and therapeutic research with the potential to improve patient outcomes.","DOI":"10.1186/s13073-015-0177-8","ISSN":"1756-994X","note":"PMID: 26170900\nPMCID: PMC4499914","journalAbbreviation":"Genome Med","language":"eng","author":[{"family":"Burns","given":"Michael B."},{"family":"Lynch","given":"Joshua"},{"family":"Starr","given":"Timothy K."},{"family":"Knights","given":"Dan"},{"family":"Blekhman","given":"Ran"}],"issued":{"date-parts":[["2015"]]}}}],"schema":"https://github.com/citation-style-language/schema/raw/master/csl-citation.json"} </w:instrText>
      </w:r>
      <w:r w:rsidR="00E7342A"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[125,126,131,132]</w:t>
      </w:r>
      <w:r w:rsidR="00E7342A" w:rsidRPr="00DB7074">
        <w:rPr>
          <w:rFonts w:ascii="Book Antiqua" w:hAnsi="Book Antiqua" w:cs="Times New Roman"/>
          <w:sz w:val="24"/>
          <w:szCs w:val="24"/>
        </w:rPr>
        <w:fldChar w:fldCharType="end"/>
      </w:r>
      <w:r w:rsidRPr="00DB7074">
        <w:rPr>
          <w:rFonts w:ascii="Book Antiqua" w:hAnsi="Book Antiqua" w:cs="Times New Roman"/>
          <w:sz w:val="24"/>
          <w:szCs w:val="24"/>
        </w:rPr>
        <w:t xml:space="preserve">. Combining the metagenomics data available in databases with the application of other high-throughput meta-omics approaches, it is now possible to gain a better insight into the microbial function and to reveal the link between genetic potential and functionality in </w:t>
      </w:r>
      <w:r w:rsidR="005641AE" w:rsidRPr="00DB7074">
        <w:rPr>
          <w:rFonts w:ascii="Book Antiqua" w:hAnsi="Book Antiqua" w:cs="Times New Roman"/>
          <w:sz w:val="24"/>
          <w:szCs w:val="24"/>
        </w:rPr>
        <w:t xml:space="preserve">the </w:t>
      </w:r>
      <w:r w:rsidRPr="00DB7074">
        <w:rPr>
          <w:rFonts w:ascii="Book Antiqua" w:hAnsi="Book Antiqua" w:cs="Times New Roman"/>
          <w:sz w:val="24"/>
          <w:szCs w:val="24"/>
        </w:rPr>
        <w:t>gut microbiota.</w:t>
      </w:r>
      <w:r w:rsidR="006F1A55" w:rsidRPr="00DB7074">
        <w:rPr>
          <w:rFonts w:ascii="Book Antiqua" w:hAnsi="Book Antiqua" w:cs="Times New Roman"/>
          <w:sz w:val="24"/>
          <w:szCs w:val="24"/>
        </w:rPr>
        <w:t xml:space="preserve"> </w:t>
      </w:r>
    </w:p>
    <w:p w14:paraId="58CD2EC8" w14:textId="77777777" w:rsidR="00FA661A" w:rsidRPr="00DB7074" w:rsidRDefault="00FA661A" w:rsidP="00DB7074">
      <w:pPr>
        <w:autoSpaceDE w:val="0"/>
        <w:autoSpaceDN w:val="0"/>
        <w:adjustRightInd w:val="0"/>
        <w:snapToGrid w:val="0"/>
        <w:spacing w:after="0" w:line="360" w:lineRule="auto"/>
        <w:jc w:val="both"/>
        <w:rPr>
          <w:rFonts w:ascii="Book Antiqua" w:hAnsi="Book Antiqua" w:cs="Times New Roman"/>
          <w:sz w:val="24"/>
          <w:szCs w:val="24"/>
        </w:rPr>
      </w:pPr>
    </w:p>
    <w:p w14:paraId="2EB3CB2C" w14:textId="367A9A2F" w:rsidR="005E5C97" w:rsidRPr="002D0B80" w:rsidRDefault="00FA661A" w:rsidP="002D0B80">
      <w:pPr>
        <w:autoSpaceDE w:val="0"/>
        <w:autoSpaceDN w:val="0"/>
        <w:adjustRightInd w:val="0"/>
        <w:snapToGrid w:val="0"/>
        <w:spacing w:after="0" w:line="360" w:lineRule="auto"/>
        <w:jc w:val="both"/>
        <w:rPr>
          <w:rFonts w:ascii="Book Antiqua" w:hAnsi="Book Antiqua" w:cs="Times New Roman"/>
          <w:b/>
          <w:sz w:val="24"/>
          <w:szCs w:val="24"/>
        </w:rPr>
      </w:pPr>
      <w:r w:rsidRPr="00DB7074">
        <w:rPr>
          <w:rFonts w:ascii="Book Antiqua" w:hAnsi="Book Antiqua" w:cs="Times New Roman"/>
          <w:b/>
          <w:sz w:val="24"/>
          <w:szCs w:val="24"/>
        </w:rPr>
        <w:t>Cancer-associated microbiome alterations</w:t>
      </w:r>
      <w:r w:rsidR="002D0B80">
        <w:rPr>
          <w:rFonts w:ascii="Book Antiqua" w:hAnsi="Book Antiqua" w:cs="Times New Roman" w:hint="eastAsia"/>
          <w:b/>
          <w:sz w:val="24"/>
          <w:szCs w:val="24"/>
          <w:lang w:eastAsia="zh-CN"/>
        </w:rPr>
        <w:t xml:space="preserve">: </w:t>
      </w:r>
      <w:r w:rsidR="002C70F0" w:rsidRPr="00DB7074">
        <w:rPr>
          <w:rFonts w:ascii="Book Antiqua" w:hAnsi="Book Antiqua" w:cs="Times New Roman"/>
          <w:sz w:val="24"/>
          <w:szCs w:val="24"/>
        </w:rPr>
        <w:t>To date</w:t>
      </w:r>
      <w:r w:rsidR="006A5F84" w:rsidRPr="00DB7074">
        <w:rPr>
          <w:rFonts w:ascii="Book Antiqua" w:hAnsi="Book Antiqua" w:cs="Times New Roman"/>
          <w:sz w:val="24"/>
          <w:szCs w:val="24"/>
        </w:rPr>
        <w:t xml:space="preserve">, there is no consensus </w:t>
      </w:r>
      <w:r w:rsidR="005641AE" w:rsidRPr="00DB7074">
        <w:rPr>
          <w:rFonts w:ascii="Book Antiqua" w:hAnsi="Book Antiqua" w:cs="Times New Roman"/>
          <w:sz w:val="24"/>
          <w:szCs w:val="24"/>
        </w:rPr>
        <w:t>in terms of</w:t>
      </w:r>
      <w:r w:rsidR="006A5F84" w:rsidRPr="00DB7074">
        <w:rPr>
          <w:rFonts w:ascii="Book Antiqua" w:hAnsi="Book Antiqua" w:cs="Times New Roman"/>
          <w:sz w:val="24"/>
          <w:szCs w:val="24"/>
        </w:rPr>
        <w:t xml:space="preserve"> the </w:t>
      </w:r>
      <w:r w:rsidR="0090634B" w:rsidRPr="00DB7074">
        <w:rPr>
          <w:rFonts w:ascii="Book Antiqua" w:hAnsi="Book Antiqua" w:cs="Times New Roman"/>
          <w:sz w:val="24"/>
          <w:szCs w:val="24"/>
        </w:rPr>
        <w:t xml:space="preserve">microbiota </w:t>
      </w:r>
      <w:r w:rsidR="006A5F84" w:rsidRPr="00DB7074">
        <w:rPr>
          <w:rFonts w:ascii="Book Antiqua" w:hAnsi="Book Antiqua" w:cs="Times New Roman"/>
          <w:sz w:val="24"/>
          <w:szCs w:val="24"/>
        </w:rPr>
        <w:t xml:space="preserve">modifications observed in CRC </w:t>
      </w:r>
      <w:r w:rsidR="0095745B" w:rsidRPr="00DB7074">
        <w:rPr>
          <w:rFonts w:ascii="Book Antiqua" w:hAnsi="Book Antiqua" w:cs="Times New Roman"/>
          <w:sz w:val="24"/>
          <w:szCs w:val="24"/>
        </w:rPr>
        <w:t>using</w:t>
      </w:r>
      <w:r w:rsidR="006A5F84" w:rsidRPr="00DB7074">
        <w:rPr>
          <w:rFonts w:ascii="Book Antiqua" w:hAnsi="Book Antiqua" w:cs="Times New Roman"/>
          <w:sz w:val="24"/>
          <w:szCs w:val="24"/>
        </w:rPr>
        <w:t xml:space="preserve"> h</w:t>
      </w:r>
      <w:r w:rsidR="005E5C97" w:rsidRPr="00DB7074">
        <w:rPr>
          <w:rFonts w:ascii="Book Antiqua" w:hAnsi="Book Antiqua" w:cs="Times New Roman"/>
          <w:sz w:val="24"/>
          <w:szCs w:val="24"/>
        </w:rPr>
        <w:t xml:space="preserve">igh-throughput sequencing of the bacterial 16S rRNA gene and metagenomics both in </w:t>
      </w:r>
      <w:r w:rsidR="00507882" w:rsidRPr="00DB7074">
        <w:rPr>
          <w:rFonts w:ascii="Book Antiqua" w:hAnsi="Book Antiqua" w:cs="Times New Roman"/>
          <w:sz w:val="24"/>
          <w:szCs w:val="24"/>
        </w:rPr>
        <w:t>faecal</w:t>
      </w:r>
      <w:r w:rsidR="005E5C97" w:rsidRPr="00DB7074">
        <w:rPr>
          <w:rFonts w:ascii="Book Antiqua" w:hAnsi="Book Antiqua" w:cs="Times New Roman"/>
          <w:sz w:val="24"/>
          <w:szCs w:val="24"/>
        </w:rPr>
        <w:t xml:space="preserve"> and tissue samples compared with </w:t>
      </w:r>
      <w:r w:rsidR="005641AE" w:rsidRPr="00DB7074">
        <w:rPr>
          <w:rFonts w:ascii="Book Antiqua" w:hAnsi="Book Antiqua" w:cs="Times New Roman"/>
          <w:sz w:val="24"/>
          <w:szCs w:val="24"/>
        </w:rPr>
        <w:t xml:space="preserve">samples from </w:t>
      </w:r>
      <w:r w:rsidR="005E5C97" w:rsidRPr="00DB7074">
        <w:rPr>
          <w:rFonts w:ascii="Book Antiqua" w:hAnsi="Book Antiqua" w:cs="Times New Roman"/>
          <w:sz w:val="24"/>
          <w:szCs w:val="24"/>
        </w:rPr>
        <w:t>healthy individuals. The complexity of the gut microbial ecosystem</w:t>
      </w:r>
      <w:r w:rsidR="00507882" w:rsidRPr="00DB7074">
        <w:rPr>
          <w:rFonts w:ascii="Book Antiqua" w:hAnsi="Book Antiqua" w:cs="Times New Roman"/>
          <w:sz w:val="24"/>
          <w:szCs w:val="24"/>
        </w:rPr>
        <w:t xml:space="preserve"> associated with </w:t>
      </w:r>
      <w:r w:rsidR="005E5C97" w:rsidRPr="00DB7074">
        <w:rPr>
          <w:rFonts w:ascii="Book Antiqua" w:hAnsi="Book Antiqua" w:cs="Times New Roman"/>
          <w:sz w:val="24"/>
          <w:szCs w:val="24"/>
        </w:rPr>
        <w:t>other technical or biological parameters, such as the geographical location of the studied populations, the lifestyle, the diet</w:t>
      </w:r>
      <w:r w:rsidR="008D2C95" w:rsidRPr="00DB7074">
        <w:rPr>
          <w:rFonts w:ascii="Book Antiqua" w:hAnsi="Book Antiqua" w:cs="Times New Roman"/>
          <w:sz w:val="24"/>
          <w:szCs w:val="24"/>
        </w:rPr>
        <w:t>, the sample</w:t>
      </w:r>
      <w:r w:rsidR="005E5C97" w:rsidRPr="00DB7074">
        <w:rPr>
          <w:rFonts w:ascii="Book Antiqua" w:hAnsi="Book Antiqua" w:cs="Times New Roman"/>
          <w:sz w:val="24"/>
          <w:szCs w:val="24"/>
        </w:rPr>
        <w:t xml:space="preserve"> type (</w:t>
      </w:r>
      <w:r w:rsidR="00507882" w:rsidRPr="00DB7074">
        <w:rPr>
          <w:rFonts w:ascii="Book Antiqua" w:hAnsi="Book Antiqua" w:cs="Times New Roman"/>
          <w:sz w:val="24"/>
          <w:szCs w:val="24"/>
        </w:rPr>
        <w:t>faeces</w:t>
      </w:r>
      <w:r w:rsidR="005E5C97" w:rsidRPr="00DB7074">
        <w:rPr>
          <w:rFonts w:ascii="Book Antiqua" w:hAnsi="Book Antiqua" w:cs="Times New Roman"/>
          <w:sz w:val="24"/>
          <w:szCs w:val="24"/>
        </w:rPr>
        <w:t xml:space="preserve">, mucosa, </w:t>
      </w:r>
      <w:r w:rsidR="00507882" w:rsidRPr="00DB7074">
        <w:rPr>
          <w:rFonts w:ascii="Book Antiqua" w:hAnsi="Book Antiqua" w:cs="Times New Roman"/>
          <w:sz w:val="24"/>
          <w:szCs w:val="24"/>
        </w:rPr>
        <w:t>tumour</w:t>
      </w:r>
      <w:r w:rsidR="005641AE" w:rsidRPr="00DB7074">
        <w:rPr>
          <w:rFonts w:ascii="Book Antiqua" w:hAnsi="Book Antiqua" w:cs="Times New Roman"/>
          <w:sz w:val="24"/>
          <w:szCs w:val="24"/>
        </w:rPr>
        <w:t xml:space="preserve">), the </w:t>
      </w:r>
      <w:r w:rsidR="005E5C97" w:rsidRPr="00DB7074">
        <w:rPr>
          <w:rFonts w:ascii="Book Antiqua" w:hAnsi="Book Antiqua" w:cs="Times New Roman"/>
          <w:sz w:val="24"/>
          <w:szCs w:val="24"/>
        </w:rPr>
        <w:t xml:space="preserve">location of the tissue sampled </w:t>
      </w:r>
      <w:r w:rsidR="005641AE" w:rsidRPr="00DB7074">
        <w:rPr>
          <w:rFonts w:ascii="Book Antiqua" w:hAnsi="Book Antiqua" w:cs="Times New Roman"/>
          <w:sz w:val="24"/>
          <w:szCs w:val="24"/>
        </w:rPr>
        <w:t>(</w:t>
      </w:r>
      <w:r w:rsidR="00507882" w:rsidRPr="00DB7074">
        <w:rPr>
          <w:rFonts w:ascii="Book Antiqua" w:hAnsi="Book Antiqua" w:cs="Times New Roman"/>
          <w:sz w:val="24"/>
          <w:szCs w:val="24"/>
        </w:rPr>
        <w:t xml:space="preserve">i.e., </w:t>
      </w:r>
      <w:r w:rsidR="005E5C97" w:rsidRPr="00DB7074">
        <w:rPr>
          <w:rFonts w:ascii="Book Antiqua" w:hAnsi="Book Antiqua" w:cs="Times New Roman"/>
          <w:sz w:val="24"/>
          <w:szCs w:val="24"/>
        </w:rPr>
        <w:t>right or left colon), the age of the individual, the stage of the disease, the number of patients studied, the molecular approach used (metagenomics, 16S rRNA gene NGS), the regions of the 16S rRNA targeted (V1-V2,</w:t>
      </w:r>
      <w:r w:rsidR="00CE6BBB" w:rsidRPr="00DB7074">
        <w:rPr>
          <w:rFonts w:ascii="Book Antiqua" w:hAnsi="Book Antiqua" w:cs="Times New Roman"/>
          <w:sz w:val="24"/>
          <w:szCs w:val="24"/>
        </w:rPr>
        <w:t xml:space="preserve"> </w:t>
      </w:r>
      <w:r w:rsidR="005E5C97" w:rsidRPr="00DB7074">
        <w:rPr>
          <w:rFonts w:ascii="Book Antiqua" w:hAnsi="Book Antiqua" w:cs="Times New Roman"/>
          <w:sz w:val="24"/>
          <w:szCs w:val="24"/>
        </w:rPr>
        <w:t xml:space="preserve">V3, V3-V5, V4-V6 regions) for </w:t>
      </w:r>
      <w:r w:rsidR="00626D4C" w:rsidRPr="00DB7074">
        <w:rPr>
          <w:rFonts w:ascii="Book Antiqua" w:hAnsi="Book Antiqua" w:cs="Times New Roman"/>
          <w:sz w:val="24"/>
          <w:szCs w:val="24"/>
        </w:rPr>
        <w:t xml:space="preserve">the </w:t>
      </w:r>
      <w:r w:rsidR="005E5C97" w:rsidRPr="00DB7074">
        <w:rPr>
          <w:rFonts w:ascii="Book Antiqua" w:hAnsi="Book Antiqua" w:cs="Times New Roman"/>
          <w:sz w:val="24"/>
          <w:szCs w:val="24"/>
        </w:rPr>
        <w:t xml:space="preserve">NGS </w:t>
      </w:r>
      <w:r w:rsidR="005E5C97" w:rsidRPr="00DB7074">
        <w:rPr>
          <w:rFonts w:ascii="Book Antiqua" w:hAnsi="Book Antiqua" w:cs="Times New Roman"/>
          <w:sz w:val="24"/>
          <w:szCs w:val="24"/>
        </w:rPr>
        <w:lastRenderedPageBreak/>
        <w:t xml:space="preserve">approach, </w:t>
      </w:r>
      <w:r w:rsidR="00626D4C" w:rsidRPr="00DB7074">
        <w:rPr>
          <w:rFonts w:ascii="Book Antiqua" w:hAnsi="Book Antiqua" w:cs="Times New Roman"/>
          <w:sz w:val="24"/>
          <w:szCs w:val="24"/>
        </w:rPr>
        <w:t>and</w:t>
      </w:r>
      <w:r w:rsidR="005E5C97" w:rsidRPr="00DB7074">
        <w:rPr>
          <w:rFonts w:ascii="Book Antiqua" w:hAnsi="Book Antiqua" w:cs="Times New Roman"/>
          <w:sz w:val="24"/>
          <w:szCs w:val="24"/>
        </w:rPr>
        <w:t xml:space="preserve"> the taxonomic level considered</w:t>
      </w:r>
      <w:r w:rsidR="00626D4C" w:rsidRPr="00DB7074">
        <w:rPr>
          <w:rFonts w:ascii="Book Antiqua" w:hAnsi="Book Antiqua" w:cs="Times New Roman"/>
          <w:sz w:val="24"/>
          <w:szCs w:val="24"/>
        </w:rPr>
        <w:t>,</w:t>
      </w:r>
      <w:r w:rsidR="005E5C97" w:rsidRPr="00DB7074">
        <w:rPr>
          <w:rFonts w:ascii="Book Antiqua" w:hAnsi="Book Antiqua" w:cs="Times New Roman"/>
          <w:sz w:val="24"/>
          <w:szCs w:val="24"/>
        </w:rPr>
        <w:t xml:space="preserve"> contribute to th</w:t>
      </w:r>
      <w:r w:rsidR="006A5F84" w:rsidRPr="00DB7074">
        <w:rPr>
          <w:rFonts w:ascii="Book Antiqua" w:hAnsi="Book Antiqua" w:cs="Times New Roman"/>
          <w:sz w:val="24"/>
          <w:szCs w:val="24"/>
        </w:rPr>
        <w:t>e</w:t>
      </w:r>
      <w:r w:rsidR="005E5C97" w:rsidRPr="00DB7074">
        <w:rPr>
          <w:rFonts w:ascii="Book Antiqua" w:hAnsi="Book Antiqua" w:cs="Times New Roman"/>
          <w:sz w:val="24"/>
          <w:szCs w:val="24"/>
        </w:rPr>
        <w:t xml:space="preserve"> lack of consensus on the definition of the</w:t>
      </w:r>
      <w:r w:rsidR="00626D4C" w:rsidRPr="00DB7074">
        <w:rPr>
          <w:rFonts w:ascii="Book Antiqua" w:hAnsi="Book Antiqua" w:cs="Times New Roman"/>
          <w:sz w:val="24"/>
          <w:szCs w:val="24"/>
        </w:rPr>
        <w:t xml:space="preserve"> composition of</w:t>
      </w:r>
      <w:r w:rsidR="005E5C97" w:rsidRPr="00DB7074">
        <w:rPr>
          <w:rFonts w:ascii="Book Antiqua" w:hAnsi="Book Antiqua" w:cs="Times New Roman"/>
          <w:sz w:val="24"/>
          <w:szCs w:val="24"/>
        </w:rPr>
        <w:t xml:space="preserve"> dysbiotic microbiota in patients with CRC. </w:t>
      </w:r>
    </w:p>
    <w:p w14:paraId="53CB29F3" w14:textId="3067DF56" w:rsidR="0065198E" w:rsidRPr="00DB7074" w:rsidRDefault="00626D4C" w:rsidP="009A5C56">
      <w:pPr>
        <w:snapToGrid w:val="0"/>
        <w:spacing w:after="0" w:line="360" w:lineRule="auto"/>
        <w:ind w:firstLineChars="100" w:firstLine="240"/>
        <w:jc w:val="both"/>
        <w:rPr>
          <w:rFonts w:ascii="Book Antiqua" w:hAnsi="Book Antiqua" w:cs="Times New Roman"/>
          <w:sz w:val="24"/>
          <w:szCs w:val="24"/>
        </w:rPr>
      </w:pPr>
      <w:r w:rsidRPr="00DB7074">
        <w:rPr>
          <w:rFonts w:ascii="Book Antiqua" w:hAnsi="Book Antiqua" w:cs="Times New Roman"/>
          <w:sz w:val="24"/>
          <w:szCs w:val="24"/>
        </w:rPr>
        <w:t>A</w:t>
      </w:r>
      <w:r w:rsidR="005E5C97" w:rsidRPr="00DB7074">
        <w:rPr>
          <w:rFonts w:ascii="Book Antiqua" w:hAnsi="Book Antiqua" w:cs="Times New Roman"/>
          <w:sz w:val="24"/>
          <w:szCs w:val="24"/>
        </w:rPr>
        <w:t>lpha diversity metrics</w:t>
      </w:r>
      <w:r w:rsidRPr="00DB7074">
        <w:rPr>
          <w:rFonts w:ascii="Book Antiqua" w:hAnsi="Book Antiqua" w:cs="Times New Roman"/>
          <w:sz w:val="24"/>
          <w:szCs w:val="24"/>
        </w:rPr>
        <w:t>,</w:t>
      </w:r>
      <w:r w:rsidR="005E5C97" w:rsidRPr="00DB7074">
        <w:rPr>
          <w:rFonts w:ascii="Book Antiqua" w:hAnsi="Book Antiqua" w:cs="Times New Roman"/>
          <w:sz w:val="24"/>
          <w:szCs w:val="24"/>
        </w:rPr>
        <w:t xml:space="preserve"> </w:t>
      </w:r>
      <w:r w:rsidR="005A3394" w:rsidRPr="00DB7074">
        <w:rPr>
          <w:rFonts w:ascii="Book Antiqua" w:hAnsi="Book Antiqua" w:cs="Times New Roman"/>
          <w:sz w:val="24"/>
          <w:szCs w:val="24"/>
        </w:rPr>
        <w:t>which represent the specific richness</w:t>
      </w:r>
      <w:r w:rsidR="00507882" w:rsidRPr="00DB7074">
        <w:rPr>
          <w:rFonts w:ascii="Book Antiqua" w:hAnsi="Book Antiqua" w:cs="Times New Roman"/>
          <w:sz w:val="24"/>
          <w:szCs w:val="24"/>
        </w:rPr>
        <w:t xml:space="preserve"> and </w:t>
      </w:r>
      <w:r w:rsidR="005A3394" w:rsidRPr="00DB7074">
        <w:rPr>
          <w:rFonts w:ascii="Book Antiqua" w:hAnsi="Book Antiqua" w:cs="Times New Roman"/>
          <w:sz w:val="24"/>
          <w:szCs w:val="24"/>
        </w:rPr>
        <w:t xml:space="preserve">the distribution of individuals within the species </w:t>
      </w:r>
      <w:r w:rsidR="005E5C97" w:rsidRPr="00DB7074">
        <w:rPr>
          <w:rFonts w:ascii="Book Antiqua" w:hAnsi="Book Antiqua" w:cs="Times New Roman"/>
          <w:sz w:val="24"/>
          <w:szCs w:val="24"/>
        </w:rPr>
        <w:t xml:space="preserve">were found </w:t>
      </w:r>
      <w:r w:rsidRPr="00DB7074">
        <w:rPr>
          <w:rFonts w:ascii="Book Antiqua" w:hAnsi="Book Antiqua" w:cs="Times New Roman"/>
          <w:sz w:val="24"/>
          <w:szCs w:val="24"/>
        </w:rPr>
        <w:t xml:space="preserve">to be </w:t>
      </w:r>
      <w:r w:rsidR="005E5C97" w:rsidRPr="00DB7074">
        <w:rPr>
          <w:rFonts w:ascii="Book Antiqua" w:hAnsi="Book Antiqua" w:cs="Times New Roman"/>
          <w:sz w:val="24"/>
          <w:szCs w:val="24"/>
        </w:rPr>
        <w:t xml:space="preserve">increased in </w:t>
      </w:r>
      <w:r w:rsidR="0065198E" w:rsidRPr="00DB7074">
        <w:rPr>
          <w:rFonts w:ascii="Book Antiqua" w:hAnsi="Book Antiqua" w:cs="Times New Roman"/>
          <w:sz w:val="24"/>
          <w:szCs w:val="24"/>
        </w:rPr>
        <w:t xml:space="preserve">adenoma and </w:t>
      </w:r>
      <w:r w:rsidR="00177DE1" w:rsidRPr="00DB7074">
        <w:rPr>
          <w:rFonts w:ascii="Book Antiqua" w:hAnsi="Book Antiqua" w:cs="Times New Roman"/>
          <w:sz w:val="24"/>
          <w:szCs w:val="24"/>
        </w:rPr>
        <w:t>adenocarcinoma</w:t>
      </w:r>
      <w:r w:rsidR="005E5C97" w:rsidRPr="00DB7074">
        <w:rPr>
          <w:rFonts w:ascii="Book Antiqua" w:hAnsi="Book Antiqua" w:cs="Times New Roman"/>
          <w:sz w:val="24"/>
          <w:szCs w:val="24"/>
        </w:rPr>
        <w:t xml:space="preserve"> </w:t>
      </w:r>
      <w:r w:rsidRPr="00DB7074">
        <w:rPr>
          <w:rFonts w:ascii="Book Antiqua" w:hAnsi="Book Antiqua" w:cs="Times New Roman"/>
          <w:sz w:val="24"/>
          <w:szCs w:val="24"/>
        </w:rPr>
        <w:t>tissues</w:t>
      </w:r>
      <w:r w:rsidR="0065198E" w:rsidRPr="00DB7074">
        <w:rPr>
          <w:rFonts w:ascii="Book Antiqua" w:hAnsi="Book Antiqua" w:cs="Times New Roman"/>
          <w:sz w:val="24"/>
          <w:szCs w:val="24"/>
        </w:rPr>
        <w:t xml:space="preserve"> compar</w:t>
      </w:r>
      <w:r w:rsidRPr="00DB7074">
        <w:rPr>
          <w:rFonts w:ascii="Book Antiqua" w:hAnsi="Book Antiqua" w:cs="Times New Roman"/>
          <w:sz w:val="24"/>
          <w:szCs w:val="24"/>
        </w:rPr>
        <w:t>ed with in</w:t>
      </w:r>
      <w:r w:rsidR="00446659" w:rsidRPr="00DB7074">
        <w:rPr>
          <w:rFonts w:ascii="Book Antiqua" w:hAnsi="Book Antiqua" w:cs="Times New Roman"/>
          <w:sz w:val="24"/>
          <w:szCs w:val="24"/>
        </w:rPr>
        <w:t xml:space="preserve"> </w:t>
      </w:r>
      <w:r w:rsidR="00F71378" w:rsidRPr="00DB7074">
        <w:rPr>
          <w:rFonts w:ascii="Book Antiqua" w:hAnsi="Book Antiqua" w:cs="Times New Roman"/>
          <w:sz w:val="24"/>
          <w:szCs w:val="24"/>
        </w:rPr>
        <w:t>normal mucosa</w:t>
      </w:r>
      <w:r w:rsidR="00724E27"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{"citationID":"aqrumqdfvo","properties":{"formattedCitation":"\\super [134\\uc0\\u8211{}136]\\nosupersub{}","plainCitation":"[134–136]","noteIndex":0},"citationItems":[{"id":"D1GMNV0O/941tTp1K","uris":["http://zotero.org/users/4804376/items/D53X434G"],"uri":["http://zotero.org/users/4804376/items/D53X434G"],"itemData":{"id":341,"type":"article-journal","title":"Microbial mucosal colonic shifts associated with the development of colorectal cancer reveal the presence of different bacterial and archaeal biomarkers","container-title":"Journal of Gastroenterology","page":"167-179","volume":"50","issue":"2","source":"PubMed","abstract":"BACKGROUND: Epidemiological studies demonstrate a link between gastrointestinal cancers and environmental factors such as diet. It has been suggested that environmental cancer risk is determined by the interaction between diet and microbes. Thus, the purpose of this study was to examine the hypothesis that microbiota composition during colorectal cancer (CRC) progression might differ depending on the stage of the disease.\nMETHODS: A total of 28 age-matched and sex-matched subjects, seven with CRC adenocarcinoma, 11 with tubular adenomas and ten healthy subjects with intact colon, were included into the study. Microbiomes from mucosal and fecal samples were analyzed with 16S ribosomal RNA gene pyrosequencing, together with quantitative PCR of specific bacteria and archaea.\nRESULTS: The principal coordinates analysis clearly separated healthy tissue samples from polyps and tumors, supporting the presence of specific bacterial consortia that are associated with affected sites and that can serve as potential biomarkers of CRC progression. A higher presence of Fusobacterium nucleatum and Enterobacteriaceae was found by qPCR in samples from CRC compared to healthy controls. We observed a correlation between CRC process development and levels of Methanobacteriales (R = 0.537, P = 0.007) and Methanobrevibacterium (R = 0.574, P = 0.03) in fecal samples.\nCONCLUSION: Differences in microbial and archaeal composition between mucosal samples from healthy and disease tissues were observed in tubular adenoma and adenocarcinoma. In addition, microbiota from mucosal samples represented the underlying dysbiosis, whereas fecal samples seem not to be appropriate to detect shifts in microbial composition. CRC risk is influenced by microbial composition, showing differences according to disease progression step and tumor severity.","DOI":"10.1007/s00535-014-0963-x","ISSN":"1435-5922","note":"PMID: 24811328","journalAbbreviation":"J. Gastroenterol.","language":"eng","author":[{"family":"Mira-Pascual","given":"L."},{"family":"Cabrera-Rubio","given":"R."},{"family":"Ocon","given":"S."},{"family":"Costales","given":"P."},{"family":"Parra","given":"A."},{"family":"Suarez","given":"A."},{"family":"Moris","given":"F."},{"family":"Rodrigo","given":"L."},{"family":"Mira","given":"A."},{"family":"Collado","given":"M. C."}],"issued":{"date-parts":[["2015",2]]}}},{"id":"D1GMNV0O/F6QUCHf2","uris":["http://zotero.org/users/4804376/items/VMGZVMII"],"uri":["http://zotero.org/users/4804376/items/VMGZVMII"],"itemData":{"id":335,"type":"article-journal","title":"Mucosal adherent bacterial dysbiosis in patients with colorectal adenomas","container-title":"Scientific Reports","page":"26337","volume":"6","source":"PubMed","abstract":"Recent reports have suggested that the gut microbiota is involved in the progression of colorectal cancer (CRC). The composition of gut microbiota in CRC precursors has not been adequately described. To characterize the structure of adherent microbiota in this disease, we conducted pyrosequencing-based analysis of 16S rRNA genes to determine the bacterial profile of normal colons (healthy controls) and colorectal adenomas (CRC precursors). Adenoma mucosal biopsy samples and adjacent normal colonic mucosa from 31 patients with adenomas and 20 healthy volunteers were profiled using the Illumina MiSeq platform. Principal coordinate analysis (PCoA) showed structural segregation between colorectal adenomatous tissue and control tissue. Alpha diversity estimations revealed higher microbiota diversity in samples from patients with adenomas. Taxonomic analysis illustrated that abundance of eight phyla (Firmicutes, Proteobacteria, Bacteroidetes, Actinobacteria, Chloroflexi, Cyanobacteria, Candidate-division TM7, and Tenericutes) was significantly different. In addition, Lactococcus and Pseudomonas were enriched in preneoplastic tissue, whereas Enterococcus, Bacillus, and Solibacillus were reduced. However, both PCoA and cluster tree analyses showed similar microbiota structure between adenomatous and adjacent non-adenoma tissues. These present findings provide preliminary experimental evidence supporting that colorectal preneoplastic lesion may be the most important factor leading to alterations in bacterial community composition.","DOI":"10.1038/srep26337","ISSN":"2045-2322","note":"PMID: 27194068\nPMCID: PMC4872055","journalAbbreviation":"Sci Rep","language":"eng","author":[{"family":"Lu","given":"Yingying"},{"family":"Chen","given":"Jing"},{"family":"Zheng","given":"Junyuan"},{"family":"Hu","given":"Guoyong"},{"family":"Wang","given":"Jingjing"},{"family":"Huang","given":"Chunlan"},{"family":"Lou","given":"Lihong"},{"family":"Wang","given":"Xingpeng"},{"family":"Zeng","given":"Yue"}],"issued":{"date-parts":[["2016"]],"season":"19"}}},{"id":"D1GMNV0O/O82PcaXK","uris":["http://zotero.org/users/4804376/items/WIU6JB62"],"uri":["http://zotero.org/users/4804376/items/WIU6JB62"],"itemData":{"id":345,"type":"article-journal","title":"Intestinal microbiota is altered in patients with colon cancer and modified by probiotic intervention","container-title":"BMJ open gastroenterology","page":"e000145","volume":"4","issue":"1","source":"PubMed","abstract":"OBJECTIVE: The colonic microbiota is altered in patients with colorectal cancer (CRC). We investigated the microbiota composition of patients with colon cancer compared with controls devoid of neoplastic or inflammatory disease and the potential to modify the colonic microbiota with probiotics.\nDESIGN: Biopsy samples were obtained from the normal mucosa and tumour during colonoscopy from 15 patients with colon cancer. Subsequent patient-matched samples were taken at surgery from the tumour and nearby mucosa from the patients with cancer, eight of whom had received two daily tablets totalling 1.4×1010CFUsBifidobacterium lactisBl-04 and 7×109CFUsLactobacillus acidophilusNCFM. Faecal samples were obtained after colonoscopy prior to starting the intervention and at surgery. In addition, 21 mucosal biopsies from non-cancer controls were obtained during colonoscopy followed by later faecal samples. The colonic and faecal microbiota was assessed by 16S rRNA gene amplicon sequencing.\nRESULTS: The tumour microbiota was characterised by increased microbial diversity and enrichment of several taxa includingFusobacterium,SelenomonasandPeptostreptococcuscompared with the control microbiota. Patients with colon cancer that received probiotics had an increased abundance of butyrate-producing bacteria, especiallyFaecalibacteriumandClostridialesspp in the tumour, non-tumour mucosa and faecal microbiota. CRC-associated genera such asFusobacteriumandPeptostreptococcustended to be reduced in the faecal microbiota of patients that received probiotics.\nCONCLUSIONS: Patients with colon cancer harbour a distinct microbiota signature in the tumour tissue and nearby mucosa, which was altered with probiotic intervention. Our results show promise for potential therapeutic benefits in CRC by manipulation of the microbiota.\nTRIAL REGISTRATION NUMBER: NCT03072641; Results.","DOI":"10.1136/bmjgast-2017-000145","ISSN":"2054-4774","note":"PMID: 28944067\nPMCID: PMC5609083","journalAbbreviation":"BMJ Open Gastroenterol","language":"eng","author":[{"family":"Hibberd","given":"Ashley A."},{"family":"Lyra","given":"Anna"},{"family":"Ouwehand","given":"Arthur C."},{"family":"Rolny","given":"Peter"},{"family":"Lindegren","given":"Helena"},{"family":"Cedgård","given":"Lennart"},{"family":"Wettergren","given":"Yvonne"}],"issued":{"date-parts":[["2017"]]}}}],"schema":"https://github.com/citation-style-language/schema/raw/master/csl-citation.json"} </w:instrText>
      </w:r>
      <w:r w:rsidR="00724E27"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[134–136]</w:t>
      </w:r>
      <w:r w:rsidR="00724E27" w:rsidRPr="00DB7074">
        <w:rPr>
          <w:rFonts w:ascii="Book Antiqua" w:hAnsi="Book Antiqua" w:cs="Times New Roman"/>
          <w:sz w:val="24"/>
          <w:szCs w:val="24"/>
        </w:rPr>
        <w:fldChar w:fldCharType="end"/>
      </w:r>
      <w:r w:rsidR="0065198E" w:rsidRPr="00DB7074">
        <w:rPr>
          <w:rFonts w:ascii="Book Antiqua" w:hAnsi="Book Antiqua" w:cs="Times New Roman"/>
          <w:sz w:val="24"/>
          <w:szCs w:val="24"/>
        </w:rPr>
        <w:t xml:space="preserve">. </w:t>
      </w:r>
      <w:r w:rsidR="00507882" w:rsidRPr="00DB7074">
        <w:rPr>
          <w:rFonts w:ascii="Book Antiqua" w:hAnsi="Book Antiqua" w:cs="Times New Roman"/>
          <w:sz w:val="24"/>
          <w:szCs w:val="24"/>
        </w:rPr>
        <w:t xml:space="preserve">However, </w:t>
      </w:r>
      <w:r w:rsidR="00F71378" w:rsidRPr="00DB7074">
        <w:rPr>
          <w:rFonts w:ascii="Book Antiqua" w:hAnsi="Book Antiqua" w:cs="Times New Roman"/>
          <w:sz w:val="24"/>
          <w:szCs w:val="24"/>
        </w:rPr>
        <w:t>these parameters were</w:t>
      </w:r>
      <w:r w:rsidR="0029427D" w:rsidRPr="00DB7074">
        <w:rPr>
          <w:rFonts w:ascii="Book Antiqua" w:hAnsi="Book Antiqua" w:cs="Times New Roman"/>
          <w:sz w:val="24"/>
          <w:szCs w:val="24"/>
        </w:rPr>
        <w:t xml:space="preserve"> </w:t>
      </w:r>
      <w:r w:rsidR="005E5C97" w:rsidRPr="00DB7074">
        <w:rPr>
          <w:rFonts w:ascii="Book Antiqua" w:hAnsi="Book Antiqua" w:cs="Times New Roman"/>
          <w:sz w:val="24"/>
          <w:szCs w:val="24"/>
        </w:rPr>
        <w:t xml:space="preserve">unchanged in </w:t>
      </w:r>
      <w:r w:rsidR="00507882" w:rsidRPr="00DB7074">
        <w:rPr>
          <w:rFonts w:ascii="Book Antiqua" w:hAnsi="Book Antiqua" w:cs="Times New Roman"/>
          <w:sz w:val="24"/>
          <w:szCs w:val="24"/>
        </w:rPr>
        <w:t>faecal</w:t>
      </w:r>
      <w:r w:rsidR="005E5C97" w:rsidRPr="00DB7074">
        <w:rPr>
          <w:rFonts w:ascii="Book Antiqua" w:hAnsi="Book Antiqua" w:cs="Times New Roman"/>
          <w:sz w:val="24"/>
          <w:szCs w:val="24"/>
        </w:rPr>
        <w:t xml:space="preserve"> samples</w:t>
      </w:r>
      <w:r w:rsidR="00724E27"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{"citationID":"ab94vll36s","properties":{"formattedCitation":"\\super [125,134,137,138]\\nosupersub{}","plainCitation":"[125,134,137,138]","noteIndex":0},"citationItems":[{"id":"D1GMNV0O/941tTp1K","uris":["http://zotero.org/users/4804376/items/D53X434G"],"uri":["http://zotero.org/users/4804376/items/D53X434G"],"itemData":{"id":341,"type":"article-journal","title":"Microbial mucosal colonic shifts associated with the development of colorectal cancer reveal the presence of different bacterial and archaeal biomarkers","container-title":"Journal of Gastroenterology","page":"167-179","volume":"50","issue":"2","source":"PubMed","abstract":"BACKGROUND: Epidemiological studies demonstrate a link between gastrointestinal cancers and environmental factors such as diet. It has been suggested that environmental cancer risk is determined by the interaction between diet and microbes. Thus, the purpose of this study was to examine the hypothesis that microbiota composition during colorectal cancer (CRC) progression might differ depending on the stage of the disease.\nMETHODS: A total of 28 age-matched and sex-matched subjects, seven with CRC adenocarcinoma, 11 with tubular adenomas and ten healthy subjects with intact colon, were included into the study. Microbiomes from mucosal and fecal samples were analyzed with 16S ribosomal RNA gene pyrosequencing, together with quantitative PCR of specific bacteria and archaea.\nRESULTS: The principal coordinates analysis clearly separated healthy tissue samples from polyps and tumors, supporting the presence of specific bacterial consortia that are associated with affected sites and that can serve as potential biomarkers of CRC progression. A higher presence of Fusobacterium nucleatum and Enterobacteriaceae was found by qPCR in samples from CRC compared to healthy controls. We observed a correlation between CRC process development and levels of Methanobacteriales (R = 0.537, P = 0.007) and Methanobrevibacterium (R = 0.574, P = 0.03) in fecal samples.\nCONCLUSION: Differences in microbial and archaeal composition between mucosal samples from healthy and disease tissues were observed in tubular adenoma and adenocarcinoma. In addition, microbiota from mucosal samples represented the underlying dysbiosis, whereas fecal samples seem not to be appropriate to detect shifts in microbial composition. CRC risk is influenced by microbial composition, showing differences according to disease progression step and tumor severity.","DOI":"10.1007/s00535-014-0963-x","ISSN":"1435-5922","note":"PMID: 24811328","journalAbbreviation":"J. Gastroenterol.","language":"eng","author":[{"family":"Mira-Pascual","given":"L."},{"family":"Cabrera-Rubio","given":"R."},{"family":"Ocon","given":"S."},{"family":"Costales","given":"P."},{"family":"Parra","given":"A."},{"family":"Suarez","given":"A."},{"family":"Moris","given":"F."},{"family":"Rodrigo","given":"L."},{"family":"Mira","given":"A."},{"family":"Collado","given":"M. C."}],"issued":{"date-parts":[["2015",2]]}}},{"id":"D1GMNV0O/CDYWRnq6","uris":["http://zotero.org/users/4804376/items/LFYSJ7AA"],"uri":["http://zotero.org/users/4804376/items/LFYSJ7AA"],"itemData":{"id":337,"type":"article-journal","title":"Increased rectal microbial richness is associated with the presence of colorectal adenomas in humans","container-title":"The ISME journal","page":"1858-1868","volume":"6","issue":"10","source":"PubMed","abstract":"Differences in the composition of the gut microbial community have been associated with diseases such as obesity, Crohn's disease, ulcerative colitis and colorectal cancer (CRC). We used 454 titanium pyrosequencing of the V1-V2 region of the 16S rRNA gene to characterize adherent bacterial communities in mucosal biopsy samples from 33 subjects with adenomas and 38 subjects without adenomas (controls). Biopsy samples from subjects with adenomas had greater numbers of bacteria from 87 taxa than controls; only 5 taxa were more abundant in control samples. The magnitude of the differences in the distal gut microbiota between patients with adenomas and controls was more pronounced than that of any other clinical parameters including obesity, diet or family history of CRC. This suggests that sequence analysis of the microbiota could be used to identify patients at risk for developing adenomas.","DOI":"10.1038/ismej.2012.43","ISSN":"1751-7370","note":"PMID: 22622349\nPMCID: PMC3446812","journalAbbreviation":"ISME J","language":"eng","author":[{"family":"Sanapareddy","given":"Nina"},{"family":"Legge","given":"Ryan M."},{"family":"Jovov","given":"Biljana"},{"family":"McCoy","given":"Amber"},{"family":"Burcal","given":"Lauren"},{"family":"Araujo-Perez","given":"Felix"},{"family":"Randall","given":"Thomas A."},{"family":"Galanko","given":"Joseph"},{"family":"Benson","given":"Andrew"},{"family":"Sandler","given":"Robert S."},{"family":"Rawls","given":"John F."},{"family":"Abdo","given":"Zaid"},{"family":"Fodor","given":"Anthony A."},{"family":"Keku","given":"Temitope O."}],"issued":{"date-parts":[["2012",10]]}}},{"id":"D1GMNV0O/WXS9u2jj","uris":["http://zotero.org/users/4804376/items/BI7FQ4IE"],"uri":["http://zotero.org/users/4804376/items/BI7FQ4IE"],"itemData":{"id":347,"type":"article-journal","title":"Fecal Microbiota Characteristics of Patients with Colorectal Adenoma Detected by Screening: A Population-based Study","container-title":"EBioMedicine","page":"597-603","volume":"2","issue":"6","source":"PubMed","abstract":"BACKGROUND: Screening for colorectal cancer (CRC) and precancerous colorectal adenoma (CRA) can detect curable disease. However, participation in colonoscopy and sensitivity of fecal heme for CRA are low.\nMETHODS: Microbiota metrics were determined by Illumina sequencing of 16S rRNA genes amplified from DNA extracted from feces self-collected in RNAlater. Among fecal immunochemical test-positive (FIT +) participants, colonoscopically-defined normal versus CRA patients were compared by regression, permutation, and random forest plus leave-one-out methods.\nFINDINGS: Of 95 FIT + participants, 61 had successful fecal microbiota profiling and colonoscopy, identifying 24 completely normal patients, 20 CRA patients, 2 CRC patients, and 15 with other conditions. Phylum-level fecal community composition differed significantly between CRA and normal patients (permutation P = 0.02). Rank phylum-level abundance distinguished CRA from normal patients (area under the curve = 0.767, permutation P = 0.006). CRA prevalence was 59% in phylum-level cluster B versus 20% in cluster A (exact P = 0.01). Most of the difference reflected 3-fold higher median relative abundance of Proteobacteria taxa (Wilcoxon signed-rank P = 0.03, positive predictive value = 67%). Antibiotic exposure and other potential confounders did not affect the associations.\nINTERPRETATION: If confirmed in larger, more diverse populations, fecal microbiota analysis might be employed to improve screening for CRA and ultimately to reduce mortality from CRC.","DOI":"10.1016/j.ebiom.2015.04.010","ISSN":"2352-3964","note":"PMID: 26288821\nPMCID: PMC4535156","shortTitle":"Fecal Microbiota Characteristics of Patients with Colorectal Adenoma Detected by Screening","journalAbbreviation":"EBioMedicine","language":"eng","author":[{"family":"Goedert","given":"James J."},{"family":"Gong","given":"Yangming"},{"family":"Hua","given":"Xing"},{"family":"Zhong","given":"Huanzi"},{"family":"He","given":"Yimin"},{"family":"Peng","given":"Peng"},{"family":"Yu","given":"Guoqin"},{"family":"Wang","given":"Wenjing"},{"family":"Ravel","given":"Jacques"},{"family":"Shi","given":"Jianxin"},{"family":"Zheng","given":"Ying"}],"issued":{"date-parts":[["2015",6]]}}},{"id":"D1GMNV0O/JE8udYew","uris":["http://zotero.org/users/4804376/items/98FBDYNS"],"uri":["http://zotero.org/users/4804376/items/98FBDYNS"],"itemData":{"id":317,"type":"article-journal","title":"Gut microbiome development along the colorectal adenoma-carcinoma sequence","container-title":"Nature Communications","page":"6528","volume":"6","source":"PubMed","abstract":"Colorectal cancer, a commonly diagnosed cancer in the elderly, often develops slowly from benign polyps called adenoma. The gut microbiota is believed to be directly involved in colorectal carcinogenesis. The identity and functional capacity of the adenoma- or carcinoma-related gut microbe(s), however, have not been surveyed in a comprehensive manner. Here we perform a metagenome-wide association study (MGWAS) on stools from advanced adenoma and carcinoma patients and from healthy subjects, revealing microbial genes, strains and functions enriched in each group. An analysis of potential risk factors indicates that high intake of red meat relative to fruits and vegetables appears to associate with outgrowth of bacteria that might contribute to a more hostile gut environment. These findings suggest that faecal microbiome-based strategies may be useful for early diagnosis and treatment of colorectal adenoma or carcinoma.","DOI":"10.1038/ncomms7528","ISSN":"2041-1723","note":"PMID: 25758642","journalAbbreviation":"Nat Commun","language":"eng","author":[{"family":"Feng","given":"Qiang"},{"family":"Liang","given":"Suisha"},{"family":"Jia","given":"Huijue"},{"family":"Stadlmayr","given":"Andreas"},{"family":"Tang","given":"Longqing"},{"family":"Lan","given":"Zhou"},{"family":"Zhang","given":"Dongya"},{"family":"Xia","given":"Huihua"},{"family":"Xu","given":"Xiaoying"},{"family":"Jie","given":"Zhuye"},{"family":"Su","given":"Lili"},{"family":"Li","given":"Xiaoping"},{"family":"Li","given":"Xin"},{"family":"Li","given":"Junhua"},{"family":"Xiao","given":"Liang"},{"family":"Huber-Schönauer","given":"Ursula"},{"family":"Niederseer","given":"David"},{"family":"Xu","given":"Xun"},{"family":"Al-Aama","given":"Jumana Yousuf"},{"family":"Yang","given":"Huanming"},{"family":"Wang","given":"Jian"},{"family":"Kristiansen","given":"Karsten"},{"family":"Arumugam","given":"Manimozhiyan"},{"family":"Tilg","given":"Herbert"},{"family":"Datz","given":"Christian"},{"family":"Wang","given":"Jun"}],"issued":{"date-parts":[["2015",3,11]]}}}],"schema":"https://github.com/citation-style-language/schema/raw/master/csl-citation.json"} </w:instrText>
      </w:r>
      <w:r w:rsidR="00724E27"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[125,134,137,138]</w:t>
      </w:r>
      <w:r w:rsidR="00724E27" w:rsidRPr="00DB7074">
        <w:rPr>
          <w:rFonts w:ascii="Book Antiqua" w:hAnsi="Book Antiqua" w:cs="Times New Roman"/>
          <w:sz w:val="24"/>
          <w:szCs w:val="24"/>
        </w:rPr>
        <w:fldChar w:fldCharType="end"/>
      </w:r>
      <w:r w:rsidRPr="00DB7074">
        <w:rPr>
          <w:rFonts w:ascii="Book Antiqua" w:hAnsi="Book Antiqua" w:cs="Times New Roman"/>
          <w:sz w:val="24"/>
          <w:szCs w:val="24"/>
        </w:rPr>
        <w:t xml:space="preserve">, </w:t>
      </w:r>
      <w:r w:rsidR="0065198E" w:rsidRPr="00DB7074">
        <w:rPr>
          <w:rFonts w:ascii="Book Antiqua" w:hAnsi="Book Antiqua" w:cs="Times New Roman"/>
          <w:sz w:val="24"/>
          <w:szCs w:val="24"/>
        </w:rPr>
        <w:t xml:space="preserve">suggesting that </w:t>
      </w:r>
      <w:r w:rsidRPr="00DB7074">
        <w:rPr>
          <w:rFonts w:ascii="Book Antiqua" w:hAnsi="Book Antiqua" w:cs="Times New Roman"/>
          <w:sz w:val="24"/>
          <w:szCs w:val="24"/>
        </w:rPr>
        <w:t xml:space="preserve">the </w:t>
      </w:r>
      <w:r w:rsidR="0065198E" w:rsidRPr="00DB7074">
        <w:rPr>
          <w:rFonts w:ascii="Book Antiqua" w:hAnsi="Book Antiqua" w:cs="Times New Roman"/>
          <w:sz w:val="24"/>
          <w:szCs w:val="24"/>
        </w:rPr>
        <w:t xml:space="preserve">increase </w:t>
      </w:r>
      <w:r w:rsidRPr="00DB7074">
        <w:rPr>
          <w:rFonts w:ascii="Book Antiqua" w:hAnsi="Book Antiqua" w:cs="Times New Roman"/>
          <w:sz w:val="24"/>
          <w:szCs w:val="24"/>
        </w:rPr>
        <w:t>in</w:t>
      </w:r>
      <w:r w:rsidR="0065198E" w:rsidRPr="00DB7074">
        <w:rPr>
          <w:rFonts w:ascii="Book Antiqua" w:hAnsi="Book Antiqua" w:cs="Times New Roman"/>
          <w:sz w:val="24"/>
          <w:szCs w:val="24"/>
        </w:rPr>
        <w:t xml:space="preserve"> diversity was limited </w:t>
      </w:r>
      <w:r w:rsidRPr="00DB7074">
        <w:rPr>
          <w:rFonts w:ascii="Book Antiqua" w:hAnsi="Book Antiqua" w:cs="Times New Roman"/>
          <w:sz w:val="24"/>
          <w:szCs w:val="24"/>
        </w:rPr>
        <w:t>to</w:t>
      </w:r>
      <w:r w:rsidR="0065198E" w:rsidRPr="00DB7074">
        <w:rPr>
          <w:rFonts w:ascii="Book Antiqua" w:hAnsi="Book Antiqua" w:cs="Times New Roman"/>
          <w:sz w:val="24"/>
          <w:szCs w:val="24"/>
        </w:rPr>
        <w:t xml:space="preserve"> the neoplas</w:t>
      </w:r>
      <w:r w:rsidR="00011360" w:rsidRPr="00DB7074">
        <w:rPr>
          <w:rFonts w:ascii="Book Antiqua" w:hAnsi="Book Antiqua" w:cs="Times New Roman"/>
          <w:sz w:val="24"/>
          <w:szCs w:val="24"/>
        </w:rPr>
        <w:t>t</w:t>
      </w:r>
      <w:r w:rsidR="0065198E" w:rsidRPr="00DB7074">
        <w:rPr>
          <w:rFonts w:ascii="Book Antiqua" w:hAnsi="Book Antiqua" w:cs="Times New Roman"/>
          <w:sz w:val="24"/>
          <w:szCs w:val="24"/>
        </w:rPr>
        <w:t xml:space="preserve">ic lesions and </w:t>
      </w:r>
      <w:r w:rsidRPr="00DB7074">
        <w:rPr>
          <w:rFonts w:ascii="Book Antiqua" w:hAnsi="Book Antiqua" w:cs="Times New Roman"/>
          <w:sz w:val="24"/>
          <w:szCs w:val="24"/>
        </w:rPr>
        <w:t xml:space="preserve">did </w:t>
      </w:r>
      <w:r w:rsidR="0065198E" w:rsidRPr="00DB7074">
        <w:rPr>
          <w:rFonts w:ascii="Book Antiqua" w:hAnsi="Book Antiqua" w:cs="Times New Roman"/>
          <w:sz w:val="24"/>
          <w:szCs w:val="24"/>
        </w:rPr>
        <w:t>not extend to the entire mucosa.</w:t>
      </w:r>
    </w:p>
    <w:p w14:paraId="1E4E9806" w14:textId="2B9BCE52" w:rsidR="00660005" w:rsidRPr="00DB7074" w:rsidRDefault="0002033E" w:rsidP="009A5C56">
      <w:pPr>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DB7074">
        <w:rPr>
          <w:rFonts w:ascii="Book Antiqua" w:hAnsi="Book Antiqua" w:cs="Times New Roman"/>
          <w:sz w:val="24"/>
          <w:szCs w:val="24"/>
        </w:rPr>
        <w:t>Significant shifts</w:t>
      </w:r>
      <w:r w:rsidR="005E5C97" w:rsidRPr="00DB7074">
        <w:rPr>
          <w:rFonts w:ascii="Book Antiqua" w:hAnsi="Book Antiqua" w:cs="Times New Roman"/>
          <w:sz w:val="24"/>
          <w:szCs w:val="24"/>
        </w:rPr>
        <w:t xml:space="preserve"> can be observed </w:t>
      </w:r>
      <w:r w:rsidR="002C70F0" w:rsidRPr="00DB7074">
        <w:rPr>
          <w:rFonts w:ascii="Book Antiqua" w:hAnsi="Book Antiqua" w:cs="Times New Roman"/>
          <w:sz w:val="24"/>
          <w:szCs w:val="24"/>
        </w:rPr>
        <w:t xml:space="preserve">in </w:t>
      </w:r>
      <w:r w:rsidR="005E5C97" w:rsidRPr="00DB7074">
        <w:rPr>
          <w:rFonts w:ascii="Book Antiqua" w:hAnsi="Book Antiqua" w:cs="Times New Roman"/>
          <w:sz w:val="24"/>
          <w:szCs w:val="24"/>
        </w:rPr>
        <w:t xml:space="preserve">the </w:t>
      </w:r>
      <w:r w:rsidR="00626D4C" w:rsidRPr="00DB7074">
        <w:rPr>
          <w:rFonts w:ascii="Book Antiqua" w:hAnsi="Book Antiqua" w:cs="Times New Roman"/>
          <w:sz w:val="24"/>
          <w:szCs w:val="24"/>
        </w:rPr>
        <w:t xml:space="preserve">composition of the </w:t>
      </w:r>
      <w:r w:rsidR="005E5C97" w:rsidRPr="00DB7074">
        <w:rPr>
          <w:rFonts w:ascii="Book Antiqua" w:hAnsi="Book Antiqua" w:cs="Times New Roman"/>
          <w:sz w:val="24"/>
          <w:szCs w:val="24"/>
        </w:rPr>
        <w:t xml:space="preserve">bacterial community at </w:t>
      </w:r>
      <w:r w:rsidR="00626D4C" w:rsidRPr="00DB7074">
        <w:rPr>
          <w:rFonts w:ascii="Book Antiqua" w:hAnsi="Book Antiqua" w:cs="Times New Roman"/>
          <w:sz w:val="24"/>
          <w:szCs w:val="24"/>
        </w:rPr>
        <w:t xml:space="preserve">the </w:t>
      </w:r>
      <w:r w:rsidR="009319C2" w:rsidRPr="00DB7074">
        <w:rPr>
          <w:rFonts w:ascii="Book Antiqua" w:hAnsi="Book Antiqua" w:cs="Times New Roman"/>
          <w:sz w:val="24"/>
          <w:szCs w:val="24"/>
        </w:rPr>
        <w:t>phyl</w:t>
      </w:r>
      <w:r w:rsidR="00626D4C" w:rsidRPr="00DB7074">
        <w:rPr>
          <w:rFonts w:ascii="Book Antiqua" w:hAnsi="Book Antiqua" w:cs="Times New Roman"/>
          <w:sz w:val="24"/>
          <w:szCs w:val="24"/>
        </w:rPr>
        <w:t>um</w:t>
      </w:r>
      <w:r w:rsidR="005E5C97" w:rsidRPr="00DB7074">
        <w:rPr>
          <w:rFonts w:ascii="Book Antiqua" w:hAnsi="Book Antiqua" w:cs="Times New Roman"/>
          <w:sz w:val="24"/>
          <w:szCs w:val="24"/>
        </w:rPr>
        <w:t xml:space="preserve"> taxonomic level</w:t>
      </w:r>
      <w:r w:rsidR="00507882" w:rsidRPr="00DB7074">
        <w:rPr>
          <w:rFonts w:ascii="Book Antiqua" w:hAnsi="Book Antiqua" w:cs="Times New Roman"/>
          <w:sz w:val="24"/>
          <w:szCs w:val="24"/>
        </w:rPr>
        <w:t xml:space="preserve"> but also</w:t>
      </w:r>
      <w:r w:rsidR="005E5C97" w:rsidRPr="00DB7074">
        <w:rPr>
          <w:rFonts w:ascii="Book Antiqua" w:hAnsi="Book Antiqua" w:cs="Times New Roman"/>
          <w:sz w:val="24"/>
          <w:szCs w:val="24"/>
        </w:rPr>
        <w:t xml:space="preserve"> </w:t>
      </w:r>
      <w:r w:rsidR="00626D4C" w:rsidRPr="00DB7074">
        <w:rPr>
          <w:rFonts w:ascii="Book Antiqua" w:hAnsi="Book Antiqua" w:cs="Times New Roman"/>
          <w:sz w:val="24"/>
          <w:szCs w:val="24"/>
        </w:rPr>
        <w:t>on</w:t>
      </w:r>
      <w:r w:rsidR="005E5C97" w:rsidRPr="00DB7074">
        <w:rPr>
          <w:rFonts w:ascii="Book Antiqua" w:hAnsi="Book Antiqua" w:cs="Times New Roman"/>
          <w:sz w:val="24"/>
          <w:szCs w:val="24"/>
        </w:rPr>
        <w:t xml:space="preserve"> a finer phylogenetic scale</w:t>
      </w:r>
      <w:r w:rsidR="00136D6D" w:rsidRPr="00DB7074">
        <w:rPr>
          <w:rFonts w:ascii="Book Antiqua" w:hAnsi="Book Antiqua" w:cs="Times New Roman"/>
          <w:sz w:val="24"/>
          <w:szCs w:val="24"/>
        </w:rPr>
        <w:t xml:space="preserve"> in CRC samples</w:t>
      </w:r>
      <w:r w:rsidR="005E5C97" w:rsidRPr="00DB7074">
        <w:rPr>
          <w:rFonts w:ascii="Book Antiqua" w:hAnsi="Book Antiqua" w:cs="Times New Roman"/>
          <w:sz w:val="24"/>
          <w:szCs w:val="24"/>
        </w:rPr>
        <w:t xml:space="preserve">. </w:t>
      </w:r>
      <w:r w:rsidR="001B276A" w:rsidRPr="00DB7074">
        <w:rPr>
          <w:rFonts w:ascii="Book Antiqua" w:hAnsi="Book Antiqua" w:cs="Times New Roman"/>
          <w:sz w:val="24"/>
          <w:szCs w:val="24"/>
        </w:rPr>
        <w:t>However,</w:t>
      </w:r>
      <w:r w:rsidR="00285B1B" w:rsidRPr="00DB7074">
        <w:rPr>
          <w:rFonts w:ascii="Book Antiqua" w:hAnsi="Book Antiqua" w:cs="Times New Roman"/>
          <w:sz w:val="24"/>
          <w:szCs w:val="24"/>
        </w:rPr>
        <w:t xml:space="preserve"> these modifications </w:t>
      </w:r>
      <w:r w:rsidR="00752243" w:rsidRPr="00DB7074">
        <w:rPr>
          <w:rFonts w:ascii="Book Antiqua" w:hAnsi="Book Antiqua" w:cs="Times New Roman"/>
          <w:sz w:val="24"/>
          <w:szCs w:val="24"/>
        </w:rPr>
        <w:t>var</w:t>
      </w:r>
      <w:r w:rsidR="00626D4C" w:rsidRPr="00DB7074">
        <w:rPr>
          <w:rFonts w:ascii="Book Antiqua" w:hAnsi="Book Antiqua" w:cs="Times New Roman"/>
          <w:sz w:val="24"/>
          <w:szCs w:val="24"/>
        </w:rPr>
        <w:t>y</w:t>
      </w:r>
      <w:r w:rsidR="001B276A" w:rsidRPr="00DB7074">
        <w:rPr>
          <w:rFonts w:ascii="Book Antiqua" w:hAnsi="Book Antiqua" w:cs="Times New Roman"/>
          <w:sz w:val="24"/>
          <w:szCs w:val="24"/>
        </w:rPr>
        <w:t xml:space="preserve"> depending on the analy</w:t>
      </w:r>
      <w:r w:rsidR="00626D4C" w:rsidRPr="00DB7074">
        <w:rPr>
          <w:rFonts w:ascii="Book Antiqua" w:hAnsi="Book Antiqua" w:cs="Times New Roman"/>
          <w:sz w:val="24"/>
          <w:szCs w:val="24"/>
        </w:rPr>
        <w:t>tic</w:t>
      </w:r>
      <w:r w:rsidR="001B276A" w:rsidRPr="00DB7074">
        <w:rPr>
          <w:rFonts w:ascii="Book Antiqua" w:hAnsi="Book Antiqua" w:cs="Times New Roman"/>
          <w:sz w:val="24"/>
          <w:szCs w:val="24"/>
        </w:rPr>
        <w:t xml:space="preserve"> techniques</w:t>
      </w:r>
      <w:r w:rsidR="00626D4C" w:rsidRPr="00DB7074">
        <w:rPr>
          <w:rFonts w:ascii="Book Antiqua" w:hAnsi="Book Antiqua" w:cs="Times New Roman"/>
          <w:sz w:val="24"/>
          <w:szCs w:val="24"/>
        </w:rPr>
        <w:t xml:space="preserve"> used</w:t>
      </w:r>
      <w:r w:rsidR="001B276A" w:rsidRPr="00DB7074">
        <w:rPr>
          <w:rFonts w:ascii="Book Antiqua" w:hAnsi="Book Antiqua" w:cs="Times New Roman"/>
          <w:sz w:val="24"/>
          <w:szCs w:val="24"/>
        </w:rPr>
        <w:t xml:space="preserve"> and the sample location (mucosa, adenocarcinoma, </w:t>
      </w:r>
      <w:proofErr w:type="gramStart"/>
      <w:r w:rsidR="001B276A" w:rsidRPr="00DB7074">
        <w:rPr>
          <w:rFonts w:ascii="Book Antiqua" w:hAnsi="Book Antiqua" w:cs="Times New Roman"/>
          <w:sz w:val="24"/>
          <w:szCs w:val="24"/>
        </w:rPr>
        <w:t>stool</w:t>
      </w:r>
      <w:proofErr w:type="gramEnd"/>
      <w:r w:rsidR="001B276A" w:rsidRPr="00DB7074">
        <w:rPr>
          <w:rFonts w:ascii="Book Antiqua" w:hAnsi="Book Antiqua" w:cs="Times New Roman"/>
          <w:sz w:val="24"/>
          <w:szCs w:val="24"/>
        </w:rPr>
        <w:t xml:space="preserve">). </w:t>
      </w:r>
      <w:r w:rsidR="00A71710" w:rsidRPr="00DB7074">
        <w:rPr>
          <w:rFonts w:ascii="Book Antiqua" w:hAnsi="Book Antiqua" w:cs="Times New Roman"/>
          <w:sz w:val="24"/>
          <w:szCs w:val="24"/>
        </w:rPr>
        <w:t xml:space="preserve">It is accepted that </w:t>
      </w:r>
      <w:r w:rsidR="00A71710" w:rsidRPr="00DB7074">
        <w:rPr>
          <w:rFonts w:ascii="Book Antiqua" w:hAnsi="Book Antiqua" w:cs="Times New Roman"/>
          <w:i/>
          <w:sz w:val="24"/>
          <w:szCs w:val="24"/>
        </w:rPr>
        <w:t>Bacteroidetes</w:t>
      </w:r>
      <w:r w:rsidR="00AB204D" w:rsidRPr="00DB7074">
        <w:rPr>
          <w:rFonts w:ascii="Book Antiqua" w:hAnsi="Book Antiqua" w:cs="Times New Roman"/>
          <w:sz w:val="24"/>
          <w:szCs w:val="24"/>
        </w:rPr>
        <w:t xml:space="preserve">, </w:t>
      </w:r>
      <w:r w:rsidR="00AB204D" w:rsidRPr="00DB7074">
        <w:rPr>
          <w:rFonts w:ascii="Book Antiqua" w:hAnsi="Book Antiqua" w:cs="Times New Roman"/>
          <w:i/>
          <w:sz w:val="24"/>
          <w:szCs w:val="24"/>
        </w:rPr>
        <w:t>Fusobacteria</w:t>
      </w:r>
      <w:r w:rsidR="00A71710" w:rsidRPr="00DB7074">
        <w:rPr>
          <w:rFonts w:ascii="Book Antiqua" w:hAnsi="Book Antiqua" w:cs="Times New Roman"/>
          <w:sz w:val="24"/>
          <w:szCs w:val="24"/>
        </w:rPr>
        <w:t xml:space="preserve"> and </w:t>
      </w:r>
      <w:r w:rsidR="00A71710" w:rsidRPr="00DB7074">
        <w:rPr>
          <w:rFonts w:ascii="Book Antiqua" w:hAnsi="Book Antiqua" w:cs="Times New Roman"/>
          <w:i/>
          <w:sz w:val="24"/>
          <w:szCs w:val="24"/>
        </w:rPr>
        <w:t>Proteobacteria</w:t>
      </w:r>
      <w:r w:rsidR="00A71710" w:rsidRPr="00DB7074">
        <w:rPr>
          <w:rFonts w:ascii="Book Antiqua" w:hAnsi="Book Antiqua" w:cs="Times New Roman"/>
          <w:sz w:val="24"/>
          <w:szCs w:val="24"/>
        </w:rPr>
        <w:t xml:space="preserve"> </w:t>
      </w:r>
      <w:r w:rsidR="007B6FE6" w:rsidRPr="00DB7074">
        <w:rPr>
          <w:rFonts w:ascii="Book Antiqua" w:hAnsi="Book Antiqua" w:cs="Times New Roman"/>
          <w:sz w:val="24"/>
          <w:szCs w:val="24"/>
        </w:rPr>
        <w:t xml:space="preserve">are </w:t>
      </w:r>
      <w:r w:rsidR="00A71710" w:rsidRPr="00DB7074">
        <w:rPr>
          <w:rFonts w:ascii="Book Antiqua" w:hAnsi="Book Antiqua" w:cs="Times New Roman"/>
          <w:sz w:val="24"/>
          <w:szCs w:val="24"/>
        </w:rPr>
        <w:t>enriched</w:t>
      </w:r>
      <w:r w:rsidR="0074039B" w:rsidRPr="00DB7074">
        <w:rPr>
          <w:rFonts w:ascii="Book Antiqua" w:hAnsi="Book Antiqua" w:cs="Times New Roman"/>
          <w:sz w:val="24"/>
          <w:szCs w:val="24"/>
        </w:rPr>
        <w:t>,</w:t>
      </w:r>
      <w:r w:rsidR="00A71710" w:rsidRPr="00DB7074">
        <w:rPr>
          <w:rFonts w:ascii="Book Antiqua" w:hAnsi="Book Antiqua" w:cs="Times New Roman"/>
          <w:sz w:val="24"/>
          <w:szCs w:val="24"/>
        </w:rPr>
        <w:t xml:space="preserve"> </w:t>
      </w:r>
      <w:r w:rsidR="005B69B7" w:rsidRPr="00DB7074">
        <w:rPr>
          <w:rFonts w:ascii="Book Antiqua" w:hAnsi="Book Antiqua" w:cs="Times New Roman"/>
          <w:sz w:val="24"/>
          <w:szCs w:val="24"/>
        </w:rPr>
        <w:t xml:space="preserve">while </w:t>
      </w:r>
      <w:r w:rsidR="005B69B7" w:rsidRPr="00DB7074">
        <w:rPr>
          <w:rFonts w:ascii="Book Antiqua" w:hAnsi="Book Antiqua" w:cs="Times New Roman"/>
          <w:i/>
          <w:sz w:val="24"/>
          <w:szCs w:val="24"/>
        </w:rPr>
        <w:t>Firmicutes</w:t>
      </w:r>
      <w:r w:rsidR="005B69B7" w:rsidRPr="00DB7074">
        <w:rPr>
          <w:rFonts w:ascii="Book Antiqua" w:hAnsi="Book Antiqua" w:cs="Times New Roman"/>
          <w:sz w:val="24"/>
          <w:szCs w:val="24"/>
        </w:rPr>
        <w:t xml:space="preserve"> </w:t>
      </w:r>
      <w:r w:rsidR="007B6FE6" w:rsidRPr="00DB7074">
        <w:rPr>
          <w:rFonts w:ascii="Book Antiqua" w:hAnsi="Book Antiqua" w:cs="Times New Roman"/>
          <w:sz w:val="24"/>
          <w:szCs w:val="24"/>
        </w:rPr>
        <w:t xml:space="preserve">is </w:t>
      </w:r>
      <w:r w:rsidR="005B69B7" w:rsidRPr="00DB7074">
        <w:rPr>
          <w:rFonts w:ascii="Book Antiqua" w:hAnsi="Book Antiqua" w:cs="Times New Roman"/>
          <w:sz w:val="24"/>
          <w:szCs w:val="24"/>
        </w:rPr>
        <w:t xml:space="preserve">decreased </w:t>
      </w:r>
      <w:r w:rsidR="002C70F0" w:rsidRPr="00DB7074">
        <w:rPr>
          <w:rFonts w:ascii="Book Antiqua" w:hAnsi="Book Antiqua" w:cs="Times New Roman"/>
          <w:sz w:val="24"/>
          <w:szCs w:val="24"/>
        </w:rPr>
        <w:t>in</w:t>
      </w:r>
      <w:r w:rsidR="00A71710" w:rsidRPr="00DB7074">
        <w:rPr>
          <w:rFonts w:ascii="Book Antiqua" w:hAnsi="Book Antiqua" w:cs="Times New Roman"/>
          <w:sz w:val="24"/>
          <w:szCs w:val="24"/>
        </w:rPr>
        <w:t xml:space="preserve"> CRC patients</w:t>
      </w:r>
      <w:r w:rsidR="00724E27"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{"citationID":"5e5fco6K","properties":{"formattedCitation":"\\super [10,139]\\nosupersub{}","plainCitation":"[10,139]","noteIndex":0},"citationItems":[{"id":"D1GMNV0O/brBt5NuL","uris":["http://zotero.org/users/4804376/items/Z72IYWVM"],"uri":["http://zotero.org/users/4804376/items/Z72IYWVM"],"itemData":{"id":351,"type":"article-journal","title":"Gut microbiota imbalance and colorectal cancer","container-title":"World Journal of Gastroenterology","page":"501-518","volume":"22","issue":"2","source":"PubMed","abstract":"The gut microbiota acts as a real organ. The symbiotic interactions between resident micro-organisms and the digestive tract highly contribute to maintain the gut homeostasis. However, alterations to the microbiome caused by environmental changes (e.g., infection, diet and/or lifestyle) can disturb this symbiotic relationship and promote disease, such as inflammatory bowel diseases and cancer. Colorectal cancer is a complex association of tumoral cells, non-neoplastic cells and a large amount of micro-organisms, and the involvement of the microbiota in colorectal carcinogenesis is becoming increasingly clear. Indeed, many changes in the bacterial composition of the gut microbiota have been reported in colorectal cancer, suggesting a major role of dysbiosis in colorectal carcinogenesis. Some bacterial species have been identified and suspected to play a role in colorectal carcinogenesis, such as Streptococcus bovis, Helicobacter pylori, Bacteroides fragilis, Enterococcus faecalis, Clostridium septicum, Fusobacterium spp. and Escherichia coli. The potential pro-carcinogenic effects of these bacteria are now better understood. In this review, we discuss the possible links between the bacterial microbiota and colorectal carcinogenesis, focusing on dysbiosis and the potential pro-carcinogenic properties of bacteria, such as genotoxicity and other virulence factors, inflammation, host defenses modulation, bacterial-derived metabolism, oxidative stress and anti-oxidative defenses modulation. We lastly describe how bacterial microbiota modifications could represent novel prognosis markers and/or targets for innovative therapeutic strategies.","DOI":"10.3748/wjg.v22.i2.501","ISSN":"2219-2840","note":"PMID: 26811603\nPMCID: PMC4716055","journalAbbreviation":"World J. Gastroenterol.","language":"eng","author":[{"family":"Gagnière","given":"Johan"},{"family":"Raisch","given":"Jennifer"},{"family":"Veziant","given":"Julie"},{"family":"Barnich","given":"Nicolas"},{"family":"Bonnet","given":"Richard"},{"family":"Buc","given":"Emmanuel"},{"family":"Bringer","given":"Marie-Agnès"},{"family":"Pezet","given":"Denis"},{"family":"Bonnet","given":"Mathilde"}],"issued":{"date-parts":[["2016",1,14]]}}},{"id":598,"uris":["http://zotero.org/users/4113810/items/JHXRSEA5"],"uri":["http://zotero.org/users/4113810/items/JHXRSEA5"],"itemData":{"id":598,"type":"article-journal","title":"Microbiota, Inflammation and Colorectal Cancer","container-title":"International Journal of Molecular Sciences","volume":"18","issue":"6","source":"PubMed Central","abstract":"Colorectal cancer, the fourth leading cause of cancer-related death worldwide, is a multifactorial disease involving genetic, environmental and lifestyle risk factors. In addition, increased evidence has established a role for the intestinal microbiota in the development of colorectal cancer. Indeed, changes in the intestinal microbiota composition in colorectal cancer patients compared to control subjects have been reported. Several bacterial species have been shown to exhibit the pro-inflammatory and pro-carcinogenic properties, which could consequently have an impact on colorectal carcinogenesis. This review will summarize the current knowledge about the potential links between the intestinal microbiota and colorectal cancer, with a focus on the pro-carcinogenic properties of bacterial microbiota such as induction of inflammation, the biosynthesis of genotoxins that interfere with cell cycle regulation and the production of toxic metabolites. Finally, we will describe the potential therapeutic strategies based on intestinal microbiota manipulation for colorectal cancer treatment.","URL":"https://www.ncbi.nlm.nih.gov/pmc/articles/PMC5486131/","DOI":"10.3390/ijms18061310","ISSN":"1422-0067","note":"PMID: 28632155\nPMCID: PMC5486131","journalAbbreviation":"Int J Mol Sci","author":[{"family":"Lucas","given":"Cécily"},{"family":"Barnich","given":"Nicolas"},{"family":"Nguyen","given":"Hang Thi Thu"}],"issued":{"date-parts":[["2017",6,20]]},"accessed":{"date-parts":[["2018",5,2]]}}}],"schema":"https://github.com/citation-style-language/schema/raw/master/csl-citation.json"} </w:instrText>
      </w:r>
      <w:r w:rsidR="00724E27"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[10,139]</w:t>
      </w:r>
      <w:r w:rsidR="00724E27" w:rsidRPr="00DB7074">
        <w:rPr>
          <w:rFonts w:ascii="Book Antiqua" w:hAnsi="Book Antiqua" w:cs="Times New Roman"/>
          <w:sz w:val="24"/>
          <w:szCs w:val="24"/>
        </w:rPr>
        <w:fldChar w:fldCharType="end"/>
      </w:r>
      <w:r w:rsidR="00724E27" w:rsidRPr="00DB7074">
        <w:rPr>
          <w:rFonts w:ascii="Book Antiqua" w:hAnsi="Book Antiqua" w:cs="Times New Roman"/>
          <w:sz w:val="24"/>
          <w:szCs w:val="24"/>
        </w:rPr>
        <w:t xml:space="preserve"> </w:t>
      </w:r>
      <w:r w:rsidR="00CD0719" w:rsidRPr="00DB7074">
        <w:rPr>
          <w:rFonts w:ascii="Book Antiqua" w:hAnsi="Book Antiqua" w:cs="Times New Roman"/>
          <w:sz w:val="24"/>
          <w:szCs w:val="24"/>
        </w:rPr>
        <w:t>(</w:t>
      </w:r>
      <w:r w:rsidR="00C87F02" w:rsidRPr="00DB7074">
        <w:rPr>
          <w:rFonts w:ascii="Book Antiqua" w:hAnsi="Book Antiqua" w:cs="Times New Roman"/>
          <w:sz w:val="24"/>
          <w:szCs w:val="24"/>
        </w:rPr>
        <w:t>F</w:t>
      </w:r>
      <w:r w:rsidR="004B6AE7" w:rsidRPr="00DB7074">
        <w:rPr>
          <w:rFonts w:ascii="Book Antiqua" w:hAnsi="Book Antiqua" w:cs="Times New Roman"/>
          <w:sz w:val="24"/>
          <w:szCs w:val="24"/>
        </w:rPr>
        <w:t>igure 1)</w:t>
      </w:r>
      <w:r w:rsidR="00AB204D" w:rsidRPr="00DB7074">
        <w:rPr>
          <w:rFonts w:ascii="Book Antiqua" w:hAnsi="Book Antiqua" w:cs="Times New Roman"/>
          <w:sz w:val="24"/>
          <w:szCs w:val="24"/>
        </w:rPr>
        <w:t>.</w:t>
      </w:r>
      <w:r w:rsidR="00A71710" w:rsidRPr="00DB7074">
        <w:rPr>
          <w:rFonts w:ascii="Book Antiqua" w:hAnsi="Book Antiqua" w:cs="Times New Roman"/>
          <w:sz w:val="24"/>
          <w:szCs w:val="24"/>
        </w:rPr>
        <w:t xml:space="preserve"> </w:t>
      </w:r>
      <w:r w:rsidR="007B6FE6" w:rsidRPr="00DB7074">
        <w:rPr>
          <w:rFonts w:ascii="Book Antiqua" w:hAnsi="Book Antiqua" w:cs="Times New Roman"/>
          <w:sz w:val="24"/>
          <w:szCs w:val="24"/>
        </w:rPr>
        <w:t>A s</w:t>
      </w:r>
      <w:r w:rsidR="00752243" w:rsidRPr="00DB7074">
        <w:rPr>
          <w:rFonts w:ascii="Book Antiqua" w:hAnsi="Book Antiqua" w:cs="Times New Roman"/>
          <w:sz w:val="24"/>
          <w:szCs w:val="24"/>
        </w:rPr>
        <w:t xml:space="preserve">imilar dysbiosis </w:t>
      </w:r>
      <w:r w:rsidR="007B6FE6" w:rsidRPr="00DB7074">
        <w:rPr>
          <w:rFonts w:ascii="Book Antiqua" w:hAnsi="Book Antiqua" w:cs="Times New Roman"/>
          <w:sz w:val="24"/>
          <w:szCs w:val="24"/>
        </w:rPr>
        <w:t xml:space="preserve">has been </w:t>
      </w:r>
      <w:r w:rsidR="00B86209" w:rsidRPr="00DB7074">
        <w:rPr>
          <w:rFonts w:ascii="Book Antiqua" w:hAnsi="Book Antiqua" w:cs="Times New Roman"/>
          <w:sz w:val="24"/>
          <w:szCs w:val="24"/>
        </w:rPr>
        <w:t xml:space="preserve">described </w:t>
      </w:r>
      <w:r w:rsidR="007B6FE6" w:rsidRPr="00DB7074">
        <w:rPr>
          <w:rFonts w:ascii="Book Antiqua" w:hAnsi="Book Antiqua" w:cs="Times New Roman"/>
          <w:sz w:val="24"/>
          <w:szCs w:val="24"/>
        </w:rPr>
        <w:t>in</w:t>
      </w:r>
      <w:r w:rsidR="00B86209" w:rsidRPr="00DB7074">
        <w:rPr>
          <w:rFonts w:ascii="Book Antiqua" w:hAnsi="Book Antiqua" w:cs="Times New Roman"/>
          <w:sz w:val="24"/>
          <w:szCs w:val="24"/>
        </w:rPr>
        <w:t xml:space="preserve"> CRC</w:t>
      </w:r>
      <w:r w:rsidR="007B6FE6" w:rsidRPr="00DB7074">
        <w:rPr>
          <w:rFonts w:ascii="Book Antiqua" w:hAnsi="Book Antiqua" w:cs="Times New Roman"/>
          <w:sz w:val="24"/>
          <w:szCs w:val="24"/>
        </w:rPr>
        <w:t xml:space="preserve"> </w:t>
      </w:r>
      <w:r w:rsidR="009A5C56">
        <w:rPr>
          <w:rFonts w:ascii="Book Antiqua" w:hAnsi="Book Antiqua" w:cs="Times New Roman"/>
          <w:sz w:val="24"/>
          <w:szCs w:val="24"/>
        </w:rPr>
        <w:t>animal models</w:t>
      </w:r>
      <w:r w:rsidR="00724E27"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{"citationID":"nTCdSPhq","properties":{"formattedCitation":"\\super [140,141]\\nosupersub{}","plainCitation":"[140,141]","noteIndex":0},"citationItems":[{"id":"D1GMNV0O/RlkOpL7n","uris":["http://zotero.org/users/4804376/items/ZDLTIXR7"],"uri":["http://zotero.org/users/4804376/items/ZDLTIXR7"],"itemData":{"id":54,"type":"article-journal","title":"The Human Gut Microbiome as a Screening Tool for Colorectal Cancer","container-title":"Cancer Prevention Research","page":"1112-1121","volume":"7","issue":"11","source":"CrossRef","abstract":"Recent studies have suggested that the gut microbiome may be an important factor in the development of colorectal cancer (CRC). Abnormalities in the gut microbiome have been reported in patients with CRC; however, this microbial community has not been explored as a potential screen for early stage disease. We characterized the gut microbiome in patients from three clinical groups representing the stages of CRC development: health, adenoma, and carcinoma. Analysis of the gut microbiome from stool samples revealed both an enrichment and depletion of several bacterial populations associated with adenomas and carcinomas. Combined with known clinical risk factors of CRC (e.g. BMI, age, race), data from the gut microbiome significantly improved the ability to differentiate between healthy, adenoma, and carcinoma clinical groups relative to risk factors alone. Using Bayesian methods, we determined that using gut microbiome data as a screening tool improved the pre-test to post-test probability of adenoma over 50-fold. For example, the pre-test probability in a 65 year-old was 0.17% and, after using the microbiome data, this increased to 10.67% (1 in 9 chance of having an adenoma). Taken together the results of our study demonstrate the feasibility of using the composition of the gut microbiome to detect the presence of precancerous and cancerous lesions. Furthermore, these results support the need for more cross sectional studies with diverse populations and linkage to other stool markers, dietary data, and personal health information.","DOI":"10.1158/1940-6207.CAPR-14-0129","ISSN":"1940-6207, 1940-6215","language":"en","author":[{"family":"Zackular","given":"J. P."},{"family":"Rogers","given":"M. A. M."},{"family":"Ruffin","given":"M. T."},{"family":"Schloss","given":"P. D."}],"issued":{"date-parts":[["2014",11,1]]}}},{"id":"D1GMNV0O/5SuDQbOL","uris":["http://zotero.org/users/4804376/items/KIQKCTYZ"],"uri":["http://zotero.org/users/4804376/items/KIQKCTYZ"],"itemData":{"id":702,"type":"article-journal","title":"Microbial genomic analysis reveals the essential role of inflammation in bacteria-induced colorectal cancer","container-title":"Nature Communications","page":"4724","volume":"5","source":"PubMed","abstract":"Enterobacteria, especially Escherichia coli, are abundant in patients with inflammatory bowel disease or colorectal cancer (CRC). However, it is unclear whether cancer is promoted by inflammation-induced expansion of E. coli and/or changes in expression of specific microbial genes. Here we use longitudinal (2, 12 and 20 weeks) 16S rRNA sequencing of luminal microbiota from ex-germ-free mice to show that inflamed Il10(-/-) mice maintain a higher abundance of Enterobacteriaceae than healthy wild-type mice. Experiments with mono-colonized Il10(-/-) mice reveal that host inflammation is necessary for E. coli cancer-promoting activity. RNA-sequence analysis indicates significant changes in E. coli gene catalogue in Il10(-/-) mice, with changes mostly driven by adaptation to the intestinal environment. Expression of specific genes present in the tumour-promoting E. coli pks island are modulated by inflammation/CRC development. Thus, progression of inflammation in Il10(-/-) mice supports Enterobacteriaceae and alters a small subset of microbial genes important for tumour development.","DOI":"10.1038/ncomms5724","ISSN":"2041-1723","note":"PMID: 25182170\nPMCID: PMC4155410","journalAbbreviation":"Nat Commun","language":"eng","author":[{"family":"Arthur","given":"Janelle C."},{"family":"Gharaibeh","given":"Raad Z."},{"family":"Mühlbauer","given":"Marcus"},{"family":"Perez-Chanona","given":"Ernesto"},{"family":"Uronis","given":"Joshua M."},{"family":"McCafferty","given":"Jonathan"},{"family":"Fodor","given":"Anthony A."},{"family":"Jobin","given":"Christian"}],"issued":{"date-parts":[["2014",9,3]]}}}],"schema":"https://github.com/citation-style-language/schema/raw/master/csl-citation.json"} </w:instrText>
      </w:r>
      <w:r w:rsidR="00724E27"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[140,141]</w:t>
      </w:r>
      <w:r w:rsidR="00724E27" w:rsidRPr="00DB7074">
        <w:rPr>
          <w:rFonts w:ascii="Book Antiqua" w:hAnsi="Book Antiqua" w:cs="Times New Roman"/>
          <w:sz w:val="24"/>
          <w:szCs w:val="24"/>
        </w:rPr>
        <w:fldChar w:fldCharType="end"/>
      </w:r>
      <w:r w:rsidR="00B86209" w:rsidRPr="00DB7074">
        <w:rPr>
          <w:rFonts w:ascii="Book Antiqua" w:hAnsi="Book Antiqua" w:cs="Times New Roman"/>
          <w:sz w:val="24"/>
          <w:szCs w:val="24"/>
        </w:rPr>
        <w:t xml:space="preserve">. </w:t>
      </w:r>
      <w:r w:rsidR="00EB31B6" w:rsidRPr="00DB7074">
        <w:rPr>
          <w:rFonts w:ascii="Book Antiqua" w:hAnsi="Book Antiqua" w:cs="Times New Roman"/>
          <w:sz w:val="24"/>
          <w:szCs w:val="24"/>
        </w:rPr>
        <w:t xml:space="preserve">In a taxonomy-based analyses </w:t>
      </w:r>
      <w:r w:rsidR="007B6FE6" w:rsidRPr="00DB7074">
        <w:rPr>
          <w:rFonts w:ascii="Book Antiqua" w:hAnsi="Book Antiqua" w:cs="Times New Roman"/>
          <w:sz w:val="24"/>
          <w:szCs w:val="24"/>
        </w:rPr>
        <w:t xml:space="preserve">conducted </w:t>
      </w:r>
      <w:r w:rsidR="00EB31B6" w:rsidRPr="00DB7074">
        <w:rPr>
          <w:rFonts w:ascii="Book Antiqua" w:hAnsi="Book Antiqua" w:cs="Times New Roman"/>
          <w:sz w:val="24"/>
          <w:szCs w:val="24"/>
        </w:rPr>
        <w:t xml:space="preserve">in 2013, Ahn et al. </w:t>
      </w:r>
      <w:r w:rsidR="002C70F0" w:rsidRPr="00DB7074">
        <w:rPr>
          <w:rFonts w:ascii="Book Antiqua" w:hAnsi="Book Antiqua" w:cs="Times New Roman"/>
          <w:sz w:val="24"/>
          <w:szCs w:val="24"/>
        </w:rPr>
        <w:t xml:space="preserve">described </w:t>
      </w:r>
      <w:r w:rsidR="00EB31B6" w:rsidRPr="00DB7074">
        <w:rPr>
          <w:rFonts w:ascii="Book Antiqua" w:hAnsi="Book Antiqua" w:cs="Times New Roman"/>
          <w:sz w:val="24"/>
          <w:szCs w:val="24"/>
        </w:rPr>
        <w:t xml:space="preserve">a lower relative abundance of </w:t>
      </w:r>
      <w:r w:rsidR="00EB31B6" w:rsidRPr="00DB7074">
        <w:rPr>
          <w:rFonts w:ascii="Book Antiqua" w:hAnsi="Book Antiqua" w:cs="Times New Roman"/>
          <w:i/>
          <w:sz w:val="24"/>
          <w:szCs w:val="24"/>
        </w:rPr>
        <w:t>Clostridia</w:t>
      </w:r>
      <w:r w:rsidR="00EB31B6" w:rsidRPr="00DB7074">
        <w:rPr>
          <w:rFonts w:ascii="Book Antiqua" w:hAnsi="Book Antiqua" w:cs="Times New Roman"/>
          <w:sz w:val="24"/>
          <w:szCs w:val="24"/>
        </w:rPr>
        <w:t xml:space="preserve"> and increased </w:t>
      </w:r>
      <w:r w:rsidR="00EB31B6" w:rsidRPr="00DB7074">
        <w:rPr>
          <w:rFonts w:ascii="Book Antiqua" w:hAnsi="Book Antiqua" w:cs="Times New Roman"/>
          <w:i/>
          <w:sz w:val="24"/>
          <w:szCs w:val="24"/>
        </w:rPr>
        <w:t>Fusobacterium</w:t>
      </w:r>
      <w:r w:rsidR="00EB31B6" w:rsidRPr="00DB7074">
        <w:rPr>
          <w:rFonts w:ascii="Book Antiqua" w:hAnsi="Book Antiqua" w:cs="Times New Roman"/>
          <w:sz w:val="24"/>
          <w:szCs w:val="24"/>
        </w:rPr>
        <w:t xml:space="preserve"> and </w:t>
      </w:r>
      <w:r w:rsidR="00EB31B6" w:rsidRPr="00DB7074">
        <w:rPr>
          <w:rFonts w:ascii="Book Antiqua" w:hAnsi="Book Antiqua" w:cs="Times New Roman"/>
          <w:i/>
          <w:sz w:val="24"/>
          <w:szCs w:val="24"/>
        </w:rPr>
        <w:t>Porphyromonas</w:t>
      </w:r>
      <w:r w:rsidR="00EB31B6" w:rsidRPr="00DB7074">
        <w:rPr>
          <w:rFonts w:ascii="Book Antiqua" w:hAnsi="Book Antiqua" w:cs="Times New Roman"/>
          <w:sz w:val="24"/>
          <w:szCs w:val="24"/>
        </w:rPr>
        <w:t xml:space="preserve"> in case subjects compared with control subjects</w:t>
      </w:r>
      <w:r w:rsidR="00087488" w:rsidRPr="00DB7074">
        <w:rPr>
          <w:rFonts w:ascii="Book Antiqua" w:hAnsi="Book Antiqua" w:cs="Times New Roman"/>
          <w:sz w:val="24"/>
          <w:szCs w:val="24"/>
          <w:vertAlign w:val="superscript"/>
        </w:rPr>
        <w:fldChar w:fldCharType="begin"/>
      </w:r>
      <w:r w:rsidR="002A773B" w:rsidRPr="00DB7074">
        <w:rPr>
          <w:rFonts w:ascii="Book Antiqua" w:hAnsi="Book Antiqua" w:cs="Times New Roman"/>
          <w:sz w:val="24"/>
          <w:szCs w:val="24"/>
          <w:vertAlign w:val="superscript"/>
        </w:rPr>
        <w:instrText xml:space="preserve"> ADDIN ZOTERO_ITEM CSL_CITATION {"citationID":"ap4q2b59r4","properties":{"formattedCitation":"\\super [142]\\nosupersub{}","plainCitation":"[142]","noteIndex":0},"citationItems":[{"id":"D1GMNV0O/KqXTBxhZ","uris":["http://zotero.org/users/4804376/items/WWYWJVX9"],"uri":["http://zotero.org/users/4804376/items/WWYWJVX9"],"itemData":{"id":706,"type":"article-journal","title":"Human gut microbiome and risk for colorectal cancer","container-title":"Journal of the National Cancer Institute","page":"1907-1911","volume":"105","issue":"24","source":"PubMed","abstract":"We tested the hypothesis that an altered community of gut microbes is associated with risk of colorectal cancer (CRC) in a study of 47 CRC case subjects and 94 control subjects. 16S rRNA genes in fecal bacterial DNA were amplified by universal primers, sequenced by 454 FLX technology, and aligned for taxonomic classification to microbial genomes using the QIIME pipeline. Taxonomic differences were confirmed with quantitative polymerase chain reaction and adjusted for false discovery rate. All statistical tests were two-sided. From 794217 16S rRNA gene sequences, we found that CRC case subjects had decreased overall microbial community diversity (P = .02). In taxonomy-based analyses, lower relative abundance of Clostridia (68.6% vs 77.8%) and increased carriage of Fusobacterium (multivariable odds ratio [OR] = 4.11; 95% confidence interval [CI] = 1.62 to 10.47) and Porphyromonas (OR = 5.17; 95% CI = 1.75 to 15.25) were found in case subjects compared with control subjects. Because of the potentially modifiable nature of the gut bacteria, our findings may have implications for CRC prevention.","DOI":"10.1093/jnci/djt300","ISSN":"1460-2105","note":"PMID: 24316595\nPMCID: PMC3866154","journalAbbreviation":"J. Natl. Cancer Inst.","language":"eng","author":[{"family":"Ahn","given":"Jiyoung"},{"family":"Sinha","given":"Rashmi"},{"family":"Pei","given":"Zhiheng"},{"family":"Dominianni","given":"Christine"},{"family":"Wu","given":"Jing"},{"family":"Shi","given":"Jianxin"},{"family":"Goedert","given":"James J."},{"family":"Hayes","given":"Richard B."},{"family":"Yang","given":"Liying"}],"issued":{"date-parts":[["2013",12,18]]}}}],"schema":"https://github.com/citation-style-language/schema/raw/master/csl-citation.json"} </w:instrText>
      </w:r>
      <w:r w:rsidR="00087488" w:rsidRPr="00DB7074">
        <w:rPr>
          <w:rFonts w:ascii="Book Antiqua" w:hAnsi="Book Antiqua" w:cs="Times New Roman"/>
          <w:sz w:val="24"/>
          <w:szCs w:val="24"/>
          <w:vertAlign w:val="superscript"/>
        </w:rPr>
        <w:fldChar w:fldCharType="separate"/>
      </w:r>
      <w:r w:rsidR="00794414" w:rsidRPr="00DB7074">
        <w:rPr>
          <w:rFonts w:ascii="Book Antiqua" w:hAnsi="Book Antiqua" w:cs="Times New Roman"/>
          <w:sz w:val="24"/>
          <w:szCs w:val="24"/>
          <w:vertAlign w:val="superscript"/>
        </w:rPr>
        <w:t>[142]</w:t>
      </w:r>
      <w:r w:rsidR="00087488" w:rsidRPr="00DB7074">
        <w:rPr>
          <w:rFonts w:ascii="Book Antiqua" w:hAnsi="Book Antiqua" w:cs="Times New Roman"/>
          <w:sz w:val="24"/>
          <w:szCs w:val="24"/>
          <w:vertAlign w:val="superscript"/>
        </w:rPr>
        <w:fldChar w:fldCharType="end"/>
      </w:r>
      <w:r w:rsidR="00EB31B6" w:rsidRPr="00DB7074">
        <w:rPr>
          <w:rFonts w:ascii="Book Antiqua" w:hAnsi="Book Antiqua" w:cs="Times New Roman"/>
          <w:sz w:val="24"/>
          <w:szCs w:val="24"/>
        </w:rPr>
        <w:t>.</w:t>
      </w:r>
      <w:r w:rsidR="00B86209" w:rsidRPr="00DB7074">
        <w:rPr>
          <w:rFonts w:ascii="Book Antiqua" w:hAnsi="Book Antiqua" w:cs="Times New Roman"/>
          <w:sz w:val="24"/>
          <w:szCs w:val="24"/>
        </w:rPr>
        <w:t xml:space="preserve"> </w:t>
      </w:r>
      <w:r w:rsidR="00507882" w:rsidRPr="00DB7074">
        <w:rPr>
          <w:rFonts w:ascii="Book Antiqua" w:hAnsi="Book Antiqua" w:cs="Times New Roman"/>
          <w:sz w:val="24"/>
          <w:szCs w:val="24"/>
        </w:rPr>
        <w:t>Additionally,</w:t>
      </w:r>
      <w:r w:rsidR="00B811FD" w:rsidRPr="00DB7074">
        <w:rPr>
          <w:rFonts w:ascii="Book Antiqua" w:hAnsi="Book Antiqua" w:cs="Times New Roman"/>
          <w:sz w:val="24"/>
          <w:szCs w:val="24"/>
        </w:rPr>
        <w:t xml:space="preserve"> </w:t>
      </w:r>
      <w:r w:rsidR="007B6FE6" w:rsidRPr="00DB7074">
        <w:rPr>
          <w:rFonts w:ascii="Book Antiqua" w:hAnsi="Book Antiqua" w:cs="Times New Roman"/>
          <w:sz w:val="24"/>
          <w:szCs w:val="24"/>
        </w:rPr>
        <w:t xml:space="preserve">the genera </w:t>
      </w:r>
      <w:r w:rsidR="00B811FD" w:rsidRPr="00DB7074">
        <w:rPr>
          <w:rFonts w:ascii="Book Antiqua" w:hAnsi="Book Antiqua" w:cs="Times New Roman"/>
          <w:i/>
          <w:sz w:val="24"/>
          <w:szCs w:val="24"/>
        </w:rPr>
        <w:t>Bacteroides</w:t>
      </w:r>
      <w:r w:rsidR="007B6FE6" w:rsidRPr="00DB7074">
        <w:rPr>
          <w:rFonts w:ascii="Book Antiqua" w:hAnsi="Book Antiqua" w:cs="Times New Roman"/>
          <w:i/>
          <w:sz w:val="24"/>
          <w:szCs w:val="24"/>
        </w:rPr>
        <w:t xml:space="preserve"> </w:t>
      </w:r>
      <w:r w:rsidR="007B6FE6" w:rsidRPr="00DB7074">
        <w:rPr>
          <w:rFonts w:ascii="Book Antiqua" w:hAnsi="Book Antiqua" w:cs="Times New Roman"/>
          <w:sz w:val="24"/>
          <w:szCs w:val="24"/>
        </w:rPr>
        <w:t xml:space="preserve">and </w:t>
      </w:r>
      <w:r w:rsidR="00B811FD" w:rsidRPr="00DB7074">
        <w:rPr>
          <w:rFonts w:ascii="Book Antiqua" w:hAnsi="Book Antiqua" w:cs="Times New Roman"/>
          <w:i/>
          <w:sz w:val="24"/>
          <w:szCs w:val="24"/>
        </w:rPr>
        <w:t>Prevotella</w:t>
      </w:r>
      <w:r w:rsidR="00B811FD" w:rsidRPr="00DB7074">
        <w:rPr>
          <w:rFonts w:ascii="Book Antiqua" w:hAnsi="Book Antiqua" w:cs="Times New Roman"/>
          <w:sz w:val="24"/>
          <w:szCs w:val="24"/>
        </w:rPr>
        <w:t xml:space="preserve">, </w:t>
      </w:r>
      <w:r w:rsidR="00B811FD" w:rsidRPr="00DB7074">
        <w:rPr>
          <w:rFonts w:ascii="Book Antiqua" w:hAnsi="Book Antiqua" w:cs="Times New Roman"/>
          <w:i/>
          <w:sz w:val="24"/>
          <w:szCs w:val="24"/>
        </w:rPr>
        <w:t>Bacteroides fragilis</w:t>
      </w:r>
      <w:r w:rsidR="00B811FD" w:rsidRPr="00DB7074">
        <w:rPr>
          <w:rFonts w:ascii="Book Antiqua" w:hAnsi="Book Antiqua" w:cs="Times New Roman"/>
          <w:sz w:val="24"/>
          <w:szCs w:val="24"/>
        </w:rPr>
        <w:t xml:space="preserve">, </w:t>
      </w:r>
      <w:r w:rsidR="00B811FD" w:rsidRPr="00DB7074">
        <w:rPr>
          <w:rFonts w:ascii="Book Antiqua" w:hAnsi="Book Antiqua" w:cs="Times New Roman"/>
          <w:i/>
          <w:sz w:val="24"/>
          <w:szCs w:val="24"/>
        </w:rPr>
        <w:t>Enterococcus faecalis</w:t>
      </w:r>
      <w:r w:rsidR="00B811FD" w:rsidRPr="00DB7074">
        <w:rPr>
          <w:rFonts w:ascii="Book Antiqua" w:hAnsi="Book Antiqua" w:cs="Times New Roman"/>
          <w:sz w:val="24"/>
          <w:szCs w:val="24"/>
        </w:rPr>
        <w:t xml:space="preserve">, </w:t>
      </w:r>
      <w:r w:rsidR="00957578" w:rsidRPr="00DB7074">
        <w:rPr>
          <w:rFonts w:ascii="Book Antiqua" w:hAnsi="Book Antiqua" w:cs="Times New Roman"/>
          <w:i/>
          <w:iCs/>
          <w:sz w:val="24"/>
          <w:szCs w:val="24"/>
        </w:rPr>
        <w:t>Streptococcus bovis</w:t>
      </w:r>
      <w:r w:rsidR="007B6FE6" w:rsidRPr="00DB7074">
        <w:rPr>
          <w:rFonts w:ascii="Book Antiqua" w:hAnsi="Book Antiqua" w:cs="Times New Roman"/>
          <w:i/>
          <w:iCs/>
          <w:sz w:val="24"/>
          <w:szCs w:val="24"/>
        </w:rPr>
        <w:t xml:space="preserve">, Streptococcus </w:t>
      </w:r>
      <w:r w:rsidR="00957578" w:rsidRPr="00DB7074">
        <w:rPr>
          <w:rFonts w:ascii="Book Antiqua" w:hAnsi="Book Antiqua" w:cs="Times New Roman"/>
          <w:i/>
          <w:iCs/>
          <w:sz w:val="24"/>
          <w:szCs w:val="24"/>
        </w:rPr>
        <w:t>gallolyticus</w:t>
      </w:r>
      <w:r w:rsidR="00957578" w:rsidRPr="00DB7074">
        <w:rPr>
          <w:rFonts w:ascii="Book Antiqua" w:hAnsi="Book Antiqua" w:cs="Times New Roman"/>
          <w:sz w:val="24"/>
          <w:szCs w:val="24"/>
        </w:rPr>
        <w:t xml:space="preserve"> </w:t>
      </w:r>
      <w:r w:rsidR="00B811FD" w:rsidRPr="00DB7074">
        <w:rPr>
          <w:rFonts w:ascii="Book Antiqua" w:hAnsi="Book Antiqua" w:cs="Times New Roman"/>
          <w:sz w:val="24"/>
          <w:szCs w:val="24"/>
        </w:rPr>
        <w:t xml:space="preserve">and </w:t>
      </w:r>
      <w:r w:rsidR="00B811FD" w:rsidRPr="00DB7074">
        <w:rPr>
          <w:rFonts w:ascii="Book Antiqua" w:hAnsi="Book Antiqua" w:cs="Times New Roman"/>
          <w:i/>
          <w:sz w:val="24"/>
          <w:szCs w:val="24"/>
        </w:rPr>
        <w:t>Escherichia coli</w:t>
      </w:r>
      <w:r w:rsidR="00B811FD" w:rsidRPr="00DB7074">
        <w:rPr>
          <w:rFonts w:ascii="Book Antiqua" w:hAnsi="Book Antiqua" w:cs="Times New Roman"/>
          <w:sz w:val="24"/>
          <w:szCs w:val="24"/>
        </w:rPr>
        <w:t xml:space="preserve"> were overrepresented</w:t>
      </w:r>
      <w:r w:rsidR="0074039B" w:rsidRPr="00DB7074">
        <w:rPr>
          <w:rFonts w:ascii="Book Antiqua" w:hAnsi="Book Antiqua" w:cs="Times New Roman"/>
          <w:sz w:val="24"/>
          <w:szCs w:val="24"/>
        </w:rPr>
        <w:t>,</w:t>
      </w:r>
      <w:r w:rsidR="00B811FD" w:rsidRPr="00DB7074">
        <w:rPr>
          <w:rFonts w:ascii="Book Antiqua" w:hAnsi="Book Antiqua" w:cs="Times New Roman"/>
          <w:sz w:val="24"/>
          <w:szCs w:val="24"/>
        </w:rPr>
        <w:t xml:space="preserve"> </w:t>
      </w:r>
      <w:r w:rsidR="00591490" w:rsidRPr="00DB7074">
        <w:rPr>
          <w:rFonts w:ascii="Book Antiqua" w:hAnsi="Book Antiqua" w:cs="Times New Roman"/>
          <w:sz w:val="24"/>
          <w:szCs w:val="24"/>
        </w:rPr>
        <w:t xml:space="preserve">while </w:t>
      </w:r>
      <w:r w:rsidR="00591490" w:rsidRPr="00DB7074">
        <w:rPr>
          <w:rStyle w:val="Emphasis"/>
          <w:rFonts w:ascii="Book Antiqua" w:hAnsi="Book Antiqua" w:cs="Times New Roman"/>
          <w:sz w:val="24"/>
          <w:szCs w:val="24"/>
        </w:rPr>
        <w:t>Bacteroides vulgatus</w:t>
      </w:r>
      <w:r w:rsidR="00976A97" w:rsidRPr="00DB7074">
        <w:rPr>
          <w:rStyle w:val="Emphasis"/>
          <w:rFonts w:ascii="Book Antiqua" w:hAnsi="Book Antiqua" w:cs="Times New Roman"/>
          <w:sz w:val="24"/>
          <w:szCs w:val="24"/>
        </w:rPr>
        <w:t>, L</w:t>
      </w:r>
      <w:r w:rsidR="00276E16" w:rsidRPr="00DB7074">
        <w:rPr>
          <w:rStyle w:val="Emphasis"/>
          <w:rFonts w:ascii="Book Antiqua" w:hAnsi="Book Antiqua" w:cs="Times New Roman"/>
          <w:sz w:val="24"/>
          <w:szCs w:val="24"/>
        </w:rPr>
        <w:t>actobacillus</w:t>
      </w:r>
      <w:r w:rsidR="00591490" w:rsidRPr="00DB7074">
        <w:rPr>
          <w:rFonts w:ascii="Book Antiqua" w:hAnsi="Book Antiqua" w:cs="Times New Roman"/>
          <w:sz w:val="24"/>
          <w:szCs w:val="24"/>
        </w:rPr>
        <w:t xml:space="preserve"> and </w:t>
      </w:r>
      <w:r w:rsidR="00591490" w:rsidRPr="00DB7074">
        <w:rPr>
          <w:rStyle w:val="Emphasis"/>
          <w:rFonts w:ascii="Book Antiqua" w:hAnsi="Book Antiqua" w:cs="Times New Roman"/>
          <w:sz w:val="24"/>
          <w:szCs w:val="24"/>
        </w:rPr>
        <w:t>Faecalibacterium prausnitzii</w:t>
      </w:r>
      <w:r w:rsidR="00591490" w:rsidRPr="00DB7074">
        <w:rPr>
          <w:rFonts w:ascii="Book Antiqua" w:hAnsi="Book Antiqua" w:cs="Times New Roman"/>
          <w:sz w:val="24"/>
          <w:szCs w:val="24"/>
        </w:rPr>
        <w:t xml:space="preserve"> were decreased </w:t>
      </w:r>
      <w:r w:rsidR="00B811FD" w:rsidRPr="00DB7074">
        <w:rPr>
          <w:rFonts w:ascii="Book Antiqua" w:hAnsi="Book Antiqua" w:cs="Times New Roman"/>
          <w:sz w:val="24"/>
          <w:szCs w:val="24"/>
        </w:rPr>
        <w:t xml:space="preserve">in the </w:t>
      </w:r>
      <w:r w:rsidR="00507882" w:rsidRPr="00DB7074">
        <w:rPr>
          <w:rFonts w:ascii="Book Antiqua" w:hAnsi="Book Antiqua" w:cs="Times New Roman"/>
          <w:sz w:val="24"/>
          <w:szCs w:val="24"/>
        </w:rPr>
        <w:t>faeces</w:t>
      </w:r>
      <w:r w:rsidR="00B811FD" w:rsidRPr="00DB7074">
        <w:rPr>
          <w:rFonts w:ascii="Book Antiqua" w:hAnsi="Book Antiqua" w:cs="Times New Roman"/>
          <w:sz w:val="24"/>
          <w:szCs w:val="24"/>
        </w:rPr>
        <w:t xml:space="preserve"> </w:t>
      </w:r>
      <w:r w:rsidR="00B9084A" w:rsidRPr="00DB7074">
        <w:rPr>
          <w:rFonts w:ascii="Book Antiqua" w:hAnsi="Book Antiqua" w:cs="Times New Roman"/>
          <w:sz w:val="24"/>
          <w:szCs w:val="24"/>
        </w:rPr>
        <w:t xml:space="preserve">or </w:t>
      </w:r>
      <w:r w:rsidR="00507882" w:rsidRPr="00DB7074">
        <w:rPr>
          <w:rFonts w:ascii="Book Antiqua" w:hAnsi="Book Antiqua" w:cs="Times New Roman"/>
          <w:sz w:val="24"/>
          <w:szCs w:val="24"/>
        </w:rPr>
        <w:t>tumour</w:t>
      </w:r>
      <w:r w:rsidR="00B9084A" w:rsidRPr="00DB7074">
        <w:rPr>
          <w:rFonts w:ascii="Book Antiqua" w:hAnsi="Book Antiqua" w:cs="Times New Roman"/>
          <w:sz w:val="24"/>
          <w:szCs w:val="24"/>
        </w:rPr>
        <w:t xml:space="preserve">s </w:t>
      </w:r>
      <w:r w:rsidR="003E12C8" w:rsidRPr="00DB7074">
        <w:rPr>
          <w:rFonts w:ascii="Book Antiqua" w:hAnsi="Book Antiqua" w:cs="Times New Roman"/>
          <w:sz w:val="24"/>
          <w:szCs w:val="24"/>
        </w:rPr>
        <w:t>of patients with CRC</w:t>
      </w:r>
      <w:r w:rsidR="00724E27"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{"citationID":"JNXqyAUn","properties":{"formattedCitation":"\\super [123\\uc0\\u8211{}125,131,143\\uc0\\u8211{}146]\\nosupersub{}","plainCitation":"[123–125,131,143–146]","noteIndex":0},"citationItems":[{"id":"D1GMNV0O/6FXNbvpi","uris":["http://zotero.org/users/4804376/items/M58YNUQZ"],"uri":["http://zotero.org/users/4804376/items/M58YNUQZ"],"itemData":{"id":75,"type":"article-journal","title":"Potential of fecal microbiota for early-stage detection of colorectal cancer","container-title":"Molecular Systems Biology","page":"766-766","volume":"10","issue":"11","source":"CrossRef","abstract":"Several bacterial species have been implicated in the development of colorectal carcinoma (CRC), but CRC-associated changes of fecal microbiota and their potential for cancer screening remain to be explored. Here, we used metagenomic sequencing of fecal samples to identify taxonomic markers that distinguished CRC patients from tumor-free controls in a study population of 156 participants. Accuracy of metagenomic CRC detection was similar to the standard fecal occult blood test (FOBT) and when both approaches were combined, sensitivity improved &gt; 45% relative to the FOBT, while maintaining its specificity. Accuracy of metagenomic CRC detection did not differ significantly between early- and late-stage cancer and could be validated in independent patient and control populations (N = 335) from different countries. CRC-associated changes in the fecal microbiome at least partially reflected microbial community composition at the tumor itself, indicating that observed gene pool differences may reveal tumor-related host–microbe interactions. Indeed, we deduced a metabolic shift from fiber degradation in controls to utilization of host carbohydrates and amino acids in CRC patients, accompanied by an increase of lipopolysaccharide metabolism.","DOI":"10.15252/msb.20145645","ISSN":"1744-4292","language":"en","author":[{"family":"Zeller","given":"G."},{"family":"Tap","given":"J."},{"family":"Voigt","given":"A. Y."},{"family":"Sunagawa","given":"S."},{"family":"Kultima","given":"J. R."},{"family":"Costea","given":"P. I."},{"family":"Amiot","given":"A."},{"family":"Bohm","given":"J."},{"family":"Brunetti","given":"F."},{"family":"Habermann","given":"N."},{"family":"Hercog","given":"R."},{"family":"Koch","given":"M."},{"family":"Luciani","given":"A."},{"family":"Mende","given":"D. R."},{"family":"Schneider","given":"M. A."},{"family":"Schrotz-King","given":"P."},{"family":"Tournigand","given":"C."},{"family":"Tran Van Nhieu","given":"J."},{"family":"Yamada","given":"T."},{"family":"Zimmermann","given":"J."},{"family":"Benes","given":"V."},{"family":"Kloor","given":"M."},{"family":"Ulrich","given":"C. M."},{"family":"Knebel Doeberitz","given":"M.","non-dropping-particle":"von"},{"family":"Sobhani","given":"I."},{"family":"Bork","given":"P."}],"issued":{"date-parts":[["2014",11,28]]}}},{"id":"D1GMNV0O/CzTZ0kJp","uris":["http://zotero.org/users/4804376/items/89RRK8PE"],"uri":["http://zotero.org/users/4804376/items/89RRK8PE"],"itemData":{"id":315,"type":"article-journal","title":"Microbial dysbiosis in colorectal cancer (CRC) patients","container-title":"PloS One","page":"e16393","volume":"6","issue":"1","source":"PubMed","abstract":"The composition of the human intestinal microbiota is linked to health status. The aim was to analyze the microbiota of normal and colon cancer patients in order to establish cancer-related dysbiosis.\nPATIENTS AND METHODS: Stool bacterial DNA was extracted prior to colonoscopy from 179 patients: 60 with colorectal cancer, and 119 with normal colonoscopy. Bacterial genes obtained by pyrosequencing of 12 stool samples (6 Normal and 6 Cancer) were subjected to a validated Principal Component Analysis (PCA) test. The dominant and subdominant bacterial population (C. leptum, C. coccoides, Bacteroides/Prevotella, Lactobacillus/Leuconostoc/Pediococcus groups, Bifidobacterium genus, and E. coli, and Faecalibacterium prausnitzii species) were quantified in all individuals using qPCR and specific IL17 producer cells in the intestinal mucosa were characterized using immunohistochemistry.\nFINDINGS: Pyrosequencing (Minimal sequence 200 nucleotide reads) revealed 80% of all sequences could be assigned to a total of 819 taxa based on default parameter of Classifier software. The phylogenetic core in Cancer individuals was different from that in Normal individuals according to the PCA analysis, with trends towards differences in the dominant and subdominant families of bacteria. Consequently, All-bacteria [log(10) (bacteria/g of stool)] in Normal, and Cancer individuals were similar [11.88±0.35, and 11.80±0.56, respectively, (P</w:instrText>
      </w:r>
      <w:r w:rsidR="002A773B" w:rsidRPr="00DB7074">
        <w:rPr>
          <w:rFonts w:ascii="Times New Roman" w:hAnsi="Times New Roman" w:cs="Times New Roman"/>
          <w:sz w:val="24"/>
          <w:szCs w:val="24"/>
        </w:rPr>
        <w:instrText> </w:instrText>
      </w:r>
      <w:r w:rsidR="002A773B" w:rsidRPr="00DB7074">
        <w:rPr>
          <w:rFonts w:ascii="Book Antiqua" w:hAnsi="Book Antiqua" w:cs="Times New Roman"/>
          <w:sz w:val="24"/>
          <w:szCs w:val="24"/>
        </w:rPr>
        <w:instrText>=</w:instrText>
      </w:r>
      <w:r w:rsidR="002A773B" w:rsidRPr="00DB7074">
        <w:rPr>
          <w:rFonts w:ascii="Times New Roman" w:hAnsi="Times New Roman" w:cs="Times New Roman"/>
          <w:sz w:val="24"/>
          <w:szCs w:val="24"/>
        </w:rPr>
        <w:instrText> </w:instrText>
      </w:r>
      <w:r w:rsidR="002A773B" w:rsidRPr="00DB7074">
        <w:rPr>
          <w:rFonts w:ascii="Book Antiqua" w:hAnsi="Book Antiqua" w:cs="Times New Roman"/>
          <w:sz w:val="24"/>
          <w:szCs w:val="24"/>
        </w:rPr>
        <w:instrText>0.16)], according to qPCR values whereas among all dominant and subdominant species only those of Bacteroides/Prevotella were higher (All bacteria-specific bacterium; P</w:instrText>
      </w:r>
      <w:r w:rsidR="002A773B" w:rsidRPr="00DB7074">
        <w:rPr>
          <w:rFonts w:ascii="Times New Roman" w:hAnsi="Times New Roman" w:cs="Times New Roman"/>
          <w:sz w:val="24"/>
          <w:szCs w:val="24"/>
        </w:rPr>
        <w:instrText> </w:instrText>
      </w:r>
      <w:r w:rsidR="002A773B" w:rsidRPr="00DB7074">
        <w:rPr>
          <w:rFonts w:ascii="Book Antiqua" w:hAnsi="Book Antiqua" w:cs="Times New Roman"/>
          <w:sz w:val="24"/>
          <w:szCs w:val="24"/>
        </w:rPr>
        <w:instrText>=</w:instrText>
      </w:r>
      <w:r w:rsidR="002A773B" w:rsidRPr="00DB7074">
        <w:rPr>
          <w:rFonts w:ascii="Times New Roman" w:hAnsi="Times New Roman" w:cs="Times New Roman"/>
          <w:sz w:val="24"/>
          <w:szCs w:val="24"/>
        </w:rPr>
        <w:instrText> </w:instrText>
      </w:r>
      <w:r w:rsidR="002A773B" w:rsidRPr="00DB7074">
        <w:rPr>
          <w:rFonts w:ascii="Book Antiqua" w:hAnsi="Book Antiqua" w:cs="Times New Roman"/>
          <w:sz w:val="24"/>
          <w:szCs w:val="24"/>
        </w:rPr>
        <w:instrText xml:space="preserve">0.009) in Cancer (-1.04±0.55) than in Normal (-1.40±0.83) individuals. IL17 immunoreactive cells were significantly expressed more in the normal mucosa of cancer patients than in those with normal colonoscopy.\nCONCLUSION: This is the first large series to demonstrate a composition change in the microbiota of colon cancer patients with possible impact on mucosal immune response. These data open new filed for mass screening and pathophysiology investigations.","DOI":"10.1371/journal.pone.0016393","ISSN":"1932-6203","note":"PMID: 21297998\nPMCID: PMC3029306","journalAbbreviation":"PLoS ONE","language":"eng","author":[{"family":"Sobhani","given":"Iradj"},{"family":"Tap","given":"Julien"},{"family":"Roudot-Thoraval","given":"Françoise"},{"family":"Roperch","given":"Jean P."},{"family":"Letulle","given":"Sophie"},{"family":"Langella","given":"Philippe"},{"family":"Corthier","given":"Gérard"},{"family":"Tran Van Nhieu","given":"Jeanne"},{"family":"Furet","given":"Jean P."}],"issued":{"date-parts":[["2011",1,27]]}}},{"id":"D1GMNV0O/1mMMIPZD","uris":["http://zotero.org/users/4804376/items/H9UWF8DD"],"uri":["http://zotero.org/users/4804376/items/H9UWF8DD"],"itemData":{"id":333,"type":"article-journal","title":"Human intestinal lumen and mucosa-associated microbiota in patients with colorectal cancer","container-title":"PloS One","page":"e39743","volume":"7","issue":"6","source":"PubMed","abstract":"Recent reports have suggested the involvement of gut microbiota in the progression of colorectal cancer (CRC). We utilized pyrosequencing based analysis of 16S rRNA genes to determine the overall structure of microbiota in patients with colorectal cancer and healthy controls; we investigated microbiota of the intestinal lumen, the cancerous tissue and matched noncancerous normal tissue. Moreover, we investigated the mucosa-adherent microbial composition using rectal swab samples because the structure of the tissue-adherent bacterial community is potentially altered following bowel cleansing. Our findings indicated that the microbial structure of the intestinal lumen and cancerous tissue differed significantly. Phylotypes that enhance energy harvest from diets or perform metabolic exchange with the host were more abundant in the lumen. There were more abundant Firmicutes and less abundant Bacteroidetes and Proteobacteria in lumen. The overall microbial structures of cancerous tissue and noncancerous tissue were similar; however the tumor microbiota exhibited lower diversity. The structures of the intestinal lumen microbiota and mucosa-adherent microbiota were different in CRC patients compared to matched microbiota in healthy individuals. Lactobacillales was enriched in cancerous tissue, whereas Faecalibacterium was reduced. In the mucosa-adherent microbiota, Bifidobacterium, Faecalibacterium, and Blautia were reduced in CRC patients, whereas Fusobacterium, Porphyromonas, Peptostreptococcus, and Mogibacterium were enriched. In the lumen, predominant phylotypes related to metabolic disorders or metabolic exchange with the host, Erysipelotrichaceae, Prevotellaceae, and Coriobacteriaceae were increased in cancer patients. Coupled with previous reports, these results suggest that the intestinal microbiota is associated with CRC risk and that intestinal lumen microflora potentially influence CRC risk via cometabolism or metabolic exchange with the host. However, mucosa-associated microbiota potentially affects CRC risk primarily through direct interaction with the host.","DOI":"10.1371/journal.pone.0039743","ISSN":"1932-6203","note":"PMID: 22761885\nPMCID: PMC3386193","journalAbbreviation":"PLoS ONE","language":"eng","author":[{"family":"Chen","given":"Weiguang"},{"family":"Liu","given":"Fanlong"},{"family":"Ling","given":"Zongxin"},{"family":"Tong","given":"Xiaojuan"},{"family":"Xiang","given":"Charlie"}],"issued":{"date-parts":[["2012"]]}}},{"id":"D1GMNV0O/YeAqa1dR","uris":["http://zotero.org/users/4804376/items/BC2WPF6V"],"uri":["http://zotero.org/users/4804376/items/BC2WPF6V"],"itemData":{"id":313,"type":"article-journal","title":"Bacterial succession in the colon during childhood and adolescence: molecular studies in a southern Indian village","container-title":"The American Journal of Clinical Nutrition","page":"1643-1647","volume":"88","issue":"6","source":"PubMed","abstract":"BACKGROUND: The colonic bacterial flora, largely anaerobic, is believed to establish and stabilize in the first 2 y of life.\nOBJECTIVE: This study was undertaken to determine whether the bacterial flora of the colon undergoes further changes (succession) during childhood and adolescence.\nDESIGN: This cross-sectional study examined fecal samples from 130 healthy children and adolescents in the age group 2-17 y and from 30 healthy adults (median age: 42 y) residing in a single village in southern India. DNA was extracted and subjected to 16S rDNA-targeted real-time polymerase chain reaction to determine the relative predominance of Bifidobacterium genus, Bacteroides-Prevotella-Porphyromonas group, Lactobacillus acidophilus group, Eubacterium rectale, and Faecalibacterium prausnitzii.\nRESULTS: Bifidobacterium species and Bacteroides-Prevotella group were dominant fecal bacteria overall. E. rectale and Lactobacillus species were considerably less abundant. Clear age-related differences emerged, with a steep decline in Bifidobacterium species in adults (P &lt; 0.0001), a steep decline of Lactobacillus species &gt;5 y of age (P &lt; 0.0001), an increase in Bacteroides during late adolescence and in adults (P = 0.0040), an increase in E. rectale during childhood and adolescence followed by a steep decline in adults (P &lt; 0.0001), and a late childhood peak of F. prausnitzii with decline in adolescents and adults (P &lt; 0.0001).\nCONCLUSIONS: Changes in the bacterial flora occur during childhood and adolescence characterized by reduction in Lactobacillus and Bifidobacterium species and an increase in Bacteroides, E rectale, and F. prausnitzii peaked during late childhood in this population.","DOI":"10.3945/ajcn.2008.26511","ISSN":"1938-3207","note":"PMID: 19064526","shortTitle":"Bacterial succession in the colon during childhood and adolescence","journalAbbreviation":"Am. J. Clin. Nutr.","language":"eng","author":[{"family":"Balamurugan","given":"Ramadass"},{"family":"Janardhan","given":"Harish P."},{"family":"George","given":"Sarah"},{"family":"Chittaranjan","given":"Sucharita Priya"},{"family":"Ramakrishna","given":"Balakrishnan S."}],"issued":{"date-parts":[["2008",12]]}}},{"id":"D1GMNV0O/8tADbFNp","uris":["http://zotero.org/users/4804376/items/PM3CTH6X"],"uri":["http://zotero.org/users/4804376/items/PM3CTH6X"],"itemData":{"id":52,"type":"article-journal","title":"Dysbiosis Signature of Fecal Microbiota in Colorectal Cancer Patients","container-title":"Microbial Ecology","page":"462-470","volume":"66","issue":"2","source":"CrossRef","DOI":"10.1007/s00248-013-0245-9","ISSN":"0095-3628, 1432-184X","language":"en","author":[{"family":"Wu","given":"Na"},{"family":"Yang","given":"Xi"},{"family":"Zhang","given":"Ruifen"},{"family":"Li","given":"Jun"},{"family":"Xiao","given":"Xue"},{"family":"Hu","given":"Yongfei"},{"family":"Chen","given":"Yanfei"},{"family":"Yang","given":"Fengling"},{"family":"Lu","given":"Na"},{"family":"Wang","given":"Zhiyun"},{"family":"Luan","given":"Chunguang"},{"family":"Liu","given":"Yulan"},{"family":"Wang","given":"Baohong"},{"family":"Xiang","given":"Charlie"},{"family":"Wang","given":"Yuezhu"},{"family":"Zhao","given":"Fangqing"},{"family":"Gao","given":"George F."},{"family":"Wang","given":"Shengyue"},{"family":"Li","given":"Lanjuan"},{"family":"Zhang","given":"Haizeng"},{"family":"Zhu","given":"Baoli"}],"issued":{"date-parts":[["2013",8]]}}},{"id":"D1GMNV0O/ELvcAZlq","uris":["http://zotero.org/users/4804376/items/42YNQH53"],"uri":["http://zotero.org/users/4804376/items/42YNQH53"],"itemData":{"id":361,"type":"article-journal","title":"Colonization of the human gut by E. coli and colorectal cancer risk","container-title":"Clinical Cancer Research: An Official Journal of the American Association for Cancer Research","page":"859-867","volume":"20","issue":"4","source":"PubMed","abstract":"PURPOSE: The intestinal microbiota is potentially involved in the development of colorectal carcinoma via various mechanisms. Escherichia coli are commensal bacteria of the human gut microbiota, but some pathogenic strains have acquired the ability to induce chronic inflammation and/or produce toxins, such as cyclomodulin, which could participate in the carcinogenesis process. Here, we analyzed the E. coli population associated with mucosa of patients with colon cancer in relation to clinicopathologic characteristics. We assessed carcinogenic properties of a colon cancer-associated E. coli strain in multiple intestinal neoplasia (Min) mice.\nEXPERIMENTAL DESIGN: Mucosa-associated or internalized E. coli were quantified and characterized from tumors and mucosa of patients with colon cancer and the healthy mucosa of diverticulosis controls. Min mice were inoculated with a colon cancer-associated E. coli strain (11G5). The number of colonic polyps was evaluated at 7 weeks after infection.\nRESULTS: An increased level of mucosa-associated and internalized E. coli was observed in the tumors compared with normal tissue. A relationship between poor prognostic factors for colon cancer (tumor-node-metastasis stage) and colonization of mucosa by E. coli was observed. Pathogenic cyclomodulin-positive E. coli strains were more prevalent on mucosa of patients with stages III/IV than those with stage I colon cancer. Proliferative index and E. coli colonization level of the mucosa distant from the tumor significantly correlated. Min mice infected with the E. coli strain 11G5 displayed a marked increase in the number of visible colonic polyps compared with controls.\nCONCLUSION: These findings support that pathogenic E. coli could be a cofactor in pathogenesis of colorectal cancer.","DOI":"10.1158/1078-0432.CCR-13-1343","ISSN":"1078-0432","note":"PMID: 24334760","journalAbbreviation":"Clin. Cancer Res.","language":"eng","author":[{"family":"Bonnet","given":"Mathilde"},{"family":"Buc","given":"Emmanuel"},{"family":"Sauvanet","given":"Pierre"},{"family":"Darcha","given":"Claude"},{"family":"Dubois","given":"Damien"},{"family":"Pereira","given":"Bruno"},{"family":"Déchelotte","given":"Pierre"},{"family":"Bonnet","given":"Richard"},{"family":"Pezet","given":"Denis"},{"family":"Darfeuille-Michaud","given":"Arlette"}],"issued":{"date-parts":[["2014",2,15]]}}},{"id":"D1GMNV0O/JE8udYew","uris":["http://zotero.org/users/4804376/items/98FBDYNS"],"uri":["http://zotero.org/users/4804376/items/98FBDYNS"],"itemData":{"id":317,"type":"article-journal","title":"Gut microbiome development along the colorectal adenoma-carcinoma sequence","container-title":"Nature Communications","page":"6528","volume":"6","source":"PubMed","abstract":"Colorectal cancer, a commonly diagnosed cancer in the elderly, often develops slowly from benign polyps called adenoma. The gut microbiota is believed to be directly involved in colorectal carcinogenesis. The identity and functional capacity of the adenoma- or carcinoma-related gut microbe(s), however, have not been surveyed in a comprehensive manner. Here we perform a metagenome-wide association study (MGWAS) on stools from advanced adenoma and carcinoma patients and from healthy subjects, revealing microbial genes, strains and functions enriched in each group. An analysis of potential risk factors indicates that high intake of red meat relative to fruits and vegetables appears to associate with outgrowth of bacteria that might contribute to a more hostile gut environment. These findings suggest that faecal microbiome-based strategies may be useful for early diagnosis and treatment of colorectal adenoma or carcinoma.","DOI":"10.1038/ncomms7528","ISSN":"2041-1723","note":"PMID: 25758642","journalAbbreviation":"Nat Commun","language":"eng","author":[{"family":"Feng","given":"Qiang"},{"family":"Liang","given":"Suisha"},{"family":"Jia","given":"Huijue"},{"family":"Stadlmayr","given":"Andreas"},{"family":"Tang","given":"Longqing"},{"family":"Lan","given":"Zhou"},{"family":"Zhang","given":"Dongya"},{"family":"Xia","given":"Huihua"},{"family":"Xu","given":"Xiaoying"},{"family":"Jie","given":"Zhuye"},{"family":"Su","given":"Lili"},{"family":"Li","given":"Xiaoping"},{"family":"Li","given":"Xin"},{"family":"Li","given":"Junhua"},{"family":"Xiao","given":"Liang"},{"family":"Huber-Schönauer","given":"Ursula"},{"family":"Niederseer","given":"David"},{"family":"Xu","given":"Xun"},{"family":"Al-Aama","given":"Jumana Yousuf"},{"family":"Yang","given":"Huanming"},{"family":"Wang","given":"Jian"},{"family":"Kristiansen","given":"Karsten"},{"family":"Arumugam","given":"Manimozhiyan"},{"family":"Tilg","given":"Herbert"},{"family":"Datz","given":"Christian"},{"family":"Wang","given":"Jun"}],"issued":{"date-parts":[["2015",3,11]]}}},{"id":"D1GMNV0O/Q3SNd5Ah","uris":["http://zotero.org/users/4804376/items/MI7JEJIR"],"uri":["http://zotero.org/users/4804376/items/MI7JEJIR"],"itemData":{"id":682,"type":"article-journal","title":"Intestinal inflammation targets cancer-inducing activity of the microbiota","container-title":"Science (New York, N.Y.)","page":"120-123","volume":"338","issue":"6103","source":"PubMed","abstract":"Inflammation alters host physiology to promote cancer, as seen in colitis-associated colorectal cancer (CRC). Here, we identify the intestinal microbiota as a target of inflammation that affects the progression of CRC. High-throughput sequencing revealed that inflammation modifies gut microbial composition in colitis-susceptible interleukin-10-deficient (Il10(-/-)) mice. Monocolonization with the commensal Escherichia coli NC101 promoted invasive carcinoma in azoxymethane (AOM)-treated Il10(-/-) mice. Deletion of the polyketide synthase (pks) genotoxic island from E. coli NC101 decreased tumor multiplicity and invasion in AOM/Il10(-/-) mice, without altering intestinal inflammation. Mucosa-associated pks(+) E. coli were found in a significantly high percentage of inflammatory bowel disease and CRC patients. This suggests that in mice, colitis can promote tumorigenesis by altering microbial composition and inducing the expansion of microorganisms with genotoxic capabilities.","DOI":"10.1126/science.1224820","ISSN":"1095-9203","note":"PMID: 22903521\nPMCID: PMC3645302","journalAbbreviation":"Science","language":"eng","author":[{"family":"Arthur","given":"Janelle C."},{"family":"Perez-Chanona","given":"Ernesto"},{"family":"Mühlbauer","given":"Marcus"},{"family":"Tomkovich","given":"Sarah"},{"family":"Uronis","given":"Joshua M."},{"family":"Fan","given":"Ting-Jia"},{"family":"Campbell","given":"Barry J."},{"family":"Abujamel","given":"Turki"},{"family":"Dogan","given":"Belgin"},{"family":"Rogers","given":"Arlin B."},{"family":"Rhodes","given":"Jonathan M."},{"family":"Stintzi","given":"Alain"},{"family":"Simpson","given":"Kenneth W."},{"family":"Hansen","given":"Jonathan J."},{"family":"Keku","given":"Temitope O."},{"family":"Fodor","given":"Anthony A."},{"family":"Jobin","given":"Christian"}],"issued":{"date-parts":[["2012",10,5]]}}}],"schema":"https://github.com/citation-style-language/schema/raw/master/csl-citation.json"} </w:instrText>
      </w:r>
      <w:r w:rsidR="00724E27"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[123–125,131,143–146]</w:t>
      </w:r>
      <w:r w:rsidR="00724E27" w:rsidRPr="00DB7074">
        <w:rPr>
          <w:rFonts w:ascii="Book Antiqua" w:hAnsi="Book Antiqua" w:cs="Times New Roman"/>
          <w:sz w:val="24"/>
          <w:szCs w:val="24"/>
        </w:rPr>
        <w:fldChar w:fldCharType="end"/>
      </w:r>
      <w:r w:rsidR="00B811FD" w:rsidRPr="00DB7074">
        <w:rPr>
          <w:rFonts w:ascii="Book Antiqua" w:hAnsi="Book Antiqua" w:cs="Times New Roman"/>
          <w:sz w:val="24"/>
          <w:szCs w:val="24"/>
        </w:rPr>
        <w:t xml:space="preserve">. Other studies found that </w:t>
      </w:r>
      <w:r w:rsidR="00B811FD" w:rsidRPr="00DB7074">
        <w:rPr>
          <w:rFonts w:ascii="Book Antiqua" w:hAnsi="Book Antiqua" w:cs="Times New Roman"/>
          <w:i/>
          <w:sz w:val="24"/>
          <w:szCs w:val="24"/>
        </w:rPr>
        <w:t>Parvimonas micra</w:t>
      </w:r>
      <w:r w:rsidR="00B811FD" w:rsidRPr="00DB7074">
        <w:rPr>
          <w:rFonts w:ascii="Book Antiqua" w:hAnsi="Book Antiqua" w:cs="Times New Roman"/>
          <w:sz w:val="24"/>
          <w:szCs w:val="24"/>
        </w:rPr>
        <w:t xml:space="preserve">, </w:t>
      </w:r>
      <w:r w:rsidR="00B811FD" w:rsidRPr="00DB7074">
        <w:rPr>
          <w:rFonts w:ascii="Book Antiqua" w:hAnsi="Book Antiqua" w:cs="Times New Roman"/>
          <w:i/>
          <w:sz w:val="24"/>
          <w:szCs w:val="24"/>
        </w:rPr>
        <w:t>Solobacterium moorei</w:t>
      </w:r>
      <w:r w:rsidR="00B811FD" w:rsidRPr="00DB7074">
        <w:rPr>
          <w:rFonts w:ascii="Book Antiqua" w:hAnsi="Book Antiqua" w:cs="Times New Roman"/>
          <w:sz w:val="24"/>
          <w:szCs w:val="24"/>
        </w:rPr>
        <w:t xml:space="preserve">, </w:t>
      </w:r>
      <w:r w:rsidR="00B811FD" w:rsidRPr="00DB7074">
        <w:rPr>
          <w:rFonts w:ascii="Book Antiqua" w:hAnsi="Book Antiqua" w:cs="Times New Roman"/>
          <w:i/>
          <w:sz w:val="24"/>
          <w:szCs w:val="24"/>
        </w:rPr>
        <w:t>Peptostreptococcus stomatis</w:t>
      </w:r>
      <w:r w:rsidR="00B811FD" w:rsidRPr="00DB7074">
        <w:rPr>
          <w:rFonts w:ascii="Book Antiqua" w:hAnsi="Book Antiqua" w:cs="Times New Roman"/>
          <w:sz w:val="24"/>
          <w:szCs w:val="24"/>
        </w:rPr>
        <w:t xml:space="preserve"> were consistently enriched in the</w:t>
      </w:r>
      <w:r w:rsidR="0074039B" w:rsidRPr="00DB7074">
        <w:rPr>
          <w:rFonts w:ascii="Book Antiqua" w:hAnsi="Book Antiqua" w:cs="Times New Roman"/>
          <w:sz w:val="24"/>
          <w:szCs w:val="24"/>
        </w:rPr>
        <w:t xml:space="preserve"> microbiomes of the</w:t>
      </w:r>
      <w:r w:rsidR="00B811FD" w:rsidRPr="00DB7074">
        <w:rPr>
          <w:rFonts w:ascii="Book Antiqua" w:hAnsi="Book Antiqua" w:cs="Times New Roman"/>
          <w:sz w:val="24"/>
          <w:szCs w:val="24"/>
        </w:rPr>
        <w:t xml:space="preserve"> stools of CRC patient</w:t>
      </w:r>
      <w:r w:rsidR="0074039B" w:rsidRPr="00DB7074">
        <w:rPr>
          <w:rFonts w:ascii="Book Antiqua" w:hAnsi="Book Antiqua" w:cs="Times New Roman"/>
          <w:sz w:val="24"/>
          <w:szCs w:val="24"/>
        </w:rPr>
        <w:t>s</w:t>
      </w:r>
      <w:r w:rsidR="00612C8D"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{"citationID":"a10q7t1nvpd","properties":{"formattedCitation":"\\super [126,131]\\nosupersub{}","plainCitation":"[126,131]","noteIndex":0},"citationItems":[{"id":"D1GMNV0O/6FXNbvpi","uris":["http://zotero.org/users/4804376/items/M58YNUQZ"],"uri":["http://zotero.org/users/4804376/items/M58YNUQZ"],"itemData":{"id":75,"type":"article-journal","title":"Potential of fecal microbiota for early-stage detection of colorectal cancer","container-title":"Molecular Systems Biology","page":"766-766","volume":"10","issue":"11","source":"CrossRef","abstract":"Several bacterial species have been implicated in the development of colorectal carcinoma (CRC), but CRC-associated changes of fecal microbiota and their potential for cancer screening remain to be explored. Here, we used metagenomic sequencing of fecal samples to identify taxonomic markers that distinguished CRC patients from tumor-free controls in a study population of 156 participants. Accuracy of metagenomic CRC detection was similar to the standard fecal occult blood test (FOBT) and when both approaches were combined, sensitivity improved &gt; 45% relative to the FOBT, while maintaining its specificity. Accuracy of metagenomic CRC detection did not differ significantly between early- and late-stage cancer and could be validated in independent patient and control populations (N = 335) from different countries. CRC-associated changes in the fecal microbiome at least partially reflected microbial community composition at the tumor itself, indicating that observed gene pool differences may reveal tumor-related host–microbe interactions. Indeed, we deduced a metabolic shift from fiber degradation in controls to utilization of host carbohydrates and amino acids in CRC patients, accompanied by an increase of lipopolysaccharide metabolism.","DOI":"10.15252/msb.20145645","ISSN":"1744-4292","language":"en","author":[{"family":"Zeller","given":"G."},{"family":"Tap","given":"J."},{"family":"Voigt","given":"A. Y."},{"family":"Sunagawa","given":"S."},{"family":"Kultima","given":"J. R."},{"family":"Costea","given":"P. I."},{"family":"Amiot","given":"A."},{"family":"Bohm","given":"J."},{"family":"Brunetti","given":"F."},{"family":"Habermann","given":"N."},{"family":"Hercog","given":"R."},{"family":"Koch","given":"M."},{"family":"Luciani","given":"A."},{"family":"Mende","given":"D. R."},{"family":"Schneider","given":"M. A."},{"family":"Schrotz-King","given":"P."},{"family":"Tournigand","given":"C."},{"family":"Tran Van Nhieu","given":"J."},{"family":"Yamada","given":"T."},{"family":"Zimmermann","given":"J."},{"family":"Benes","given":"V."},{"family":"Kloor","given":"M."},{"family":"Ulrich","given":"C. M."},{"family":"Knebel Doeberitz","given":"M.","non-dropping-particle":"von"},{"family":"Sobhani","given":"I."},{"family":"Bork","given":"P."}],"issued":{"date-parts":[["2014",11,28]]}}},{"id":"D1GMNV0O/f40CllF2","uris":["http://zotero.org/users/4804376/items/882XXTZV"],"uri":["http://zotero.org/users/4804376/items/882XXTZV"],"itemData":{"id":53,"type":"article-journal","title":"Metagenomic analysis of faecal microbiome as a tool towards targeted non-invasive biomarkers for colorectal cancer","container-title":"Gut","page":"70-78","volume":"66","issue":"1","source":"CrossRef","abstract":"Objective To evaluate the potential for diagnosing colorectal cancer (CRC) from faecal metagenomes. Design We performed metagenome-wide association studies on faecal samples from 74 patients with CRC and 54 controls from China, and validated the results in 16 patients and 24 controls from Denmark. We further validated the biomarkers in two published cohorts from France and Austria. Finally, we employed targeted quantitative PCR (qPCR) assays to evaluate diagnostic potential of selected biomarkers in an independent Chinese cohort of 47 patients and 109 controls. Results Besides conﬁrming known associations of Fusobacterium nucleatum and Peptostreptococcus stomatis with CRC, we found signiﬁcant associations with several species, including Parvimonas micra and Solobacterium moorei. We identiﬁed 20 microbial gene markers that differentiated CRC and control microbiomes, and validated 4 markers in the Danish cohort. In the French and Austrian cohorts, these four genes distinguished CRC metagenomes from controls with areas under the receiver-operating curve (AUC) of 0.72 and 0.77, respectively. qPCR measurements of two of these genes accurately classiﬁed patients with CRC in the independent Chinese cohort with AUC=0.84 and OR of 23. These genes were enriched in early-stage (I–II) patient microbiomes, highlighting the potential for using faecal metagenomic biomarkers for early diagnosis of CRC. Conclusions We present the ﬁrst metagenomic proﬁling study of CRC faecal microbiomes to discover and validate microbial biomarkers in ethnically different cohorts, and to independently validate selected biomarkers using an affordable clinically relevant technology. Our study thus takes a step further towards affordable non-invasive early diagnostic biomarkers for CRC from faecal samples.","DOI":"10.1136/gutjnl-2015-309800","ISSN":"0017-5749, 1468-3288","language":"en","author":[{"family":"Yu","given":"Jun"},{"family":"Feng","given":"Qiang"},{"family":"Wong","given":"Sunny Hei"},{"family":"Zhang","given":"Dongya"},{"family":"Liang","given":"Qiao","dropping-particle":"yi"},{"family":"Qin","given":"Youwen"},{"family":"Tang","given":"Longqing"},{"family":"Zhao","given":"Hui"},{"family":"Stenvang","given":"Jan"},{"family":"Li","given":"Yanli"},{"family":"Wang","given":"Xiaokai"},{"family":"Xu","given":"Xiaoqiang"},{"family":"Chen","given":"Ning"},{"family":"Wu","given":"William Ka Kei"},{"family":"Al-Aama","given":"Jumana"},{"family":"Nielsen","given":"Hans Jørgen"},{"family":"Kiilerich","given":"Pia"},{"family":"Jensen","given":"Benjamin Anderschou Holbech"},{"family":"Yau","given":"Tung On"},{"family":"Lan","given":"Zhou"},{"family":"Jia","given":"Huijue"},{"family":"Li","given":"Junhua"},{"family":"Xiao","given":"Liang"},{"family":"Lam","given":"Thomas Yuen Tung"},{"family":"Ng","given":"Siew Chien"},{"family":"Cheng","given":"Alfred Sze-Lok"},{"family":"Wong","given":"Vincent Wai-Sun"},{"family":"Chan","given":"Francis Ka Leung"},{"family":"Xu","given":"Xun"},{"family":"Yang","given":"Huanming"},{"family":"Madsen","given":"Lise"},{"family":"Datz","given":"Christian"},{"family":"Tilg","given":"Herbert"},{"family":"Wang","given":"Jian"},{"family":"Brünner","given":"Nils"},{"family":"Kristiansen","given":"Karsten"},{"family":"Arumugam","given":"Manimozhiyan"},{"family":"Sung","given":"Joseph Jao-Yiu"},{"family":"Wang","given":"Jun"}],"issued":{"date-parts":[["2017",1]]}}}],"schema":"https://github.com/citation-style-language/schema/raw/master/csl-citation.json"} </w:instrText>
      </w:r>
      <w:r w:rsidR="00612C8D"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[126,131]</w:t>
      </w:r>
      <w:r w:rsidR="00612C8D" w:rsidRPr="00DB7074">
        <w:rPr>
          <w:rFonts w:ascii="Book Antiqua" w:hAnsi="Book Antiqua" w:cs="Times New Roman"/>
          <w:sz w:val="24"/>
          <w:szCs w:val="24"/>
        </w:rPr>
        <w:fldChar w:fldCharType="end"/>
      </w:r>
      <w:r w:rsidR="00B811FD" w:rsidRPr="00DB7074">
        <w:rPr>
          <w:rFonts w:ascii="Book Antiqua" w:hAnsi="Book Antiqua" w:cs="Times New Roman"/>
          <w:sz w:val="24"/>
          <w:szCs w:val="24"/>
        </w:rPr>
        <w:t xml:space="preserve">. </w:t>
      </w:r>
      <w:r w:rsidR="003B68FC" w:rsidRPr="00DB7074">
        <w:rPr>
          <w:rFonts w:ascii="Book Antiqua" w:hAnsi="Book Antiqua" w:cs="Times New Roman"/>
          <w:sz w:val="24"/>
          <w:szCs w:val="24"/>
        </w:rPr>
        <w:t>Many studies</w:t>
      </w:r>
      <w:r w:rsidR="00B811FD" w:rsidRPr="00DB7074">
        <w:rPr>
          <w:rFonts w:ascii="Book Antiqua" w:hAnsi="Book Antiqua" w:cs="Times New Roman"/>
          <w:sz w:val="24"/>
          <w:szCs w:val="24"/>
        </w:rPr>
        <w:t xml:space="preserve"> </w:t>
      </w:r>
      <w:r w:rsidR="003E5CA9" w:rsidRPr="00DB7074">
        <w:rPr>
          <w:rFonts w:ascii="Book Antiqua" w:hAnsi="Book Antiqua" w:cs="Times New Roman"/>
          <w:sz w:val="24"/>
          <w:szCs w:val="24"/>
        </w:rPr>
        <w:t>showed</w:t>
      </w:r>
      <w:r w:rsidR="00B811FD" w:rsidRPr="00DB7074">
        <w:rPr>
          <w:rFonts w:ascii="Book Antiqua" w:hAnsi="Book Antiqua" w:cs="Times New Roman"/>
          <w:sz w:val="24"/>
          <w:szCs w:val="24"/>
        </w:rPr>
        <w:t xml:space="preserve"> an enrichment of </w:t>
      </w:r>
      <w:r w:rsidR="00B811FD" w:rsidRPr="00DB7074">
        <w:rPr>
          <w:rFonts w:ascii="Book Antiqua" w:hAnsi="Book Antiqua" w:cs="Times New Roman"/>
          <w:i/>
          <w:sz w:val="24"/>
          <w:szCs w:val="24"/>
        </w:rPr>
        <w:t>Fusobacterium nucleatum</w:t>
      </w:r>
      <w:r w:rsidR="00B811FD" w:rsidRPr="00DB7074">
        <w:rPr>
          <w:rFonts w:ascii="Book Antiqua" w:hAnsi="Book Antiqua" w:cs="Times New Roman"/>
          <w:sz w:val="24"/>
          <w:szCs w:val="24"/>
        </w:rPr>
        <w:t xml:space="preserve"> in </w:t>
      </w:r>
      <w:r w:rsidR="00E26EF6" w:rsidRPr="00DB7074">
        <w:rPr>
          <w:rFonts w:ascii="Book Antiqua" w:hAnsi="Book Antiqua" w:cs="Times New Roman"/>
          <w:sz w:val="24"/>
          <w:szCs w:val="24"/>
        </w:rPr>
        <w:t xml:space="preserve">stool and </w:t>
      </w:r>
      <w:r w:rsidR="00B811FD" w:rsidRPr="00DB7074">
        <w:rPr>
          <w:rFonts w:ascii="Book Antiqua" w:hAnsi="Book Antiqua" w:cs="Times New Roman"/>
          <w:sz w:val="24"/>
          <w:szCs w:val="24"/>
        </w:rPr>
        <w:t>tissue</w:t>
      </w:r>
      <w:r w:rsidR="0074039B" w:rsidRPr="00DB7074">
        <w:rPr>
          <w:rFonts w:ascii="Book Antiqua" w:hAnsi="Book Antiqua" w:cs="Times New Roman"/>
          <w:sz w:val="24"/>
          <w:szCs w:val="24"/>
        </w:rPr>
        <w:t xml:space="preserve"> samples from patients with colorectal carcinoma</w:t>
      </w:r>
      <w:r w:rsidR="00B811FD" w:rsidRPr="00DB7074">
        <w:rPr>
          <w:rFonts w:ascii="Book Antiqua" w:hAnsi="Book Antiqua" w:cs="Times New Roman"/>
          <w:sz w:val="24"/>
          <w:szCs w:val="24"/>
        </w:rPr>
        <w:t xml:space="preserve">, which </w:t>
      </w:r>
      <w:r w:rsidR="003E5CA9" w:rsidRPr="00DB7074">
        <w:rPr>
          <w:rFonts w:ascii="Book Antiqua" w:hAnsi="Book Antiqua" w:cs="Times New Roman"/>
          <w:sz w:val="24"/>
          <w:szCs w:val="24"/>
        </w:rPr>
        <w:t>were</w:t>
      </w:r>
      <w:r w:rsidR="00B811FD" w:rsidRPr="00DB7074">
        <w:rPr>
          <w:rFonts w:ascii="Book Antiqua" w:hAnsi="Book Antiqua" w:cs="Times New Roman"/>
          <w:sz w:val="24"/>
          <w:szCs w:val="24"/>
        </w:rPr>
        <w:t xml:space="preserve"> confirmed by quantitative polymerase chain reaction (PCR)</w:t>
      </w:r>
      <w:r w:rsidR="00724E27"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{"citationID":"s7JAGo2a","properties":{"formattedCitation":"\\super [126,131,147\\uc0\\u8211{}149]\\nosupersub{}","plainCitation":"[126,131,147–149]","noteIndex":0},"citationItems":[{"id":"D1GMNV0O/AkiIz1hS","uris":["http://zotero.org/users/4804376/items/Z9U5P9VZ"],"uri":["http://zotero.org/users/4804376/items/Z9U5P9VZ"],"itemData":{"id":349,"type":"article-journal","title":"Genomic analysis identifies association of Fusobacterium with colorectal carcinoma","container-title":"Genome Research","page":"292-298","volume":"22","issue":"2","source":"PubMed","abstract":"The tumor microenvironment of colorectal carcinoma is a complex community of genomically altered cancer cells, nonneoplastic cells, and a diverse collection of microorganisms. Each of these components may contribute to carcinogenesis; however, the role of the microbiota is the least well understood. We have characterized the composition of the microbiota in colorectal carcinoma using whole genome sequences from nine tumor/normal pairs. Fusobacterium sequences were enriched in carcinomas, confirmed by quantitative PCR and 16S rDNA sequence analysis of 95 carcinoma/normal DNA pairs, while the Bacteroidetes and Firmicutes phyla were depleted in tumors. Fusobacteria were also visualized within colorectal tumors using FISH. These findings reveal alterations in the colorectal cancer microbiota; however, the precise role of Fusobacteria in colorectal carcinoma pathogenesis requires further investigation.","DOI":"10.1101/gr.126573.111","ISSN":"1549-5469","note":"PMID: 22009990\nPMCID: PMC3266036","journalAbbreviation":"Genome Res.","language":"eng","author":[{"family":"Kostic","given":"Aleksandar D."},{"family":"Gevers","given":"Dirk"},{"family":"Pedamallu","given":"Chandra Sekhar"},{"family":"Michaud","given":"Monia"},{"family":"Duke","given":"Fujiko"},{"family":"Earl","given":"Ashlee M."},{"family":"Ojesina","given":"Akinyemi I."},{"family":"Jung","given":"Joonil"},{"family":"Bass","given":"Adam J."},{"family":"Tabernero","given":"Josep"},{"family":"Baselga","given":"José"},{"family":"Liu","given":"Chen"},{"family":"Shivdasani","given":"Ramesh A."},{"family":"Ogino","given":"Shuji"},{"family":"Birren","given":"Bruce W."},{"family":"Huttenhower","given":"Curtis"},{"family":"Garrett","given":"Wendy S."},{"family":"Meyerson","given":"Matthew"}],"issued":{"date-parts":[["2012",2]]}}},{"id":"D1GMNV0O/CGDNpzZL","uris":["http://zotero.org/users/4804376/items/6NJPPVU3"],"uri":["http://zotero.org/users/4804376/items/6NJPPVU3"],"itemData":{"id":355,"type":"article-journal","title":"Towards the human colorectal cancer microbiome","container-title":"PloS One","page":"e20447","volume":"6","issue":"5","source":"PubMed","abstract":"Multiple factors drive the progression from healthy mucosa towards sporadic colorectal carcinomas and accumulating evidence associates intestinal bacteria with disease initiation and progression. Therefore, the aim of this study was to provide a first high-resolution map of colonic dysbiosis that is associated with human colorectal cancer (CRC). To this purpose, the microbiomes colonizing colon tumor tissue and adjacent non-malignant mucosa were compared by deep rRNA sequencing. The results revealed striking differences in microbial colonization patterns between these two sites. Although inter-individual colonization in CRC patients was variable, tumors consistently formed a niche for Coriobacteria and other proposed probiotic bacterial species, while potentially pathogenic Enterobacteria were underrepresented in tumor tissue. As the intestinal microbiota is generally stable during adult life, these findings suggest that CRC-associated physiological and metabolic changes recruit tumor-foraging commensal-like bacteria. These microbes thus have an apparent competitive advantage in the tumor microenvironment and thereby seem to replace pathogenic bacteria that may be implicated in CRC etiology. This first glimpse of the CRC microbiome provides an important step towards full understanding of the dynamic interplay between intestinal microbial ecology and sporadic CRC, which may provide important leads towards novel microbiome-related diagnostic tools and therapeutic interventions.","DOI":"10.1371/journal.pone.0020447","ISSN":"1932-6203","note":"PMID: 21647227\nPMCID: PMC3101260","journalAbbreviation":"PLoS ONE","language":"eng","author":[{"family":"Marchesi","given":"Julian R."},{"family":"Dutilh","given":"Bas E."},{"family":"Hall","given":"Neil"},{"family":"Peters","given":"Wilbert H. M."},{"family":"Roelofs","given":"Rian"},{"family":"Boleij","given":"Annemarie"},{"family":"Tjalsma","given":"Harold"}],"issued":{"date-parts":[["2011"]]}}},{"id":"D1GMNV0O/f40CllF2","uris":["http://zotero.org/users/4804376/items/882XXTZV"],"uri":["http://zotero.org/users/4804376/items/882XXTZV"],"itemData":{"id":53,"type":"article-journal","title":"Metagenomic analysis of faecal microbiome as a tool towards targeted non-invasive biomarkers for colorectal cancer","container-title":"Gut","page":"70-78","volume":"66","issue":"1","source":"CrossRef","abstract":"Objective To evaluate the potential for diagnosing colorectal cancer (CRC) from faecal metagenomes. Design We performed metagenome-wide association studies on faecal samples from 74 patients with CRC and 54 controls from China, and validated the results in 16 patients and 24 controls from Denmark. We further validated the biomarkers in two published cohorts from France and Austria. Finally, we employed targeted quantitative PCR (qPCR) assays to evaluate diagnostic potential of selected biomarkers in an independent Chinese cohort of 47 patients and 109 controls. Results Besides conﬁrming known associations of Fusobacterium nucleatum and Peptostreptococcus stomatis with CRC, we found signiﬁcant associations with several species, including Parvimonas micra and Solobacterium moorei. We identiﬁed 20 microbial gene markers that differentiated CRC and control microbiomes, and validated 4 markers in the Danish cohort. In the French and Austrian cohorts, these four genes distinguished CRC metagenomes from controls with areas under the receiver-operating curve (AUC) of 0.72 and 0.77, respectively. qPCR measurements of two of these genes accurately classiﬁed patients with CRC in the independent Chinese cohort with AUC=0.84 and OR of 23. These genes were enriched in early-stage (I–II) patient microbiomes, highlighting the potential for using faecal metagenomic biomarkers for early diagnosis of CRC. Conclusions We present the ﬁrst metagenomic proﬁling study of CRC faecal microbiomes to discover and validate microbial biomarkers in ethnically different cohorts, and to independently validate selected biomarkers using an affordable clinically relevant technology. Our study thus takes a step further towards affordable non-invasive early diagnostic biomarkers for CRC from faecal samples.","DOI":"10.1136/gutjnl-2015-309800","ISSN":"0017-5749, 1468-3288","language":"en","author":[{"family":"Yu","given":"Jun"},{"family":"Feng","given":"Qiang"},{"family":"Wong","given":"Sunny Hei"},{"family":"Zhang","given":"Dongya"},{"family":"Liang","given":"Qiao","dropping-particle":"yi"},{"family":"Qin","given":"Youwen"},{"family":"Tang","given":"Longqing"},{"family":"Zhao","given":"Hui"},{"family":"Stenvang","given":"Jan"},{"family":"Li","given":"Yanli"},{"family":"Wang","given":"Xiaokai"},{"family":"Xu","given":"Xiaoqiang"},{"family":"Chen","given":"Ning"},{"family":"Wu","given":"William Ka Kei"},{"family":"Al-Aama","given":"Jumana"},{"family":"Nielsen","given":"Hans Jørgen"},{"family":"Kiilerich","given":"Pia"},{"family":"Jensen","given":"Benjamin Anderschou Holbech"},{"family":"Yau","given":"Tung On"},{"family":"Lan","given":"Zhou"},{"family":"Jia","given":"Huijue"},{"family":"Li","given":"Junhua"},{"family":"Xiao","given":"Liang"},{"family":"Lam","given":"Thomas Yuen Tung"},{"family":"Ng","given":"Siew Chien"},{"family":"Cheng","given":"Alfred Sze-Lok"},{"family":"Wong","given":"Vincent Wai-Sun"},{"family":"Chan","given":"Francis Ka Leung"},{"family":"Xu","given":"Xun"},{"family":"Yang","given":"Huanming"},{"family":"Madsen","given":"Lise"},{"family":"Datz","given":"Christian"},{"family":"Tilg","given":"Herbert"},{"family":"Wang","given":"Jian"},{"family":"Brünner","given":"Nils"},{"family":"Kristiansen","given":"Karsten"},{"family":"Arumugam","given":"Manimozhiyan"},{"family":"Sung","given":"Joseph Jao-Yiu"},{"family":"Wang","given":"Jun"}],"issued":{"date-parts":[["2017",1]]}}},{"id":"D1GMNV0O/6FXNbvpi","uris":["http://zotero.org/users/4804376/items/M58YNUQZ"],"uri":["http://zotero.org/users/4804376/items/M58YNUQZ"],"itemData":{"id":75,"type":"article-journal","title":"Potential of fecal microbiota for early-stage detection of colorectal cancer","container-title":"Molecular Systems Biology","page":"766-766","volume":"10","issue":"11","source":"CrossRef","abstract":"Several bacterial species have been implicated in the development of colorectal carcinoma (CRC), but CRC-associated changes of fecal microbiota and their potential for cancer screening remain to be explored. Here, we used metagenomic sequencing of fecal samples to identify taxonomic markers that distinguished CRC patients from tumor-free controls in a study population of 156 participants. Accuracy of metagenomic CRC detection was similar to the standard fecal occult blood test (FOBT) and when both approaches were combined, sensitivity improved &gt; 45% relative to the FOBT, while maintaining its specificity. Accuracy of metagenomic CRC detection did not differ significantly between early- and late-stage cancer and could be validated in independent patient and control populations (N = 335) from different countries. CRC-associated changes in the fecal microbiome at least partially reflected microbial community composition at the tumor itself, indicating that observed gene pool differences may reveal tumor-related host–microbe interactions. Indeed, we deduced a metabolic shift from fiber degradation in controls to utilization of host carbohydrates and amino acids in CRC patients, accompanied by an increase of lipopolysaccharide metabolism.","DOI":"10.15252/msb.20145645","ISSN":"1744-4292","language":"en","author":[{"family":"Zeller","given":"G."},{"family":"Tap","given":"J."},{"family":"Voigt","given":"A. Y."},{"family":"Sunagawa","given":"S."},{"family":"Kultima","given":"J. R."},{"family":"Costea","given":"P. I."},{"family":"Amiot","given":"A."},{"family":"Bohm","given":"J."},{"family":"Brunetti","given":"F."},{"family":"Habermann","given":"N."},{"family":"Hercog","given":"R."},{"family":"Koch","given":"M."},{"family":"Luciani","given":"A."},{"family":"Mende","given":"D. R."},{"family":"Schneider","given":"M. A."},{"family":"Schrotz-King","given":"P."},{"family":"Tournigand","given":"C."},{"family":"Tran Van Nhieu","given":"J."},{"family":"Yamada","given":"T."},{"family":"Zimmermann","given":"J."},{"family":"Benes","given":"V."},{"family":"Kloor","given":"M."},{"family":"Ulrich","given":"C. M."},{"family":"Knebel Doeberitz","given":"M.","non-dropping-particle":"von"},{"family":"Sobhani","given":"I."},{"family":"Bork","given":"P."}],"issued":{"date-parts":[["2014",11,28]]}}},{"id":"D1GMNV0O/C8ydDPxb","uris":["http://zotero.org/users/4804376/items/72ZTFL8N"],"uri":["http://zotero.org/users/4804376/items/72ZTFL8N"],"itemData":{"id":678,"type":"article-journal","title":"Quantitative profiling of colorectal cancer-associated bacteria reveals associations between fusobacterium spp., enterotoxigenic Bacteroides fragilis (ETBF) and clinicopathological features of colorectal cancer","container-title":"PloS One","page":"e0119462","volume":"10","issue":"3","source":"PubMed","abstract":"Various studies have presented clinical or in vitro evidence linking bacteria to colorectal cancer, but these bacteria have not previously been concurrently quantified by qPCR in a single cohort. We quantify these bacteria (Fusobacterium spp., Streptococcus gallolyticus, Enterococcus faecalis, Enterotoxigenic Bacteroides fragilis (ETBF), Enteropathogenic Escherichia coli (EPEC), and afaC- or pks-positive E. coli) in paired tumour and normal tissue samples from 55 colorectal cancer patients. We further investigate the relationship between a) the presence and b) the level of colonisation of each bacterial species with site and stage of disease, age, gender, ethnicity and MSI-status. With the exception of S. gallolyticus, we detected all bacteria profiled here in both tumour and normal samples at varying frequencies. ETBF (FDR = 0.001 and 0.002 for normal and tumour samples) and afaC-positive E. coli (FDR = 0.03, normal samples) were significantly enriched in the colon compared to the rectum. ETBF (FDR = 0.04 and 0.002 for normal and tumour samples, respectively) and Fusobacterium spp. (FDR = 0.03 tumour samples) levels were significantly higher in late stage (III/IV) colorectal cancers. Fusobacterium was by far the most common bacteria detected, occurring in 82% and 81% of paired tumour and normal samples. Fusobacterium was also the only bacterium that was significantly higher in tumour compared to normal samples (p = 6e-5). We also identified significant associations between high-level colonisation by Fusobacterium and MSI-H (FDR = 0.05), age (FDR = 0.03) or pks-positive E. coli (FDR = 0.01). Furthermore, we exclusively identified atypical EPEC in our cohort, which has not been previously reported in association with colorectal cancer. By quantifying colorectal cancer-associated bacteria across a single cohort, we uncovered inter- and intra-individual patterns of colonization not previously recognized, as well as important associations with clinicopathological features, especially in the case of Fusobacterium and ETBF.","DOI":"10.1371/journal.pone.0119462","ISSN":"1932-6203","note":"PMID: 25751261\nPMCID: PMC4353626","journalAbbreviation":"PLoS ONE","language":"eng","author":[{"family":"Viljoen","given":"Katie S."},{"family":"Dakshinamurthy","given":"Amirtha"},{"family":"Goldberg","given":"Paul"},{"family":"Blackburn","given":"Jonathan M."}],"issued":{"date-parts":[["2015"]]}}}],"schema":"https://github.com/citation-style-language/schema/raw/master/csl-citation.json"} </w:instrText>
      </w:r>
      <w:r w:rsidR="00724E27"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[126,131,147–149]</w:t>
      </w:r>
      <w:r w:rsidR="00724E27" w:rsidRPr="00DB7074">
        <w:rPr>
          <w:rFonts w:ascii="Book Antiqua" w:hAnsi="Book Antiqua" w:cs="Times New Roman"/>
          <w:sz w:val="24"/>
          <w:szCs w:val="24"/>
        </w:rPr>
        <w:fldChar w:fldCharType="end"/>
      </w:r>
      <w:r w:rsidR="00AE79FA" w:rsidRPr="00DB7074">
        <w:rPr>
          <w:rFonts w:ascii="Book Antiqua" w:hAnsi="Book Antiqua" w:cs="Times New Roman"/>
          <w:sz w:val="24"/>
          <w:szCs w:val="24"/>
        </w:rPr>
        <w:t xml:space="preserve"> (Figure 1)</w:t>
      </w:r>
      <w:r w:rsidR="00B811FD" w:rsidRPr="00DB7074">
        <w:rPr>
          <w:rFonts w:ascii="Book Antiqua" w:hAnsi="Book Antiqua" w:cs="Times New Roman"/>
          <w:sz w:val="24"/>
          <w:szCs w:val="24"/>
        </w:rPr>
        <w:t>.</w:t>
      </w:r>
      <w:r w:rsidR="00502B76" w:rsidRPr="00DB7074">
        <w:rPr>
          <w:rFonts w:ascii="Book Antiqua" w:hAnsi="Book Antiqua" w:cs="Times New Roman"/>
          <w:sz w:val="24"/>
          <w:szCs w:val="24"/>
        </w:rPr>
        <w:t xml:space="preserve"> </w:t>
      </w:r>
      <w:r w:rsidR="00372362" w:rsidRPr="00DB7074">
        <w:rPr>
          <w:rFonts w:ascii="Book Antiqua" w:hAnsi="Book Antiqua" w:cs="Times New Roman"/>
          <w:sz w:val="24"/>
          <w:szCs w:val="24"/>
        </w:rPr>
        <w:t xml:space="preserve">In addition to taxonomic studies, </w:t>
      </w:r>
      <w:r w:rsidR="0074039B" w:rsidRPr="00DB7074">
        <w:rPr>
          <w:rFonts w:ascii="Book Antiqua" w:hAnsi="Book Antiqua" w:cs="Times New Roman"/>
          <w:sz w:val="24"/>
          <w:szCs w:val="24"/>
        </w:rPr>
        <w:t xml:space="preserve">a </w:t>
      </w:r>
      <w:r w:rsidR="00372362" w:rsidRPr="00DB7074">
        <w:rPr>
          <w:rFonts w:ascii="Book Antiqua" w:hAnsi="Book Antiqua" w:cs="Times New Roman"/>
          <w:sz w:val="24"/>
          <w:szCs w:val="24"/>
        </w:rPr>
        <w:t xml:space="preserve">metagenomics analysis showed </w:t>
      </w:r>
      <w:r w:rsidR="00E642A7" w:rsidRPr="00DB7074">
        <w:rPr>
          <w:rFonts w:ascii="Book Antiqua" w:eastAsia="Times New Roman" w:hAnsi="Book Antiqua" w:cs="Times New Roman"/>
          <w:sz w:val="24"/>
          <w:szCs w:val="24"/>
          <w:lang w:eastAsia="fr-FR"/>
        </w:rPr>
        <w:t xml:space="preserve">an enrichment of virulence-associated bacterial genes in the </w:t>
      </w:r>
      <w:r w:rsidR="00507882" w:rsidRPr="00DB7074">
        <w:rPr>
          <w:rFonts w:ascii="Book Antiqua" w:eastAsia="Times New Roman" w:hAnsi="Book Antiqua" w:cs="Times New Roman"/>
          <w:sz w:val="24"/>
          <w:szCs w:val="24"/>
          <w:lang w:eastAsia="fr-FR"/>
        </w:rPr>
        <w:t>tumour</w:t>
      </w:r>
      <w:r w:rsidR="00E642A7" w:rsidRPr="00DB7074">
        <w:rPr>
          <w:rFonts w:ascii="Book Antiqua" w:eastAsia="Times New Roman" w:hAnsi="Book Antiqua" w:cs="Times New Roman"/>
          <w:sz w:val="24"/>
          <w:szCs w:val="24"/>
          <w:lang w:eastAsia="fr-FR"/>
        </w:rPr>
        <w:t xml:space="preserve"> microenvironment</w:t>
      </w:r>
      <w:r w:rsidR="00724E27" w:rsidRPr="00DB7074">
        <w:rPr>
          <w:rFonts w:ascii="Book Antiqua" w:eastAsia="Times New Roman" w:hAnsi="Book Antiqua" w:cs="Times New Roman"/>
          <w:sz w:val="24"/>
          <w:szCs w:val="24"/>
          <w:lang w:eastAsia="fr-FR"/>
        </w:rPr>
        <w:fldChar w:fldCharType="begin"/>
      </w:r>
      <w:r w:rsidR="002A773B" w:rsidRPr="00DB7074">
        <w:rPr>
          <w:rFonts w:ascii="Book Antiqua" w:eastAsia="Times New Roman" w:hAnsi="Book Antiqua" w:cs="Times New Roman"/>
          <w:sz w:val="24"/>
          <w:szCs w:val="24"/>
          <w:lang w:eastAsia="fr-FR"/>
        </w:rPr>
        <w:instrText xml:space="preserve"> ADDIN ZOTERO_ITEM CSL_CITATION {"citationID":"a72lme340f","properties":{"formattedCitation":"\\super [132]\\nosupersub{}","plainCitation":"[132]","noteIndex":0},"citationItems":[{"id":"D1GMNV0O/AewYyorI","uris":["http://zotero.org/users/4804376/items/GXKPXPRB"],"uri":["http://zotero.org/users/4804376/items/GXKPXPRB"],"itemData":{"id":343,"type":"article-journal","title":"Virulence genes are a signature of the microbiome in the colorectal tumor microenvironment","container-title":"Genome Medicine","page":"55","volume":"7","issue":"1","source":"PubMed","abstract":"BACKGROUND: The human gut microbiome is associated with the development of colon cancer, and recent studies have found changes in the microbiome in cancer patients compared to healthy controls. Studying the microbial communities in the tumor microenvironment may shed light on the role of host-bacteria interactions in colorectal cancer. Here, we highlight the major shifts in the colorectal tumor microbiome relative to that of matched normal colon tissue from the same individual, allowing us to survey the microbial communities in the tumor microenvironment and providing intrinsic control for environmental and host genetic effects on the microbiome.\nMETHODS: We sequenced the microbiome in 44 primary tumor and 44 patient-matched normal colon tissue samples to determine differentially abundant microbial taxa These data were also used to functionally characterize the microbiome of the cancer and normal sample pairs and identify functional pathways enriched in the tumor-associated microbiota.\nRESULTS: We find that tumors harbor distinct microbial communities compared to nearby healthy tissue. Our results show increased microbial diversity in the tumor microenvironment, with changes in the abundances of commensal and pathogenic bacterial taxa, including Fusobacterium and Providencia. While Fusobacterium has previously been implicated in colorectal cancer, Providencia is a novel tumor-associated agent which has not been identified in previous studies. Additionally, we identified a clear, significant enrichment of predicted virulence-associated genes in the colorectal cancer microenvironment, likely dependent upon the genomes of Fusobacterium and Providencia.\nCONCLUSIONS: This work identifies bacterial taxa significantly correlated with colorectal cancer, including a novel finding of an elevated abundance of Providencia in the tumor microenvironment. We also describe the predicted metabolic pathways and enzymes differentially present in the tumor-associated microbiome, and show an enrichment of virulence-associated bacterial genes in the tumor microenvironment. This predicted virulence enrichment supports the hypothesis that the microbiome plays an active role in colorectal cancer development and/or progression. Our results provide a starting point for future prognostic and therapeutic research with the potential to improve patient outcomes.","DOI":"10.1186/s13073-015-0177-8","ISSN":"1756-994X","note":"PMID: 26170900\nPMCID: PMC4499914","journalAbbreviation":"Genome Med","language":"eng","author":[{"family":"Burns","given":"Michael B."},{"family":"Lynch","given":"Joshua"},{"family":"Starr","given":"Timothy K."},{"family":"Knights","given":"Dan"},{"family":"Blekhman","given":"Ran"}],"issued":{"date-parts":[["2015"]]}}}],"schema":"https://github.com/citation-style-language/schema/raw/master/csl-citation.json"} </w:instrText>
      </w:r>
      <w:r w:rsidR="00724E27" w:rsidRPr="00DB7074">
        <w:rPr>
          <w:rFonts w:ascii="Book Antiqua" w:eastAsia="Times New Roman" w:hAnsi="Book Antiqua" w:cs="Times New Roman"/>
          <w:sz w:val="24"/>
          <w:szCs w:val="24"/>
          <w:lang w:eastAsia="fr-FR"/>
        </w:rPr>
        <w:fldChar w:fldCharType="separate"/>
      </w:r>
      <w:r w:rsidR="00794414" w:rsidRPr="00DB7074">
        <w:rPr>
          <w:rFonts w:ascii="Book Antiqua" w:hAnsi="Book Antiqua" w:cs="Times New Roman"/>
          <w:sz w:val="24"/>
          <w:szCs w:val="24"/>
          <w:vertAlign w:val="superscript"/>
        </w:rPr>
        <w:t>[132]</w:t>
      </w:r>
      <w:r w:rsidR="00724E27" w:rsidRPr="00DB7074">
        <w:rPr>
          <w:rFonts w:ascii="Book Antiqua" w:eastAsia="Times New Roman" w:hAnsi="Book Antiqua" w:cs="Times New Roman"/>
          <w:sz w:val="24"/>
          <w:szCs w:val="24"/>
          <w:lang w:eastAsia="fr-FR"/>
        </w:rPr>
        <w:fldChar w:fldCharType="end"/>
      </w:r>
      <w:r w:rsidR="00724E27" w:rsidRPr="00DB7074">
        <w:rPr>
          <w:rFonts w:ascii="Book Antiqua" w:eastAsia="Times New Roman" w:hAnsi="Book Antiqua" w:cs="Times New Roman"/>
          <w:sz w:val="24"/>
          <w:szCs w:val="24"/>
          <w:lang w:eastAsia="fr-FR"/>
        </w:rPr>
        <w:t xml:space="preserve">. </w:t>
      </w:r>
      <w:r w:rsidR="005931FA" w:rsidRPr="00DB7074">
        <w:rPr>
          <w:rFonts w:ascii="Book Antiqua" w:eastAsia="Times New Roman" w:hAnsi="Book Antiqua" w:cs="Times New Roman"/>
          <w:sz w:val="24"/>
          <w:szCs w:val="24"/>
          <w:lang w:eastAsia="fr-FR"/>
        </w:rPr>
        <w:t xml:space="preserve">Many studies reported a high prevalence of toxin </w:t>
      </w:r>
      <w:r w:rsidR="00372362" w:rsidRPr="00DB7074">
        <w:rPr>
          <w:rFonts w:ascii="Book Antiqua" w:eastAsia="Times New Roman" w:hAnsi="Book Antiqua" w:cs="Times New Roman"/>
          <w:sz w:val="24"/>
          <w:szCs w:val="24"/>
          <w:lang w:eastAsia="fr-FR"/>
        </w:rPr>
        <w:t xml:space="preserve">genes </w:t>
      </w:r>
      <w:r w:rsidR="005931FA" w:rsidRPr="00DB7074">
        <w:rPr>
          <w:rFonts w:ascii="Book Antiqua" w:eastAsia="Times New Roman" w:hAnsi="Book Antiqua" w:cs="Times New Roman"/>
          <w:sz w:val="24"/>
          <w:szCs w:val="24"/>
          <w:lang w:eastAsia="fr-FR"/>
        </w:rPr>
        <w:t xml:space="preserve">expressed by some species described above. </w:t>
      </w:r>
      <w:r w:rsidR="004848ED" w:rsidRPr="00DB7074">
        <w:rPr>
          <w:rFonts w:ascii="Book Antiqua" w:hAnsi="Book Antiqua" w:cs="Times New Roman"/>
          <w:sz w:val="24"/>
          <w:szCs w:val="24"/>
        </w:rPr>
        <w:t>Most of enterotoxigenic</w:t>
      </w:r>
      <w:r w:rsidR="005931FA" w:rsidRPr="00DB7074">
        <w:rPr>
          <w:rFonts w:ascii="Book Antiqua" w:eastAsia="Times New Roman" w:hAnsi="Book Antiqua" w:cs="Times New Roman"/>
          <w:sz w:val="24"/>
          <w:szCs w:val="24"/>
          <w:lang w:eastAsia="fr-FR"/>
        </w:rPr>
        <w:t xml:space="preserve"> </w:t>
      </w:r>
      <w:r w:rsidR="004848ED" w:rsidRPr="00DB7074">
        <w:rPr>
          <w:rFonts w:ascii="Book Antiqua" w:hAnsi="Book Antiqua" w:cs="Times New Roman"/>
          <w:i/>
          <w:iCs/>
          <w:sz w:val="24"/>
          <w:szCs w:val="24"/>
        </w:rPr>
        <w:t xml:space="preserve">B. fragilis </w:t>
      </w:r>
      <w:r w:rsidR="00F36331" w:rsidRPr="00DB7074">
        <w:rPr>
          <w:rFonts w:ascii="Book Antiqua" w:hAnsi="Book Antiqua" w:cs="Times New Roman"/>
          <w:iCs/>
          <w:sz w:val="24"/>
          <w:szCs w:val="24"/>
        </w:rPr>
        <w:t>(ETBF)</w:t>
      </w:r>
      <w:r w:rsidR="00F36331" w:rsidRPr="00DB7074">
        <w:rPr>
          <w:rFonts w:ascii="Book Antiqua" w:hAnsi="Book Antiqua" w:cs="Times New Roman"/>
          <w:i/>
          <w:iCs/>
          <w:sz w:val="24"/>
          <w:szCs w:val="24"/>
        </w:rPr>
        <w:t xml:space="preserve"> </w:t>
      </w:r>
      <w:r w:rsidR="004848ED" w:rsidRPr="00DB7074">
        <w:rPr>
          <w:rFonts w:ascii="Book Antiqua" w:hAnsi="Book Antiqua" w:cs="Times New Roman"/>
          <w:sz w:val="24"/>
          <w:szCs w:val="24"/>
        </w:rPr>
        <w:t>strains detected in mucosal samples from</w:t>
      </w:r>
      <w:r w:rsidR="005931FA" w:rsidRPr="00DB7074">
        <w:rPr>
          <w:rFonts w:ascii="Book Antiqua" w:eastAsia="Times New Roman" w:hAnsi="Book Antiqua" w:cs="Times New Roman"/>
          <w:sz w:val="24"/>
          <w:szCs w:val="24"/>
          <w:lang w:eastAsia="fr-FR"/>
        </w:rPr>
        <w:t xml:space="preserve"> </w:t>
      </w:r>
      <w:r w:rsidR="004848ED" w:rsidRPr="00DB7074">
        <w:rPr>
          <w:rFonts w:ascii="Book Antiqua" w:hAnsi="Book Antiqua" w:cs="Times New Roman"/>
          <w:sz w:val="24"/>
          <w:szCs w:val="24"/>
        </w:rPr>
        <w:t>patients with CRC</w:t>
      </w:r>
      <w:r w:rsidR="00507882" w:rsidRPr="00DB7074">
        <w:rPr>
          <w:rFonts w:ascii="Book Antiqua" w:hAnsi="Book Antiqua" w:cs="Times New Roman"/>
          <w:sz w:val="24"/>
          <w:szCs w:val="24"/>
        </w:rPr>
        <w:t xml:space="preserve"> harbour</w:t>
      </w:r>
      <w:r w:rsidR="004848ED" w:rsidRPr="00DB7074">
        <w:rPr>
          <w:rFonts w:ascii="Book Antiqua" w:hAnsi="Book Antiqua" w:cs="Times New Roman"/>
          <w:sz w:val="24"/>
          <w:szCs w:val="24"/>
        </w:rPr>
        <w:t xml:space="preserve">ed the </w:t>
      </w:r>
      <w:r w:rsidR="004848ED" w:rsidRPr="00DB7074">
        <w:rPr>
          <w:rFonts w:ascii="Book Antiqua" w:hAnsi="Book Antiqua" w:cs="Times New Roman"/>
          <w:i/>
          <w:iCs/>
          <w:sz w:val="24"/>
          <w:szCs w:val="24"/>
        </w:rPr>
        <w:t xml:space="preserve">bft </w:t>
      </w:r>
      <w:r w:rsidR="004848ED" w:rsidRPr="00DB7074">
        <w:rPr>
          <w:rFonts w:ascii="Book Antiqua" w:hAnsi="Book Antiqua" w:cs="Times New Roman"/>
          <w:sz w:val="24"/>
          <w:szCs w:val="24"/>
        </w:rPr>
        <w:t>gene, which</w:t>
      </w:r>
      <w:r w:rsidR="005931FA" w:rsidRPr="00DB7074">
        <w:rPr>
          <w:rFonts w:ascii="Book Antiqua" w:eastAsia="Times New Roman" w:hAnsi="Book Antiqua" w:cs="Times New Roman"/>
          <w:sz w:val="24"/>
          <w:szCs w:val="24"/>
          <w:lang w:eastAsia="fr-FR"/>
        </w:rPr>
        <w:t xml:space="preserve"> </w:t>
      </w:r>
      <w:r w:rsidR="004848ED" w:rsidRPr="00DB7074">
        <w:rPr>
          <w:rFonts w:ascii="Book Antiqua" w:hAnsi="Book Antiqua" w:cs="Times New Roman"/>
          <w:sz w:val="24"/>
          <w:szCs w:val="24"/>
        </w:rPr>
        <w:t xml:space="preserve">encodes the bacterial toxin </w:t>
      </w:r>
      <w:r w:rsidR="004848ED" w:rsidRPr="00DB7074">
        <w:rPr>
          <w:rFonts w:ascii="Book Antiqua" w:hAnsi="Book Antiqua" w:cs="Times New Roman"/>
          <w:i/>
          <w:iCs/>
          <w:sz w:val="24"/>
          <w:szCs w:val="24"/>
        </w:rPr>
        <w:t xml:space="preserve">B. fragilis </w:t>
      </w:r>
      <w:r w:rsidR="004848ED" w:rsidRPr="00DB7074">
        <w:rPr>
          <w:rFonts w:ascii="Book Antiqua" w:hAnsi="Book Antiqua" w:cs="Times New Roman"/>
          <w:sz w:val="24"/>
          <w:szCs w:val="24"/>
        </w:rPr>
        <w:t xml:space="preserve">toxin </w:t>
      </w:r>
      <w:r w:rsidR="004848ED" w:rsidRPr="00DB7074">
        <w:rPr>
          <w:rFonts w:ascii="Book Antiqua" w:hAnsi="Book Antiqua" w:cs="Times New Roman"/>
          <w:sz w:val="24"/>
          <w:szCs w:val="24"/>
        </w:rPr>
        <w:lastRenderedPageBreak/>
        <w:t>(BFT)</w:t>
      </w:r>
      <w:r w:rsidR="00275C23"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{"citationID":"a14o3d6gma5","properties":{"formattedCitation":"\\super [149]\\nosupersub{}","plainCitation":"[149]","noteIndex":0},"citationItems":[{"id":"D1GMNV0O/C8ydDPxb","uris":["http://zotero.org/users/4804376/items/72ZTFL8N"],"uri":["http://zotero.org/users/4804376/items/72ZTFL8N"],"itemData":{"id":678,"type":"article-journal","title":"Quantitative profiling of colorectal cancer-associated bacteria reveals associations between fusobacterium spp., enterotoxigenic Bacteroides fragilis (ETBF) and clinicopathological features of colorectal cancer","container-title":"PloS One","page":"e0119462","volume":"10","issue":"3","source":"PubMed","abstract":"Various studies have presented clinical or in vitro evidence linking bacteria to colorectal cancer, but these bacteria have not previously been concurrently quantified by qPCR in a single cohort. We quantify these bacteria (Fusobacterium spp., Streptococcus gallolyticus, Enterococcus faecalis, Enterotoxigenic Bacteroides fragilis (ETBF), Enteropathogenic Escherichia coli (EPEC), and afaC- or pks-positive E. coli) in paired tumour and normal tissue samples from 55 colorectal cancer patients. We further investigate the relationship between a) the presence and b) the level of colonisation of each bacterial species with site and stage of disease, age, gender, ethnicity and MSI-status. With the exception of S. gallolyticus, we detected all bacteria profiled here in both tumour and normal samples at varying frequencies. ETBF (FDR = 0.001 and 0.002 for normal and tumour samples) and afaC-positive E. coli (FDR = 0.03, normal samples) were significantly enriched in the colon compared to the rectum. ETBF (FDR = 0.04 and 0.002 for normal and tumour samples, respectively) and Fusobacterium spp. (FDR = 0.03 tumour samples) levels were significantly higher in late stage (III/IV) colorectal cancers. Fusobacterium was by far the most common bacteria detected, occurring in 82% and 81% of paired tumour and normal samples. Fusobacterium was also the only bacterium that was significantly higher in tumour compared to normal samples (p = 6e-5). We also identified significant associations between high-level colonisation by Fusobacterium and MSI-H (FDR = 0.05), age (FDR = 0.03) or pks-positive E. coli (FDR = 0.01). Furthermore, we exclusively identified atypical EPEC in our cohort, which has not been previously reported in association with colorectal cancer. By quantifying colorectal cancer-associated bacteria across a single cohort, we uncovered inter- and intra-individual patterns of colonization not previously recognized, as well as important associations with clinicopathological features, especially in the case of Fusobacterium and ETBF.","DOI":"10.1371/journal.pone.0119462","ISSN":"1932-6203","note":"PMID: 25751261\nPMCID: PMC4353626","journalAbbreviation":"PLoS ONE","language":"eng","author":[{"family":"Viljoen","given":"Katie S."},{"family":"Dakshinamurthy","given":"Amirtha"},{"family":"Goldberg","given":"Paul"},{"family":"Blackburn","given":"Jonathan M."}],"issued":{"date-parts":[["2015"]]}}}],"schema":"https://github.com/citation-style-language/schema/raw/master/csl-citation.json"} </w:instrText>
      </w:r>
      <w:r w:rsidR="00275C23"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[149]</w:t>
      </w:r>
      <w:r w:rsidR="00275C23" w:rsidRPr="00DB7074">
        <w:rPr>
          <w:rFonts w:ascii="Book Antiqua" w:hAnsi="Book Antiqua" w:cs="Times New Roman"/>
          <w:sz w:val="24"/>
          <w:szCs w:val="24"/>
        </w:rPr>
        <w:fldChar w:fldCharType="end"/>
      </w:r>
      <w:r w:rsidR="00AE79FA" w:rsidRPr="00DB7074">
        <w:rPr>
          <w:rFonts w:ascii="Book Antiqua" w:hAnsi="Book Antiqua" w:cs="Times New Roman"/>
          <w:sz w:val="24"/>
          <w:szCs w:val="24"/>
        </w:rPr>
        <w:t xml:space="preserve"> (Figure 1)</w:t>
      </w:r>
      <w:r w:rsidR="004848ED" w:rsidRPr="00DB7074">
        <w:rPr>
          <w:rFonts w:ascii="Book Antiqua" w:hAnsi="Book Antiqua" w:cs="Times New Roman"/>
          <w:sz w:val="24"/>
          <w:szCs w:val="24"/>
        </w:rPr>
        <w:t>.</w:t>
      </w:r>
      <w:r w:rsidR="005931FA" w:rsidRPr="00DB7074">
        <w:rPr>
          <w:rFonts w:ascii="Book Antiqua" w:hAnsi="Book Antiqua" w:cs="Times New Roman"/>
          <w:sz w:val="24"/>
          <w:szCs w:val="24"/>
        </w:rPr>
        <w:t xml:space="preserve"> </w:t>
      </w:r>
      <w:r w:rsidR="00F36331" w:rsidRPr="00DB7074">
        <w:rPr>
          <w:rStyle w:val="highlight"/>
          <w:rFonts w:ascii="Book Antiqua" w:hAnsi="Book Antiqua"/>
          <w:sz w:val="24"/>
          <w:szCs w:val="24"/>
        </w:rPr>
        <w:t>ETBF</w:t>
      </w:r>
      <w:r w:rsidR="00F36331" w:rsidRPr="00DB7074">
        <w:rPr>
          <w:rFonts w:ascii="Book Antiqua" w:hAnsi="Book Antiqua"/>
          <w:sz w:val="24"/>
          <w:szCs w:val="24"/>
        </w:rPr>
        <w:t xml:space="preserve"> and BFT </w:t>
      </w:r>
      <w:r w:rsidR="0074039B" w:rsidRPr="00DB7074">
        <w:rPr>
          <w:rFonts w:ascii="Book Antiqua" w:hAnsi="Book Antiqua"/>
          <w:sz w:val="24"/>
          <w:szCs w:val="24"/>
        </w:rPr>
        <w:t xml:space="preserve">carrying strains </w:t>
      </w:r>
      <w:r w:rsidR="00F36331" w:rsidRPr="00DB7074">
        <w:rPr>
          <w:rFonts w:ascii="Book Antiqua" w:hAnsi="Book Antiqua"/>
          <w:sz w:val="24"/>
          <w:szCs w:val="24"/>
        </w:rPr>
        <w:t>were detected more often in stool samples</w:t>
      </w:r>
      <w:r w:rsidR="0074039B" w:rsidRPr="00DB7074">
        <w:rPr>
          <w:rFonts w:ascii="Book Antiqua" w:hAnsi="Book Antiqua"/>
          <w:sz w:val="24"/>
          <w:szCs w:val="24"/>
        </w:rPr>
        <w:t xml:space="preserve"> from CRC patients</w:t>
      </w:r>
      <w:r w:rsidR="00F36331" w:rsidRPr="00DB7074">
        <w:rPr>
          <w:rFonts w:ascii="Book Antiqua" w:hAnsi="Book Antiqua"/>
          <w:sz w:val="24"/>
          <w:szCs w:val="24"/>
        </w:rPr>
        <w:t xml:space="preserve"> compared </w:t>
      </w:r>
      <w:r w:rsidR="0074039B" w:rsidRPr="00DB7074">
        <w:rPr>
          <w:rFonts w:ascii="Book Antiqua" w:hAnsi="Book Antiqua"/>
          <w:sz w:val="24"/>
          <w:szCs w:val="24"/>
        </w:rPr>
        <w:t>with samples from</w:t>
      </w:r>
      <w:r w:rsidR="00F36331" w:rsidRPr="00DB7074">
        <w:rPr>
          <w:rFonts w:ascii="Book Antiqua" w:hAnsi="Book Antiqua"/>
          <w:sz w:val="24"/>
          <w:szCs w:val="24"/>
        </w:rPr>
        <w:t xml:space="preserve"> controls</w:t>
      </w:r>
      <w:r w:rsidR="00275C23" w:rsidRPr="00DB7074">
        <w:rPr>
          <w:rFonts w:ascii="Book Antiqua" w:hAnsi="Book Antiqua"/>
          <w:sz w:val="24"/>
          <w:szCs w:val="24"/>
        </w:rPr>
        <w:fldChar w:fldCharType="begin"/>
      </w:r>
      <w:r w:rsidR="002A773B" w:rsidRPr="00DB7074">
        <w:rPr>
          <w:rFonts w:ascii="Book Antiqua" w:hAnsi="Book Antiqua"/>
          <w:sz w:val="24"/>
          <w:szCs w:val="24"/>
        </w:rPr>
        <w:instrText xml:space="preserve"> ADDIN ZOTERO_ITEM CSL_CITATION {"citationID":"a2e5766h5nd","properties":{"formattedCitation":"\\super [150]\\nosupersub{}","plainCitation":"[150]","noteIndex":0},"citationItems":[{"id":"D1GMNV0O/mFN0K06Z","uris":["http://zotero.org/users/4804376/items/2ETBU77J"],"uri":["http://zotero.org/users/4804376/items/2ETBU77J"],"itemData":{"id":680,"type":"article-journal","title":"Screening for enterotoxigenic Bacteroides fragilis in stool samples","container-title":"Anaerobe","page":"50-53","volume":"40","source":"PubMed","abstract":"Bacteroides fragilis is a commensal bacterium found in the gut of most humans, however enterotoxigenic B. fragilis strains (ETBF) have been associated with diarrhoea and colorectal cancer (CRC). The purpose of this study was to establish a method of screening for the Bacteroides fragilis toxin (bft) gene in stool samples, as a means of determining if carriage of ETBF is detected more often in CRC patients than in age-matched healthy controls. Stool samples from 71 patients recently diagnosed with CRC, and 71 age-matched controls, were screened by standard and quantitative PCR using primers specific for the detection of the bft gene. Bacterial template DNA from stool samples was prepared by two methods: a sweep, where all colonies growing on Bacteroides Bile Esculin agar following stool culture for 48 h at 37 °C in an anaerobic environment were swept into sterile water and heat treated; and a direct DNA extraction from each stool sample. The bft gene was detected more frequently from DNA isolated from bacterial sweeps than from matched direct DNA extractions. qPCR was found to be more sensitive than standard PCR in detecting bft. The cumulative total of positive qPCR assays from both sample types revealed that 19 of the CRC patients had evidence of the toxin gene in their stool sample (27%), compared to seven of the age-matched controls (10%). This difference was significant (P = 0.016). Overall, ETBF carriage was detected more often in CRC patient stool samples compared to controls, but disparate findings from the different DNA preparations and testing methods suggests that poor sensitivity may limit molecular detection of ETBF in stool samples.","DOI":"10.1016/j.anaerobe.2016.05.004","ISSN":"1095-8274","note":"PMID: 27166180","journalAbbreviation":"Anaerobe","language":"eng","author":[{"family":"Keenan","given":"Jacqueline I."},{"family":"Aitchison","given":"Alan"},{"family":"Purcell","given":"Rachel V."},{"family":"Greenlees","given":"Rosie"},{"family":"Pearson","given":"John F."},{"family":"Frizelle","given":"Frank A."}],"issued":{"date-parts":[["2016",8]]}}}],"schema":"https://github.com/citation-style-language/schema/raw/master/csl-citation.json"} </w:instrText>
      </w:r>
      <w:r w:rsidR="00275C23" w:rsidRPr="00DB7074">
        <w:rPr>
          <w:rFonts w:ascii="Book Antiqua" w:hAnsi="Book Antiqua"/>
          <w:sz w:val="24"/>
          <w:szCs w:val="24"/>
        </w:rPr>
        <w:fldChar w:fldCharType="separate"/>
      </w:r>
      <w:r w:rsidR="00794414" w:rsidRPr="00DB7074">
        <w:rPr>
          <w:rFonts w:ascii="Book Antiqua" w:hAnsi="Book Antiqua" w:cs="Times New Roman"/>
          <w:sz w:val="24"/>
          <w:szCs w:val="24"/>
          <w:vertAlign w:val="superscript"/>
        </w:rPr>
        <w:t>[150]</w:t>
      </w:r>
      <w:r w:rsidR="00275C23" w:rsidRPr="00DB7074">
        <w:rPr>
          <w:rFonts w:ascii="Book Antiqua" w:hAnsi="Book Antiqua"/>
          <w:sz w:val="24"/>
          <w:szCs w:val="24"/>
        </w:rPr>
        <w:fldChar w:fldCharType="end"/>
      </w:r>
      <w:r w:rsidR="00275C23" w:rsidRPr="00DB7074">
        <w:rPr>
          <w:rFonts w:ascii="Book Antiqua" w:hAnsi="Book Antiqua"/>
          <w:sz w:val="24"/>
          <w:szCs w:val="24"/>
        </w:rPr>
        <w:t>.</w:t>
      </w:r>
      <w:r w:rsidR="00F36331" w:rsidRPr="00DB7074">
        <w:rPr>
          <w:rFonts w:ascii="Book Antiqua" w:hAnsi="Book Antiqua" w:cs="Times New Roman"/>
          <w:sz w:val="24"/>
          <w:szCs w:val="24"/>
        </w:rPr>
        <w:t xml:space="preserve"> </w:t>
      </w:r>
      <w:r w:rsidR="00B07E8C" w:rsidRPr="00DB7074">
        <w:rPr>
          <w:rFonts w:ascii="Book Antiqua" w:hAnsi="Book Antiqua" w:cs="Times New Roman"/>
          <w:sz w:val="24"/>
          <w:szCs w:val="24"/>
        </w:rPr>
        <w:t>Many studies</w:t>
      </w:r>
      <w:r w:rsidR="005931FA" w:rsidRPr="00DB7074">
        <w:rPr>
          <w:rFonts w:ascii="Book Antiqua" w:hAnsi="Book Antiqua" w:cs="Times New Roman"/>
          <w:sz w:val="24"/>
          <w:szCs w:val="24"/>
        </w:rPr>
        <w:t xml:space="preserve"> reported that mucosa-associated BFT-producing </w:t>
      </w:r>
      <w:r w:rsidR="005931FA" w:rsidRPr="00DB7074">
        <w:rPr>
          <w:rFonts w:ascii="Book Antiqua" w:hAnsi="Book Antiqua" w:cs="Times New Roman"/>
          <w:i/>
          <w:sz w:val="24"/>
          <w:szCs w:val="24"/>
        </w:rPr>
        <w:t>B. fragilis</w:t>
      </w:r>
      <w:r w:rsidR="005931FA" w:rsidRPr="00DB7074">
        <w:rPr>
          <w:rFonts w:ascii="Book Antiqua" w:hAnsi="Book Antiqua" w:cs="Times New Roman"/>
          <w:sz w:val="24"/>
          <w:szCs w:val="24"/>
        </w:rPr>
        <w:t xml:space="preserve"> </w:t>
      </w:r>
      <w:r w:rsidR="0074039B" w:rsidRPr="00DB7074">
        <w:rPr>
          <w:rFonts w:ascii="Book Antiqua" w:hAnsi="Book Antiqua" w:cs="Times New Roman"/>
          <w:sz w:val="24"/>
          <w:szCs w:val="24"/>
        </w:rPr>
        <w:t xml:space="preserve">was </w:t>
      </w:r>
      <w:r w:rsidR="005931FA" w:rsidRPr="00DB7074">
        <w:rPr>
          <w:rFonts w:ascii="Book Antiqua" w:hAnsi="Book Antiqua" w:cs="Times New Roman"/>
          <w:sz w:val="24"/>
          <w:szCs w:val="24"/>
        </w:rPr>
        <w:t>more prevalent in late-stage CRC</w:t>
      </w:r>
      <w:r w:rsidR="00724E27"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{"citationID":"73VUUvij","properties":{"formattedCitation":"\\super [130,149]\\nosupersub{}","plainCitation":"[130,149]","noteIndex":0},"citationItems":[{"id":"D1GMNV0O/I2dFbx48","uris":["http://zotero.org/users/4804376/items/JIYSTXEH"],"uri":["http://zotero.org/users/4804376/items/JIYSTXEH"],"itemData":{"id":325,"type":"article-journal","title":"The Bacteroides fragilis toxin gene is prevalent in the colon mucosa of colorectal cancer patients","container-title":"Clinical Infectious Diseases: An Official Publication of the Infectious Diseases Society of America","page":"208-215","volume":"60","issue":"2","source":"PubMed","abstract":"BACKGROUND: Enterotoxigenic Bacteroides fragilis (ETBF) produces the Bacteroides fragilis toxin, which has been associated with acute diarrheal disease, inflammatory bowel disease, and colorectal cancer (CRC). ETBF induces colon carcinogenesis in experimental models. Previous human studies have demonstrated frequent asymptomatic fecal colonization with ETBF, but no study has investigated mucosal colonization that is expected to impact colon carcinogenesis.\nMETHODS: We compared the presence of the bft gene in mucosal samples from colorectal neoplasia patients (cases, n = 49) to a control group undergoing outpatient colonoscopy for CRC screening or diagnostic workup (controls, n = 49). Single bacterial colonies isolated anaerobically from mucosal colon tissue were tested for the bft gene with touch-down polymerase chain reaction.\nRESULTS: The mucosa of cases was significantly more often bft-positive on left (85.7%) and right (91.7%) tumor and/or paired normal tissues compared with left and right control biopsies (53.1%; P = .033 and 55.5%; P = .04, respectively). Detection of bft was concordant in most paired mucosal samples from individual cases or controls (75% cases; 67% controls). There was a trend toward increased bft positivity in mucosa from late- vs early-stage CRC patients (100% vs 72.7%, respectively; P = .093). In contrast to ETBF di</w:instrText>
      </w:r>
      <w:r w:rsidR="002A773B" w:rsidRPr="00DB7074">
        <w:rPr>
          <w:rFonts w:ascii="Book Antiqua" w:hAnsi="Book Antiqua" w:cs="Times New Roman" w:hint="eastAsia"/>
          <w:sz w:val="24"/>
          <w:szCs w:val="24"/>
        </w:rPr>
        <w:instrText xml:space="preserve">arrheal disease where bft-1 detection dominates, bft-2 was the most frequent toxin isotype identified in both cases and controls, whereas multiple bft isotypes were detected more frequently in cases (P </w:instrText>
      </w:r>
      <w:r w:rsidR="002A773B" w:rsidRPr="00DB7074">
        <w:rPr>
          <w:rFonts w:ascii="Book Antiqua" w:hAnsi="Book Antiqua" w:cs="Times New Roman" w:hint="eastAsia"/>
          <w:sz w:val="24"/>
          <w:szCs w:val="24"/>
        </w:rPr>
        <w:instrText>≤</w:instrText>
      </w:r>
      <w:r w:rsidR="002A773B" w:rsidRPr="00DB7074">
        <w:rPr>
          <w:rFonts w:ascii="Book Antiqua" w:hAnsi="Book Antiqua" w:cs="Times New Roman" w:hint="eastAsia"/>
          <w:sz w:val="24"/>
          <w:szCs w:val="24"/>
        </w:rPr>
        <w:instrText xml:space="preserve"> .02).\nCONCLUSIONS: The bft gene is associated with</w:instrText>
      </w:r>
      <w:r w:rsidR="002A773B" w:rsidRPr="00DB7074">
        <w:rPr>
          <w:rFonts w:ascii="Book Antiqua" w:hAnsi="Book Antiqua" w:cs="Times New Roman"/>
          <w:sz w:val="24"/>
          <w:szCs w:val="24"/>
        </w:rPr>
        <w:instrText xml:space="preserve"> colorectal neoplasia, especially in late-stage CRC. Our results suggest that mucosal bft exposure is common and may be a risk factor for developing CRC.","DOI":"10.1093/cid/ciu787","ISSN":"1537-6591","note":"PMID: 25305284\nPMCID: PMC4351371","journalAbbreviation":"Clin. Infect. Dis.","language":"eng","author":[{"family":"Boleij","given":"Annemarie"},{"family":"Hechenbleikner","given":"Elizabeth M."},{"family":"Goodwin","given":"Andrew C."},{"family":"Badani","given":"Ruchi"},{"family":"Stein","given":"Ellen M."},{"family":"Lazarev","given":"Mark G."},{"family":"Ellis","given":"Brandon"},{"family":"Carroll","given":"Karen C."},{"family":"Albesiano","given":"Emilia"},{"family":"Wick","given":"Elizabeth C."},{"family":"Platz","given":"Elizabeth A."},{"family":"Pardoll","given":"Drew M."},{"family":"Sears","given":"Cynthia L."}],"issued":{"date-parts":[["2015",1,15]]}}},{"id":"D1GMNV0O/C8ydDPxb","uris":["http://zotero.org/users/4804376/items/72ZTFL8N"],"uri":["http://zotero.org/users/4804376/items/72ZTFL8N"],"itemData":{"id":678,"type":"article-journal","title":"Quantitative profiling of colorectal cancer-associated bacteria reveals associations between fusobacterium spp., enterotoxigenic Bacteroides fragilis (ETBF) and clinicopathological features of colorectal cancer","container-title":"PloS One","page":"e0119462","volume":"10","issue":"3","source":"PubMed","abstract":"Various studies have presented clinical or in vitro evidence linking bacteria to colorectal cancer, but these bacteria have not previously been concurrently quantified by qPCR in a single cohort. We quantify these bacteria (Fusobacterium spp., Streptococcus gallolyticus, Enterococcus faecalis, Enterotoxigenic Bacteroides fragilis (ETBF), Enteropathogenic Escherichia coli (EPEC), and afaC- or pks-positive E. coli) in paired tumour and normal tissue samples from 55 colorectal cancer patients. We further investigate the relationship between a) the presence and b) the level of colonisation of each bacterial species with site and stage of disease, age, gender, ethnicity and MSI-status. With the exception of S. gallolyticus, we detected all bacteria profiled here in both tumour and normal samples at varying frequencies. ETBF (FDR = 0.001 and 0.002 for normal and tumour samples) and afaC-positive E. coli (FDR = 0.03, normal samples) were significantly enriched in the colon compared to the rectum. ETBF (FDR = 0.04 and 0.002 for normal and tumour samples, respectively) and Fusobacterium spp. (FDR = 0.03 tumour samples) levels were significantly higher in late stage (III/IV) colorectal cancers. Fusobacterium was by far the most common bacteria detected, occurring in 82% and 81% of paired tumour and normal samples. Fusobacterium was also the only bacterium that was significantly higher in tumour compared to normal samples (p = 6e-5). We also identified significant associations between high-level colonisation by Fusobacterium and MSI-H (FDR = 0.05), age (FDR = 0.03) or pks-positive E. coli (FDR = 0.01). Furthermore, we exclusively identified atypical EPEC in our cohort, which has not been previously reported in association with colorectal cancer. By quantifying colorectal cancer-associated bacteria across a single cohort, we uncovered inter- and intra-individual patterns of colonization not previously recognized, as well as important associations with clinicopathological features, especially in the case of Fusobacterium and ETBF.","DOI":"10.1371/journal.pone.0119462","ISSN":"1932-6203","note":"PMID: 25751261\nPMCID: PMC4353626","journalAbbreviation":"PLoS ONE","language":"eng","author":[{"family":"Viljoen","given":"Katie S."},{"family":"Dakshinamurthy","given":"Amirtha"},{"family":"Goldberg","given":"Paul"},{"family":"Blackburn","given":"Jonathan M."}],"issued":{"date-parts":[["2015"]]}}}],"schema":"https://github.com/citation-style-language/schema/raw/master/csl-citation.json"} </w:instrText>
      </w:r>
      <w:r w:rsidR="00724E27"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[130,149]</w:t>
      </w:r>
      <w:r w:rsidR="00724E27" w:rsidRPr="00DB7074">
        <w:rPr>
          <w:rFonts w:ascii="Book Antiqua" w:hAnsi="Book Antiqua" w:cs="Times New Roman"/>
          <w:sz w:val="24"/>
          <w:szCs w:val="24"/>
        </w:rPr>
        <w:fldChar w:fldCharType="end"/>
      </w:r>
      <w:r w:rsidR="005931FA" w:rsidRPr="00DB7074">
        <w:rPr>
          <w:rFonts w:ascii="Book Antiqua" w:hAnsi="Book Antiqua" w:cs="Times New Roman"/>
          <w:sz w:val="24"/>
          <w:szCs w:val="24"/>
        </w:rPr>
        <w:t>.</w:t>
      </w:r>
      <w:r w:rsidR="005B7894" w:rsidRPr="00DB7074">
        <w:rPr>
          <w:rFonts w:ascii="Book Antiqua" w:hAnsi="Book Antiqua" w:cs="Times New Roman"/>
          <w:sz w:val="24"/>
          <w:szCs w:val="24"/>
        </w:rPr>
        <w:t xml:space="preserve"> </w:t>
      </w:r>
      <w:r w:rsidR="00014878" w:rsidRPr="00DB7074">
        <w:rPr>
          <w:rFonts w:ascii="Book Antiqua" w:hAnsi="Book Antiqua" w:cs="Times New Roman"/>
          <w:sz w:val="24"/>
          <w:szCs w:val="24"/>
        </w:rPr>
        <w:t>Other toxins named cyclomodulins [cytolethal</w:t>
      </w:r>
      <w:r w:rsidR="00116B5A" w:rsidRPr="00DB7074">
        <w:rPr>
          <w:rFonts w:ascii="Book Antiqua" w:hAnsi="Book Antiqua" w:cs="Times New Roman"/>
          <w:sz w:val="24"/>
          <w:szCs w:val="24"/>
        </w:rPr>
        <w:t xml:space="preserve"> </w:t>
      </w:r>
      <w:r w:rsidR="00014878" w:rsidRPr="00DB7074">
        <w:rPr>
          <w:rFonts w:ascii="Book Antiqua" w:hAnsi="Book Antiqua" w:cs="Times New Roman"/>
          <w:sz w:val="24"/>
          <w:szCs w:val="24"/>
        </w:rPr>
        <w:t>distending toxin (CDT), colibactin, cytotoxic necrotizing</w:t>
      </w:r>
      <w:r w:rsidR="00116B5A" w:rsidRPr="00DB7074">
        <w:rPr>
          <w:rFonts w:ascii="Book Antiqua" w:hAnsi="Book Antiqua" w:cs="Times New Roman"/>
          <w:sz w:val="24"/>
          <w:szCs w:val="24"/>
        </w:rPr>
        <w:t xml:space="preserve"> </w:t>
      </w:r>
      <w:r w:rsidR="00014878" w:rsidRPr="00DB7074">
        <w:rPr>
          <w:rFonts w:ascii="Book Antiqua" w:hAnsi="Book Antiqua" w:cs="Times New Roman"/>
          <w:sz w:val="24"/>
          <w:szCs w:val="24"/>
        </w:rPr>
        <w:t>factor and cycle inhibiting factor]</w:t>
      </w:r>
      <w:r w:rsidR="0074039B" w:rsidRPr="00DB7074">
        <w:rPr>
          <w:rFonts w:ascii="Book Antiqua" w:hAnsi="Book Antiqua" w:cs="Times New Roman"/>
          <w:sz w:val="24"/>
          <w:szCs w:val="24"/>
        </w:rPr>
        <w:t>,</w:t>
      </w:r>
      <w:r w:rsidR="00014878" w:rsidRPr="00DB7074">
        <w:rPr>
          <w:rFonts w:ascii="Book Antiqua" w:hAnsi="Book Antiqua" w:cs="Times New Roman"/>
          <w:sz w:val="24"/>
          <w:szCs w:val="24"/>
        </w:rPr>
        <w:t xml:space="preserve"> </w:t>
      </w:r>
      <w:r w:rsidR="005B7894" w:rsidRPr="00DB7074">
        <w:rPr>
          <w:rFonts w:ascii="Book Antiqua" w:hAnsi="Book Antiqua" w:cs="Times New Roman"/>
          <w:sz w:val="24"/>
          <w:szCs w:val="24"/>
        </w:rPr>
        <w:t xml:space="preserve">which </w:t>
      </w:r>
      <w:r w:rsidR="006B02EC" w:rsidRPr="00DB7074">
        <w:rPr>
          <w:rFonts w:ascii="Book Antiqua" w:hAnsi="Book Antiqua" w:cs="Times New Roman"/>
          <w:sz w:val="24"/>
          <w:szCs w:val="24"/>
        </w:rPr>
        <w:t xml:space="preserve">are </w:t>
      </w:r>
      <w:r w:rsidR="005B7894" w:rsidRPr="00DB7074">
        <w:rPr>
          <w:rFonts w:ascii="Book Antiqua" w:hAnsi="Book Antiqua" w:cs="Times New Roman"/>
          <w:sz w:val="24"/>
          <w:szCs w:val="24"/>
        </w:rPr>
        <w:t xml:space="preserve">carried by </w:t>
      </w:r>
      <w:r w:rsidR="005B7894" w:rsidRPr="00DB7074">
        <w:rPr>
          <w:rFonts w:ascii="Book Antiqua" w:hAnsi="Book Antiqua" w:cs="Times New Roman"/>
          <w:i/>
          <w:sz w:val="24"/>
          <w:szCs w:val="24"/>
        </w:rPr>
        <w:t>E.coli</w:t>
      </w:r>
      <w:r w:rsidR="00507882" w:rsidRPr="00DB7074">
        <w:rPr>
          <w:rFonts w:ascii="Book Antiqua" w:hAnsi="Book Antiqua" w:cs="Times New Roman"/>
          <w:sz w:val="24"/>
          <w:szCs w:val="24"/>
        </w:rPr>
        <w:t xml:space="preserve">, </w:t>
      </w:r>
      <w:r w:rsidR="005B7894" w:rsidRPr="00DB7074">
        <w:rPr>
          <w:rFonts w:ascii="Book Antiqua" w:hAnsi="Book Antiqua" w:cs="Times New Roman"/>
          <w:sz w:val="24"/>
          <w:szCs w:val="24"/>
        </w:rPr>
        <w:t>were more prevalent in CRC samples</w:t>
      </w:r>
      <w:r w:rsidR="00724E27"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{"citationID":"Ugss9aE7","properties":{"formattedCitation":"\\super [145,146,151,152]\\nosupersub{}","plainCitation":"[145,146,151,152]","noteIndex":0},"citationItems":[{"id":"D1GMNV0O/ELvcAZlq","uris":["http://zotero.org/users/4804376/items/42YNQH53"],"uri":["http://zotero.org/users/4804376/items/42YNQH53"],"itemData":{"id":361,"type":"article-journal","title":"Colonization of the human gut by E. coli and colorectal cancer risk","container-title":"Clinical Cancer Research: An Official Journal of the American Association for Cancer Research","page":"859-867","volume":"20","issue":"4","source":"PubMed","abstract":"PURPOSE: The intestinal microbiota is potentially involved in the development of colorectal carcinoma via various mechanisms. Escherichia coli are commensal bacteria of the human gut microbiota, but some pathogenic strains have acquired the ability to induce chronic inflammation and/or produce toxins, such as cyclomodulin, which could participate in the carcinogenesis process. Here, we analyzed the E. coli population associated with mucosa of patients with colon cancer in relation to clinicopathologic characteristics. We assessed carcinogenic properties of a colon cancer-associated E. coli strain in multiple intestinal neoplasia (Min) mice.\nEXPERIMENTAL DESIGN: Mucosa-associated or internalized E. coli were quantified and characterized from tumors and mucosa of patients with colon cancer and the healthy mucosa of diverticulosis controls. Min mice were inoculated with a colon cancer-associated E. coli strain (11G5). The number of colonic polyps was evaluated at 7 weeks after infection.\nRESULTS: An increased level of mucosa-associated and internalized E. coli was observed in the tumors compared with normal tissue. A relationship between poor prognostic factors for colon cancer (tumor-node-metastasis stage) and colonization of mucosa by E. coli was observed. Pathogenic cyclomodulin-positive E. coli strains were more prevalent on mucosa of patients with stages III/IV than those with stage I colon cancer. Proliferative index and E. coli colonization level of the mucosa distant from the tumor significantly correlated. Min mice infected with the E. coli strain 11G5 displayed a marked increase in the number of visible colonic polyps compared with controls.\nCONCLUSION: These findings support that pathogenic E. coli could be a cofactor in pathogenesis of colorectal cancer.","DOI":"10.1158/1078-0432.CCR-13-1343","ISSN":"1078-0432","note":"PMID: 24334760","journalAbbreviation":"Clin. Cancer Res.","language":"eng","author":[{"family":"Bonnet","given":"Mathilde"},{"family":"Buc","given":"Emmanuel"},{"family":"Sauvanet","given":"Pierre"},{"family":"Darcha","given":"Claude"},{"family":"Dubois","given":"Damien"},{"family":"Pereira","given":"Bruno"},{"family":"Déchelotte","given":"Pierre"},{"family":"Bonnet","given":"Richard"},{"family":"Pezet","given":"Denis"},{"family":"Darfeuille-Michaud","given":"Arlette"}],"issued":{"date-parts":[["2014",2,15]]}}},{"id":"D1GMNV0O/dsHJXe4Q","uris":["http://zotero.org/users/4804376/items/CMMHZTNP"],"uri":["http://zotero.org/users/4804376/items/CMMHZTNP"],"itemData":{"id":71,"type":"article-journal","title":"Cancer-associated fecal microbial markers in colorectal cancer detection: Fecal microbial markers in colorectal cancer detection","container-title":"International Journal of Cancer","page":"2528-2536","volume":"141","issue":"12","source":"CrossRef","DOI":"10.1002/ijc.31011","ISSN":"00207136","shortTitle":"Cancer-associated fecal microbial markers in colorectal cancer detection","language":"en","author":[{"family":"Eklöf","given":"Vincy"},{"family":"Löfgren-Burström","given":"Anna"},{"family":"Zingmark","given":"Carl"},{"family":"Edin","given":"Sofia"},{"family":"Larsson","given":"Pär"},{"family":"Karling","given":"Pontus"},{"family":"Alexeyev","given":"Oleg"},{"family":"Rutegård","given":"Jörgen"},{"family":"Wikberg","given":"Maria L."},{"family":"Palmqvist","given":"Richard"}],"issued":{"date-parts":[["2017",12,15]]}}},{"id":"D1GMNV0O/Q3SNd5Ah","uris":["http://zotero.org/users/4804376/items/MI7JEJIR"],"uri":["http://zotero.org/users/4804376/items/MI7JEJIR"],"itemData":{"id":682,"type":"article-journal","title":"Intestinal inflammation targets cancer-inducing activity of the microbiota","container-title":"Science (New York, N.Y.)","page":"120-123","volume":"338","issue":"6103","source":"PubMed","abstract":"Inflammation alters host physiology to promote cancer, as seen in colitis-associated colorectal cancer (CRC). Here, we identify the intestinal microbiota as a target of inflammation that affects the progression of CRC. High-throughput sequencing revealed that inflammation modifies gut microbial composition in colitis-susceptible interleukin-10-deficient (Il10(-/-)) mice. Monocolonization with the commensal Escherichia coli NC101 promoted invasive carcinoma in azoxymethane (AOM)-treated Il10(-/-) mice. Deletion of the polyketide synthase (pks) genotoxic island from E. coli NC101 decreased tumor multiplicity and invasion in AOM/Il10(-/-) mice, without altering intestinal inflammation. Mucosa-associated pks(+) E. coli were found in a significantly high percentage of inflammatory bowel disease and CRC patients. This suggests that in mice, colitis can promote tumorigenesis by altering microbial composition and inducing the expansion of microorganisms with genotoxic capabilities.","DOI":"10.1126/science.1224820","ISSN":"1095-9203","note":"PMID: 22903521\nPMCID: PMC3645302","journalAbbreviation":"Science","language":"eng","author":[{"family":"Arthur","given":"Janelle C."},{"family":"Perez-Chanona","given":"Ernesto"},{"family":"Mühlbauer","given":"Marcus"},{"family":"Tomkovich","given":"Sarah"},{"family":"Uronis","given":"Joshua M."},{"family":"Fan","given":"Ting-Jia"},{"family":"Campbell","given":"Barry J."},{"family":"Abujamel","given":"Turki"},{"family":"Dogan","given":"Belgin"},{"family":"Rogers","given":"Arlin B."},{"family":"Rhodes","given":"Jonathan M."},{"family":"Stintzi","given":"Alain"},{"family":"Simpson","given":"Kenneth W."},{"family":"Hansen","given":"Jonathan J."},{"family":"Keku","given":"Temitope O."},{"family":"Fodor","given":"Anthony A."},{"family":"Jobin","given":"Christian"}],"issued":{"date-parts":[["2012",10,5]]}}},{"id":"D1GMNV0O/JCzokSLc","uris":["http://zotero.org/users/4804376/items/MHWAB2NS"],"uri":["http://zotero.org/users/4804376/items/MHWAB2NS"],"itemData":{"id":684,"type":"article-journal","title":"Colonic mucosa-associated diffusely adherent afaC+ Escherichia coli expressing lpfA and pks are increased in inflammatory bowel disease and colon cancer","container-title":"Gut","page":"761-770","volume":"63","issue":"5","source":"PubMed","abstract":"OBJECTIVE: Colonic mucosa-associated Escherichia coli are increased in Crohn's disease (CD) and colorectal cancer (CRC). They variously haemagglutinate, invade epithelial cell lines, replicate within macrophages, translocate across M (microfold) cells and damage DNA. We investigated genes responsible for these effects and their co-association in colonic mucosal isolates.\nDESIGN: A fosmid library yielding 968 clones was prepared in E coli EPI300-T1 using DNA from a haemagglutinating CRC isolate, and resulting haemagglutinating clones were 454-pyrosequenced. PCR screening was performed on 281 colonic E coli isolates from inflammatory bowel disease (IBD) (35 patients), CRC (21) and controls (24; sporadic polyps or irritable bowel syndrome).\nRESULTS: 454-Pyrosequencing of fosmids from the haemagglutinating clones (n=8) identified the afimbrial adhesin afa-1 operon. Transfection of afa-1 into E coli K-12 predictably conferred diffuse adherence plus invasion of HEp-2 and I-407 epithelial cells, and upregulation of vascular endothelial growth factor. E coli expressing afaC were common in CRC (14/21, p=0.0009) and CD (9/14, p=0.005) but not ulcerative colitis (UC; 8/21) compared with controls (4/24). E coli expressing both afaC and lpfA (relevant to M-cell translocation) were common in CD (8/14, p=0.0019) and CRC (14/21, p=0.0001), but not UC (6/21) compared with controls (2/24). E coli expressing both afaC and pks (genotoxic) were common in CRC (11/21, p=0.0015) and UC (8/21, p=0.022), but not CD (4/14) compared with controls (2/24). All isolates expressed dsbA and htrA relevant to intra-macrophage replication, and 242/281 expressed fimH encoding type-1 fimbrial adhesin.\nCONCLUSIONS: IBD and CRC commonly have colonic mucosal E coli that express genes that confer properties relevant to pathogenesis including M-cell translocation, angiogenesis and genotoxicity.","DOI":"10.1136/gutjnl-2013-304739","ISSN":"1468-3288","note":"PMID: 23846483\nPMCID: PMC3995253","journalAbbreviation":"Gut","language":"eng","author":[{"family":"Prorok-Hamon","given":"Maelle"},{"family":"Friswell","given":"Melissa K."},{"family":"Alswied","given":"Abdullah"},{"family":"Roberts","given":"Carol L."},{"family":"Song","given":"Fei"},{"family":"Flanagan","given":"Paul K."},{"family":"Knight","given":"Paul"},{"family":"Codling","given":"Caroline"},{"family":"Marchesi","given":"Julian R."},{"family":"Winstanley","given":"Craig"},{"family":"Hall","given":"Neil"},{"family":"Rhodes","given":"Jonathan M."},{"family":"Campbell","given":"Barry J."}],"issued":{"date-parts":[["2014",5]]}}}],"schema":"https://github.com/citation-style-language/schema/raw/master/csl-citation.json"} </w:instrText>
      </w:r>
      <w:r w:rsidR="00724E27"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[145,146,151,152]</w:t>
      </w:r>
      <w:r w:rsidR="00724E27" w:rsidRPr="00DB7074">
        <w:rPr>
          <w:rFonts w:ascii="Book Antiqua" w:hAnsi="Book Antiqua" w:cs="Times New Roman"/>
          <w:sz w:val="24"/>
          <w:szCs w:val="24"/>
        </w:rPr>
        <w:fldChar w:fldCharType="end"/>
      </w:r>
      <w:r w:rsidR="00D61C6A" w:rsidRPr="00DB7074">
        <w:rPr>
          <w:rFonts w:ascii="Book Antiqua" w:hAnsi="Book Antiqua" w:cs="Times New Roman"/>
          <w:sz w:val="24"/>
          <w:szCs w:val="24"/>
        </w:rPr>
        <w:t xml:space="preserve">. </w:t>
      </w:r>
      <w:r w:rsidR="0074039B" w:rsidRPr="00DB7074">
        <w:rPr>
          <w:rFonts w:ascii="Book Antiqua" w:hAnsi="Book Antiqua" w:cs="Times New Roman"/>
          <w:sz w:val="24"/>
          <w:szCs w:val="24"/>
        </w:rPr>
        <w:t>In particular</w:t>
      </w:r>
      <w:r w:rsidR="00D432F8" w:rsidRPr="00DB7074">
        <w:rPr>
          <w:rFonts w:ascii="Book Antiqua" w:hAnsi="Book Antiqua" w:cs="Times New Roman"/>
          <w:sz w:val="24"/>
          <w:szCs w:val="24"/>
        </w:rPr>
        <w:t xml:space="preserve">, </w:t>
      </w:r>
      <w:r w:rsidR="00EA4B5E" w:rsidRPr="00DB7074">
        <w:rPr>
          <w:rFonts w:ascii="Book Antiqua" w:hAnsi="Book Antiqua" w:cs="Times New Roman"/>
          <w:sz w:val="24"/>
          <w:szCs w:val="24"/>
        </w:rPr>
        <w:t xml:space="preserve">the colibactin toxin, </w:t>
      </w:r>
      <w:r w:rsidR="0074039B" w:rsidRPr="00DB7074">
        <w:rPr>
          <w:rFonts w:ascii="Book Antiqua" w:hAnsi="Book Antiqua" w:cs="Times New Roman"/>
          <w:sz w:val="24"/>
          <w:szCs w:val="24"/>
        </w:rPr>
        <w:t xml:space="preserve">which is </w:t>
      </w:r>
      <w:r w:rsidR="00EA4B5E" w:rsidRPr="00DB7074">
        <w:rPr>
          <w:rFonts w:ascii="Book Antiqua" w:hAnsi="Book Antiqua" w:cs="Times New Roman"/>
          <w:sz w:val="24"/>
          <w:szCs w:val="24"/>
        </w:rPr>
        <w:t>synthe</w:t>
      </w:r>
      <w:r w:rsidR="00EA4439" w:rsidRPr="00DB7074">
        <w:rPr>
          <w:rFonts w:ascii="Book Antiqua" w:hAnsi="Book Antiqua" w:cs="Times New Roman"/>
          <w:sz w:val="24"/>
          <w:szCs w:val="24"/>
        </w:rPr>
        <w:t>s</w:t>
      </w:r>
      <w:r w:rsidR="00EA4B5E" w:rsidRPr="00DB7074">
        <w:rPr>
          <w:rFonts w:ascii="Book Antiqua" w:hAnsi="Book Antiqua" w:cs="Times New Roman"/>
          <w:sz w:val="24"/>
          <w:szCs w:val="24"/>
        </w:rPr>
        <w:t xml:space="preserve">ised from the </w:t>
      </w:r>
      <w:r w:rsidR="00EA4B5E" w:rsidRPr="00DB7074">
        <w:rPr>
          <w:rFonts w:ascii="Book Antiqua" w:hAnsi="Book Antiqua" w:cs="Times New Roman"/>
          <w:i/>
          <w:sz w:val="24"/>
          <w:szCs w:val="24"/>
        </w:rPr>
        <w:t>pks</w:t>
      </w:r>
      <w:r w:rsidR="00EA4B5E" w:rsidRPr="00DB7074">
        <w:rPr>
          <w:rFonts w:ascii="Book Antiqua" w:hAnsi="Book Antiqua" w:cs="Times New Roman"/>
          <w:sz w:val="24"/>
          <w:szCs w:val="24"/>
        </w:rPr>
        <w:t xml:space="preserve"> island, was preferentially detected in strains isolated from CRC patients</w:t>
      </w:r>
      <w:r w:rsidR="00862F07"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{"citationID":"hpxy024N","properties":{"formattedCitation":"\\super [145,146,152]\\nosupersub{}","plainCitation":"[145,146,152]","noteIndex":0},"citationItems":[{"id":"D1GMNV0O/ELvcAZlq","uris":["http://zotero.org/users/4804376/items/42YNQH53"],"uri":["http://zotero.org/users/4804376/items/42YNQH53"],"itemData":{"id":361,"type":"article-journal","title":"Colonization of the human gut by E. coli and colorectal cancer risk","container-title":"Clinical Cancer Research: An Official Journal of the American Association for Cancer Research","page":"859-867","volume":"20","issue":"4","source":"PubMed","abstract":"PURPOSE: The intestinal microbiota is potentially involved in the development of colorectal carcinoma via various mechanisms. Escherichia coli are commensal bacteria of the human gut microbiota, but some pathogenic strains have acquired the ability to induce chronic inflammation and/or produce toxins, such as cyclomodulin, which could participate in the carcinogenesis process. Here, we analyzed the E. coli population associated with mucosa of patients with colon cancer in relation to clinicopathologic characteristics. We assessed carcinogenic properties of a colon cancer-associated E. coli strain in multiple intestinal neoplasia (Min) mice.\nEXPERIMENTAL DESIGN: Mucosa-associated or internalized E. coli were quantified and characterized from tumors and mucosa of patients with colon cancer and the healthy mucosa of diverticulosis controls. Min mice were inoculated with a colon cancer-associated E. coli strain (11G5). The number of colonic polyps was evaluated at 7 weeks after infection.\nRESULTS: An increased level of mucosa-associated and internalized E. coli was observed in the tumors compared with normal tissue. A relationship between poor prognostic factors for colon cancer (tumor-node-metastasis stage) and colonization of mucosa by E. coli was observed. Pathogenic cyclomodulin-positive E. coli strains were more prevalent on mucosa of patients with stages III/IV than those with stage I colon cancer. Proliferative index and E. coli colonization level of the mucosa distant from the tumor significantly correlated. Min mice infected with the E. coli strain 11G5 displayed a marked increase in the number of visible colonic polyps compared with controls.\nCONCLUSION: These findings support that pathogenic E. coli could be a cofactor in pathogenesis of colorectal cancer.","DOI":"10.1158/1078-0432.CCR-13-1343","ISSN":"1078-0432","note":"PMID: 24334760","journalAbbreviation":"Clin. Cancer Res.","language":"eng","author":[{"family":"Bonnet","given":"Mathilde"},{"family":"Buc","given":"Emmanuel"},{"family":"Sauvanet","given":"Pierre"},{"family":"Darcha","given":"Claude"},{"family":"Dubois","given":"Damien"},{"family":"Pereira","given":"Bruno"},{"family":"Déchelotte","given":"Pierre"},{"family":"Bonnet","given":"Richard"},{"family":"Pezet","given":"Denis"},{"family":"Darfeuille-Michaud","given":"Arlette"}],"issued":{"date-parts":[["2014",2,15]]}}},{"id":"D1GMNV0O/Q3SNd5Ah","uris":["http://zotero.org/users/4804376/items/MI7JEJIR"],"uri":["http://zotero.org/users/4804376/items/MI7JEJIR"],"itemData":{"id":682,"type":"article-journal","title":"Intestinal inflammation targets cancer-inducing activity of the microbiota","container-title":"Science (New York, N.Y.)","page":"120-123","volume":"338","issue":"6103","source":"PubMed","abstract":"Inflammation alters host physiology to promote cancer, as seen in colitis-associated colorectal cancer (CRC). Here, we identify the intestinal microbiota as a target of inflammation that affects the progression of CRC. High-throughput sequencing revealed that inflammation modifies gut microbial composition in colitis-susceptible interleukin-10-deficient (Il10(-/-)) mice. Monocolonization with the commensal Escherichia coli NC101 promoted invasive carcinoma in azoxymethane (AOM)-treated Il10(-/-) mice. Deletion of the polyketide synthase (pks) genotoxic island from E. coli NC101 decreased tumor multiplicity and invasion in AOM/Il10(-/-) mice, without altering intestinal inflammation. Mucosa-associated pks(+) E. coli were found in a significantly high percentage of inflammatory bowel disease and CRC patients. This suggests that in mice, colitis can promote tumorigenesis by altering microbial composition and inducing the expansion of microorganisms with genotoxic capabilities.","DOI":"10.1126/science.1224820","ISSN":"1095-9203","note":"PMID: 22903521\nPMCID: PMC3645302","journalAbbreviation":"Science","language":"eng","author":[{"family":"Arthur","given":"Janelle C."},{"family":"Perez-Chanona","given":"Ernesto"},{"family":"Mühlbauer","given":"Marcus"},{"family":"Tomkovich","given":"Sarah"},{"family":"Uronis","given":"Joshua M."},{"family":"Fan","given":"Ting-Jia"},{"family":"Campbell","given":"Barry J."},{"family":"Abujamel","given":"Turki"},{"family":"Dogan","given":"Belgin"},{"family":"Rogers","given":"Arlin B."},{"family":"Rhodes","given":"Jonathan M."},{"family":"Stintzi","given":"Alain"},{"family":"Simpson","given":"Kenneth W."},{"family":"Hansen","given":"Jonathan J."},{"family":"Keku","given":"Temitope O."},{"family":"Fodor","given":"Anthony A."},{"family":"Jobin","given":"Christian"}],"issued":{"date-parts":[["2012",10,5]]}}},{"id":"D1GMNV0O/JCzokSLc","uris":["http://zotero.org/users/4804376/items/MHWAB2NS"],"uri":["http://zotero.org/users/4804376/items/MHWAB2NS"],"itemData":{"id":684,"type":"article-journal","title":"Colonic mucosa-associated diffusely adherent afaC+ Escherichia coli expressing lpfA and pks are increased in inflammatory bowel disease and colon cancer","container-title":"Gut","page":"761-770","volume":"63","issue":"5","source":"PubMed","abstract":"OBJECTIVE: Colonic mucosa-associated Escherichia coli are increased in Crohn's disease (CD) and colorectal cancer (CRC). They variously haemagglutinate, invade epithelial cell lines, replicate within macrophages, translocate across M (microfold) cells and damage DNA. We investigated genes responsible for these effects and their co-association in colonic mucosal isolates.\nDESIGN: A fosmid library yielding 968 clones was prepared in E coli EPI300-T1 using DNA from a haemagglutinating CRC isolate, and resulting haemagglutinating clones were 454-pyrosequenced. PCR screening was performed on 281 colonic E coli isolates from inflammatory bowel disease (IBD) (35 patients), CRC (21) and controls (24; sporadic polyps or irritable bowel syndrome).\nRESULTS: 454-Pyrosequencing of fosmids from the haemagglutinating clones (n=8) identified the afimbrial adhesin afa-1 operon. Transfection of afa-1 into E coli K-12 predictably conferred diffuse adherence plus invasion of HEp-2 and I-407 epithelial cells, and upregulation of vascular endothelial growth factor. E coli expressing afaC were common in CRC (14/21, p=0.0009) and CD (9/14, p=0.005) but not ulcerative colitis (UC; 8/21) compared with controls (4/24). E coli expressing both afaC and lpfA (relevant to M-cell translocation) were common in CD (8/14, p=0.0019) and CRC (14/21, p=0.0001), but not UC (6/21) compared with controls (2/24). E coli expressing both afaC and pks (genotoxic) were common in CRC (11/21, p=0.0015) and UC (8/21, p=0.022), but not CD (4/14) compared with controls (2/24). All isolates expressed dsbA and htrA relevant to intra-macrophage replication, and 242/281 expressed fimH encoding type-1 fimbrial adhesin.\nCONCLUSIONS: IBD and CRC commonly have colonic mucosal E coli that express genes that confer properties relevant to pathogenesis including M-cell translocation, angiogenesis and genotoxicity.","DOI":"10.1136/gutjnl-2013-304739","ISSN":"1468-3288","note":"PMID: 23846483\nPMCID: PMC3995253","journalAbbreviation":"Gut","language":"eng","author":[{"family":"Prorok-Hamon","given":"Maelle"},{"family":"Friswell","given":"Melissa K."},{"family":"Alswied","given":"Abdullah"},{"family":"Roberts","given":"Carol L."},{"family":"Song","given":"Fei"},{"family":"Flanagan","given":"Paul K."},{"family":"Knight","given":"Paul"},{"family":"Codling","given":"Caroline"},{"family":"Marchesi","given":"Julian R."},{"family":"Winstanley","given":"Craig"},{"family":"Hall","given":"Neil"},{"family":"Rhodes","given":"Jonathan M."},{"family":"Campbell","given":"Barry J."}],"issued":{"date-parts":[["2014",5]]}}}],"schema":"https://github.com/citation-style-language/schema/raw/master/csl-citation.json"} </w:instrText>
      </w:r>
      <w:r w:rsidR="00862F07"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[145,146,152]</w:t>
      </w:r>
      <w:r w:rsidR="00862F07" w:rsidRPr="00DB7074">
        <w:rPr>
          <w:rFonts w:ascii="Book Antiqua" w:hAnsi="Book Antiqua" w:cs="Times New Roman"/>
          <w:sz w:val="24"/>
          <w:szCs w:val="24"/>
        </w:rPr>
        <w:fldChar w:fldCharType="end"/>
      </w:r>
      <w:r w:rsidR="00AE79FA" w:rsidRPr="00DB7074">
        <w:rPr>
          <w:rFonts w:ascii="Book Antiqua" w:hAnsi="Book Antiqua" w:cs="Times New Roman"/>
          <w:sz w:val="24"/>
          <w:szCs w:val="24"/>
        </w:rPr>
        <w:t xml:space="preserve"> (Figure 1)</w:t>
      </w:r>
      <w:r w:rsidR="00D432F8" w:rsidRPr="00DB7074">
        <w:rPr>
          <w:rFonts w:ascii="Book Antiqua" w:hAnsi="Book Antiqua" w:cs="Times New Roman"/>
          <w:sz w:val="24"/>
          <w:szCs w:val="24"/>
        </w:rPr>
        <w:t xml:space="preserve">. </w:t>
      </w:r>
      <w:r w:rsidR="00A8293E" w:rsidRPr="00DB7074">
        <w:rPr>
          <w:rFonts w:ascii="Book Antiqua" w:hAnsi="Book Antiqua" w:cs="Times New Roman"/>
          <w:sz w:val="24"/>
          <w:szCs w:val="24"/>
        </w:rPr>
        <w:t xml:space="preserve">These toxin genes </w:t>
      </w:r>
      <w:r w:rsidR="00E278CD" w:rsidRPr="00DB7074">
        <w:rPr>
          <w:rFonts w:ascii="Book Antiqua" w:hAnsi="Book Antiqua" w:cs="Times New Roman"/>
          <w:sz w:val="24"/>
          <w:szCs w:val="24"/>
        </w:rPr>
        <w:t>could be</w:t>
      </w:r>
      <w:r w:rsidR="00A8293E" w:rsidRPr="00DB7074">
        <w:rPr>
          <w:rFonts w:ascii="Book Antiqua" w:hAnsi="Book Antiqua" w:cs="Times New Roman"/>
          <w:sz w:val="24"/>
          <w:szCs w:val="24"/>
        </w:rPr>
        <w:t xml:space="preserve"> target</w:t>
      </w:r>
      <w:r w:rsidR="00EA4439" w:rsidRPr="00DB7074">
        <w:rPr>
          <w:rFonts w:ascii="Book Antiqua" w:hAnsi="Book Antiqua" w:cs="Times New Roman"/>
          <w:sz w:val="24"/>
          <w:szCs w:val="24"/>
        </w:rPr>
        <w:t>s</w:t>
      </w:r>
      <w:r w:rsidR="00A8293E" w:rsidRPr="00DB7074">
        <w:rPr>
          <w:rFonts w:ascii="Book Antiqua" w:hAnsi="Book Antiqua" w:cs="Times New Roman"/>
          <w:sz w:val="24"/>
          <w:szCs w:val="24"/>
        </w:rPr>
        <w:t xml:space="preserve"> of interest </w:t>
      </w:r>
      <w:r w:rsidR="00EA4439" w:rsidRPr="00DB7074">
        <w:rPr>
          <w:rFonts w:ascii="Book Antiqua" w:hAnsi="Book Antiqua" w:cs="Times New Roman"/>
          <w:sz w:val="24"/>
          <w:szCs w:val="24"/>
        </w:rPr>
        <w:t>for</w:t>
      </w:r>
      <w:r w:rsidR="00E278CD" w:rsidRPr="00DB7074">
        <w:rPr>
          <w:rFonts w:ascii="Book Antiqua" w:hAnsi="Book Antiqua" w:cs="Times New Roman"/>
          <w:sz w:val="24"/>
          <w:szCs w:val="24"/>
        </w:rPr>
        <w:t xml:space="preserve"> develop</w:t>
      </w:r>
      <w:r w:rsidR="00EA4439" w:rsidRPr="00DB7074">
        <w:rPr>
          <w:rFonts w:ascii="Book Antiqua" w:hAnsi="Book Antiqua" w:cs="Times New Roman"/>
          <w:sz w:val="24"/>
          <w:szCs w:val="24"/>
        </w:rPr>
        <w:t>ing</w:t>
      </w:r>
      <w:r w:rsidR="00E278CD" w:rsidRPr="00DB7074">
        <w:rPr>
          <w:rFonts w:ascii="Book Antiqua" w:hAnsi="Book Antiqua" w:cs="Times New Roman"/>
          <w:sz w:val="24"/>
          <w:szCs w:val="24"/>
        </w:rPr>
        <w:t xml:space="preserve"> new prognostic or diagnostic factors.</w:t>
      </w:r>
    </w:p>
    <w:p w14:paraId="428623B6" w14:textId="2C353E37" w:rsidR="005E5C97" w:rsidRPr="00DB7074" w:rsidRDefault="00A8293E" w:rsidP="009A5C56">
      <w:pPr>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DB7074">
        <w:rPr>
          <w:rFonts w:ascii="Book Antiqua" w:hAnsi="Book Antiqua" w:cs="Times New Roman"/>
          <w:sz w:val="24"/>
          <w:szCs w:val="24"/>
        </w:rPr>
        <w:t xml:space="preserve">The majority of published </w:t>
      </w:r>
      <w:r w:rsidR="00E278CD" w:rsidRPr="00DB7074">
        <w:rPr>
          <w:rFonts w:ascii="Book Antiqua" w:hAnsi="Book Antiqua" w:cs="Times New Roman"/>
          <w:sz w:val="24"/>
          <w:szCs w:val="24"/>
        </w:rPr>
        <w:t>data</w:t>
      </w:r>
      <w:r w:rsidRPr="00DB7074">
        <w:rPr>
          <w:rFonts w:ascii="Book Antiqua" w:hAnsi="Book Antiqua" w:cs="Times New Roman"/>
          <w:sz w:val="24"/>
          <w:szCs w:val="24"/>
        </w:rPr>
        <w:t xml:space="preserve"> </w:t>
      </w:r>
      <w:r w:rsidR="00E278CD" w:rsidRPr="00DB7074">
        <w:rPr>
          <w:rFonts w:ascii="Book Antiqua" w:hAnsi="Book Antiqua" w:cs="Times New Roman"/>
          <w:sz w:val="24"/>
          <w:szCs w:val="24"/>
        </w:rPr>
        <w:t xml:space="preserve">were obtained </w:t>
      </w:r>
      <w:r w:rsidR="00EA4439" w:rsidRPr="00DB7074">
        <w:rPr>
          <w:rFonts w:ascii="Book Antiqua" w:hAnsi="Book Antiqua" w:cs="Times New Roman"/>
          <w:sz w:val="24"/>
          <w:szCs w:val="24"/>
        </w:rPr>
        <w:t>in the</w:t>
      </w:r>
      <w:r w:rsidR="00E278CD" w:rsidRPr="00DB7074">
        <w:rPr>
          <w:rFonts w:ascii="Book Antiqua" w:hAnsi="Book Antiqua" w:cs="Times New Roman"/>
          <w:sz w:val="24"/>
          <w:szCs w:val="24"/>
        </w:rPr>
        <w:t xml:space="preserve"> </w:t>
      </w:r>
      <w:r w:rsidRPr="00DB7074">
        <w:rPr>
          <w:rFonts w:ascii="Book Antiqua" w:hAnsi="Book Antiqua" w:cs="Times New Roman"/>
          <w:sz w:val="24"/>
          <w:szCs w:val="24"/>
        </w:rPr>
        <w:t xml:space="preserve">adenocarcinoma stage. </w:t>
      </w:r>
      <w:r w:rsidR="00143E59" w:rsidRPr="00DB7074">
        <w:rPr>
          <w:rFonts w:ascii="Book Antiqua" w:hAnsi="Book Antiqua" w:cs="Times New Roman"/>
          <w:sz w:val="24"/>
          <w:szCs w:val="24"/>
        </w:rPr>
        <w:t>However, t</w:t>
      </w:r>
      <w:r w:rsidR="005E5C97" w:rsidRPr="00DB7074">
        <w:rPr>
          <w:rFonts w:ascii="Book Antiqua" w:hAnsi="Book Antiqua" w:cs="Times New Roman"/>
          <w:sz w:val="24"/>
          <w:szCs w:val="24"/>
        </w:rPr>
        <w:t xml:space="preserve">he intestinal mucosa </w:t>
      </w:r>
      <w:r w:rsidR="00EA4439" w:rsidRPr="00DB7074">
        <w:rPr>
          <w:rFonts w:ascii="Book Antiqua" w:hAnsi="Book Antiqua" w:cs="Times New Roman"/>
          <w:sz w:val="24"/>
          <w:szCs w:val="24"/>
        </w:rPr>
        <w:t xml:space="preserve">might </w:t>
      </w:r>
      <w:r w:rsidR="005E5C97" w:rsidRPr="00DB7074">
        <w:rPr>
          <w:rFonts w:ascii="Book Antiqua" w:hAnsi="Book Antiqua" w:cs="Times New Roman"/>
          <w:sz w:val="24"/>
          <w:szCs w:val="24"/>
        </w:rPr>
        <w:t xml:space="preserve">present different ecological niches according to the stage of colorectal </w:t>
      </w:r>
      <w:r w:rsidR="00507882" w:rsidRPr="00DB7074">
        <w:rPr>
          <w:rFonts w:ascii="Book Antiqua" w:hAnsi="Book Antiqua" w:cs="Times New Roman"/>
          <w:sz w:val="24"/>
          <w:szCs w:val="24"/>
        </w:rPr>
        <w:t>tumour</w:t>
      </w:r>
      <w:r w:rsidR="005E5C97" w:rsidRPr="00DB7074">
        <w:rPr>
          <w:rFonts w:ascii="Book Antiqua" w:hAnsi="Book Antiqua" w:cs="Times New Roman"/>
          <w:sz w:val="24"/>
          <w:szCs w:val="24"/>
        </w:rPr>
        <w:t xml:space="preserve"> progression. </w:t>
      </w:r>
      <w:r w:rsidRPr="00DB7074">
        <w:rPr>
          <w:rFonts w:ascii="Book Antiqua" w:hAnsi="Book Antiqua" w:cs="Times New Roman"/>
          <w:sz w:val="24"/>
          <w:szCs w:val="24"/>
        </w:rPr>
        <w:t>D</w:t>
      </w:r>
      <w:r w:rsidR="005E5C97" w:rsidRPr="00DB7074">
        <w:rPr>
          <w:rFonts w:ascii="Book Antiqua" w:hAnsi="Book Antiqua" w:cs="Times New Roman"/>
          <w:sz w:val="24"/>
          <w:szCs w:val="24"/>
        </w:rPr>
        <w:t xml:space="preserve">ue to difficulties </w:t>
      </w:r>
      <w:r w:rsidR="00EA4439" w:rsidRPr="00DB7074">
        <w:rPr>
          <w:rFonts w:ascii="Book Antiqua" w:hAnsi="Book Antiqua" w:cs="Times New Roman"/>
          <w:sz w:val="24"/>
          <w:szCs w:val="24"/>
        </w:rPr>
        <w:t>in</w:t>
      </w:r>
      <w:r w:rsidR="005E5C97" w:rsidRPr="00DB7074">
        <w:rPr>
          <w:rFonts w:ascii="Book Antiqua" w:hAnsi="Book Antiqua" w:cs="Times New Roman"/>
          <w:sz w:val="24"/>
          <w:szCs w:val="24"/>
        </w:rPr>
        <w:t xml:space="preserve"> sampling patients </w:t>
      </w:r>
      <w:r w:rsidR="00EA4439" w:rsidRPr="00DB7074">
        <w:rPr>
          <w:rFonts w:ascii="Book Antiqua" w:hAnsi="Book Antiqua" w:cs="Times New Roman"/>
          <w:sz w:val="24"/>
          <w:szCs w:val="24"/>
        </w:rPr>
        <w:t>during the</w:t>
      </w:r>
      <w:r w:rsidR="005E5C97" w:rsidRPr="00DB7074">
        <w:rPr>
          <w:rFonts w:ascii="Book Antiqua" w:hAnsi="Book Antiqua" w:cs="Times New Roman"/>
          <w:sz w:val="24"/>
          <w:szCs w:val="24"/>
        </w:rPr>
        <w:t xml:space="preserve"> early stage</w:t>
      </w:r>
      <w:r w:rsidR="00EA4439" w:rsidRPr="00DB7074">
        <w:rPr>
          <w:rFonts w:ascii="Book Antiqua" w:hAnsi="Book Antiqua" w:cs="Times New Roman"/>
          <w:sz w:val="24"/>
          <w:szCs w:val="24"/>
        </w:rPr>
        <w:t>s</w:t>
      </w:r>
      <w:r w:rsidR="005E5C97" w:rsidRPr="00DB7074">
        <w:rPr>
          <w:rFonts w:ascii="Book Antiqua" w:hAnsi="Book Antiqua" w:cs="Times New Roman"/>
          <w:sz w:val="24"/>
          <w:szCs w:val="24"/>
        </w:rPr>
        <w:t xml:space="preserve"> of the disease, studies focus</w:t>
      </w:r>
      <w:r w:rsidR="00EA4439" w:rsidRPr="00DB7074">
        <w:rPr>
          <w:rFonts w:ascii="Book Antiqua" w:hAnsi="Book Antiqua" w:cs="Times New Roman"/>
          <w:sz w:val="24"/>
          <w:szCs w:val="24"/>
        </w:rPr>
        <w:t>ing</w:t>
      </w:r>
      <w:r w:rsidR="005E5C97" w:rsidRPr="00DB7074">
        <w:rPr>
          <w:rFonts w:ascii="Book Antiqua" w:hAnsi="Book Antiqua" w:cs="Times New Roman"/>
          <w:sz w:val="24"/>
          <w:szCs w:val="24"/>
        </w:rPr>
        <w:t xml:space="preserve"> on the temporal evolution of </w:t>
      </w:r>
      <w:r w:rsidRPr="00DB7074">
        <w:rPr>
          <w:rFonts w:ascii="Book Antiqua" w:hAnsi="Book Antiqua" w:cs="Times New Roman"/>
          <w:sz w:val="24"/>
          <w:szCs w:val="24"/>
        </w:rPr>
        <w:t>microbiota dysbiosis</w:t>
      </w:r>
      <w:r w:rsidR="005E5C97" w:rsidRPr="00DB7074">
        <w:rPr>
          <w:rFonts w:ascii="Book Antiqua" w:hAnsi="Book Antiqua" w:cs="Times New Roman"/>
          <w:sz w:val="24"/>
          <w:szCs w:val="24"/>
        </w:rPr>
        <w:t xml:space="preserve"> </w:t>
      </w:r>
      <w:r w:rsidRPr="00DB7074">
        <w:rPr>
          <w:rFonts w:ascii="Book Antiqua" w:hAnsi="Book Antiqua" w:cs="Times New Roman"/>
          <w:sz w:val="24"/>
          <w:szCs w:val="24"/>
        </w:rPr>
        <w:t xml:space="preserve">during colorectal carcinogenesis </w:t>
      </w:r>
      <w:r w:rsidR="005E5C97" w:rsidRPr="00DB7074">
        <w:rPr>
          <w:rFonts w:ascii="Book Antiqua" w:hAnsi="Book Antiqua" w:cs="Times New Roman"/>
          <w:sz w:val="24"/>
          <w:szCs w:val="24"/>
        </w:rPr>
        <w:t>are scarce. Nevertheless, metacommunities can be defined from the bacterial community configu</w:t>
      </w:r>
      <w:r w:rsidR="009A5C56">
        <w:rPr>
          <w:rFonts w:ascii="Book Antiqua" w:hAnsi="Book Antiqua" w:cs="Times New Roman"/>
          <w:sz w:val="24"/>
          <w:szCs w:val="24"/>
        </w:rPr>
        <w:t xml:space="preserve">rations by Nakatsu </w:t>
      </w:r>
      <w:r w:rsidR="009A5C56" w:rsidRPr="009A5C56">
        <w:rPr>
          <w:rFonts w:ascii="Book Antiqua" w:hAnsi="Book Antiqua" w:cs="Times New Roman"/>
          <w:i/>
          <w:sz w:val="24"/>
          <w:szCs w:val="24"/>
        </w:rPr>
        <w:t>et al</w:t>
      </w:r>
      <w:r w:rsidR="00862F07"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{"citationID":"a1uacmckjns","properties":{"formattedCitation":"\\super [153]\\nosupersub{}","plainCitation":"[153]","noteIndex":0},"citationItems":[{"id":"D1GMNV0O/dE2QR0Gv","uris":["http://zotero.org/users/4804376/items/V899AJPZ"],"uri":["http://zotero.org/users/4804376/items/V899AJPZ"],"itemData":{"id":73,"type":"article-journal","title":"Gut mucosal microbiome across stages of colorectal carcinogenesis","container-title":"Nature Communications","volume":"6","issue":"1","source":"CrossRef","URL":"http://www.nature.com/articles/ncomms9727","DOI":"10.1038/ncomms9727","ISSN":"2041-1723","language":"en","author":[{"family":"Nakatsu","given":"Geicho"},{"family":"Li","given":"Xiangchun"},{"family":"Zhou","given":"Haokui"},{"family":"Sheng","given":"Jianqiu"},{"family":"Wong","given":"Sunny Hei"},{"family":"Wu","given":"William Ka Kai"},{"family":"Ng","given":"Siew Chien"},{"family":"Tsoi","given":"Ho"},{"family":"Dong","given":"Yujuan"},{"family":"Zhang","given":"Ning"},{"family":"He","given":"Yuqi"},{"family":"Kang","given":"Qian"},{"family":"Cao","given":"Lei"},{"family":"Wang","given":"Kunning"},{"family":"Zhang","given":"Jingwan"},{"family":"Liang","given":"Qiaoyi"},{"family":"Yu","given":"Jun"},{"family":"Sung","given":"Joseph J. Y."}],"issued":{"date-parts":[["2015",12]]},"accessed":{"date-parts":[["2018",3,19]]}}}],"schema":"https://github.com/citation-style-language/schema/raw/master/csl-citation.json"} </w:instrText>
      </w:r>
      <w:r w:rsidR="00862F07"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[153]</w:t>
      </w:r>
      <w:r w:rsidR="00862F07" w:rsidRPr="00DB7074">
        <w:rPr>
          <w:rFonts w:ascii="Book Antiqua" w:hAnsi="Book Antiqua" w:cs="Times New Roman"/>
          <w:sz w:val="24"/>
          <w:szCs w:val="24"/>
        </w:rPr>
        <w:fldChar w:fldCharType="end"/>
      </w:r>
      <w:r w:rsidR="005E5C97" w:rsidRPr="00DB7074">
        <w:rPr>
          <w:rFonts w:ascii="Book Antiqua" w:hAnsi="Book Antiqua" w:cs="Times New Roman"/>
          <w:sz w:val="24"/>
          <w:szCs w:val="24"/>
        </w:rPr>
        <w:t>. In early stage</w:t>
      </w:r>
      <w:r w:rsidR="00EA4439" w:rsidRPr="00DB7074">
        <w:rPr>
          <w:rFonts w:ascii="Book Antiqua" w:hAnsi="Book Antiqua" w:cs="Times New Roman"/>
          <w:sz w:val="24"/>
          <w:szCs w:val="24"/>
        </w:rPr>
        <w:t>s</w:t>
      </w:r>
      <w:r w:rsidR="005E5C97" w:rsidRPr="00DB7074">
        <w:rPr>
          <w:rFonts w:ascii="Book Antiqua" w:hAnsi="Book Antiqua" w:cs="Times New Roman"/>
          <w:sz w:val="24"/>
          <w:szCs w:val="24"/>
        </w:rPr>
        <w:t xml:space="preserve"> of CRC, bacteria belonging to </w:t>
      </w:r>
      <w:r w:rsidR="005E5C97" w:rsidRPr="00DB7074">
        <w:rPr>
          <w:rFonts w:ascii="Book Antiqua" w:hAnsi="Book Antiqua" w:cs="Times New Roman"/>
          <w:i/>
          <w:sz w:val="24"/>
          <w:szCs w:val="24"/>
        </w:rPr>
        <w:t>Fusobacterium</w:t>
      </w:r>
      <w:r w:rsidR="005E5C97" w:rsidRPr="00DB7074">
        <w:rPr>
          <w:rFonts w:ascii="Book Antiqua" w:hAnsi="Book Antiqua" w:cs="Times New Roman"/>
          <w:sz w:val="24"/>
          <w:szCs w:val="24"/>
        </w:rPr>
        <w:t xml:space="preserve">, </w:t>
      </w:r>
      <w:r w:rsidR="005E5C97" w:rsidRPr="00DB7074">
        <w:rPr>
          <w:rFonts w:ascii="Book Antiqua" w:hAnsi="Book Antiqua" w:cs="Times New Roman"/>
          <w:i/>
          <w:sz w:val="24"/>
          <w:szCs w:val="24"/>
        </w:rPr>
        <w:t>Parvimonas</w:t>
      </w:r>
      <w:r w:rsidR="005E5C97" w:rsidRPr="00DB7074">
        <w:rPr>
          <w:rFonts w:ascii="Book Antiqua" w:hAnsi="Book Antiqua" w:cs="Times New Roman"/>
          <w:sz w:val="24"/>
          <w:szCs w:val="24"/>
        </w:rPr>
        <w:t xml:space="preserve">, </w:t>
      </w:r>
      <w:r w:rsidR="005E5C97" w:rsidRPr="00DB7074">
        <w:rPr>
          <w:rFonts w:ascii="Book Antiqua" w:hAnsi="Book Antiqua" w:cs="Times New Roman"/>
          <w:i/>
          <w:sz w:val="24"/>
          <w:szCs w:val="24"/>
        </w:rPr>
        <w:t>Gemella</w:t>
      </w:r>
      <w:r w:rsidR="005E5C97" w:rsidRPr="00DB7074">
        <w:rPr>
          <w:rFonts w:ascii="Book Antiqua" w:hAnsi="Book Antiqua" w:cs="Times New Roman"/>
          <w:sz w:val="24"/>
          <w:szCs w:val="24"/>
        </w:rPr>
        <w:t xml:space="preserve"> and </w:t>
      </w:r>
      <w:r w:rsidR="005E5C97" w:rsidRPr="00DB7074">
        <w:rPr>
          <w:rFonts w:ascii="Book Antiqua" w:hAnsi="Book Antiqua" w:cs="Times New Roman"/>
          <w:i/>
          <w:sz w:val="24"/>
          <w:szCs w:val="24"/>
        </w:rPr>
        <w:t>Leptotrichia</w:t>
      </w:r>
      <w:r w:rsidR="005E5C97" w:rsidRPr="00DB7074">
        <w:rPr>
          <w:rFonts w:ascii="Book Antiqua" w:hAnsi="Book Antiqua" w:cs="Times New Roman"/>
          <w:sz w:val="24"/>
          <w:szCs w:val="24"/>
        </w:rPr>
        <w:t xml:space="preserve"> </w:t>
      </w:r>
      <w:r w:rsidR="00EA4439" w:rsidRPr="00DB7074">
        <w:rPr>
          <w:rFonts w:ascii="Book Antiqua" w:hAnsi="Book Antiqua" w:cs="Times New Roman"/>
          <w:sz w:val="24"/>
          <w:szCs w:val="24"/>
        </w:rPr>
        <w:t xml:space="preserve">genera </w:t>
      </w:r>
      <w:r w:rsidR="005E5C97" w:rsidRPr="00DB7074">
        <w:rPr>
          <w:rFonts w:ascii="Book Antiqua" w:hAnsi="Book Antiqua" w:cs="Times New Roman"/>
          <w:sz w:val="24"/>
          <w:szCs w:val="24"/>
        </w:rPr>
        <w:t xml:space="preserve">were </w:t>
      </w:r>
      <w:r w:rsidR="00EA4439" w:rsidRPr="00DB7074">
        <w:rPr>
          <w:rFonts w:ascii="Book Antiqua" w:hAnsi="Book Antiqua" w:cs="Times New Roman"/>
          <w:sz w:val="24"/>
          <w:szCs w:val="24"/>
        </w:rPr>
        <w:t>more</w:t>
      </w:r>
      <w:r w:rsidR="005E5C97" w:rsidRPr="00DB7074">
        <w:rPr>
          <w:rFonts w:ascii="Book Antiqua" w:hAnsi="Book Antiqua" w:cs="Times New Roman"/>
          <w:sz w:val="24"/>
          <w:szCs w:val="24"/>
        </w:rPr>
        <w:t xml:space="preserve"> abundant</w:t>
      </w:r>
      <w:r w:rsidR="00862F07"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{"citationID":"a1v74i17lbq","properties":{"formattedCitation":"\\super [153]\\nosupersub{}","plainCitation":"[153]","noteIndex":0},"citationItems":[{"id":"D1GMNV0O/dE2QR0Gv","uris":["http://zotero.org/users/4804376/items/V899AJPZ"],"uri":["http://zotero.org/users/4804376/items/V899AJPZ"],"itemData":{"id":73,"type":"article-journal","title":"Gut mucosal microbiome across stages of colorectal carcinogenesis","container-title":"Nature Communications","volume":"6","issue":"1","source":"CrossRef","URL":"http://www.nature.com/articles/ncomms9727","DOI":"10.1038/ncomms9727","ISSN":"2041-1723","language":"en","author":[{"family":"Nakatsu","given":"Geicho"},{"family":"Li","given":"Xiangchun"},{"family":"Zhou","given":"Haokui"},{"family":"Sheng","given":"Jianqiu"},{"family":"Wong","given":"Sunny Hei"},{"family":"Wu","given":"William Ka Kai"},{"family":"Ng","given":"Siew Chien"},{"family":"Tsoi","given":"Ho"},{"family":"Dong","given":"Yujuan"},{"family":"Zhang","given":"Ning"},{"family":"He","given":"Yuqi"},{"family":"Kang","given":"Qian"},{"family":"Cao","given":"Lei"},{"family":"Wang","given":"Kunning"},{"family":"Zhang","given":"Jingwan"},{"family":"Liang","given":"Qiaoyi"},{"family":"Yu","given":"Jun"},{"family":"Sung","given":"Joseph J. Y."}],"issued":{"date-parts":[["2015",12]]},"accessed":{"date-parts":[["2018",3,19]]}}}],"schema":"https://github.com/citation-style-language/schema/raw/master/csl-citation.json"} </w:instrText>
      </w:r>
      <w:r w:rsidR="00862F07"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[153]</w:t>
      </w:r>
      <w:r w:rsidR="00862F07" w:rsidRPr="00DB7074">
        <w:rPr>
          <w:rFonts w:ascii="Book Antiqua" w:hAnsi="Book Antiqua" w:cs="Times New Roman"/>
          <w:sz w:val="24"/>
          <w:szCs w:val="24"/>
        </w:rPr>
        <w:fldChar w:fldCharType="end"/>
      </w:r>
      <w:r w:rsidR="00275C23" w:rsidRPr="00DB7074">
        <w:rPr>
          <w:rFonts w:ascii="Book Antiqua" w:hAnsi="Book Antiqua" w:cs="Times New Roman"/>
          <w:sz w:val="24"/>
          <w:szCs w:val="24"/>
        </w:rPr>
        <w:t xml:space="preserve">. </w:t>
      </w:r>
      <w:r w:rsidR="005E5C97" w:rsidRPr="00DB7074">
        <w:rPr>
          <w:rFonts w:ascii="Book Antiqua" w:hAnsi="Book Antiqua" w:cs="Times New Roman"/>
          <w:sz w:val="24"/>
          <w:szCs w:val="24"/>
        </w:rPr>
        <w:t xml:space="preserve">Moreover, the occurrence of </w:t>
      </w:r>
      <w:r w:rsidR="005E5C97" w:rsidRPr="00DB7074">
        <w:rPr>
          <w:rFonts w:ascii="Book Antiqua" w:hAnsi="Book Antiqua" w:cs="Times New Roman"/>
          <w:i/>
          <w:sz w:val="24"/>
          <w:szCs w:val="24"/>
        </w:rPr>
        <w:t>Escherichia coli, Pseudomonas veronii</w:t>
      </w:r>
      <w:r w:rsidR="005E5C97" w:rsidRPr="00DB7074">
        <w:rPr>
          <w:rFonts w:ascii="Book Antiqua" w:hAnsi="Book Antiqua" w:cs="Times New Roman"/>
          <w:sz w:val="24"/>
          <w:szCs w:val="24"/>
        </w:rPr>
        <w:t xml:space="preserve"> and </w:t>
      </w:r>
      <w:r w:rsidR="005E5C97" w:rsidRPr="00DB7074">
        <w:rPr>
          <w:rFonts w:ascii="Book Antiqua" w:hAnsi="Book Antiqua" w:cs="Times New Roman"/>
          <w:i/>
          <w:sz w:val="24"/>
          <w:szCs w:val="24"/>
        </w:rPr>
        <w:t>Lactococcus</w:t>
      </w:r>
      <w:r w:rsidR="005E5C97" w:rsidRPr="00DB7074">
        <w:rPr>
          <w:rFonts w:ascii="Book Antiqua" w:hAnsi="Book Antiqua" w:cs="Times New Roman"/>
          <w:sz w:val="24"/>
          <w:szCs w:val="24"/>
        </w:rPr>
        <w:t xml:space="preserve"> </w:t>
      </w:r>
      <w:r w:rsidR="00EA4439" w:rsidRPr="00DB7074">
        <w:rPr>
          <w:rFonts w:ascii="Book Antiqua" w:hAnsi="Book Antiqua" w:cs="Times New Roman"/>
          <w:sz w:val="24"/>
          <w:szCs w:val="24"/>
        </w:rPr>
        <w:t xml:space="preserve">were </w:t>
      </w:r>
      <w:r w:rsidR="005E5C97" w:rsidRPr="00DB7074">
        <w:rPr>
          <w:rFonts w:ascii="Book Antiqua" w:hAnsi="Book Antiqua" w:cs="Times New Roman"/>
          <w:sz w:val="24"/>
          <w:szCs w:val="24"/>
        </w:rPr>
        <w:t>specific to adenomatous lesions</w:t>
      </w:r>
      <w:r w:rsidR="00862F07"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{"citationID":"rh9KSs88","properties":{"formattedCitation":"\\super [135,153]\\nosupersub{}","plainCitation":"[135,153]","noteIndex":0},"citationItems":[{"id":"D1GMNV0O/dE2QR0Gv","uris":["http://zotero.org/users/4804376/items/V899AJPZ"],"uri":["http://zotero.org/users/4804376/items/V899AJPZ"],"itemData":{"id":73,"type":"article-journal","title":"Gut mucosal microbiome across stages of colorectal carcinogenesis","container-title":"Nature Communications","volume":"6","issue":"1","source":"CrossRef","URL":"http://www.nature.com/articles/ncomms9727","DOI":"10.1038/ncomms9727","ISSN":"2041-1723","language":"en","author":[{"family":"Nakatsu","given":"Geicho"},{"family":"Li","given":"Xiangchun"},{"family":"Zhou","given":"Haokui"},{"family":"Sheng","given":"Jianqiu"},{"family":"Wong","given":"Sunny Hei"},{"family":"Wu","given":"William Ka Kai"},{"family":"Ng","given":"Siew Chien"},{"family":"Tsoi","given":"Ho"},{"family":"Dong","given":"Yujuan"},{"family":"Zhang","given":"Ning"},{"family":"He","given":"Yuqi"},{"family":"Kang","given":"Qian"},{"family":"Cao","given":"Lei"},{"family":"Wang","given":"Kunning"},{"family":"Zhang","given":"Jingwan"},{"family":"Liang","given":"Qiaoyi"},{"family":"Yu","given":"Jun"},{"family":"Sung","given":"Joseph J. Y."}],"issued":{"date-parts":[["2015",12]]},"accessed":{"date-parts":[["2018",3,19]]}}},{"id":"D1GMNV0O/F6QUCHf2","uris":["http://zotero.org/users/4804376/items/VMGZVMII"],"uri":["http://zotero.org/users/4804376/items/VMGZVMII"],"itemData":{"id":335,"type":"article-journal","title":"Mucosal adherent bacterial dysbiosis in patients with colorectal adenomas","container-title":"Scientific Reports","page":"26337","volume":"6","source":"PubMed","abstract":"Recent reports have suggested that the gut microbiota is involved in the progression of colorectal cancer (CRC). The composition of gut microbiota in CRC precursors has not been adequately described. To characterize the structure of adherent microbiota in this disease, we conducted pyrosequencing-based analysis of 16S rRNA genes to determine the bacterial profile of normal colons (healthy controls) and colorectal adenomas (CRC precursors). Adenoma mucosal biopsy samples and adjacent normal colonic mucosa from 31 patients with adenomas and 20 healthy volunteers were profiled using the Illumina MiSeq platform. Principal coordinate analysis (PCoA) showed structural segregation between colorectal adenomatous tissue and control tissue. Alpha diversity estimations revealed higher microbiota diversity in samples from patients with adenomas. Taxonomic analysis illustrated that abundance of eight phyla (Firmicutes, Proteobacteria, Bacteroidetes, Actinobacteria, Chloroflexi, Cyanobacteria, Candidate-division TM7, and Tenericutes) was significantly different. In addition, Lactococcus and Pseudomonas were enriched in preneoplastic tissue, whereas Enterococcus, Bacillus, and Solibacillus were reduced. However, both PCoA and cluster tree analyses showed similar microbiota structure between adenomatous and adjacent non-adenoma tissues. These present findings provide preliminary experimental evidence supporting that colorectal preneoplastic lesion may be the most important factor leading to alterations in bacterial community composition.","DOI":"10.1038/srep26337","ISSN":"2045-2322","note":"PMID: 27194068\nPMCID: PMC4872055","journalAbbreviation":"Sci Rep","language":"eng","author":[{"family":"Lu","given":"Yingying"},{"family":"Chen","given":"Jing"},{"family":"Zheng","given":"Junyuan"},{"family":"Hu","given":"Guoyong"},{"family":"Wang","given":"Jingjing"},{"family":"Huang","given":"Chunlan"},{"family":"Lou","given":"Lihong"},{"family":"Wang","given":"Xingpeng"},{"family":"Zeng","given":"Yue"}],"issued":{"date-parts":[["2016"]],"season":"19"}}}],"schema":"https://github.com/citation-style-language/schema/raw/master/csl-citation.json"} </w:instrText>
      </w:r>
      <w:r w:rsidR="00862F07"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[135,153]</w:t>
      </w:r>
      <w:r w:rsidR="00862F07" w:rsidRPr="00DB7074">
        <w:rPr>
          <w:rFonts w:ascii="Book Antiqua" w:hAnsi="Book Antiqua" w:cs="Times New Roman"/>
          <w:sz w:val="24"/>
          <w:szCs w:val="24"/>
        </w:rPr>
        <w:fldChar w:fldCharType="end"/>
      </w:r>
      <w:r w:rsidR="00EA4439" w:rsidRPr="00DB7074">
        <w:rPr>
          <w:rFonts w:ascii="Book Antiqua" w:hAnsi="Book Antiqua" w:cs="Times New Roman"/>
          <w:sz w:val="24"/>
          <w:szCs w:val="24"/>
        </w:rPr>
        <w:t>,</w:t>
      </w:r>
      <w:r w:rsidR="006011DA" w:rsidRPr="00DB7074">
        <w:rPr>
          <w:rFonts w:ascii="Book Antiqua" w:hAnsi="Book Antiqua" w:cs="Times New Roman"/>
          <w:sz w:val="24"/>
          <w:szCs w:val="24"/>
        </w:rPr>
        <w:t xml:space="preserve"> </w:t>
      </w:r>
      <w:r w:rsidR="005E5C97" w:rsidRPr="00DB7074">
        <w:rPr>
          <w:rFonts w:ascii="Book Antiqua" w:hAnsi="Book Antiqua" w:cs="Times New Roman"/>
          <w:sz w:val="24"/>
          <w:szCs w:val="24"/>
        </w:rPr>
        <w:t xml:space="preserve">whereas </w:t>
      </w:r>
      <w:r w:rsidR="005E5C97" w:rsidRPr="00DB7074">
        <w:rPr>
          <w:rFonts w:ascii="Book Antiqua" w:hAnsi="Book Antiqua" w:cs="Times New Roman"/>
          <w:i/>
          <w:sz w:val="24"/>
          <w:szCs w:val="24"/>
        </w:rPr>
        <w:t>Fusobacterium</w:t>
      </w:r>
      <w:r w:rsidR="005E5C97" w:rsidRPr="00DB7074">
        <w:rPr>
          <w:rFonts w:ascii="Book Antiqua" w:hAnsi="Book Antiqua" w:cs="Times New Roman"/>
          <w:sz w:val="24"/>
          <w:szCs w:val="24"/>
        </w:rPr>
        <w:t xml:space="preserve"> </w:t>
      </w:r>
      <w:r w:rsidR="00EA4439" w:rsidRPr="00DB7074">
        <w:rPr>
          <w:rFonts w:ascii="Book Antiqua" w:hAnsi="Book Antiqua" w:cs="Times New Roman"/>
          <w:sz w:val="24"/>
          <w:szCs w:val="24"/>
        </w:rPr>
        <w:t xml:space="preserve">enrichment </w:t>
      </w:r>
      <w:r w:rsidR="005E5C97" w:rsidRPr="00DB7074">
        <w:rPr>
          <w:rFonts w:ascii="Book Antiqua" w:hAnsi="Book Antiqua" w:cs="Times New Roman"/>
          <w:sz w:val="24"/>
          <w:szCs w:val="24"/>
        </w:rPr>
        <w:t>was observed in carcinomas</w:t>
      </w:r>
      <w:r w:rsidR="00862F07"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{"citationID":"a1lr4hfg09p","properties":{"formattedCitation":"\\super [153]\\nosupersub{}","plainCitation":"[153]","noteIndex":0},"citationItems":[{"id":"D1GMNV0O/dE2QR0Gv","uris":["http://zotero.org/users/4804376/items/V899AJPZ"],"uri":["http://zotero.org/users/4804376/items/V899AJPZ"],"itemData":{"id":73,"type":"article-journal","title":"Gut mucosal microbiome across stages of colorectal carcinogenesis","container-title":"Nature Communications","volume":"6","issue":"1","source":"CrossRef","URL":"http://www.nature.com/articles/ncomms9727","DOI":"10.1038/ncomms9727","ISSN":"2041-1723","language":"en","author":[{"family":"Nakatsu","given":"Geicho"},{"family":"Li","given":"Xiangchun"},{"family":"Zhou","given":"Haokui"},{"family":"Sheng","given":"Jianqiu"},{"family":"Wong","given":"Sunny Hei"},{"family":"Wu","given":"William Ka Kai"},{"family":"Ng","given":"Siew Chien"},{"family":"Tsoi","given":"Ho"},{"family":"Dong","given":"Yujuan"},{"family":"Zhang","given":"Ning"},{"family":"He","given":"Yuqi"},{"family":"Kang","given":"Qian"},{"family":"Cao","given":"Lei"},{"family":"Wang","given":"Kunning"},{"family":"Zhang","given":"Jingwan"},{"family":"Liang","given":"Qiaoyi"},{"family":"Yu","given":"Jun"},{"family":"Sung","given":"Joseph J. Y."}],"issued":{"date-parts":[["2015",12]]},"accessed":{"date-parts":[["2018",3,19]]}}}],"schema":"https://github.com/citation-style-language/schema/raw/master/csl-citation.json"} </w:instrText>
      </w:r>
      <w:r w:rsidR="00862F07"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[153]</w:t>
      </w:r>
      <w:r w:rsidR="00862F07" w:rsidRPr="00DB7074">
        <w:rPr>
          <w:rFonts w:ascii="Book Antiqua" w:hAnsi="Book Antiqua" w:cs="Times New Roman"/>
          <w:sz w:val="24"/>
          <w:szCs w:val="24"/>
        </w:rPr>
        <w:fldChar w:fldCharType="end"/>
      </w:r>
      <w:r w:rsidR="005E5C97" w:rsidRPr="00DB7074">
        <w:rPr>
          <w:rFonts w:ascii="Book Antiqua" w:hAnsi="Book Antiqua" w:cs="Times New Roman"/>
          <w:sz w:val="24"/>
          <w:szCs w:val="24"/>
        </w:rPr>
        <w:t xml:space="preserve">. </w:t>
      </w:r>
      <w:r w:rsidR="00507882" w:rsidRPr="00DB7074">
        <w:rPr>
          <w:rFonts w:ascii="Book Antiqua" w:hAnsi="Book Antiqua" w:cs="Times New Roman"/>
          <w:sz w:val="24"/>
          <w:szCs w:val="24"/>
        </w:rPr>
        <w:t>Additionally,</w:t>
      </w:r>
      <w:r w:rsidR="005E5C97" w:rsidRPr="00DB7074">
        <w:rPr>
          <w:rFonts w:ascii="Book Antiqua" w:hAnsi="Book Antiqua" w:cs="Times New Roman"/>
          <w:sz w:val="24"/>
          <w:szCs w:val="24"/>
        </w:rPr>
        <w:t xml:space="preserve"> the abundance of </w:t>
      </w:r>
      <w:r w:rsidR="00A27C1E" w:rsidRPr="00DB7074">
        <w:rPr>
          <w:rFonts w:ascii="Book Antiqua" w:hAnsi="Book Antiqua" w:cs="Times New Roman"/>
          <w:i/>
          <w:sz w:val="24"/>
          <w:szCs w:val="24"/>
        </w:rPr>
        <w:t>Bacteroides</w:t>
      </w:r>
      <w:r w:rsidR="005E5C97" w:rsidRPr="00DB7074">
        <w:rPr>
          <w:rFonts w:ascii="Book Antiqua" w:hAnsi="Book Antiqua" w:cs="Times New Roman"/>
          <w:i/>
          <w:sz w:val="24"/>
          <w:szCs w:val="24"/>
        </w:rPr>
        <w:t xml:space="preserve"> fragilis</w:t>
      </w:r>
      <w:r w:rsidR="005E5C97" w:rsidRPr="00DB7074">
        <w:rPr>
          <w:rFonts w:ascii="Book Antiqua" w:hAnsi="Book Antiqua" w:cs="Times New Roman"/>
          <w:sz w:val="24"/>
          <w:szCs w:val="24"/>
        </w:rPr>
        <w:t xml:space="preserve"> and </w:t>
      </w:r>
      <w:r w:rsidR="005E5C97" w:rsidRPr="00DB7074">
        <w:rPr>
          <w:rFonts w:ascii="Book Antiqua" w:hAnsi="Book Antiqua" w:cs="Times New Roman"/>
          <w:i/>
          <w:sz w:val="24"/>
          <w:szCs w:val="24"/>
        </w:rPr>
        <w:t>Granulicatella</w:t>
      </w:r>
      <w:r w:rsidR="005E5C97" w:rsidRPr="00DB7074">
        <w:rPr>
          <w:rFonts w:ascii="Book Antiqua" w:hAnsi="Book Antiqua" w:cs="Times New Roman"/>
          <w:sz w:val="24"/>
          <w:szCs w:val="24"/>
        </w:rPr>
        <w:t xml:space="preserve"> </w:t>
      </w:r>
      <w:r w:rsidR="00A930E0" w:rsidRPr="00DB7074">
        <w:rPr>
          <w:rFonts w:ascii="Book Antiqua" w:hAnsi="Book Antiqua" w:cs="Times New Roman"/>
          <w:sz w:val="24"/>
          <w:szCs w:val="24"/>
        </w:rPr>
        <w:t>were</w:t>
      </w:r>
      <w:r w:rsidR="005E5C97" w:rsidRPr="00DB7074">
        <w:rPr>
          <w:rFonts w:ascii="Book Antiqua" w:hAnsi="Book Antiqua" w:cs="Times New Roman"/>
          <w:sz w:val="24"/>
          <w:szCs w:val="24"/>
        </w:rPr>
        <w:t xml:space="preserve"> progressively increased </w:t>
      </w:r>
      <w:r w:rsidR="00EA4439" w:rsidRPr="00DB7074">
        <w:rPr>
          <w:rFonts w:ascii="Book Antiqua" w:hAnsi="Book Antiqua" w:cs="Times New Roman"/>
          <w:sz w:val="24"/>
          <w:szCs w:val="24"/>
        </w:rPr>
        <w:t>during</w:t>
      </w:r>
      <w:r w:rsidR="005E5C97" w:rsidRPr="00DB7074">
        <w:rPr>
          <w:rFonts w:ascii="Book Antiqua" w:hAnsi="Book Antiqua" w:cs="Times New Roman"/>
          <w:sz w:val="24"/>
          <w:szCs w:val="24"/>
        </w:rPr>
        <w:t xml:space="preserve"> the adenoma-carcinoma sequence. </w:t>
      </w:r>
      <w:r w:rsidR="005C688D" w:rsidRPr="00DB7074">
        <w:rPr>
          <w:rFonts w:ascii="Book Antiqua" w:hAnsi="Book Antiqua" w:cs="Times New Roman"/>
          <w:sz w:val="24"/>
          <w:szCs w:val="24"/>
        </w:rPr>
        <w:t xml:space="preserve">Lu et al. showed that there was a clear </w:t>
      </w:r>
      <w:r w:rsidR="00DB5D24" w:rsidRPr="00DB7074">
        <w:rPr>
          <w:rFonts w:ascii="Book Antiqua" w:hAnsi="Book Antiqua" w:cs="Times New Roman"/>
          <w:sz w:val="24"/>
          <w:szCs w:val="24"/>
        </w:rPr>
        <w:t>in</w:t>
      </w:r>
      <w:r w:rsidR="005C688D" w:rsidRPr="00DB7074">
        <w:rPr>
          <w:rFonts w:ascii="Book Antiqua" w:hAnsi="Book Antiqua" w:cs="Times New Roman"/>
          <w:sz w:val="24"/>
          <w:szCs w:val="24"/>
        </w:rPr>
        <w:t xml:space="preserve">crease in both </w:t>
      </w:r>
      <w:r w:rsidR="005C688D" w:rsidRPr="00DB7074">
        <w:rPr>
          <w:rFonts w:ascii="Book Antiqua" w:hAnsi="Book Antiqua" w:cs="Times New Roman"/>
          <w:i/>
          <w:sz w:val="24"/>
          <w:szCs w:val="24"/>
        </w:rPr>
        <w:t>Proteobacteria</w:t>
      </w:r>
      <w:r w:rsidR="005C688D" w:rsidRPr="00DB7074">
        <w:rPr>
          <w:rFonts w:ascii="Book Antiqua" w:hAnsi="Book Antiqua" w:cs="Times New Roman"/>
          <w:sz w:val="24"/>
          <w:szCs w:val="24"/>
        </w:rPr>
        <w:t xml:space="preserve"> and </w:t>
      </w:r>
      <w:r w:rsidR="005C688D" w:rsidRPr="00DB7074">
        <w:rPr>
          <w:rFonts w:ascii="Book Antiqua" w:hAnsi="Book Antiqua" w:cs="Times New Roman"/>
          <w:i/>
          <w:sz w:val="24"/>
          <w:szCs w:val="24"/>
        </w:rPr>
        <w:t>Bacteroidetes</w:t>
      </w:r>
      <w:r w:rsidR="005C688D" w:rsidRPr="00DB7074">
        <w:rPr>
          <w:rFonts w:ascii="Book Antiqua" w:hAnsi="Book Antiqua" w:cs="Times New Roman"/>
          <w:sz w:val="24"/>
          <w:szCs w:val="24"/>
        </w:rPr>
        <w:t xml:space="preserve"> in </w:t>
      </w:r>
      <w:r w:rsidR="00EA4439" w:rsidRPr="00DB7074">
        <w:rPr>
          <w:rFonts w:ascii="Book Antiqua" w:hAnsi="Book Antiqua" w:cs="Times New Roman"/>
          <w:sz w:val="24"/>
          <w:szCs w:val="24"/>
        </w:rPr>
        <w:t xml:space="preserve">tissues from </w:t>
      </w:r>
      <w:r w:rsidR="00DB5D24" w:rsidRPr="00DB7074">
        <w:rPr>
          <w:rFonts w:ascii="Book Antiqua" w:hAnsi="Book Antiqua" w:cs="Times New Roman"/>
          <w:sz w:val="24"/>
          <w:szCs w:val="24"/>
        </w:rPr>
        <w:t xml:space="preserve">patients with colorectal adenoma </w:t>
      </w:r>
      <w:r w:rsidR="005C688D" w:rsidRPr="00DB7074">
        <w:rPr>
          <w:rFonts w:ascii="Book Antiqua" w:hAnsi="Book Antiqua" w:cs="Times New Roman"/>
          <w:sz w:val="24"/>
          <w:szCs w:val="24"/>
        </w:rPr>
        <w:t xml:space="preserve">compared with </w:t>
      </w:r>
      <w:r w:rsidR="00EA4439" w:rsidRPr="00DB7074">
        <w:rPr>
          <w:rFonts w:ascii="Book Antiqua" w:hAnsi="Book Antiqua" w:cs="Times New Roman"/>
          <w:sz w:val="24"/>
          <w:szCs w:val="24"/>
        </w:rPr>
        <w:t xml:space="preserve">tissues from </w:t>
      </w:r>
      <w:r w:rsidR="00DB5D24" w:rsidRPr="00DB7074">
        <w:rPr>
          <w:rFonts w:ascii="Book Antiqua" w:hAnsi="Book Antiqua" w:cs="Times New Roman"/>
          <w:sz w:val="24"/>
          <w:szCs w:val="24"/>
        </w:rPr>
        <w:t>healthy volunteers</w:t>
      </w:r>
      <w:r w:rsidR="006011DA"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{"citationID":"a2n0qpb04vn","properties":{"formattedCitation":"\\super [135]\\nosupersub{}","plainCitation":"[135]","noteIndex":0},"citationItems":[{"id":"D1GMNV0O/F6QUCHf2","uris":["http://zotero.org/users/4804376/items/VMGZVMII"],"uri":["http://zotero.org/users/4804376/items/VMGZVMII"],"itemData":{"id":335,"type":"article-journal","title":"Mucosal adherent bacterial dysbiosis in patients with colorectal adenomas","container-title":"Scientific Reports","page":"26337","volume":"6","source":"PubMed","abstract":"Recent reports have suggested that the gut microbiota is involved in the progression of colorectal cancer (CRC). The composition of gut microbiota in CRC precursors has not been adequately described. To characterize the structure of adherent microbiota in this disease, we conducted pyrosequencing-based analysis of 16S rRNA genes to determine the bacterial profile of normal colons (healthy controls) and colorectal adenomas (CRC precursors). Adenoma mucosal biopsy samples and adjacent normal colonic mucosa from 31 patients with adenomas and 20 healthy volunteers were profiled using the Illumina MiSeq platform. Principal coordinate analysis (PCoA) showed structural segregation between colorectal adenomatous tissue and control tissue. Alpha diversity estimations revealed higher microbiota diversity in samples from patients with adenomas. Taxonomic analysis illustrated that abundance of eight phyla (Firmicutes, Proteobacteria, Bacteroidetes, Actinobacteria, Chloroflexi, Cyanobacteria, Candidate-division TM7, and Tenericutes) was significantly different. In addition, Lactococcus and Pseudomonas were enriched in preneoplastic tissue, whereas Enterococcus, Bacillus, and Solibacillus were reduced. However, both PCoA and cluster tree analyses showed similar microbiota structure between adenomatous and adjacent non-adenoma tissues. These present findings provide preliminary experimental evidence supporting that colorectal preneoplastic lesion may be the most important factor leading to alterations in bacterial community composition.","DOI":"10.1038/srep26337","ISSN":"2045-2322","note":"PMID: 27194068\nPMCID: PMC4872055","journalAbbreviation":"Sci Rep","language":"eng","author":[{"family":"Lu","given":"Yingying"},{"family":"Chen","given":"Jing"},{"family":"Zheng","given":"Junyuan"},{"family":"Hu","given":"Guoyong"},{"family":"Wang","given":"Jingjing"},{"family":"Huang","given":"Chunlan"},{"family":"Lou","given":"Lihong"},{"family":"Wang","given":"Xingpeng"},{"family":"Zeng","given":"Yue"}],"issued":{"date-parts":[["2016"]],"season":"19"}}}],"schema":"https://github.com/citation-style-language/schema/raw/master/csl-citation.json"} </w:instrText>
      </w:r>
      <w:r w:rsidR="006011DA"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[135]</w:t>
      </w:r>
      <w:r w:rsidR="006011DA" w:rsidRPr="00DB7074">
        <w:rPr>
          <w:rFonts w:ascii="Book Antiqua" w:hAnsi="Book Antiqua" w:cs="Times New Roman"/>
          <w:sz w:val="24"/>
          <w:szCs w:val="24"/>
        </w:rPr>
        <w:fldChar w:fldCharType="end"/>
      </w:r>
      <w:r w:rsidR="005C688D" w:rsidRPr="00DB7074">
        <w:rPr>
          <w:rFonts w:ascii="Book Antiqua" w:hAnsi="Book Antiqua" w:cs="Times New Roman"/>
          <w:sz w:val="24"/>
          <w:szCs w:val="24"/>
        </w:rPr>
        <w:t xml:space="preserve">. </w:t>
      </w:r>
      <w:r w:rsidR="0002422B" w:rsidRPr="00DB7074">
        <w:rPr>
          <w:rFonts w:ascii="Book Antiqua" w:hAnsi="Book Antiqua" w:cs="Times New Roman"/>
          <w:sz w:val="24"/>
          <w:szCs w:val="24"/>
        </w:rPr>
        <w:t xml:space="preserve">Kostic et al. found that </w:t>
      </w:r>
      <w:r w:rsidR="0002422B" w:rsidRPr="00DB7074">
        <w:rPr>
          <w:rFonts w:ascii="Book Antiqua" w:hAnsi="Book Antiqua" w:cs="Times New Roman"/>
          <w:i/>
          <w:sz w:val="24"/>
          <w:szCs w:val="24"/>
        </w:rPr>
        <w:t xml:space="preserve">Fusobacterium </w:t>
      </w:r>
      <w:r w:rsidR="0002422B" w:rsidRPr="00DB7074">
        <w:rPr>
          <w:rFonts w:ascii="Book Antiqua" w:hAnsi="Book Antiqua" w:cs="Times New Roman"/>
          <w:sz w:val="24"/>
          <w:szCs w:val="24"/>
        </w:rPr>
        <w:t xml:space="preserve">spp. </w:t>
      </w:r>
      <w:r w:rsidR="007638A5" w:rsidRPr="00DB7074">
        <w:rPr>
          <w:rFonts w:ascii="Book Antiqua" w:hAnsi="Book Antiqua" w:cs="Times New Roman"/>
          <w:sz w:val="24"/>
          <w:szCs w:val="24"/>
        </w:rPr>
        <w:t>w</w:t>
      </w:r>
      <w:r w:rsidR="0002422B" w:rsidRPr="00DB7074">
        <w:rPr>
          <w:rFonts w:ascii="Book Antiqua" w:hAnsi="Book Antiqua" w:cs="Times New Roman"/>
          <w:sz w:val="24"/>
          <w:szCs w:val="24"/>
        </w:rPr>
        <w:t xml:space="preserve">ere enriched in human colonic adenomas relative to </w:t>
      </w:r>
      <w:r w:rsidR="00EA4439" w:rsidRPr="00DB7074">
        <w:rPr>
          <w:rFonts w:ascii="Book Antiqua" w:hAnsi="Book Antiqua" w:cs="Times New Roman"/>
          <w:sz w:val="24"/>
          <w:szCs w:val="24"/>
        </w:rPr>
        <w:t xml:space="preserve">the </w:t>
      </w:r>
      <w:r w:rsidR="0002422B" w:rsidRPr="00DB7074">
        <w:rPr>
          <w:rFonts w:ascii="Book Antiqua" w:hAnsi="Book Antiqua" w:cs="Times New Roman"/>
          <w:sz w:val="24"/>
          <w:szCs w:val="24"/>
        </w:rPr>
        <w:t>surrounding ti</w:t>
      </w:r>
      <w:r w:rsidR="00A82521" w:rsidRPr="00DB7074">
        <w:rPr>
          <w:rFonts w:ascii="Book Antiqua" w:hAnsi="Book Antiqua" w:cs="Times New Roman"/>
          <w:sz w:val="24"/>
          <w:szCs w:val="24"/>
        </w:rPr>
        <w:t xml:space="preserve">ssues and in stool samples from </w:t>
      </w:r>
      <w:r w:rsidR="00EA4439" w:rsidRPr="00DB7074">
        <w:rPr>
          <w:rFonts w:ascii="Book Antiqua" w:hAnsi="Book Antiqua" w:cs="Times New Roman"/>
          <w:sz w:val="24"/>
          <w:szCs w:val="24"/>
        </w:rPr>
        <w:t xml:space="preserve">patients with </w:t>
      </w:r>
      <w:r w:rsidR="0002422B" w:rsidRPr="00DB7074">
        <w:rPr>
          <w:rFonts w:ascii="Book Antiqua" w:hAnsi="Book Antiqua" w:cs="Times New Roman"/>
          <w:sz w:val="24"/>
          <w:szCs w:val="24"/>
        </w:rPr>
        <w:t xml:space="preserve">colorectal adenoma compared </w:t>
      </w:r>
      <w:r w:rsidR="00EA4439" w:rsidRPr="00DB7074">
        <w:rPr>
          <w:rFonts w:ascii="Book Antiqua" w:hAnsi="Book Antiqua" w:cs="Times New Roman"/>
          <w:sz w:val="24"/>
          <w:szCs w:val="24"/>
        </w:rPr>
        <w:t>with samples from</w:t>
      </w:r>
      <w:r w:rsidR="0002422B" w:rsidRPr="00DB7074">
        <w:rPr>
          <w:rFonts w:ascii="Book Antiqua" w:hAnsi="Book Antiqua" w:cs="Times New Roman"/>
          <w:sz w:val="24"/>
          <w:szCs w:val="24"/>
        </w:rPr>
        <w:t xml:space="preserve"> healthy subjects</w:t>
      </w:r>
      <w:r w:rsidR="00862F07"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{"citationID":"a2dhrag0h4g","properties":{"formattedCitation":"\\super [147]\\nosupersub{}","plainCitation":"[147]","noteIndex":0},"citationItems":[{"id":"D1GMNV0O/AkiIz1hS","uris":["http://zotero.org/users/4804376/items/Z9U5P9VZ"],"uri":["http://zotero.org/users/4804376/items/Z9U5P9VZ"],"itemData":{"id":349,"type":"article-journal","title":"Genomic analysis identifies association of Fusobacterium with colorectal carcinoma","container-title":"Genome Research","page":"292-298","volume":"22","issue":"2","source":"PubMed","abstract":"The tumor microenvironment of colorectal carcinoma is a complex community of genomically altered cancer cells, nonneoplastic cells, and a diverse collection of microorganisms. Each of these components may contribute to carcinogenesis; however, the role of the microbiota is the least well understood. We have characterized the composition of the microbiota in colorectal carcinoma using whole genome sequences from nine tumor/normal pairs. Fusobacterium sequences were enriched in carcinomas, confirmed by quantitative PCR and 16S rDNA sequence analysis of 95 carcinoma/normal DNA pairs, while the Bacteroidetes and Firmicutes phyla were depleted in tumors. Fusobacteria were also visualized within colorectal tumors using FISH. These findings reveal alterations in the colorectal cancer microbiota; however, the precise role of Fusobacteria in colorectal carcinoma pathogenesis requires further investigation.","DOI":"10.1101/gr.126573.111","ISSN":"1549-5469","note":"PMID: 22009990\nPMCID: PMC3266036","journalAbbreviation":"Genome Res.","language":"eng","author":[{"family":"Kostic","given":"Aleksandar D."},{"family":"Gevers","given":"Dirk"},{"family":"Pedamallu","given":"Chandra Sekhar"},{"family":"Michaud","given":"Monia"},{"family":"Duke","given":"Fujiko"},{"family":"Earl","given":"Ashlee M."},{"family":"Ojesina","given":"Akinyemi I."},{"family":"Jung","given":"Joonil"},{"family":"Bass","given":"Adam J."},{"family":"Tabernero","given":"Josep"},{"family":"Baselga","given":"José"},{"family":"Liu","given":"Chen"},{"family":"Shivdasani","given":"Ramesh A."},{"family":"Ogino","given":"Shuji"},{"family":"Birren","given":"Bruce W."},{"family":"Huttenhower","given":"Curtis"},{"family":"Garrett","given":"Wendy S."},{"family":"Meyerson","given":"Matthew"}],"issued":{"date-parts":[["2012",2]]}}}],"schema":"https://github.com/citation-style-language/schema/raw/master/csl-citation.json"} </w:instrText>
      </w:r>
      <w:r w:rsidR="00862F07"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[147]</w:t>
      </w:r>
      <w:r w:rsidR="00862F07" w:rsidRPr="00DB7074">
        <w:rPr>
          <w:rFonts w:ascii="Book Antiqua" w:hAnsi="Book Antiqua" w:cs="Times New Roman"/>
          <w:sz w:val="24"/>
          <w:szCs w:val="24"/>
        </w:rPr>
        <w:fldChar w:fldCharType="end"/>
      </w:r>
      <w:r w:rsidR="0002422B" w:rsidRPr="00DB7074">
        <w:rPr>
          <w:rFonts w:ascii="Book Antiqua" w:hAnsi="Book Antiqua" w:cs="Times New Roman"/>
          <w:sz w:val="24"/>
          <w:szCs w:val="24"/>
        </w:rPr>
        <w:t xml:space="preserve">. </w:t>
      </w:r>
      <w:r w:rsidR="00D50AFE" w:rsidRPr="00DB7074">
        <w:rPr>
          <w:rFonts w:ascii="Book Antiqua" w:hAnsi="Book Antiqua" w:cs="Times New Roman"/>
          <w:bCs/>
          <w:sz w:val="24"/>
          <w:szCs w:val="24"/>
        </w:rPr>
        <w:t>In addition,</w:t>
      </w:r>
      <w:r w:rsidR="005E2890" w:rsidRPr="00DB7074">
        <w:rPr>
          <w:rFonts w:ascii="Book Antiqua" w:hAnsi="Book Antiqua" w:cs="Times New Roman"/>
          <w:sz w:val="24"/>
          <w:szCs w:val="24"/>
        </w:rPr>
        <w:t xml:space="preserve"> </w:t>
      </w:r>
      <w:r w:rsidR="00D50AFE" w:rsidRPr="00DB7074">
        <w:rPr>
          <w:rFonts w:ascii="Book Antiqua" w:hAnsi="Book Antiqua" w:cs="Times New Roman"/>
          <w:bCs/>
          <w:i/>
          <w:iCs/>
          <w:sz w:val="24"/>
          <w:szCs w:val="24"/>
        </w:rPr>
        <w:t xml:space="preserve">Lactococcus </w:t>
      </w:r>
      <w:r w:rsidR="00D50AFE" w:rsidRPr="00DB7074">
        <w:rPr>
          <w:rFonts w:ascii="Book Antiqua" w:hAnsi="Book Antiqua" w:cs="Times New Roman"/>
          <w:bCs/>
          <w:sz w:val="24"/>
          <w:szCs w:val="24"/>
        </w:rPr>
        <w:t xml:space="preserve">and </w:t>
      </w:r>
      <w:r w:rsidR="00D50AFE" w:rsidRPr="00DB7074">
        <w:rPr>
          <w:rFonts w:ascii="Book Antiqua" w:hAnsi="Book Antiqua" w:cs="Times New Roman"/>
          <w:bCs/>
          <w:i/>
          <w:iCs/>
          <w:sz w:val="24"/>
          <w:szCs w:val="24"/>
        </w:rPr>
        <w:t xml:space="preserve">Pseudomonas </w:t>
      </w:r>
      <w:r w:rsidR="00D50AFE" w:rsidRPr="00DB7074">
        <w:rPr>
          <w:rFonts w:ascii="Book Antiqua" w:hAnsi="Book Antiqua" w:cs="Times New Roman"/>
          <w:bCs/>
          <w:sz w:val="24"/>
          <w:szCs w:val="24"/>
        </w:rPr>
        <w:t xml:space="preserve">were enriched in preneoplastic tissue, whereas </w:t>
      </w:r>
      <w:r w:rsidR="00D50AFE" w:rsidRPr="00DB7074">
        <w:rPr>
          <w:rFonts w:ascii="Book Antiqua" w:hAnsi="Book Antiqua" w:cs="Times New Roman"/>
          <w:bCs/>
          <w:i/>
          <w:iCs/>
          <w:sz w:val="24"/>
          <w:szCs w:val="24"/>
        </w:rPr>
        <w:t>Enterococcus</w:t>
      </w:r>
      <w:r w:rsidR="00D50AFE" w:rsidRPr="00DB7074">
        <w:rPr>
          <w:rFonts w:ascii="Book Antiqua" w:hAnsi="Book Antiqua" w:cs="Times New Roman"/>
          <w:bCs/>
          <w:sz w:val="24"/>
          <w:szCs w:val="24"/>
        </w:rPr>
        <w:t xml:space="preserve">, </w:t>
      </w:r>
      <w:r w:rsidR="00D50AFE" w:rsidRPr="00DB7074">
        <w:rPr>
          <w:rFonts w:ascii="Book Antiqua" w:hAnsi="Book Antiqua" w:cs="Times New Roman"/>
          <w:bCs/>
          <w:i/>
          <w:iCs/>
          <w:sz w:val="24"/>
          <w:szCs w:val="24"/>
        </w:rPr>
        <w:t>Bacillus</w:t>
      </w:r>
      <w:r w:rsidR="00D50AFE" w:rsidRPr="00DB7074">
        <w:rPr>
          <w:rFonts w:ascii="Book Antiqua" w:hAnsi="Book Antiqua" w:cs="Times New Roman"/>
          <w:bCs/>
          <w:sz w:val="24"/>
          <w:szCs w:val="24"/>
        </w:rPr>
        <w:t>,</w:t>
      </w:r>
      <w:r w:rsidR="005E2890" w:rsidRPr="00DB7074">
        <w:rPr>
          <w:rFonts w:ascii="Book Antiqua" w:hAnsi="Book Antiqua" w:cs="Times New Roman"/>
          <w:bCs/>
          <w:sz w:val="24"/>
          <w:szCs w:val="24"/>
        </w:rPr>
        <w:t xml:space="preserve"> </w:t>
      </w:r>
      <w:r w:rsidR="00D50AFE" w:rsidRPr="00DB7074">
        <w:rPr>
          <w:rFonts w:ascii="Book Antiqua" w:hAnsi="Book Antiqua" w:cs="Times New Roman"/>
          <w:bCs/>
          <w:sz w:val="24"/>
          <w:szCs w:val="24"/>
        </w:rPr>
        <w:t xml:space="preserve">and </w:t>
      </w:r>
      <w:r w:rsidR="00D50AFE" w:rsidRPr="00DB7074">
        <w:rPr>
          <w:rFonts w:ascii="Book Antiqua" w:hAnsi="Book Antiqua" w:cs="Times New Roman"/>
          <w:bCs/>
          <w:i/>
          <w:iCs/>
          <w:sz w:val="24"/>
          <w:szCs w:val="24"/>
        </w:rPr>
        <w:t xml:space="preserve">Solibacillus </w:t>
      </w:r>
      <w:r w:rsidR="00D50AFE" w:rsidRPr="00DB7074">
        <w:rPr>
          <w:rFonts w:ascii="Book Antiqua" w:hAnsi="Book Antiqua" w:cs="Times New Roman"/>
          <w:bCs/>
          <w:sz w:val="24"/>
          <w:szCs w:val="24"/>
        </w:rPr>
        <w:t>were reduced.</w:t>
      </w:r>
      <w:r w:rsidR="00D50AFE" w:rsidRPr="00DB7074">
        <w:rPr>
          <w:rFonts w:ascii="Book Antiqua" w:hAnsi="Book Antiqua" w:cs="Times New Roman"/>
          <w:sz w:val="24"/>
          <w:szCs w:val="24"/>
        </w:rPr>
        <w:t xml:space="preserve"> </w:t>
      </w:r>
      <w:r w:rsidR="005E5C97" w:rsidRPr="00DB7074">
        <w:rPr>
          <w:rFonts w:ascii="Book Antiqua" w:hAnsi="Book Antiqua" w:cs="Times New Roman"/>
          <w:sz w:val="24"/>
          <w:szCs w:val="24"/>
        </w:rPr>
        <w:t xml:space="preserve">A high frequency of </w:t>
      </w:r>
      <w:r w:rsidR="00562651" w:rsidRPr="00DB7074">
        <w:rPr>
          <w:rFonts w:ascii="Book Antiqua" w:hAnsi="Book Antiqua" w:cs="Times New Roman"/>
          <w:sz w:val="24"/>
          <w:szCs w:val="24"/>
        </w:rPr>
        <w:t>colibactin-producing</w:t>
      </w:r>
      <w:r w:rsidR="005E5C97" w:rsidRPr="00DB7074">
        <w:rPr>
          <w:rFonts w:ascii="Book Antiqua" w:hAnsi="Book Antiqua" w:cs="Times New Roman"/>
          <w:sz w:val="24"/>
          <w:szCs w:val="24"/>
        </w:rPr>
        <w:t xml:space="preserve"> </w:t>
      </w:r>
      <w:r w:rsidR="005E5C97" w:rsidRPr="00DB7074">
        <w:rPr>
          <w:rFonts w:ascii="Book Antiqua" w:hAnsi="Book Antiqua" w:cs="Times New Roman"/>
          <w:i/>
          <w:sz w:val="24"/>
          <w:szCs w:val="24"/>
        </w:rPr>
        <w:t>E.coli</w:t>
      </w:r>
      <w:r w:rsidR="005E5C97" w:rsidRPr="00DB7074">
        <w:rPr>
          <w:rFonts w:ascii="Book Antiqua" w:hAnsi="Book Antiqua" w:cs="Times New Roman"/>
          <w:sz w:val="24"/>
          <w:szCs w:val="24"/>
        </w:rPr>
        <w:t xml:space="preserve"> and enterotoxigenic </w:t>
      </w:r>
      <w:r w:rsidR="005E5C97" w:rsidRPr="00DB7074">
        <w:rPr>
          <w:rFonts w:ascii="Book Antiqua" w:hAnsi="Book Antiqua" w:cs="Times New Roman"/>
          <w:i/>
          <w:sz w:val="24"/>
          <w:szCs w:val="24"/>
        </w:rPr>
        <w:t>Bacteroides fragilis</w:t>
      </w:r>
      <w:r w:rsidR="005E5C97" w:rsidRPr="00DB7074">
        <w:rPr>
          <w:rFonts w:ascii="Book Antiqua" w:hAnsi="Book Antiqua" w:cs="Times New Roman"/>
          <w:sz w:val="24"/>
          <w:szCs w:val="24"/>
        </w:rPr>
        <w:t xml:space="preserve"> </w:t>
      </w:r>
      <w:r w:rsidR="00970D56" w:rsidRPr="00DB7074">
        <w:rPr>
          <w:rFonts w:ascii="Book Antiqua" w:hAnsi="Book Antiqua" w:cs="Times New Roman"/>
          <w:sz w:val="24"/>
          <w:szCs w:val="24"/>
        </w:rPr>
        <w:t>were</w:t>
      </w:r>
      <w:r w:rsidR="005E5C97" w:rsidRPr="00DB7074">
        <w:rPr>
          <w:rFonts w:ascii="Book Antiqua" w:hAnsi="Book Antiqua" w:cs="Times New Roman"/>
          <w:sz w:val="24"/>
          <w:szCs w:val="24"/>
        </w:rPr>
        <w:t xml:space="preserve"> also observed in </w:t>
      </w:r>
      <w:r w:rsidRPr="00DB7074">
        <w:rPr>
          <w:rFonts w:ascii="Book Antiqua" w:hAnsi="Book Antiqua" w:cs="Times New Roman"/>
          <w:sz w:val="24"/>
          <w:szCs w:val="24"/>
        </w:rPr>
        <w:t>adenoma</w:t>
      </w:r>
      <w:r w:rsidR="00970D56" w:rsidRPr="00DB7074">
        <w:rPr>
          <w:rFonts w:ascii="Book Antiqua" w:hAnsi="Book Antiqua" w:cs="Times New Roman"/>
          <w:sz w:val="24"/>
          <w:szCs w:val="24"/>
        </w:rPr>
        <w:t>s from</w:t>
      </w:r>
      <w:r w:rsidRPr="00DB7074">
        <w:rPr>
          <w:rFonts w:ascii="Book Antiqua" w:hAnsi="Book Antiqua" w:cs="Times New Roman"/>
          <w:sz w:val="24"/>
          <w:szCs w:val="24"/>
        </w:rPr>
        <w:t xml:space="preserve"> </w:t>
      </w:r>
      <w:r w:rsidR="005E5C97" w:rsidRPr="00DB7074">
        <w:rPr>
          <w:rFonts w:ascii="Book Antiqua" w:hAnsi="Book Antiqua" w:cs="Times New Roman"/>
          <w:sz w:val="24"/>
          <w:szCs w:val="24"/>
        </w:rPr>
        <w:t>patients with F</w:t>
      </w:r>
      <w:r w:rsidRPr="00DB7074">
        <w:rPr>
          <w:rFonts w:ascii="Book Antiqua" w:hAnsi="Book Antiqua" w:cs="Times New Roman"/>
          <w:sz w:val="24"/>
          <w:szCs w:val="24"/>
        </w:rPr>
        <w:t xml:space="preserve">amilial </w:t>
      </w:r>
      <w:r w:rsidR="005E5C97" w:rsidRPr="00DB7074">
        <w:rPr>
          <w:rFonts w:ascii="Book Antiqua" w:hAnsi="Book Antiqua" w:cs="Times New Roman"/>
          <w:sz w:val="24"/>
          <w:szCs w:val="24"/>
        </w:rPr>
        <w:t>A</w:t>
      </w:r>
      <w:r w:rsidRPr="00DB7074">
        <w:rPr>
          <w:rFonts w:ascii="Book Antiqua" w:hAnsi="Book Antiqua" w:cs="Times New Roman"/>
          <w:sz w:val="24"/>
          <w:szCs w:val="24"/>
        </w:rPr>
        <w:t xml:space="preserve">denomatous </w:t>
      </w:r>
      <w:r w:rsidR="005E5C97" w:rsidRPr="00DB7074">
        <w:rPr>
          <w:rFonts w:ascii="Book Antiqua" w:hAnsi="Book Antiqua" w:cs="Times New Roman"/>
          <w:sz w:val="24"/>
          <w:szCs w:val="24"/>
        </w:rPr>
        <w:t>P</w:t>
      </w:r>
      <w:r w:rsidRPr="00DB7074">
        <w:rPr>
          <w:rFonts w:ascii="Book Antiqua" w:hAnsi="Book Antiqua" w:cs="Times New Roman"/>
          <w:sz w:val="24"/>
          <w:szCs w:val="24"/>
        </w:rPr>
        <w:t>olyposis</w:t>
      </w:r>
      <w:r w:rsidR="00862F07"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{"citationID":"addn3v4gq5","properties":{"formattedCitation":"\\super [154]\\nosupersub{}","plainCitation":"[154]","noteIndex":0},"citationItems":[{"id":"D1GMNV0O/K31QrYCQ","uris":["http://zotero.org/users/4804376/items/XRR8DGQQ"],"uri":["http://zotero.org/users/4804376/items/XRR8DGQQ"],"itemData":{"id":367,"type":"article-journal","title":"Patients with familial adenomatous polyposis harbor colonic biofilms containing tumorigenic bacteria","container-title":"Science (New York, N.Y.)","page":"592-597","volume":"359","issue":"6375","source":"PubMed","abstract":"Individuals with sporadic colorectal cancer (CRC) frequently harbor abnormalities in the composition of the gut microbiome; however, the microbiota associated with precancerous lesions in hereditary CRC remains largely unknown. We studied colonic mucosa of patients with familial adenomatous polyposis (FAP), who develop benign precursor lesions (polyps) early in life. We identified patchy bacterial biofilms composed predominately ofEscherichia coliandBacteroides fragilisGenes for colibactin (clbB) andBacteroides fragilistoxin (bft), encoding secreted oncotoxins, were highly enriched in FAP patients' colonic mucosa compared to healthy individuals. Tumor-prone mice cocolonized withE. coli(expressing colibactin), and enterotoxigenicB. fragilisshowed increased interleukin-17 in the colon and DNA damage in colonic epithelium with faster tumor onset and greater mortality, compared to mice with either bacterial strain alone. These data suggest an unexpected link between early neoplasia of the colon and tumorigenic bacteria.","DOI":"10.1126/science.aah3648","ISSN":"1095-9203","note":"PMID: 29420293","journalAbbreviation":"Science","language":"eng","author":[{"family":"Dejea","given":"Christine M."},{"family":"Fathi","given":"Payam"},{"family":"Craig","given":"John M."},{"family":"Boleij","given":"Annemarie"},{"family":"Taddese","given":"Rahwa"},{"family":"Geis","given":"Abby L."},{"family":"Wu","given":"Xinqun"},{"family":"DeStefano Shields","given":"Christina E."},{"family":"Hechenbleikner","given":"Elizabeth M."},{"family":"Huso","given":"David L."},{"family":"Anders","given":"Robert A."},{"family":"Giardiello","given":"Francis M."},{"family":"Wick","given":"Elizabeth C."},{"family":"Wang","given":"Hao"},{"family":"Wu","given":"Shaoguang"},{"family":"Pardoll","given":"Drew M."},{"family":"Housseau","given":"Franck"},{"family":"Sears","given":"Cynthia L."}],"issued":{"date-parts":[["2018"]],"season":"02"}}}],"schema":"https://github.com/citation-style-language/schema/raw/master/csl-citation.json"} </w:instrText>
      </w:r>
      <w:r w:rsidR="00862F07"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[154]</w:t>
      </w:r>
      <w:r w:rsidR="00862F07" w:rsidRPr="00DB7074">
        <w:rPr>
          <w:rFonts w:ascii="Book Antiqua" w:hAnsi="Book Antiqua" w:cs="Times New Roman"/>
          <w:sz w:val="24"/>
          <w:szCs w:val="24"/>
        </w:rPr>
        <w:fldChar w:fldCharType="end"/>
      </w:r>
      <w:r w:rsidR="005E5C97" w:rsidRPr="00DB7074">
        <w:rPr>
          <w:rFonts w:ascii="Book Antiqua" w:hAnsi="Book Antiqua" w:cs="Times New Roman"/>
          <w:sz w:val="24"/>
          <w:szCs w:val="24"/>
        </w:rPr>
        <w:t xml:space="preserve">. </w:t>
      </w:r>
      <w:r w:rsidR="004615C3" w:rsidRPr="00DB7074">
        <w:rPr>
          <w:rFonts w:ascii="Book Antiqua" w:hAnsi="Book Antiqua" w:cs="Times New Roman"/>
          <w:sz w:val="24"/>
          <w:szCs w:val="24"/>
        </w:rPr>
        <w:t>Recently</w:t>
      </w:r>
      <w:r w:rsidR="006B02EC" w:rsidRPr="00DB7074">
        <w:rPr>
          <w:rFonts w:ascii="Book Antiqua" w:hAnsi="Book Antiqua" w:cs="Times New Roman"/>
          <w:sz w:val="24"/>
          <w:szCs w:val="24"/>
        </w:rPr>
        <w:t>,</w:t>
      </w:r>
      <w:r w:rsidR="004615C3" w:rsidRPr="00DB7074">
        <w:rPr>
          <w:rFonts w:ascii="Book Antiqua" w:hAnsi="Book Antiqua" w:cs="Times New Roman"/>
          <w:sz w:val="24"/>
          <w:szCs w:val="24"/>
        </w:rPr>
        <w:t xml:space="preserve"> </w:t>
      </w:r>
      <w:r w:rsidR="004615C3" w:rsidRPr="00DB7074">
        <w:rPr>
          <w:rFonts w:ascii="Book Antiqua" w:hAnsi="Book Antiqua" w:cs="Times New Roman"/>
          <w:sz w:val="24"/>
          <w:szCs w:val="24"/>
        </w:rPr>
        <w:lastRenderedPageBreak/>
        <w:t xml:space="preserve">Eklov </w:t>
      </w:r>
      <w:r w:rsidR="004615C3" w:rsidRPr="009A5C56">
        <w:rPr>
          <w:rFonts w:ascii="Book Antiqua" w:hAnsi="Book Antiqua" w:cs="Times New Roman"/>
          <w:i/>
          <w:sz w:val="24"/>
          <w:szCs w:val="24"/>
        </w:rPr>
        <w:t>et al</w:t>
      </w:r>
      <w:r w:rsidR="009A5C56" w:rsidRPr="00DB7074">
        <w:rPr>
          <w:rFonts w:ascii="Book Antiqua" w:hAnsi="Book Antiqua" w:cs="Times New Roman"/>
          <w:sz w:val="24"/>
          <w:szCs w:val="24"/>
        </w:rPr>
        <w:fldChar w:fldCharType="begin"/>
      </w:r>
      <w:r w:rsidR="009A5C56" w:rsidRPr="00DB7074">
        <w:rPr>
          <w:rFonts w:ascii="Book Antiqua" w:hAnsi="Book Antiqua" w:cs="Times New Roman"/>
          <w:sz w:val="24"/>
          <w:szCs w:val="24"/>
        </w:rPr>
        <w:instrText xml:space="preserve"> ADDIN ZOTERO_ITEM CSL_CITATION {"citationID":"a8274nj1qi","properties":{"formattedCitation":"\\super [151]\\nosupersub{}","plainCitation":"[151]","noteIndex":0},"citationItems":[{"id":"D1GMNV0O/dsHJXe4Q","uris":["http://zotero.org/users/4804376/items/CMMHZTNP"],"uri":["http://zotero.org/users/4804376/items/CMMHZTNP"],"itemData":{"id":71,"type":"article-journal","title":"Cancer-associated fecal microbial markers in colorectal cancer detection: Fecal microbial markers in colorectal cancer detection","container-title":"International Journal of Cancer","page":"2528-2536","volume":"141","issue":"12","source":"CrossRef","DOI":"10.1002/ijc.31011","ISSN":"00207136","shortTitle":"Cancer-associated fecal microbial markers in colorectal cancer detection","language":"en","author":[{"family":"Eklöf","given":"Vincy"},{"family":"Löfgren-Burström","given":"Anna"},{"family":"Zingmark","given":"Carl"},{"family":"Edin","given":"Sofia"},{"family":"Larsson","given":"Pär"},{"family":"Karling","given":"Pontus"},{"family":"Alexeyev","given":"Oleg"},{"family":"Rutegård","given":"Jörgen"},{"family":"Wikberg","given":"Maria L."},{"family":"Palmqvist","given":"Richard"}],"issued":{"date-parts":[["2017",12,15]]}}}],"schema":"https://github.com/citation-style-language/schema/raw/master/csl-citation.json"} </w:instrText>
      </w:r>
      <w:r w:rsidR="009A5C56" w:rsidRPr="00DB7074">
        <w:rPr>
          <w:rFonts w:ascii="Book Antiqua" w:hAnsi="Book Antiqua" w:cs="Times New Roman"/>
          <w:sz w:val="24"/>
          <w:szCs w:val="24"/>
        </w:rPr>
        <w:fldChar w:fldCharType="separate"/>
      </w:r>
      <w:r w:rsidR="009A5C56" w:rsidRPr="00DB7074">
        <w:rPr>
          <w:rFonts w:ascii="Book Antiqua" w:hAnsi="Book Antiqua" w:cs="Times New Roman"/>
          <w:sz w:val="24"/>
          <w:szCs w:val="24"/>
          <w:vertAlign w:val="superscript"/>
        </w:rPr>
        <w:t>[151]</w:t>
      </w:r>
      <w:r w:rsidR="009A5C56" w:rsidRPr="00DB7074">
        <w:rPr>
          <w:rFonts w:ascii="Book Antiqua" w:hAnsi="Book Antiqua" w:cs="Times New Roman"/>
          <w:sz w:val="24"/>
          <w:szCs w:val="24"/>
        </w:rPr>
        <w:fldChar w:fldCharType="end"/>
      </w:r>
      <w:r w:rsidR="009A5C56">
        <w:rPr>
          <w:rFonts w:ascii="Book Antiqua" w:hAnsi="Book Antiqua" w:cs="Times New Roman" w:hint="eastAsia"/>
          <w:sz w:val="24"/>
          <w:szCs w:val="24"/>
          <w:lang w:eastAsia="zh-CN"/>
        </w:rPr>
        <w:t xml:space="preserve"> </w:t>
      </w:r>
      <w:r w:rsidR="004615C3" w:rsidRPr="00DB7074">
        <w:rPr>
          <w:rFonts w:ascii="Book Antiqua" w:hAnsi="Book Antiqua" w:cs="Times New Roman"/>
          <w:sz w:val="24"/>
          <w:szCs w:val="24"/>
        </w:rPr>
        <w:t>showed that the prevalence of colibactin-producing</w:t>
      </w:r>
      <w:r w:rsidR="00970D56" w:rsidRPr="00DB7074">
        <w:rPr>
          <w:rFonts w:ascii="Book Antiqua" w:hAnsi="Book Antiqua" w:cs="Times New Roman"/>
          <w:sz w:val="24"/>
          <w:szCs w:val="24"/>
        </w:rPr>
        <w:t xml:space="preserve"> </w:t>
      </w:r>
      <w:r w:rsidR="004615C3" w:rsidRPr="00DB7074">
        <w:rPr>
          <w:rFonts w:ascii="Book Antiqua" w:hAnsi="Book Antiqua" w:cs="Times New Roman"/>
          <w:i/>
          <w:sz w:val="24"/>
          <w:szCs w:val="24"/>
        </w:rPr>
        <w:t>E.</w:t>
      </w:r>
      <w:r w:rsidR="00A27C1E" w:rsidRPr="00DB7074">
        <w:rPr>
          <w:rFonts w:ascii="Book Antiqua" w:hAnsi="Book Antiqua" w:cs="Times New Roman"/>
          <w:i/>
          <w:sz w:val="24"/>
          <w:szCs w:val="24"/>
        </w:rPr>
        <w:t xml:space="preserve"> </w:t>
      </w:r>
      <w:r w:rsidR="004615C3" w:rsidRPr="00DB7074">
        <w:rPr>
          <w:rFonts w:ascii="Book Antiqua" w:hAnsi="Book Antiqua" w:cs="Times New Roman"/>
          <w:i/>
          <w:sz w:val="24"/>
          <w:szCs w:val="24"/>
        </w:rPr>
        <w:t>coli</w:t>
      </w:r>
      <w:r w:rsidR="004615C3" w:rsidRPr="00DB7074">
        <w:rPr>
          <w:rFonts w:ascii="Book Antiqua" w:hAnsi="Book Antiqua" w:cs="Times New Roman"/>
          <w:sz w:val="24"/>
          <w:szCs w:val="24"/>
        </w:rPr>
        <w:t xml:space="preserve"> were progressively increased in the adenoma-carcinoma sequence.</w:t>
      </w:r>
    </w:p>
    <w:p w14:paraId="2EDB31D9" w14:textId="77777777" w:rsidR="00382344" w:rsidRPr="00DB7074" w:rsidRDefault="00382344" w:rsidP="00DB7074">
      <w:pPr>
        <w:pStyle w:val="HTMLPreformatted"/>
        <w:snapToGrid w:val="0"/>
        <w:spacing w:line="360" w:lineRule="auto"/>
        <w:jc w:val="both"/>
        <w:rPr>
          <w:rFonts w:ascii="Book Antiqua" w:hAnsi="Book Antiqua" w:cs="Times New Roman"/>
          <w:sz w:val="24"/>
          <w:szCs w:val="24"/>
        </w:rPr>
      </w:pPr>
    </w:p>
    <w:p w14:paraId="09469B1A" w14:textId="3659EAD2" w:rsidR="00382344" w:rsidRPr="00DB7074" w:rsidRDefault="00382344" w:rsidP="009A5C56">
      <w:pPr>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DB7074">
        <w:rPr>
          <w:rFonts w:ascii="Book Antiqua" w:hAnsi="Book Antiqua" w:cs="Times New Roman"/>
          <w:sz w:val="24"/>
          <w:szCs w:val="24"/>
        </w:rPr>
        <w:t xml:space="preserve">Finally, most of these studies do not take into account the heterogeneity of this pathology. As </w:t>
      </w:r>
      <w:r w:rsidR="006B02EC" w:rsidRPr="00DB7074">
        <w:rPr>
          <w:rFonts w:ascii="Book Antiqua" w:hAnsi="Book Antiqua" w:cs="Times New Roman"/>
          <w:sz w:val="24"/>
          <w:szCs w:val="24"/>
        </w:rPr>
        <w:t xml:space="preserve">an </w:t>
      </w:r>
      <w:r w:rsidRPr="00DB7074">
        <w:rPr>
          <w:rFonts w:ascii="Book Antiqua" w:hAnsi="Book Antiqua" w:cs="Times New Roman"/>
          <w:sz w:val="24"/>
          <w:szCs w:val="24"/>
        </w:rPr>
        <w:t xml:space="preserve">example, </w:t>
      </w:r>
      <w:r w:rsidRPr="00DB7074">
        <w:rPr>
          <w:rFonts w:ascii="Book Antiqua" w:hAnsi="Book Antiqua" w:cs="Times New Roman"/>
          <w:i/>
          <w:sz w:val="24"/>
          <w:szCs w:val="24"/>
        </w:rPr>
        <w:t>Prevotella</w:t>
      </w:r>
      <w:r w:rsidRPr="00DB7074">
        <w:rPr>
          <w:rFonts w:ascii="Book Antiqua" w:hAnsi="Book Antiqua" w:cs="Times New Roman"/>
          <w:sz w:val="24"/>
          <w:szCs w:val="24"/>
        </w:rPr>
        <w:t xml:space="preserve"> and </w:t>
      </w:r>
      <w:r w:rsidRPr="00DB7074">
        <w:rPr>
          <w:rFonts w:ascii="Book Antiqua" w:hAnsi="Book Antiqua" w:cs="Times New Roman"/>
          <w:i/>
          <w:sz w:val="24"/>
          <w:szCs w:val="24"/>
        </w:rPr>
        <w:t>Firmicutes</w:t>
      </w:r>
      <w:r w:rsidRPr="00DB7074">
        <w:rPr>
          <w:rFonts w:ascii="Book Antiqua" w:hAnsi="Book Antiqua" w:cs="Times New Roman"/>
          <w:sz w:val="24"/>
          <w:szCs w:val="24"/>
        </w:rPr>
        <w:t xml:space="preserve"> populations were more abundant in individuals with proximal </w:t>
      </w:r>
      <w:r w:rsidR="00507882" w:rsidRPr="00DB7074">
        <w:rPr>
          <w:rFonts w:ascii="Book Antiqua" w:hAnsi="Book Antiqua" w:cs="Times New Roman"/>
          <w:sz w:val="24"/>
          <w:szCs w:val="24"/>
        </w:rPr>
        <w:t>tumour</w:t>
      </w:r>
      <w:r w:rsidRPr="00DB7074">
        <w:rPr>
          <w:rFonts w:ascii="Book Antiqua" w:hAnsi="Book Antiqua" w:cs="Times New Roman"/>
          <w:sz w:val="24"/>
          <w:szCs w:val="24"/>
        </w:rPr>
        <w:t>s</w:t>
      </w:r>
      <w:r w:rsidR="0036758F" w:rsidRPr="00DB7074">
        <w:rPr>
          <w:rFonts w:ascii="Book Antiqua" w:hAnsi="Book Antiqua" w:cs="Times New Roman"/>
          <w:sz w:val="24"/>
          <w:szCs w:val="24"/>
        </w:rPr>
        <w:t>,</w:t>
      </w:r>
      <w:r w:rsidRPr="00DB7074">
        <w:rPr>
          <w:rFonts w:ascii="Book Antiqua" w:hAnsi="Book Antiqua" w:cs="Times New Roman"/>
          <w:sz w:val="24"/>
          <w:szCs w:val="24"/>
        </w:rPr>
        <w:t xml:space="preserve"> whereas </w:t>
      </w:r>
      <w:r w:rsidRPr="00DB7074">
        <w:rPr>
          <w:rFonts w:ascii="Book Antiqua" w:hAnsi="Book Antiqua" w:cs="Times New Roman"/>
          <w:i/>
          <w:sz w:val="24"/>
          <w:szCs w:val="24"/>
        </w:rPr>
        <w:t>Bacteroidetes</w:t>
      </w:r>
      <w:r w:rsidRPr="00DB7074">
        <w:rPr>
          <w:rFonts w:ascii="Book Antiqua" w:hAnsi="Book Antiqua" w:cs="Times New Roman"/>
          <w:sz w:val="24"/>
          <w:szCs w:val="24"/>
        </w:rPr>
        <w:t xml:space="preserve"> populations were overrepresented in distal cancers</w:t>
      </w:r>
      <w:r w:rsidR="00862F07"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{"citationID":"a159i2rbgst","properties":{"formattedCitation":"\\super [155]\\nosupersub{}","plainCitation":"[155]","noteIndex":0},"citationItems":[{"id":"D1GMNV0O/mpF8NGV7","uris":["http://zotero.org/users/4804376/items/L9IXLQNM"],"uri":["http://zotero.org/users/4804376/items/L9IXLQNM"],"itemData":{"id":60,"type":"article-journal","title":"Tumour-associated and non-tumour-associated microbiota in colorectal cancer","container-title":"Gut","page":"633-643","volume":"66","issue":"4","source":"CrossRef","DOI":"10.1136/gutjnl-2015-309595","ISSN":"0017-5749, 1468-3288","language":"en","author":[{"family":"Flemer","given":"Burkhardt"},{"family":"Lynch","given":"Denise B"},{"family":"Brown","given":"Jillian M R"},{"family":"Jeffery","given":"Ian B"},{"family":"Ryan","given":"Feargal J"},{"family":"Claesson","given":"Marcus J"},{"family":"O'Riordain","given":"Micheal"},{"family":"Shanahan","given":"Fergus"},{"family":"O'Toole","given":"Paul W"}],"issued":{"date-parts":[["2017",4]]}}}],"schema":"https://github.com/citation-style-language/schema/raw/master/csl-citation.json"} </w:instrText>
      </w:r>
      <w:r w:rsidR="00862F07"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[155]</w:t>
      </w:r>
      <w:r w:rsidR="00862F07" w:rsidRPr="00DB7074">
        <w:rPr>
          <w:rFonts w:ascii="Book Antiqua" w:hAnsi="Book Antiqua" w:cs="Times New Roman"/>
          <w:sz w:val="24"/>
          <w:szCs w:val="24"/>
        </w:rPr>
        <w:fldChar w:fldCharType="end"/>
      </w:r>
      <w:r w:rsidRPr="00DB7074">
        <w:rPr>
          <w:rFonts w:ascii="Book Antiqua" w:hAnsi="Book Antiqua" w:cs="Times New Roman"/>
          <w:sz w:val="24"/>
          <w:szCs w:val="24"/>
        </w:rPr>
        <w:t xml:space="preserve">. </w:t>
      </w:r>
      <w:r w:rsidR="006B02EC" w:rsidRPr="00DB7074">
        <w:rPr>
          <w:rFonts w:ascii="Book Antiqua" w:hAnsi="Book Antiqua" w:cs="Times New Roman"/>
          <w:sz w:val="24"/>
          <w:szCs w:val="24"/>
        </w:rPr>
        <w:t xml:space="preserve">More recently, a drastic difference </w:t>
      </w:r>
      <w:r w:rsidR="0036758F" w:rsidRPr="00DB7074">
        <w:rPr>
          <w:rFonts w:ascii="Book Antiqua" w:hAnsi="Book Antiqua" w:cs="Times New Roman"/>
          <w:sz w:val="24"/>
          <w:szCs w:val="24"/>
        </w:rPr>
        <w:t>in</w:t>
      </w:r>
      <w:r w:rsidR="006B02EC" w:rsidRPr="00DB7074">
        <w:rPr>
          <w:rFonts w:ascii="Book Antiqua" w:hAnsi="Book Antiqua" w:cs="Times New Roman"/>
          <w:sz w:val="24"/>
          <w:szCs w:val="24"/>
        </w:rPr>
        <w:t xml:space="preserve"> the microbial composition has been observed in the mucosa of colitis-associated CRC patients, </w:t>
      </w:r>
      <w:r w:rsidRPr="00DB7074">
        <w:rPr>
          <w:rFonts w:ascii="Book Antiqua" w:hAnsi="Book Antiqua" w:cs="Times New Roman"/>
          <w:sz w:val="24"/>
          <w:szCs w:val="24"/>
        </w:rPr>
        <w:t xml:space="preserve">with an increase </w:t>
      </w:r>
      <w:r w:rsidR="0036758F" w:rsidRPr="00DB7074">
        <w:rPr>
          <w:rFonts w:ascii="Book Antiqua" w:hAnsi="Book Antiqua" w:cs="Times New Roman"/>
          <w:sz w:val="24"/>
          <w:szCs w:val="24"/>
        </w:rPr>
        <w:t>in the</w:t>
      </w:r>
      <w:r w:rsidRPr="00DB7074">
        <w:rPr>
          <w:rFonts w:ascii="Book Antiqua" w:hAnsi="Book Antiqua" w:cs="Times New Roman"/>
          <w:sz w:val="24"/>
          <w:szCs w:val="24"/>
        </w:rPr>
        <w:t xml:space="preserve"> </w:t>
      </w:r>
      <w:r w:rsidRPr="00DB7074">
        <w:rPr>
          <w:rFonts w:ascii="Book Antiqua" w:hAnsi="Book Antiqua" w:cs="Times New Roman"/>
          <w:i/>
          <w:sz w:val="24"/>
          <w:szCs w:val="24"/>
        </w:rPr>
        <w:t>Enterobacteriac</w:t>
      </w:r>
      <w:r w:rsidR="00CE6BBB" w:rsidRPr="00DB7074">
        <w:rPr>
          <w:rFonts w:ascii="Book Antiqua" w:hAnsi="Book Antiqua" w:cs="Times New Roman"/>
          <w:i/>
          <w:sz w:val="24"/>
          <w:szCs w:val="24"/>
        </w:rPr>
        <w:t>e</w:t>
      </w:r>
      <w:r w:rsidRPr="00DB7074">
        <w:rPr>
          <w:rFonts w:ascii="Book Antiqua" w:hAnsi="Book Antiqua" w:cs="Times New Roman"/>
          <w:i/>
          <w:sz w:val="24"/>
          <w:szCs w:val="24"/>
        </w:rPr>
        <w:t>ae</w:t>
      </w:r>
      <w:r w:rsidRPr="00DB7074">
        <w:rPr>
          <w:rFonts w:ascii="Book Antiqua" w:hAnsi="Book Antiqua" w:cs="Times New Roman"/>
          <w:sz w:val="24"/>
          <w:szCs w:val="24"/>
        </w:rPr>
        <w:t xml:space="preserve"> family and </w:t>
      </w:r>
      <w:r w:rsidR="0036758F" w:rsidRPr="00DB7074">
        <w:rPr>
          <w:rFonts w:ascii="Book Antiqua" w:hAnsi="Book Antiqua" w:cs="Times New Roman"/>
          <w:sz w:val="24"/>
          <w:szCs w:val="24"/>
        </w:rPr>
        <w:t xml:space="preserve">the </w:t>
      </w:r>
      <w:r w:rsidRPr="00DB7074">
        <w:rPr>
          <w:rFonts w:ascii="Book Antiqua" w:hAnsi="Book Antiqua" w:cs="Times New Roman"/>
          <w:i/>
          <w:sz w:val="24"/>
          <w:szCs w:val="24"/>
        </w:rPr>
        <w:t>Sphingomonas</w:t>
      </w:r>
      <w:r w:rsidRPr="00DB7074">
        <w:rPr>
          <w:rFonts w:ascii="Book Antiqua" w:hAnsi="Book Antiqua" w:cs="Times New Roman"/>
          <w:sz w:val="24"/>
          <w:szCs w:val="24"/>
        </w:rPr>
        <w:t xml:space="preserve"> genus and a decrease </w:t>
      </w:r>
      <w:r w:rsidR="0036758F" w:rsidRPr="00DB7074">
        <w:rPr>
          <w:rFonts w:ascii="Book Antiqua" w:hAnsi="Book Antiqua" w:cs="Times New Roman"/>
          <w:sz w:val="24"/>
          <w:szCs w:val="24"/>
        </w:rPr>
        <w:t>in</w:t>
      </w:r>
      <w:r w:rsidRPr="00DB7074">
        <w:rPr>
          <w:rFonts w:ascii="Book Antiqua" w:hAnsi="Book Antiqua" w:cs="Times New Roman"/>
          <w:sz w:val="24"/>
          <w:szCs w:val="24"/>
        </w:rPr>
        <w:t xml:space="preserve"> </w:t>
      </w:r>
      <w:r w:rsidRPr="00DB7074">
        <w:rPr>
          <w:rFonts w:ascii="Book Antiqua" w:hAnsi="Book Antiqua" w:cs="Times New Roman"/>
          <w:i/>
          <w:sz w:val="24"/>
          <w:szCs w:val="24"/>
        </w:rPr>
        <w:t>Fusobacterium</w:t>
      </w:r>
      <w:r w:rsidRPr="00DB7074">
        <w:rPr>
          <w:rFonts w:ascii="Book Antiqua" w:hAnsi="Book Antiqua" w:cs="Times New Roman"/>
          <w:sz w:val="24"/>
          <w:szCs w:val="24"/>
        </w:rPr>
        <w:t xml:space="preserve"> and </w:t>
      </w:r>
      <w:r w:rsidRPr="00DB7074">
        <w:rPr>
          <w:rFonts w:ascii="Book Antiqua" w:hAnsi="Book Antiqua" w:cs="Times New Roman"/>
          <w:i/>
          <w:sz w:val="24"/>
          <w:szCs w:val="24"/>
        </w:rPr>
        <w:t>Ruminococcus</w:t>
      </w:r>
      <w:r w:rsidRPr="00DB7074">
        <w:rPr>
          <w:rFonts w:ascii="Book Antiqua" w:hAnsi="Book Antiqua" w:cs="Times New Roman"/>
          <w:sz w:val="24"/>
          <w:szCs w:val="24"/>
        </w:rPr>
        <w:t xml:space="preserve"> </w:t>
      </w:r>
      <w:r w:rsidR="0036758F" w:rsidRPr="00DB7074">
        <w:rPr>
          <w:rFonts w:ascii="Book Antiqua" w:hAnsi="Book Antiqua" w:cs="Times New Roman"/>
          <w:sz w:val="24"/>
          <w:szCs w:val="24"/>
        </w:rPr>
        <w:t>genera</w:t>
      </w:r>
      <w:r w:rsidR="006B02EC" w:rsidRPr="00DB7074">
        <w:rPr>
          <w:rFonts w:ascii="Book Antiqua" w:hAnsi="Book Antiqua" w:cs="Times New Roman"/>
          <w:sz w:val="24"/>
          <w:szCs w:val="24"/>
        </w:rPr>
        <w:t xml:space="preserve">, when compared </w:t>
      </w:r>
      <w:r w:rsidR="0036758F" w:rsidRPr="00DB7074">
        <w:rPr>
          <w:rFonts w:ascii="Book Antiqua" w:hAnsi="Book Antiqua" w:cs="Times New Roman"/>
          <w:sz w:val="24"/>
          <w:szCs w:val="24"/>
        </w:rPr>
        <w:t>with</w:t>
      </w:r>
      <w:r w:rsidR="006B02EC" w:rsidRPr="00DB7074">
        <w:rPr>
          <w:rFonts w:ascii="Book Antiqua" w:hAnsi="Book Antiqua" w:cs="Times New Roman"/>
          <w:sz w:val="24"/>
          <w:szCs w:val="24"/>
        </w:rPr>
        <w:t xml:space="preserve"> the mucosa of</w:t>
      </w:r>
      <w:r w:rsidRPr="00DB7074">
        <w:rPr>
          <w:rFonts w:ascii="Book Antiqua" w:hAnsi="Book Antiqua" w:cs="Times New Roman"/>
          <w:sz w:val="24"/>
          <w:szCs w:val="24"/>
        </w:rPr>
        <w:t xml:space="preserve"> sporadic CRC </w:t>
      </w:r>
      <w:r w:rsidR="006B02EC" w:rsidRPr="00DB7074">
        <w:rPr>
          <w:rFonts w:ascii="Book Antiqua" w:hAnsi="Book Antiqua" w:cs="Times New Roman"/>
          <w:sz w:val="24"/>
          <w:szCs w:val="24"/>
        </w:rPr>
        <w:t>patients</w:t>
      </w:r>
      <w:r w:rsidR="00862F07"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{"citationID":"a15bp48vb1n","properties":{"formattedCitation":"\\super [156]\\nosupersub{}","plainCitation":"[156]","noteIndex":0},"citationItems":[{"id":"D1GMNV0O/bVlC1f1P","uris":["http://zotero.org/users/4804376/items/IKCJ78JY"],"uri":["http://zotero.org/users/4804376/items/IKCJ78JY"],"itemData":{"id":339,"type":"article-journal","title":"Mucosa-associated microbiota dysbiosis in colitis associated cancer","container-title":"Gut Microbes","page":"1-12","source":"PubMed","abstract":"Gut microbiota dysbiosis has been associated with inflammatory bowel diseases (IBD). In colorectal cancer, the gut microbiota has also been recognized as potentially involved in aggravating or favoring the tumor development. However, very little is known on the structure and role of the microbiota in colitis associated cancer (CAC), an important complication of IBD in human. Here we analyzed the bacterial and fungal composition of the mucosa associated microbiota of patients suffering CAC, sporadic cancer (SC) and of healthy subjects (HS) by barcode sequences analysis on the following cohort: 7 CAC patients, 10 SC patients and 10 HS using 16S (MiSeq) and ITS2 (pyrosequencing) sequencing, for bacteria and fungi respectively. Mucosa-associated bacterial microbiota in CAC was significantly different from the ones in SC or in HS, while the fungal showed no differences. Comparison between mucosa-associated microbiota on the tumor site or in normal mucosa near the tumor showed very similar patterns. The global mucosa-associated bacterial microbiota in cancer patients was characterized by a restriction in biodiversity but no change for the fungal community. Compared to SC, CAC was characterized by an increase of Enterobacteriacae family and Sphingomonas genus and a decrease of Fusobacterium and Ruminococcus genus. Our study confirms the alteration of the mucosa-associated bacterial microbiota in IBD and SC. Although the cohort is limited in number, this is the first evidence of the existence of an altered bacterial microbiota in CAC clearly different from the one in SC patients.","DOI":"10.1080/19490976.2017.1379637","ISSN":"1949-0984","note":"PMID: 28914591","journalAbbreviation":"Gut Microbes","language":"eng","author":[{"family":"Richard","given":"Mathias L."},{"family":"Liguori","given":"Giuseppina"},{"family":"Lamas","given":"Bruno"},{"family":"Brandi","given":"Giovanni"},{"family":"Costa","given":"Gregory","non-dropping-particle":"da"},{"family":"Hoffmann","given":"Thomas W."},{"family":"Pierluigi Di Simone","given":"Massimo"},{"family":"Calabrese","given":"Carlo"},{"family":"Poggioli","given":"Gilberto"},{"family":"Langella","given":"Philippe"},{"family":"Campieri","given":"Massimo"},{"family":"Sokol","given":"Harry"}],"issued":{"date-parts":[["2017",9,15]]}}}],"schema":"https://github.com/citation-style-language/schema/raw/master/csl-citation.json"} </w:instrText>
      </w:r>
      <w:r w:rsidR="00862F07"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[156]</w:t>
      </w:r>
      <w:r w:rsidR="00862F07" w:rsidRPr="00DB7074">
        <w:rPr>
          <w:rFonts w:ascii="Book Antiqua" w:hAnsi="Book Antiqua" w:cs="Times New Roman"/>
          <w:sz w:val="24"/>
          <w:szCs w:val="24"/>
        </w:rPr>
        <w:fldChar w:fldCharType="end"/>
      </w:r>
      <w:r w:rsidRPr="00DB7074">
        <w:rPr>
          <w:rFonts w:ascii="Book Antiqua" w:hAnsi="Book Antiqua" w:cs="Times New Roman"/>
          <w:sz w:val="24"/>
          <w:szCs w:val="24"/>
        </w:rPr>
        <w:t xml:space="preserve">. </w:t>
      </w:r>
      <w:r w:rsidR="006B02EC" w:rsidRPr="00DB7074">
        <w:rPr>
          <w:rFonts w:ascii="Book Antiqua" w:hAnsi="Book Antiqua" w:cs="Times New Roman"/>
          <w:sz w:val="24"/>
          <w:szCs w:val="24"/>
        </w:rPr>
        <w:t>Similarly</w:t>
      </w:r>
      <w:r w:rsidRPr="00DB7074">
        <w:rPr>
          <w:rFonts w:ascii="Book Antiqua" w:hAnsi="Book Antiqua" w:cs="Times New Roman"/>
          <w:sz w:val="24"/>
          <w:szCs w:val="24"/>
        </w:rPr>
        <w:t xml:space="preserve">, we observed that colibactin-producing </w:t>
      </w:r>
      <w:r w:rsidRPr="00DB7074">
        <w:rPr>
          <w:rFonts w:ascii="Book Antiqua" w:hAnsi="Book Antiqua" w:cs="Times New Roman"/>
          <w:i/>
          <w:iCs/>
          <w:sz w:val="24"/>
          <w:szCs w:val="24"/>
        </w:rPr>
        <w:t xml:space="preserve">E. coli </w:t>
      </w:r>
      <w:r w:rsidRPr="00DB7074">
        <w:rPr>
          <w:rFonts w:ascii="Book Antiqua" w:hAnsi="Book Antiqua" w:cs="Times New Roman"/>
          <w:sz w:val="24"/>
          <w:szCs w:val="24"/>
        </w:rPr>
        <w:t>were more frequently identified in microsatellite</w:t>
      </w:r>
      <w:r w:rsidR="00231EFA" w:rsidRPr="00DB7074">
        <w:rPr>
          <w:rFonts w:ascii="Book Antiqua" w:hAnsi="Book Antiqua" w:cs="Times New Roman"/>
          <w:sz w:val="24"/>
          <w:szCs w:val="24"/>
        </w:rPr>
        <w:t xml:space="preserve"> </w:t>
      </w:r>
      <w:r w:rsidRPr="00DB7074">
        <w:rPr>
          <w:rFonts w:ascii="Book Antiqua" w:hAnsi="Book Antiqua" w:cs="Times New Roman"/>
          <w:sz w:val="24"/>
          <w:szCs w:val="24"/>
        </w:rPr>
        <w:t>stable (MSS) CRC</w:t>
      </w:r>
      <w:r w:rsidR="00862F07"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{"citationID":"a1mg6d4omli","properties":{"formattedCitation":"\\super [157]\\nosupersub{}","plainCitation":"[157]","noteIndex":0},"citationItems":[{"id":"D1GMNV0O/JuAxIu9Q","uris":["http://zotero.org/users/4804376/items/BGHZKCI6"],"uri":["http://zotero.org/users/4804376/items/BGHZKCI6"],"itemData":{"id":598,"type":"article-journal","title":"Interactions between microsatellite instability and human gut colonization byEscherichia coliin colorectal cancer","container-title":"Clinical Science (London, England: 1979)","page":"471-485","volume":"131","issue":"6","source":"PubMed","abstract":"Recent studies suggest that colonization of colonic mucosa by pathogenicEscherichia colicould be involved in the development of colorectal cancer (CRC), especially through the production of genotoxins such as colibactin and/or by interfering with the DNA mismatch repair (MMR) pathway that leads to microsatellite instability (MSI). The present study, performed on 88 CRC patients, revealed a significant increase inE. colicolonization in the MSI CRC phenotype. In the same way,E. colipersistence and internalization were increasedin vitroin MMR-deficient cells. Moreover, we demonstrated that colibactin-producingE. coliinduce inhibition of the mutL homologue 1 (MLH1) MMR proteins, which could lead to genomic instability. However, colibactin-producingE. coliwere more frequently identified in microsatellite stable (MSS) CRC. The present study suggests differences in the involvement of colibactin-producingE. coliin colorectal carcinogenesis according to the CRC phenotype. Further host-pathogen interactions studies should take into account CRC phenotypes.","DOI":"10.1042/CS20160876","ISSN":"1470-8736","note":"PMID: 28093453","journalAbbreviation":"Clin. Sci.","language":"eng","author":[{"family":"Gagnière","given":"Johan"},{"family":"Bonnin","given":"Virginie"},{"family":"Jarrousse","given":"Anne-Sophie"},{"family":"Cardamone","given":"Emilie"},{"family":"Agus","given":"Allison"},{"family":"Uhrhammer","given":"Nancy"},{"family":"Sauvanet","given":"Pierre"},{"family":"Déchelotte","given":"Pierre"},{"family":"Barnich","given":"Nicolas"},{"family":"Bonnet","given":"Richard"},{"family":"Pezet","given":"Denis"},{"family":"Bonnet","given":"Mathilde"}],"issued":{"date-parts":[["2017",3,1]]}}}],"schema":"https://github.com/citation-style-language/schema/raw/master/csl-citation.json"} </w:instrText>
      </w:r>
      <w:r w:rsidR="00862F07"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[157]</w:t>
      </w:r>
      <w:r w:rsidR="00862F07" w:rsidRPr="00DB7074">
        <w:rPr>
          <w:rFonts w:ascii="Book Antiqua" w:hAnsi="Book Antiqua" w:cs="Times New Roman"/>
          <w:sz w:val="24"/>
          <w:szCs w:val="24"/>
        </w:rPr>
        <w:fldChar w:fldCharType="end"/>
      </w:r>
      <w:r w:rsidRPr="00DB7074">
        <w:rPr>
          <w:rFonts w:ascii="Book Antiqua" w:hAnsi="Book Antiqua" w:cs="Times New Roman"/>
          <w:sz w:val="24"/>
          <w:szCs w:val="24"/>
        </w:rPr>
        <w:t>. In the same way</w:t>
      </w:r>
      <w:r w:rsidR="006B02EC" w:rsidRPr="00DB7074">
        <w:rPr>
          <w:rFonts w:ascii="Book Antiqua" w:hAnsi="Book Antiqua" w:cs="Times New Roman"/>
          <w:sz w:val="24"/>
          <w:szCs w:val="24"/>
        </w:rPr>
        <w:t>,</w:t>
      </w:r>
      <w:r w:rsidRPr="00DB7074">
        <w:rPr>
          <w:rFonts w:ascii="Book Antiqua" w:hAnsi="Book Antiqua" w:cs="Times New Roman"/>
          <w:sz w:val="24"/>
          <w:szCs w:val="24"/>
        </w:rPr>
        <w:t xml:space="preserve"> high colonization </w:t>
      </w:r>
      <w:r w:rsidR="006B02EC" w:rsidRPr="00DB7074">
        <w:rPr>
          <w:rFonts w:ascii="Book Antiqua" w:hAnsi="Book Antiqua" w:cs="Times New Roman"/>
          <w:sz w:val="24"/>
          <w:szCs w:val="24"/>
        </w:rPr>
        <w:t>by</w:t>
      </w:r>
      <w:r w:rsidRPr="00DB7074">
        <w:rPr>
          <w:rFonts w:ascii="Book Antiqua" w:hAnsi="Book Antiqua" w:cs="Times New Roman"/>
          <w:sz w:val="24"/>
          <w:szCs w:val="24"/>
        </w:rPr>
        <w:t xml:space="preserve"> </w:t>
      </w:r>
      <w:r w:rsidRPr="00DB7074">
        <w:rPr>
          <w:rFonts w:ascii="Book Antiqua" w:hAnsi="Book Antiqua" w:cs="Times New Roman"/>
          <w:i/>
          <w:sz w:val="24"/>
          <w:szCs w:val="24"/>
        </w:rPr>
        <w:t>F.</w:t>
      </w:r>
      <w:r w:rsidR="006B02EC" w:rsidRPr="00DB7074">
        <w:rPr>
          <w:rFonts w:ascii="Book Antiqua" w:hAnsi="Book Antiqua" w:cs="Times New Roman"/>
          <w:i/>
          <w:sz w:val="24"/>
          <w:szCs w:val="24"/>
        </w:rPr>
        <w:t xml:space="preserve"> </w:t>
      </w:r>
      <w:r w:rsidRPr="00DB7074">
        <w:rPr>
          <w:rFonts w:ascii="Book Antiqua" w:hAnsi="Book Antiqua" w:cs="Times New Roman"/>
          <w:i/>
          <w:sz w:val="24"/>
          <w:szCs w:val="24"/>
        </w:rPr>
        <w:t>nucleatum</w:t>
      </w:r>
      <w:r w:rsidRPr="00DB7074">
        <w:rPr>
          <w:rFonts w:ascii="Book Antiqua" w:hAnsi="Book Antiqua" w:cs="Times New Roman"/>
          <w:sz w:val="24"/>
          <w:szCs w:val="24"/>
        </w:rPr>
        <w:t xml:space="preserve"> and negative-colibactin</w:t>
      </w:r>
      <w:r w:rsidR="0036758F" w:rsidRPr="00DB7074">
        <w:rPr>
          <w:rFonts w:ascii="Book Antiqua" w:hAnsi="Book Antiqua" w:cs="Times New Roman"/>
          <w:sz w:val="24"/>
          <w:szCs w:val="24"/>
        </w:rPr>
        <w:t xml:space="preserve"> </w:t>
      </w:r>
      <w:r w:rsidRPr="00DB7074">
        <w:rPr>
          <w:rFonts w:ascii="Book Antiqua" w:hAnsi="Book Antiqua" w:cs="Times New Roman"/>
          <w:i/>
          <w:sz w:val="24"/>
          <w:szCs w:val="24"/>
        </w:rPr>
        <w:t>E.</w:t>
      </w:r>
      <w:r w:rsidR="006B02EC" w:rsidRPr="00DB7074">
        <w:rPr>
          <w:rFonts w:ascii="Book Antiqua" w:hAnsi="Book Antiqua" w:cs="Times New Roman"/>
          <w:i/>
          <w:sz w:val="24"/>
          <w:szCs w:val="24"/>
        </w:rPr>
        <w:t xml:space="preserve"> </w:t>
      </w:r>
      <w:r w:rsidRPr="00DB7074">
        <w:rPr>
          <w:rFonts w:ascii="Book Antiqua" w:hAnsi="Book Antiqua" w:cs="Times New Roman"/>
          <w:i/>
          <w:sz w:val="24"/>
          <w:szCs w:val="24"/>
        </w:rPr>
        <w:t>coli</w:t>
      </w:r>
      <w:r w:rsidRPr="00DB7074">
        <w:rPr>
          <w:rFonts w:ascii="Book Antiqua" w:hAnsi="Book Antiqua" w:cs="Times New Roman"/>
          <w:sz w:val="24"/>
          <w:szCs w:val="24"/>
        </w:rPr>
        <w:t xml:space="preserve"> bacteria were detected </w:t>
      </w:r>
      <w:r w:rsidR="006B02EC" w:rsidRPr="00DB7074">
        <w:rPr>
          <w:rFonts w:ascii="Book Antiqua" w:hAnsi="Book Antiqua" w:cs="Times New Roman"/>
          <w:sz w:val="24"/>
          <w:szCs w:val="24"/>
        </w:rPr>
        <w:t>in</w:t>
      </w:r>
      <w:r w:rsidRPr="00DB7074">
        <w:rPr>
          <w:rFonts w:ascii="Book Antiqua" w:hAnsi="Book Antiqua" w:cs="Times New Roman"/>
          <w:sz w:val="24"/>
          <w:szCs w:val="24"/>
        </w:rPr>
        <w:t xml:space="preserve"> </w:t>
      </w:r>
      <w:r w:rsidR="006B02EC" w:rsidRPr="00DB7074">
        <w:rPr>
          <w:rFonts w:ascii="Book Antiqua" w:hAnsi="Book Antiqua" w:cs="Times New Roman"/>
          <w:sz w:val="24"/>
          <w:szCs w:val="24"/>
        </w:rPr>
        <w:t xml:space="preserve">patients with </w:t>
      </w:r>
      <w:r w:rsidRPr="00DB7074">
        <w:rPr>
          <w:rFonts w:ascii="Book Antiqua" w:hAnsi="Book Antiqua" w:cs="Times New Roman"/>
          <w:sz w:val="24"/>
          <w:szCs w:val="24"/>
        </w:rPr>
        <w:t>MSI (</w:t>
      </w:r>
      <w:r w:rsidR="006B02EC" w:rsidRPr="00DB7074">
        <w:rPr>
          <w:rFonts w:ascii="Book Antiqua" w:hAnsi="Book Antiqua" w:cs="Times New Roman"/>
          <w:sz w:val="24"/>
          <w:szCs w:val="24"/>
        </w:rPr>
        <w:t>microsatellite</w:t>
      </w:r>
      <w:r w:rsidRPr="00DB7074">
        <w:rPr>
          <w:rFonts w:ascii="Book Antiqua" w:hAnsi="Book Antiqua" w:cs="Times New Roman"/>
          <w:sz w:val="24"/>
          <w:szCs w:val="24"/>
        </w:rPr>
        <w:t xml:space="preserve"> instability) compar</w:t>
      </w:r>
      <w:r w:rsidR="0036758F" w:rsidRPr="00DB7074">
        <w:rPr>
          <w:rFonts w:ascii="Book Antiqua" w:hAnsi="Book Antiqua" w:cs="Times New Roman"/>
          <w:sz w:val="24"/>
          <w:szCs w:val="24"/>
        </w:rPr>
        <w:t>ed with the</w:t>
      </w:r>
      <w:r w:rsidRPr="00DB7074">
        <w:rPr>
          <w:rFonts w:ascii="Book Antiqua" w:hAnsi="Book Antiqua" w:cs="Times New Roman"/>
          <w:sz w:val="24"/>
          <w:szCs w:val="24"/>
        </w:rPr>
        <w:t xml:space="preserve"> MSS phenotype</w:t>
      </w:r>
      <w:r w:rsidR="00862F07"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{"citationID":"FULbbadM","properties":{"formattedCitation":"\\super [149,157,158]\\nosupersub{}","plainCitation":"[149,157,158]","noteIndex":0},"citationItems":[{"id":"D1GMNV0O/JuAxIu9Q","uris":["http://zotero.org/users/4804376/items/BGHZKCI6"],"uri":["http://zotero.org/users/4804376/items/BGHZKCI6"],"itemData":{"id":598,"type":"article-journal","title":"Interactions between microsatellite instability and human gut colonization byEscherichia coliin colorectal cancer","container-title":"Clinical Science (London, England: 1979)","page":"471-485","volume":"131","issue":"6","source":"PubMed","abstract":"Recent studies suggest that colonization of colonic mucosa by pathogenicEscherichia colicould be involved in the development of colorectal cancer (CRC), especially through the production of genotoxins such as colibactin and/or by interfering with the DNA mismatch repair (MMR) pathway that leads to microsatellite instability (MSI). The present study, performed on 88 CRC patients, revealed a significant increase inE. colicolonization in the MSI CRC phenotype. In the same way,E. colipersistence and internalization were increasedin vitroin MMR-deficient cells. Moreover, we demonstrated that colibactin-producingE. coliinduce inhibition of the mutL homologue 1 (MLH1) MMR proteins, which could lead to genomic instability. However, colibactin-producingE. coliwere more frequently identified in microsatellite stable (MSS) CRC. The present study suggests differences in the involvement of colibactin-producingE. coliin colorectal carcinogenesis according to the CRC phenotype. Further host-pathogen interactions studies should take into account CRC phenotypes.","DOI":"10.1042/CS20160876","ISSN":"1470-8736","note":"PMID: 28093453","journalAbbreviation":"Clin. Sci.","language":"eng","author":[{"family":"Gagnière","given":"Johan"},{"family":"Bonnin","given":"Virginie"},{"family":"Jarrousse","given":"Anne-Sophie"},{"family":"Cardamone","given":"Emilie"},{"family":"Agus","given":"Allison"},{"family":"Uhrhammer","given":"Nancy"},{"family":"Sauvanet","given":"Pierre"},{"family":"Déchelotte","given":"Pierre"},{"family":"Barnich","given":"Nicolas"},{"family":"Bonnet","given":"Richard"},{"family":"Pezet","given":"Denis"},{"family":"Bonnet","given":"Mathilde"}],"issued":{"date-parts":[["2017",3,1]]}}},{"id":"D1GMNV0O/6dlFpmII","uris":["http://zotero.org/users/4804376/items/6EDF2YAG"],"uri":["http://zotero.org/users/4804376/items/6EDF2YAG"],"itemData":{"id":648,"type":"article-journal","title":"Fusobacterium nucleatum in colorectal carcinoma tissue and patient prognosis","container-title":"Gut","page":"1973-1980","volume":"65","issue":"12","source":"PubMed","abstract":"OBJECTIVE: Accumulating evidence links the intestinal microbiota and colorectal carcinogenesis. Fusobacterium nucleatum may promote colorectal tumour growth and inhibit T cell-mediated immune responses against colorectal tumours. Thus, we hypothesised that the amount of F. nucleatum in colorectal carcinoma might be associated with worse clinical outcome.\nDESIGN: We used molecular pathological epidemiology database of 1069 rectal and colon cancer cases in the Nurses' Health Study and the Health Professionals Follow-up Study, and measured F. nucleatum DNA in carcinoma tissue. Cox proportional hazards model was used to compute hazard ratio (HR), controlling for potential confounders, including microsatellite instability (MSI, mismatch repair deficiency), CpG island methylator phenotype (CIMP), KRAS, BRAF, and PIK3CA mutations, and LINE-1 hypomethylation (low-level methylation).\nRESULTS: Compared with F. nucleatum-negative cases, multivariable HRs (95% CI) for colorectal cancer-specific mortality in F. nucleatum-low cases and F. nucleatum-high cases were 1.25 (0.82 to 1.92) and 1.58 (1.04 to 2.39), respectively, (p for trend=0.020). The amount of F. nucleatum was associated with MSI-high (multivariable odd ratio (OR), 5.22; 95% CI 2.86 to 9.55) independent of CIMP and BRAF mutation status, whereas CIMP and BRAF mutation were associated with F. nucleatum only in univariate analyses (p&lt;0.001) but not in multivariate analysis that adjusted for MSI status.\nCONCLUSIONS: The amount of F. nucleatum DNA in colorectal cancer tissue is associated with shorter survival, and may potentially serve as a prognostic biomarker. Our data may have implications in developing cancer prevention and treatment strategies through targeting GI microflora by diet, probiotics and antibiotics.","DOI":"10.1136/gutjnl-2015-310101","ISSN":"1468-3288","note":"PMID: 26311717\nPMCID: PMC4769120","journalAbbreviation":"Gut","language":"eng","author":[{"family":"Mima","given":"Kosuke"},{"family":"Nishihara","given":"Reiko"},{"family":"Qian","given":"Zhi Rong"},{"family":"Cao","given":"Yin"},{"family":"Sukawa","given":"Yasutaka"},{"family":"Nowak","given":"Jonathan A."},{"family":"Yang","given":"Juhong"},{"family":"Dou","given":"Ruoxu"},{"family":"Masugi","given":"Yohei"},{"family":"Song","given":"Mingyang"},{"family":"Kostic","given":"Aleksandar D."},{"family":"Giannakis","given":"Marios"},{"family":"Bullman","given":"Susan"},{"family":"Milner","given":"Danny A."},{"family":"Baba","given":"Hideo"},{"family":"Giovannucci","given":"Edward L."},{"family":"Garraway","given":"Levi A."},{"family":"Freeman","given":"Gordon J."},{"family":"Dranoff","given":"Glenn"},{"family":"Garrett","given":"Wendy S."},{"family":"Huttenhower","given":"Curtis"},{"family":"Meyerson","given":"Matthew"},{"family":"Meyerhardt","given":"Jeffrey A."},{"family":"Chan","given":"Andrew T."},{"family":"Fuchs","given":"Charles S."},{"family":"Ogino","given":"Shuji"}],"issued":{"date-parts":[["2016"]]}}},{"id":"D1GMNV0O/C8ydDPxb","uris":["http://zotero.org/users/4804376/items/72ZTFL8N"],"uri":["http://zotero.org/users/4804376/items/72ZTFL8N"],"itemData":{"id":678,"type":"article-journal","title":"Quantitative profiling of colorectal cancer-associated bacteria reveals associations between fusobacterium spp., enterotoxigenic Bacteroides fragilis (ETBF) and clinicopathological features of colorectal cancer","container-title":"PloS One","page":"e0119462","volume":"10","issue":"3","source":"PubMed","abstract":"Various studies have presented clinical or in vitro evidence linking bacteria to colorectal cancer, but these bacteria have not previously been concurrently quantified by qPCR in a single cohort. We quantify these bacteria (Fusobacterium spp., Streptococcus gallolyticus, Enterococcus faecalis, Enterotoxigenic Bacteroides fragilis (ETBF), Enteropathogenic Escherichia coli (EPEC), and afaC- or pks-positive E. coli) in paired tumour and normal tissue samples from 55 colorectal cancer patients. We further investigate the relationship between a) the presence and b) the level of colonisation of each bacterial species with site and stage of disease, age, gender, ethnicity and MSI-status. With the exception of S. gallolyticus, we detected all bacteria profiled here in both tumour and normal samples at varying frequencies. ETBF (FDR = 0.001 and 0.002 for normal and tumour samples) and afaC-positive E. coli (FDR = 0.03, normal samples) were significantly enriched in the colon compared to the rectum. ETBF (FDR = 0.04 and 0.002 for normal and tumour samples, respectively) and Fusobacterium spp. (FDR = 0.03 tumour samples) levels were significantly higher in late stage (III/IV) colorectal cancers. Fusobacterium was by far the most common bacteria detected, occurring in 82% and 81% of paired tumour and normal samples. Fusobacterium was also the only bacterium that was significantly higher in tumour compared to normal samples (p = 6e-5). We also identified significant associations between high-level colonisation by Fusobacterium and MSI-H (FDR = 0.05), age (FDR = 0.03) or pks-positive E. coli (FDR = 0.01). Furthermore, we exclusively identified atypical EPEC in our cohort, which has not been previously reported in association with colorectal cancer. By quantifying colorectal cancer-associated bacteria across a single cohort, we uncovered inter- and intra-individual patterns of colonization not previously recognized, as well as important associations with clinicopathological features, especially in the case of Fusobacterium and ETBF.","DOI":"10.1371/journal.pone.0119462","ISSN":"1932-6203","note":"PMID: 25751261\nPMCID: PMC4353626","journalAbbreviation":"PLoS ONE","language":"eng","author":[{"family":"Viljoen","given":"Katie S."},{"family":"Dakshinamurthy","given":"Amirtha"},{"family":"Goldberg","given":"Paul"},{"family":"Blackburn","given":"Jonathan M."}],"issued":{"date-parts":[["2015"]]}}}],"schema":"https://github.com/citation-style-language/schema/raw/master/csl-citation.json"} </w:instrText>
      </w:r>
      <w:r w:rsidR="00862F07"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[149,157,158]</w:t>
      </w:r>
      <w:r w:rsidR="00862F07" w:rsidRPr="00DB7074">
        <w:rPr>
          <w:rFonts w:ascii="Book Antiqua" w:hAnsi="Book Antiqua" w:cs="Times New Roman"/>
          <w:sz w:val="24"/>
          <w:szCs w:val="24"/>
        </w:rPr>
        <w:fldChar w:fldCharType="end"/>
      </w:r>
      <w:r w:rsidRPr="00DB7074">
        <w:rPr>
          <w:rFonts w:ascii="Book Antiqua" w:hAnsi="Book Antiqua" w:cs="Times New Roman"/>
          <w:sz w:val="24"/>
          <w:szCs w:val="24"/>
        </w:rPr>
        <w:t xml:space="preserve">. </w:t>
      </w:r>
      <w:r w:rsidR="00247108" w:rsidRPr="00DB7074">
        <w:rPr>
          <w:rFonts w:ascii="Book Antiqua" w:hAnsi="Book Antiqua" w:cs="Times New Roman"/>
          <w:sz w:val="24"/>
          <w:szCs w:val="24"/>
        </w:rPr>
        <w:t xml:space="preserve">All these data suggest that </w:t>
      </w:r>
      <w:r w:rsidR="0036758F" w:rsidRPr="00DB7074">
        <w:rPr>
          <w:rFonts w:ascii="Book Antiqua" w:hAnsi="Book Antiqua" w:cs="Times New Roman"/>
          <w:sz w:val="24"/>
          <w:szCs w:val="24"/>
        </w:rPr>
        <w:t xml:space="preserve">the </w:t>
      </w:r>
      <w:r w:rsidR="00247108" w:rsidRPr="00DB7074">
        <w:rPr>
          <w:rFonts w:ascii="Book Antiqua" w:hAnsi="Book Antiqua" w:cs="Times New Roman"/>
          <w:sz w:val="24"/>
          <w:szCs w:val="24"/>
        </w:rPr>
        <w:t>dysbiosis</w:t>
      </w:r>
      <w:r w:rsidR="0036758F" w:rsidRPr="00DB7074">
        <w:rPr>
          <w:rFonts w:ascii="Book Antiqua" w:hAnsi="Book Antiqua" w:cs="Times New Roman"/>
          <w:sz w:val="24"/>
          <w:szCs w:val="24"/>
        </w:rPr>
        <w:t xml:space="preserve"> </w:t>
      </w:r>
      <w:r w:rsidR="00247108" w:rsidRPr="00DB7074">
        <w:rPr>
          <w:rFonts w:ascii="Book Antiqua" w:hAnsi="Book Antiqua" w:cs="Times New Roman"/>
          <w:sz w:val="24"/>
          <w:szCs w:val="24"/>
        </w:rPr>
        <w:t xml:space="preserve">signature of CRC </w:t>
      </w:r>
      <w:r w:rsidR="0036758F" w:rsidRPr="00DB7074">
        <w:rPr>
          <w:rFonts w:ascii="Book Antiqua" w:hAnsi="Book Antiqua" w:cs="Times New Roman"/>
          <w:sz w:val="24"/>
          <w:szCs w:val="24"/>
        </w:rPr>
        <w:t xml:space="preserve">might </w:t>
      </w:r>
      <w:r w:rsidR="00247108" w:rsidRPr="00DB7074">
        <w:rPr>
          <w:rFonts w:ascii="Book Antiqua" w:hAnsi="Book Antiqua" w:cs="Times New Roman"/>
          <w:sz w:val="24"/>
          <w:szCs w:val="24"/>
        </w:rPr>
        <w:t xml:space="preserve">be different according to </w:t>
      </w:r>
      <w:r w:rsidR="0036758F" w:rsidRPr="00DB7074">
        <w:rPr>
          <w:rFonts w:ascii="Book Antiqua" w:hAnsi="Book Antiqua" w:cs="Times New Roman"/>
          <w:sz w:val="24"/>
          <w:szCs w:val="24"/>
        </w:rPr>
        <w:t xml:space="preserve">the </w:t>
      </w:r>
      <w:r w:rsidR="00507882" w:rsidRPr="00DB7074">
        <w:rPr>
          <w:rFonts w:ascii="Book Antiqua" w:hAnsi="Book Antiqua" w:cs="Times New Roman"/>
          <w:sz w:val="24"/>
          <w:szCs w:val="24"/>
        </w:rPr>
        <w:t>tumour</w:t>
      </w:r>
      <w:r w:rsidR="00247108" w:rsidRPr="00DB7074">
        <w:rPr>
          <w:rFonts w:ascii="Book Antiqua" w:hAnsi="Book Antiqua" w:cs="Times New Roman"/>
          <w:sz w:val="24"/>
          <w:szCs w:val="24"/>
        </w:rPr>
        <w:t xml:space="preserve"> phenotype and/or molecular alterations.</w:t>
      </w:r>
    </w:p>
    <w:p w14:paraId="0A9EC40D" w14:textId="57A890EB" w:rsidR="00AA79EF" w:rsidRPr="00DB7074" w:rsidRDefault="00582B39" w:rsidP="001C51C8">
      <w:pPr>
        <w:snapToGrid w:val="0"/>
        <w:spacing w:after="0" w:line="360" w:lineRule="auto"/>
        <w:ind w:firstLineChars="100" w:firstLine="240"/>
        <w:jc w:val="both"/>
        <w:rPr>
          <w:rFonts w:ascii="Book Antiqua" w:hAnsi="Book Antiqua" w:cs="Times New Roman"/>
          <w:sz w:val="24"/>
          <w:szCs w:val="24"/>
        </w:rPr>
      </w:pPr>
      <w:r w:rsidRPr="00DB7074">
        <w:rPr>
          <w:rFonts w:ascii="Book Antiqua" w:eastAsia="Times New Roman" w:hAnsi="Book Antiqua" w:cs="Times New Roman"/>
          <w:sz w:val="24"/>
          <w:szCs w:val="24"/>
          <w:lang w:eastAsia="fr-FR"/>
        </w:rPr>
        <w:t>In con</w:t>
      </w:r>
      <w:r w:rsidR="00C10E1D" w:rsidRPr="00DB7074">
        <w:rPr>
          <w:rFonts w:ascii="Book Antiqua" w:eastAsia="Times New Roman" w:hAnsi="Book Antiqua" w:cs="Times New Roman"/>
          <w:sz w:val="24"/>
          <w:szCs w:val="24"/>
          <w:lang w:eastAsia="fr-FR"/>
        </w:rPr>
        <w:t>c</w:t>
      </w:r>
      <w:r w:rsidRPr="00DB7074">
        <w:rPr>
          <w:rFonts w:ascii="Book Antiqua" w:eastAsia="Times New Roman" w:hAnsi="Book Antiqua" w:cs="Times New Roman"/>
          <w:sz w:val="24"/>
          <w:szCs w:val="24"/>
          <w:lang w:eastAsia="fr-FR"/>
        </w:rPr>
        <w:t xml:space="preserve">lusion, </w:t>
      </w:r>
      <w:r w:rsidR="0038425F" w:rsidRPr="00DB7074">
        <w:rPr>
          <w:rFonts w:ascii="Book Antiqua" w:eastAsia="Times New Roman" w:hAnsi="Book Antiqua" w:cs="Times New Roman"/>
          <w:sz w:val="24"/>
          <w:szCs w:val="24"/>
          <w:lang w:eastAsia="fr-FR"/>
        </w:rPr>
        <w:t>all these data show that there is a</w:t>
      </w:r>
      <w:r w:rsidR="00285635" w:rsidRPr="00DB7074">
        <w:rPr>
          <w:rFonts w:ascii="Book Antiqua" w:eastAsia="Times New Roman" w:hAnsi="Book Antiqua" w:cs="Times New Roman"/>
          <w:sz w:val="24"/>
          <w:szCs w:val="24"/>
          <w:lang w:eastAsia="fr-FR"/>
        </w:rPr>
        <w:t>n adenoma</w:t>
      </w:r>
      <w:r w:rsidR="0036758F" w:rsidRPr="00DB7074">
        <w:rPr>
          <w:rFonts w:ascii="Book Antiqua" w:eastAsia="Times New Roman" w:hAnsi="Book Antiqua" w:cs="Times New Roman"/>
          <w:sz w:val="24"/>
          <w:szCs w:val="24"/>
          <w:lang w:eastAsia="fr-FR"/>
        </w:rPr>
        <w:t>-</w:t>
      </w:r>
      <w:r w:rsidR="00285635" w:rsidRPr="00DB7074">
        <w:rPr>
          <w:rFonts w:ascii="Book Antiqua" w:eastAsia="Times New Roman" w:hAnsi="Book Antiqua" w:cs="Times New Roman"/>
          <w:sz w:val="24"/>
          <w:szCs w:val="24"/>
          <w:lang w:eastAsia="fr-FR"/>
        </w:rPr>
        <w:t xml:space="preserve"> and</w:t>
      </w:r>
      <w:r w:rsidR="0038425F" w:rsidRPr="00DB7074">
        <w:rPr>
          <w:rFonts w:ascii="Book Antiqua" w:eastAsia="Times New Roman" w:hAnsi="Book Antiqua" w:cs="Times New Roman"/>
          <w:sz w:val="24"/>
          <w:szCs w:val="24"/>
          <w:lang w:eastAsia="fr-FR"/>
        </w:rPr>
        <w:t xml:space="preserve"> </w:t>
      </w:r>
      <w:r w:rsidR="0036758F" w:rsidRPr="00DB7074">
        <w:rPr>
          <w:rFonts w:ascii="Book Antiqua" w:eastAsia="Times New Roman" w:hAnsi="Book Antiqua" w:cs="Times New Roman"/>
          <w:sz w:val="24"/>
          <w:szCs w:val="24"/>
          <w:lang w:eastAsia="fr-FR"/>
        </w:rPr>
        <w:t xml:space="preserve">a </w:t>
      </w:r>
      <w:r w:rsidR="00E502D1" w:rsidRPr="00DB7074">
        <w:rPr>
          <w:rFonts w:ascii="Book Antiqua" w:eastAsia="Times New Roman" w:hAnsi="Book Antiqua" w:cs="Times New Roman"/>
          <w:sz w:val="24"/>
          <w:szCs w:val="24"/>
          <w:lang w:eastAsia="fr-FR"/>
        </w:rPr>
        <w:t>CRC</w:t>
      </w:r>
      <w:r w:rsidR="0038425F" w:rsidRPr="00DB7074">
        <w:rPr>
          <w:rFonts w:ascii="Book Antiqua" w:eastAsia="Times New Roman" w:hAnsi="Book Antiqua" w:cs="Times New Roman"/>
          <w:sz w:val="24"/>
          <w:szCs w:val="24"/>
          <w:lang w:eastAsia="fr-FR"/>
        </w:rPr>
        <w:t xml:space="preserve">-associated signature in </w:t>
      </w:r>
      <w:r w:rsidR="0036758F" w:rsidRPr="00DB7074">
        <w:rPr>
          <w:rFonts w:ascii="Book Antiqua" w:eastAsia="Times New Roman" w:hAnsi="Book Antiqua" w:cs="Times New Roman"/>
          <w:sz w:val="24"/>
          <w:szCs w:val="24"/>
          <w:lang w:eastAsia="fr-FR"/>
        </w:rPr>
        <w:t xml:space="preserve">the </w:t>
      </w:r>
      <w:r w:rsidR="00E502D1" w:rsidRPr="00DB7074">
        <w:rPr>
          <w:rFonts w:ascii="Book Antiqua" w:eastAsia="Times New Roman" w:hAnsi="Book Antiqua" w:cs="Times New Roman"/>
          <w:sz w:val="24"/>
          <w:szCs w:val="24"/>
          <w:lang w:eastAsia="fr-FR"/>
        </w:rPr>
        <w:t>microbiome</w:t>
      </w:r>
      <w:r w:rsidR="001B089A" w:rsidRPr="00DB7074">
        <w:rPr>
          <w:rFonts w:ascii="Book Antiqua" w:eastAsia="Times New Roman" w:hAnsi="Book Antiqua" w:cs="Times New Roman"/>
          <w:sz w:val="24"/>
          <w:szCs w:val="24"/>
          <w:lang w:eastAsia="fr-FR"/>
        </w:rPr>
        <w:t xml:space="preserve"> </w:t>
      </w:r>
      <w:r w:rsidR="001B089A" w:rsidRPr="00DB7074">
        <w:rPr>
          <w:rFonts w:ascii="Book Antiqua" w:hAnsi="Book Antiqua" w:cs="Times New Roman"/>
          <w:sz w:val="24"/>
          <w:szCs w:val="24"/>
        </w:rPr>
        <w:t>(Figure 1)</w:t>
      </w:r>
      <w:r w:rsidRPr="00DB7074">
        <w:rPr>
          <w:rFonts w:ascii="Book Antiqua" w:eastAsia="Times New Roman" w:hAnsi="Book Antiqua" w:cs="Times New Roman"/>
          <w:sz w:val="24"/>
          <w:szCs w:val="24"/>
          <w:lang w:eastAsia="fr-FR"/>
        </w:rPr>
        <w:t xml:space="preserve">. </w:t>
      </w:r>
      <w:r w:rsidR="000353D9" w:rsidRPr="00DB7074">
        <w:rPr>
          <w:rFonts w:ascii="Book Antiqua" w:eastAsia="Times New Roman" w:hAnsi="Book Antiqua" w:cs="Times New Roman"/>
          <w:sz w:val="24"/>
          <w:szCs w:val="24"/>
          <w:lang w:eastAsia="fr-FR"/>
        </w:rPr>
        <w:t>Metagenomics stud</w:t>
      </w:r>
      <w:r w:rsidR="0036758F" w:rsidRPr="00DB7074">
        <w:rPr>
          <w:rFonts w:ascii="Book Antiqua" w:eastAsia="Times New Roman" w:hAnsi="Book Antiqua" w:cs="Times New Roman"/>
          <w:sz w:val="24"/>
          <w:szCs w:val="24"/>
          <w:lang w:eastAsia="fr-FR"/>
        </w:rPr>
        <w:t>ies</w:t>
      </w:r>
      <w:r w:rsidR="000353D9" w:rsidRPr="00DB7074">
        <w:rPr>
          <w:rFonts w:ascii="Book Antiqua" w:eastAsia="Times New Roman" w:hAnsi="Book Antiqua" w:cs="Times New Roman"/>
          <w:sz w:val="24"/>
          <w:szCs w:val="24"/>
          <w:lang w:eastAsia="fr-FR"/>
        </w:rPr>
        <w:t xml:space="preserve"> showed a redundancy </w:t>
      </w:r>
      <w:r w:rsidR="00B534DD" w:rsidRPr="00DB7074">
        <w:rPr>
          <w:rFonts w:ascii="Book Antiqua" w:eastAsia="Times New Roman" w:hAnsi="Book Antiqua" w:cs="Times New Roman"/>
          <w:sz w:val="24"/>
          <w:szCs w:val="24"/>
          <w:lang w:eastAsia="fr-FR"/>
        </w:rPr>
        <w:t xml:space="preserve">in </w:t>
      </w:r>
      <w:r w:rsidR="0036758F" w:rsidRPr="00DB7074">
        <w:rPr>
          <w:rFonts w:ascii="Book Antiqua" w:eastAsia="Times New Roman" w:hAnsi="Book Antiqua" w:cs="Times New Roman"/>
          <w:sz w:val="24"/>
          <w:szCs w:val="24"/>
          <w:lang w:eastAsia="fr-FR"/>
        </w:rPr>
        <w:t xml:space="preserve">the </w:t>
      </w:r>
      <w:r w:rsidR="00B534DD" w:rsidRPr="00DB7074">
        <w:rPr>
          <w:rFonts w:ascii="Book Antiqua" w:eastAsia="Times New Roman" w:hAnsi="Book Antiqua" w:cs="Times New Roman"/>
          <w:sz w:val="24"/>
          <w:szCs w:val="24"/>
          <w:lang w:eastAsia="fr-FR"/>
        </w:rPr>
        <w:t xml:space="preserve">metabolic functions of the intestinal </w:t>
      </w:r>
      <w:r w:rsidR="000353D9" w:rsidRPr="00DB7074">
        <w:rPr>
          <w:rFonts w:ascii="Book Antiqua" w:eastAsia="Times New Roman" w:hAnsi="Book Antiqua" w:cs="Times New Roman"/>
          <w:sz w:val="24"/>
          <w:szCs w:val="24"/>
          <w:lang w:eastAsia="fr-FR"/>
        </w:rPr>
        <w:t xml:space="preserve">microbiota. </w:t>
      </w:r>
      <w:r w:rsidR="00B534DD" w:rsidRPr="00DB7074">
        <w:rPr>
          <w:rFonts w:ascii="Book Antiqua" w:eastAsia="Times New Roman" w:hAnsi="Book Antiqua" w:cs="Times New Roman"/>
          <w:sz w:val="24"/>
          <w:szCs w:val="24"/>
          <w:lang w:eastAsia="fr-FR"/>
        </w:rPr>
        <w:t xml:space="preserve">Therefore, </w:t>
      </w:r>
      <w:r w:rsidR="00B534DD" w:rsidRPr="00DB7074">
        <w:rPr>
          <w:rFonts w:ascii="Book Antiqua" w:hAnsi="Book Antiqua" w:cs="Times New Roman"/>
          <w:sz w:val="24"/>
          <w:szCs w:val="24"/>
        </w:rPr>
        <w:t>s</w:t>
      </w:r>
      <w:r w:rsidR="00804B10" w:rsidRPr="00DB7074">
        <w:rPr>
          <w:rFonts w:ascii="Book Antiqua" w:hAnsi="Book Antiqua" w:cs="Times New Roman"/>
          <w:sz w:val="24"/>
          <w:szCs w:val="24"/>
        </w:rPr>
        <w:t>tud</w:t>
      </w:r>
      <w:r w:rsidR="0036758F" w:rsidRPr="00DB7074">
        <w:rPr>
          <w:rFonts w:ascii="Book Antiqua" w:hAnsi="Book Antiqua" w:cs="Times New Roman"/>
          <w:sz w:val="24"/>
          <w:szCs w:val="24"/>
        </w:rPr>
        <w:t>ies</w:t>
      </w:r>
      <w:r w:rsidR="00804B10" w:rsidRPr="00DB7074">
        <w:rPr>
          <w:rFonts w:ascii="Book Antiqua" w:hAnsi="Book Antiqua" w:cs="Times New Roman"/>
          <w:sz w:val="24"/>
          <w:szCs w:val="24"/>
        </w:rPr>
        <w:t xml:space="preserve"> of metabolites </w:t>
      </w:r>
      <w:r w:rsidR="0036758F" w:rsidRPr="00DB7074">
        <w:rPr>
          <w:rFonts w:ascii="Book Antiqua" w:hAnsi="Book Antiqua" w:cs="Times New Roman"/>
          <w:sz w:val="24"/>
          <w:szCs w:val="24"/>
        </w:rPr>
        <w:t xml:space="preserve">might </w:t>
      </w:r>
      <w:r w:rsidR="00804B10" w:rsidRPr="00DB7074">
        <w:rPr>
          <w:rFonts w:ascii="Book Antiqua" w:hAnsi="Book Antiqua" w:cs="Times New Roman"/>
          <w:sz w:val="24"/>
          <w:szCs w:val="24"/>
        </w:rPr>
        <w:t xml:space="preserve">reflect the </w:t>
      </w:r>
      <w:r w:rsidR="00B534DD" w:rsidRPr="00DB7074">
        <w:rPr>
          <w:rFonts w:ascii="Book Antiqua" w:hAnsi="Book Antiqua" w:cs="Times New Roman"/>
          <w:sz w:val="24"/>
          <w:szCs w:val="24"/>
        </w:rPr>
        <w:t xml:space="preserve">CRC-associated </w:t>
      </w:r>
      <w:r w:rsidR="005D6329" w:rsidRPr="00DB7074">
        <w:rPr>
          <w:rFonts w:ascii="Book Antiqua" w:hAnsi="Book Antiqua" w:cs="Times New Roman"/>
          <w:sz w:val="24"/>
          <w:szCs w:val="24"/>
        </w:rPr>
        <w:t xml:space="preserve">microbiota dysbiosis </w:t>
      </w:r>
      <w:r w:rsidR="000353D9" w:rsidRPr="00DB7074">
        <w:rPr>
          <w:rFonts w:ascii="Book Antiqua" w:hAnsi="Book Antiqua" w:cs="Times New Roman"/>
          <w:sz w:val="24"/>
          <w:szCs w:val="24"/>
        </w:rPr>
        <w:t xml:space="preserve">with </w:t>
      </w:r>
      <w:r w:rsidR="00B534DD" w:rsidRPr="00DB7074">
        <w:rPr>
          <w:rFonts w:ascii="Book Antiqua" w:hAnsi="Book Antiqua" w:cs="Times New Roman"/>
          <w:sz w:val="24"/>
          <w:szCs w:val="24"/>
        </w:rPr>
        <w:t xml:space="preserve">a </w:t>
      </w:r>
      <w:r w:rsidR="000353D9" w:rsidRPr="00DB7074">
        <w:rPr>
          <w:rFonts w:ascii="Book Antiqua" w:hAnsi="Book Antiqua" w:cs="Times New Roman"/>
          <w:sz w:val="24"/>
          <w:szCs w:val="24"/>
        </w:rPr>
        <w:t>lower heter</w:t>
      </w:r>
      <w:r w:rsidR="00B534DD" w:rsidRPr="00DB7074">
        <w:rPr>
          <w:rFonts w:ascii="Book Antiqua" w:hAnsi="Book Antiqua" w:cs="Times New Roman"/>
          <w:sz w:val="24"/>
          <w:szCs w:val="24"/>
        </w:rPr>
        <w:t>oge</w:t>
      </w:r>
      <w:r w:rsidR="000353D9" w:rsidRPr="00DB7074">
        <w:rPr>
          <w:rFonts w:ascii="Book Antiqua" w:hAnsi="Book Antiqua" w:cs="Times New Roman"/>
          <w:sz w:val="24"/>
          <w:szCs w:val="24"/>
        </w:rPr>
        <w:t>n</w:t>
      </w:r>
      <w:r w:rsidR="00B534DD" w:rsidRPr="00DB7074">
        <w:rPr>
          <w:rFonts w:ascii="Book Antiqua" w:hAnsi="Book Antiqua" w:cs="Times New Roman"/>
          <w:sz w:val="24"/>
          <w:szCs w:val="24"/>
        </w:rPr>
        <w:t>e</w:t>
      </w:r>
      <w:r w:rsidR="000353D9" w:rsidRPr="00DB7074">
        <w:rPr>
          <w:rFonts w:ascii="Book Antiqua" w:hAnsi="Book Antiqua" w:cs="Times New Roman"/>
          <w:sz w:val="24"/>
          <w:szCs w:val="24"/>
        </w:rPr>
        <w:t>ity than taxonomic determination</w:t>
      </w:r>
      <w:r w:rsidR="008909DC" w:rsidRPr="00DB7074">
        <w:rPr>
          <w:rFonts w:ascii="Book Antiqua" w:hAnsi="Book Antiqua" w:cs="Times New Roman"/>
          <w:sz w:val="24"/>
          <w:szCs w:val="24"/>
        </w:rPr>
        <w:t>.</w:t>
      </w:r>
    </w:p>
    <w:p w14:paraId="45DE9D60" w14:textId="77777777" w:rsidR="00875687" w:rsidRPr="00DB7074" w:rsidRDefault="00875687" w:rsidP="00DB7074">
      <w:pPr>
        <w:autoSpaceDE w:val="0"/>
        <w:autoSpaceDN w:val="0"/>
        <w:adjustRightInd w:val="0"/>
        <w:snapToGrid w:val="0"/>
        <w:spacing w:after="0" w:line="360" w:lineRule="auto"/>
        <w:jc w:val="both"/>
        <w:rPr>
          <w:rFonts w:ascii="Book Antiqua" w:hAnsi="Book Antiqua" w:cs="Times New Roman"/>
          <w:sz w:val="24"/>
          <w:szCs w:val="24"/>
        </w:rPr>
      </w:pPr>
    </w:p>
    <w:p w14:paraId="3D5D2A3E" w14:textId="2DCE0B43" w:rsidR="0014072B" w:rsidRPr="00DB7074" w:rsidRDefault="00745453" w:rsidP="00DB7074">
      <w:pPr>
        <w:autoSpaceDE w:val="0"/>
        <w:autoSpaceDN w:val="0"/>
        <w:adjustRightInd w:val="0"/>
        <w:snapToGrid w:val="0"/>
        <w:spacing w:after="0" w:line="360" w:lineRule="auto"/>
        <w:jc w:val="both"/>
        <w:rPr>
          <w:rFonts w:ascii="Book Antiqua" w:hAnsi="Book Antiqua" w:cs="Times New Roman"/>
          <w:b/>
          <w:i/>
          <w:sz w:val="24"/>
          <w:szCs w:val="24"/>
        </w:rPr>
      </w:pPr>
      <w:r w:rsidRPr="00DB7074">
        <w:rPr>
          <w:rFonts w:ascii="Book Antiqua" w:hAnsi="Book Antiqua"/>
          <w:b/>
          <w:i/>
          <w:sz w:val="24"/>
          <w:szCs w:val="24"/>
        </w:rPr>
        <w:t>Profiling metabolome alterations in CRC</w:t>
      </w:r>
      <w:r w:rsidR="00265A7C" w:rsidRPr="00DB7074">
        <w:rPr>
          <w:rFonts w:ascii="Book Antiqua" w:hAnsi="Book Antiqua"/>
          <w:b/>
          <w:i/>
          <w:sz w:val="24"/>
          <w:szCs w:val="24"/>
        </w:rPr>
        <w:t xml:space="preserve"> </w:t>
      </w:r>
    </w:p>
    <w:p w14:paraId="518CA1A7" w14:textId="20CB577A" w:rsidR="00E77DA4" w:rsidRPr="001C51C8" w:rsidRDefault="0014072B" w:rsidP="001C51C8">
      <w:pPr>
        <w:snapToGrid w:val="0"/>
        <w:spacing w:after="0" w:line="360" w:lineRule="auto"/>
        <w:jc w:val="both"/>
        <w:rPr>
          <w:rFonts w:ascii="Book Antiqua" w:hAnsi="Book Antiqua" w:cs="Times New Roman"/>
          <w:b/>
          <w:sz w:val="24"/>
          <w:szCs w:val="24"/>
        </w:rPr>
      </w:pPr>
      <w:r w:rsidRPr="00DB7074">
        <w:rPr>
          <w:rFonts w:ascii="Book Antiqua" w:hAnsi="Book Antiqua" w:cs="Times New Roman"/>
          <w:b/>
          <w:sz w:val="24"/>
          <w:szCs w:val="24"/>
        </w:rPr>
        <w:t>Metabolite analysis procedures</w:t>
      </w:r>
      <w:r w:rsidR="001C51C8">
        <w:rPr>
          <w:rFonts w:ascii="Book Antiqua" w:hAnsi="Book Antiqua" w:cs="Times New Roman" w:hint="eastAsia"/>
          <w:b/>
          <w:sz w:val="24"/>
          <w:szCs w:val="24"/>
          <w:lang w:eastAsia="zh-CN"/>
        </w:rPr>
        <w:t xml:space="preserve">: </w:t>
      </w:r>
      <w:r w:rsidR="00E77DA4" w:rsidRPr="00DB7074">
        <w:rPr>
          <w:rFonts w:ascii="Book Antiqua" w:hAnsi="Book Antiqua" w:cs="Times New Roman"/>
          <w:sz w:val="24"/>
          <w:szCs w:val="24"/>
        </w:rPr>
        <w:t xml:space="preserve">The metabolome </w:t>
      </w:r>
      <w:r w:rsidR="00A27C1E" w:rsidRPr="00DB7074">
        <w:rPr>
          <w:rFonts w:ascii="Book Antiqua" w:hAnsi="Book Antiqua" w:cs="Times New Roman"/>
          <w:sz w:val="24"/>
          <w:szCs w:val="24"/>
        </w:rPr>
        <w:t>has</w:t>
      </w:r>
      <w:r w:rsidR="00E77DA4" w:rsidRPr="00DB7074">
        <w:rPr>
          <w:rFonts w:ascii="Book Antiqua" w:hAnsi="Book Antiqua" w:cs="Times New Roman"/>
          <w:sz w:val="24"/>
          <w:szCs w:val="24"/>
        </w:rPr>
        <w:t xml:space="preserve"> be</w:t>
      </w:r>
      <w:r w:rsidR="00A27C1E" w:rsidRPr="00DB7074">
        <w:rPr>
          <w:rFonts w:ascii="Book Antiqua" w:hAnsi="Book Antiqua" w:cs="Times New Roman"/>
          <w:sz w:val="24"/>
          <w:szCs w:val="24"/>
        </w:rPr>
        <w:t>en</w:t>
      </w:r>
      <w:r w:rsidR="00E77DA4" w:rsidRPr="00DB7074">
        <w:rPr>
          <w:rFonts w:ascii="Book Antiqua" w:hAnsi="Book Antiqua" w:cs="Times New Roman"/>
          <w:sz w:val="24"/>
          <w:szCs w:val="24"/>
        </w:rPr>
        <w:t xml:space="preserve"> defined as the complete complement of all small molecule (&lt; 1500</w:t>
      </w:r>
      <w:r w:rsidR="00E77DA4" w:rsidRPr="00DB7074">
        <w:rPr>
          <w:rFonts w:ascii="Times New Roman" w:hAnsi="Times New Roman" w:cs="Times New Roman"/>
          <w:sz w:val="24"/>
          <w:szCs w:val="24"/>
        </w:rPr>
        <w:t> </w:t>
      </w:r>
      <w:r w:rsidR="00E77DA4" w:rsidRPr="00DB7074">
        <w:rPr>
          <w:rFonts w:ascii="Book Antiqua" w:hAnsi="Book Antiqua" w:cs="Times New Roman"/>
          <w:sz w:val="24"/>
          <w:szCs w:val="24"/>
        </w:rPr>
        <w:t>Da) metabolites found in a specific cell, organ or organism</w:t>
      </w:r>
      <w:r w:rsidR="00A224B4"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{"citationID":"a230go42r7h","properties":{"formattedCitation":"\\super [159]\\nosupersub{}","plainCitation":"[159]","noteIndex":0},"citationItems":[{"id":"D1GMNV0O/yJhb1l71","uris":["http://zotero.org/users/4804376/items/M3PFWI23"],"uri":["http://zotero.org/users/4804376/items/M3PFWI23"],"itemData":{"id":104,"type":"article-journal","title":"Current Progress in computational metabolomics","container-title":"Briefings in Bioinformatics","page":"279-293","volume":"8","issue":"5","source":"CrossRef","abstract":"Being a relatively new addition to the ‘omics’ field, metabolomics is still evolving its own computational infrastructure and assessing its own computational needs. Due to its strong emphasis on chemical information and because of the importance of linking that chemical data to biological consequences, metabolomics must combine elements of traditional bioinformatics with traditional cheminformatics. This is a significant challenge as these two fields have evolved quite separately and require very different computational tools and skill sets. This review is intended to familiarize readers with the field of metabolomics and to outline the needs, the challenges and the recent progress being made in four areas of computational metabolomics: (i) metabolomics databases; (ii) metabolomics LIMS; (iii) spectral analysis tools for metabolomics and (iv) metabolic modeling.","DOI":"10.1093/bib/bbm030","ISSN":"1467-5463, 1477-4054","language":"en","author":[{"family":"Wishart","given":"D. S."}],"issued":{"date-parts":[["2007",6,20]]}}}],"schema":"https://github.com/citation-style-language/schema/raw/master/csl-citation.json"} </w:instrText>
      </w:r>
      <w:r w:rsidR="00A224B4"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[159]</w:t>
      </w:r>
      <w:r w:rsidR="00A224B4" w:rsidRPr="00DB7074">
        <w:rPr>
          <w:rFonts w:ascii="Book Antiqua" w:hAnsi="Book Antiqua" w:cs="Times New Roman"/>
          <w:sz w:val="24"/>
          <w:szCs w:val="24"/>
        </w:rPr>
        <w:fldChar w:fldCharType="end"/>
      </w:r>
      <w:r w:rsidR="00E77DA4" w:rsidRPr="00DB7074">
        <w:rPr>
          <w:rFonts w:ascii="Book Antiqua" w:hAnsi="Book Antiqua" w:cs="Times New Roman"/>
          <w:sz w:val="24"/>
          <w:szCs w:val="24"/>
        </w:rPr>
        <w:t xml:space="preserve">. Global metabolomics alterations reflect changes due to environmental factors, diet, drugs, exercise, genetic variation and regulation, changes in </w:t>
      </w:r>
      <w:r w:rsidR="00755176" w:rsidRPr="00DB7074">
        <w:rPr>
          <w:rFonts w:ascii="Book Antiqua" w:hAnsi="Book Antiqua" w:cs="Times New Roman"/>
          <w:sz w:val="24"/>
          <w:szCs w:val="24"/>
        </w:rPr>
        <w:t xml:space="preserve">the </w:t>
      </w:r>
      <w:r w:rsidR="00E77DA4" w:rsidRPr="00DB7074">
        <w:rPr>
          <w:rFonts w:ascii="Book Antiqua" w:hAnsi="Book Antiqua" w:cs="Times New Roman"/>
          <w:sz w:val="24"/>
          <w:szCs w:val="24"/>
        </w:rPr>
        <w:t>gut microflora, and altered kinetic activity or levels of enzymes</w:t>
      </w:r>
      <w:r w:rsidR="003D6A6E"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{"citationID":"a1n6c0dg3j3","properties":{"formattedCitation":"\\super [160]\\nosupersub{}","plainCitation":"[160]","noteIndex":0},"citationItems":[{"id":"D1GMNV0O/ZTLNWocs","uris":["http://zotero.org/users/4804376/items/L6VKIIH8"],"uri":["http://zotero.org/users/4804376/items/L6VKIIH8"],"itemData":{"id":602,"type":"article-journal","title":"Metabolic phenotyping in health and disease","container-title":"Cell","page":"714-717","volume":"134","issue":"5","source":"PubMed","abstract":"Analyzing metabolites (small molecules &lt;1 kDa) in body fluids such as urine and plasma using various spectroscopic methods provides information on the metabotype (metabolic phenotype) of individuals or populations, information that can be applied to personalized medicine or public healthcare.","DOI":"10.1016/j.cell.2008.08.026","ISSN":"1097-4172","note":"PMID: 18775301","journalAbbreviation":"Cell","language":"eng","author":[{"family":"Holmes","given":"Elaine"},{"family":"Wilson","given":"Ian D."},{"family":"Nicholson","given":"Jeremy K."}],"issued":{"date-parts":[["2008",9,5]]}}}],"schema":"https://github.com/citation-style-language/schema/raw/master/csl-citation.json"} </w:instrText>
      </w:r>
      <w:r w:rsidR="003D6A6E"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[160]</w:t>
      </w:r>
      <w:r w:rsidR="003D6A6E" w:rsidRPr="00DB7074">
        <w:rPr>
          <w:rFonts w:ascii="Book Antiqua" w:hAnsi="Book Antiqua" w:cs="Times New Roman"/>
          <w:sz w:val="24"/>
          <w:szCs w:val="24"/>
        </w:rPr>
        <w:fldChar w:fldCharType="end"/>
      </w:r>
      <w:r w:rsidR="00E77DA4" w:rsidRPr="00DB7074">
        <w:rPr>
          <w:rFonts w:ascii="Book Antiqua" w:hAnsi="Book Antiqua" w:cs="Times New Roman"/>
          <w:sz w:val="24"/>
          <w:szCs w:val="24"/>
        </w:rPr>
        <w:t xml:space="preserve">. </w:t>
      </w:r>
      <w:r w:rsidRPr="00DB7074">
        <w:rPr>
          <w:rFonts w:ascii="Book Antiqua" w:hAnsi="Book Antiqua" w:cs="Times New Roman"/>
          <w:sz w:val="24"/>
          <w:szCs w:val="24"/>
        </w:rPr>
        <w:t xml:space="preserve">The most widely used analytical high-throughput tools for metabolomics studies are nuclear magnetic resonance (NMR) and mass spectrometry (MS), and they both can provide </w:t>
      </w:r>
      <w:r w:rsidRPr="00DB7074">
        <w:rPr>
          <w:rFonts w:ascii="Book Antiqua" w:hAnsi="Book Antiqua" w:cs="Times New Roman"/>
          <w:sz w:val="24"/>
          <w:szCs w:val="24"/>
        </w:rPr>
        <w:lastRenderedPageBreak/>
        <w:t>complementary snapshots of the metabolome of body fluids</w:t>
      </w:r>
      <w:r w:rsidR="003D6A6E"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{"citationID":"a1ph320k4l5","properties":{"formattedCitation":"\\super [161]\\nosupersub{}","plainCitation":"[161]","noteIndex":0},"citationItems":[{"id":"D1GMNV0O/CJDkSjnA","uris":["http://zotero.org/users/4804376/items/PPVT558D"],"uri":["http://zotero.org/users/4804376/items/PPVT558D"],"itemData":{"id":600,"type":"article-journal","title":"Human metabolic phenotype diversity and its association with diet and blood pressure","container-title":"Nature","page":"396-400","volume":"453","issue":"7193","source":"PubMed","abstract":"Metabolic phenotypes are the products of interactions among a variety of factors-dietary, other lifestyle/environmental, gut microbial and genetic. We use a large-scale exploratory analytical approach to investigate metabolic phenotype variation across and within four human populations, based on 1H NMR spectroscopy. Metabolites discriminating across populations are then linked to data for individuals on blood pressure, a major risk factor for coronary heart disease and stroke (leading causes of mortality worldwide). We analyse spectra from two 24-hour urine specimens for each of 4,630 participants from the INTERMAP epidemiological study, involving 17 population samples aged 40-59 in China, Japan, UK and USA. We show that urinary metabolite excretion patterns for East Asian and western population samples, with contrasting diets, diet-related major risk factors, and coronary heart disease/stroke rates, are significantly differentiated (P &lt; 10(-16)), as are Chinese/Japanese metabolic phenotypes, and subgroups with differences in dietary vegetable/animal protein and blood pressure. Among discriminatory metabolites, we quantify four and show association (P &lt; 0.05 to P &lt; 0.0001) of mean 24-hour urinary formate excretion with blood pressure in multiple regression analyses for individuals. Mean 24-hour urinary excretion of alanine (direct) and hippurate (inverse), reflecting diet and gut microbial activities, are also associated with blood pressure of individuals. Metabolic phenotyping applied to high-quality epidemiological data offers the potential to develop an area of aetiopathogenetic knowledge involving discovery of novel biomarkers related to cardiovascular disease risk.","DOI":"10.1038/nature06882","ISSN":"1476-4687","note":"PMID: 18425110","journalAbbreviation":"Nature","language":"eng","author":[{"family":"Holmes","given":"Elaine"},{"family":"Loo","given":"Ruey Leng"},{"family":"Stamler","given":"Jeremiah"},{"family":"Bictash","given":"Magda"},{"family":"Yap","given":"Ivan K. S."},{"family":"Chan","given":"Queenie"},{"family":"Ebbels","given":"Tim"},{"family":"De Iorio","given":"Maria"},{"family":"Brown","given":"Ian J."},{"family":"Veselkov","given":"Kirill A."},{"family":"Daviglus","given":"Martha L."},{"family":"Kesteloot","given":"Hugo"},{"family":"Ueshima","given":"Hirotsugu"},{"family":"Zhao","given":"Liancheng"},{"family":"Nicholson","given":"Jeremy K."},{"family":"Elliott","given":"Paul"}],"issued":{"date-parts":[["2008",5,15]]}}}],"schema":"https://github.com/citation-style-language/schema/raw/master/csl-citation.json"} </w:instrText>
      </w:r>
      <w:r w:rsidR="003D6A6E"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[161]</w:t>
      </w:r>
      <w:r w:rsidR="003D6A6E" w:rsidRPr="00DB7074">
        <w:rPr>
          <w:rFonts w:ascii="Book Antiqua" w:hAnsi="Book Antiqua" w:cs="Times New Roman"/>
          <w:sz w:val="24"/>
          <w:szCs w:val="24"/>
        </w:rPr>
        <w:fldChar w:fldCharType="end"/>
      </w:r>
      <w:r w:rsidRPr="00DB7074">
        <w:rPr>
          <w:rFonts w:ascii="Book Antiqua" w:hAnsi="Book Antiqua" w:cs="Times New Roman"/>
          <w:sz w:val="24"/>
          <w:szCs w:val="24"/>
        </w:rPr>
        <w:t>. Sample preparation is arguably the most critical step in metabolomics, but there is no universal, robust and repeatable approach defined. NMR spectroscopy benefits from being highly reproducible</w:t>
      </w:r>
      <w:r w:rsidR="003D6A6E"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{"citationID":"a10ish3mfuv","properties":{"formattedCitation":"\\super [162]\\nosupersub{}","plainCitation":"[162]","noteIndex":0},"citationItems":[{"id":"D1GMNV0O/APvzuUSD","uris":["http://zotero.org/users/4804376/items/8GTBQYFL"],"uri":["http://zotero.org/users/4804376/items/8GTBQYFL"],"itemData":{"id":604,"type":"article-journal","title":"Assessment of analytical reproducibility of 1H NMR spectroscopy based metabonomics for large-scale epidemiological research: the INTERMAP Study","container-title":"Analytical Chemistry","page":"2199-2208","volume":"78","issue":"7","source":"PubMed","abstract":"Large-scale population phenotyping for molecular epidemiological studies is subject to all the usual criteria of analytical chemistry. As part of a major phenotyping investigation we have used high-resolution 1H NMR spectroscopy to characterize 24-h urine specimens obtained from population samples in Aito Town, Japan (n = 259), Chicago, IL (n = 315), and Guangxi, China (n = 278). We have investigated analytical reproducibility, urine specimen storage procedures, interinstrument variability, and split specimen detection. Our data show that the multivariate analytical reproducibility of the NMR screening platform was &gt;98% and that most classification errors were due to urine specimen handling inhomogeneity. Differences in metabolite profiles were then assessed for Aito Town, Chicago, and Guangxi population samples; novel combinations of biomarkers were detected that separated the population samples. These cross-population differences in urinary metabolites could be related to genetic, dietary, and gut microbial factors.","DOI":"10.1021/ac0517085","ISSN":"0003-2700","note":"PMID: 16579598","shortTitle":"Assessment of analytical reproducibility of 1H NMR spectroscopy based metabonomics for large-scale epidemiological research","journalAbbreviation":"Anal. Chem.","language":"eng","author":[{"family":"Dumas","given":"Marc-Emmanuel"},{"family":"Maibaum","given":"Elaine C."},{"family":"Teague","given":"Claire"},{"family":"Ueshima","given":"Hirotsugu"},{"family":"Zhou","given":"Beifan"},{"family":"Lindon","given":"John C."},{"family":"Nicholson","given":"Jeremy K."},{"family":"Stamler","given":"Jeremiah"},{"family":"Elliott","given":"Paul"},{"family":"Chan","given":"Queenie"},{"family":"Holmes","given":"Elaine"}],"issued":{"date-parts":[["2006",4,1]]}}}],"schema":"https://github.com/citation-style-language/schema/raw/master/csl-citation.json"} </w:instrText>
      </w:r>
      <w:r w:rsidR="003D6A6E"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[162]</w:t>
      </w:r>
      <w:r w:rsidR="003D6A6E" w:rsidRPr="00DB7074">
        <w:rPr>
          <w:rFonts w:ascii="Book Antiqua" w:hAnsi="Book Antiqua" w:cs="Times New Roman"/>
          <w:sz w:val="24"/>
          <w:szCs w:val="24"/>
        </w:rPr>
        <w:fldChar w:fldCharType="end"/>
      </w:r>
      <w:r w:rsidRPr="00DB7074">
        <w:rPr>
          <w:rFonts w:ascii="Book Antiqua" w:hAnsi="Book Antiqua" w:cs="Times New Roman"/>
          <w:sz w:val="24"/>
          <w:szCs w:val="24"/>
        </w:rPr>
        <w:t xml:space="preserve"> and offers the potential to precisely quantify compounds in complex mixtures without complex sample preparation requirements</w:t>
      </w:r>
      <w:r w:rsidR="003D6A6E"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{"citationID":"a1q4pj7uejp","properties":{"formattedCitation":"\\super [163]\\nosupersub{}","plainCitation":"[163]","noteIndex":0},"citationItems":[{"id":"D1GMNV0O/jgEwdYCK","uris":["http://zotero.org/users/4804376/items/B5C84EPD"],"uri":["http://zotero.org/users/4804376/items/B5C84EPD"],"itemData":{"id":107,"type":"article-journal","title":"Metabolomics in cancer biomarker discovery: Current trends and future perspectives","container-title":"Journal of Pharmaceutical and Biomedical Analysis","page":"1-11","volume":"87","source":"CrossRef","abstract":"Cancer is one of the most devastating human diseases that causes a vast number of mortalities worldwide each year. Cancer research is one of the largest ﬁelds in the life sciences and despite many astounding breakthroughs and contributions over the past few decades, there is still a considerable amount to unveil on the function of cancer. It is well known that cancer metabolism differs from that of normal tissue and an important hypothesis published in the 1950s by Otto Warburg proposed that cancer cells rely on anaerobic metabolism as the source for energy, even under physiological oxygen levels. Following this, cancer central carbon metabolism has been researched extensively and beyond respiration, cancer has been found to involve a wide range of metabolic processes, and many more are still to be unveiled. Studying cancer through metabolomics could reveal new biomarkers for cancer that could be useful for its future prognosis, diagnosis and therapy. Metabolomics is becoming an increasingly popular tool in the life sciences since it is a relatively fast and accurate technique that can be applied with either a particular focus or in a global manner to reveal new knowledge about biological systems. There have been many examples of its application to reveal potential biomarkers in different cancers that have employed a range of different analytical platforms. In this review, approaches in metabolomics that have been employed in cancer biomarker discovery are discussed and some of the most noteworthy research in the ﬁeld is highlighted.","DOI":"10.1016/j.jpba.2013.08.041","ISSN":"07317085","shortTitle":"Metabolomics in cancer biomarker discovery","language":"en","author":[{"family":"Armitage","given":"Emily G."},{"family":"Barbas","given":"Coral"}],"issued":{"date-parts":[["2014",1]]}}}],"schema":"https://github.com/citation-style-language/schema/raw/master/csl-citation.json"} </w:instrText>
      </w:r>
      <w:r w:rsidR="003D6A6E"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[163]</w:t>
      </w:r>
      <w:r w:rsidR="003D6A6E" w:rsidRPr="00DB7074">
        <w:rPr>
          <w:rFonts w:ascii="Book Antiqua" w:hAnsi="Book Antiqua" w:cs="Times New Roman"/>
          <w:sz w:val="24"/>
          <w:szCs w:val="24"/>
        </w:rPr>
        <w:fldChar w:fldCharType="end"/>
      </w:r>
      <w:r w:rsidRPr="00DB7074">
        <w:rPr>
          <w:rFonts w:ascii="Book Antiqua" w:hAnsi="Book Antiqua" w:cs="Times New Roman"/>
          <w:sz w:val="24"/>
          <w:szCs w:val="24"/>
        </w:rPr>
        <w:t>. Gas</w:t>
      </w:r>
      <w:r w:rsidR="00755176" w:rsidRPr="00DB7074">
        <w:rPr>
          <w:rFonts w:ascii="Book Antiqua" w:hAnsi="Book Antiqua" w:cs="Times New Roman"/>
          <w:sz w:val="24"/>
          <w:szCs w:val="24"/>
        </w:rPr>
        <w:t xml:space="preserve"> </w:t>
      </w:r>
      <w:r w:rsidRPr="00DB7074">
        <w:rPr>
          <w:rFonts w:ascii="Book Antiqua" w:hAnsi="Book Antiqua" w:cs="Times New Roman"/>
          <w:sz w:val="24"/>
          <w:szCs w:val="24"/>
        </w:rPr>
        <w:t xml:space="preserve">chromatography coupled </w:t>
      </w:r>
      <w:r w:rsidR="00755176" w:rsidRPr="00DB7074">
        <w:rPr>
          <w:rFonts w:ascii="Book Antiqua" w:hAnsi="Book Antiqua" w:cs="Times New Roman"/>
          <w:sz w:val="24"/>
          <w:szCs w:val="24"/>
        </w:rPr>
        <w:t>with</w:t>
      </w:r>
      <w:r w:rsidRPr="00DB7074">
        <w:rPr>
          <w:rFonts w:ascii="Book Antiqua" w:hAnsi="Book Antiqua" w:cs="Times New Roman"/>
          <w:sz w:val="24"/>
          <w:szCs w:val="24"/>
        </w:rPr>
        <w:t xml:space="preserve"> MS (GC-MS), </w:t>
      </w:r>
      <w:r w:rsidR="009B4158" w:rsidRPr="00DB7074">
        <w:rPr>
          <w:rFonts w:ascii="Book Antiqua" w:hAnsi="Book Antiqua" w:cs="Times New Roman"/>
          <w:sz w:val="24"/>
          <w:szCs w:val="24"/>
        </w:rPr>
        <w:t>which is used for</w:t>
      </w:r>
      <w:r w:rsidRPr="00DB7074">
        <w:rPr>
          <w:rFonts w:ascii="Book Antiqua" w:hAnsi="Book Antiqua" w:cs="Times New Roman"/>
          <w:sz w:val="24"/>
          <w:szCs w:val="24"/>
        </w:rPr>
        <w:t xml:space="preserve"> the analysis of volatile low molecular weight metabolites, and liquid chromatography coupled </w:t>
      </w:r>
      <w:r w:rsidR="009B4158" w:rsidRPr="00DB7074">
        <w:rPr>
          <w:rFonts w:ascii="Book Antiqua" w:hAnsi="Book Antiqua" w:cs="Times New Roman"/>
          <w:sz w:val="24"/>
          <w:szCs w:val="24"/>
        </w:rPr>
        <w:t>with</w:t>
      </w:r>
      <w:r w:rsidRPr="00DB7074">
        <w:rPr>
          <w:rFonts w:ascii="Book Antiqua" w:hAnsi="Book Antiqua" w:cs="Times New Roman"/>
          <w:sz w:val="24"/>
          <w:szCs w:val="24"/>
        </w:rPr>
        <w:t xml:space="preserve"> MS (LC-MS), </w:t>
      </w:r>
      <w:r w:rsidR="009B4158" w:rsidRPr="00DB7074">
        <w:rPr>
          <w:rFonts w:ascii="Book Antiqua" w:hAnsi="Book Antiqua" w:cs="Times New Roman"/>
          <w:sz w:val="24"/>
          <w:szCs w:val="24"/>
        </w:rPr>
        <w:t xml:space="preserve">which is </w:t>
      </w:r>
      <w:r w:rsidRPr="00DB7074">
        <w:rPr>
          <w:rFonts w:ascii="Book Antiqua" w:hAnsi="Book Antiqua" w:cs="Times New Roman"/>
          <w:sz w:val="24"/>
          <w:szCs w:val="24"/>
        </w:rPr>
        <w:t xml:space="preserve">used for </w:t>
      </w:r>
      <w:r w:rsidR="009B4158" w:rsidRPr="00DB7074">
        <w:rPr>
          <w:rFonts w:ascii="Book Antiqua" w:hAnsi="Book Antiqua" w:cs="Times New Roman"/>
          <w:sz w:val="24"/>
          <w:szCs w:val="24"/>
        </w:rPr>
        <w:t xml:space="preserve">the analysis of </w:t>
      </w:r>
      <w:r w:rsidRPr="00DB7074">
        <w:rPr>
          <w:rFonts w:ascii="Book Antiqua" w:hAnsi="Book Antiqua" w:cs="Times New Roman"/>
          <w:sz w:val="24"/>
          <w:szCs w:val="24"/>
        </w:rPr>
        <w:t>non-volatile components</w:t>
      </w:r>
      <w:r w:rsidR="00755176" w:rsidRPr="00DB7074">
        <w:rPr>
          <w:rFonts w:ascii="Book Antiqua" w:hAnsi="Book Antiqua" w:cs="Times New Roman"/>
          <w:sz w:val="24"/>
          <w:szCs w:val="24"/>
        </w:rPr>
        <w:t>, have</w:t>
      </w:r>
      <w:r w:rsidRPr="00DB7074">
        <w:rPr>
          <w:rFonts w:ascii="Book Antiqua" w:hAnsi="Book Antiqua" w:cs="Times New Roman"/>
          <w:sz w:val="24"/>
          <w:szCs w:val="24"/>
        </w:rPr>
        <w:t xml:space="preserve"> a higher sensitivity </w:t>
      </w:r>
      <w:r w:rsidR="00755176" w:rsidRPr="00DB7074">
        <w:rPr>
          <w:rFonts w:ascii="Book Antiqua" w:hAnsi="Book Antiqua" w:cs="Times New Roman"/>
          <w:sz w:val="24"/>
          <w:szCs w:val="24"/>
        </w:rPr>
        <w:t>than</w:t>
      </w:r>
      <w:r w:rsidRPr="00DB7074">
        <w:rPr>
          <w:rFonts w:ascii="Book Antiqua" w:hAnsi="Book Antiqua" w:cs="Times New Roman"/>
          <w:sz w:val="24"/>
          <w:szCs w:val="24"/>
        </w:rPr>
        <w:t xml:space="preserve"> NMR</w:t>
      </w:r>
      <w:r w:rsidR="00755176" w:rsidRPr="00DB7074">
        <w:rPr>
          <w:rFonts w:ascii="Book Antiqua" w:hAnsi="Book Antiqua" w:cs="Times New Roman"/>
          <w:sz w:val="24"/>
          <w:szCs w:val="24"/>
        </w:rPr>
        <w:t>,</w:t>
      </w:r>
      <w:r w:rsidRPr="00DB7074">
        <w:rPr>
          <w:rFonts w:ascii="Book Antiqua" w:hAnsi="Book Antiqua" w:cs="Times New Roman"/>
          <w:sz w:val="24"/>
          <w:szCs w:val="24"/>
        </w:rPr>
        <w:t xml:space="preserve"> but </w:t>
      </w:r>
      <w:r w:rsidR="00755176" w:rsidRPr="00DB7074">
        <w:rPr>
          <w:rFonts w:ascii="Book Antiqua" w:hAnsi="Book Antiqua" w:cs="Times New Roman"/>
          <w:sz w:val="24"/>
          <w:szCs w:val="24"/>
        </w:rPr>
        <w:t xml:space="preserve">the </w:t>
      </w:r>
      <w:r w:rsidRPr="00DB7074">
        <w:rPr>
          <w:rFonts w:ascii="Book Antiqua" w:hAnsi="Book Antiqua" w:cs="Times New Roman"/>
          <w:sz w:val="24"/>
          <w:szCs w:val="24"/>
        </w:rPr>
        <w:t xml:space="preserve">sample preparation </w:t>
      </w:r>
      <w:r w:rsidR="00755176" w:rsidRPr="00DB7074">
        <w:rPr>
          <w:rFonts w:ascii="Book Antiqua" w:hAnsi="Book Antiqua" w:cs="Times New Roman"/>
          <w:sz w:val="24"/>
          <w:szCs w:val="24"/>
        </w:rPr>
        <w:t>must be</w:t>
      </w:r>
      <w:r w:rsidRPr="00DB7074">
        <w:rPr>
          <w:rFonts w:ascii="Book Antiqua" w:hAnsi="Book Antiqua" w:cs="Times New Roman"/>
          <w:sz w:val="24"/>
          <w:szCs w:val="24"/>
        </w:rPr>
        <w:t xml:space="preserve"> more fastidious. For more details regarding sample preparation in metabolomics, several authors previously described methods for NMR, GC-MS and LC-MS analysis</w:t>
      </w:r>
      <w:r w:rsidR="003D6A6E"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{"citationID":"asq1vl7m0c","properties":{"formattedCitation":"\\super [163]\\nosupersub{}","plainCitation":"[163]","noteIndex":0},"citationItems":[{"id":"D1GMNV0O/jgEwdYCK","uris":["http://zotero.org/users/4804376/items/B5C84EPD"],"uri":["http://zotero.org/users/4804376/items/B5C84EPD"],"itemData":{"id":107,"type":"article-journal","title":"Metabolomics in cancer biomarker discovery: Current trends and future perspectives","container-title":"Journal of Pharmaceutical and Biomedical Analysis","page":"1-11","volume":"87","source":"CrossRef","abstract":"Cancer is one of the most devastating human diseases that causes a vast number of mortalities worldwide each year. Cancer research is one of the largest ﬁelds in the life sciences and despite many astounding breakthroughs and contributions over the past few decades, there is still a considerable amount to unveil on the function of cancer. It is well known that cancer metabolism differs from that of normal tissue and an important hypothesis published in the 1950s by Otto Warburg proposed that cancer cells rely on anaerobic metabolism as the source for energy, even under physiological oxygen levels. Following this, cancer central carbon metabolism has been researched extensively and beyond respiration, cancer has been found to involve a wide range of metabolic processes, and many more are still to be unveiled. Studying cancer through metabolomics could reveal new biomarkers for cancer that could be useful for its future prognosis, diagnosis and therapy. Metabolomics is becoming an increasingly popular tool in the life sciences since it is a relatively fast and accurate technique that can be applied with either a particular focus or in a global manner to reveal new knowledge about biological systems. There have been many examples of its application to reveal potential biomarkers in different cancers that have employed a range of different analytical platforms. In this review, approaches in metabolomics that have been employed in cancer biomarker discovery are discussed and some of the most noteworthy research in the ﬁeld is highlighted.","DOI":"10.1016/j.jpba.2013.08.041","ISSN":"07317085","shortTitle":"Metabolomics in cancer biomarker discovery","language":"en","author":[{"family":"Armitage","given":"Emily G."},{"family":"Barbas","given":"Coral"}],"issued":{"date-parts":[["2014",1]]}}}],"schema":"https://github.com/citation-style-language/schema/raw/master/csl-citation.json"} </w:instrText>
      </w:r>
      <w:r w:rsidR="003D6A6E"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[163]</w:t>
      </w:r>
      <w:r w:rsidR="003D6A6E" w:rsidRPr="00DB7074">
        <w:rPr>
          <w:rFonts w:ascii="Book Antiqua" w:hAnsi="Book Antiqua" w:cs="Times New Roman"/>
          <w:sz w:val="24"/>
          <w:szCs w:val="24"/>
        </w:rPr>
        <w:fldChar w:fldCharType="end"/>
      </w:r>
      <w:r w:rsidRPr="00DB7074">
        <w:rPr>
          <w:rFonts w:ascii="Book Antiqua" w:hAnsi="Book Antiqua" w:cs="Times New Roman"/>
          <w:sz w:val="24"/>
          <w:szCs w:val="24"/>
        </w:rPr>
        <w:t>.</w:t>
      </w:r>
    </w:p>
    <w:p w14:paraId="0A3E469D" w14:textId="1F1AABAD" w:rsidR="00671439" w:rsidRPr="00DB7074" w:rsidRDefault="00E77DA4" w:rsidP="008E2346">
      <w:pPr>
        <w:snapToGrid w:val="0"/>
        <w:spacing w:after="0" w:line="360" w:lineRule="auto"/>
        <w:ind w:firstLineChars="100" w:firstLine="240"/>
        <w:jc w:val="both"/>
        <w:rPr>
          <w:rFonts w:ascii="Book Antiqua" w:hAnsi="Book Antiqua" w:cs="Times New Roman"/>
          <w:sz w:val="24"/>
          <w:szCs w:val="24"/>
        </w:rPr>
      </w:pPr>
      <w:r w:rsidRPr="00DB7074">
        <w:rPr>
          <w:rFonts w:ascii="Book Antiqua" w:hAnsi="Book Antiqua" w:cs="Times New Roman"/>
          <w:sz w:val="24"/>
          <w:szCs w:val="24"/>
        </w:rPr>
        <w:t xml:space="preserve">During the last decade, using </w:t>
      </w:r>
      <w:r w:rsidR="0014072B" w:rsidRPr="00DB7074">
        <w:rPr>
          <w:rFonts w:ascii="Book Antiqua" w:hAnsi="Book Antiqua" w:cs="Times New Roman"/>
          <w:sz w:val="24"/>
          <w:szCs w:val="24"/>
        </w:rPr>
        <w:t>NMR</w:t>
      </w:r>
      <w:r w:rsidRPr="00DB7074">
        <w:rPr>
          <w:rFonts w:ascii="Book Antiqua" w:hAnsi="Book Antiqua" w:cs="Times New Roman"/>
          <w:sz w:val="24"/>
          <w:szCs w:val="24"/>
        </w:rPr>
        <w:t xml:space="preserve"> and</w:t>
      </w:r>
      <w:r w:rsidR="0014072B" w:rsidRPr="00DB7074">
        <w:rPr>
          <w:rFonts w:ascii="Book Antiqua" w:hAnsi="Book Antiqua" w:cs="Times New Roman"/>
          <w:sz w:val="24"/>
          <w:szCs w:val="24"/>
        </w:rPr>
        <w:t>/or</w:t>
      </w:r>
      <w:r w:rsidRPr="00DB7074">
        <w:rPr>
          <w:rFonts w:ascii="Book Antiqua" w:hAnsi="Book Antiqua" w:cs="Times New Roman"/>
          <w:sz w:val="24"/>
          <w:szCs w:val="24"/>
        </w:rPr>
        <w:t xml:space="preserve"> </w:t>
      </w:r>
      <w:r w:rsidR="0014072B" w:rsidRPr="00DB7074">
        <w:rPr>
          <w:rFonts w:ascii="Book Antiqua" w:hAnsi="Book Antiqua" w:cs="Times New Roman"/>
          <w:sz w:val="24"/>
          <w:szCs w:val="24"/>
        </w:rPr>
        <w:t>MS</w:t>
      </w:r>
      <w:r w:rsidRPr="00DB7074">
        <w:rPr>
          <w:rFonts w:ascii="Book Antiqua" w:hAnsi="Book Antiqua" w:cs="Times New Roman"/>
          <w:sz w:val="24"/>
          <w:szCs w:val="24"/>
        </w:rPr>
        <w:t xml:space="preserve">, metabolic profiles </w:t>
      </w:r>
      <w:r w:rsidR="009B4158" w:rsidRPr="00DB7074">
        <w:rPr>
          <w:rFonts w:ascii="Book Antiqua" w:hAnsi="Book Antiqua" w:cs="Times New Roman"/>
          <w:sz w:val="24"/>
          <w:szCs w:val="24"/>
        </w:rPr>
        <w:t>of</w:t>
      </w:r>
      <w:r w:rsidRPr="00DB7074">
        <w:rPr>
          <w:rFonts w:ascii="Book Antiqua" w:hAnsi="Book Antiqua" w:cs="Times New Roman"/>
          <w:sz w:val="24"/>
          <w:szCs w:val="24"/>
        </w:rPr>
        <w:t xml:space="preserve"> colorectal </w:t>
      </w:r>
      <w:r w:rsidR="00507882" w:rsidRPr="00DB7074">
        <w:rPr>
          <w:rFonts w:ascii="Book Antiqua" w:hAnsi="Book Antiqua" w:cs="Times New Roman"/>
          <w:sz w:val="24"/>
          <w:szCs w:val="24"/>
        </w:rPr>
        <w:t>tumour</w:t>
      </w:r>
      <w:r w:rsidRPr="00DB7074">
        <w:rPr>
          <w:rFonts w:ascii="Book Antiqua" w:hAnsi="Book Antiqua" w:cs="Times New Roman"/>
          <w:sz w:val="24"/>
          <w:szCs w:val="24"/>
        </w:rPr>
        <w:t xml:space="preserve"> biopsies and m</w:t>
      </w:r>
      <w:r w:rsidR="00752243" w:rsidRPr="00DB7074">
        <w:rPr>
          <w:rFonts w:ascii="Book Antiqua" w:hAnsi="Book Antiqua" w:cs="Times New Roman"/>
          <w:sz w:val="24"/>
          <w:szCs w:val="24"/>
        </w:rPr>
        <w:t>atched colon mucosa samples</w:t>
      </w:r>
      <w:r w:rsidRPr="00DB7074">
        <w:rPr>
          <w:rFonts w:ascii="Book Antiqua" w:hAnsi="Book Antiqua" w:cs="Times New Roman"/>
          <w:sz w:val="24"/>
          <w:szCs w:val="24"/>
        </w:rPr>
        <w:t xml:space="preserve"> revealed potential biomarkers in carbohydrate metabolism,</w:t>
      </w:r>
      <w:r w:rsidR="00F4558C" w:rsidRPr="00DB7074">
        <w:rPr>
          <w:rFonts w:ascii="Book Antiqua" w:hAnsi="Book Antiqua" w:cs="Times New Roman"/>
          <w:sz w:val="24"/>
          <w:szCs w:val="24"/>
        </w:rPr>
        <w:t xml:space="preserve"> </w:t>
      </w:r>
      <w:r w:rsidRPr="00DB7074">
        <w:rPr>
          <w:rFonts w:ascii="Book Antiqua" w:hAnsi="Book Antiqua" w:cs="Times New Roman"/>
          <w:sz w:val="24"/>
          <w:szCs w:val="24"/>
        </w:rPr>
        <w:t>short-chain fatty acid and other lipid metabolism,</w:t>
      </w:r>
      <w:r w:rsidR="00F4558C" w:rsidRPr="00DB7074">
        <w:rPr>
          <w:rFonts w:ascii="Book Antiqua" w:hAnsi="Book Antiqua" w:cs="Times New Roman"/>
          <w:sz w:val="24"/>
          <w:szCs w:val="24"/>
        </w:rPr>
        <w:t xml:space="preserve"> </w:t>
      </w:r>
      <w:r w:rsidRPr="00DB7074">
        <w:rPr>
          <w:rFonts w:ascii="Book Antiqua" w:hAnsi="Book Antiqua" w:cs="Times New Roman"/>
          <w:sz w:val="24"/>
          <w:szCs w:val="24"/>
        </w:rPr>
        <w:t>nucleotide biosynthesis,</w:t>
      </w:r>
      <w:r w:rsidR="00F4558C" w:rsidRPr="00DB7074">
        <w:rPr>
          <w:rFonts w:ascii="Book Antiqua" w:hAnsi="Book Antiqua" w:cs="Times New Roman"/>
          <w:sz w:val="24"/>
          <w:szCs w:val="24"/>
        </w:rPr>
        <w:t xml:space="preserve"> </w:t>
      </w:r>
      <w:r w:rsidR="009B4158" w:rsidRPr="00DB7074">
        <w:rPr>
          <w:rFonts w:ascii="Book Antiqua" w:hAnsi="Book Antiqua" w:cs="Times New Roman"/>
          <w:sz w:val="24"/>
          <w:szCs w:val="24"/>
        </w:rPr>
        <w:t xml:space="preserve">and </w:t>
      </w:r>
      <w:r w:rsidRPr="00DB7074">
        <w:rPr>
          <w:rFonts w:ascii="Book Antiqua" w:hAnsi="Book Antiqua" w:cs="Times New Roman"/>
          <w:sz w:val="24"/>
          <w:szCs w:val="24"/>
        </w:rPr>
        <w:t>secondary bile and steroid metabolism</w:t>
      </w:r>
      <w:r w:rsidR="003D6A6E"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{"citationID":"SCzMl28d","properties":{"formattedCitation":"\\super [164,165]\\nosupersub{}","plainCitation":"[164,165]","noteIndex":0},"citationItems":[{"id":"D1GMNV0O/B3RnoqdZ","uris":["http://zotero.org/users/4804376/items/L63MDINS"],"uri":["http://zotero.org/users/4804376/items/L63MDINS"],"itemData":{"id":106,"type":"article-journal","title":"Metabolic Profiling of Human Colorectal Cancer Using High-Resolution Magic Angle Spinning Nuclear Magnetic Resonance (HR-MAS NMR) Spectroscopy and Gas Chromatography Mass Spectrometry (GC/MS)","container-title":"Journal of Proteome Research","page":"352-361","volume":"8","issue":"1","source":"CrossRef","DOI":"10.1021/pr8006232","ISSN":"1535-3893, 1535-3907","language":"en","author":[{"family":"Chan","given":"Eric Chun Yong"},{"family":"Koh","given":"Poh Koon"},{"family":"Mal","given":"Mainak"},{"family":"Cheah","given":"Peh Yean"},{"family":"Eu","given":"Kong Weng"},{"family":"Backshall","given":"Alexandra"},{"family":"Cavill","given":"Rachel"},{"family":"Nicholson","given":"Jeremy K."},{"family":"Keun","given":"Hector C."}],"issued":{"date-parts":[["2009",1,2]]}}},{"id":"D1GMNV0O/kOjjOiID","uris":["http://zotero.org/users/4804376/items/9RHIS7KZ"],"uri":["http://zotero.org/users/4804376/items/9RHIS7KZ"],"itemData":{"id":116,"type":"article-journal","title":"Metabolomics and metabolic pathway networks from human colorectal cancers, adjacent mucosa, and stool","container-title":"Cancer &amp; Metabolism","volume":"4","issue":"1","source":"CrossRef","abstract":"Background: Colorectal cancers (CRC) are associated with perturbations in cellular amino acids, nucleotides, pentose-phosphate pathway carbohydrates, and glycolytic, gluconeogenic, and tricarboxylic acid intermediates. A non-targeted global metabolome approach was utilized for exploring human CRC, adjacent mucosa, and stool. In this pilot study, we identified metabolite profile differences between CRC and adjacent mucosa from patients undergoing colonic resection. Metabolic pathway analyses further revealed relationships between complex networks of metabolites.\nMethods: Seventeen CRC patients participated in this pilot study and provided CRC, adjacent mucosa ~10 cm proximal to the tumor, and stool. Metabolomes were analyzed by gas chromatography-mass spectrometry (GC/MS) and ultra-performance liquid chromatography-mass spectrometry (UPLC-MS/MS). All of the library standard identifications were confirmed and further analyzed via MetaboLyncTM for metabolic network interactions.\nResults: There were a total of 728 distinct metabolites identified from colonic tissue and stool matrices. Nineteen metabolites significantly distinguished CRC from adjacent mucosa in our patient-matched cohort. Glucose-6-phosphate and fructose-6-phosphate demonstrated 0.64-fold and 0.75-fold lower expression in CRC compared to mucosa, respectively, whereas isobar: betaine aldehyde, N-methyldiethanolamine, and adenylosuccinate had 2.68-fold and 1.88-fold higher relative abundance in CRC. Eleven of the 19 metabolites had not previously been reported for CRC relevance. Metabolic pathway analysis revealed significant perturbations of short-chain fatty acid metabolism, fructose, mannose, and galactose metabolism, and glycolytic, gluconeogenic, and pyruvate metabolism. In comparison to the 500 stool metabolites identified from human CRC patients, only 215 of those stool metabolites were also detected in tissue. This CRC and stool metabolome investigation identified novel metabolites that may serve as key small molecules in CRC pathogenesis, confirmed the results from previously reported CRC metabolome studies, and showed networks for metabolic pathway aberrations. In addition, we found differences between the CRC and stool metabolomes.\nConclusions: Stool metabolite profiles were limited for direct associations with CRC and adjacent mucosa, yet metabolic pathways were conserved across both matrices. Larger patient-matched CRC, adjacent non-cancerous colonic mucosa, and stool cohort studies for metabolite profiling are needed to validate these small molecule differences and metabolic pathway aberrations for clinical application to CRC control, treatment, and prevention.","URL":"http://cancerandmetabolism.biomedcentral.com/articles/10.1186/s40170-016-0151-y","DOI":"10.1186/s40170-016-0151-y","ISSN":"2049-3002","language":"en","author":[{"family":"Brown","given":"Dustin G."},{"family":"Rao","given":"Sangeeta"},{"family":"Weir","given":"Tiffany L."},{"family":"O’Malia","given":"Joanne"},{"family":"Bazan","given":"Marlon"},{"family":"Brown","given":"Regina J."},{"family":"Ryan","given":"Elizabeth P."}],"issued":{"date-parts":[["2016",12]]},"accessed":{"date-parts":[["2018",3,19]]}}}],"schema":"https://github.com/citation-style-language/schema/raw/master/csl-citation.json"} </w:instrText>
      </w:r>
      <w:r w:rsidR="003D6A6E"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[164,165]</w:t>
      </w:r>
      <w:r w:rsidR="003D6A6E" w:rsidRPr="00DB7074">
        <w:rPr>
          <w:rFonts w:ascii="Book Antiqua" w:hAnsi="Book Antiqua" w:cs="Times New Roman"/>
          <w:sz w:val="24"/>
          <w:szCs w:val="24"/>
        </w:rPr>
        <w:fldChar w:fldCharType="end"/>
      </w:r>
      <w:r w:rsidR="0014072B" w:rsidRPr="00DB7074">
        <w:rPr>
          <w:rFonts w:ascii="Book Antiqua" w:hAnsi="Book Antiqua" w:cs="Times New Roman"/>
          <w:sz w:val="24"/>
          <w:szCs w:val="24"/>
        </w:rPr>
        <w:t>.</w:t>
      </w:r>
      <w:r w:rsidR="00F4558C" w:rsidRPr="00DB7074">
        <w:rPr>
          <w:rFonts w:ascii="Book Antiqua" w:hAnsi="Book Antiqua" w:cs="Times New Roman"/>
          <w:sz w:val="24"/>
          <w:szCs w:val="24"/>
        </w:rPr>
        <w:t xml:space="preserve"> </w:t>
      </w:r>
      <w:r w:rsidR="005F4D8C" w:rsidRPr="00DB7074">
        <w:rPr>
          <w:rFonts w:ascii="Book Antiqua" w:hAnsi="Book Antiqua" w:cs="Times New Roman"/>
          <w:sz w:val="24"/>
          <w:szCs w:val="24"/>
        </w:rPr>
        <w:t xml:space="preserve">The repertoire of metabolic derangements derived from cancer cells, their microenvironment and </w:t>
      </w:r>
      <w:r w:rsidR="009B4158" w:rsidRPr="00DB7074">
        <w:rPr>
          <w:rFonts w:ascii="Book Antiqua" w:hAnsi="Book Antiqua" w:cs="Times New Roman"/>
          <w:sz w:val="24"/>
          <w:szCs w:val="24"/>
        </w:rPr>
        <w:t xml:space="preserve">the </w:t>
      </w:r>
      <w:r w:rsidR="005F4D8C" w:rsidRPr="00DB7074">
        <w:rPr>
          <w:rFonts w:ascii="Book Antiqua" w:hAnsi="Book Antiqua" w:cs="Times New Roman"/>
          <w:sz w:val="24"/>
          <w:szCs w:val="24"/>
        </w:rPr>
        <w:t>gut microbiota composition and activity may culminate in a distinct metabolic phenotype (</w:t>
      </w:r>
      <w:r w:rsidR="0090134C" w:rsidRPr="00DB7074">
        <w:rPr>
          <w:rFonts w:ascii="Book Antiqua" w:hAnsi="Book Antiqua" w:cs="Times New Roman"/>
          <w:sz w:val="24"/>
          <w:szCs w:val="24"/>
        </w:rPr>
        <w:t xml:space="preserve">also called </w:t>
      </w:r>
      <w:r w:rsidR="005F4D8C" w:rsidRPr="00DB7074">
        <w:rPr>
          <w:rFonts w:ascii="Book Antiqua" w:hAnsi="Book Antiqua" w:cs="Times New Roman"/>
          <w:sz w:val="24"/>
          <w:szCs w:val="24"/>
        </w:rPr>
        <w:t>metabotype) that characterizes the pathology of CRC</w:t>
      </w:r>
      <w:r w:rsidR="0014072B" w:rsidRPr="00DB7074">
        <w:rPr>
          <w:rFonts w:ascii="Book Antiqua" w:hAnsi="Book Antiqua" w:cs="Times New Roman"/>
          <w:sz w:val="24"/>
          <w:szCs w:val="24"/>
        </w:rPr>
        <w:t xml:space="preserve">. </w:t>
      </w:r>
      <w:r w:rsidRPr="00DB7074">
        <w:rPr>
          <w:rFonts w:ascii="Book Antiqua" w:hAnsi="Book Antiqua" w:cs="Times New Roman"/>
          <w:sz w:val="24"/>
          <w:szCs w:val="24"/>
        </w:rPr>
        <w:t>Metabolome analysis of blood and urine samples from CRC patient</w:t>
      </w:r>
      <w:r w:rsidR="009B4158" w:rsidRPr="00DB7074">
        <w:rPr>
          <w:rFonts w:ascii="Book Antiqua" w:hAnsi="Book Antiqua" w:cs="Times New Roman"/>
          <w:sz w:val="24"/>
          <w:szCs w:val="24"/>
        </w:rPr>
        <w:t>s</w:t>
      </w:r>
      <w:r w:rsidRPr="00DB7074">
        <w:rPr>
          <w:rFonts w:ascii="Book Antiqua" w:hAnsi="Book Antiqua" w:cs="Times New Roman"/>
          <w:sz w:val="24"/>
          <w:szCs w:val="24"/>
        </w:rPr>
        <w:t xml:space="preserve"> </w:t>
      </w:r>
      <w:r w:rsidR="00752243" w:rsidRPr="00DB7074">
        <w:rPr>
          <w:rFonts w:ascii="Book Antiqua" w:hAnsi="Book Antiqua" w:cs="Times New Roman"/>
          <w:sz w:val="24"/>
          <w:szCs w:val="24"/>
        </w:rPr>
        <w:t xml:space="preserve">were </w:t>
      </w:r>
      <w:r w:rsidR="009B4158" w:rsidRPr="00DB7074">
        <w:rPr>
          <w:rFonts w:ascii="Book Antiqua" w:hAnsi="Book Antiqua" w:cs="Times New Roman"/>
          <w:sz w:val="24"/>
          <w:szCs w:val="24"/>
        </w:rPr>
        <w:t xml:space="preserve">performed, </w:t>
      </w:r>
      <w:r w:rsidR="00752243" w:rsidRPr="00DB7074">
        <w:rPr>
          <w:rFonts w:ascii="Book Antiqua" w:hAnsi="Book Antiqua" w:cs="Times New Roman"/>
          <w:sz w:val="24"/>
          <w:szCs w:val="24"/>
        </w:rPr>
        <w:t xml:space="preserve">and several studies </w:t>
      </w:r>
      <w:r w:rsidRPr="00DB7074">
        <w:rPr>
          <w:rFonts w:ascii="Book Antiqua" w:hAnsi="Book Antiqua" w:cs="Times New Roman"/>
          <w:sz w:val="24"/>
          <w:szCs w:val="24"/>
        </w:rPr>
        <w:t>reported relevant biomarkers for CRC</w:t>
      </w:r>
      <w:r w:rsidR="003D6A6E"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{"citationID":"jk4JVTru","properties":{"formattedCitation":"\\super [166\\uc0\\u8211{}168]\\nosupersub{}","plainCitation":"[166–168]","noteIndex":0},"citationItems":[{"id":"D1GMNV0O/KyityQLN","uris":["http://zotero.org/users/4804376/items/6XTLHCGU"],"uri":["http://zotero.org/users/4804376/items/6XTLHCGU"],"itemData":{"id":77,"type":"article-journal","title":"A validated metabolomic signature for colorectal cancer: exploration of the clinical value of metabolomics","container-title":"British Journal of Cancer","page":"848-857","volume":"115","issue":"7","source":"CrossRef","abstract":"Background: Timely diagnosis and classification of colorectal cancer (CRC) are hindered by unsatisfactory clinical assays. Our aim was to construct a blood-based biomarker series using a single assay, suitable for CRC detection, prognostication and staging.\nMethods: Serum metabolomic profiles of adenoma (N ¼ 31), various stages of CRC (N ¼ 320) and healthy matched controls (N ¼ 254) were analysed by gas chromatography-mass spectrometry (GC-MS). A diagnostic model for CRC was derived by orthogonal partial least squares-discriminant analysis (OPLS-DA) on a training set, and then validated on an independent data set. Metabolomic models suitable for identifying adenoma, poor prognosis stage II CRC and discriminating various stages were generated.\nResults: A diagnostic signature for CRC with remarkable multivariate performance (R2Y ¼ 0.46, Q2Y ¼ 0.39) was constructed, and then validated (sensitivity 85%; specificity 86%). Area under the receiver-operating characteristic curve was 0.91 (95% CI, 0.87–0.96). Adenomas were also detectable (R2Y ¼ 0.35, Q2Y ¼ 0.26, internal AUROC ¼ 0.81, 95% CI, 0.70–0.92). Also of particular interest, we identified models that stratified stage II by prognosis, and classified cases by stage.\nConclusions: Using a single assay system, a suite of CRC biomarkers based on circulating metabolites enables early detection, prognostication and preliminary staging information. External population-based studies are required to evaluate the repeatability of our findings and to assess the clinical benefits of these biomarkers.","DOI":"10.1038/bjc.2016.243","ISSN":"0007-0920, 1532-1827","shortTitle":"A validated metabolomic signature for colorectal cancer","language":"en","author":[{"family":"Farshidfar","given":"Farshad"},{"family":"Weljie","given":"Aalim M"},{"family":"Kopciuk","given":"Karen A"},{"family":"Hilsden","given":"Robert"},{"family":"McGregor","given":"S Elizabeth"},{"family":"Buie","given":"W Donald"},{"family":"MacLean","given":"Anthony"},{"family":"Vogel","given":"Hans J"},{"family":"Bathe","given":"Oliver F"}],"issued":{"date-parts":[["2016",9]]}}},{"id":"D1GMNV0O/CCXjM2Sv","uris":["http://zotero.org/users/4804376/items/MVIUTEVX"],"uri":["http://zotero.org/users/4804376/items/MVIUTEVX"],"itemData":{"id":76,"type":"article-journal","title":"A quantitative multimodal metabolomic assay for colorectal cancer","container-title":"BMC Cancer","volume":"18","issue":"1","source":"CrossRef","abstract":"Background: Early diagnosis of colorectal cancer (CRC) simplifies treatment and improves treatment outcomes. We previously described a diagnostic metabolomic biomarker derived from semi-quantitative gas chromatographymass spectrometry. Our objective was to determine whether a quantitative assay of additional metabolomic features, including parts of the lipidome could enhance diagnostic power; and whether there was an advantage to deriving a combined diagnostic signature with a broader metabolomic representation.\nMethods: The well-characterized Biocrates P150 kit was used to quantify 163 metabolites in patients with CRC (N = 62), adenoma (N = 31), and age- and gender-matched disease-free controls (N = 81). Metabolites included in the analysis included phosphatidylcholines, sphingomyelins, acylcarnitines, and amino acids. Using a training set of 32 CRC and 21 disease-free controls, a multivariate metabolomic orthogonal partial least squares (OPLS) classifier was developed. An independent set of 28 CRC and 20 matched healthy controls was used for validation. Features characterizing 31 colorectal adenomas from their healthy matched controls were also explored, and a multivariate OPLS classifier for colorectal adenoma could be proposed.\nResults: The metabolomic profile that distinguished CRC from controls consisted of 48 metabolites (R2Y = 0.83, Q2Y = 0.75, CV-ANOVA p-value &lt; 0.00001). In this quantitative assay, the coefficient of variance for each metabolite was &lt;10%, and this dramatically enhanced the separation of these groups. Independent validation resulted in AUROC of 0.98 (95% CI, 0.93–1.00) and sensitivity and specificity of 93% and 95%. Similarly, we were able to distinguish adenoma from controls (R2Y = 0.30, Q2Y = 0.20, CV-ANOVA p-value = 0.01; internal AUROC = 0.82 (95% CI, 0.72–0.93)). When combined with the previously generated GC-MS signatures for CRC and adenoma, the candidate biomarker performance improved slightly.\nConclusion: The diagnostic power for metabolomic tests for colorectal neoplasia can be improved by utilizing a multimodal approach and combining metabolites from diverse chemical classes. In addition, quantification of metabolites enhances separation of disease-specific metabolomic profiles. Our future efforts will be focused on developing a quantitative assay for the metabolites comprising the optimal diagnostic biomarker.","URL":"https://bmccancer.biomedcentral.com/articles/10.1186/s12885-017-3923-z","DOI":"10.1186/s12885-017-3923-z","ISSN":"1471-2407","language":"en","author":[{"family":"Farshidfar","given":"Farshad"},{"family":"Kopciuk","given":"Karen A."},{"family":"Hilsden","given":"Robert"},{"family":"McGregor","given":"S. Elizabeth"},{"family":"Mazurak","given":"Vera C."},{"family":"Buie","given":"W. Donald"},{"family":"MacLean","given":"Anthony"},{"family":"Vogel","given":"Hans J."},{"family":"Bathe","given":"Oliver F."}],"issued":{"date-parts":[["2018",12]]},"accessed":{"date-parts":[["2018",3,19]]}}},{"id":"D1GMNV0O/adOz7zg4","uris":["http://zotero.org/users/4804376/items/T3VB8STE"],"uri":["http://zotero.org/users/4804376/items/T3VB8STE"],"itemData":{"id":688,"type":"article-journal","title":"Serum metabolomics analysis for early detection of colorectal cancer","container-title":"Journal of Gastroenterology","page":"677-694","volume":"52","issue":"6","source":"PubMed","abstract":"BACKGROUND: Although colorectal cancer (CRC) is one of the most common causes of cancer mortality, early-stage detection improves survival rates dramatically. Because cancer impacts important metabolic pathways, the alteration of metabolite levels as a potential biomarker of early-stage cancer has been the focus of many studies. Here, we used CE-TOFMS, a novel and promising method with small injection volume and high resolution, to separate and detect ionic compounds based on the different migration rates of charged metabolites in order to detect metabolic biomarkers in patients with CRC.\nMETHODS: A total of 56 patients with CRC (n = 14 each of Stages I-IV), 60 healthy controls, and 59 patients with colonic adenoma were included in this study. Metabolome analysis was conducted by CE-TOFMS on serum samples of patients and controls using the Advanced Scan package (Human Metabolome Technologies).\nRESULTS: We obtained 334 metabolites in the serum, of which 139 were identified as known substances. Among these 139 known metabolites, 16 were correlated with CRC stage by upregulation and 44 by downregulation, with benzoic acid (r = -0.649, t = 11.653, p = 6.07599E-24), octanoic acid (r = 0.557, t = 9.183, p = 7.9557E-17), decanoic acid (r = 0.539, t = 8.749, p = 1.24352E-15), and histidine (r = -0.513, t = 8.194, p = 3.90224E-14) exhibiting significant correlation.\nCONCLUSIONS: To the best of our knowledge, this is the first report to determine the correlation between serum metabolites and CRC stage using CE-TOFMS. Our results show that benzoic acid exhibited excellent diagnostic power and could potentially serve as a novel disease biomarker for CRC diagnosis.","DOI":"10.1007/s00535-016-1261-6","ISSN":"1435-5922","note":"PMID: 27650200","journalAbbreviation":"J. Gastroenterol.","language":"eng","author":[{"family":"Uchiyama","given":"Kazuhiko"},{"family":"Yagi","given":"Nobuaki"},{"family":"Mizushima","given":"Katsura"},{"family":"Higashimura","given":"Yasuki"},{"family":"Hirai","given":"Yasuko"},{"family":"Okayama","given":"Tetsuya"},{"family":"Yoshida","given":"Naohisa"},{"family":"Katada","given":"Kazuhiro"},{"family":"Kamada","given":"Kazuhiro"},{"family":"Handa","given":"Osamu"},{"family":"Ishikawa","given":"Takeshi"},{"family":"Takagi","given":"Tomohisa"},{"family":"Konishi","given":"Hideyuki"},{"family":"Kuriu","given":"Yoshiaki"},{"family":"Nakanishi","given":"Masayoshi"},{"family":"Otsuji","given":"Eigo"},{"family":"Itoh","given":"Yoshito"},{"family":"Naito","given":"Yuji"}],"issued":{"date-parts":[["2017",6]]}}}],"schema":"https://github.com/citation-style-language/schema/raw/master/csl-citation.json"} </w:instrText>
      </w:r>
      <w:r w:rsidR="003D6A6E"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[166–168]</w:t>
      </w:r>
      <w:r w:rsidR="003D6A6E" w:rsidRPr="00DB7074">
        <w:rPr>
          <w:rFonts w:ascii="Book Antiqua" w:hAnsi="Book Antiqua" w:cs="Times New Roman"/>
          <w:sz w:val="24"/>
          <w:szCs w:val="24"/>
        </w:rPr>
        <w:fldChar w:fldCharType="end"/>
      </w:r>
      <w:r w:rsidRPr="00DB7074">
        <w:rPr>
          <w:rFonts w:ascii="Book Antiqua" w:hAnsi="Book Antiqua" w:cs="Times New Roman"/>
          <w:sz w:val="24"/>
          <w:szCs w:val="24"/>
        </w:rPr>
        <w:t xml:space="preserve">. </w:t>
      </w:r>
      <w:r w:rsidR="00507882" w:rsidRPr="00DB7074">
        <w:rPr>
          <w:rFonts w:ascii="Book Antiqua" w:hAnsi="Book Antiqua" w:cs="Times New Roman"/>
          <w:sz w:val="24"/>
          <w:szCs w:val="24"/>
        </w:rPr>
        <w:t xml:space="preserve">However, </w:t>
      </w:r>
      <w:r w:rsidRPr="00DB7074">
        <w:rPr>
          <w:rFonts w:ascii="Book Antiqua" w:hAnsi="Book Antiqua" w:cs="Times New Roman"/>
          <w:sz w:val="24"/>
          <w:szCs w:val="24"/>
        </w:rPr>
        <w:t xml:space="preserve">the transient </w:t>
      </w:r>
      <w:r w:rsidR="009B4158" w:rsidRPr="00DB7074">
        <w:rPr>
          <w:rFonts w:ascii="Book Antiqua" w:hAnsi="Book Antiqua" w:cs="Times New Roman"/>
          <w:sz w:val="24"/>
          <w:szCs w:val="24"/>
        </w:rPr>
        <w:t xml:space="preserve">localization </w:t>
      </w:r>
      <w:r w:rsidRPr="00DB7074">
        <w:rPr>
          <w:rFonts w:ascii="Book Antiqua" w:hAnsi="Book Antiqua" w:cs="Times New Roman"/>
          <w:sz w:val="24"/>
          <w:szCs w:val="24"/>
        </w:rPr>
        <w:t xml:space="preserve">of </w:t>
      </w:r>
      <w:r w:rsidR="00507882" w:rsidRPr="00DB7074">
        <w:rPr>
          <w:rFonts w:ascii="Book Antiqua" w:hAnsi="Book Antiqua" w:cs="Times New Roman"/>
          <w:sz w:val="24"/>
          <w:szCs w:val="24"/>
        </w:rPr>
        <w:t>faeces</w:t>
      </w:r>
      <w:r w:rsidRPr="00DB7074">
        <w:rPr>
          <w:rFonts w:ascii="Book Antiqua" w:hAnsi="Book Antiqua" w:cs="Times New Roman"/>
          <w:sz w:val="24"/>
          <w:szCs w:val="24"/>
        </w:rPr>
        <w:t xml:space="preserve"> in the colon and rectum makes it an ideal matrix for gaining information about the health and pathological state of </w:t>
      </w:r>
      <w:r w:rsidR="009B4158" w:rsidRPr="00DB7074">
        <w:rPr>
          <w:rFonts w:ascii="Book Antiqua" w:hAnsi="Book Antiqua" w:cs="Times New Roman"/>
          <w:sz w:val="24"/>
          <w:szCs w:val="24"/>
        </w:rPr>
        <w:t xml:space="preserve">the </w:t>
      </w:r>
      <w:r w:rsidRPr="00DB7074">
        <w:rPr>
          <w:rFonts w:ascii="Book Antiqua" w:hAnsi="Book Antiqua" w:cs="Times New Roman"/>
          <w:sz w:val="24"/>
          <w:szCs w:val="24"/>
        </w:rPr>
        <w:t xml:space="preserve">colon and rectum, and </w:t>
      </w:r>
      <w:r w:rsidR="009B4158" w:rsidRPr="00DB7074">
        <w:rPr>
          <w:rFonts w:ascii="Book Antiqua" w:hAnsi="Book Antiqua" w:cs="Times New Roman"/>
          <w:sz w:val="24"/>
          <w:szCs w:val="24"/>
        </w:rPr>
        <w:t>thus for</w:t>
      </w:r>
      <w:r w:rsidRPr="00DB7074">
        <w:rPr>
          <w:rFonts w:ascii="Book Antiqua" w:hAnsi="Book Antiqua" w:cs="Times New Roman"/>
          <w:sz w:val="24"/>
          <w:szCs w:val="24"/>
        </w:rPr>
        <w:t xml:space="preserve"> colorectal cancer diagnosis</w:t>
      </w:r>
      <w:r w:rsidR="003D6A6E"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{"citationID":"a2qjo5n4dmp","properties":{"formattedCitation":"\\super [169]\\nosupersub{}","plainCitation":"[169]","noteIndex":0},"citationItems":[{"id":"D1GMNV0O/fEH1hL9M","uris":["http://zotero.org/users/4804376/items/39WAZIBR"],"uri":["http://zotero.org/users/4804376/items/39WAZIBR"],"itemData":{"id":121,"type":"article-journal","title":"Noninvasive metabolic profiling for painless diagnosis of human diseases and disorders","container-title":"Future Science OA","volume":"2","issue":"2","source":"CrossRef","URL":"http://www.future-science.com/doi/10.4155/fsoa-2015-0014","DOI":"10.4155/fsoa-2015-0014","ISSN":"2056-5623","language":"en","author":[{"family":"Mal","given":"Mainak"}],"issued":{"date-parts":[["2016",6]]},"accessed":{"date-parts":[["2018",3,19]]}}}],"schema":"https://github.com/citation-style-language/schema/raw/master/csl-citation.json"} </w:instrText>
      </w:r>
      <w:r w:rsidR="003D6A6E"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[169]</w:t>
      </w:r>
      <w:r w:rsidR="003D6A6E" w:rsidRPr="00DB7074">
        <w:rPr>
          <w:rFonts w:ascii="Book Antiqua" w:hAnsi="Book Antiqua" w:cs="Times New Roman"/>
          <w:sz w:val="24"/>
          <w:szCs w:val="24"/>
        </w:rPr>
        <w:fldChar w:fldCharType="end"/>
      </w:r>
      <w:r w:rsidRPr="00DB7074">
        <w:rPr>
          <w:rFonts w:ascii="Book Antiqua" w:hAnsi="Book Antiqua" w:cs="Times New Roman"/>
          <w:sz w:val="24"/>
          <w:szCs w:val="24"/>
        </w:rPr>
        <w:t>.</w:t>
      </w:r>
      <w:r w:rsidR="0014072B" w:rsidRPr="00DB7074">
        <w:rPr>
          <w:rFonts w:ascii="Book Antiqua" w:hAnsi="Book Antiqua" w:cs="Times New Roman"/>
          <w:sz w:val="24"/>
          <w:szCs w:val="24"/>
        </w:rPr>
        <w:t xml:space="preserve"> </w:t>
      </w:r>
      <w:r w:rsidR="00507882" w:rsidRPr="00DB7074">
        <w:rPr>
          <w:rFonts w:ascii="Book Antiqua" w:hAnsi="Book Antiqua" w:cs="Times New Roman"/>
          <w:sz w:val="24"/>
          <w:szCs w:val="24"/>
        </w:rPr>
        <w:t>Faecal</w:t>
      </w:r>
      <w:r w:rsidR="00671439" w:rsidRPr="00DB7074">
        <w:rPr>
          <w:rFonts w:ascii="Book Antiqua" w:hAnsi="Book Antiqua" w:cs="Times New Roman"/>
          <w:sz w:val="24"/>
          <w:szCs w:val="24"/>
        </w:rPr>
        <w:t xml:space="preserve"> samples consist of </w:t>
      </w:r>
      <w:r w:rsidR="009B4158" w:rsidRPr="00DB7074">
        <w:rPr>
          <w:rFonts w:ascii="Book Antiqua" w:hAnsi="Book Antiqua" w:cs="Times New Roman"/>
          <w:sz w:val="24"/>
          <w:szCs w:val="24"/>
        </w:rPr>
        <w:t xml:space="preserve">a </w:t>
      </w:r>
      <w:r w:rsidR="00671439" w:rsidRPr="00DB7074">
        <w:rPr>
          <w:rFonts w:ascii="Book Antiqua" w:hAnsi="Book Antiqua" w:cs="Times New Roman"/>
          <w:sz w:val="24"/>
          <w:szCs w:val="24"/>
        </w:rPr>
        <w:t xml:space="preserve">diverse range of endogenous metabolites including </w:t>
      </w:r>
      <w:r w:rsidR="00507882" w:rsidRPr="00DB7074">
        <w:rPr>
          <w:rFonts w:ascii="Book Antiqua" w:hAnsi="Book Antiqua" w:cs="Times New Roman"/>
          <w:sz w:val="24"/>
          <w:szCs w:val="24"/>
        </w:rPr>
        <w:t>tumour</w:t>
      </w:r>
      <w:r w:rsidR="00671439" w:rsidRPr="00DB7074">
        <w:rPr>
          <w:rFonts w:ascii="Book Antiqua" w:hAnsi="Book Antiqua" w:cs="Times New Roman"/>
          <w:sz w:val="24"/>
          <w:szCs w:val="24"/>
        </w:rPr>
        <w:t xml:space="preserve"> cell metabolites and gut microbiota metabolites</w:t>
      </w:r>
      <w:r w:rsidR="003D6A6E"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{"citationID":"a2gqvh73s2a","properties":{"formattedCitation":"\\super [169]\\nosupersub{}","plainCitation":"[169]","noteIndex":0},"citationItems":[{"id":"D1GMNV0O/fEH1hL9M","uris":["http://zotero.org/users/4804376/items/39WAZIBR"],"uri":["http://zotero.org/users/4804376/items/39WAZIBR"],"itemData":{"id":121,"type":"article-journal","title":"Noninvasive metabolic profiling for painless diagnosis of human diseases and disorders","container-title":"Future Science OA","volume":"2","issue":"2","source":"CrossRef","URL":"http://www.future-science.com/doi/10.4155/fsoa-2015-0014","DOI":"10.4155/fsoa-2015-0014","ISSN":"2056-5623","language":"en","author":[{"family":"Mal","given":"Mainak"}],"issued":{"date-parts":[["2016",6]]},"accessed":{"date-parts":[["2018",3,19]]}}}],"schema":"https://github.com/citation-style-language/schema/raw/master/csl-citation.json"} </w:instrText>
      </w:r>
      <w:r w:rsidR="003D6A6E"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[169]</w:t>
      </w:r>
      <w:r w:rsidR="003D6A6E" w:rsidRPr="00DB7074">
        <w:rPr>
          <w:rFonts w:ascii="Book Antiqua" w:hAnsi="Book Antiqua" w:cs="Times New Roman"/>
          <w:sz w:val="24"/>
          <w:szCs w:val="24"/>
        </w:rPr>
        <w:fldChar w:fldCharType="end"/>
      </w:r>
      <w:r w:rsidR="003D6A6E" w:rsidRPr="00DB7074">
        <w:rPr>
          <w:rFonts w:ascii="Book Antiqua" w:hAnsi="Book Antiqua" w:cs="Times New Roman"/>
          <w:sz w:val="24"/>
          <w:szCs w:val="24"/>
        </w:rPr>
        <w:t>.</w:t>
      </w:r>
    </w:p>
    <w:p w14:paraId="77F19906" w14:textId="77777777" w:rsidR="008E2346" w:rsidRDefault="008E2346" w:rsidP="008E2346">
      <w:pPr>
        <w:snapToGrid w:val="0"/>
        <w:spacing w:after="0" w:line="360" w:lineRule="auto"/>
        <w:jc w:val="both"/>
        <w:rPr>
          <w:rFonts w:ascii="Book Antiqua" w:hAnsi="Book Antiqua" w:cs="Times New Roman"/>
          <w:sz w:val="24"/>
          <w:szCs w:val="24"/>
          <w:lang w:eastAsia="zh-CN"/>
        </w:rPr>
      </w:pPr>
    </w:p>
    <w:p w14:paraId="180AE929" w14:textId="42924CA5" w:rsidR="00671439" w:rsidRPr="008E2346" w:rsidRDefault="00671439" w:rsidP="008E2346">
      <w:pPr>
        <w:snapToGrid w:val="0"/>
        <w:spacing w:after="0" w:line="360" w:lineRule="auto"/>
        <w:jc w:val="both"/>
        <w:rPr>
          <w:rFonts w:ascii="Book Antiqua" w:hAnsi="Book Antiqua" w:cs="Times New Roman"/>
          <w:b/>
          <w:sz w:val="24"/>
          <w:szCs w:val="24"/>
        </w:rPr>
      </w:pPr>
      <w:r w:rsidRPr="00DB7074">
        <w:rPr>
          <w:rFonts w:ascii="Book Antiqua" w:hAnsi="Book Antiqua" w:cs="Times New Roman"/>
          <w:b/>
          <w:sz w:val="24"/>
          <w:szCs w:val="24"/>
        </w:rPr>
        <w:t xml:space="preserve">Microbial influence on the </w:t>
      </w:r>
      <w:r w:rsidR="00507882" w:rsidRPr="00DB7074">
        <w:rPr>
          <w:rFonts w:ascii="Book Antiqua" w:hAnsi="Book Antiqua" w:cs="Times New Roman"/>
          <w:b/>
          <w:sz w:val="24"/>
          <w:szCs w:val="24"/>
        </w:rPr>
        <w:t>faecal</w:t>
      </w:r>
      <w:r w:rsidR="008E2346">
        <w:rPr>
          <w:rFonts w:ascii="Book Antiqua" w:hAnsi="Book Antiqua" w:cs="Times New Roman"/>
          <w:b/>
          <w:sz w:val="24"/>
          <w:szCs w:val="24"/>
        </w:rPr>
        <w:t xml:space="preserve"> metabolome</w:t>
      </w:r>
      <w:r w:rsidR="008E2346">
        <w:rPr>
          <w:rFonts w:ascii="Book Antiqua" w:hAnsi="Book Antiqua" w:cs="Times New Roman" w:hint="eastAsia"/>
          <w:b/>
          <w:sz w:val="24"/>
          <w:szCs w:val="24"/>
          <w:lang w:eastAsia="zh-CN"/>
        </w:rPr>
        <w:t xml:space="preserve">: </w:t>
      </w:r>
      <w:r w:rsidRPr="00DB7074">
        <w:rPr>
          <w:rFonts w:ascii="Book Antiqua" w:hAnsi="Book Antiqua" w:cs="Times New Roman"/>
          <w:sz w:val="24"/>
          <w:szCs w:val="24"/>
        </w:rPr>
        <w:t xml:space="preserve">When ingested, the majority of food nutrients are absorbed in the small intestine. The residues that reach the colon are complex nutrients, generally </w:t>
      </w:r>
      <w:r w:rsidR="00507882" w:rsidRPr="00DB7074">
        <w:rPr>
          <w:rFonts w:ascii="Book Antiqua" w:hAnsi="Book Antiqua" w:cs="Times New Roman"/>
          <w:sz w:val="24"/>
          <w:szCs w:val="24"/>
        </w:rPr>
        <w:t>fibre</w:t>
      </w:r>
      <w:r w:rsidRPr="00DB7074">
        <w:rPr>
          <w:rFonts w:ascii="Book Antiqua" w:hAnsi="Book Antiqua" w:cs="Times New Roman"/>
          <w:sz w:val="24"/>
          <w:szCs w:val="24"/>
        </w:rPr>
        <w:t>s (complex carbohydrates)</w:t>
      </w:r>
      <w:r w:rsidR="00BA7967" w:rsidRPr="00DB7074">
        <w:rPr>
          <w:rFonts w:ascii="Book Antiqua" w:hAnsi="Book Antiqua" w:cs="Times New Roman"/>
          <w:sz w:val="24"/>
          <w:szCs w:val="24"/>
        </w:rPr>
        <w:t>,</w:t>
      </w:r>
      <w:r w:rsidRPr="00DB7074">
        <w:rPr>
          <w:rFonts w:ascii="Book Antiqua" w:hAnsi="Book Antiqua" w:cs="Times New Roman"/>
          <w:sz w:val="24"/>
          <w:szCs w:val="24"/>
        </w:rPr>
        <w:t xml:space="preserve"> but also protein residues and host products</w:t>
      </w:r>
      <w:r w:rsidR="00507882" w:rsidRPr="00DB7074">
        <w:rPr>
          <w:rFonts w:ascii="Book Antiqua" w:hAnsi="Book Antiqua" w:cs="Times New Roman"/>
          <w:sz w:val="24"/>
          <w:szCs w:val="24"/>
        </w:rPr>
        <w:t xml:space="preserve"> such as </w:t>
      </w:r>
      <w:r w:rsidRPr="00DB7074">
        <w:rPr>
          <w:rFonts w:ascii="Book Antiqua" w:hAnsi="Book Antiqua" w:cs="Times New Roman"/>
          <w:sz w:val="24"/>
          <w:szCs w:val="24"/>
        </w:rPr>
        <w:t>mucin and bile acids secreted by the liver in response to fat ingestion</w:t>
      </w:r>
      <w:r w:rsidR="003D6A6E"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{"citationID":"av2o53ad5v","properties":{"formattedCitation":"\\super [170]\\nosupersub{}","plainCitation":"[170]","noteIndex":0},"citationItems":[{"id":"D1GMNV0O/uNxAcNUc","uris":["http://zotero.org/users/4804376/items/B75UCYNX"],"uri":["http://zotero.org/users/4804376/items/B75UCYNX"],"itemData":{"id":18,"type":"article-journal","title":"Diet, microorganisms and their metabolites and colon cancer","container-title":"Nature Reviews Gastroenterology &amp; Hepatology","page":"691-706","volume":"13","issue":"12","source":"CrossRef","abstract":"Colorectal cancer is one of the so</w:instrText>
      </w:r>
      <w:r w:rsidR="002A773B" w:rsidRPr="00DB7074">
        <w:rPr>
          <w:rFonts w:ascii="MS Mincho" w:eastAsia="MS Mincho" w:hAnsi="MS Mincho" w:cs="MS Mincho" w:hint="eastAsia"/>
          <w:sz w:val="24"/>
          <w:szCs w:val="24"/>
        </w:rPr>
        <w:instrText>‑</w:instrText>
      </w:r>
      <w:r w:rsidR="002A773B" w:rsidRPr="00DB7074">
        <w:rPr>
          <w:rFonts w:ascii="Book Antiqua" w:hAnsi="Book Antiqua" w:cs="Times New Roman"/>
          <w:sz w:val="24"/>
          <w:szCs w:val="24"/>
        </w:rPr>
        <w:instrText xml:space="preserve">called westernized diseases and the second leading cause of cancer death worldwide. On the basis of global epidemiological and scientific studies, evidence suggests that the risk of colorectal cancer is increased by processed and unprocessed meat consumption but suppressed by fibre, and that food composition affects colonic health and cancer risk via its effects on colonic microbial metabolism. The gut microbiota can ferment complex dietary residues that are resistant to digestion by enteric enzymes. This process provides energy for the microbiota but culminates in the release of short-chain fatty acids including butyrate, which are utilized for the metabolic needs of the colon and the body. Butyrate has a remarkable array of colonic health-promoting and antineoplastic properties: it is the preferred energy source for colonocytes, it maintains mucosal integrity and it suppresses inflammation and carcinogenesis through effects on immunity, gene expression and epigenetic modulation. Protein residues and fat-stimulated bile acids are also metabolized by the microbiota to inflammatory and/or carcinogenic metabolites, which increase the risk of neoplastic progression. This Review will discuss the mechanisms behind these microbial metabolite effects, which could be modified by diet to achieve the objective of preventing colorectal cancer in Western societies.","DOI":"10.1038/nrgastro.2016.165","ISSN":"1759-5045, 1759-5053","language":"en","author":[{"family":"O'Keefe","given":"Stephen J. D."}],"issued":{"date-parts":[["2016",12]]}}}],"schema":"https://github.com/citation-style-language/schema/raw/master/csl-citation.json"} </w:instrText>
      </w:r>
      <w:r w:rsidR="003D6A6E"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[170]</w:t>
      </w:r>
      <w:r w:rsidR="003D6A6E" w:rsidRPr="00DB7074">
        <w:rPr>
          <w:rFonts w:ascii="Book Antiqua" w:hAnsi="Book Antiqua" w:cs="Times New Roman"/>
          <w:sz w:val="24"/>
          <w:szCs w:val="24"/>
        </w:rPr>
        <w:fldChar w:fldCharType="end"/>
      </w:r>
      <w:r w:rsidRPr="00DB7074">
        <w:rPr>
          <w:rFonts w:ascii="Book Antiqua" w:hAnsi="Book Antiqua" w:cs="Times New Roman"/>
          <w:sz w:val="24"/>
          <w:szCs w:val="24"/>
        </w:rPr>
        <w:t xml:space="preserve">. These compounds are metabolized by the microbial </w:t>
      </w:r>
      <w:r w:rsidRPr="00DB7074">
        <w:rPr>
          <w:rFonts w:ascii="Book Antiqua" w:hAnsi="Book Antiqua" w:cs="Times New Roman"/>
          <w:sz w:val="24"/>
          <w:szCs w:val="24"/>
        </w:rPr>
        <w:lastRenderedPageBreak/>
        <w:t xml:space="preserve">populations </w:t>
      </w:r>
      <w:r w:rsidR="00685278" w:rsidRPr="00DB7074">
        <w:rPr>
          <w:rFonts w:ascii="Book Antiqua" w:hAnsi="Book Antiqua" w:cs="Times New Roman"/>
          <w:sz w:val="24"/>
          <w:szCs w:val="24"/>
        </w:rPr>
        <w:t>in</w:t>
      </w:r>
      <w:r w:rsidR="00BA7967" w:rsidRPr="00DB7074">
        <w:rPr>
          <w:rFonts w:ascii="Book Antiqua" w:hAnsi="Book Antiqua" w:cs="Times New Roman"/>
          <w:sz w:val="24"/>
          <w:szCs w:val="24"/>
        </w:rPr>
        <w:t>to</w:t>
      </w:r>
      <w:r w:rsidR="00685278" w:rsidRPr="00DB7074">
        <w:rPr>
          <w:rFonts w:ascii="Book Antiqua" w:hAnsi="Book Antiqua" w:cs="Times New Roman"/>
          <w:sz w:val="24"/>
          <w:szCs w:val="24"/>
        </w:rPr>
        <w:t xml:space="preserve"> a </w:t>
      </w:r>
      <w:r w:rsidRPr="00DB7074">
        <w:rPr>
          <w:rFonts w:ascii="Book Antiqua" w:hAnsi="Book Antiqua" w:cs="Times New Roman"/>
          <w:sz w:val="24"/>
          <w:szCs w:val="24"/>
        </w:rPr>
        <w:t xml:space="preserve">diversity of metabolites </w:t>
      </w:r>
      <w:r w:rsidR="00BA7967" w:rsidRPr="00DB7074">
        <w:rPr>
          <w:rFonts w:ascii="Book Antiqua" w:hAnsi="Book Antiqua" w:cs="Times New Roman"/>
          <w:sz w:val="24"/>
          <w:szCs w:val="24"/>
        </w:rPr>
        <w:t xml:space="preserve">that </w:t>
      </w:r>
      <w:r w:rsidRPr="00DB7074">
        <w:rPr>
          <w:rFonts w:ascii="Book Antiqua" w:hAnsi="Book Antiqua" w:cs="Times New Roman"/>
          <w:sz w:val="24"/>
          <w:szCs w:val="24"/>
        </w:rPr>
        <w:t>can be use by the host colonic cells</w:t>
      </w:r>
      <w:r w:rsidR="003D6A6E"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{"citationID":"ad9mvaq3pb","properties":{"formattedCitation":"\\super [171]\\nosupersub{}","plainCitation":"[171]","noteIndex":0},"citationItems":[{"id":"D1GMNV0O/ByQrCURg","uris":["http://zotero.org/users/4804376/items/TCF944NF"],"uri":["http://zotero.org/users/4804376/items/TCF944NF"],"itemData":{"id":12,"type":"article-journal","title":"The role of the gut microbiota in nutrition and health","container-title":"Nature Reviews Gastroenterology &amp; Hepatology","page":"577-589","volume":"9","issue":"10","source":"CrossRef","abstract":"The microbial communities that colonize different regions of the human gut influence many aspects of health. In the healthy state, they contribute nutrients and energy to the host via the fermentation of nondigestible dietary components in the large intestine, and a balance is maintained with the host’s metabolism and immune system. Negative consequences, however, can include acting as sources of inflammation and infection, involvement in gastrointestinal diseases, and possible contributions to diabetes mellitus and obesity. Major progress has been made in defining some of the dominant members of the microbial community in the healthy large intestine, and in identifying their roles in gut metabolism. Furthermore, it has become clear that diet can have a major influence on microbial community composition both in the short and long term, which should open up new possibilities for health manipulation via diet. Achieving better definition of those dominant commensal bacteria, community profiles and system characteristics that produce stable gut communities beneficial to health is important. The extent of interindividual variation in microbiota composition within the population has also become apparent, and probably influences individual responses to drug administration and dietary manipulation. This Review considers the complex interplay between the gut microbiota, diet and health.","DOI":"10.1038/nrgastro.2012.156","ISSN":"1759-5045, 1759-5053","language":"en","author":[{"family":"Flint","given":"Harry J."},{"family":"Scott","given":"Karen P."},{"family":"Louis","given":"Petra"},{"family":"Duncan","given":"Sylvia H."}],"issued":{"date-parts":[["2012",10]]}}}],"schema":"https://github.com/citation-style-language/schema/raw/master/csl-citation.json"} </w:instrText>
      </w:r>
      <w:r w:rsidR="003D6A6E"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[171]</w:t>
      </w:r>
      <w:r w:rsidR="003D6A6E" w:rsidRPr="00DB7074">
        <w:rPr>
          <w:rFonts w:ascii="Book Antiqua" w:hAnsi="Book Antiqua" w:cs="Times New Roman"/>
          <w:sz w:val="24"/>
          <w:szCs w:val="24"/>
        </w:rPr>
        <w:fldChar w:fldCharType="end"/>
      </w:r>
      <w:r w:rsidRPr="00DB7074">
        <w:rPr>
          <w:rFonts w:ascii="Book Antiqua" w:hAnsi="Book Antiqua" w:cs="Times New Roman"/>
          <w:sz w:val="24"/>
          <w:szCs w:val="24"/>
        </w:rPr>
        <w:t>. The gut microbiota makes an important contribution to human metabolism by providing enzymatic functions that are not encoded by the human genome, such as the breakdown of polysaccharides</w:t>
      </w:r>
      <w:r w:rsidR="00BA7967" w:rsidRPr="00DB7074">
        <w:rPr>
          <w:rFonts w:ascii="Book Antiqua" w:hAnsi="Book Antiqua" w:cs="Times New Roman"/>
          <w:sz w:val="24"/>
          <w:szCs w:val="24"/>
        </w:rPr>
        <w:t xml:space="preserve"> and</w:t>
      </w:r>
      <w:r w:rsidRPr="00DB7074">
        <w:rPr>
          <w:rFonts w:ascii="Book Antiqua" w:hAnsi="Book Antiqua" w:cs="Times New Roman"/>
          <w:sz w:val="24"/>
          <w:szCs w:val="24"/>
        </w:rPr>
        <w:t xml:space="preserve"> polyphenols and </w:t>
      </w:r>
      <w:r w:rsidR="00BA7967" w:rsidRPr="00DB7074">
        <w:rPr>
          <w:rFonts w:ascii="Book Antiqua" w:hAnsi="Book Antiqua" w:cs="Times New Roman"/>
          <w:sz w:val="24"/>
          <w:szCs w:val="24"/>
        </w:rPr>
        <w:t xml:space="preserve">the </w:t>
      </w:r>
      <w:r w:rsidRPr="00DB7074">
        <w:rPr>
          <w:rFonts w:ascii="Book Antiqua" w:hAnsi="Book Antiqua" w:cs="Times New Roman"/>
          <w:sz w:val="24"/>
          <w:szCs w:val="24"/>
        </w:rPr>
        <w:t>synthesis of vitamins by fermentation and anaerobic degradation</w:t>
      </w:r>
      <w:r w:rsidR="003D6A6E"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{"citationID":"a2bjqvmq674","properties":{"formattedCitation":"\\super [172]\\nosupersub{}","plainCitation":"[172]","noteIndex":0},"citationItems":[{"id":"D1GMNV0O/pzUBt3q5","uris":["http://zotero.org/users/4804376/items/DGHDVHID"],"uri":["http://zotero.org/users/4804376/items/DGHDVHID"],"itemData":{"id":19,"type":"article-journal","title":"Gut microbiota functions: metabolism of nutrients and other food components","container-title":"European Journal of Nutrition","page":"1-24","volume":"57","issue":"1","source":"CrossRef","DOI":"10.1007/s00394-017-1445-8","ISSN":"1436-6207, 1436-6215","shortTitle":"Gut microbiota functions","language":"en","author":[{"family":"Rowland","given":"Ian"},{"family":"Gibson","given":"Glenn"},{"family":"Heinken","given":"Almut"},{"family":"Scott","given":"Karen"},{"family":"Swann","given":"Jonathan"},{"family":"Thiele","given":"Ines"},{"family":"Tuohy","given":"Kieran"}],"issued":{"date-parts":[["2018",2]]}}}],"schema":"https://github.com/citation-style-language/schema/raw/master/csl-citation.json"} </w:instrText>
      </w:r>
      <w:r w:rsidR="003D6A6E"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[172]</w:t>
      </w:r>
      <w:r w:rsidR="003D6A6E" w:rsidRPr="00DB7074">
        <w:rPr>
          <w:rFonts w:ascii="Book Antiqua" w:hAnsi="Book Antiqua" w:cs="Times New Roman"/>
          <w:sz w:val="24"/>
          <w:szCs w:val="24"/>
        </w:rPr>
        <w:fldChar w:fldCharType="end"/>
      </w:r>
      <w:r w:rsidR="003D6A6E" w:rsidRPr="00DB7074">
        <w:rPr>
          <w:rFonts w:ascii="Book Antiqua" w:hAnsi="Book Antiqua" w:cs="Times New Roman"/>
          <w:sz w:val="24"/>
          <w:szCs w:val="24"/>
        </w:rPr>
        <w:t>.</w:t>
      </w:r>
    </w:p>
    <w:p w14:paraId="7B8E9F5A" w14:textId="156DE5D2" w:rsidR="00671439" w:rsidRPr="00DB7074" w:rsidRDefault="00685278" w:rsidP="00C94391">
      <w:pPr>
        <w:snapToGrid w:val="0"/>
        <w:spacing w:after="0" w:line="360" w:lineRule="auto"/>
        <w:ind w:firstLineChars="100" w:firstLine="240"/>
        <w:jc w:val="both"/>
        <w:rPr>
          <w:rFonts w:ascii="Book Antiqua" w:hAnsi="Book Antiqua" w:cs="Times New Roman"/>
          <w:sz w:val="24"/>
          <w:szCs w:val="24"/>
        </w:rPr>
      </w:pPr>
      <w:r w:rsidRPr="00DB7074">
        <w:rPr>
          <w:rFonts w:ascii="Book Antiqua" w:hAnsi="Book Antiqua" w:cs="Times New Roman"/>
          <w:sz w:val="24"/>
          <w:szCs w:val="24"/>
        </w:rPr>
        <w:t>P</w:t>
      </w:r>
      <w:r w:rsidR="00671439" w:rsidRPr="00DB7074">
        <w:rPr>
          <w:rFonts w:ascii="Book Antiqua" w:hAnsi="Book Antiqua" w:cs="Times New Roman"/>
          <w:sz w:val="24"/>
          <w:szCs w:val="24"/>
        </w:rPr>
        <w:t>olysaccharides and non-digestible carbohydrates are the primary substrates for microbial fermentation</w:t>
      </w:r>
      <w:r w:rsidR="003D6A6E"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{"citationID":"a1cp2k8os14","properties":{"formattedCitation":"\\super [173]\\nosupersub{}","plainCitation":"[173]","noteIndex":0},"citationItems":[{"id":"D1GMNV0O/jgxyTVOI","uris":["http://zotero.org/users/4804376/items/4BTTRCF5"],"uri":["http://zotero.org/users/4804376/items/4BTTRCF5"],"itemData":{"id":606,"type":"article-journal","title":"Prebiotics and other microbial substrates for gut functionality","container-title":"Current Opinion in Biotechnology","page":"212-217","volume":"16","issue":"2","source":"PubMed","abstract":"The intestinal microbiota is of great importance to our health and wellbeing. Modulation of the intestinal microbiota by exogenous and endogenous substrates can be expected to improve various physiological functions of our body, not just those in the intestine. Recently, new targets such as immune function and areas outside the colon have been considered to be influenced by the intestinal microbiota. Novel approaches might include the application of prebiotics in different combinations or the provision of nutrients to different bacterial groups and to different parts of the intestine.","DOI":"10.1016/j.copbio.2005.01.007","ISSN":"0958-1669","note":"PMID: 15831389","journalAbbreviation":"Curr. Opin. Biotechnol.","language":"eng","author":[{"family":"Ouwehand","given":"Arthur C."},{"family":"Derrien","given":"Muriel"},{"family":"Vos","given":"Willem","non-dropping-particle":"de"},{"family":"Tiihonen","given":"Kirsti"},{"family":"Rautonen","given":"Nina"}],"issued":{"date-parts":[["2005",4]]}}}],"schema":"https://github.com/citation-style-language/schema/raw/master/csl-citation.json"} </w:instrText>
      </w:r>
      <w:r w:rsidR="003D6A6E"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[173]</w:t>
      </w:r>
      <w:r w:rsidR="003D6A6E" w:rsidRPr="00DB7074">
        <w:rPr>
          <w:rFonts w:ascii="Book Antiqua" w:hAnsi="Book Antiqua" w:cs="Times New Roman"/>
          <w:sz w:val="24"/>
          <w:szCs w:val="24"/>
        </w:rPr>
        <w:fldChar w:fldCharType="end"/>
      </w:r>
      <w:r w:rsidR="00671439" w:rsidRPr="00DB7074">
        <w:rPr>
          <w:rFonts w:ascii="Book Antiqua" w:hAnsi="Book Antiqua" w:cs="Times New Roman"/>
          <w:sz w:val="24"/>
          <w:szCs w:val="24"/>
        </w:rPr>
        <w:t>. Saccharolytic fermentation of carbohydrates produces beneficial metabolites such as</w:t>
      </w:r>
      <w:r w:rsidR="007638A5" w:rsidRPr="00DB7074">
        <w:rPr>
          <w:rFonts w:ascii="Book Antiqua" w:hAnsi="Book Antiqua" w:cs="Times New Roman"/>
          <w:sz w:val="24"/>
          <w:szCs w:val="24"/>
        </w:rPr>
        <w:t xml:space="preserve"> short-chain fatty acids</w:t>
      </w:r>
      <w:r w:rsidR="003D6A6E"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{"citationID":"aotnjjbc93","properties":{"formattedCitation":"\\super [174]\\nosupersub{}","plainCitation":"[174]","noteIndex":0},"citationItems":[{"id":"D1GMNV0O/iKsSnj7O","uris":["http://zotero.org/users/4804376/items/ENJP4F5P"],"uri":["http://zotero.org/users/4804376/items/ENJP4F5P"],"itemData":{"id":281,"type":"article-journal","title":"Pathways of acetate, propionate, and butyrate formation by the human fecal microbial flora.","container-title":"Applied and Environmental Microbiology","page":"1589-1592","volume":"62","issue":"5","source":"PubMed Central","abstract":"The pathways of short-chain fatty acid (SCFA; acetate, propionate, and butyrate) formation from glucose were determined for the human fecal microbial communities of two subjects. The pathways were identified by radioisotope analysis of the SCFA and CO2 obtained after incubation of fecal suspensions with glucose under 20% CO2 with [1-14C]glucose, [3,4-14C]glucose, or 14CO2. Acetate was chemically degraded to learn the labeling of the methyl and carboxyl carbons. The labeling of CO2 and acetate showed that the major route of glucose catabolism was the Embden-Meyerhof-Parnas pathway, with production of CO2 from pyruvate carboxyl carbon. Labeling of the methyl and carboxyl carbons of acetate by 14CO2 or [3,4-14C]glucose proved that acetate was formed from CO2 by the Wood-Ljungdahl pathway. CO2 reduction accounted for about one-third of the acetate formed by suspensions from subject 1 and about one-fourth of the acetate formed by suspensions from subject 2. Propionate was formed by a CO2 fixation pathway, and butyrate was formed by classical routes of acetyl-S coenzyme A condensation. The amount of CO2 formed from [1-14C] glucose and acetate labeling patterns obtained with the other 14C precursors indicated that the Entner-Doudoroff, transketolase-transaldolase, and heterolactic pathways were not significant. Fermentation of cabbage cellulose by subject 1 followed the same pathways as were used for glucose. The results with suspensions from subject 2 suggested that some radioactive acetate was formed from the C-3 of glucose by the Bifidobacterium pathway.","ISSN":"0099-2240","note":"PMID: 8633856\nPMCID: PMC167932","journalAbbreviation":"Appl Environ Microbiol","author":[{"family":"Miller","given":"T L"},{"family":"Wolin","given":"M J"}],"issued":{"date-parts":[["1996",5]]}}}],"schema":"https://github.com/citation-style-language/schema/raw/master/csl-citation.json"} </w:instrText>
      </w:r>
      <w:r w:rsidR="003D6A6E"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[174]</w:t>
      </w:r>
      <w:r w:rsidR="003D6A6E" w:rsidRPr="00DB7074">
        <w:rPr>
          <w:rFonts w:ascii="Book Antiqua" w:hAnsi="Book Antiqua" w:cs="Times New Roman"/>
          <w:sz w:val="24"/>
          <w:szCs w:val="24"/>
        </w:rPr>
        <w:fldChar w:fldCharType="end"/>
      </w:r>
      <w:r w:rsidR="0002051D" w:rsidRPr="00DB7074">
        <w:rPr>
          <w:rFonts w:ascii="Book Antiqua" w:hAnsi="Book Antiqua" w:cs="Times New Roman"/>
          <w:sz w:val="24"/>
          <w:szCs w:val="24"/>
        </w:rPr>
        <w:t>. H</w:t>
      </w:r>
      <w:r w:rsidR="00BA7967" w:rsidRPr="00DB7074">
        <w:rPr>
          <w:rFonts w:ascii="Book Antiqua" w:hAnsi="Book Antiqua" w:cs="Times New Roman"/>
          <w:sz w:val="24"/>
          <w:szCs w:val="24"/>
        </w:rPr>
        <w:t>owever,</w:t>
      </w:r>
      <w:r w:rsidR="00671439" w:rsidRPr="00DB7074">
        <w:rPr>
          <w:rFonts w:ascii="Book Antiqua" w:hAnsi="Book Antiqua" w:cs="Times New Roman"/>
          <w:sz w:val="24"/>
          <w:szCs w:val="24"/>
        </w:rPr>
        <w:t xml:space="preserve"> if there is limited carbohydrate intake, bacteria use alternative energy sources</w:t>
      </w:r>
      <w:r w:rsidR="00BA7967" w:rsidRPr="00DB7074">
        <w:rPr>
          <w:rFonts w:ascii="Book Antiqua" w:hAnsi="Book Antiqua" w:cs="Times New Roman"/>
          <w:sz w:val="24"/>
          <w:szCs w:val="24"/>
        </w:rPr>
        <w:t>,</w:t>
      </w:r>
      <w:r w:rsidR="00671439" w:rsidRPr="00DB7074">
        <w:rPr>
          <w:rFonts w:ascii="Book Antiqua" w:hAnsi="Book Antiqua" w:cs="Times New Roman"/>
          <w:sz w:val="24"/>
          <w:szCs w:val="24"/>
        </w:rPr>
        <w:t xml:space="preserve"> resulting in the production of other metabolites that may be more detrimental to human health</w:t>
      </w:r>
      <w:r w:rsidR="003D6A6E"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{"citationID":"a7iqm3rfoq","properties":{"formattedCitation":"\\super [172]\\nosupersub{}","plainCitation":"[172]","noteIndex":0},"citationItems":[{"id":"D1GMNV0O/pzUBt3q5","uris":["http://zotero.org/users/4804376/items/DGHDVHID"],"uri":["http://zotero.org/users/4804376/items/DGHDVHID"],"itemData":{"id":19,"type":"article-journal","title":"Gut microbiota functions: metabolism of nutrients and other food components","container-title":"European Journal of Nutrition","page":"1-24","volume":"57","issue":"1","source":"CrossRef","DOI":"10.1007/s00394-017-1445-8","ISSN":"1436-6207, 1436-6215","shortTitle":"Gut microbiota functions","language":"en","author":[{"family":"Rowland","given":"Ian"},{"family":"Gibson","given":"Glenn"},{"family":"Heinken","given":"Almut"},{"family":"Scott","given":"Karen"},{"family":"Swann","given":"Jonathan"},{"family":"Thiele","given":"Ines"},{"family":"Tuohy","given":"Kieran"}],"issued":{"date-parts":[["2018",2]]}}}],"schema":"https://github.com/citation-style-language/schema/raw/master/csl-citation.json"} </w:instrText>
      </w:r>
      <w:r w:rsidR="003D6A6E"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[172]</w:t>
      </w:r>
      <w:r w:rsidR="003D6A6E" w:rsidRPr="00DB7074">
        <w:rPr>
          <w:rFonts w:ascii="Book Antiqua" w:hAnsi="Book Antiqua" w:cs="Times New Roman"/>
          <w:sz w:val="24"/>
          <w:szCs w:val="24"/>
        </w:rPr>
        <w:fldChar w:fldCharType="end"/>
      </w:r>
      <w:r w:rsidR="00671439" w:rsidRPr="00DB7074">
        <w:rPr>
          <w:rFonts w:ascii="Book Antiqua" w:hAnsi="Book Antiqua" w:cs="Times New Roman"/>
          <w:sz w:val="24"/>
          <w:szCs w:val="24"/>
        </w:rPr>
        <w:t xml:space="preserve">. </w:t>
      </w:r>
      <w:r w:rsidR="003E09C3" w:rsidRPr="00DB7074">
        <w:rPr>
          <w:rFonts w:ascii="Book Antiqua" w:hAnsi="Book Antiqua" w:cs="Times New Roman"/>
          <w:sz w:val="24"/>
          <w:szCs w:val="24"/>
        </w:rPr>
        <w:t xml:space="preserve">The three SCFAs acetate, propionate and butyrate, </w:t>
      </w:r>
      <w:r w:rsidR="00BA7967" w:rsidRPr="00DB7074">
        <w:rPr>
          <w:rFonts w:ascii="Book Antiqua" w:hAnsi="Book Antiqua" w:cs="Times New Roman"/>
          <w:sz w:val="24"/>
          <w:szCs w:val="24"/>
        </w:rPr>
        <w:t xml:space="preserve">which are </w:t>
      </w:r>
      <w:r w:rsidR="003E09C3" w:rsidRPr="00DB7074">
        <w:rPr>
          <w:rFonts w:ascii="Book Antiqua" w:hAnsi="Book Antiqua" w:cs="Times New Roman"/>
          <w:sz w:val="24"/>
          <w:szCs w:val="24"/>
        </w:rPr>
        <w:t>considered beneficial metabolites, are mainly produced from polysaccharides and oligosaccharides through their metabolism into pyruvate (Fig</w:t>
      </w:r>
      <w:r w:rsidR="00B6221F" w:rsidRPr="00DB7074">
        <w:rPr>
          <w:rFonts w:ascii="Book Antiqua" w:hAnsi="Book Antiqua" w:cs="Times New Roman"/>
          <w:sz w:val="24"/>
          <w:szCs w:val="24"/>
        </w:rPr>
        <w:t>ure</w:t>
      </w:r>
      <w:r w:rsidR="003E09C3" w:rsidRPr="00DB7074">
        <w:rPr>
          <w:rFonts w:ascii="Book Antiqua" w:hAnsi="Book Antiqua" w:cs="Times New Roman"/>
          <w:sz w:val="24"/>
          <w:szCs w:val="24"/>
        </w:rPr>
        <w:t xml:space="preserve"> </w:t>
      </w:r>
      <w:r w:rsidR="00B6221F" w:rsidRPr="00DB7074">
        <w:rPr>
          <w:rFonts w:ascii="Book Antiqua" w:hAnsi="Book Antiqua" w:cs="Times New Roman"/>
          <w:sz w:val="24"/>
          <w:szCs w:val="24"/>
        </w:rPr>
        <w:t>2</w:t>
      </w:r>
      <w:r w:rsidR="003E09C3" w:rsidRPr="00DB7074">
        <w:rPr>
          <w:rFonts w:ascii="Book Antiqua" w:hAnsi="Book Antiqua" w:cs="Times New Roman"/>
          <w:sz w:val="24"/>
          <w:szCs w:val="24"/>
        </w:rPr>
        <w:t>). Propionate and acetate can be produced from lactate, while butyrate and acetate can be produced from acetyl CoA (Fig</w:t>
      </w:r>
      <w:r w:rsidR="00B6221F" w:rsidRPr="00DB7074">
        <w:rPr>
          <w:rFonts w:ascii="Book Antiqua" w:hAnsi="Book Antiqua" w:cs="Times New Roman"/>
          <w:sz w:val="24"/>
          <w:szCs w:val="24"/>
        </w:rPr>
        <w:t>ure</w:t>
      </w:r>
      <w:r w:rsidR="003E09C3" w:rsidRPr="00DB7074">
        <w:rPr>
          <w:rFonts w:ascii="Book Antiqua" w:hAnsi="Book Antiqua" w:cs="Times New Roman"/>
          <w:sz w:val="24"/>
          <w:szCs w:val="24"/>
        </w:rPr>
        <w:t xml:space="preserve"> </w:t>
      </w:r>
      <w:r w:rsidR="00B6221F" w:rsidRPr="00DB7074">
        <w:rPr>
          <w:rFonts w:ascii="Book Antiqua" w:hAnsi="Book Antiqua" w:cs="Times New Roman"/>
          <w:sz w:val="24"/>
          <w:szCs w:val="24"/>
        </w:rPr>
        <w:t>2</w:t>
      </w:r>
      <w:r w:rsidR="003E09C3" w:rsidRPr="00DB7074">
        <w:rPr>
          <w:rFonts w:ascii="Book Antiqua" w:hAnsi="Book Antiqua" w:cs="Times New Roman"/>
          <w:sz w:val="24"/>
          <w:szCs w:val="24"/>
        </w:rPr>
        <w:t>)</w:t>
      </w:r>
      <w:r w:rsidR="003D6A6E"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{"citationID":"a23lokqvoi6","properties":{"formattedCitation":"\\super [171]\\nosupersub{}","plainCitation":"[171]","noteIndex":0},"citationItems":[{"id":"D1GMNV0O/ByQrCURg","uris":["http://zotero.org/users/4804376/items/TCF944NF"],"uri":["http://zotero.org/users/4804376/items/TCF944NF"],"itemData":{"id":12,"type":"article-journal","title":"The role of the gut microbiota in nutrition and health","container-title":"Nature Reviews Gastroenterology &amp; Hepatology","page":"577-589","volume":"9","issue":"10","source":"CrossRef","abstract":"The microbial communities that colonize different regions of the human gut influence many aspects of health. In the healthy state, they contribute nutrients and energy to the host via the fermentation of nondigestible dietary components in the large intestine, and a balance is maintained with the host’s metabolism and immune system. Negative consequences, however, can include acting as sources of inflammation and infection, involvement in gastrointestinal diseases, and possible contributions to diabetes mellitus and obesity. Major progress has been made in defining some of the dominant members of the microbial community in the healthy large intestine, and in identifying their roles in gut metabolism. Furthermore, it has become clear that diet can have a major influence on microbial community composition both in the short and long term, which should open up new possibilities for health manipulation via diet. Achieving better definition of those dominant commensal bacteria, community profiles and system characteristics that produce stable gut communities beneficial to health is important. The extent of interindividual variation in microbiota composition within the population has also become apparent, and probably influences individual responses to drug administration and dietary manipulation. This Review considers the complex interplay between the gut microbiota, diet and health.","DOI":"10.1038/nrgastro.2012.156","ISSN":"1759-5045, 1759-5053","language":"en","author":[{"family":"Flint","given":"Harry J."},{"family":"Scott","given":"Karen P."},{"family":"Louis","given":"Petra"},{"family":"Duncan","given":"Sylvia H."}],"issued":{"date-parts":[["2012",10]]}}}],"schema":"https://github.com/citation-style-language/schema/raw/master/csl-citation.json"} </w:instrText>
      </w:r>
      <w:r w:rsidR="003D6A6E"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[171]</w:t>
      </w:r>
      <w:r w:rsidR="003D6A6E" w:rsidRPr="00DB7074">
        <w:rPr>
          <w:rFonts w:ascii="Book Antiqua" w:hAnsi="Book Antiqua" w:cs="Times New Roman"/>
          <w:sz w:val="24"/>
          <w:szCs w:val="24"/>
        </w:rPr>
        <w:fldChar w:fldCharType="end"/>
      </w:r>
      <w:r w:rsidR="003E09C3" w:rsidRPr="00DB7074">
        <w:rPr>
          <w:rFonts w:ascii="Book Antiqua" w:hAnsi="Book Antiqua" w:cs="Times New Roman"/>
          <w:sz w:val="24"/>
          <w:szCs w:val="24"/>
        </w:rPr>
        <w:t>. Butyrate is an important energy source for gut epithelial cells, while propionate and acetate are mostly metabolized in the liver for cholesterol synthesis, gluconeogenesis or lipogenesis</w:t>
      </w:r>
      <w:r w:rsidR="004B13A2"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{"citationID":"lxfrVBW8","properties":{"formattedCitation":"\\super [175]\\nosupersub{}","plainCitation":"[175]","noteIndex":0},"citationItems":[{"id":601,"uris":["http://zotero.org/users/4113810/items/9KEN7PJQ"],"uri":["http://zotero.org/users/4113810/items/9KEN7PJQ"],"itemData":{"id":601,"type":"article-journal","title":"Role of short-chain fatty acids in colonic inflammation, carcinogenesis, and mucosal protection and healing","container-title":"Nutrition Reviews","page":"286-305","volume":"75","issue":"4","source":"PubMed","abstract":"Short-chain fatty acids (SCFAs), mainly acetate, propionate, and butyrate, produced by microbial fermentation of undigested food substances are believed to play a beneficial role in human gut health. Short-chain fatty acids influence colonic health through various mechanisms. In vitro and ex vivo studies show that SCFAs have anti-inflammatory and anticarcinogenic effects, play an important role in maintaining metabolic homeostasis in colonocytes, and protect colonocytes from external harm. Animal studies have found substantial positive effects of SCFAs or dietary fiber on colonic disease, but convincing evidence in humans is lacking. Most human intervention trials have been conducted in the context of inflammatory bowel disease. Only a limited number of those trials are of high quality, showing little or no favorable effect of SCFA treatment over placebo. Opportunities for future research include exploring the use of combination therapies with anti-inflammatory drugs, prebiotics, or probiotics; the use of prodrugs in the setting of carcinogenesis; or the direct application of SCFAs to improve mucosal healing after colonic surgery.","DOI":"10.1093/nutrit/nuw067","ISSN":"1753-4887","note":"PMID: 28402523","journalAbbreviation":"Nutr. Rev.","language":"eng","author":[{"family":"Beek","given":"Christina M.","non-dropping-particle":"van der"},{"family":"Dejong","given":"Cornelis H. C."},{"family":"Troost","given":"Freddy J."},{"family":"Masclee","given":"Ad A. M."},{"family":"Lenaerts","given":"Kaatje"}],"issued":{"date-parts":[["2017"]],"season":"01"}}}],"schema":"https://github.com/citation-style-language/schema/raw/master/csl-citation.json"} </w:instrText>
      </w:r>
      <w:r w:rsidR="004B13A2"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[175]</w:t>
      </w:r>
      <w:r w:rsidR="004B13A2" w:rsidRPr="00DB7074">
        <w:rPr>
          <w:rFonts w:ascii="Book Antiqua" w:hAnsi="Book Antiqua" w:cs="Times New Roman"/>
          <w:sz w:val="24"/>
          <w:szCs w:val="24"/>
        </w:rPr>
        <w:fldChar w:fldCharType="end"/>
      </w:r>
      <w:r w:rsidR="003E09C3" w:rsidRPr="00DB7074">
        <w:rPr>
          <w:rFonts w:ascii="Book Antiqua" w:hAnsi="Book Antiqua" w:cs="Times New Roman"/>
          <w:sz w:val="24"/>
          <w:szCs w:val="24"/>
        </w:rPr>
        <w:t>. For more information, the complete sy</w:t>
      </w:r>
      <w:r w:rsidR="003D636B" w:rsidRPr="00DB7074">
        <w:rPr>
          <w:rFonts w:ascii="Book Antiqua" w:hAnsi="Book Antiqua" w:cs="Times New Roman"/>
          <w:sz w:val="24"/>
          <w:szCs w:val="24"/>
        </w:rPr>
        <w:t>nthesis and functions of SCFAs w</w:t>
      </w:r>
      <w:r w:rsidR="003E09C3" w:rsidRPr="00DB7074">
        <w:rPr>
          <w:rFonts w:ascii="Book Antiqua" w:hAnsi="Book Antiqua" w:cs="Times New Roman"/>
          <w:sz w:val="24"/>
          <w:szCs w:val="24"/>
        </w:rPr>
        <w:t xml:space="preserve">as extensively </w:t>
      </w:r>
      <w:r w:rsidR="00B35402" w:rsidRPr="00DB7074">
        <w:rPr>
          <w:rFonts w:ascii="Book Antiqua" w:hAnsi="Book Antiqua" w:cs="Times New Roman"/>
          <w:sz w:val="24"/>
          <w:szCs w:val="24"/>
        </w:rPr>
        <w:t xml:space="preserve">and previously </w:t>
      </w:r>
      <w:r w:rsidR="003E09C3" w:rsidRPr="00DB7074">
        <w:rPr>
          <w:rFonts w:ascii="Book Antiqua" w:hAnsi="Book Antiqua" w:cs="Times New Roman"/>
          <w:sz w:val="24"/>
          <w:szCs w:val="24"/>
        </w:rPr>
        <w:t>describe</w:t>
      </w:r>
      <w:r w:rsidR="00B35402" w:rsidRPr="00DB7074">
        <w:rPr>
          <w:rFonts w:ascii="Book Antiqua" w:hAnsi="Book Antiqua" w:cs="Times New Roman"/>
          <w:sz w:val="24"/>
          <w:szCs w:val="24"/>
        </w:rPr>
        <w:t>d</w:t>
      </w:r>
      <w:r w:rsidR="003D6A6E"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{"citationID":"njDQbRu5","properties":{"formattedCitation":"\\super [113,175]\\nosupersub{}","plainCitation":"[113,175]","noteIndex":0},"citationItems":[{"id":"D1GMNV0O/03RFi3au","uris":["http://zotero.org/users/4804376/items/2SCG7JHV"],"uri":["http://zotero.org/users/4804376/items/2SCG7JHV"],"itemData":{"id":17,"type":"article-journal","title":"Formation of short chain fatty acids by the gut microbiota and their impact on human metabolism","container-title":"Gut Microbes","page":"189-200","volume":"7","issue":"3","source":"CrossRef","abstract":"The formation of SCFA is the result of a complex interplay between diet and the gut microbiota within the gut lumen environment. The discovery of receptors, across a range of cell and tissue types for which short chain fatty acids SCFA appear to be the natural ligands, has led to increased interest in SCFA as signaling molecules between the gut microbiota and the host. SCFA represent the major carbon ﬂux from the diet through the gut microbiota to the host and evidence is emerging for a regulatory role of SCFA in local, intermediary and peripheral metabolism. However, a lack of well-designed and controlled human studies has hampered our understanding of the signiﬁcance of SCFA in human metabolic health. This review aims to pull together recent ﬁndings on the role of SCFA in human metabolism to highlight the multi-faceted role of SCFA on different metabolic systems.","DOI":"10.1080/19490976.2015.1134082","ISSN":"1949-0976, 1949-0984","language":"en","author":[{"family":"Morrison","given":"Douglas J."},{"family":"Preston","given":"Tom"}],"issued":{"date-parts":[["2016",5,3]]}}},{"id":601,"uris":["http://zotero.org/users/4113810/items/9KEN7PJQ"],"uri":["http://zotero.org/users/4113810/items/9KEN7PJQ"],"itemData":{"id":601,"type":"article-journal","title":"Role of short-chain fatty acids in colonic inflammation, carcinogenesis, and mucosal protection and healing","container-title":"Nutrition Reviews","page":"286-305","volume":"75","issue":"4","source":"PubMed","abstract":"Short-chain fatty acids (SCFAs), mainly acetate, propionate, and butyrate, produced by microbial fermentation of undigested food substances are believed to play a beneficial role in human gut health. Short-chain fatty acids influence colonic health through various mechanisms. In vitro and ex vivo studies show that SCFAs have anti-inflammatory and anticarcinogenic effects, play an important role in maintaining metabolic homeostasis in colonocytes, and protect colonocytes from external harm. Animal studies have found substantial positive effects of SCFAs or dietary fiber on colonic disease, but convincing evidence in humans is lacking. Most human intervention trials have been conducted in the context of inflammatory bowel disease. Only a limited number of those trials are of high quality, showing little or no favorable effect of SCFA treatment over placebo. Opportunities for future research include exploring the use of combination therapies with anti-inflammatory drugs, prebiotics, or probiotics; the use of prodrugs in the setting of carcinogenesis; or the direct application of SCFAs to improve mucosal healing after colonic surgery.","DOI":"10.1093/nutrit/nuw067","ISSN":"1753-4887","note":"PMID: 28402523","journalAbbreviation":"Nutr. Rev.","language":"eng","author":[{"family":"Beek","given":"Christina M.","non-dropping-particle":"van der"},{"family":"Dejong","given":"Cornelis H. C."},{"family":"Troost","given":"Freddy J."},{"family":"Masclee","given":"Ad A. M."},{"family":"Lenaerts","given":"Kaatje"}],"issued":{"date-parts":[["2017"]],"season":"01"}}}],"schema":"https://github.com/citation-style-language/schema/raw/master/csl-citation.json"} </w:instrText>
      </w:r>
      <w:r w:rsidR="003D6A6E"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[113,175]</w:t>
      </w:r>
      <w:r w:rsidR="003D6A6E" w:rsidRPr="00DB7074">
        <w:rPr>
          <w:rFonts w:ascii="Book Antiqua" w:hAnsi="Book Antiqua" w:cs="Times New Roman"/>
          <w:sz w:val="24"/>
          <w:szCs w:val="24"/>
        </w:rPr>
        <w:fldChar w:fldCharType="end"/>
      </w:r>
      <w:r w:rsidR="003E09C3" w:rsidRPr="00DB7074">
        <w:rPr>
          <w:rFonts w:ascii="Book Antiqua" w:hAnsi="Book Antiqua" w:cs="Times New Roman"/>
          <w:sz w:val="24"/>
          <w:szCs w:val="24"/>
        </w:rPr>
        <w:t xml:space="preserve">. </w:t>
      </w:r>
      <w:r w:rsidR="00817F3C" w:rsidRPr="00DB7074">
        <w:rPr>
          <w:rFonts w:ascii="Book Antiqua" w:hAnsi="Book Antiqua" w:cs="Times New Roman"/>
          <w:sz w:val="24"/>
          <w:szCs w:val="24"/>
        </w:rPr>
        <w:t xml:space="preserve">Microbial use of bile salts is a classic example of the relationship between </w:t>
      </w:r>
      <w:r w:rsidR="00BA7967" w:rsidRPr="00DB7074">
        <w:rPr>
          <w:rFonts w:ascii="Book Antiqua" w:hAnsi="Book Antiqua" w:cs="Times New Roman"/>
          <w:sz w:val="24"/>
          <w:szCs w:val="24"/>
        </w:rPr>
        <w:t xml:space="preserve">the </w:t>
      </w:r>
      <w:r w:rsidR="00817F3C" w:rsidRPr="00DB7074">
        <w:rPr>
          <w:rFonts w:ascii="Book Antiqua" w:hAnsi="Book Antiqua" w:cs="Times New Roman"/>
          <w:sz w:val="24"/>
          <w:szCs w:val="24"/>
        </w:rPr>
        <w:t xml:space="preserve">gut microbiota metabolism and </w:t>
      </w:r>
      <w:r w:rsidR="00BA7967" w:rsidRPr="00DB7074">
        <w:rPr>
          <w:rFonts w:ascii="Book Antiqua" w:hAnsi="Book Antiqua" w:cs="Times New Roman"/>
          <w:sz w:val="24"/>
          <w:szCs w:val="24"/>
        </w:rPr>
        <w:t xml:space="preserve">the </w:t>
      </w:r>
      <w:r w:rsidR="00817F3C" w:rsidRPr="00DB7074">
        <w:rPr>
          <w:rFonts w:ascii="Book Antiqua" w:hAnsi="Book Antiqua" w:cs="Times New Roman"/>
          <w:sz w:val="24"/>
          <w:szCs w:val="24"/>
        </w:rPr>
        <w:t>host metabolism. The primary bile acids cholic acid and chenodeoxycholic acid are produced in the liver from cholesterol and are conjugated to glycine or taurine. They are secreted by the l</w:t>
      </w:r>
      <w:r w:rsidR="00C94391">
        <w:rPr>
          <w:rFonts w:ascii="Book Antiqua" w:hAnsi="Book Antiqua" w:cs="Times New Roman"/>
          <w:sz w:val="24"/>
          <w:szCs w:val="24"/>
        </w:rPr>
        <w:t>iver following high fat intakes</w:t>
      </w:r>
      <w:r w:rsidR="000A7600"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{"citationID":"a153rolkk0f","properties":{"formattedCitation":"\\super [176]\\nosupersub{}","plainCitation":"[176]","noteIndex":0},"citationItems":[{"id":"D1GMNV0O/Ryjg0YMN","uris":["http://zotero.org/users/4804376/items/YMTMCVKG"],"uri":["http://zotero.org/users/4804376/items/YMTMCVKG"],"itemData":{"id":27,"type":"article-journal","title":"Bile acids in the colon, from healthy to cytotoxic molecules","container-title":"Toxicology in Vitro","page":"964-977","volume":"27","issue":"2","source":"CrossRef","abstract":"Bile acids are natural detergents mainly involved in facilitating the absorption of dietary fat in the intestine. In addition to this absorptive function, bile acids are also essential in the maintenance of the intestinal epithelium homeostasis. To accomplish this regulatory function, bile acids may induce programmed cell death fostering the renewal of the epithelium. Here we ﬁrst discuss on the different molecular pathways of cell death focusing on apoptosis in colon epithelial cells. Bile acids may induce apoptosis in colonocytes through different mechanisms. In contrast to hepatocytes, the extrinsic apoptotic pathway seems to have a low relevance regarding bile acid cytotoxicity in the colon. On the contrary, these molecules mainly trigger apoptosis through direct or indirect mitochondrial perturbations, where oxidative stress plays a key role. In addition, bile acids may also act as regulatory molecules involved in different cell signaling pathways in colon cells. On the other hand, there is increasing evidence that the continuous exposure to certain hydrophobic bile acids, due to a fat-rich diet or pathological conditions, may induce oxidative DNA damage that, in turn, may lead to colorectal carcinogenesis as a consequence of the appearance of cell populations resistant to bile acid-induced apoptosis. Finally, some bile acids, such as UDCA, or low concentrations of hydrophobic bile acids, can protect colon cells against apoptosis induced by high concentrations of cytotoxic bile acids, suggesting a dual behavior of these agents as pro-death or pro-survival molecules.","DOI":"10.1016/j.tiv.2012.12.020","ISSN":"08872333","language":"en","author":[{"family":"Barrasa","given":"Juan I."},{"family":"Olmo","given":"Nieves"},{"family":"Lizarbe","given":"Ma Antonia"},{"family":"Turnay","given":"Javier"}],"issued":{"date-parts":[["2013",3]]}}}],"schema":"https://github.com/citation-style-language/schema/raw/master/csl-citation.json"} </w:instrText>
      </w:r>
      <w:r w:rsidR="000A7600"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[176]</w:t>
      </w:r>
      <w:r w:rsidR="000A7600" w:rsidRPr="00DB7074">
        <w:rPr>
          <w:rFonts w:ascii="Book Antiqua" w:hAnsi="Book Antiqua" w:cs="Times New Roman"/>
          <w:sz w:val="24"/>
          <w:szCs w:val="24"/>
        </w:rPr>
        <w:fldChar w:fldCharType="end"/>
      </w:r>
      <w:r w:rsidR="00817F3C" w:rsidRPr="00DB7074">
        <w:rPr>
          <w:rFonts w:ascii="Book Antiqua" w:hAnsi="Book Antiqua" w:cs="Times New Roman"/>
          <w:sz w:val="24"/>
          <w:szCs w:val="24"/>
        </w:rPr>
        <w:t xml:space="preserve">. </w:t>
      </w:r>
      <w:r w:rsidR="00BA7967" w:rsidRPr="00DB7074">
        <w:rPr>
          <w:rFonts w:ascii="Book Antiqua" w:hAnsi="Book Antiqua" w:cs="Times New Roman"/>
          <w:sz w:val="24"/>
          <w:szCs w:val="24"/>
        </w:rPr>
        <w:t>The i</w:t>
      </w:r>
      <w:r w:rsidR="00817F3C" w:rsidRPr="00DB7074">
        <w:rPr>
          <w:rFonts w:ascii="Book Antiqua" w:hAnsi="Book Antiqua" w:cs="Times New Roman"/>
          <w:sz w:val="24"/>
          <w:szCs w:val="24"/>
        </w:rPr>
        <w:t>ntestinal microbiota can affect the biotransformation of bile acids via deconjugation, dehydrogenation, epimerization, and 7α/β-dehydroxylation of primary bile acids to generate secondary bile acids</w:t>
      </w:r>
      <w:r w:rsidR="000A7600"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{"citationID":"at4k1mroon","properties":{"formattedCitation":"\\super [177]\\nosupersub{}","plainCitation":"[177]","noteIndex":0},"citationItems":[{"id":"D1GMNV0O/VGbFDMJx","uris":["http://zotero.org/users/4804376/items/KMQF7MLE"],"uri":["http://zotero.org/users/4804376/items/KMQF7MLE"],"itemData":{"id":608,"type":"article-journal","title":"Bile salt biotransformations by human intestinal bacteria","container-title":"Journal of Lipid Research","page":"241-259","volume":"47","issue":"2","source":"PubMed","abstract":"Secondary bile acids, produced solely by intestinal bacteria, can accumulate to high levels in the enterohepatic circulation of some individuals and may contribute to the pathogenesis of colon cancer, gallstones, and other gastrointestinal (GI) diseases. Bile salt hydrolysis and hydroxy group dehydrogenation reactions are carried out by a broad spectrum of intestinal anaerobic bacteria, whereas bile acid 7-dehydroxylation appears restricted to a limited number of intestinal anaerobes representing a small fraction of the total colonic flora. Microbial enzymes modifying bile salts differ between species with respect to pH optima, enzyme kinetics, substrate specificity, cellular location, and possibly physiological function. Crystallization, site-directed mutagenesis, and comparisons of protein secondary structure have provided insight into the mechanisms of several bile acid-biotransforming enzymatic reactions. Molecular cloning of genes encoding bile salt-modifying enzymes has facilitated the understanding of the genetic organization of these pathways and is a means of developing probes for the detection of bile salt-modifying bacteria. The potential exists for altering the bile acid pool by targeting key enzymes in the 7alpha/beta-dehydroxylation pathway through the development of pharmaceuticals or sequestering bile acids biologically in probiotic bacteria, which may result in their effective removal from the host after excretion.","DOI":"10.1194/jlr.R500013-JLR200","ISSN":"0022-2275","note":"PMID: 16299351","journalAbbreviation":"J. Lipid Res.","language":"eng","author":[{"family":"Ridlon","given":"Jason M."},{"family":"Kang","given":"Dae-Joong"},{"family":"Hylemon","given":"Phillip B."}],"issued":{"date-parts":[["2006",2]]}}}],"schema":"https://github.com/citation-style-language/schema/raw/master/csl-citation.json"} </w:instrText>
      </w:r>
      <w:r w:rsidR="000A7600"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[177]</w:t>
      </w:r>
      <w:r w:rsidR="000A7600" w:rsidRPr="00DB7074">
        <w:rPr>
          <w:rFonts w:ascii="Book Antiqua" w:hAnsi="Book Antiqua" w:cs="Times New Roman"/>
          <w:sz w:val="24"/>
          <w:szCs w:val="24"/>
        </w:rPr>
        <w:fldChar w:fldCharType="end"/>
      </w:r>
      <w:r w:rsidR="00817F3C" w:rsidRPr="00DB7074">
        <w:rPr>
          <w:rFonts w:ascii="Book Antiqua" w:hAnsi="Book Antiqua" w:cs="Times New Roman"/>
          <w:sz w:val="24"/>
          <w:szCs w:val="24"/>
        </w:rPr>
        <w:t xml:space="preserve">. </w:t>
      </w:r>
      <w:r w:rsidR="00B04F0E" w:rsidRPr="00DB7074">
        <w:rPr>
          <w:rFonts w:ascii="Book Antiqua" w:hAnsi="Book Antiqua" w:cs="Times New Roman"/>
          <w:sz w:val="24"/>
          <w:szCs w:val="24"/>
        </w:rPr>
        <w:t xml:space="preserve">A number of gut bacteria possess bile salt hydrolase enzymes that are capable of hydrolysing the amide bond between the bile acid and its conjugated amino acid, producing </w:t>
      </w:r>
      <w:r w:rsidR="00BA7967" w:rsidRPr="00DB7074">
        <w:rPr>
          <w:rFonts w:ascii="Book Antiqua" w:hAnsi="Book Antiqua" w:cs="Times New Roman"/>
          <w:sz w:val="24"/>
          <w:szCs w:val="24"/>
        </w:rPr>
        <w:t xml:space="preserve">the </w:t>
      </w:r>
      <w:r w:rsidR="00B04F0E" w:rsidRPr="00DB7074">
        <w:rPr>
          <w:rFonts w:ascii="Book Antiqua" w:hAnsi="Book Antiqua" w:cs="Times New Roman"/>
          <w:sz w:val="24"/>
          <w:szCs w:val="24"/>
        </w:rPr>
        <w:t xml:space="preserve">secondary bile acids deoxycholate and litocholate </w:t>
      </w:r>
      <w:r w:rsidR="00B6221F" w:rsidRPr="00DB7074">
        <w:rPr>
          <w:rFonts w:ascii="Book Antiqua" w:hAnsi="Book Antiqua" w:cs="Times New Roman"/>
          <w:sz w:val="24"/>
          <w:szCs w:val="24"/>
        </w:rPr>
        <w:t>(Figure</w:t>
      </w:r>
      <w:r w:rsidR="00B04F0E" w:rsidRPr="00DB7074">
        <w:rPr>
          <w:rFonts w:ascii="Book Antiqua" w:hAnsi="Book Antiqua" w:cs="Times New Roman"/>
          <w:sz w:val="24"/>
          <w:szCs w:val="24"/>
        </w:rPr>
        <w:t xml:space="preserve"> </w:t>
      </w:r>
      <w:r w:rsidR="00B6221F" w:rsidRPr="00DB7074">
        <w:rPr>
          <w:rFonts w:ascii="Book Antiqua" w:hAnsi="Book Antiqua" w:cs="Times New Roman"/>
          <w:sz w:val="24"/>
          <w:szCs w:val="24"/>
        </w:rPr>
        <w:t>2</w:t>
      </w:r>
      <w:r w:rsidR="00B04F0E" w:rsidRPr="00DB7074">
        <w:rPr>
          <w:rFonts w:ascii="Book Antiqua" w:hAnsi="Book Antiqua" w:cs="Times New Roman"/>
          <w:sz w:val="24"/>
          <w:szCs w:val="24"/>
        </w:rPr>
        <w:t xml:space="preserve">). Bile salt hydrolase genes </w:t>
      </w:r>
      <w:r w:rsidR="00752243" w:rsidRPr="00DB7074">
        <w:rPr>
          <w:rFonts w:ascii="Book Antiqua" w:hAnsi="Book Antiqua" w:cs="Times New Roman"/>
          <w:sz w:val="24"/>
          <w:szCs w:val="24"/>
        </w:rPr>
        <w:t>were</w:t>
      </w:r>
      <w:r w:rsidR="00B04F0E" w:rsidRPr="00DB7074">
        <w:rPr>
          <w:rFonts w:ascii="Book Antiqua" w:hAnsi="Book Antiqua" w:cs="Times New Roman"/>
          <w:sz w:val="24"/>
          <w:szCs w:val="24"/>
        </w:rPr>
        <w:t xml:space="preserve"> identified in </w:t>
      </w:r>
      <w:r w:rsidR="00B04F0E" w:rsidRPr="00DB7074">
        <w:rPr>
          <w:rFonts w:ascii="Book Antiqua" w:hAnsi="Book Antiqua" w:cs="Times New Roman"/>
          <w:i/>
          <w:sz w:val="24"/>
          <w:szCs w:val="24"/>
        </w:rPr>
        <w:t>Bacteroides</w:t>
      </w:r>
      <w:r w:rsidR="00B04F0E" w:rsidRPr="00DB7074">
        <w:rPr>
          <w:rFonts w:ascii="Book Antiqua" w:hAnsi="Book Antiqua" w:cs="Times New Roman"/>
          <w:sz w:val="24"/>
          <w:szCs w:val="24"/>
        </w:rPr>
        <w:t xml:space="preserve">, </w:t>
      </w:r>
      <w:r w:rsidR="00B04F0E" w:rsidRPr="00DB7074">
        <w:rPr>
          <w:rFonts w:ascii="Book Antiqua" w:hAnsi="Book Antiqua" w:cs="Times New Roman"/>
          <w:i/>
          <w:sz w:val="24"/>
          <w:szCs w:val="24"/>
        </w:rPr>
        <w:t>Bifidobacterium</w:t>
      </w:r>
      <w:r w:rsidR="00B04F0E" w:rsidRPr="00DB7074">
        <w:rPr>
          <w:rFonts w:ascii="Book Antiqua" w:hAnsi="Book Antiqua" w:cs="Times New Roman"/>
          <w:sz w:val="24"/>
          <w:szCs w:val="24"/>
        </w:rPr>
        <w:t xml:space="preserve">, </w:t>
      </w:r>
      <w:r w:rsidR="00B04F0E" w:rsidRPr="00DB7074">
        <w:rPr>
          <w:rFonts w:ascii="Book Antiqua" w:hAnsi="Book Antiqua" w:cs="Times New Roman"/>
          <w:i/>
          <w:sz w:val="24"/>
          <w:szCs w:val="24"/>
        </w:rPr>
        <w:t>Clostridium</w:t>
      </w:r>
      <w:r w:rsidR="00B04F0E" w:rsidRPr="00DB7074">
        <w:rPr>
          <w:rFonts w:ascii="Book Antiqua" w:hAnsi="Book Antiqua" w:cs="Times New Roman"/>
          <w:sz w:val="24"/>
          <w:szCs w:val="24"/>
        </w:rPr>
        <w:t xml:space="preserve">, </w:t>
      </w:r>
      <w:r w:rsidR="00B04F0E" w:rsidRPr="00DB7074">
        <w:rPr>
          <w:rFonts w:ascii="Book Antiqua" w:hAnsi="Book Antiqua" w:cs="Times New Roman"/>
          <w:i/>
          <w:sz w:val="24"/>
          <w:szCs w:val="24"/>
        </w:rPr>
        <w:t>Lactobacillus</w:t>
      </w:r>
      <w:r w:rsidR="00B04F0E" w:rsidRPr="00DB7074">
        <w:rPr>
          <w:rFonts w:ascii="Book Antiqua" w:hAnsi="Book Antiqua" w:cs="Times New Roman"/>
          <w:sz w:val="24"/>
          <w:szCs w:val="24"/>
        </w:rPr>
        <w:t xml:space="preserve">, and </w:t>
      </w:r>
      <w:r w:rsidR="00B04F0E" w:rsidRPr="00DB7074">
        <w:rPr>
          <w:rFonts w:ascii="Book Antiqua" w:hAnsi="Book Antiqua" w:cs="Times New Roman"/>
          <w:i/>
          <w:sz w:val="24"/>
          <w:szCs w:val="24"/>
        </w:rPr>
        <w:t>Listeria</w:t>
      </w:r>
      <w:r w:rsidR="006D4642"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{"citationID":"a29ktsodhv8","properties":{"formattedCitation":"\\super [178]\\nosupersub{}","plainCitation":"[178]","noteIndex":0},"citationItems":[{"id":"D1GMNV0O/nN1z6hEw","uris":["http://zotero.org/users/4804376/items/ABNIM7NX"],"uri":["http://zotero.org/users/4804376/items/ABNIM7NX"],"itemData":{"id":610,"type":"article-journal","title":"Functional and comparative metagenomic analysis of bile salt hydrolase activity in the human gut microbiome","container-title":"Proceedings of the National Academy of Sciences of the United States of America","page":"13580-13585","volume":"105","issue":"36","source":"PubMed","abstract":"Bile salt hydrolases (BSHs) catalyze the \"gateway\" reaction in a wider pathway of bile acid modification by the gut microbiota. Because bile acids function as signaling molecules regulating their own biosynthesis, lipid absorption, cholesterol homeostasis, and local mucosal defenses in the intestine, microbial BSH activity has the potential to greatly influence host physiology. However, the function, distribution, and abundance of BSH enzymes in the gut community are unknown. Here, we show that BSH activity is a conserved microbial adaptation to the human gut environment with a high level of redundancy in this ecosystem. Through metagenomic analyses we identified functional BSH in all major bacterial divisions and archaeal species in the gut and demonstrate that BSH is enriched in the human gut microbiome. Phylogenetic analysis illustrates that selective pressure in the form of conjugated bile acid has driven the evolution of members of the Ntn_CGH-like family of proteins toward BSH activity in gut-associated species. Furthermore, we demonstrate that BSH mediates bile tolerance in vitro and enhances survival in the murine gut in vivo. Overall, we demonstrate the use of function-driven metagenomics to identify functional anchors in complex microbial communities, and dissect the gut microbiome according to activities relevant to survival in the mammalian gastrointestinal tract.","DOI":"10.1073/pnas.0804437105","ISSN":"1091-6490","note":"PMID: 18757757\nPMCID: PMC2533232","journalAbbreviation":"Proc. Natl. Acad. Sci. U.S.A.","language":"eng","author":[{"family":"Jones","given":"Brian V."},{"family":"Begley","given":"Máire"},{"family":"Hill","given":"Colin"},{"family":"Gahan","given":"Cormac G. M."},{"family":"Marchesi","given":"Julian R."}],"issued":{"date-parts":[["2008",9,9]]}}}],"schema":"https://github.com/citation-style-language/schema/raw/master/csl-citation.json"} </w:instrText>
      </w:r>
      <w:r w:rsidR="006D4642"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[178]</w:t>
      </w:r>
      <w:r w:rsidR="006D4642" w:rsidRPr="00DB7074">
        <w:rPr>
          <w:rFonts w:ascii="Book Antiqua" w:hAnsi="Book Antiqua" w:cs="Times New Roman"/>
          <w:sz w:val="24"/>
          <w:szCs w:val="24"/>
        </w:rPr>
        <w:fldChar w:fldCharType="end"/>
      </w:r>
      <w:r w:rsidR="00B04F0E" w:rsidRPr="00DB7074">
        <w:rPr>
          <w:rFonts w:ascii="Book Antiqua" w:hAnsi="Book Antiqua" w:cs="Times New Roman"/>
          <w:sz w:val="24"/>
          <w:szCs w:val="24"/>
        </w:rPr>
        <w:t xml:space="preserve">. </w:t>
      </w:r>
      <w:r w:rsidR="00817F3C" w:rsidRPr="00DB7074">
        <w:rPr>
          <w:rFonts w:ascii="Book Antiqua" w:hAnsi="Book Antiqua" w:cs="Times New Roman"/>
          <w:sz w:val="24"/>
          <w:szCs w:val="24"/>
        </w:rPr>
        <w:t>Deconjuga</w:t>
      </w:r>
      <w:r w:rsidR="00C94D69" w:rsidRPr="00DB7074">
        <w:rPr>
          <w:rFonts w:ascii="Book Antiqua" w:hAnsi="Book Antiqua" w:cs="Times New Roman"/>
          <w:sz w:val="24"/>
          <w:szCs w:val="24"/>
        </w:rPr>
        <w:t>ti</w:t>
      </w:r>
      <w:r w:rsidR="00817F3C" w:rsidRPr="00DB7074">
        <w:rPr>
          <w:rFonts w:ascii="Book Antiqua" w:hAnsi="Book Antiqua" w:cs="Times New Roman"/>
          <w:sz w:val="24"/>
          <w:szCs w:val="24"/>
        </w:rPr>
        <w:t>on of bile acids by microbial hydrolases lead</w:t>
      </w:r>
      <w:r w:rsidR="00C94D69" w:rsidRPr="00DB7074">
        <w:rPr>
          <w:rFonts w:ascii="Book Antiqua" w:hAnsi="Book Antiqua" w:cs="Times New Roman"/>
          <w:sz w:val="24"/>
          <w:szCs w:val="24"/>
        </w:rPr>
        <w:t>s</w:t>
      </w:r>
      <w:r w:rsidR="00817F3C" w:rsidRPr="00DB7074">
        <w:rPr>
          <w:rFonts w:ascii="Book Antiqua" w:hAnsi="Book Antiqua" w:cs="Times New Roman"/>
          <w:sz w:val="24"/>
          <w:szCs w:val="24"/>
        </w:rPr>
        <w:t xml:space="preserve"> to </w:t>
      </w:r>
      <w:r w:rsidR="00C94D69" w:rsidRPr="00DB7074">
        <w:rPr>
          <w:rFonts w:ascii="Book Antiqua" w:hAnsi="Book Antiqua" w:cs="Times New Roman"/>
          <w:sz w:val="24"/>
          <w:szCs w:val="24"/>
        </w:rPr>
        <w:t xml:space="preserve">an </w:t>
      </w:r>
      <w:r w:rsidR="00817F3C" w:rsidRPr="00DB7074">
        <w:rPr>
          <w:rFonts w:ascii="Book Antiqua" w:hAnsi="Book Antiqua" w:cs="Times New Roman"/>
          <w:sz w:val="24"/>
          <w:szCs w:val="24"/>
        </w:rPr>
        <w:t xml:space="preserve">increased level of secondary bile acids, especially deoxycholic acid, </w:t>
      </w:r>
      <w:r w:rsidR="00C94D69" w:rsidRPr="00DB7074">
        <w:rPr>
          <w:rFonts w:ascii="Book Antiqua" w:hAnsi="Book Antiqua" w:cs="Times New Roman"/>
          <w:sz w:val="24"/>
          <w:szCs w:val="24"/>
        </w:rPr>
        <w:t xml:space="preserve">which is </w:t>
      </w:r>
      <w:r w:rsidR="00817F3C" w:rsidRPr="00DB7074">
        <w:rPr>
          <w:rFonts w:ascii="Book Antiqua" w:hAnsi="Book Antiqua" w:cs="Times New Roman"/>
          <w:sz w:val="24"/>
          <w:szCs w:val="24"/>
        </w:rPr>
        <w:t>also known to exert carcinogenic activity</w:t>
      </w:r>
      <w:r w:rsidR="006D4642"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{"citationID":"a1mnpmu9akk","properties":{"formattedCitation":"\\super [179]\\nosupersub{}","plainCitation":"[179]","noteIndex":0},"citationItems":[{"id":"D1GMNV0O/RhrMLRpo","uris":["http://zotero.org/users/4804376/items/3HMP9P7W"],"uri":["http://zotero.org/users/4804376/items/3HMP9P7W"],"itemData":{"id":30,"type":"article-journal","title":"Influence of Bile Acids on Colorectal Cancer Risk: Potential Mechanisms Mediated by Diet-Gut Microbiota Interactions","container-title":"Current Nutrition Reports","page":"315-322","volume":"6","issue":"4","source":"CrossRef","abstract":"Purpose of Review The purpose of this study is to review the evidence for the tumorigenic effects of food-stimulated bile acids on the colon and interaction with the gut microbiota.","DOI":"10.1007/s13668-017-0219-5","ISSN":"2161-3311","shortTitle":"Influence of Bile Acids on Colorectal Cancer Risk","language":"en","author":[{"family":"Ocvirk","given":"Soeren"},{"family":"O’Keefe","given":"Stephen JD"}],"issued":{"date-parts":[["2017",12]]}}}],"schema":"https://github.com/citation-style-language/schema/raw/master/csl-citation.json"} </w:instrText>
      </w:r>
      <w:r w:rsidR="006D4642"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[179]</w:t>
      </w:r>
      <w:r w:rsidR="006D4642" w:rsidRPr="00DB7074">
        <w:rPr>
          <w:rFonts w:ascii="Book Antiqua" w:hAnsi="Book Antiqua" w:cs="Times New Roman"/>
          <w:sz w:val="24"/>
          <w:szCs w:val="24"/>
        </w:rPr>
        <w:fldChar w:fldCharType="end"/>
      </w:r>
      <w:r w:rsidR="00817F3C" w:rsidRPr="00DB7074">
        <w:rPr>
          <w:rFonts w:ascii="Book Antiqua" w:hAnsi="Book Antiqua" w:cs="Times New Roman"/>
          <w:sz w:val="24"/>
          <w:szCs w:val="24"/>
        </w:rPr>
        <w:t xml:space="preserve">. </w:t>
      </w:r>
      <w:r w:rsidR="00671439" w:rsidRPr="00DB7074">
        <w:rPr>
          <w:rFonts w:ascii="Book Antiqua" w:hAnsi="Book Antiqua" w:cs="Times New Roman"/>
          <w:sz w:val="24"/>
          <w:szCs w:val="24"/>
        </w:rPr>
        <w:t xml:space="preserve">Polyphenols </w:t>
      </w:r>
      <w:r w:rsidR="00671439" w:rsidRPr="00DB7074">
        <w:rPr>
          <w:rFonts w:ascii="Book Antiqua" w:hAnsi="Book Antiqua" w:cs="Times New Roman"/>
          <w:sz w:val="24"/>
          <w:szCs w:val="24"/>
        </w:rPr>
        <w:lastRenderedPageBreak/>
        <w:t>from fruits and vegetables are poorly absorbed in the intestine</w:t>
      </w:r>
      <w:r w:rsidR="00C94D69" w:rsidRPr="00DB7074">
        <w:rPr>
          <w:rFonts w:ascii="Book Antiqua" w:hAnsi="Book Antiqua" w:cs="Times New Roman"/>
          <w:sz w:val="24"/>
          <w:szCs w:val="24"/>
        </w:rPr>
        <w:t>,</w:t>
      </w:r>
      <w:r w:rsidR="00671439" w:rsidRPr="00DB7074">
        <w:rPr>
          <w:rFonts w:ascii="Book Antiqua" w:hAnsi="Book Antiqua" w:cs="Times New Roman"/>
          <w:sz w:val="24"/>
          <w:szCs w:val="24"/>
        </w:rPr>
        <w:t xml:space="preserve"> and 90-95% are metabolized by the gut microbiota</w:t>
      </w:r>
      <w:r w:rsidR="006D4642"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{"citationID":"a1m0mgut6h9","properties":{"formattedCitation":"\\super [180]\\nosupersub{}","plainCitation":"[180]","noteIndex":0},"citationItems":[{"id":"D1GMNV0O/g9XzVeeX","uris":["http://zotero.org/users/4804376/items/K2UEGA6J"],"uri":["http://zotero.org/users/4804376/items/K2UEGA6J"],"itemData":{"id":284,"type":"article-journal","title":"Polyphenols: food sources and bioavailability","container-title":"The American Journal of Clinical Nutrition","page":"727-747","volume":"79","issue":"5","source":"PubMed","abstract":"Polyphenols are abundant micronutrients in our diet, and evidence for their role in the prevention of degenerative diseases such as cancer and cardiovascular diseases is emerging. The health effects of polyphenols depend on the amount consumed and on their bioavailability. In this article, the nature and contents of the various polyphenols present in food sources and the influence of agricultural practices and industrial processes are reviewed. Estimates of dietary intakes are given for each class of polyphenols. The bioavailability of polyphenols is also reviewed, with particular focus on intestinal absorption and the influence of chemical structure (eg, glycosylation, esterification, and polymerization), food matrix, and excretion back into the intestinal lumen. Information on the role of microflora in the catabolism of polyphenols and the production of some active metabolites is presented. Mechanisms of intestinal and hepatic conjugation (methylation, glucuronidation, sulfation), plasma transport, and elimination in bile and urine are also described. Pharmacokinetic data for the various polyphenols are compared. Studies on the identification of circulating metabolites, cellular uptake, intracellular metabolism with possible deconjugation, biological properties of the conjugated metabolites, and specific accumulation in some target tissues are discussed. Finally, bioavailability appears to differ greatly between the various polyphenols, and the most abundant polyphenols in our diet are not necessarily those that have the best bioavailability profile. A thorough knowledge of the bioavailability of the hundreds of dietary polyphenols will help us to identify those that are most likely to exert protective health effects.","ISSN":"0002-9165","note":"PMID: 15113710","shortTitle":"Polyphenols","journalAbbreviation":"Am. J. Clin. Nutr.","language":"eng","author":[{"family":"Manach","given":"Claudine"},{"family":"Scalbert","given":"Augustin"},{"family":"Morand","given":"Christine"},{"family":"Rémésy","given":"Christian"},{"family":"Jiménez","given":"Liliana"}],"issued":{"date-parts":[["2004",5]]}}}],"schema":"https://github.com/citation-style-language/schema/raw/master/csl-citation.json"} </w:instrText>
      </w:r>
      <w:r w:rsidR="006D4642"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[180]</w:t>
      </w:r>
      <w:r w:rsidR="006D4642" w:rsidRPr="00DB7074">
        <w:rPr>
          <w:rFonts w:ascii="Book Antiqua" w:hAnsi="Book Antiqua" w:cs="Times New Roman"/>
          <w:sz w:val="24"/>
          <w:szCs w:val="24"/>
        </w:rPr>
        <w:fldChar w:fldCharType="end"/>
      </w:r>
      <w:r w:rsidR="00671439" w:rsidRPr="00DB7074">
        <w:rPr>
          <w:rFonts w:ascii="Book Antiqua" w:hAnsi="Book Antiqua" w:cs="Times New Roman"/>
          <w:sz w:val="24"/>
          <w:szCs w:val="24"/>
        </w:rPr>
        <w:t>. The diversity of polyphenol compounds is wide and has been s</w:t>
      </w:r>
      <w:r w:rsidR="009B4D88" w:rsidRPr="00DB7074">
        <w:rPr>
          <w:rFonts w:ascii="Book Antiqua" w:hAnsi="Book Antiqua" w:cs="Times New Roman"/>
          <w:sz w:val="24"/>
          <w:szCs w:val="24"/>
        </w:rPr>
        <w:t xml:space="preserve">ummarized by Marín </w:t>
      </w:r>
      <w:r w:rsidR="00F40F50">
        <w:rPr>
          <w:rFonts w:ascii="Book Antiqua" w:hAnsi="Book Antiqua" w:cs="Times New Roman"/>
          <w:i/>
          <w:sz w:val="24"/>
          <w:szCs w:val="24"/>
        </w:rPr>
        <w:t>et a</w:t>
      </w:r>
      <w:r w:rsidR="006D4642"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{"citationID":"a272bieb252","properties":{"formattedCitation":"\\super [181]\\nosupersub{}","plainCitation":"[181]","noteIndex":0},"citationItems":[{"id":"D1GMNV0O/5P425QK9","uris":["http://zotero.org/users/4804376/items/CXR55NFJ"],"uri":["http://zotero.org/users/4804376/items/CXR55NFJ"],"itemData":{"id":33,"type":"article-journal","title":"Bioavailability of Dietary Polyphenols and Gut Microbiota Metabolism: Antimicrobial Properties","container-title":"BioMed Research International","page":"1-18","volume":"2015","source":"CrossRef","DOI":"10.1155/2015/905215","ISSN":"2314-6133, 2314-6141","shortTitle":"Bioavailability of Dietary Polyphenols and Gut Microbiota Metabolism","language":"en","author":[{"family":"Marín","given":"Laura"},{"family":"Miguélez","given":"Elisa M."},{"family":"Villar","given":"Claudio J."},{"family":"Lombó","given":"Felipe"}],"issued":{"date-parts":[["2015"]]}}}],"schema":"https://github.com/citation-style-language/schema/raw/master/csl-citation.json"} </w:instrText>
      </w:r>
      <w:r w:rsidR="006D4642"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[181]</w:t>
      </w:r>
      <w:r w:rsidR="006D4642" w:rsidRPr="00DB7074">
        <w:rPr>
          <w:rFonts w:ascii="Book Antiqua" w:hAnsi="Book Antiqua" w:cs="Times New Roman"/>
          <w:sz w:val="24"/>
          <w:szCs w:val="24"/>
        </w:rPr>
        <w:fldChar w:fldCharType="end"/>
      </w:r>
      <w:r w:rsidR="00C94391">
        <w:rPr>
          <w:rFonts w:ascii="Book Antiqua" w:hAnsi="Book Antiqua" w:cs="Times New Roman"/>
          <w:sz w:val="24"/>
          <w:szCs w:val="24"/>
        </w:rPr>
        <w:t xml:space="preserve"> and Rowland </w:t>
      </w:r>
      <w:r w:rsidR="00C94391" w:rsidRPr="00C94391">
        <w:rPr>
          <w:rFonts w:ascii="Book Antiqua" w:hAnsi="Book Antiqua" w:cs="Times New Roman"/>
          <w:i/>
          <w:sz w:val="24"/>
          <w:szCs w:val="24"/>
        </w:rPr>
        <w:t>et al</w:t>
      </w:r>
      <w:r w:rsidR="006D4642"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{"citationID":"a2ecgkre7lb","properties":{"formattedCitation":"\\super [172]\\nosupersub{}","plainCitation":"[172]","noteIndex":0},"citationItems":[{"id":"D1GMNV0O/pzUBt3q5","uris":["http://zotero.org/users/4804376/items/DGHDVHID"],"uri":["http://zotero.org/users/4804376/items/DGHDVHID"],"itemData":{"id":19,"type":"article-journal","title":"Gut microbiota functions: metabolism of nutrients and other food components","container-title":"European Journal of Nutrition","page":"1-24","volume":"57","issue":"1","source":"CrossRef","DOI":"10.1007/s00394-017-1445-8","ISSN":"1436-6207, 1436-6215","shortTitle":"Gut microbiota functions","language":"en","author":[{"family":"Rowland","given":"Ian"},{"family":"Gibson","given":"Glenn"},{"family":"Heinken","given":"Almut"},{"family":"Scott","given":"Karen"},{"family":"Swann","given":"Jonathan"},{"family":"Thiele","given":"Ines"},{"family":"Tuohy","given":"Kieran"}],"issued":{"date-parts":[["2018",2]]}}}],"schema":"https://github.com/citation-style-language/schema/raw/master/csl-citation.json"} </w:instrText>
      </w:r>
      <w:r w:rsidR="006D4642"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[172]</w:t>
      </w:r>
      <w:r w:rsidR="006D4642" w:rsidRPr="00DB7074">
        <w:rPr>
          <w:rFonts w:ascii="Book Antiqua" w:hAnsi="Book Antiqua" w:cs="Times New Roman"/>
          <w:sz w:val="24"/>
          <w:szCs w:val="24"/>
        </w:rPr>
        <w:fldChar w:fldCharType="end"/>
      </w:r>
      <w:r w:rsidR="00671439" w:rsidRPr="00DB7074">
        <w:rPr>
          <w:rFonts w:ascii="Book Antiqua" w:hAnsi="Book Antiqua" w:cs="Times New Roman"/>
          <w:sz w:val="24"/>
          <w:szCs w:val="24"/>
        </w:rPr>
        <w:t>. Several gut microbial enzymes can transform plant polyphenols, such as phenolic acids, flavonoids, and lignans into simple phenolic metabolites</w:t>
      </w:r>
      <w:r w:rsidR="006D4642"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{"citationID":"a1mlje6k4gv","properties":{"formattedCitation":"\\super [172,181,182]\\nosupersub{}","plainCitation":"[172,181,182]","noteIndex":0},"citationItems":[{"id":"D1GMNV0O/5P425QK9","uris":["http://zotero.org/users/4804376/items/CXR55NFJ"],"uri":["http://zotero.org/users/4804376/items/CXR55NFJ"],"itemData":{"id":33,"type":"article-journal","title":"Bioavailability of Dietary Polyphenols and Gut Microbiota Metabolism: Antimicrobial Properties","container-title":"BioMed Research International","page":"1-18","volume":"2015","source":"CrossRef","DOI":"10.1155/2015/905215","ISSN":"2314-6133, 2314-6141","shortTitle":"Bioavailability of Dietary Polyphenols and Gut Microbiota Metabolism","language":"en","author":[{"family":"Marín","given":"Laura"},{"family":"Miguélez","given":"Elisa M."},{"family":"Villar","given":"Claudio J."},{"family":"Lombó","given":"Felipe"}],"issued":{"date-parts":[["2015"]]}}},{"id":"D1GMNV0O/pzUBt3q5","uris":["http://zotero.org/users/4804376/items/DGHDVHID"],"uri":["http://zotero.org/users/4804376/items/DGHDVHID"],"itemData":{"id":19,"type":"article-journal","title":"Gut microbiota functions: metabolism of nutrients and other food components","container-title":"European Journal of Nutrition","page":"1-24","volume":"57","issue":"1","source":"CrossRef","DOI":"10.1007/s00394-017-1445-8","ISSN":"1436-6207, 1436-6215","shortTitle":"Gut microbiota functions","language":"en","author":[{"family":"Rowland","given":"Ian"},{"family":"Gibson","given":"Glenn"},{"family":"Heinken","given":"Almut"},{"family":"Scott","given":"Karen"},{"family":"Swann","given":"Jonathan"},{"family":"Thiele","given":"Ines"},{"family":"Tuohy","given":"Kieran"}],"issued":{"date-parts":[["2018",2]]}}},{"id":"D1GMNV0O/a5DQjSEs","uris":["http://zotero.org/users/4804376/items/NX7V6EZC"],"uri":["http://zotero.org/users/4804376/items/NX7V6EZC"],"itemData":{"id":34,"type":"article-journal","title":"Plant secondary metabolites and gut health: the case for phenolic acids","container-title":"Proceedings of the Nutrition Society","page":"389-396","volume":"70","issue":"03","source":"CrossRef","DOI":"10.1017/S0029665111000152","ISSN":"0029-6651, 1475-2719","shortTitle":"Plant secondary metabolites and gut health","language":"en","author":[{"family":"Russell","given":"Wendy"},{"family":"Duthie","given":"Garry"}],"issued":{"date-parts":[["2011",8]]}}}],"schema":"https://github.com/citation-style-language/schema/raw/master/csl-citation.json"} </w:instrText>
      </w:r>
      <w:r w:rsidR="006D4642"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[172,181,182]</w:t>
      </w:r>
      <w:r w:rsidR="006D4642" w:rsidRPr="00DB7074">
        <w:rPr>
          <w:rFonts w:ascii="Book Antiqua" w:hAnsi="Book Antiqua" w:cs="Times New Roman"/>
          <w:sz w:val="24"/>
          <w:szCs w:val="24"/>
        </w:rPr>
        <w:fldChar w:fldCharType="end"/>
      </w:r>
      <w:r w:rsidR="00671439" w:rsidRPr="00DB7074">
        <w:rPr>
          <w:rFonts w:ascii="Book Antiqua" w:hAnsi="Book Antiqua" w:cs="Times New Roman"/>
          <w:sz w:val="24"/>
          <w:szCs w:val="24"/>
        </w:rPr>
        <w:t xml:space="preserve">. </w:t>
      </w:r>
      <w:r w:rsidRPr="00DB7074">
        <w:rPr>
          <w:rFonts w:ascii="Book Antiqua" w:hAnsi="Book Antiqua" w:cs="Times New Roman"/>
          <w:sz w:val="24"/>
          <w:szCs w:val="24"/>
        </w:rPr>
        <w:t>These m</w:t>
      </w:r>
      <w:r w:rsidR="00671439" w:rsidRPr="00DB7074">
        <w:rPr>
          <w:rFonts w:ascii="Book Antiqua" w:hAnsi="Book Antiqua" w:cs="Times New Roman"/>
          <w:sz w:val="24"/>
          <w:szCs w:val="24"/>
        </w:rPr>
        <w:t>icrobial phenolic metabolites are mostly known for their antioxidant activity</w:t>
      </w:r>
      <w:r w:rsidR="00507882" w:rsidRPr="00DB7074">
        <w:rPr>
          <w:rFonts w:ascii="Book Antiqua" w:hAnsi="Book Antiqua" w:cs="Times New Roman"/>
          <w:sz w:val="24"/>
          <w:szCs w:val="24"/>
        </w:rPr>
        <w:t xml:space="preserve"> and </w:t>
      </w:r>
      <w:r w:rsidR="00C94D69" w:rsidRPr="00DB7074">
        <w:rPr>
          <w:rFonts w:ascii="Book Antiqua" w:hAnsi="Book Antiqua" w:cs="Times New Roman"/>
          <w:sz w:val="24"/>
          <w:szCs w:val="24"/>
        </w:rPr>
        <w:t xml:space="preserve">have been </w:t>
      </w:r>
      <w:r w:rsidR="00671439" w:rsidRPr="00DB7074">
        <w:rPr>
          <w:rFonts w:ascii="Book Antiqua" w:hAnsi="Book Antiqua" w:cs="Times New Roman"/>
          <w:sz w:val="24"/>
          <w:szCs w:val="24"/>
        </w:rPr>
        <w:t xml:space="preserve">shown to inhibit </w:t>
      </w:r>
      <w:r w:rsidR="00C94D69" w:rsidRPr="00DB7074">
        <w:rPr>
          <w:rFonts w:ascii="Book Antiqua" w:hAnsi="Book Antiqua" w:cs="Times New Roman"/>
          <w:sz w:val="24"/>
          <w:szCs w:val="24"/>
        </w:rPr>
        <w:t xml:space="preserve">the production of </w:t>
      </w:r>
      <w:r w:rsidR="00671439" w:rsidRPr="00DB7074">
        <w:rPr>
          <w:rFonts w:ascii="Book Antiqua" w:hAnsi="Book Antiqua" w:cs="Times New Roman"/>
          <w:sz w:val="24"/>
          <w:szCs w:val="24"/>
        </w:rPr>
        <w:t>pro-inflammatory mediators</w:t>
      </w:r>
      <w:r w:rsidR="006D4642"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{"citationID":"a5q5hrq03f","properties":{"formattedCitation":"\\super [183]\\nosupersub{}","plainCitation":"[183]","noteIndex":0},"citationItems":[{"id":"D1GMNV0O/ks90eYkA","uris":["http://zotero.org/users/4804376/items/JPUCNJF8"],"uri":["http://zotero.org/users/4804376/items/JPUCNJF8"],"itemData":{"id":35,"type":"article-journal","title":"Benefits of polyphenols on gut microbiota and implications in human health","container-title":"The Journal of Nutritional Biochemistry","page":"1415-1422","volume":"24","issue":"8","source":"CrossRef","abstract":"The biological properties of dietary polyphenols are greatly dependent on their bioavailability that, in turn, is largely influenced by their degree of polymerization. The gut microbiota play a key role in modulating the production, bioavailability and, thus, the biological activities of phenolic metabolites, particularly after the intake of food containing high-molecular-weight polyphenols. In addition, evidence is emerging on the activity of dietary polyphenols on the modulation of the colonic microbial population composition or activity. However, although the great range of health-promoting activities of dietary polyphenols has been widely investigated, their effect on the modulation of the gut ecology and the two-way relationship “polyphenols ↔ microbiota” are still poorly understood.","DOI":"10.1016/j.jnutbio.2013.05.001","ISSN":"09552863","language":"en","author":[{"family":"Cardona","given":"Fernando"},{"family":"Andrés-Lacueva","given":"Cristina"},{"family":"Tulipani","given":"Sara"},{"family":"Tinahones","given":"Francisco J."},{"family":"Queipo-Ortuño","given":"María Isabel"}],"issued":{"date-parts":[["2013",8]]}}}],"schema":"https://github.com/citation-style-language/schema/raw/master/csl-citation.json"} </w:instrText>
      </w:r>
      <w:r w:rsidR="006D4642"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[183]</w:t>
      </w:r>
      <w:r w:rsidR="006D4642" w:rsidRPr="00DB7074">
        <w:rPr>
          <w:rFonts w:ascii="Book Antiqua" w:hAnsi="Book Antiqua" w:cs="Times New Roman"/>
          <w:sz w:val="24"/>
          <w:szCs w:val="24"/>
        </w:rPr>
        <w:fldChar w:fldCharType="end"/>
      </w:r>
      <w:r w:rsidRPr="00DB7074">
        <w:rPr>
          <w:rFonts w:ascii="Book Antiqua" w:hAnsi="Book Antiqua" w:cs="Times New Roman"/>
          <w:sz w:val="24"/>
          <w:szCs w:val="24"/>
        </w:rPr>
        <w:t xml:space="preserve">. </w:t>
      </w:r>
      <w:r w:rsidR="007B2DBF" w:rsidRPr="00DB7074">
        <w:rPr>
          <w:rFonts w:ascii="Book Antiqua" w:hAnsi="Book Antiqua" w:cs="Times New Roman"/>
          <w:sz w:val="24"/>
          <w:szCs w:val="24"/>
        </w:rPr>
        <w:t>Microbial protein fermentation generates potentially toxic and pro-carcinogenic metabolites involved in CRC, such as phenols, sulfides, ammonia and nitrosamines</w:t>
      </w:r>
      <w:r w:rsidR="00D60E48"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{"citationID":"ain9hdsmcv","properties":{"formattedCitation":"\\super [7]\\nosupersub{}","plainCitation":"[7]","noteIndex":0},"citationItems":[{"id":"D1GMNV0O/1MmGcIaD","uris":["http://zotero.org/users/4804376/items/CIN5494F"],"uri":["http://zotero.org/users/4804376/items/CIN5494F"],"itemData":{"id":64,"type":"article-journal","title":"The microbiome and cancer","container-title":"Nature Reviews Cancer","page":"800-812","volume":"13","issue":"11","source":"CrossRef","abstract":"Microbiota and host form a complex ‘super-organism’ in which symbiotic relationships confer benefits to the host in many key aspects of life. However, defects in the regulatory circuits of the host that control bacterial sensing and homeostasis, or alterations of the microbiome, through environmental changes (infection, diet or lifestyle), may disturb this symbiotic relationship and promote disease. Increasing evidence indicates a key role for the bacterial microbiota in carcinogenesis. In this Opinion article, we discuss links between the bacterial microbiota and cancer, with a particular focus on immune responses, dysbiosis, genotoxicity, metabolism and strategies to target the microbiome for cancer prevention.","DOI":"10.1038/nrc3610","ISSN":"1474-175X, 1474-1768","language":"en","author":[{"family":"Schwabe","given":"Robert F."},{"family":"Jobin","given":"Christian"}],"issued":{"date-parts":[["2013",11]]}}}],"schema":"https://github.com/citation-style-language/schema/raw/master/csl-citation.json"} </w:instrText>
      </w:r>
      <w:r w:rsidR="00D60E48"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[7]</w:t>
      </w:r>
      <w:r w:rsidR="00D60E48" w:rsidRPr="00DB7074">
        <w:rPr>
          <w:rFonts w:ascii="Book Antiqua" w:hAnsi="Book Antiqua" w:cs="Times New Roman"/>
          <w:sz w:val="24"/>
          <w:szCs w:val="24"/>
        </w:rPr>
        <w:fldChar w:fldCharType="end"/>
      </w:r>
      <w:r w:rsidR="007B2DBF" w:rsidRPr="00DB7074">
        <w:rPr>
          <w:rFonts w:ascii="Book Antiqua" w:hAnsi="Book Antiqua" w:cs="Times New Roman"/>
          <w:sz w:val="24"/>
          <w:szCs w:val="24"/>
        </w:rPr>
        <w:t>.</w:t>
      </w:r>
      <w:r w:rsidR="00817F3C" w:rsidRPr="00DB7074">
        <w:rPr>
          <w:rFonts w:ascii="Book Antiqua" w:hAnsi="Book Antiqua" w:cs="Times New Roman"/>
          <w:sz w:val="24"/>
          <w:szCs w:val="24"/>
        </w:rPr>
        <w:t xml:space="preserve"> </w:t>
      </w:r>
      <w:r w:rsidRPr="00DB7074">
        <w:rPr>
          <w:rFonts w:ascii="Book Antiqua" w:hAnsi="Book Antiqua" w:cs="Times New Roman"/>
          <w:sz w:val="24"/>
          <w:szCs w:val="24"/>
        </w:rPr>
        <w:t xml:space="preserve">A subset of bacteria, including </w:t>
      </w:r>
      <w:r w:rsidRPr="00DB7074">
        <w:rPr>
          <w:rFonts w:ascii="Book Antiqua" w:hAnsi="Book Antiqua" w:cs="Times New Roman"/>
          <w:i/>
          <w:sz w:val="24"/>
          <w:szCs w:val="24"/>
        </w:rPr>
        <w:t>Bacteroidetes</w:t>
      </w:r>
      <w:r w:rsidRPr="00DB7074">
        <w:rPr>
          <w:rFonts w:ascii="Book Antiqua" w:hAnsi="Book Antiqua" w:cs="Times New Roman"/>
          <w:sz w:val="24"/>
          <w:szCs w:val="24"/>
        </w:rPr>
        <w:t xml:space="preserve"> and </w:t>
      </w:r>
      <w:r w:rsidRPr="00DB7074">
        <w:rPr>
          <w:rFonts w:ascii="Book Antiqua" w:hAnsi="Book Antiqua" w:cs="Times New Roman"/>
          <w:i/>
          <w:sz w:val="24"/>
          <w:szCs w:val="24"/>
        </w:rPr>
        <w:t>Firmicutes</w:t>
      </w:r>
      <w:r w:rsidRPr="00DB7074">
        <w:rPr>
          <w:rFonts w:ascii="Book Antiqua" w:hAnsi="Book Antiqua" w:cs="Times New Roman"/>
          <w:sz w:val="24"/>
          <w:szCs w:val="24"/>
        </w:rPr>
        <w:t xml:space="preserve"> species, produce potentially bioactive substances via the degradation of amino acids, especially nitrogenous compounds </w:t>
      </w:r>
      <w:r w:rsidR="00C94D69" w:rsidRPr="00DB7074">
        <w:rPr>
          <w:rFonts w:ascii="Book Antiqua" w:hAnsi="Book Antiqua" w:cs="Times New Roman"/>
          <w:sz w:val="24"/>
          <w:szCs w:val="24"/>
        </w:rPr>
        <w:t>that can</w:t>
      </w:r>
      <w:r w:rsidR="00E905F2">
        <w:rPr>
          <w:rFonts w:ascii="Book Antiqua" w:hAnsi="Book Antiqua" w:cs="Times New Roman"/>
          <w:sz w:val="24"/>
          <w:szCs w:val="24"/>
        </w:rPr>
        <w:t xml:space="preserve"> exert carcinogenic effects</w:t>
      </w:r>
      <w:r w:rsidR="00B6221F"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{"citationID":"JnC3HbJE","properties":{"formattedCitation":"\\super [184\\uc0\\u8211{}186]\\nosupersub{}","plainCitation":"[184–186]","noteIndex":0},"citationItems":[{"id":"D1GMNV0O/ioCzCb3l","uris":["http://zotero.org/users/4804376/items/9FESQX38"],"uri":["http://zotero.org/users/4804376/items/9FESQX38"],"itemData":{"id":20,"type":"article-journal","title":"Major phenylpropanoid-derived metabolites in the human gut can arise from microbial fermentation of protein","container-title":"Molecular Nutrition &amp; Food Research","page":"523-535","volume":"57","issue":"3","source":"CrossRef","DOI":"10.1002/mnfr.201200594","ISSN":"16134125","language":"en","author":[{"family":"Russell","given":"Wendy R."},{"family":"Duncan","given":"Sylvia H."},{"family":"Scobbie","given":"Lorraine"},{"family":"Duncan","given":"Gary"},{"family":"Cantlay","given":"Louise"},{"family":"Calder","given":"A. Graham"},{"family":"Anderson","given":"Susan E."},{"family":"Flint","given":"Harry J."}],"issued":{"date-parts":[["2013",3]]}}},{"id":"D1GMNV0O/zlJzsNhb","uris":["http://zotero.org/users/4804376/items/CR38YQ74"],"uri":["http://zotero.org/users/4804376/items/CR38YQ74"],"itemData":{"id":632,"type":"article-journal","title":"N-Nitroso compounds and cancer incidence: the European Prospective Investigation into Cancer and Nutrition (EPIC)-Norfolk Study","container-title":"The American Journal of Clinical Nutrition","page":"1053-1061","volume":"93","issue":"5","source":"PubMed","abstract":"BACKGROUND: Humans are exposed to preformed N-nitroso compounds (NOCs) and endogenous NOCs. Several NOCs are potential human carcinogens, including N-nitrosodimethylamine (NDMA), but evidence from population studies is inconsistent.\nOBJECTIVE: We examined the relation between dietary NOCs (NDMA), the endogenous NOC index, and dietary nitrite and cancer incidence in the European Prospective Investigation into Cancer and Nutrition (EPIC)-Norfolk, United Kingdom, study.\nDESIGN: This was a prospective study of 23,363 men and women, aged 40-79 y, who were recruited in 1993-1997 and followed up to 2008. The baseline diet was assessed with food-frequency questionnaires.\nRESULTS: There were 3268 incident cancers after a mean follow-up of 11.4 y. Dietary NDMA intake was significantly associated with increased cancer risk in men and women [hazard ratio (HR): 1.14; 95% CI: 1.03, 1.27; P for trend = 0.03] and in men (HR: 1.24; 95% CI: 1.07, 1.44; P for trend = 0.005) when the highest quartile was compared with the lowest quartile in</w:instrText>
      </w:r>
      <w:r w:rsidR="004B13A2" w:rsidRPr="00DB7074">
        <w:rPr>
          <w:rFonts w:ascii="Book Antiqua" w:hAnsi="Book Antiqua" w:cs="Times New Roman" w:hint="eastAsia"/>
          <w:sz w:val="24"/>
          <w:szCs w:val="24"/>
        </w:rPr>
        <w:instrText xml:space="preserve"> age- and sex-adjusted analyses but not in multivariate analyses (HR: 1.10; 95% CI: 0.97, 1.24; HR for men: 1.18; 95% CI: 1.00, 1.40; P for trend </w:instrText>
      </w:r>
      <w:r w:rsidR="004B13A2" w:rsidRPr="00DB7074">
        <w:rPr>
          <w:rFonts w:ascii="Book Antiqua" w:hAnsi="Book Antiqua" w:cs="Times New Roman" w:hint="eastAsia"/>
          <w:sz w:val="24"/>
          <w:szCs w:val="24"/>
        </w:rPr>
        <w:instrText>≥</w:instrText>
      </w:r>
      <w:r w:rsidR="004B13A2" w:rsidRPr="00DB7074">
        <w:rPr>
          <w:rFonts w:ascii="Book Antiqua" w:hAnsi="Book Antiqua" w:cs="Times New Roman" w:hint="eastAsia"/>
          <w:sz w:val="24"/>
          <w:szCs w:val="24"/>
        </w:rPr>
        <w:instrText xml:space="preserve"> 0.05). When continuously analyzed, NDMA was associated with increased risk of gastrointestinal cancers (HR:</w:instrText>
      </w:r>
      <w:r w:rsidR="004B13A2" w:rsidRPr="00DB7074">
        <w:rPr>
          <w:rFonts w:ascii="Book Antiqua" w:hAnsi="Book Antiqua" w:cs="Times New Roman"/>
          <w:sz w:val="24"/>
          <w:szCs w:val="24"/>
        </w:rPr>
        <w:instrText xml:space="preserve"> 1.13; 95% CI: 1.00, 1.28), specifically of rectal cancer (HR: 1.46; 95% CI: 1.16, 1.84) per 1-SD increase after adjustment for age, sex, body mass index, cigarette smoking status, alcohol intake, energy intake, physical activity, education, and menopausal status (in women). The endogenous NOC index and dietary nitrite were not significantly associated with cancer risk. There was a significant interaction between plasma vitamin C concentrations and dietary NDMA intake on cancer incidence (P for interaction &lt; 0.00001).\nCONCLUSIONS: Dietary NOC (NDMA) was associated with a higher gastrointestinal cancer incidence, specifically of rectal cancer. Plasma vitamin C may modify the relation between NDMA exposure and cancer risk.","DOI":"10.3945/ajcn.111.012377","ISSN":"1938-3207","note":"PMID: 21430112","shortTitle":"N-Nitroso compounds and cancer incidence","journalAbbreviation":"Am. J. Clin. Nutr.","language":"eng","author":[{"family":"Loh","given":"Yet Hua"},{"family":"Jakszyn","given":"Paula"},{"family":"Luben","given":"Robert N."},{"family":"Mulligan","given":"Angela A."},{"family":"Mitrou","given":"Panagiota N."},{"family":"Khaw","given":"Kay-Tee"}],"issued":{"date-parts":[["2011",5]]}}},{"id":"D1GMNV0O/mDvo04rX","uris":["http://zotero.org/users/4804376/items/TN3NZF87"],"uri":["http://zotero.org/users/4804376/items/TN3NZF87"],"itemData":{"id":690,"type":"article-journal","title":"Diet and cancer: assessing the risk","container-title":"The British Journal of Nutrition","page":"S73-87","volume":"88 Suppl 1","source":"PubMed","abstract":"Globally, colorectal cancer (CRC) is a leading cause of mortality from malignant disease. Case-control and cohort studies provide strong support for a role of diet in the aetiology of CRC. However to establish causal relationships and to identify more precisely the dietary components involved, intervention studies in human subjects are required. Cancer is an impractical endpoint in terms of numbers, cost, study duration and ethical considerations. Consequently, intermediate biomarkers of the disease are required. This review aims to provide an overview of the intermediate endpoints available for the study of CRC, particularly non-invasive faecal biomarkers. Examples of their use in dietary intervention studies are given.","DOI":"10.1079/BJN2002632","ISSN":"0007-1145","note":"PMID: 12215186","shortTitle":"Diet and cancer","journalAbbreviation":"Br. J. Nutr.","language":"eng","author":[{"family":"Gill","given":"C. I. R."},{"family":"Rowland","given":"I. R."}],"issued":{"date-parts":[["2002",9]]}}}],"schema":"https://github.com/citation-style-language/schema/raw/master/csl-citation.json"} </w:instrText>
      </w:r>
      <w:r w:rsidR="00B6221F"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[184–186]</w:t>
      </w:r>
      <w:r w:rsidR="00B6221F" w:rsidRPr="00DB7074">
        <w:rPr>
          <w:rFonts w:ascii="Book Antiqua" w:hAnsi="Book Antiqua" w:cs="Times New Roman"/>
          <w:sz w:val="24"/>
          <w:szCs w:val="24"/>
        </w:rPr>
        <w:fldChar w:fldCharType="end"/>
      </w:r>
      <w:r w:rsidRPr="00DB7074">
        <w:rPr>
          <w:rFonts w:ascii="Book Antiqua" w:hAnsi="Book Antiqua" w:cs="Times New Roman"/>
          <w:sz w:val="24"/>
          <w:szCs w:val="24"/>
        </w:rPr>
        <w:t xml:space="preserve">. Moreover, sulfides produced in the gut by the bacterial reduction of dietary </w:t>
      </w:r>
      <w:r w:rsidR="00507882" w:rsidRPr="00DB7074">
        <w:rPr>
          <w:rFonts w:ascii="Book Antiqua" w:hAnsi="Book Antiqua" w:cs="Times New Roman"/>
          <w:sz w:val="24"/>
          <w:szCs w:val="24"/>
        </w:rPr>
        <w:t>sulfate</w:t>
      </w:r>
      <w:r w:rsidRPr="00DB7074">
        <w:rPr>
          <w:rFonts w:ascii="Book Antiqua" w:hAnsi="Book Antiqua" w:cs="Times New Roman"/>
          <w:sz w:val="24"/>
          <w:szCs w:val="24"/>
        </w:rPr>
        <w:t xml:space="preserve"> are enterotoxic</w:t>
      </w:r>
      <w:r w:rsidR="00D60E48"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{"citationID":"a2kk9emjho","properties":{"formattedCitation":"\\super [187]\\nosupersub{}","plainCitation":"[187]","noteIndex":0},"citationItems":[{"id":"D1GMNV0O/F188n7ss","uris":["http://zotero.org/users/4804376/items/CZMHABQS"],"uri":["http://zotero.org/users/4804376/items/CZMHABQS"],"itemData":{"id":618,"type":"article-journal","title":"Colonic sulfide in pathogenesis and treatment of ulcerative colitis","container-title":"Digestive Diseases and Sciences","page":"1571-1579","volume":"42","issue":"8","source":"PubMed","abstract":"A role for colonic sulfide in the pathogenesis and treatment of ulcerative colitis (UC) has emerged based on biochemical, microbiological, nutritional, toxicological, epidemiological, and therapeutic evidence. Metabolism of isolated colonic epithelial cells has indicated that the bacterial short-chain fatty acid n-butyrate maintains the epithelial barrier and that sulfides can inhibit oxidation of n-butyrate analogous to that observed in active UC. Sulfur for fermentation in the colon is essential for n-butyrate formation and sulfidogenesis aids disposal of colonic hydrogen produced by bacteria. The numbers of sulfate-reducing bacteria and sulfidogenesis is greater in UC than control cases. Sulfide is mainly detoxified by methylation in colonic epithelial cells and circulating red blood cells. The enzyme activity of sulfide methylation is higher in red blood cells of UC patients than control cases. Patients with UC ingest more protein and thereby sulfur amino acids than control subjects. Removing foods rich in sulfur amino acids (milk, eggs, cheese) has proven therapeutic benefits in UC. 5-Amino salicylic acid reduces fermentative production of hydrogen sulfide by colonic bacteria, and aminoglycosides, which inhibit sulfate-reducing bacteria, are of therapeutic benefit in active UC. Methyl-donating agents are a category of drugs of potential therapeutic use in UC. A correlation between sulfide production and mucosal immune responses in UC needs to be undertaken. Control of sulfidogenesis and sulfide detoxification may be important in the disease process of UC, although whether their roles is in an initiating or promoting capacity has yet to be determined.","ISSN":"0163-2116","note":"PMID: 9286219","journalAbbreviation":"Dig. Dis. Sci.","language":"eng","author":[{"family":"Roediger","given":"W. E."},{"family":"Moore","given":"J."},{"family":"Babidge","given":"W."}],"issued":{"date-parts":[["1997",8]]}}}],"schema":"https://github.com/citation-style-language/schema/raw/master/csl-citation.json"} </w:instrText>
      </w:r>
      <w:r w:rsidR="00D60E48"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[187]</w:t>
      </w:r>
      <w:r w:rsidR="00D60E48" w:rsidRPr="00DB7074">
        <w:rPr>
          <w:rFonts w:ascii="Book Antiqua" w:hAnsi="Book Antiqua" w:cs="Times New Roman"/>
          <w:sz w:val="24"/>
          <w:szCs w:val="24"/>
        </w:rPr>
        <w:fldChar w:fldCharType="end"/>
      </w:r>
      <w:r w:rsidR="00D60E48" w:rsidRPr="00DB7074">
        <w:rPr>
          <w:rFonts w:ascii="Book Antiqua" w:hAnsi="Book Antiqua" w:cs="Times New Roman"/>
          <w:sz w:val="24"/>
          <w:szCs w:val="24"/>
        </w:rPr>
        <w:t>.</w:t>
      </w:r>
      <w:r w:rsidRPr="00DB7074">
        <w:rPr>
          <w:rFonts w:ascii="Book Antiqua" w:hAnsi="Book Antiqua" w:cs="Times New Roman"/>
          <w:sz w:val="24"/>
          <w:szCs w:val="24"/>
        </w:rPr>
        <w:t xml:space="preserve"> Microbial metabolism may contribute to the toxicity of alcohol, especially in the gastrointestinal tract where aerobic and facultative anaerobic bacteria convert ethanol to acetaldehyde</w:t>
      </w:r>
      <w:r w:rsidR="00C94D69" w:rsidRPr="00DB7074">
        <w:rPr>
          <w:rFonts w:ascii="Book Antiqua" w:hAnsi="Book Antiqua" w:cs="Times New Roman"/>
          <w:sz w:val="24"/>
          <w:szCs w:val="24"/>
        </w:rPr>
        <w:t>,</w:t>
      </w:r>
      <w:r w:rsidRPr="00DB7074">
        <w:rPr>
          <w:rFonts w:ascii="Book Antiqua" w:hAnsi="Book Antiqua" w:cs="Times New Roman"/>
          <w:sz w:val="24"/>
          <w:szCs w:val="24"/>
        </w:rPr>
        <w:t xml:space="preserve"> which is known to be a highly toxic and pro-carcinogenic compound</w:t>
      </w:r>
      <w:r w:rsidR="00D60E48"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{"citationID":"a2hd0f036fk","properties":{"formattedCitation":"\\super [188]\\nosupersub{}","plainCitation":"[188]","noteIndex":0},"citationItems":[{"id":"D1GMNV0O/71U322Dw","uris":["http://zotero.org/users/4804376/items/PFFV7TIK"],"uri":["http://zotero.org/users/4804376/items/PFFV7TIK"],"itemData":{"id":620,"type":"article-journal","title":"Alcohol and upper gastrointestinal tract cancer: the role of local acetaldehyde production","container-title":"Addiction Biology","page":"309-323","volume":"6","issue":"4","source":"PubMed","abstract":"Alcohol is, together with tobacco smoke, the main cause for upper GI tract cancer in industrialized countries. However, the tumour-promoting effects of alcohol intake are poorly understood and alcohol itself is not carcinogenic in the animal model. There is increasing evidence that alcohol metabolism, rather than the alcohol itself, generates carcinogenic and cell-toxic compounds. Acetaldehyde, first metabolite of ethanol, is highly toxic, mutagenic and carcinogenic. Polymorphisms in the genes coding for enzymes responsible for acetaldehyde accumulation and detoxification have been associated with an increased cancer risk. Acetaldehyde can also be produced in the mucosa and by the physiological microflora. This review summarizes the scientific evidence that alcohol intake leads to a local production of acetaldehyde. It describes the role of the oral microflora, the mucosa and the salivary glands in this process and shows that local acetaldehyde production from ethanol may contribute to the carcinogenesis of alcohol intake in the upper GI tract.","DOI":"10.1080/13556210020077028","ISSN":"1369-1600","note":"PMID: 11900609","shortTitle":"Alcohol and upper gastrointestinal tract cancer","journalAbbreviation":"Addict Biol","language":"eng","author":[{"family":"Homann","given":"Nils"}],"issued":{"date-parts":[["2001",9]]}}}],"schema":"https://github.com/citation-style-language/schema/raw/master/csl-citation.json"} </w:instrText>
      </w:r>
      <w:r w:rsidR="00D60E48"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[188]</w:t>
      </w:r>
      <w:r w:rsidR="00D60E48" w:rsidRPr="00DB7074">
        <w:rPr>
          <w:rFonts w:ascii="Book Antiqua" w:hAnsi="Book Antiqua" w:cs="Times New Roman"/>
          <w:sz w:val="24"/>
          <w:szCs w:val="24"/>
        </w:rPr>
        <w:fldChar w:fldCharType="end"/>
      </w:r>
      <w:r w:rsidR="00D60E48" w:rsidRPr="00DB7074">
        <w:rPr>
          <w:rFonts w:ascii="Book Antiqua" w:hAnsi="Book Antiqua" w:cs="Times New Roman"/>
          <w:sz w:val="24"/>
          <w:szCs w:val="24"/>
        </w:rPr>
        <w:t>.</w:t>
      </w:r>
      <w:r w:rsidR="00CF430A" w:rsidRPr="00DB7074">
        <w:rPr>
          <w:rFonts w:ascii="Book Antiqua" w:hAnsi="Book Antiqua" w:cs="Times New Roman"/>
          <w:sz w:val="24"/>
          <w:szCs w:val="24"/>
        </w:rPr>
        <w:t xml:space="preserve"> </w:t>
      </w:r>
      <w:r w:rsidR="00A93C0D" w:rsidRPr="00DB7074">
        <w:rPr>
          <w:rFonts w:ascii="Book Antiqua" w:hAnsi="Book Antiqua" w:cs="Times New Roman"/>
          <w:sz w:val="24"/>
          <w:szCs w:val="24"/>
        </w:rPr>
        <w:t>A specific role for bacterial biofilms in colonic metabolome was also reported</w:t>
      </w:r>
      <w:r w:rsidR="00A93C0D"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{"citationID":"a26up3hdt8k","properties":{"formattedCitation":"\\super [189]\\nosupersub{}","plainCitation":"[189]","noteIndex":0},"citationItems":[{"id":"D1GMNV0O/UIhxweam","uris":["http://zotero.org/users/4804376/items/VQIP6WRD"],"uri":["http://zotero.org/users/4804376/items/VQIP6WRD"],"itemData":{"id":639,"type":"article-journal","title":"Metabolism links bacterial biofilms and colon carcinogenesis","container-title":"Cell metabolism","page":"891-897","volume":"21","issue":"6","source":"PubMed Central","abstract":"Bacterial biofilms in the colon alter the host tissue microenvironment. A role for biofilms in colon cancer metabolism has been suggested but to date has not been evaluated. Using metabolomics, we investigated the metabolic influence that microbial biofilms have on colon tissues and the related occurrence of cancer. Patient-matched colon cancers and histologically normal tissues, with or without biofilms, were examined. We show the upregulation of polyamine metabolites in tissues from cancer hosts with significant enhancement of N1, N12-diacetylspermine in both biofilm positive cancer and normal tissues. Antibiotic treatment, which cleared biofilms, decreased N1, N12-diacetylspermine levels to those seen in biofilm negative tissues, indicating that host cancer and bacterial biofilm structures contribute to the polyamine metabolite pool. These results show that colonic mucosal biofilms alter the cancer metabolome, to produce a regulator of cellular proliferation and colon cancer growth potentially affecting cancer development and progression.","DOI":"10.1016/j.cmet.2015.04.011","ISSN":"1550-4131","note":"PMID: 25959674\nPMCID: PMC4456201","journalAbbreviation":"Cell Metab","author":[{"family":"Johnson","given":"Caroline H."},{"family":"Dejea","given":"Christine M."},{"family":"Edler","given":"David"},{"family":"Hoang","given":"Linh T."},{"family":"Santidrian","given":"Antonio F."},{"family":"Felding","given":"Brunhilde H."},{"family":"Cho","given":"Kevin"},{"family":"Wick","given":"Elizabeth C."},{"family":"Hechenbleikner","given":"Elizabeth M."},{"family":"Uritboonthai","given":"Winnie"},{"family":"Goetz","given":"Laura"},{"family":"Casero","given":"Robert A."},{"family":"Pardoll","given":"Drew M."},{"family":"White","given":"James R."},{"family":"Patti","given":"Gary J."},{"family":"Sears","given":"Cynthia L."},{"family":"Siuzdak","given":"Gary"}],"issued":{"date-parts":[["2015",6,2]]}}}],"schema":"https://github.com/citation-style-language/schema/raw/master/csl-citation.json"} </w:instrText>
      </w:r>
      <w:r w:rsidR="00A93C0D"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[189]</w:t>
      </w:r>
      <w:r w:rsidR="00A93C0D" w:rsidRPr="00DB7074">
        <w:rPr>
          <w:rFonts w:ascii="Book Antiqua" w:hAnsi="Book Antiqua" w:cs="Times New Roman"/>
          <w:sz w:val="24"/>
          <w:szCs w:val="24"/>
        </w:rPr>
        <w:fldChar w:fldCharType="end"/>
      </w:r>
      <w:r w:rsidR="00A93C0D" w:rsidRPr="00DB7074">
        <w:rPr>
          <w:rFonts w:ascii="Book Antiqua" w:hAnsi="Book Antiqua" w:cs="Times New Roman"/>
          <w:sz w:val="24"/>
          <w:szCs w:val="24"/>
        </w:rPr>
        <w:t xml:space="preserve">. </w:t>
      </w:r>
      <w:r w:rsidR="00671439" w:rsidRPr="00DB7074">
        <w:rPr>
          <w:rFonts w:ascii="Book Antiqua" w:hAnsi="Book Antiqua" w:cs="Times New Roman"/>
          <w:sz w:val="24"/>
          <w:szCs w:val="24"/>
        </w:rPr>
        <w:t xml:space="preserve">With organic acids, gas </w:t>
      </w:r>
      <w:r w:rsidR="00F44E85" w:rsidRPr="00DB7074">
        <w:rPr>
          <w:rFonts w:ascii="Book Antiqua" w:hAnsi="Book Antiqua" w:cs="Times New Roman"/>
          <w:sz w:val="24"/>
          <w:szCs w:val="24"/>
        </w:rPr>
        <w:t>is</w:t>
      </w:r>
      <w:r w:rsidR="00671439" w:rsidRPr="00DB7074">
        <w:rPr>
          <w:rFonts w:ascii="Book Antiqua" w:hAnsi="Book Antiqua" w:cs="Times New Roman"/>
          <w:sz w:val="24"/>
          <w:szCs w:val="24"/>
        </w:rPr>
        <w:t xml:space="preserve"> the major products of microbial fermentation in anaerobic systems. Anaerobic bacterial fermentation can lead to the synthesis of hydrogen, carbon dioxide, or methane for the majority. Some minor gases, </w:t>
      </w:r>
      <w:r w:rsidR="00F44E85" w:rsidRPr="00DB7074">
        <w:rPr>
          <w:rFonts w:ascii="Book Antiqua" w:hAnsi="Book Antiqua" w:cs="Times New Roman"/>
          <w:sz w:val="24"/>
          <w:szCs w:val="24"/>
        </w:rPr>
        <w:t>such as NH</w:t>
      </w:r>
      <w:r w:rsidR="00F44E85" w:rsidRPr="00DB7074">
        <w:rPr>
          <w:rFonts w:ascii="Book Antiqua" w:hAnsi="Book Antiqua" w:cs="Times New Roman"/>
          <w:sz w:val="24"/>
          <w:szCs w:val="24"/>
          <w:vertAlign w:val="subscript"/>
        </w:rPr>
        <w:t>3</w:t>
      </w:r>
      <w:r w:rsidR="00F44E85" w:rsidRPr="00DB7074">
        <w:rPr>
          <w:rFonts w:ascii="Book Antiqua" w:hAnsi="Book Antiqua" w:cs="Times New Roman"/>
          <w:sz w:val="24"/>
          <w:szCs w:val="24"/>
        </w:rPr>
        <w:t>, NH</w:t>
      </w:r>
      <w:r w:rsidR="00F44E85" w:rsidRPr="00DB7074">
        <w:rPr>
          <w:rFonts w:ascii="Book Antiqua" w:hAnsi="Book Antiqua" w:cs="Times New Roman"/>
          <w:sz w:val="24"/>
          <w:szCs w:val="24"/>
          <w:vertAlign w:val="subscript"/>
        </w:rPr>
        <w:t>2</w:t>
      </w:r>
      <w:r w:rsidR="00F44E85" w:rsidRPr="00DB7074">
        <w:rPr>
          <w:rFonts w:ascii="Book Antiqua" w:hAnsi="Book Antiqua" w:cs="Times New Roman"/>
          <w:sz w:val="24"/>
          <w:szCs w:val="24"/>
        </w:rPr>
        <w:t xml:space="preserve">, volatile amines, indolic and phenolic compounds , that are </w:t>
      </w:r>
      <w:r w:rsidR="00671439" w:rsidRPr="00DB7074">
        <w:rPr>
          <w:rFonts w:ascii="Book Antiqua" w:hAnsi="Book Antiqua" w:cs="Times New Roman"/>
          <w:sz w:val="24"/>
          <w:szCs w:val="24"/>
        </w:rPr>
        <w:t>mainly associated with peptide fermentation, are also produced</w:t>
      </w:r>
      <w:r w:rsidR="00D60E48"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{"citationID":"a7d3f8hl30","properties":{"formattedCitation":"\\super [190,191]\\nosupersub{}","plainCitation":"[190,191]","noteIndex":0},"citationItems":[{"id":"D1GMNV0O/UPyEKcQN","uris":["http://zotero.org/users/4804376/items/NPBXC32V"],"uri":["http://zotero.org/users/4804376/items/NPBXC32V"],"itemData":{"id":622,"type":"article-journal","title":"The control and consequences of bacterial fermentation in the human colon","container-title":"The Journal of Applied Bacteriology","page":"443-459","volume":"70","issue":"6","source":"PubMed","ISSN":"0021-8847","note":"PMID: 1938669","journalAbbreviation":"J. Appl. Bacteriol.","language":"eng","author":[{"family":"Cummings","given":"J. H."},{"family":"Macfarlane","given":"G. T."}],"issued":{"date-parts":[["1991",6]]}}},{"id":"D1GMNV0O/G0n6mu31","uris":["http://zotero.org/users/4804376/items/AP9W658X"],"uri":["http://zotero.org/users/4804376/items/AP9W658X"],"itemData":{"id":624,"type":"article-journal","title":"Insights into human colonic physiology obtained from the study of flatus composition","container-title":"The American Journal of Physiology","page":"G1028-1033","volume":"272","issue":"5 Pt 1","source":"PubMed","abstract":"To better understand the physiology of colonic gas production, each flatus passage of 16 subjects over a 4-h period was analyzed by gas chromatography for N2, O2, H2, CO2, CH4, and for odoriferous sulfur-containing gases. Appreciable intraindividual and enormous interindividual variability was observed, indicating that each gas passage reflected the interaction of highly variable liberation and/or removal mechanisms. The predominant flatus gas was CO2, H2, and N2 in seven, six, and three subjects, respectively. Gases produced intraluminally (H2, CO2, and CH4) comprised approximately 74% of flatus, and rapid CO2 and H2 productions were responsible for high passage rates. A positive correlation between flatus H2 and CO2 suggested that CO2, like H2, mainly was a bacterial product. Whereas methanogens and H2S-producing bacteria usually are mutually exclusive in feces, CH4 and H2S did not negatively correlate, indicating coexistence of both organisms in the colon. We conclude that analysis of flatus composition provides a novel means of assessing colonic physiology, particularly ongoing bacterial metabolism throughout the unperturbed colon.","DOI":"10.1152/ajpgi.1997.272.5.G1028","ISSN":"0002-9513","note":"PMID: 9176210","journalAbbreviation":"Am. J. Physiol.","language":"eng","author":[{"family":"Suarez","given":"F."},{"family":"Furne","given":"J."},{"family":"Springfield","given":"J."},{"family":"Levitt","given":"M."}],"issued":{"date-parts":[["1997",5]]}}}],"schema":"https://github.com/citation-style-language/schema/raw/master/csl-citation.json"} </w:instrText>
      </w:r>
      <w:r w:rsidR="00D60E48"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[190,191]</w:t>
      </w:r>
      <w:r w:rsidR="00D60E48" w:rsidRPr="00DB7074">
        <w:rPr>
          <w:rFonts w:ascii="Book Antiqua" w:hAnsi="Book Antiqua" w:cs="Times New Roman"/>
          <w:sz w:val="24"/>
          <w:szCs w:val="24"/>
        </w:rPr>
        <w:fldChar w:fldCharType="end"/>
      </w:r>
      <w:r w:rsidR="00C07F13" w:rsidRPr="00DB7074">
        <w:rPr>
          <w:rFonts w:ascii="Book Antiqua" w:hAnsi="Book Antiqua" w:cs="Times New Roman"/>
          <w:sz w:val="24"/>
          <w:szCs w:val="24"/>
        </w:rPr>
        <w:t xml:space="preserve"> (</w:t>
      </w:r>
      <w:r w:rsidR="00B6221F" w:rsidRPr="00DB7074">
        <w:rPr>
          <w:rFonts w:ascii="Book Antiqua" w:hAnsi="Book Antiqua" w:cs="Times New Roman"/>
          <w:sz w:val="24"/>
          <w:szCs w:val="24"/>
        </w:rPr>
        <w:t>Figure 2</w:t>
      </w:r>
      <w:r w:rsidR="00C07F13" w:rsidRPr="00DB7074">
        <w:rPr>
          <w:rFonts w:ascii="Book Antiqua" w:hAnsi="Book Antiqua" w:cs="Times New Roman"/>
          <w:sz w:val="24"/>
          <w:szCs w:val="24"/>
        </w:rPr>
        <w:t>)</w:t>
      </w:r>
      <w:r w:rsidR="00671439" w:rsidRPr="00DB7074">
        <w:rPr>
          <w:rFonts w:ascii="Book Antiqua" w:hAnsi="Book Antiqua" w:cs="Times New Roman"/>
          <w:sz w:val="24"/>
          <w:szCs w:val="24"/>
        </w:rPr>
        <w:t>. Among them, H</w:t>
      </w:r>
      <w:r w:rsidR="00671439" w:rsidRPr="00DB7074">
        <w:rPr>
          <w:rFonts w:ascii="Book Antiqua" w:hAnsi="Book Antiqua" w:cs="Times New Roman"/>
          <w:sz w:val="24"/>
          <w:szCs w:val="24"/>
          <w:vertAlign w:val="subscript"/>
        </w:rPr>
        <w:t>2</w:t>
      </w:r>
      <w:r w:rsidR="00671439" w:rsidRPr="00DB7074">
        <w:rPr>
          <w:rFonts w:ascii="Book Antiqua" w:hAnsi="Book Antiqua" w:cs="Times New Roman"/>
          <w:sz w:val="24"/>
          <w:szCs w:val="24"/>
        </w:rPr>
        <w:t xml:space="preserve">S is produced by </w:t>
      </w:r>
      <w:r w:rsidR="00507882" w:rsidRPr="00DB7074">
        <w:rPr>
          <w:rFonts w:ascii="Book Antiqua" w:hAnsi="Book Antiqua" w:cs="Times New Roman"/>
          <w:sz w:val="24"/>
          <w:szCs w:val="24"/>
        </w:rPr>
        <w:t>sulfate</w:t>
      </w:r>
      <w:r w:rsidR="00671439" w:rsidRPr="00DB7074">
        <w:rPr>
          <w:rFonts w:ascii="Book Antiqua" w:hAnsi="Book Antiqua" w:cs="Times New Roman"/>
          <w:sz w:val="24"/>
          <w:szCs w:val="24"/>
        </w:rPr>
        <w:t>-reducing bacteria (</w:t>
      </w:r>
      <w:r w:rsidR="00671439" w:rsidRPr="00DB7074">
        <w:rPr>
          <w:rFonts w:ascii="Book Antiqua" w:hAnsi="Book Antiqua" w:cs="Times New Roman"/>
          <w:i/>
          <w:sz w:val="24"/>
          <w:szCs w:val="24"/>
        </w:rPr>
        <w:t>Desulfovibrio</w:t>
      </w:r>
      <w:r w:rsidR="00671439" w:rsidRPr="00DB7074">
        <w:rPr>
          <w:rFonts w:ascii="Book Antiqua" w:hAnsi="Book Antiqua" w:cs="Times New Roman"/>
          <w:sz w:val="24"/>
          <w:szCs w:val="24"/>
        </w:rPr>
        <w:t xml:space="preserve"> spp.) </w:t>
      </w:r>
      <w:r w:rsidR="00F44E85" w:rsidRPr="00DB7074">
        <w:rPr>
          <w:rFonts w:ascii="Book Antiqua" w:hAnsi="Book Antiqua" w:cs="Times New Roman"/>
          <w:sz w:val="24"/>
          <w:szCs w:val="24"/>
        </w:rPr>
        <w:t xml:space="preserve">by </w:t>
      </w:r>
      <w:r w:rsidR="00671439" w:rsidRPr="00DB7074">
        <w:rPr>
          <w:rFonts w:ascii="Book Antiqua" w:hAnsi="Book Antiqua" w:cs="Times New Roman"/>
          <w:sz w:val="24"/>
          <w:szCs w:val="24"/>
        </w:rPr>
        <w:t>sulfur amin</w:t>
      </w:r>
      <w:r w:rsidR="002A1E2E" w:rsidRPr="00DB7074">
        <w:rPr>
          <w:rFonts w:ascii="Book Antiqua" w:hAnsi="Book Antiqua" w:cs="Times New Roman"/>
          <w:sz w:val="24"/>
          <w:szCs w:val="24"/>
        </w:rPr>
        <w:t>o acids and taurine metabolism.</w:t>
      </w:r>
    </w:p>
    <w:p w14:paraId="50C5627E" w14:textId="7C198B8B" w:rsidR="006903BB" w:rsidRPr="00DB7074" w:rsidRDefault="00671439" w:rsidP="00E905F2">
      <w:pPr>
        <w:snapToGrid w:val="0"/>
        <w:spacing w:after="0" w:line="360" w:lineRule="auto"/>
        <w:ind w:firstLineChars="100" w:firstLine="240"/>
        <w:jc w:val="both"/>
        <w:rPr>
          <w:rFonts w:ascii="Book Antiqua" w:hAnsi="Book Antiqua" w:cs="Times New Roman"/>
          <w:sz w:val="24"/>
          <w:szCs w:val="24"/>
        </w:rPr>
      </w:pPr>
      <w:r w:rsidRPr="00DB7074">
        <w:rPr>
          <w:rFonts w:ascii="Book Antiqua" w:hAnsi="Book Antiqua" w:cs="Times New Roman"/>
          <w:sz w:val="24"/>
          <w:szCs w:val="24"/>
        </w:rPr>
        <w:t xml:space="preserve">Given the key role of the gut microbiota </w:t>
      </w:r>
      <w:r w:rsidR="00F44E85" w:rsidRPr="00DB7074">
        <w:rPr>
          <w:rFonts w:ascii="Book Antiqua" w:hAnsi="Book Antiqua" w:cs="Times New Roman"/>
          <w:sz w:val="24"/>
          <w:szCs w:val="24"/>
        </w:rPr>
        <w:t>in</w:t>
      </w:r>
      <w:r w:rsidRPr="00DB7074">
        <w:rPr>
          <w:rFonts w:ascii="Book Antiqua" w:hAnsi="Book Antiqua" w:cs="Times New Roman"/>
          <w:sz w:val="24"/>
          <w:szCs w:val="24"/>
        </w:rPr>
        <w:t xml:space="preserve"> dietary metabolism and the growing evidence of its potential impact on host health, studies </w:t>
      </w:r>
      <w:r w:rsidR="009E046B" w:rsidRPr="00DB7074">
        <w:rPr>
          <w:rFonts w:ascii="Book Antiqua" w:hAnsi="Book Antiqua" w:cs="Times New Roman"/>
          <w:sz w:val="24"/>
          <w:szCs w:val="24"/>
        </w:rPr>
        <w:t>were</w:t>
      </w:r>
      <w:r w:rsidRPr="00DB7074">
        <w:rPr>
          <w:rFonts w:ascii="Book Antiqua" w:hAnsi="Book Antiqua" w:cs="Times New Roman"/>
          <w:sz w:val="24"/>
          <w:szCs w:val="24"/>
        </w:rPr>
        <w:t xml:space="preserve"> performed to elucidate the </w:t>
      </w:r>
      <w:r w:rsidR="00F44E85" w:rsidRPr="00DB7074">
        <w:rPr>
          <w:rFonts w:ascii="Book Antiqua" w:hAnsi="Book Antiqua" w:cs="Times New Roman"/>
          <w:sz w:val="24"/>
          <w:szCs w:val="24"/>
        </w:rPr>
        <w:t xml:space="preserve">metabolic functions of the gut </w:t>
      </w:r>
      <w:r w:rsidRPr="00DB7074">
        <w:rPr>
          <w:rFonts w:ascii="Book Antiqua" w:hAnsi="Book Antiqua" w:cs="Times New Roman"/>
          <w:sz w:val="24"/>
          <w:szCs w:val="24"/>
        </w:rPr>
        <w:t xml:space="preserve">microbiota. These studies mostly used metagenomic, metatranscriptomic, or metaproteomic approaches, but using metabolomics to study the gut microbiota appears </w:t>
      </w:r>
      <w:r w:rsidR="00F44E85" w:rsidRPr="00DB7074">
        <w:rPr>
          <w:rFonts w:ascii="Book Antiqua" w:hAnsi="Book Antiqua" w:cs="Times New Roman"/>
          <w:sz w:val="24"/>
          <w:szCs w:val="24"/>
        </w:rPr>
        <w:t>to be</w:t>
      </w:r>
      <w:r w:rsidRPr="00DB7074">
        <w:rPr>
          <w:rFonts w:ascii="Book Antiqua" w:hAnsi="Book Antiqua" w:cs="Times New Roman"/>
          <w:sz w:val="24"/>
          <w:szCs w:val="24"/>
        </w:rPr>
        <w:t xml:space="preserve"> a promising method. Indeed, metabolomics allow </w:t>
      </w:r>
      <w:r w:rsidR="00F44E85" w:rsidRPr="00DB7074">
        <w:rPr>
          <w:rFonts w:ascii="Book Antiqua" w:hAnsi="Book Antiqua" w:cs="Times New Roman"/>
          <w:sz w:val="24"/>
          <w:szCs w:val="24"/>
        </w:rPr>
        <w:t xml:space="preserve">the </w:t>
      </w:r>
      <w:r w:rsidRPr="00DB7074">
        <w:rPr>
          <w:rFonts w:ascii="Book Antiqua" w:hAnsi="Book Antiqua" w:cs="Times New Roman"/>
          <w:sz w:val="24"/>
          <w:szCs w:val="24"/>
        </w:rPr>
        <w:t>measure</w:t>
      </w:r>
      <w:r w:rsidR="00F44E85" w:rsidRPr="00DB7074">
        <w:rPr>
          <w:rFonts w:ascii="Book Antiqua" w:hAnsi="Book Antiqua" w:cs="Times New Roman"/>
          <w:sz w:val="24"/>
          <w:szCs w:val="24"/>
        </w:rPr>
        <w:t>ment of</w:t>
      </w:r>
      <w:r w:rsidRPr="00DB7074">
        <w:rPr>
          <w:rFonts w:ascii="Book Antiqua" w:hAnsi="Book Antiqua" w:cs="Times New Roman"/>
          <w:sz w:val="24"/>
          <w:szCs w:val="24"/>
        </w:rPr>
        <w:t xml:space="preserve"> both host and microbial metabolites, </w:t>
      </w:r>
      <w:r w:rsidRPr="00DB7074">
        <w:rPr>
          <w:rFonts w:ascii="Book Antiqua" w:hAnsi="Book Antiqua" w:cs="Times New Roman"/>
          <w:sz w:val="24"/>
          <w:szCs w:val="24"/>
        </w:rPr>
        <w:lastRenderedPageBreak/>
        <w:t>including metabolites in host samples derived from the microbiota and host metabolites processed by the microbial population.</w:t>
      </w:r>
    </w:p>
    <w:p w14:paraId="04C591C4" w14:textId="77777777" w:rsidR="007B1F07" w:rsidRPr="00DB7074" w:rsidRDefault="007B1F07" w:rsidP="00E905F2">
      <w:pPr>
        <w:snapToGrid w:val="0"/>
        <w:spacing w:after="0" w:line="360" w:lineRule="auto"/>
        <w:jc w:val="both"/>
        <w:rPr>
          <w:rFonts w:ascii="Book Antiqua" w:hAnsi="Book Antiqua" w:cs="Times New Roman"/>
          <w:sz w:val="24"/>
          <w:szCs w:val="24"/>
          <w:lang w:eastAsia="zh-CN"/>
        </w:rPr>
      </w:pPr>
    </w:p>
    <w:p w14:paraId="4057F197" w14:textId="5A3C2E00" w:rsidR="008D217B" w:rsidRPr="00E905F2" w:rsidRDefault="000C703A" w:rsidP="00E905F2">
      <w:pPr>
        <w:snapToGrid w:val="0"/>
        <w:spacing w:after="0" w:line="360" w:lineRule="auto"/>
        <w:jc w:val="both"/>
        <w:rPr>
          <w:rFonts w:ascii="Book Antiqua" w:hAnsi="Book Antiqua" w:cs="Times New Roman"/>
          <w:b/>
          <w:sz w:val="24"/>
          <w:szCs w:val="24"/>
          <w:lang w:eastAsia="zh-CN"/>
        </w:rPr>
      </w:pPr>
      <w:r w:rsidRPr="00DB7074">
        <w:rPr>
          <w:rFonts w:ascii="Book Antiqua" w:hAnsi="Book Antiqua" w:cs="Times New Roman"/>
          <w:b/>
          <w:sz w:val="24"/>
          <w:szCs w:val="24"/>
        </w:rPr>
        <w:t>Metabolome alterations in CRC</w:t>
      </w:r>
      <w:r w:rsidR="00E905F2">
        <w:rPr>
          <w:rFonts w:ascii="Book Antiqua" w:hAnsi="Book Antiqua" w:cs="Times New Roman" w:hint="eastAsia"/>
          <w:b/>
          <w:sz w:val="24"/>
          <w:szCs w:val="24"/>
          <w:lang w:eastAsia="zh-CN"/>
        </w:rPr>
        <w:t xml:space="preserve">: </w:t>
      </w:r>
      <w:r w:rsidR="001A5CFE" w:rsidRPr="00DB7074">
        <w:rPr>
          <w:rFonts w:ascii="Book Antiqua" w:hAnsi="Book Antiqua" w:cs="Times New Roman"/>
          <w:sz w:val="24"/>
          <w:szCs w:val="24"/>
        </w:rPr>
        <w:t>The a</w:t>
      </w:r>
      <w:r w:rsidR="00064DC7" w:rsidRPr="00DB7074">
        <w:rPr>
          <w:rFonts w:ascii="Book Antiqua" w:hAnsi="Book Antiqua" w:cs="Times New Roman"/>
          <w:sz w:val="24"/>
          <w:szCs w:val="24"/>
        </w:rPr>
        <w:t xml:space="preserve">nalysis of </w:t>
      </w:r>
      <w:r w:rsidR="001A5CFE" w:rsidRPr="00DB7074">
        <w:rPr>
          <w:rFonts w:ascii="Book Antiqua" w:hAnsi="Book Antiqua" w:cs="Times New Roman"/>
          <w:sz w:val="24"/>
          <w:szCs w:val="24"/>
        </w:rPr>
        <w:t xml:space="preserve">the </w:t>
      </w:r>
      <w:r w:rsidR="00064DC7" w:rsidRPr="00DB7074">
        <w:rPr>
          <w:rFonts w:ascii="Book Antiqua" w:hAnsi="Book Antiqua" w:cs="Times New Roman"/>
          <w:sz w:val="24"/>
          <w:szCs w:val="24"/>
        </w:rPr>
        <w:t xml:space="preserve">CRC-associated metabolome </w:t>
      </w:r>
      <w:r w:rsidR="001A5CFE" w:rsidRPr="00DB7074">
        <w:rPr>
          <w:rFonts w:ascii="Book Antiqua" w:hAnsi="Book Antiqua" w:cs="Times New Roman"/>
          <w:sz w:val="24"/>
          <w:szCs w:val="24"/>
        </w:rPr>
        <w:t xml:space="preserve">has </w:t>
      </w:r>
      <w:r w:rsidR="00064DC7" w:rsidRPr="00DB7074">
        <w:rPr>
          <w:rFonts w:ascii="Book Antiqua" w:hAnsi="Book Antiqua" w:cs="Times New Roman"/>
          <w:sz w:val="24"/>
          <w:szCs w:val="24"/>
        </w:rPr>
        <w:t>highlighted differences in the biochemical composition of CRC patients’ stools.</w:t>
      </w:r>
      <w:r w:rsidR="00D92D27" w:rsidRPr="00DB7074">
        <w:rPr>
          <w:rFonts w:ascii="Book Antiqua" w:hAnsi="Book Antiqua" w:cs="Times New Roman"/>
          <w:sz w:val="24"/>
          <w:szCs w:val="24"/>
        </w:rPr>
        <w:t xml:space="preserve"> </w:t>
      </w:r>
      <w:r w:rsidR="002C6199" w:rsidRPr="00DB7074">
        <w:rPr>
          <w:rFonts w:ascii="Book Antiqua" w:hAnsi="Book Antiqua" w:cs="Times New Roman"/>
          <w:sz w:val="24"/>
          <w:szCs w:val="24"/>
        </w:rPr>
        <w:t xml:space="preserve">Few animal studies </w:t>
      </w:r>
      <w:r w:rsidR="001A5CFE" w:rsidRPr="00DB7074">
        <w:rPr>
          <w:rFonts w:ascii="Book Antiqua" w:hAnsi="Book Antiqua" w:cs="Times New Roman"/>
          <w:sz w:val="24"/>
          <w:szCs w:val="24"/>
        </w:rPr>
        <w:t xml:space="preserve">have </w:t>
      </w:r>
      <w:r w:rsidR="002C6199" w:rsidRPr="00DB7074">
        <w:rPr>
          <w:rFonts w:ascii="Book Antiqua" w:hAnsi="Book Antiqua" w:cs="Times New Roman"/>
          <w:sz w:val="24"/>
          <w:szCs w:val="24"/>
        </w:rPr>
        <w:t xml:space="preserve">investigated the metabolomic profile of </w:t>
      </w:r>
      <w:r w:rsidR="00507882" w:rsidRPr="00DB7074">
        <w:rPr>
          <w:rFonts w:ascii="Book Antiqua" w:hAnsi="Book Antiqua" w:cs="Times New Roman"/>
          <w:sz w:val="24"/>
          <w:szCs w:val="24"/>
        </w:rPr>
        <w:t>faeces</w:t>
      </w:r>
      <w:r w:rsidR="002C6199" w:rsidRPr="00DB7074">
        <w:rPr>
          <w:rFonts w:ascii="Book Antiqua" w:hAnsi="Book Antiqua" w:cs="Times New Roman"/>
          <w:sz w:val="24"/>
          <w:szCs w:val="24"/>
        </w:rPr>
        <w:t xml:space="preserve"> in CRC models. Significant alterations </w:t>
      </w:r>
      <w:r w:rsidR="00B94EF5" w:rsidRPr="00DB7074">
        <w:rPr>
          <w:rFonts w:ascii="Book Antiqua" w:hAnsi="Book Antiqua" w:cs="Times New Roman"/>
          <w:sz w:val="24"/>
          <w:szCs w:val="24"/>
        </w:rPr>
        <w:t>were</w:t>
      </w:r>
      <w:r w:rsidR="002C6199" w:rsidRPr="00DB7074">
        <w:rPr>
          <w:rFonts w:ascii="Book Antiqua" w:hAnsi="Book Antiqua" w:cs="Times New Roman"/>
          <w:sz w:val="24"/>
          <w:szCs w:val="24"/>
        </w:rPr>
        <w:t xml:space="preserve"> observed in fatty acid metabolites and metabolites associated with bile acids (hypoxanthine xanthine, taurine) in </w:t>
      </w:r>
      <w:r w:rsidR="00507882" w:rsidRPr="00DB7074">
        <w:rPr>
          <w:rFonts w:ascii="Book Antiqua" w:hAnsi="Book Antiqua" w:cs="Times New Roman"/>
          <w:sz w:val="24"/>
          <w:szCs w:val="24"/>
        </w:rPr>
        <w:t>faeces</w:t>
      </w:r>
      <w:r w:rsidR="002C6199" w:rsidRPr="00DB7074">
        <w:rPr>
          <w:rFonts w:ascii="Book Antiqua" w:hAnsi="Book Antiqua" w:cs="Times New Roman"/>
          <w:sz w:val="24"/>
          <w:szCs w:val="24"/>
        </w:rPr>
        <w:t xml:space="preserve"> of </w:t>
      </w:r>
      <w:r w:rsidR="002C6199" w:rsidRPr="00DB7074">
        <w:rPr>
          <w:rFonts w:ascii="Book Antiqua" w:hAnsi="Book Antiqua" w:cs="Times New Roman"/>
          <w:i/>
          <w:sz w:val="24"/>
          <w:szCs w:val="24"/>
        </w:rPr>
        <w:t>Hmga1</w:t>
      </w:r>
      <w:r w:rsidR="002C6199" w:rsidRPr="00DB7074">
        <w:rPr>
          <w:rFonts w:ascii="Book Antiqua" w:hAnsi="Book Antiqua" w:cs="Times New Roman"/>
          <w:sz w:val="24"/>
          <w:szCs w:val="24"/>
        </w:rPr>
        <w:t xml:space="preserve"> mice </w:t>
      </w:r>
      <w:r w:rsidR="001A5CFE" w:rsidRPr="00DB7074">
        <w:rPr>
          <w:rFonts w:ascii="Book Antiqua" w:hAnsi="Book Antiqua" w:cs="Times New Roman"/>
          <w:sz w:val="24"/>
          <w:szCs w:val="24"/>
        </w:rPr>
        <w:t xml:space="preserve">as </w:t>
      </w:r>
      <w:r w:rsidR="00507882" w:rsidRPr="00DB7074">
        <w:rPr>
          <w:rFonts w:ascii="Book Antiqua" w:hAnsi="Book Antiqua" w:cs="Times New Roman"/>
          <w:sz w:val="24"/>
          <w:szCs w:val="24"/>
        </w:rPr>
        <w:t>analysed</w:t>
      </w:r>
      <w:r w:rsidR="002C6199" w:rsidRPr="00DB7074">
        <w:rPr>
          <w:rFonts w:ascii="Book Antiqua" w:hAnsi="Book Antiqua" w:cs="Times New Roman"/>
          <w:sz w:val="24"/>
          <w:szCs w:val="24"/>
        </w:rPr>
        <w:t xml:space="preserve"> by </w:t>
      </w:r>
      <w:r w:rsidR="007638A5" w:rsidRPr="00DB7074">
        <w:rPr>
          <w:rFonts w:ascii="Book Antiqua" w:hAnsi="Book Antiqua" w:cs="Times New Roman"/>
          <w:sz w:val="24"/>
          <w:szCs w:val="24"/>
        </w:rPr>
        <w:t xml:space="preserve">ultra-performance liquid chromatography </w:t>
      </w:r>
      <w:r w:rsidR="002C6199" w:rsidRPr="00DB7074">
        <w:rPr>
          <w:rFonts w:ascii="Book Antiqua" w:hAnsi="Book Antiqua" w:cs="Times New Roman"/>
          <w:sz w:val="24"/>
          <w:szCs w:val="24"/>
        </w:rPr>
        <w:t>UPLC/MS/MS and GC-MS</w:t>
      </w:r>
      <w:r w:rsidR="007D4E2F"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{"citationID":"Y1mfsiNw","properties":{"formattedCitation":"\\super [192]\\nosupersub{}","plainCitation":"[192]","noteIndex":0},"citationItems":[{"id":"D1GMNV0O/lSI2cW4F","uris":["http://zotero.org/users/4804376/items/QKTVXYYR"],"uri":["http://zotero.org/users/4804376/items/QKTVXYYR"],"itemData":{"id":692,"type":"article-journal","title":"Fecal Metabolome in Hmga1 Transgenic Mice with Polyposis: Evidence for Potential Screen for Early Detection of Precursor Lesions in Colorectal Cancer","container-title":"Journal of Proteome Research","page":"4176-4187","volume":"15","issue":"12","source":"PubMed","abstract":"Because colorectal cancer (CRC) remains a leading cause of cancer mortality worldwide, more accessible screening tests are urgently needed to identify early stage lesions. We hypothesized that highly sensitive, metabolic profile analysis of stool samples will identify metabolites associated with early stage lesions and could serve as a noninvasive screening test. We therefore applied traveling wave ion mobility mass spectrometry (TWIMMS) coupled with ultraperformance liquid chromatography (UPLC) to investigate metabolic aberrations in stool samples in a transgenic model of premalignant polyposis aberrantly expressing the gene encoding the high mobility group A (Hmga1) chromatin remodeling protein. Here, we report for the first time that the fecal metabolome of Hmga1 mice is distinct from that of control mice and includes metabolites previously identified in human CRC. Significant alterations were observed in fatty acid metabolites and metabolites associated with bile acids (hypoxanthine xanthine, taurine) in Hmga1 mice compared to controls. Surprisingly, a marked increase in the levels of distinctive short, arginine-enriched, tetra-peptide fragments was observed in the transgenic mice. Together these findings suggest that specific metabolites are associated with Hmga1-induced polyposis and abnormal proliferation in intestinal epithelium. Although further studies are needed, these data provide a compelling rationale to develop fecal metabolomic analysis as a noninvasive screening tool to detect early precursor lesions to CRC in humans.","DOI":"10.1021/acs.jproteome.6b00035","ISSN":"1535-3907","note":"PMID: 27696867","shortTitle":"Fecal Metabolome in Hmga1 Transgenic Mice with Polyposis","journalAbbreviation":"J. Proteome Res.","language":"eng","author":[{"family":"Williams","given":"Michael D."},{"family":"Xian","given":"Lingling"},{"family":"Huso","given":"Tait"},{"family":"Park","given":"Jeong-Jin"},{"family":"Huso","given":"David"},{"family":"Cope","given":"Leslie M."},{"family":"Gang","given":"David R."},{"family":"Siems","given":"William F."},{"family":"Resar","given":"Linda"},{"family":"Reeves","given":"Raymond"},{"family":"Hill","given":"Herbert H."}],"issued":{"date-parts":[["2016",12,2]]}}}],"schema":"https://github.com/citation-style-language/schema/raw/master/csl-citation.json"} </w:instrText>
      </w:r>
      <w:r w:rsidR="007D4E2F"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[192]</w:t>
      </w:r>
      <w:r w:rsidR="007D4E2F" w:rsidRPr="00DB7074">
        <w:rPr>
          <w:rFonts w:ascii="Book Antiqua" w:hAnsi="Book Antiqua" w:cs="Times New Roman"/>
          <w:sz w:val="24"/>
          <w:szCs w:val="24"/>
        </w:rPr>
        <w:fldChar w:fldCharType="end"/>
      </w:r>
      <w:r w:rsidR="002C6199" w:rsidRPr="00DB7074">
        <w:rPr>
          <w:rFonts w:ascii="Book Antiqua" w:hAnsi="Book Antiqua" w:cs="Times New Roman"/>
          <w:sz w:val="24"/>
          <w:szCs w:val="24"/>
        </w:rPr>
        <w:t>. Increased levels of short, arginine-enriched, tetra-peptide fragments were reported</w:t>
      </w:r>
      <w:r w:rsidR="00C022B3" w:rsidRPr="00DB7074">
        <w:rPr>
          <w:rFonts w:ascii="Book Antiqua" w:hAnsi="Book Antiqua" w:cs="Times New Roman"/>
          <w:sz w:val="24"/>
          <w:szCs w:val="24"/>
        </w:rPr>
        <w:t xml:space="preserve"> in the transgenic mouse </w:t>
      </w:r>
      <w:r w:rsidR="00507882" w:rsidRPr="00DB7074">
        <w:rPr>
          <w:rFonts w:ascii="Book Antiqua" w:hAnsi="Book Antiqua" w:cs="Times New Roman"/>
          <w:sz w:val="24"/>
          <w:szCs w:val="24"/>
        </w:rPr>
        <w:t>faeces</w:t>
      </w:r>
      <w:r w:rsidR="00C022B3"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{"citationID":"a1r055a9q8k","properties":{"formattedCitation":"\\super [192]\\nosupersub{}","plainCitation":"[192]","noteIndex":0},"citationItems":[{"id":"D1GMNV0O/lSI2cW4F","uris":["http://zotero.org/users/4804376/items/QKTVXYYR"],"uri":["http://zotero.org/users/4804376/items/QKTVXYYR"],"itemData":{"id":692,"type":"article-journal","title":"Fecal Metabolome in Hmga1 Transgenic Mice with Polyposis: Evidence for Potential Screen for Early Detection of Precursor Lesions in Colorectal Cancer","container-title":"Journal of Proteome Research","page":"4176-4187","volume":"15","issue":"12","source":"PubMed","abstract":"Because colorectal cancer (CRC) remains a leading cause of cancer mortality worldwide, more accessible screening tests are urgently needed to identify early stage lesions. We hypothesized that highly sensitive, metabolic profile analysis of stool samples will identify metabolites associated with early stage lesions and could serve as a noninvasive screening test. We therefore applied traveling wave ion mobility mass spectrometry (TWIMMS) coupled with ultraperformance liquid chromatography (UPLC) to investigate metabolic aberrations in stool samples in a transgenic model of premalignant polyposis aberrantly expressing the gene encoding the high mobility group A (Hmga1) chromatin remodeling protein. Here, we report for the first time that the fecal metabolome of Hmga1 mice is distinct from that of control mice and includes metabolites previously identified in human CRC. Significant alterations were observed in fatty acid metabolites and metabolites associated with bile acids (hypoxanthine xanthine, taurine) in Hmga1 mice compared to controls. Surprisingly, a marked increase in the levels of distinctive short, arginine-enriched, tetra-peptide fragments was observed in the transgenic mice. Together these findings suggest that specific metabolites are associated with Hmga1-induced polyposis and abnormal proliferation in intestinal epithelium. Although further studies are needed, these data provide a compelling rationale to develop fecal metabolomic analysis as a noninvasive screening tool to detect early precursor lesions to CRC in humans.","DOI":"10.1021/acs.jproteome.6b00035","ISSN":"1535-3907","note":"PMID: 27696867","shortTitle":"Fecal Metabolome in Hmga1 Transgenic Mice with Polyposis","journalAbbreviation":"J. Proteome Res.","language":"eng","author":[{"family":"Williams","given":"Michael D."},{"family":"Xian","given":"Lingling"},{"family":"Huso","given":"Tait"},{"family":"Park","given":"Jeong-Jin"},{"family":"Huso","given":"David"},{"family":"Cope","given":"Leslie M."},{"family":"Gang","given":"David R."},{"family":"Siems","given":"William F."},{"family":"Resar","given":"Linda"},{"family":"Reeves","given":"Raymond"},{"family":"Hill","given":"Herbert H."}],"issued":{"date-parts":[["2016",12,2]]}}}],"schema":"https://github.com/citation-style-language/schema/raw/master/csl-citation.json"} </w:instrText>
      </w:r>
      <w:r w:rsidR="00C022B3"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[192]</w:t>
      </w:r>
      <w:r w:rsidR="00C022B3" w:rsidRPr="00DB7074">
        <w:rPr>
          <w:rFonts w:ascii="Book Antiqua" w:hAnsi="Book Antiqua" w:cs="Times New Roman"/>
          <w:sz w:val="24"/>
          <w:szCs w:val="24"/>
        </w:rPr>
        <w:fldChar w:fldCharType="end"/>
      </w:r>
      <w:r w:rsidR="002C6199" w:rsidRPr="00DB7074">
        <w:rPr>
          <w:rFonts w:ascii="Book Antiqua" w:hAnsi="Book Antiqua" w:cs="Times New Roman"/>
          <w:sz w:val="24"/>
          <w:szCs w:val="24"/>
        </w:rPr>
        <w:t xml:space="preserve">. </w:t>
      </w:r>
      <w:r w:rsidR="001A5CFE" w:rsidRPr="00DB7074">
        <w:rPr>
          <w:rFonts w:ascii="Book Antiqua" w:hAnsi="Book Antiqua" w:cs="Times New Roman"/>
          <w:sz w:val="24"/>
          <w:szCs w:val="24"/>
        </w:rPr>
        <w:t>Similarly</w:t>
      </w:r>
      <w:r w:rsidR="002C6199" w:rsidRPr="00DB7074">
        <w:rPr>
          <w:rFonts w:ascii="Book Antiqua" w:hAnsi="Book Antiqua" w:cs="Times New Roman"/>
          <w:sz w:val="24"/>
          <w:szCs w:val="24"/>
        </w:rPr>
        <w:t xml:space="preserve">, </w:t>
      </w:r>
      <w:r w:rsidR="00D92D27" w:rsidRPr="00DB7074">
        <w:rPr>
          <w:rFonts w:ascii="Book Antiqua" w:hAnsi="Book Antiqua" w:cs="Times New Roman"/>
          <w:sz w:val="24"/>
          <w:szCs w:val="24"/>
        </w:rPr>
        <w:t xml:space="preserve">CRC patients were found to have higher levels of some amino acids and alterations in the levels of some SCFA in their stools </w:t>
      </w:r>
      <w:r w:rsidR="001A5CFE" w:rsidRPr="00DB7074">
        <w:rPr>
          <w:rFonts w:ascii="Book Antiqua" w:hAnsi="Book Antiqua" w:cs="Times New Roman"/>
          <w:sz w:val="24"/>
          <w:szCs w:val="24"/>
        </w:rPr>
        <w:t>compared with</w:t>
      </w:r>
      <w:r w:rsidR="00D92D27" w:rsidRPr="00DB7074">
        <w:rPr>
          <w:rFonts w:ascii="Book Antiqua" w:hAnsi="Book Antiqua" w:cs="Times New Roman"/>
          <w:sz w:val="24"/>
          <w:szCs w:val="24"/>
        </w:rPr>
        <w:t xml:space="preserve"> controls</w:t>
      </w:r>
      <w:r w:rsidR="007D4E2F"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{"citationID":"a25neg8kcsa","properties":{"formattedCitation":"\\super [193]\\nosupersub{}","plainCitation":"[193]","noteIndex":0},"citationItems":[{"id":"D1GMNV0O/Bz0nV8hP","uris":["http://zotero.org/users/4804376/items/SANY6NJ4"],"uri":["http://zotero.org/users/4804376/items/SANY6NJ4"],"itemData":{"id":131,"type":"article-journal","title":"Stool Microbiome and Metabolome Differences between Colorectal Cancer Patients and Healthy Adults","container-title":"PLoS ONE","page":"e70803","volume":"8","issue":"8","source":"CrossRef","abstract":"In this study we used stool profiling to identify intestinal bacteria and metabolites that are differentially represented in humans with colorectal cancer (CRC) compared to healthy controls to identify how microbial functions may influence CRC development. Stool samples were collected from healthy adults (n = 10) and colorectal cancer patients (n = 11) prior to colon resection surgery at the University of Colorado Health-Poudre Valley Hospital in Fort Collins, CO. The V4 region of the 16s rRNA gene was pyrosequenced and both short chain fatty acids and global stool metabolites were extracted and analyzed utilizing Gas Chromatography-Mass Spectrometry (GC-MS). There were no significant differences in the overall microbial community structure associated with the disease state, but several bacterial genera, particularly butyrate-producing species, were under-represented in the CRC samples, while a mucin-degrading species, Akkermansia muciniphila, was about 4-fold higher in CRC (p,0.01). Proportionately higher amounts of butyrate were seen in stool of healthy individuals while relative concentrations of acetate were higher in stools of CRC patients. GC-MS profiling revealed higher concentrations of amino acids in stool samples from CRC patients and higher poly and monounsaturated fatty acids and ursodeoxycholic acid, a conjugated bile acid in stool samples from healthy adults (p,0.01). Correlative analysis between the combined datasets revealed some potential relationships between stool metabolites and certain bacterial species. These associations could provide insight into microbial functions occurring in a cancer environment and will help direct future mechanistic studies. Using integrated ‘‘omics’’ approaches may prove a useful tool in identifying functional groups of gastrointestinal bacteria and their associated metabolites as novel therapeutic and chemopreventive targets.","DOI":"10.1371/journal.pone.0070803","ISSN":"1932-6203","language":"en","author":[{"family":"Weir","given":"Tiffany L."},{"family":"Manter","given":"Daniel K."},{"family":"Sheflin","given":"Amy M."},{"family":"Barnett","given":"Brittany A."},{"family":"Heuberger","given":"Adam L."},{"family":"Ryan","given":"Elizabeth P."}],"editor":[{"family":"White","given":"Bryan A."}],"issued":{"date-parts":[["2013",8,6]]}}}],"schema":"https://github.com/citation-style-language/schema/raw/master/csl-citation.json"} </w:instrText>
      </w:r>
      <w:r w:rsidR="007D4E2F"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[193]</w:t>
      </w:r>
      <w:r w:rsidR="007D4E2F" w:rsidRPr="00DB7074">
        <w:rPr>
          <w:rFonts w:ascii="Book Antiqua" w:hAnsi="Book Antiqua" w:cs="Times New Roman"/>
          <w:sz w:val="24"/>
          <w:szCs w:val="24"/>
        </w:rPr>
        <w:fldChar w:fldCharType="end"/>
      </w:r>
      <w:r w:rsidR="00D92D27" w:rsidRPr="00DB7074">
        <w:rPr>
          <w:rFonts w:ascii="Book Antiqua" w:hAnsi="Book Antiqua" w:cs="Times New Roman"/>
          <w:sz w:val="24"/>
          <w:szCs w:val="24"/>
        </w:rPr>
        <w:t>.</w:t>
      </w:r>
      <w:r w:rsidR="0064650B" w:rsidRPr="00DB7074">
        <w:rPr>
          <w:rFonts w:ascii="Book Antiqua" w:hAnsi="Book Antiqua" w:cs="Times New Roman"/>
          <w:sz w:val="24"/>
          <w:szCs w:val="24"/>
        </w:rPr>
        <w:t xml:space="preserve"> Butyrate and several butyrate-producing bacteria were depleted in CRC </w:t>
      </w:r>
      <w:r w:rsidR="0055015C" w:rsidRPr="00DB7074">
        <w:rPr>
          <w:rFonts w:ascii="Book Antiqua" w:hAnsi="Book Antiqua" w:cs="Times New Roman"/>
          <w:sz w:val="24"/>
          <w:szCs w:val="24"/>
        </w:rPr>
        <w:t>patients’</w:t>
      </w:r>
      <w:r w:rsidR="0064650B" w:rsidRPr="00DB7074">
        <w:rPr>
          <w:rFonts w:ascii="Book Antiqua" w:hAnsi="Book Antiqua" w:cs="Times New Roman"/>
          <w:sz w:val="24"/>
          <w:szCs w:val="24"/>
        </w:rPr>
        <w:t xml:space="preserve"> stools</w:t>
      </w:r>
      <w:r w:rsidR="007D4E2F"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{"citationID":"a25kq5e5mvc","properties":{"formattedCitation":"\\super [194]\\nosupersub{}","plainCitation":"[194]","noteIndex":0},"citationItems":[{"id":"D1GMNV0O/T8ideqGx","uris":["http://zotero.org/users/4804376/items/LS5SWIAK"],"uri":["http://zotero.org/users/4804376/items/LS5SWIAK"],"itemData":{"id":626,"type":"article-journal","title":"Short chain fatty acid distributions of enema samples from a sigmoidoscopy population: an association of high acetate and low butyrate ratios with adenomatous polyps and colon cancer","container-title":"Gut","page":"1539-1543","volume":"29","issue":"11","source":"PubMed","abstract":"We investigated the distribution of short chain fatty acids (SCFA) in enema samples taken from subjects before sigmoidoscopy as an indicator of possible microbial community differences between subjects subsequently diagnosed as normal or having colonic disorders. The major SCFA in all groups were acetic, propionic, and butyric acids. A significantly higher ratio of acetate to total SCFA and lower ratio of butyrate to total SCFA was found for polyp-colon cancer subjects than for normal subjects. There were no significant differences in the ratios of acetate, propionate, or butyrate between the diverticulosis or inflammatory bowel groups and the normal group. There were no significant sex differences nor were there correlations with the ratios of acetate, propionate or butyrate and age, subject weight, or dry weights of samples. Significant differences in concentrations of individual acids were found between normal and certain diagnostic groups. The difference in proportions of individual SCFA between groups suggest differences in fermentation patterns of the colonic microflora.","ISSN":"0017-5749","note":"PMID: 3209110\nPMCID: PMC1433834","shortTitle":"Short chain fatty acid distributions of enema samples from a sigmoidoscopy population","journalAbbreviation":"Gut","language":"eng","author":[{"family":"Weaver","given":"G. A."},{"family":"Krause","given":"J. A."},{"family":"Miller","given":"T. L."},{"family":"Wolin","given":"M. J."}],"issued":{"date-parts":[["1988",11]]}}}],"schema":"https://github.com/citation-style-language/schema/raw/master/csl-citation.json"} </w:instrText>
      </w:r>
      <w:r w:rsidR="007D4E2F"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[194]</w:t>
      </w:r>
      <w:r w:rsidR="007D4E2F" w:rsidRPr="00DB7074">
        <w:rPr>
          <w:rFonts w:ascii="Book Antiqua" w:hAnsi="Book Antiqua" w:cs="Times New Roman"/>
          <w:sz w:val="24"/>
          <w:szCs w:val="24"/>
        </w:rPr>
        <w:fldChar w:fldCharType="end"/>
      </w:r>
      <w:r w:rsidR="0055015C" w:rsidRPr="00DB7074">
        <w:rPr>
          <w:rFonts w:ascii="Book Antiqua" w:hAnsi="Book Antiqua" w:cs="Times New Roman"/>
          <w:sz w:val="24"/>
          <w:szCs w:val="24"/>
        </w:rPr>
        <w:t>.</w:t>
      </w:r>
      <w:r w:rsidR="002C6199" w:rsidRPr="00DB7074">
        <w:rPr>
          <w:rFonts w:ascii="Book Antiqua" w:hAnsi="Book Antiqua" w:cs="Times New Roman"/>
          <w:sz w:val="24"/>
          <w:szCs w:val="24"/>
        </w:rPr>
        <w:t xml:space="preserve"> </w:t>
      </w:r>
      <w:r w:rsidR="00AE730B" w:rsidRPr="00DB7074">
        <w:rPr>
          <w:rFonts w:ascii="Book Antiqua" w:hAnsi="Book Antiqua" w:cs="Times New Roman"/>
          <w:sz w:val="24"/>
          <w:szCs w:val="24"/>
        </w:rPr>
        <w:t>Chen et al. observed that butyrate and butyrate</w:t>
      </w:r>
      <w:r w:rsidR="001A5CFE" w:rsidRPr="00DB7074">
        <w:rPr>
          <w:rFonts w:ascii="Book Antiqua" w:hAnsi="Book Antiqua" w:cs="Times New Roman"/>
          <w:sz w:val="24"/>
          <w:szCs w:val="24"/>
        </w:rPr>
        <w:t>-</w:t>
      </w:r>
      <w:r w:rsidR="00AE730B" w:rsidRPr="00DB7074">
        <w:rPr>
          <w:rFonts w:ascii="Book Antiqua" w:hAnsi="Book Antiqua" w:cs="Times New Roman"/>
          <w:sz w:val="24"/>
          <w:szCs w:val="24"/>
        </w:rPr>
        <w:t xml:space="preserve">producing bacteria were more prevalent in healthy controls </w:t>
      </w:r>
      <w:r w:rsidR="001A5CFE" w:rsidRPr="00DB7074">
        <w:rPr>
          <w:rFonts w:ascii="Book Antiqua" w:hAnsi="Book Antiqua" w:cs="Times New Roman"/>
          <w:sz w:val="24"/>
          <w:szCs w:val="24"/>
        </w:rPr>
        <w:t>than in</w:t>
      </w:r>
      <w:r w:rsidR="00AE730B" w:rsidRPr="00DB7074">
        <w:rPr>
          <w:rFonts w:ascii="Book Antiqua" w:hAnsi="Book Antiqua" w:cs="Times New Roman"/>
          <w:sz w:val="24"/>
          <w:szCs w:val="24"/>
        </w:rPr>
        <w:t xml:space="preserve"> advanced colorectal adenoma patients, with a lower prevalence of </w:t>
      </w:r>
      <w:r w:rsidR="00AE730B" w:rsidRPr="00DB7074">
        <w:rPr>
          <w:rFonts w:ascii="Book Antiqua" w:hAnsi="Book Antiqua" w:cs="Times New Roman"/>
          <w:i/>
          <w:sz w:val="24"/>
          <w:szCs w:val="24"/>
        </w:rPr>
        <w:t>Clostridium</w:t>
      </w:r>
      <w:r w:rsidR="00AE730B" w:rsidRPr="00DB7074">
        <w:rPr>
          <w:rFonts w:ascii="Book Antiqua" w:hAnsi="Book Antiqua" w:cs="Times New Roman"/>
          <w:sz w:val="24"/>
          <w:szCs w:val="24"/>
        </w:rPr>
        <w:t xml:space="preserve">, </w:t>
      </w:r>
      <w:r w:rsidR="00AE730B" w:rsidRPr="00DB7074">
        <w:rPr>
          <w:rFonts w:ascii="Book Antiqua" w:hAnsi="Book Antiqua" w:cs="Times New Roman"/>
          <w:i/>
          <w:sz w:val="24"/>
          <w:szCs w:val="24"/>
        </w:rPr>
        <w:t>Roseburia</w:t>
      </w:r>
      <w:r w:rsidR="00AE730B" w:rsidRPr="00DB7074">
        <w:rPr>
          <w:rFonts w:ascii="Book Antiqua" w:hAnsi="Book Antiqua" w:cs="Times New Roman"/>
          <w:sz w:val="24"/>
          <w:szCs w:val="24"/>
        </w:rPr>
        <w:t xml:space="preserve">, and </w:t>
      </w:r>
      <w:r w:rsidR="00AE730B" w:rsidRPr="00DB7074">
        <w:rPr>
          <w:rFonts w:ascii="Book Antiqua" w:hAnsi="Book Antiqua" w:cs="Times New Roman"/>
          <w:i/>
          <w:sz w:val="24"/>
          <w:szCs w:val="24"/>
        </w:rPr>
        <w:t>Eubacterium</w:t>
      </w:r>
      <w:r w:rsidR="00AE730B" w:rsidRPr="00DB7074">
        <w:rPr>
          <w:rFonts w:ascii="Book Antiqua" w:hAnsi="Book Antiqua" w:cs="Times New Roman"/>
          <w:sz w:val="24"/>
          <w:szCs w:val="24"/>
        </w:rPr>
        <w:t xml:space="preserve"> spp. and a higher prevalence of </w:t>
      </w:r>
      <w:r w:rsidR="00AE730B" w:rsidRPr="00DB7074">
        <w:rPr>
          <w:rFonts w:ascii="Book Antiqua" w:hAnsi="Book Antiqua" w:cs="Times New Roman"/>
          <w:i/>
          <w:sz w:val="24"/>
          <w:szCs w:val="24"/>
        </w:rPr>
        <w:t>Enterococcus</w:t>
      </w:r>
      <w:r w:rsidR="00AE730B" w:rsidRPr="00DB7074">
        <w:rPr>
          <w:rFonts w:ascii="Book Antiqua" w:hAnsi="Book Antiqua" w:cs="Times New Roman"/>
          <w:sz w:val="24"/>
          <w:szCs w:val="24"/>
        </w:rPr>
        <w:t xml:space="preserve"> and </w:t>
      </w:r>
      <w:r w:rsidR="00AE730B" w:rsidRPr="00DB7074">
        <w:rPr>
          <w:rFonts w:ascii="Book Antiqua" w:hAnsi="Book Antiqua" w:cs="Times New Roman"/>
          <w:i/>
          <w:sz w:val="24"/>
          <w:szCs w:val="24"/>
        </w:rPr>
        <w:t>Streptococcus</w:t>
      </w:r>
      <w:r w:rsidR="00AE730B" w:rsidRPr="00DB7074">
        <w:rPr>
          <w:rFonts w:ascii="Book Antiqua" w:hAnsi="Book Antiqua" w:cs="Times New Roman"/>
          <w:sz w:val="24"/>
          <w:szCs w:val="24"/>
        </w:rPr>
        <w:t xml:space="preserve"> spp.</w:t>
      </w:r>
      <w:r w:rsidR="007D4E2F"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{"citationID":"a1nk2usc6h1","properties":{"formattedCitation":"\\super [143]\\nosupersub{}","plainCitation":"[143]","noteIndex":0},"citationItems":[{"id":"D1GMNV0O/1mMMIPZD","uris":["http://zotero.org/users/4804376/items/H9UWF8DD"],"uri":["http://zotero.org/users/4804376/items/H9UWF8DD"],"itemData":{"id":333,"type":"article-journal","title":"Human intestinal lumen and mucosa-associated microbiota in patients with colorectal cancer","container-title":"PloS One","page":"e39743","volume":"7","issue":"6","source":"PubMed","abstract":"Recent reports have suggested the involvement of gut microbiota in the progression of colorectal cancer (CRC). We utilized pyrosequencing based analysis of 16S rRNA genes to determine the overall structure of microbiota in patients with colorectal cancer and healthy controls; we investigated microbiota of the intestinal lumen, the cancerous tissue and matched noncancerous normal tissue. Moreover, we investigated the mucosa-adherent microbial composition using rectal swab samples because the structure of the tissue-adherent bacterial community is potentially altered following bowel cleansing. Our findings indicated that the microbial structure of the intestinal lumen and cancerous tissue differed significantly. Phylotypes that enhance energy harvest from diets or perform metabolic exchange with the host were more abundant in the lumen. There were more abundant Firmicutes and less abundant Bacteroidetes and Proteobacteria in lumen. The overall microbial structures of cancerous tissue and noncancerous tissue were similar; however the tumor microbiota exhibited lower diversity. The structures of the intestinal lumen microbiota and mucosa-adherent microbiota were different in CRC patients compared to matched microbiota in healthy individuals. Lactobacillales was enriched in cancerous tissue, whereas Faecalibacterium was reduced. In the mucosa-adherent microbiota, Bifidobacterium, Faecalibacterium, and Blautia were reduced in CRC patients, whereas Fusobacterium, Porphyromonas, Peptostreptococcus, and Mogibacterium were enriched. In the lumen, predominant phylotypes related to metabolic disorders or metabolic exchange with the host, Erysipelotrichaceae, Prevotellaceae, and Coriobacteriaceae were increased in cancer patients. Coupled with previous reports, these results suggest that the intestinal microbiota is associated with CRC risk and that intestinal lumen microflora potentially influence CRC risk via cometabolism or metabolic exchange with the host. However, mucosa-associated microbiota potentially affects CRC risk primarily through direct interaction with the host.","DOI":"10.1371/journal.pone.0039743","ISSN":"1932-6203","note":"PMID: 22761885\nPMCID: PMC3386193","journalAbbreviation":"PLoS ONE","language":"eng","author":[{"family":"Chen","given":"Weiguang"},{"family":"Liu","given":"Fanlong"},{"family":"Ling","given":"Zongxin"},{"family":"Tong","given":"Xiaojuan"},{"family":"Xiang","given":"Charlie"}],"issued":{"date-parts":[["2012"]]}}}],"schema":"https://github.com/citation-style-language/schema/raw/master/csl-citation.json"} </w:instrText>
      </w:r>
      <w:r w:rsidR="007D4E2F"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[143]</w:t>
      </w:r>
      <w:r w:rsidR="007D4E2F" w:rsidRPr="00DB7074">
        <w:rPr>
          <w:rFonts w:ascii="Book Antiqua" w:hAnsi="Book Antiqua" w:cs="Times New Roman"/>
          <w:sz w:val="24"/>
          <w:szCs w:val="24"/>
        </w:rPr>
        <w:fldChar w:fldCharType="end"/>
      </w:r>
      <w:r w:rsidR="00AE730B" w:rsidRPr="00DB7074">
        <w:rPr>
          <w:rFonts w:ascii="Book Antiqua" w:hAnsi="Book Antiqua" w:cs="Times New Roman"/>
          <w:sz w:val="24"/>
          <w:szCs w:val="24"/>
        </w:rPr>
        <w:t>.</w:t>
      </w:r>
      <w:r w:rsidR="001A5CFE" w:rsidRPr="00DB7074">
        <w:rPr>
          <w:rFonts w:ascii="Book Antiqua" w:hAnsi="Book Antiqua" w:cs="Times New Roman"/>
          <w:sz w:val="24"/>
          <w:szCs w:val="24"/>
        </w:rPr>
        <w:t xml:space="preserve"> </w:t>
      </w:r>
      <w:r w:rsidR="00BB1FFE" w:rsidRPr="00DB7074">
        <w:rPr>
          <w:rFonts w:ascii="Book Antiqua" w:hAnsi="Book Antiqua" w:cs="Times New Roman"/>
          <w:sz w:val="24"/>
          <w:szCs w:val="24"/>
        </w:rPr>
        <w:t xml:space="preserve">Moreover, </w:t>
      </w:r>
      <w:r w:rsidR="00507882" w:rsidRPr="00DB7074">
        <w:rPr>
          <w:rFonts w:ascii="Book Antiqua" w:hAnsi="Book Antiqua" w:cs="Times New Roman"/>
          <w:sz w:val="24"/>
          <w:szCs w:val="24"/>
        </w:rPr>
        <w:t>faecal</w:t>
      </w:r>
      <w:r w:rsidR="00BB1FFE" w:rsidRPr="00DB7074">
        <w:rPr>
          <w:rFonts w:ascii="Book Antiqua" w:hAnsi="Book Antiqua" w:cs="Times New Roman"/>
          <w:sz w:val="24"/>
          <w:szCs w:val="24"/>
        </w:rPr>
        <w:t xml:space="preserve"> β-glucuronidase activity is increased in patients with CRC compared </w:t>
      </w:r>
      <w:r w:rsidR="001A5CFE" w:rsidRPr="00DB7074">
        <w:rPr>
          <w:rFonts w:ascii="Book Antiqua" w:hAnsi="Book Antiqua" w:cs="Times New Roman"/>
          <w:sz w:val="24"/>
          <w:szCs w:val="24"/>
        </w:rPr>
        <w:t>with</w:t>
      </w:r>
      <w:r w:rsidR="00BB1FFE" w:rsidRPr="00DB7074">
        <w:rPr>
          <w:rFonts w:ascii="Book Antiqua" w:hAnsi="Book Antiqua" w:cs="Times New Roman"/>
          <w:sz w:val="24"/>
          <w:szCs w:val="24"/>
        </w:rPr>
        <w:t xml:space="preserve"> healthy controls</w:t>
      </w:r>
      <w:r w:rsidR="00E8547F"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{"citationID":"a163s77g4qt","properties":{"formattedCitation":"\\super [195]\\nosupersub{}","plainCitation":"[195]","noteIndex":0},"citationItems":[{"id":"D1GMNV0O/J5hOpX6c","uris":["http://zotero.org/users/4804376/items/XTMQ7UYW"],"uri":["http://zotero.org/users/4804376/items/XTMQ7UYW"],"itemData":{"id":628,"type":"article-journal","title":"Intestinal bacterial beta-glucuronidase activity of patients with colon cancer","container-title":"Archives of Pharmacal Research","page":"564-567","volume":"24","issue":"6","source":"PubMed","abstract":"The fecal beta-glucuronidase activity of patients with colon cancer and healthy controls were measured to determine the relationship between the fluctuation of intestinal bacterial beta-glucuronidase and colon cancer. The fecal beta-glucuronidase activity of patients with colon cancer was 1.7 times higher than that of the healthy controls. However, when these fecal specimens were sonicated, the enzyme activity of patients with colon cancer was 12.1 times higher than that of the healthy controls. The fecal beta-glucuronidase activity of human intestinal bacteria was drastically induced by its substrate or the bile secreted after a subcutaneous injection of 1,2-dimethylhydrazine (DMH) and benzo[a]pyrene into rats. DMH- and benzo[a]pyrene-treated biles induced beta-glucuronidase activity in the human intestinal microflora by approximately 1.5- and 2.3-fold, respectively. They also induced beta-glucuronidase in E. coli HGU-3, which is a beta-glucuronidase-producing bacterium from the human intestine. D-saccharic acid 1,4-lactone similarly inhibited fecal beta-glucuronidase in several patients with colon cancer in addition to the healthy controls. This suggests that potent beta-glucuronidase activity is a prime factor in the etiology of colon cancer.","ISSN":"0253-6269","note":"PMID: 11794536","journalAbbreviation":"Arch. Pharm. Res.","language":"eng","author":[{"family":"Kim","given":"D. H."},{"family":"Jin","given":"Y. H."}],"issued":{"date-parts":[["2001",12]]}}}],"schema":"https://github.com/citation-style-language/schema/raw/master/csl-citation.json"} </w:instrText>
      </w:r>
      <w:r w:rsidR="00E8547F"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[195]</w:t>
      </w:r>
      <w:r w:rsidR="00E8547F" w:rsidRPr="00DB7074">
        <w:rPr>
          <w:rFonts w:ascii="Book Antiqua" w:hAnsi="Book Antiqua" w:cs="Times New Roman"/>
          <w:sz w:val="24"/>
          <w:szCs w:val="24"/>
        </w:rPr>
        <w:fldChar w:fldCharType="end"/>
      </w:r>
      <w:r w:rsidR="00BB1FFE" w:rsidRPr="00DB7074">
        <w:rPr>
          <w:rFonts w:ascii="Book Antiqua" w:hAnsi="Book Antiqua" w:cs="Times New Roman"/>
          <w:sz w:val="24"/>
          <w:szCs w:val="24"/>
        </w:rPr>
        <w:t>.</w:t>
      </w:r>
      <w:r w:rsidR="00EF5047" w:rsidRPr="00DB7074">
        <w:rPr>
          <w:rFonts w:ascii="Book Antiqua" w:hAnsi="Book Antiqua" w:cs="Times New Roman"/>
          <w:sz w:val="24"/>
          <w:szCs w:val="24"/>
        </w:rPr>
        <w:t xml:space="preserve"> </w:t>
      </w:r>
      <w:r w:rsidR="00F401BE" w:rsidRPr="00DB7074">
        <w:rPr>
          <w:rFonts w:ascii="Book Antiqua" w:hAnsi="Book Antiqua" w:cs="Times New Roman"/>
          <w:sz w:val="24"/>
          <w:szCs w:val="24"/>
        </w:rPr>
        <w:t xml:space="preserve">High-fat diets, which are positively correlated with the incidence of CRC, lead to an increase in bile secretion, and increased </w:t>
      </w:r>
      <w:r w:rsidR="00507882" w:rsidRPr="00DB7074">
        <w:rPr>
          <w:rFonts w:ascii="Book Antiqua" w:hAnsi="Book Antiqua" w:cs="Times New Roman"/>
          <w:sz w:val="24"/>
          <w:szCs w:val="24"/>
        </w:rPr>
        <w:t>faecal</w:t>
      </w:r>
      <w:r w:rsidR="00F401BE" w:rsidRPr="00DB7074">
        <w:rPr>
          <w:rFonts w:ascii="Book Antiqua" w:hAnsi="Book Antiqua" w:cs="Times New Roman"/>
          <w:sz w:val="24"/>
          <w:szCs w:val="24"/>
        </w:rPr>
        <w:t xml:space="preserve"> bile acid concentrations </w:t>
      </w:r>
      <w:r w:rsidR="00C65594" w:rsidRPr="00DB7074">
        <w:rPr>
          <w:rFonts w:ascii="Book Antiqua" w:hAnsi="Book Antiqua" w:cs="Times New Roman"/>
          <w:sz w:val="24"/>
          <w:szCs w:val="24"/>
        </w:rPr>
        <w:t>were</w:t>
      </w:r>
      <w:r w:rsidR="00F401BE" w:rsidRPr="00DB7074">
        <w:rPr>
          <w:rFonts w:ascii="Book Antiqua" w:hAnsi="Book Antiqua" w:cs="Times New Roman"/>
          <w:sz w:val="24"/>
          <w:szCs w:val="24"/>
        </w:rPr>
        <w:t xml:space="preserve"> reported in patients with CRC</w:t>
      </w:r>
      <w:r w:rsidR="00E8547F"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{"citationID":"a6rpencb2s","properties":{"formattedCitation":"\\super [196]\\nosupersub{}","plainCitation":"[196]","noteIndex":0},"citationItems":[{"id":"D1GMNV0O/6CyOu0FT","uris":["http://zotero.org/users/4804376/items/Z86PFEFT"],"uri":["http://zotero.org/users/4804376/items/Z86PFEFT"],"itemData":{"id":630,"type":"article-journal","title":"Association between low colonic short-chain fatty acids and high bile acids in high colon cancer risk populations","container-title":"Nutrition and Cancer","page":"34-40","volume":"64","issue":"1","source":"PubMed","abstract":"We propose that the influence of diet on colon cancer risk is mediated by the microbiota. To investigate how dietary fat influences risk, we compared the colonic contents of 12 adult high-risk African Americans (AAs) and 10 Caucasian Americans (CAs) who consumed a high-fat diet (123 ± 11 g/d and 129 ± 17 g/d, respectively) to 13 native Africans (NAs) who subsisted on a low-fat (38 ± 3.0 g/d) diet, all aged 50-60 yr. The colonic bile acids were measured by LC-MS and the short-chain fatty acids (SCFAs) by GC. The chief secondary colonic bile acids, deoxycholic acid and lithocholic acid, were correlated with fat intake and similar between AAs and CAs, but 3-4 times higher than in AAs (p &lt; 0.05). The major SCFAs were lower in AAs (p &lt; 0.001) and CAs (p &lt; 0.001) compared to AAs, but conversely, the branched chain fatty acids (BFCA) were higher. Our results suggest that the higher risk of colon cancer in Americans may be partly explained by their high-fat and high-protein, low complex carbohydrate diet, which produces colonic residues that promote microbes to produce potentially carcinogenic secondary bile acids and less antineoplastic SCFAs. The role of BCFA in colonic carcinogenesis deserves further study.","DOI":"10.1080/01635581.2012.630164","ISSN":"1532-7914","note":"PMID: 22136517","journalAbbreviation":"Nutr Cancer","language":"eng","author":[{"family":"Ou","given":"Junhai"},{"family":"DeLany","given":"James P."},{"family":"Zhang","given":"Ming"},{"family":"Sharma","given":"Sumit"},{"family":"O'Keefe","given":"Stephen J. D."}],"issued":{"date-parts":[["2012"]]}}}],"schema":"https://github.com/citation-style-language/schema/raw/master/csl-citation.json"} </w:instrText>
      </w:r>
      <w:r w:rsidR="00E8547F"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[196]</w:t>
      </w:r>
      <w:r w:rsidR="00E8547F" w:rsidRPr="00DB7074">
        <w:rPr>
          <w:rFonts w:ascii="Book Antiqua" w:hAnsi="Book Antiqua" w:cs="Times New Roman"/>
          <w:sz w:val="24"/>
          <w:szCs w:val="24"/>
        </w:rPr>
        <w:fldChar w:fldCharType="end"/>
      </w:r>
      <w:r w:rsidR="00F401BE" w:rsidRPr="00DB7074">
        <w:rPr>
          <w:rFonts w:ascii="Book Antiqua" w:hAnsi="Book Antiqua" w:cs="Times New Roman"/>
          <w:sz w:val="24"/>
          <w:szCs w:val="24"/>
        </w:rPr>
        <w:t xml:space="preserve">. </w:t>
      </w:r>
      <w:r w:rsidR="00F5659C" w:rsidRPr="00DB7074">
        <w:rPr>
          <w:rFonts w:ascii="Book Antiqua" w:hAnsi="Book Antiqua" w:cs="Times New Roman"/>
          <w:sz w:val="24"/>
          <w:szCs w:val="24"/>
        </w:rPr>
        <w:t xml:space="preserve">High </w:t>
      </w:r>
      <w:r w:rsidR="00507882" w:rsidRPr="00DB7074">
        <w:rPr>
          <w:rFonts w:ascii="Book Antiqua" w:hAnsi="Book Antiqua" w:cs="Times New Roman"/>
          <w:sz w:val="24"/>
          <w:szCs w:val="24"/>
        </w:rPr>
        <w:t>faecal</w:t>
      </w:r>
      <w:r w:rsidR="00F5659C" w:rsidRPr="00DB7074">
        <w:rPr>
          <w:rFonts w:ascii="Book Antiqua" w:hAnsi="Book Antiqua" w:cs="Times New Roman"/>
          <w:sz w:val="24"/>
          <w:szCs w:val="24"/>
        </w:rPr>
        <w:t xml:space="preserve"> bile concentrations </w:t>
      </w:r>
      <w:r w:rsidR="00C65594" w:rsidRPr="00DB7074">
        <w:rPr>
          <w:rFonts w:ascii="Book Antiqua" w:hAnsi="Book Antiqua" w:cs="Times New Roman"/>
          <w:sz w:val="24"/>
          <w:szCs w:val="24"/>
        </w:rPr>
        <w:t>were</w:t>
      </w:r>
      <w:r w:rsidR="00F5659C" w:rsidRPr="00DB7074">
        <w:rPr>
          <w:rFonts w:ascii="Book Antiqua" w:hAnsi="Book Antiqua" w:cs="Times New Roman"/>
          <w:sz w:val="24"/>
          <w:szCs w:val="24"/>
        </w:rPr>
        <w:t xml:space="preserve"> positively correlated with </w:t>
      </w:r>
      <w:r w:rsidR="001A5CFE" w:rsidRPr="00DB7074">
        <w:rPr>
          <w:rFonts w:ascii="Book Antiqua" w:hAnsi="Book Antiqua" w:cs="Times New Roman"/>
          <w:sz w:val="24"/>
          <w:szCs w:val="24"/>
        </w:rPr>
        <w:t xml:space="preserve">the incidence of </w:t>
      </w:r>
      <w:r w:rsidR="00F5659C" w:rsidRPr="00DB7074">
        <w:rPr>
          <w:rFonts w:ascii="Book Antiqua" w:hAnsi="Book Antiqua" w:cs="Times New Roman"/>
          <w:sz w:val="24"/>
          <w:szCs w:val="24"/>
        </w:rPr>
        <w:t xml:space="preserve">CRC, with potential </w:t>
      </w:r>
      <w:r w:rsidR="00507882" w:rsidRPr="00DB7074">
        <w:rPr>
          <w:rFonts w:ascii="Book Antiqua" w:hAnsi="Book Antiqua" w:cs="Times New Roman"/>
          <w:sz w:val="24"/>
          <w:szCs w:val="24"/>
        </w:rPr>
        <w:t>tumour</w:t>
      </w:r>
      <w:r w:rsidR="00F5659C" w:rsidRPr="00DB7074">
        <w:rPr>
          <w:rFonts w:ascii="Book Antiqua" w:hAnsi="Book Antiqua" w:cs="Times New Roman"/>
          <w:sz w:val="24"/>
          <w:szCs w:val="24"/>
        </w:rPr>
        <w:t>-promoting effects of bile acids themselves</w:t>
      </w:r>
      <w:r w:rsidR="00E8547F"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{"citationID":"a1im11c8h0j","properties":{"formattedCitation":"\\super [176]\\nosupersub{}","plainCitation":"[176]","noteIndex":0},"citationItems":[{"id":"D1GMNV0O/Ryjg0YMN","uris":["http://zotero.org/users/4804376/items/YMTMCVKG"],"uri":["http://zotero.org/users/4804376/items/YMTMCVKG"],"itemData":{"id":27,"type":"article-journal","title":"Bile acids in the colon, from healthy to cytotoxic molecules","container-title":"Toxicology in Vitro","page":"964-977","volume":"27","issue":"2","source":"CrossRef","abstract":"Bile acids are natural detergents mainly involved in facilitating the absorption of dietary fat in the intestine. In addition to this absorptive function, bile acids are also essential in the maintenance of the intestinal epithelium homeostasis. To accomplish this regulatory function, bile acids may induce programmed cell death fostering the renewal of the epithelium. Here we ﬁrst discuss on the different molecular pathways of cell death focusing on apoptosis in colon epithelial cells. Bile acids may induce apoptosis in colonocytes through different mechanisms. In contrast to hepatocytes, the extrinsic apoptotic pathway seems to have a low relevance regarding bile acid cytotoxicity in the colon. On the contrary, these molecules mainly trigger apoptosis through direct or indirect mitochondrial perturbations, where oxidative stress plays a key role. In addition, bile acids may also act as regulatory molecules involved in different cell signaling pathways in colon cells. On the other hand, there is increasing evidence that the continuous exposure to certain hydrophobic bile acids, due to a fat-rich diet or pathological conditions, may induce oxidative DNA damage that, in turn, may lead to colorectal carcinogenesis as a consequence of the appearance of cell populations resistant to bile acid-induced apoptosis. Finally, some bile acids, such as UDCA, or low concentrations of hydrophobic bile acids, can protect colon cells against apoptosis induced by high concentrations of cytotoxic bile acids, suggesting a dual behavior of these agents as pro-death or pro-survival molecules.","DOI":"10.1016/j.tiv.2012.12.020","ISSN":"08872333","language":"en","author":[{"family":"Barrasa","given":"Juan I."},{"family":"Olmo","given":"Nieves"},{"family":"Lizarbe","given":"Ma Antonia"},{"family":"Turnay","given":"Javier"}],"issued":{"date-parts":[["2013",3]]}}}],"schema":"https://github.com/citation-style-language/schema/raw/master/csl-citation.json"} </w:instrText>
      </w:r>
      <w:r w:rsidR="00E8547F"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[176]</w:t>
      </w:r>
      <w:r w:rsidR="00E8547F" w:rsidRPr="00DB7074">
        <w:rPr>
          <w:rFonts w:ascii="Book Antiqua" w:hAnsi="Book Antiqua" w:cs="Times New Roman"/>
          <w:sz w:val="24"/>
          <w:szCs w:val="24"/>
        </w:rPr>
        <w:fldChar w:fldCharType="end"/>
      </w:r>
      <w:r w:rsidR="006861EA" w:rsidRPr="00DB7074">
        <w:rPr>
          <w:rFonts w:ascii="Book Antiqua" w:hAnsi="Book Antiqua" w:cs="Times New Roman"/>
          <w:sz w:val="24"/>
          <w:szCs w:val="24"/>
        </w:rPr>
        <w:t xml:space="preserve">. </w:t>
      </w:r>
      <w:r w:rsidR="00EF5047" w:rsidRPr="00DB7074">
        <w:rPr>
          <w:rFonts w:ascii="Book Antiqua" w:hAnsi="Book Antiqua" w:cs="Times New Roman"/>
          <w:sz w:val="24"/>
          <w:szCs w:val="24"/>
        </w:rPr>
        <w:t xml:space="preserve">Furthermore, strong antimicrobial bile acid activities lead to significant changes in the gut microbiota composition, with a relative increase in some </w:t>
      </w:r>
      <w:r w:rsidR="00EF5047" w:rsidRPr="00DB7074">
        <w:rPr>
          <w:rFonts w:ascii="Book Antiqua" w:hAnsi="Book Antiqua" w:cs="Times New Roman"/>
          <w:i/>
          <w:sz w:val="24"/>
          <w:szCs w:val="24"/>
        </w:rPr>
        <w:t>Gammaproteobacteria</w:t>
      </w:r>
      <w:r w:rsidR="00EF5047" w:rsidRPr="00DB7074">
        <w:rPr>
          <w:rFonts w:ascii="Book Antiqua" w:hAnsi="Book Antiqua" w:cs="Times New Roman"/>
          <w:sz w:val="24"/>
          <w:szCs w:val="24"/>
        </w:rPr>
        <w:t xml:space="preserve"> and </w:t>
      </w:r>
      <w:r w:rsidR="00EF5047" w:rsidRPr="00DB7074">
        <w:rPr>
          <w:rFonts w:ascii="Book Antiqua" w:hAnsi="Book Antiqua" w:cs="Times New Roman"/>
          <w:i/>
          <w:sz w:val="24"/>
          <w:szCs w:val="24"/>
        </w:rPr>
        <w:t>Bacteroidetes</w:t>
      </w:r>
      <w:r w:rsidR="00EF5047" w:rsidRPr="00DB7074">
        <w:rPr>
          <w:rFonts w:ascii="Book Antiqua" w:hAnsi="Book Antiqua" w:cs="Times New Roman"/>
          <w:sz w:val="24"/>
          <w:szCs w:val="24"/>
        </w:rPr>
        <w:t xml:space="preserve"> species </w:t>
      </w:r>
      <w:r w:rsidR="008D217B" w:rsidRPr="00DB7074">
        <w:rPr>
          <w:rFonts w:ascii="Book Antiqua" w:hAnsi="Book Antiqua" w:cs="Times New Roman"/>
          <w:sz w:val="24"/>
          <w:szCs w:val="24"/>
        </w:rPr>
        <w:t xml:space="preserve">that </w:t>
      </w:r>
      <w:r w:rsidR="001A5CFE" w:rsidRPr="00DB7074">
        <w:rPr>
          <w:rFonts w:ascii="Book Antiqua" w:hAnsi="Book Antiqua" w:cs="Times New Roman"/>
          <w:sz w:val="24"/>
          <w:szCs w:val="24"/>
        </w:rPr>
        <w:t xml:space="preserve">are </w:t>
      </w:r>
      <w:r w:rsidR="00EF5047" w:rsidRPr="00DB7074">
        <w:rPr>
          <w:rFonts w:ascii="Book Antiqua" w:hAnsi="Book Antiqua" w:cs="Times New Roman"/>
          <w:sz w:val="24"/>
          <w:szCs w:val="24"/>
        </w:rPr>
        <w:t>associated with CRC</w:t>
      </w:r>
      <w:r w:rsidR="00DE60E5"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{"citationID":"a2cpuis9vag","properties":{"formattedCitation":"\\super [197]\\nosupersub{}","plainCitation":"[197]","noteIndex":0},"citationItems":[{"id":"D1GMNV0O/jajJSWEx","uris":["http://zotero.org/users/4804376/items/VCWR4N29"],"uri":["http://zotero.org/users/4804376/items/VCWR4N29"],"itemData":{"id":712,"type":"article-journal","title":"Obesity-induced gut microbial metabolite promotes liver cancer through senescence secretome","container-title":"Nature","page":"97-101","volume":"499","issue":"7456","source":"PubMed","abstract":"Obesity has become more prevalent in most developed countries over the past few decades, and is increasingly recognized as a major risk factor for several common types of cancer. As the worldwide obesity epidemic has shown no signs of abating, better understanding of the mechanisms underlying obesity-associated cancer is urgently needed. Although several events were proposed to be involved in obesity-associated cancer, the exact molecular mechanisms that integrate these events have remained largely unclear. Here we show that senescence-associated secretory phenotype (SASP) has crucial roles in promoting obesity-associated hepatocellular carcinoma (HCC) development in mice. Dietary or genetic obesity induces alterations of gut microbiota, thereby increasing the levels of deoxycholic acid (DCA), a gut bacterial metabolite known to cause DNA damage. The enterohepatic circulation of DCA provokes SASP phenotype in hepatic stellate cells (HSCs), which in turn secretes various inflammatory and tumour-promoting factors in the liver, thus facilitating HCC development in mice after exposure to chemical carcinogen. Notably, blocking DCA production or reducing gut bacteria efficiently prevents HCC development in obese mice. Similar results were also observed in mice lacking an SASP inducer or depleted of senescent HSCs, indicating that the DCA-SASP axis in HSCs has key roles in obesity-associated HCC development. Moreover, signs of SASP were also observed in the HSCs in the area of HCC arising in patients with non-alcoholic steatohepatitis, indicating that a similar pathway may contribute to at least certain aspects of obesity-associated HCC development in humans as well. These findings provide valuable new insights into the development of obesity-associated cancer and open up new possibilities for its control.","DOI":"10.1038/nature12347","ISSN":"1476-4687","note":"PMID: 23803760","journalAbbreviation":"Nature","language":"eng","author":[{"family":"Yoshimoto","given":"Shin"},{"family":"Loo","given":"Tze Mun"},{"family":"Atarashi","given":"Koji"},{"family":"Kanda","given":"Hiroaki"},{"family":"Sato","given":"Seidai"},{"family":"Oyadomari","given":"Seiichi"},{"family":"Iwakura","given":"Yoichiro"},{"family":"Oshima","given":"Kenshiro"},{"family":"Morita","given":"Hidetoshi"},{"family":"Hattori","given":"Masahira"},{"family":"Hattori","given":"Masahisa"},{"family":"Honda","given":"Kenya"},{"family":"Ishikawa","given":"Yuichi"},{"family":"Hara","given":"Eiji"},{"family":"Ohtani","given":"Naoko"}],"issued":{"date-parts":[["2013",7,4]]}}}],"schema":"https://github.com/citation-style-language/schema/raw/master/csl-citation.json"} </w:instrText>
      </w:r>
      <w:r w:rsidR="00DE60E5"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[197]</w:t>
      </w:r>
      <w:r w:rsidR="00DE60E5" w:rsidRPr="00DB7074">
        <w:rPr>
          <w:rFonts w:ascii="Book Antiqua" w:hAnsi="Book Antiqua" w:cs="Times New Roman"/>
          <w:sz w:val="24"/>
          <w:szCs w:val="24"/>
        </w:rPr>
        <w:fldChar w:fldCharType="end"/>
      </w:r>
      <w:r w:rsidR="00EF5047" w:rsidRPr="00DB7074">
        <w:rPr>
          <w:rFonts w:ascii="Book Antiqua" w:hAnsi="Book Antiqua" w:cs="Times New Roman"/>
          <w:sz w:val="24"/>
          <w:szCs w:val="24"/>
        </w:rPr>
        <w:t xml:space="preserve">. </w:t>
      </w:r>
      <w:r w:rsidR="00222B99" w:rsidRPr="00DB7074">
        <w:rPr>
          <w:rFonts w:ascii="Book Antiqua" w:hAnsi="Book Antiqua" w:cs="Times New Roman"/>
          <w:sz w:val="24"/>
          <w:szCs w:val="24"/>
        </w:rPr>
        <w:t>The dietary intake of preformed N-nitroso compounds is positively correlated with CRC in European populations</w:t>
      </w:r>
      <w:r w:rsidR="00E8547F"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{"citationID":"a1ss9vctecs","properties":{"formattedCitation":"\\super [185]\\nosupersub{}","plainCitation":"[185]","noteIndex":0},"citationItems":[{"id":"D1GMNV0O/zlJzsNhb","uris":["http://zotero.org/users/4804376/items/CR38YQ74"],"uri":["http://zotero.org/users/4804376/items/CR38YQ74"],"itemData":{"id":632,"type":"article-journal","title":"N-Nitroso compounds and cancer incidence: the European Prospective Investigation into Cancer and Nutrition (EPIC)-Norfolk Study","container-title":"The American Journal of Clinical Nutrition","page":"1053-1061","volume":"93","issue":"5","source":"PubMed","abstract":"BACKGROUND: Humans are exposed to preformed N-nitroso compounds (NOCs) and endogenous NOCs. Several NOCs are potential human carcinogens, including N-nitrosodimethylamine (NDMA), but evidence from population studies is inconsistent.\nOBJECTIVE: We examined the relation between dietary NOCs (NDMA), the endogenous NOC index, and dietary nitrite and cancer incidence in the European Prospective Investigation into Cancer and Nutrition (EPIC)-Norfolk, United Kingdom, study.\nDESIGN: This was a prospective study of 23,363 men and women, aged 40-79 y, who were recruited in 1993-1997 and followed up to 2008. The baseline diet was assessed with food-frequency questionnaires.\nRESULTS: There were 3268 incident cancers after a mean follow-up of 11.4 y. Dietary NDMA intake was significantly associated with increased cancer risk in men and women [hazard ratio (HR): 1.14; 95% CI: 1.03, 1.27; P for trend = 0.03] and in men (HR: 1.24; 95% CI: 1.07, 1.44; P for trend = 0.005) when the highest quartile was compared with the lowest quartile in age- and sex-adjusted analyses but not in multivariate analyses (HR: 1.10; 95% CI: 0.97, 1.24; HR for </w:instrText>
      </w:r>
      <w:r w:rsidR="004B13A2" w:rsidRPr="00DB7074">
        <w:rPr>
          <w:rFonts w:ascii="Book Antiqua" w:hAnsi="Book Antiqua" w:cs="Times New Roman" w:hint="eastAsia"/>
          <w:sz w:val="24"/>
          <w:szCs w:val="24"/>
        </w:rPr>
        <w:instrText xml:space="preserve">men: 1.18; 95% CI: 1.00, 1.40; P for trend </w:instrText>
      </w:r>
      <w:r w:rsidR="004B13A2" w:rsidRPr="00DB7074">
        <w:rPr>
          <w:rFonts w:ascii="Book Antiqua" w:hAnsi="Book Antiqua" w:cs="Times New Roman" w:hint="eastAsia"/>
          <w:sz w:val="24"/>
          <w:szCs w:val="24"/>
        </w:rPr>
        <w:instrText>≥</w:instrText>
      </w:r>
      <w:r w:rsidR="004B13A2" w:rsidRPr="00DB7074">
        <w:rPr>
          <w:rFonts w:ascii="Book Antiqua" w:hAnsi="Book Antiqua" w:cs="Times New Roman" w:hint="eastAsia"/>
          <w:sz w:val="24"/>
          <w:szCs w:val="24"/>
        </w:rPr>
        <w:instrText xml:space="preserve"> 0.05). When continuously analyzed, NDMA was associated with increased risk of gastrointestinal cancers (HR: 1.13; 95% CI: 1.00, 1.28), specifically of rectal cancer (HR: 1.46; 95% CI: 1.16, 1.84) per 1-SD incre</w:instrText>
      </w:r>
      <w:r w:rsidR="004B13A2" w:rsidRPr="00DB7074">
        <w:rPr>
          <w:rFonts w:ascii="Book Antiqua" w:hAnsi="Book Antiqua" w:cs="Times New Roman"/>
          <w:sz w:val="24"/>
          <w:szCs w:val="24"/>
        </w:rPr>
        <w:instrText xml:space="preserve">ase after adjustment for age, sex, body mass index, cigarette smoking status, alcohol intake, energy intake, physical activity, education, and menopausal status (in women). The endogenous NOC index and dietary nitrite were not significantly associated with cancer risk. There was a significant interaction between plasma vitamin C concentrations and dietary NDMA intake on cancer incidence (P for interaction &lt; 0.00001).\nCONCLUSIONS: Dietary NOC (NDMA) was associated with a higher gastrointestinal cancer incidence, specifically of rectal cancer. Plasma vitamin C may modify the relation between NDMA exposure and cancer risk.","DOI":"10.3945/ajcn.111.012377","ISSN":"1938-3207","note":"PMID: 21430112","shortTitle":"N-Nitroso compounds and cancer incidence","journalAbbreviation":"Am. J. Clin. Nutr.","language":"eng","author":[{"family":"Loh","given":"Yet Hua"},{"family":"Jakszyn","given":"Paula"},{"family":"Luben","given":"Robert N."},{"family":"Mulligan","given":"Angela A."},{"family":"Mitrou","given":"Panagiota N."},{"family":"Khaw","given":"Kay-Tee"}],"issued":{"date-parts":[["2011",5]]}}}],"schema":"https://github.com/citation-style-language/schema/raw/master/csl-citation.json"} </w:instrText>
      </w:r>
      <w:r w:rsidR="00E8547F"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[185]</w:t>
      </w:r>
      <w:r w:rsidR="00E8547F" w:rsidRPr="00DB7074">
        <w:rPr>
          <w:rFonts w:ascii="Book Antiqua" w:hAnsi="Book Antiqua" w:cs="Times New Roman"/>
          <w:sz w:val="24"/>
          <w:szCs w:val="24"/>
        </w:rPr>
        <w:fldChar w:fldCharType="end"/>
      </w:r>
      <w:r w:rsidR="00222B99" w:rsidRPr="00DB7074">
        <w:rPr>
          <w:rFonts w:ascii="Book Antiqua" w:hAnsi="Book Antiqua" w:cs="Times New Roman"/>
          <w:sz w:val="24"/>
          <w:szCs w:val="24"/>
        </w:rPr>
        <w:t>, but these compounds can also be formed endogenously via acid-driven nitrosation in the stomach and by the nitrosation of amines that are derived from the microbial fermentation of protein in the large intestine</w:t>
      </w:r>
      <w:r w:rsidR="00E8547F"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{"citationID":"a2junbpu13m","properties":{"formattedCitation":"\\super [198]\\nosupersub{}","plainCitation":"[198]","noteIndex":0},"citationItems":[{"id":"D1GMNV0O/DzAAz4k9","uris":["http://zotero.org/users/4804376/items/7PLED88P"],"uri":["http://zotero.org/users/4804376/items/7PLED88P"],"itemData":{"id":636,"type":"article-journal","title":"Metabolic Activities of the Gut Microflora in Relation to Cancer","container-title":"Microbial Ecology in Health and Disease","page":"179-185","volume":"12","issue":"2","source":"Taylor and Francis+NEJM","abstract":"The human large intestine is host to a diverse range of bacteria with numbers reaching 10 11 /ml of faecal material. This population plays a significant role in colonic metabolism and health. Undigested dietary substrates and endogenous residues are metabolised by the gut flora. Some of the products of this metabolism have been associated with carcinogenic processes such as tumour promotion (ammonia, secondary bile acids), mutagenesis (fecapenaenes) and carcinogenesis ( N -nitroso compounds). Bacterial enzymes involved with carcinogen formation include g -glucuronidase, g -glycosidase, azoreductase, nitroreductase, nitrate reductase, the conversion of pre-carcinogen 2 amino-3-methyl-7H-imidazo[4,5-f]quinoline (IQ) to 7-hydroxy-2-amino-3,6-dihydro-3-methyl-7H-imidazo[4,5-f]quinoline-7-one (7OHIQ). Protective effects of gut bacterial metabolism include carcinogen binding, detoxification of methylmercury and formation of lignans and isoflavones. Diet is known to play a role in gut microflora metabolism and cancer development. Studies have shown that gut bacterial enzymes are affected by diet and bacterial metabolism of dietary protein releases toxic products including ammonia, phenols and cresols. The interrelationships between diet, gut microflora metabolism and effects on the host are complicated however they may be important in the understanding of epidemiological associations between exogenous factors and colorectal cancer risk.","DOI":"10.1080/089106000750060431","ISSN":"null","author":[{"family":"Roisin Hughes","given":"Ian R. Rowland"}],"issued":{"date-parts":[["2000",1,1]]}}}],"schema":"https://github.com/citation-style-language/schema/raw/master/csl-citation.json"} </w:instrText>
      </w:r>
      <w:r w:rsidR="00E8547F"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[198]</w:t>
      </w:r>
      <w:r w:rsidR="00E8547F" w:rsidRPr="00DB7074">
        <w:rPr>
          <w:rFonts w:ascii="Book Antiqua" w:hAnsi="Book Antiqua" w:cs="Times New Roman"/>
          <w:sz w:val="24"/>
          <w:szCs w:val="24"/>
        </w:rPr>
        <w:fldChar w:fldCharType="end"/>
      </w:r>
      <w:r w:rsidR="00222B99" w:rsidRPr="00DB7074">
        <w:rPr>
          <w:rFonts w:ascii="Book Antiqua" w:hAnsi="Book Antiqua" w:cs="Times New Roman"/>
          <w:sz w:val="24"/>
          <w:szCs w:val="24"/>
        </w:rPr>
        <w:t xml:space="preserve">. </w:t>
      </w:r>
      <w:r w:rsidR="003E45B2" w:rsidRPr="00DB7074">
        <w:rPr>
          <w:rFonts w:ascii="Book Antiqua" w:hAnsi="Book Antiqua" w:cs="Times New Roman"/>
          <w:sz w:val="24"/>
          <w:szCs w:val="24"/>
        </w:rPr>
        <w:t>High</w:t>
      </w:r>
      <w:r w:rsidR="00E44A17" w:rsidRPr="00DB7074">
        <w:rPr>
          <w:rFonts w:ascii="Book Antiqua" w:hAnsi="Book Antiqua" w:cs="Times New Roman"/>
          <w:sz w:val="24"/>
          <w:szCs w:val="24"/>
        </w:rPr>
        <w:t>er</w:t>
      </w:r>
      <w:r w:rsidR="003E45B2" w:rsidRPr="00DB7074">
        <w:rPr>
          <w:rFonts w:ascii="Book Antiqua" w:hAnsi="Book Antiqua" w:cs="Times New Roman"/>
          <w:sz w:val="24"/>
          <w:szCs w:val="24"/>
        </w:rPr>
        <w:t xml:space="preserve"> levels of H</w:t>
      </w:r>
      <w:r w:rsidR="003E45B2" w:rsidRPr="00DB7074">
        <w:rPr>
          <w:rFonts w:ascii="Book Antiqua" w:hAnsi="Book Antiqua" w:cs="Times New Roman"/>
          <w:sz w:val="24"/>
          <w:szCs w:val="24"/>
          <w:vertAlign w:val="subscript"/>
        </w:rPr>
        <w:t>2</w:t>
      </w:r>
      <w:r w:rsidR="003E45B2" w:rsidRPr="00DB7074">
        <w:rPr>
          <w:rFonts w:ascii="Book Antiqua" w:hAnsi="Book Antiqua" w:cs="Times New Roman"/>
          <w:sz w:val="24"/>
          <w:szCs w:val="24"/>
        </w:rPr>
        <w:t xml:space="preserve">S </w:t>
      </w:r>
      <w:r w:rsidR="00222B99" w:rsidRPr="00DB7074">
        <w:rPr>
          <w:rFonts w:ascii="Book Antiqua" w:hAnsi="Book Antiqua" w:cs="Times New Roman"/>
          <w:sz w:val="24"/>
          <w:szCs w:val="24"/>
        </w:rPr>
        <w:t>were</w:t>
      </w:r>
      <w:r w:rsidR="003E45B2" w:rsidRPr="00DB7074">
        <w:rPr>
          <w:rFonts w:ascii="Book Antiqua" w:hAnsi="Book Antiqua" w:cs="Times New Roman"/>
          <w:sz w:val="24"/>
          <w:szCs w:val="24"/>
        </w:rPr>
        <w:t xml:space="preserve"> detected in CRC patients </w:t>
      </w:r>
      <w:r w:rsidR="00E44A17" w:rsidRPr="00DB7074">
        <w:rPr>
          <w:rFonts w:ascii="Book Antiqua" w:hAnsi="Book Antiqua" w:cs="Times New Roman"/>
          <w:sz w:val="24"/>
          <w:szCs w:val="24"/>
        </w:rPr>
        <w:t>than those in</w:t>
      </w:r>
      <w:r w:rsidR="003E45B2" w:rsidRPr="00DB7074">
        <w:rPr>
          <w:rFonts w:ascii="Book Antiqua" w:hAnsi="Book Antiqua" w:cs="Times New Roman"/>
          <w:sz w:val="24"/>
          <w:szCs w:val="24"/>
        </w:rPr>
        <w:t xml:space="preserve"> </w:t>
      </w:r>
      <w:r w:rsidR="003E45B2" w:rsidRPr="00DB7074">
        <w:rPr>
          <w:rFonts w:ascii="Book Antiqua" w:hAnsi="Book Antiqua" w:cs="Times New Roman"/>
          <w:sz w:val="24"/>
          <w:szCs w:val="24"/>
        </w:rPr>
        <w:lastRenderedPageBreak/>
        <w:t>healthy controls, but no increase</w:t>
      </w:r>
      <w:r w:rsidR="00E44A17" w:rsidRPr="00DB7074">
        <w:rPr>
          <w:rFonts w:ascii="Book Antiqua" w:hAnsi="Book Antiqua" w:cs="Times New Roman"/>
          <w:sz w:val="24"/>
          <w:szCs w:val="24"/>
        </w:rPr>
        <w:t>s</w:t>
      </w:r>
      <w:r w:rsidR="003E45B2" w:rsidRPr="00DB7074">
        <w:rPr>
          <w:rFonts w:ascii="Book Antiqua" w:hAnsi="Book Antiqua" w:cs="Times New Roman"/>
          <w:sz w:val="24"/>
          <w:szCs w:val="24"/>
        </w:rPr>
        <w:t xml:space="preserve"> </w:t>
      </w:r>
      <w:r w:rsidR="00E44A17" w:rsidRPr="00DB7074">
        <w:rPr>
          <w:rFonts w:ascii="Book Antiqua" w:hAnsi="Book Antiqua" w:cs="Times New Roman"/>
          <w:sz w:val="24"/>
          <w:szCs w:val="24"/>
        </w:rPr>
        <w:t>in</w:t>
      </w:r>
      <w:r w:rsidR="003E45B2" w:rsidRPr="00DB7074">
        <w:rPr>
          <w:rFonts w:ascii="Book Antiqua" w:hAnsi="Book Antiqua" w:cs="Times New Roman"/>
          <w:sz w:val="24"/>
          <w:szCs w:val="24"/>
        </w:rPr>
        <w:t xml:space="preserve"> </w:t>
      </w:r>
      <w:r w:rsidR="003E45B2" w:rsidRPr="00DB7074">
        <w:rPr>
          <w:rFonts w:ascii="Book Antiqua" w:hAnsi="Book Antiqua" w:cs="Times New Roman"/>
          <w:i/>
          <w:sz w:val="24"/>
          <w:szCs w:val="24"/>
        </w:rPr>
        <w:t>Desulfovibrio</w:t>
      </w:r>
      <w:r w:rsidR="003E45B2" w:rsidRPr="00DB7074">
        <w:rPr>
          <w:rFonts w:ascii="Book Antiqua" w:hAnsi="Book Antiqua" w:cs="Times New Roman"/>
          <w:sz w:val="24"/>
          <w:szCs w:val="24"/>
        </w:rPr>
        <w:t xml:space="preserve"> spp. </w:t>
      </w:r>
      <w:r w:rsidR="00222B99" w:rsidRPr="00DB7074">
        <w:rPr>
          <w:rFonts w:ascii="Book Antiqua" w:hAnsi="Book Antiqua" w:cs="Times New Roman"/>
          <w:sz w:val="24"/>
          <w:szCs w:val="24"/>
        </w:rPr>
        <w:t>were</w:t>
      </w:r>
      <w:r w:rsidR="003E45B2" w:rsidRPr="00DB7074">
        <w:rPr>
          <w:rFonts w:ascii="Book Antiqua" w:hAnsi="Book Antiqua" w:cs="Times New Roman"/>
          <w:sz w:val="24"/>
          <w:szCs w:val="24"/>
        </w:rPr>
        <w:t xml:space="preserve"> observed in </w:t>
      </w:r>
      <w:r w:rsidR="00507882" w:rsidRPr="00DB7074">
        <w:rPr>
          <w:rFonts w:ascii="Book Antiqua" w:hAnsi="Book Antiqua" w:cs="Times New Roman"/>
          <w:sz w:val="24"/>
          <w:szCs w:val="24"/>
        </w:rPr>
        <w:t>faecal</w:t>
      </w:r>
      <w:r w:rsidR="003E45B2" w:rsidRPr="00DB7074">
        <w:rPr>
          <w:rFonts w:ascii="Book Antiqua" w:hAnsi="Book Antiqua" w:cs="Times New Roman"/>
          <w:sz w:val="24"/>
          <w:szCs w:val="24"/>
        </w:rPr>
        <w:t xml:space="preserve"> samples from patients with CRC</w:t>
      </w:r>
      <w:r w:rsidR="00E8547F"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{"citationID":"a19qbnui6i9","properties":{"formattedCitation":"\\super [199]\\nosupersub{}","plainCitation":"[199]","noteIndex":0},"citationItems":[{"id":"D1GMNV0O/QvjDEqoX","uris":["http://zotero.org/users/4804376/items/X3M37JMA"],"uri":["http://zotero.org/users/4804376/items/X3M37JMA"],"itemData":{"id":32,"type":"article-journal","title":"Contributions of the microbial hydrogen economy to colonic homeostasis","container-title":"Nature Reviews Gastroenterology &amp; Hepatology","page":"504-518","volume":"9","issue":"9","source":"CrossRef","abstract":"Colonic gases are among the most tangible features of digestion, yet physicians are typically unable to offer long-term relief from clinical complaints of excessive gas. Studies characterizing colonic gases have linked changes in volume or composition with bowel disorders and shown hydrogen gas (H2), methane, hydrogen sulphide, and carbon dioxide to be by-products of the interplay between H2-producing fermentative bacteria and H2 consumers (reductive acetogens, methanogenic archaea and sulphatereducing bacteria [SRB]). Clinically, H2 and methane measured in breath can indicate lactose and glucose intolerance, small intestinal bacterial overgrowth and IBS. Methane levels are increased in patients with constipation or IBS. Hydrogen sulphide is a by-product of H2 metabolism by SRB, which are ubiquitous in the colonic mucosa. Although higher hydrogen sulphide and SRB levels have been detected in patients with IBD, and to a lesser extent in colorectal cancer, this colonic gas might have beneficial effects. Moreover, H2 has been shown to have antioxidant properties and, in the healthy colon, physiological H2 concentrations might protect the mucosa from oxidative insults, whereas an impaired H2 economy might facilitate inflammation or carcinogenesis. Therefore, standardized breath gas measurements combined with ever-improving molecular methodologies could provide novel strategies to prevent, diagnose or manage numerous colonic disorders.","DOI":"10.1038/nrgastro.2012.85","ISSN":"1759-5045, 1759-5053","language":"en","author":[{"family":"Carbonero","given":"Franck"},{"family":"Benefiel","given":"Ann C."},{"family":"Gaskins","given":"H. Rex"}],"issued":{"date-parts":[["2012",9]]}}}],"schema":"https://github.com/citation-style-language/schema/raw/master/csl-citation.json"} </w:instrText>
      </w:r>
      <w:r w:rsidR="00E8547F"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[199]</w:t>
      </w:r>
      <w:r w:rsidR="00E8547F" w:rsidRPr="00DB7074">
        <w:rPr>
          <w:rFonts w:ascii="Book Antiqua" w:hAnsi="Book Antiqua" w:cs="Times New Roman"/>
          <w:sz w:val="24"/>
          <w:szCs w:val="24"/>
        </w:rPr>
        <w:fldChar w:fldCharType="end"/>
      </w:r>
      <w:r w:rsidR="003E45B2" w:rsidRPr="00DB7074">
        <w:rPr>
          <w:rFonts w:ascii="Book Antiqua" w:hAnsi="Book Antiqua" w:cs="Times New Roman"/>
          <w:sz w:val="24"/>
          <w:szCs w:val="24"/>
        </w:rPr>
        <w:t>.</w:t>
      </w:r>
      <w:r w:rsidR="009B7C78" w:rsidRPr="00DB7074">
        <w:rPr>
          <w:rFonts w:ascii="Book Antiqua" w:hAnsi="Book Antiqua" w:cs="Times New Roman"/>
          <w:sz w:val="24"/>
          <w:szCs w:val="24"/>
        </w:rPr>
        <w:t xml:space="preserve"> </w:t>
      </w:r>
      <w:r w:rsidR="007B1F07" w:rsidRPr="00DB7074">
        <w:rPr>
          <w:rFonts w:ascii="Book Antiqua" w:hAnsi="Book Antiqua" w:cs="Times New Roman"/>
          <w:sz w:val="24"/>
          <w:szCs w:val="24"/>
        </w:rPr>
        <w:t>Using metabolom</w:t>
      </w:r>
      <w:r w:rsidR="00C00778" w:rsidRPr="00DB7074">
        <w:rPr>
          <w:rFonts w:ascii="Book Antiqua" w:hAnsi="Book Antiqua" w:cs="Times New Roman"/>
          <w:sz w:val="24"/>
          <w:szCs w:val="24"/>
        </w:rPr>
        <w:t>e screening</w:t>
      </w:r>
      <w:r w:rsidR="007B1F07" w:rsidRPr="00DB7074">
        <w:rPr>
          <w:rFonts w:ascii="Book Antiqua" w:hAnsi="Book Antiqua" w:cs="Times New Roman"/>
          <w:sz w:val="24"/>
          <w:szCs w:val="24"/>
        </w:rPr>
        <w:t xml:space="preserve">, </w:t>
      </w:r>
      <w:r w:rsidR="00C00778" w:rsidRPr="00DB7074">
        <w:rPr>
          <w:rFonts w:ascii="Book Antiqua" w:hAnsi="Book Antiqua" w:cs="Times New Roman"/>
          <w:sz w:val="24"/>
          <w:szCs w:val="24"/>
        </w:rPr>
        <w:t xml:space="preserve">a metabolic influence of </w:t>
      </w:r>
      <w:r w:rsidR="003C1CA5" w:rsidRPr="00DB7074">
        <w:rPr>
          <w:rFonts w:ascii="Book Antiqua" w:hAnsi="Book Antiqua" w:cs="Times New Roman"/>
          <w:sz w:val="24"/>
          <w:szCs w:val="24"/>
        </w:rPr>
        <w:t xml:space="preserve">microbial biofilms </w:t>
      </w:r>
      <w:r w:rsidR="007B1F07" w:rsidRPr="00DB7074">
        <w:rPr>
          <w:rFonts w:ascii="Book Antiqua" w:hAnsi="Book Antiqua" w:cs="Times New Roman"/>
          <w:sz w:val="24"/>
          <w:szCs w:val="24"/>
        </w:rPr>
        <w:t>on colon</w:t>
      </w:r>
      <w:r w:rsidR="00E44A17" w:rsidRPr="00DB7074">
        <w:rPr>
          <w:rFonts w:ascii="Book Antiqua" w:hAnsi="Book Antiqua" w:cs="Times New Roman"/>
          <w:sz w:val="24"/>
          <w:szCs w:val="24"/>
        </w:rPr>
        <w:t>ic</w:t>
      </w:r>
      <w:r w:rsidR="007B1F07" w:rsidRPr="00DB7074">
        <w:rPr>
          <w:rFonts w:ascii="Book Antiqua" w:hAnsi="Book Antiqua" w:cs="Times New Roman"/>
          <w:sz w:val="24"/>
          <w:szCs w:val="24"/>
        </w:rPr>
        <w:t xml:space="preserve"> tissues and the related occurrence of cancer</w:t>
      </w:r>
      <w:r w:rsidR="00C00778" w:rsidRPr="00DB7074">
        <w:rPr>
          <w:rFonts w:ascii="Book Antiqua" w:hAnsi="Book Antiqua" w:cs="Times New Roman"/>
          <w:sz w:val="24"/>
          <w:szCs w:val="24"/>
        </w:rPr>
        <w:t xml:space="preserve"> has been reported</w:t>
      </w:r>
      <w:r w:rsidR="007B1F07" w:rsidRPr="00DB7074">
        <w:rPr>
          <w:rFonts w:ascii="Book Antiqua" w:hAnsi="Book Antiqua" w:cs="Times New Roman"/>
          <w:sz w:val="24"/>
          <w:szCs w:val="24"/>
        </w:rPr>
        <w:t xml:space="preserve">. </w:t>
      </w:r>
      <w:r w:rsidR="003C1CA5" w:rsidRPr="00DB7074">
        <w:rPr>
          <w:rFonts w:ascii="Book Antiqua" w:hAnsi="Book Antiqua" w:cs="Times New Roman"/>
          <w:sz w:val="24"/>
          <w:szCs w:val="24"/>
        </w:rPr>
        <w:t xml:space="preserve">It was </w:t>
      </w:r>
      <w:r w:rsidR="00E44A17" w:rsidRPr="00DB7074">
        <w:rPr>
          <w:rFonts w:ascii="Book Antiqua" w:hAnsi="Book Antiqua" w:cs="Times New Roman"/>
          <w:sz w:val="24"/>
          <w:szCs w:val="24"/>
        </w:rPr>
        <w:t xml:space="preserve">found </w:t>
      </w:r>
      <w:r w:rsidR="003C1CA5" w:rsidRPr="00DB7074">
        <w:rPr>
          <w:rFonts w:ascii="Book Antiqua" w:hAnsi="Book Antiqua" w:cs="Times New Roman"/>
          <w:sz w:val="24"/>
          <w:szCs w:val="24"/>
        </w:rPr>
        <w:t>that h</w:t>
      </w:r>
      <w:r w:rsidR="007B1F07" w:rsidRPr="00DB7074">
        <w:rPr>
          <w:rFonts w:ascii="Book Antiqua" w:hAnsi="Book Antiqua" w:cs="Times New Roman"/>
          <w:sz w:val="24"/>
          <w:szCs w:val="24"/>
        </w:rPr>
        <w:t xml:space="preserve">ost cancer and </w:t>
      </w:r>
      <w:r w:rsidR="00235021" w:rsidRPr="00DB7074">
        <w:rPr>
          <w:rFonts w:ascii="Book Antiqua" w:hAnsi="Book Antiqua" w:cs="Times New Roman"/>
          <w:sz w:val="24"/>
          <w:szCs w:val="24"/>
        </w:rPr>
        <w:t xml:space="preserve">specific </w:t>
      </w:r>
      <w:r w:rsidR="007B1F07" w:rsidRPr="00DB7074">
        <w:rPr>
          <w:rFonts w:ascii="Book Antiqua" w:hAnsi="Book Antiqua" w:cs="Times New Roman"/>
          <w:sz w:val="24"/>
          <w:szCs w:val="24"/>
        </w:rPr>
        <w:t>bacterial biofilm structures contribute</w:t>
      </w:r>
      <w:r w:rsidR="00E44A17" w:rsidRPr="00DB7074">
        <w:rPr>
          <w:rFonts w:ascii="Book Antiqua" w:hAnsi="Book Antiqua" w:cs="Times New Roman"/>
          <w:sz w:val="24"/>
          <w:szCs w:val="24"/>
        </w:rPr>
        <w:t>d</w:t>
      </w:r>
      <w:r w:rsidR="007B1F07" w:rsidRPr="00DB7074">
        <w:rPr>
          <w:rFonts w:ascii="Book Antiqua" w:hAnsi="Book Antiqua" w:cs="Times New Roman"/>
          <w:sz w:val="24"/>
          <w:szCs w:val="24"/>
        </w:rPr>
        <w:t xml:space="preserve"> to the polyamine metabolite pool</w:t>
      </w:r>
      <w:r w:rsidR="00CC5A9A" w:rsidRPr="00DB7074">
        <w:rPr>
          <w:rFonts w:ascii="Book Antiqua" w:hAnsi="Book Antiqua" w:cs="Times New Roman"/>
          <w:sz w:val="24"/>
          <w:szCs w:val="24"/>
        </w:rPr>
        <w:t xml:space="preserve"> (N</w:t>
      </w:r>
      <w:r w:rsidR="00CC5A9A" w:rsidRPr="00DB7074">
        <w:rPr>
          <w:rFonts w:ascii="Book Antiqua" w:hAnsi="Book Antiqua" w:cs="Times New Roman"/>
          <w:sz w:val="24"/>
          <w:szCs w:val="24"/>
          <w:vertAlign w:val="superscript"/>
        </w:rPr>
        <w:t>1</w:t>
      </w:r>
      <w:r w:rsidR="00CC5A9A" w:rsidRPr="00DB7074">
        <w:rPr>
          <w:rFonts w:ascii="Book Antiqua" w:hAnsi="Book Antiqua" w:cs="Times New Roman"/>
          <w:sz w:val="24"/>
          <w:szCs w:val="24"/>
        </w:rPr>
        <w:t>,N</w:t>
      </w:r>
      <w:r w:rsidR="00CC5A9A" w:rsidRPr="00DB7074">
        <w:rPr>
          <w:rFonts w:ascii="Book Antiqua" w:hAnsi="Book Antiqua" w:cs="Times New Roman"/>
          <w:sz w:val="24"/>
          <w:szCs w:val="24"/>
          <w:vertAlign w:val="superscript"/>
        </w:rPr>
        <w:t>12</w:t>
      </w:r>
      <w:r w:rsidR="00CC5A9A" w:rsidRPr="00DB7074">
        <w:rPr>
          <w:rFonts w:ascii="Book Antiqua" w:hAnsi="Book Antiqua" w:cs="Times New Roman"/>
          <w:sz w:val="24"/>
          <w:szCs w:val="24"/>
        </w:rPr>
        <w:t>-diacetylspermine)</w:t>
      </w:r>
      <w:r w:rsidR="00E44A17" w:rsidRPr="00DB7074">
        <w:rPr>
          <w:rFonts w:ascii="Book Antiqua" w:hAnsi="Book Antiqua" w:cs="Times New Roman"/>
          <w:sz w:val="24"/>
          <w:szCs w:val="24"/>
        </w:rPr>
        <w:t>,</w:t>
      </w:r>
      <w:r w:rsidR="00235021" w:rsidRPr="00DB7074">
        <w:rPr>
          <w:rFonts w:ascii="Book Antiqua" w:hAnsi="Book Antiqua" w:cs="Times New Roman"/>
          <w:sz w:val="24"/>
          <w:szCs w:val="24"/>
        </w:rPr>
        <w:t xml:space="preserve"> which</w:t>
      </w:r>
      <w:r w:rsidR="00E44A17" w:rsidRPr="00DB7074">
        <w:rPr>
          <w:rFonts w:ascii="Book Antiqua" w:hAnsi="Book Antiqua" w:cs="Times New Roman"/>
          <w:sz w:val="24"/>
          <w:szCs w:val="24"/>
        </w:rPr>
        <w:t xml:space="preserve"> might</w:t>
      </w:r>
      <w:r w:rsidR="00235021" w:rsidRPr="00DB7074">
        <w:rPr>
          <w:rFonts w:ascii="Book Antiqua" w:hAnsi="Book Antiqua" w:cs="Times New Roman"/>
          <w:sz w:val="24"/>
          <w:szCs w:val="24"/>
        </w:rPr>
        <w:t xml:space="preserve"> have an impact on </w:t>
      </w:r>
      <w:r w:rsidR="007B1F07" w:rsidRPr="00DB7074">
        <w:rPr>
          <w:rFonts w:ascii="Book Antiqua" w:hAnsi="Book Antiqua" w:cs="Times New Roman"/>
          <w:sz w:val="24"/>
          <w:szCs w:val="24"/>
        </w:rPr>
        <w:t>cancer development and progression</w:t>
      </w:r>
      <w:r w:rsidR="00E8547F"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{"citationID":"aodlsolfs5","properties":{"formattedCitation":"\\super [189]\\nosupersub{}","plainCitation":"[189]","noteIndex":0},"citationItems":[{"id":"D1GMNV0O/UIhxweam","uris":["http://zotero.org/users/4804376/items/VQIP6WRD"],"uri":["http://zotero.org/users/4804376/items/VQIP6WRD"],"itemData":{"id":639,"type":"article-journal","title":"Metabolism links bacterial biofilms and colon carcinogenesis","container-title":"Cell metabolism","page":"891-897","volume":"21","issue":"6","source":"PubMed Central","abstract":"Bacterial biofilms in the colon alter the host tissue microenvironment. A role for biofilms in colon cancer metabolism has been suggested but to date has not been evaluated. Using metabolomics, we investigated the metabolic influence that microbial biofilms have on colon tissues and the related occurrence of cancer. Patient-matched colon cancers and histologically normal tissues, with or without biofilms, were examined. We show the upregulation of polyamine metabolites in tissues from cancer hosts with significant enhancement of N1, N12-diacetylspermine in both biofilm positive cancer and normal tissues. Antibiotic treatment, which cleared biofilms, decreased N1, N12-diacetylspermine levels to those seen in biofilm negative tissues, indicating that host cancer and bacterial biofilm structures contribute to the polyamine metabolite pool. These results show that colonic mucosal biofilms alter the cancer metabolome, to produce a regulator of cellular proliferation and colon cancer growth potentially affecting cancer development and progression.","DOI":"10.1016/j.cmet.2015.04.011","ISSN":"1550-4131","note":"PMID: 25959674\nPMCID: PMC4456201","journalAbbreviation":"Cell Metab","author":[{"family":"Johnson","given":"Caroline H."},{"family":"Dejea","given":"Christine M."},{"family":"Edler","given":"David"},{"family":"Hoang","given":"Linh T."},{"family":"Santidrian","given":"Antonio F."},{"family":"Felding","given":"Brunhilde H."},{"family":"Cho","given":"Kevin"},{"family":"Wick","given":"Elizabeth C."},{"family":"Hechenbleikner","given":"Elizabeth M."},{"family":"Uritboonthai","given":"Winnie"},{"family":"Goetz","given":"Laura"},{"family":"Casero","given":"Robert A."},{"family":"Pardoll","given":"Drew M."},{"family":"White","given":"James R."},{"family":"Patti","given":"Gary J."},{"family":"Sears","given":"Cynthia L."},{"family":"Siuzdak","given":"Gary"}],"issued":{"date-parts":[["2015",6,2]]}}}],"schema":"https://github.com/citation-style-language/schema/raw/master/csl-citation.json"} </w:instrText>
      </w:r>
      <w:r w:rsidR="00E8547F"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[189]</w:t>
      </w:r>
      <w:r w:rsidR="00E8547F" w:rsidRPr="00DB7074">
        <w:rPr>
          <w:rFonts w:ascii="Book Antiqua" w:hAnsi="Book Antiqua" w:cs="Times New Roman"/>
          <w:sz w:val="24"/>
          <w:szCs w:val="24"/>
        </w:rPr>
        <w:fldChar w:fldCharType="end"/>
      </w:r>
      <w:r w:rsidR="006F0137" w:rsidRPr="00DB7074">
        <w:rPr>
          <w:rFonts w:ascii="Book Antiqua" w:hAnsi="Book Antiqua" w:cs="Times New Roman"/>
          <w:sz w:val="24"/>
          <w:szCs w:val="24"/>
        </w:rPr>
        <w:t>.</w:t>
      </w:r>
    </w:p>
    <w:p w14:paraId="27AF52C4" w14:textId="72630D5D" w:rsidR="00BB0A65" w:rsidRPr="00DB7074" w:rsidRDefault="00B71809" w:rsidP="008D60FF">
      <w:pPr>
        <w:snapToGrid w:val="0"/>
        <w:spacing w:after="0" w:line="360" w:lineRule="auto"/>
        <w:ind w:firstLineChars="100" w:firstLine="240"/>
        <w:jc w:val="both"/>
        <w:rPr>
          <w:rFonts w:ascii="Book Antiqua" w:hAnsi="Book Antiqua" w:cs="Times New Roman"/>
          <w:sz w:val="24"/>
          <w:szCs w:val="24"/>
        </w:rPr>
      </w:pPr>
      <w:r w:rsidRPr="00DB7074">
        <w:rPr>
          <w:rFonts w:ascii="Book Antiqua" w:hAnsi="Book Antiqua" w:cs="Times New Roman"/>
          <w:sz w:val="24"/>
          <w:szCs w:val="24"/>
        </w:rPr>
        <w:t xml:space="preserve">All these data suggest that </w:t>
      </w:r>
      <w:r w:rsidR="00507882" w:rsidRPr="00DB7074">
        <w:rPr>
          <w:rFonts w:ascii="Book Antiqua" w:hAnsi="Book Antiqua" w:cs="Times New Roman"/>
          <w:sz w:val="24"/>
          <w:szCs w:val="24"/>
        </w:rPr>
        <w:t>faecal</w:t>
      </w:r>
      <w:r w:rsidRPr="00DB7074">
        <w:rPr>
          <w:rFonts w:ascii="Book Antiqua" w:hAnsi="Book Antiqua" w:cs="Times New Roman"/>
          <w:sz w:val="24"/>
          <w:szCs w:val="24"/>
        </w:rPr>
        <w:t xml:space="preserve"> metabolomics may not only be used for diagnostic</w:t>
      </w:r>
      <w:r w:rsidR="00E44A17" w:rsidRPr="00DB7074">
        <w:rPr>
          <w:rFonts w:ascii="Book Antiqua" w:hAnsi="Book Antiqua" w:cs="Times New Roman"/>
          <w:sz w:val="24"/>
          <w:szCs w:val="24"/>
        </w:rPr>
        <w:t xml:space="preserve"> purposes</w:t>
      </w:r>
      <w:r w:rsidRPr="00DB7074">
        <w:rPr>
          <w:rFonts w:ascii="Book Antiqua" w:hAnsi="Book Antiqua" w:cs="Times New Roman"/>
          <w:sz w:val="24"/>
          <w:szCs w:val="24"/>
        </w:rPr>
        <w:t xml:space="preserve"> but may also serve as a prognostic tool for CRC treatment in the future</w:t>
      </w:r>
      <w:r w:rsidR="00E44A17" w:rsidRPr="00DB7074">
        <w:rPr>
          <w:rFonts w:ascii="Book Antiqua" w:hAnsi="Book Antiqua" w:cs="Times New Roman"/>
          <w:sz w:val="24"/>
          <w:szCs w:val="24"/>
        </w:rPr>
        <w:t>.</w:t>
      </w:r>
    </w:p>
    <w:p w14:paraId="5D04A7F0" w14:textId="77777777" w:rsidR="00640D4A" w:rsidRPr="00DB7074" w:rsidRDefault="00640D4A" w:rsidP="00DB7074">
      <w:pPr>
        <w:snapToGrid w:val="0"/>
        <w:spacing w:after="0" w:line="360" w:lineRule="auto"/>
        <w:ind w:firstLine="708"/>
        <w:jc w:val="both"/>
        <w:rPr>
          <w:rFonts w:ascii="Book Antiqua" w:hAnsi="Book Antiqua" w:cs="Times New Roman"/>
          <w:sz w:val="24"/>
          <w:szCs w:val="24"/>
        </w:rPr>
      </w:pPr>
    </w:p>
    <w:p w14:paraId="22F53762" w14:textId="2C49284D" w:rsidR="00640D4A" w:rsidRPr="00DB7074" w:rsidRDefault="006711EB" w:rsidP="00DB7074">
      <w:pPr>
        <w:snapToGrid w:val="0"/>
        <w:spacing w:after="0" w:line="360" w:lineRule="auto"/>
        <w:jc w:val="both"/>
        <w:rPr>
          <w:rFonts w:ascii="Book Antiqua" w:hAnsi="Book Antiqua"/>
          <w:b/>
          <w:sz w:val="24"/>
          <w:szCs w:val="24"/>
        </w:rPr>
      </w:pPr>
      <w:r w:rsidRPr="00DB7074">
        <w:rPr>
          <w:rFonts w:ascii="Book Antiqua" w:hAnsi="Book Antiqua"/>
          <w:b/>
          <w:sz w:val="24"/>
          <w:szCs w:val="24"/>
        </w:rPr>
        <w:t>MICROBIAL-RELATED BIOMARKERS FOR CRC DIAGNOSIS AND CLASSIFICATION</w:t>
      </w:r>
    </w:p>
    <w:p w14:paraId="32D37DDF" w14:textId="70A237C1" w:rsidR="00BB0A65" w:rsidRPr="00DB7074" w:rsidRDefault="00FF7F61" w:rsidP="00DB7074">
      <w:pPr>
        <w:snapToGrid w:val="0"/>
        <w:spacing w:after="0" w:line="360" w:lineRule="auto"/>
        <w:jc w:val="both"/>
        <w:rPr>
          <w:rFonts w:ascii="Book Antiqua" w:hAnsi="Book Antiqua" w:cs="Times New Roman"/>
          <w:b/>
          <w:i/>
          <w:sz w:val="24"/>
          <w:szCs w:val="24"/>
        </w:rPr>
      </w:pPr>
      <w:r w:rsidRPr="00DB7074">
        <w:rPr>
          <w:rFonts w:ascii="Book Antiqua" w:hAnsi="Book Antiqua" w:cs="Times New Roman"/>
          <w:b/>
          <w:i/>
          <w:sz w:val="24"/>
          <w:szCs w:val="24"/>
        </w:rPr>
        <w:t>V</w:t>
      </w:r>
      <w:r w:rsidR="00BB0A65" w:rsidRPr="00DB7074">
        <w:rPr>
          <w:rFonts w:ascii="Book Antiqua" w:hAnsi="Book Antiqua" w:cs="Times New Roman"/>
          <w:b/>
          <w:i/>
          <w:sz w:val="24"/>
          <w:szCs w:val="24"/>
        </w:rPr>
        <w:t>alidation of multi-bacteria models for early detection</w:t>
      </w:r>
      <w:r w:rsidRPr="00DB7074">
        <w:rPr>
          <w:rFonts w:ascii="Book Antiqua" w:hAnsi="Book Antiqua" w:cs="Times New Roman"/>
          <w:b/>
          <w:i/>
          <w:sz w:val="24"/>
          <w:szCs w:val="24"/>
        </w:rPr>
        <w:t xml:space="preserve"> and/or prognos</w:t>
      </w:r>
      <w:r w:rsidR="00E44A17" w:rsidRPr="00DB7074">
        <w:rPr>
          <w:rFonts w:ascii="Book Antiqua" w:hAnsi="Book Antiqua" w:cs="Times New Roman"/>
          <w:b/>
          <w:i/>
          <w:sz w:val="24"/>
          <w:szCs w:val="24"/>
        </w:rPr>
        <w:t>is determination</w:t>
      </w:r>
    </w:p>
    <w:p w14:paraId="1F37FA48" w14:textId="63911A41" w:rsidR="007E6860" w:rsidRPr="00DB7074" w:rsidRDefault="00256263" w:rsidP="008D60FF">
      <w:pPr>
        <w:snapToGrid w:val="0"/>
        <w:spacing w:after="0" w:line="360" w:lineRule="auto"/>
        <w:jc w:val="both"/>
        <w:rPr>
          <w:rFonts w:ascii="Book Antiqua" w:hAnsi="Book Antiqua" w:cs="Times New Roman"/>
          <w:sz w:val="24"/>
          <w:szCs w:val="24"/>
        </w:rPr>
      </w:pPr>
      <w:r w:rsidRPr="00DB7074">
        <w:rPr>
          <w:rFonts w:ascii="Book Antiqua" w:hAnsi="Book Antiqua" w:cs="Times New Roman"/>
          <w:sz w:val="24"/>
          <w:szCs w:val="24"/>
        </w:rPr>
        <w:t xml:space="preserve">Even if a precise microbial signature associated with CRC and </w:t>
      </w:r>
      <w:r w:rsidR="00E44A17" w:rsidRPr="00DB7074">
        <w:rPr>
          <w:rFonts w:ascii="Book Antiqua" w:hAnsi="Book Antiqua" w:cs="Times New Roman"/>
          <w:sz w:val="24"/>
          <w:szCs w:val="24"/>
        </w:rPr>
        <w:t xml:space="preserve">a </w:t>
      </w:r>
      <w:r w:rsidRPr="00DB7074">
        <w:rPr>
          <w:rFonts w:ascii="Book Antiqua" w:hAnsi="Book Antiqua" w:cs="Times New Roman"/>
          <w:sz w:val="24"/>
          <w:szCs w:val="24"/>
        </w:rPr>
        <w:t xml:space="preserve">precancerous lesion </w:t>
      </w:r>
      <w:r w:rsidR="00E44A17" w:rsidRPr="00DB7074">
        <w:rPr>
          <w:rFonts w:ascii="Book Antiqua" w:hAnsi="Book Antiqua" w:cs="Times New Roman"/>
          <w:sz w:val="24"/>
          <w:szCs w:val="24"/>
        </w:rPr>
        <w:t xml:space="preserve">have </w:t>
      </w:r>
      <w:r w:rsidRPr="00DB7074">
        <w:rPr>
          <w:rFonts w:ascii="Book Antiqua" w:hAnsi="Book Antiqua" w:cs="Times New Roman"/>
          <w:sz w:val="24"/>
          <w:szCs w:val="24"/>
        </w:rPr>
        <w:t xml:space="preserve">not been </w:t>
      </w:r>
      <w:r w:rsidR="00623D5A" w:rsidRPr="00DB7074">
        <w:rPr>
          <w:rFonts w:ascii="Book Antiqua" w:hAnsi="Book Antiqua" w:cs="Times New Roman"/>
          <w:sz w:val="24"/>
          <w:szCs w:val="24"/>
        </w:rPr>
        <w:t xml:space="preserve">exactly </w:t>
      </w:r>
      <w:r w:rsidRPr="00DB7074">
        <w:rPr>
          <w:rFonts w:ascii="Book Antiqua" w:hAnsi="Book Antiqua" w:cs="Times New Roman"/>
          <w:sz w:val="24"/>
          <w:szCs w:val="24"/>
        </w:rPr>
        <w:t xml:space="preserve">defined, different works </w:t>
      </w:r>
      <w:r w:rsidR="00E44A17" w:rsidRPr="00DB7074">
        <w:rPr>
          <w:rFonts w:ascii="Book Antiqua" w:hAnsi="Book Antiqua" w:cs="Times New Roman"/>
          <w:sz w:val="24"/>
          <w:szCs w:val="24"/>
        </w:rPr>
        <w:t xml:space="preserve">have </w:t>
      </w:r>
      <w:r w:rsidR="00C65594" w:rsidRPr="00DB7074">
        <w:rPr>
          <w:rFonts w:ascii="Book Antiqua" w:hAnsi="Book Antiqua" w:cs="Times New Roman"/>
          <w:sz w:val="24"/>
          <w:szCs w:val="24"/>
        </w:rPr>
        <w:t>show</w:t>
      </w:r>
      <w:r w:rsidR="00E44A17" w:rsidRPr="00DB7074">
        <w:rPr>
          <w:rFonts w:ascii="Book Antiqua" w:hAnsi="Book Antiqua" w:cs="Times New Roman"/>
          <w:sz w:val="24"/>
          <w:szCs w:val="24"/>
        </w:rPr>
        <w:t>n</w:t>
      </w:r>
      <w:r w:rsidRPr="00DB7074">
        <w:rPr>
          <w:rFonts w:ascii="Book Antiqua" w:hAnsi="Book Antiqua" w:cs="Times New Roman"/>
          <w:sz w:val="24"/>
          <w:szCs w:val="24"/>
        </w:rPr>
        <w:t xml:space="preserve"> that dysbiosis </w:t>
      </w:r>
      <w:r w:rsidR="00E44A17" w:rsidRPr="00DB7074">
        <w:rPr>
          <w:rFonts w:ascii="Book Antiqua" w:hAnsi="Book Antiqua" w:cs="Times New Roman"/>
          <w:sz w:val="24"/>
          <w:szCs w:val="24"/>
        </w:rPr>
        <w:t xml:space="preserve">may </w:t>
      </w:r>
      <w:r w:rsidRPr="00DB7074">
        <w:rPr>
          <w:rFonts w:ascii="Book Antiqua" w:hAnsi="Book Antiqua" w:cs="Times New Roman"/>
          <w:sz w:val="24"/>
          <w:szCs w:val="24"/>
        </w:rPr>
        <w:t xml:space="preserve">provide new significant biomarkers </w:t>
      </w:r>
      <w:r w:rsidR="004A25AB" w:rsidRPr="00DB7074">
        <w:rPr>
          <w:rFonts w:ascii="Book Antiqua" w:hAnsi="Book Antiqua" w:cs="Times New Roman"/>
          <w:sz w:val="24"/>
          <w:szCs w:val="24"/>
        </w:rPr>
        <w:t>for CRC diagnosis or prognos</w:t>
      </w:r>
      <w:r w:rsidR="00E44A17" w:rsidRPr="00DB7074">
        <w:rPr>
          <w:rFonts w:ascii="Book Antiqua" w:hAnsi="Book Antiqua" w:cs="Times New Roman"/>
          <w:sz w:val="24"/>
          <w:szCs w:val="24"/>
        </w:rPr>
        <w:t>tic determination</w:t>
      </w:r>
      <w:r w:rsidR="004A25AB" w:rsidRPr="00DB7074">
        <w:rPr>
          <w:rFonts w:ascii="Book Antiqua" w:hAnsi="Book Antiqua" w:cs="Times New Roman"/>
          <w:sz w:val="24"/>
          <w:szCs w:val="24"/>
        </w:rPr>
        <w:t xml:space="preserve">. </w:t>
      </w:r>
    </w:p>
    <w:p w14:paraId="4AD87FB2" w14:textId="7AD7EFD4" w:rsidR="00D13ED2" w:rsidRPr="00DB7074" w:rsidRDefault="004A25AB" w:rsidP="00DB7074">
      <w:pPr>
        <w:snapToGrid w:val="0"/>
        <w:spacing w:after="0" w:line="360" w:lineRule="auto"/>
        <w:jc w:val="both"/>
        <w:rPr>
          <w:rFonts w:ascii="Book Antiqua" w:hAnsi="Book Antiqua" w:cs="Times New Roman"/>
          <w:sz w:val="24"/>
          <w:szCs w:val="24"/>
        </w:rPr>
      </w:pPr>
      <w:r w:rsidRPr="00DB7074">
        <w:rPr>
          <w:rFonts w:ascii="Book Antiqua" w:hAnsi="Book Antiqua" w:cs="Times New Roman"/>
          <w:sz w:val="24"/>
          <w:szCs w:val="24"/>
        </w:rPr>
        <w:t xml:space="preserve">Several studies were able to </w:t>
      </w:r>
      <w:r w:rsidR="00E44A17" w:rsidRPr="00DB7074">
        <w:rPr>
          <w:rFonts w:ascii="Book Antiqua" w:hAnsi="Book Antiqua" w:cs="Times New Roman"/>
          <w:sz w:val="24"/>
          <w:szCs w:val="24"/>
        </w:rPr>
        <w:t>determine</w:t>
      </w:r>
      <w:r w:rsidRPr="00DB7074">
        <w:rPr>
          <w:rFonts w:ascii="Book Antiqua" w:hAnsi="Book Antiqua" w:cs="Times New Roman"/>
          <w:sz w:val="24"/>
          <w:szCs w:val="24"/>
        </w:rPr>
        <w:t xml:space="preserve"> a correlation between </w:t>
      </w:r>
      <w:r w:rsidR="00507882" w:rsidRPr="00DB7074">
        <w:rPr>
          <w:rFonts w:ascii="Book Antiqua" w:hAnsi="Book Antiqua" w:cs="Times New Roman"/>
          <w:sz w:val="24"/>
          <w:szCs w:val="24"/>
        </w:rPr>
        <w:t>faecal</w:t>
      </w:r>
      <w:r w:rsidRPr="00DB7074">
        <w:rPr>
          <w:rFonts w:ascii="Book Antiqua" w:hAnsi="Book Antiqua" w:cs="Times New Roman"/>
          <w:sz w:val="24"/>
          <w:szCs w:val="24"/>
        </w:rPr>
        <w:t xml:space="preserve"> microbial dysbiosis and CRC prognosis/diagnosis. </w:t>
      </w:r>
      <w:r w:rsidR="00D13ED2" w:rsidRPr="00DB7074">
        <w:rPr>
          <w:rFonts w:ascii="Book Antiqua" w:hAnsi="Book Antiqua" w:cs="Times New Roman"/>
          <w:sz w:val="24"/>
          <w:szCs w:val="24"/>
        </w:rPr>
        <w:t xml:space="preserve">In 2014, Zackular et al. used </w:t>
      </w:r>
      <w:r w:rsidR="00507882" w:rsidRPr="00DB7074">
        <w:rPr>
          <w:rFonts w:ascii="Book Antiqua" w:hAnsi="Book Antiqua" w:cs="Times New Roman"/>
          <w:sz w:val="24"/>
          <w:szCs w:val="24"/>
        </w:rPr>
        <w:t>faecal</w:t>
      </w:r>
      <w:r w:rsidR="00D13ED2" w:rsidRPr="00DB7074">
        <w:rPr>
          <w:rFonts w:ascii="Book Antiqua" w:hAnsi="Book Antiqua" w:cs="Times New Roman"/>
          <w:sz w:val="24"/>
          <w:szCs w:val="24"/>
        </w:rPr>
        <w:t xml:space="preserve"> samples from 30 CRC</w:t>
      </w:r>
      <w:r w:rsidR="00B0268F" w:rsidRPr="00DB7074">
        <w:rPr>
          <w:rFonts w:ascii="Book Antiqua" w:hAnsi="Book Antiqua" w:cs="Times New Roman"/>
          <w:sz w:val="24"/>
          <w:szCs w:val="24"/>
        </w:rPr>
        <w:t xml:space="preserve"> patients</w:t>
      </w:r>
      <w:r w:rsidR="00D13ED2" w:rsidRPr="00DB7074">
        <w:rPr>
          <w:rFonts w:ascii="Book Antiqua" w:hAnsi="Book Antiqua" w:cs="Times New Roman"/>
          <w:sz w:val="24"/>
          <w:szCs w:val="24"/>
        </w:rPr>
        <w:t xml:space="preserve">, 30 colonic adenoma </w:t>
      </w:r>
      <w:r w:rsidR="00B0268F" w:rsidRPr="00DB7074">
        <w:rPr>
          <w:rFonts w:ascii="Book Antiqua" w:hAnsi="Book Antiqua" w:cs="Times New Roman"/>
          <w:sz w:val="24"/>
          <w:szCs w:val="24"/>
        </w:rPr>
        <w:t xml:space="preserve">patients </w:t>
      </w:r>
      <w:r w:rsidR="00D13ED2" w:rsidRPr="00DB7074">
        <w:rPr>
          <w:rFonts w:ascii="Book Antiqua" w:hAnsi="Book Antiqua" w:cs="Times New Roman"/>
          <w:sz w:val="24"/>
          <w:szCs w:val="24"/>
        </w:rPr>
        <w:t xml:space="preserve">and 30 healthy controls to establish </w:t>
      </w:r>
      <w:r w:rsidR="00B0268F" w:rsidRPr="00DB7074">
        <w:rPr>
          <w:rFonts w:ascii="Book Antiqua" w:hAnsi="Book Antiqua" w:cs="Times New Roman"/>
          <w:sz w:val="24"/>
          <w:szCs w:val="24"/>
        </w:rPr>
        <w:t xml:space="preserve">a classification </w:t>
      </w:r>
      <w:r w:rsidR="00D13ED2" w:rsidRPr="00DB7074">
        <w:rPr>
          <w:rFonts w:ascii="Book Antiqua" w:hAnsi="Book Antiqua" w:cs="Times New Roman"/>
          <w:sz w:val="24"/>
          <w:szCs w:val="24"/>
        </w:rPr>
        <w:t>model</w:t>
      </w:r>
      <w:r w:rsidR="00452A81"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{"citationID":"amtm4vop7n","properties":{"formattedCitation":"\\super [140]\\nosupersub{}","plainCitation":"[140]","noteIndex":0},"citationItems":[{"id":"D1GMNV0O/RlkOpL7n","uris":["http://zotero.org/users/4804376/items/ZDLTIXR7"],"uri":["http://zotero.org/users/4804376/items/ZDLTIXR7"],"itemData":{"id":54,"type":"article-journal","title":"The Human Gut Microbiome as a Screening Tool for Colorectal Cancer","container-title":"Cancer Prevention Research","page":"1112-1121","volume":"7","issue":"11","source":"CrossRef","abstract":"Recent studies have suggested that the gut microbiome may be an important factor in the development of colorectal cancer (CRC). Abnormalities in the gut microbiome have been reported in patients with CRC; however, this microbial community has not been explored as a potential screen for early stage disease. We characterized the gut microbiome in patients from three clinical groups representing the stages of CRC development: health, adenoma, and carcinoma. Analysis of the gut microbiome from stool samples revealed both an enrichment and depletion of several bacterial populations associated with adenomas and carcinomas. Combined with known clinical risk factors of CRC (e.g. BMI, age, race), data from the gut microbiome significantly improved the ability to differentiate between healthy, adenoma, and carcinoma clinical groups relative to risk factors alone. Using Bayesian methods, we determined that using gut microbiome data as a screening tool improved the pre-test to post-test probability of adenoma over 50-fold. For example, the pre-test probability in a 65 year-old was 0.17% and, after using the microbiome data, this increased to 10.67% (1 in 9 chance of having an adenoma). Taken together the results of our study demonstrate the feasibility of using the composition of the gut microbiome to detect the presence of precancerous and cancerous lesions. Furthermore, these results support the need for more cross sectional studies with diverse populations and linkage to other stool markers, dietary data, and personal health information.","DOI":"10.1158/1940-6207.CAPR-14-0129","ISSN":"1940-6207, 1940-6215","language":"en","author":[{"family":"Zackular","given":"J. P."},{"family":"Rogers","given":"M. A. M."},{"family":"Ruffin","given":"M. T."},{"family":"Schloss","given":"P. D."}],"issued":{"date-parts":[["2014",11,1]]}}}],"schema":"https://github.com/citation-style-language/schema/raw/master/csl-citation.json"} </w:instrText>
      </w:r>
      <w:r w:rsidR="00452A81"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[140]</w:t>
      </w:r>
      <w:r w:rsidR="00452A81" w:rsidRPr="00DB7074">
        <w:rPr>
          <w:rFonts w:ascii="Book Antiqua" w:hAnsi="Book Antiqua" w:cs="Times New Roman"/>
          <w:sz w:val="24"/>
          <w:szCs w:val="24"/>
        </w:rPr>
        <w:fldChar w:fldCharType="end"/>
      </w:r>
      <w:r w:rsidR="00D13ED2" w:rsidRPr="00DB7074">
        <w:rPr>
          <w:rFonts w:ascii="Book Antiqua" w:hAnsi="Book Antiqua" w:cs="Times New Roman"/>
          <w:sz w:val="24"/>
          <w:szCs w:val="24"/>
        </w:rPr>
        <w:t xml:space="preserve">. </w:t>
      </w:r>
      <w:r w:rsidR="00B0268F" w:rsidRPr="00DB7074">
        <w:rPr>
          <w:rFonts w:ascii="Book Antiqua" w:hAnsi="Book Antiqua" w:cs="Times New Roman"/>
          <w:sz w:val="24"/>
          <w:szCs w:val="24"/>
        </w:rPr>
        <w:t>The a</w:t>
      </w:r>
      <w:r w:rsidR="00D13ED2" w:rsidRPr="00DB7074">
        <w:rPr>
          <w:rFonts w:ascii="Book Antiqua" w:hAnsi="Book Antiqua" w:cs="Times New Roman"/>
          <w:sz w:val="24"/>
          <w:szCs w:val="24"/>
        </w:rPr>
        <w:t xml:space="preserve">uthors observed significant differences in the gut microbiome of healthy controls when compared </w:t>
      </w:r>
      <w:r w:rsidR="00B0268F" w:rsidRPr="00DB7074">
        <w:rPr>
          <w:rFonts w:ascii="Book Antiqua" w:hAnsi="Book Antiqua" w:cs="Times New Roman"/>
          <w:sz w:val="24"/>
          <w:szCs w:val="24"/>
        </w:rPr>
        <w:t>with</w:t>
      </w:r>
      <w:r w:rsidR="00D13ED2" w:rsidRPr="00DB7074">
        <w:rPr>
          <w:rFonts w:ascii="Book Antiqua" w:hAnsi="Book Antiqua" w:cs="Times New Roman"/>
          <w:sz w:val="24"/>
          <w:szCs w:val="24"/>
        </w:rPr>
        <w:t xml:space="preserve"> those with adenoma or CRC, and </w:t>
      </w:r>
      <w:r w:rsidR="00B0268F" w:rsidRPr="00DB7074">
        <w:rPr>
          <w:rFonts w:ascii="Book Antiqua" w:hAnsi="Book Antiqua" w:cs="Times New Roman"/>
          <w:sz w:val="24"/>
          <w:szCs w:val="24"/>
        </w:rPr>
        <w:t xml:space="preserve">faecal microbial screening had </w:t>
      </w:r>
      <w:r w:rsidR="00D13ED2" w:rsidRPr="00DB7074">
        <w:rPr>
          <w:rFonts w:ascii="Book Antiqua" w:hAnsi="Book Antiqua" w:cs="Times New Roman"/>
          <w:sz w:val="24"/>
          <w:szCs w:val="24"/>
        </w:rPr>
        <w:t xml:space="preserve">an accuracy of 0.798 AUC </w:t>
      </w:r>
      <w:r w:rsidR="00B0268F" w:rsidRPr="00DB7074">
        <w:rPr>
          <w:rFonts w:ascii="Book Antiqua" w:hAnsi="Book Antiqua" w:cs="Times New Roman"/>
          <w:sz w:val="24"/>
          <w:szCs w:val="24"/>
        </w:rPr>
        <w:t>for</w:t>
      </w:r>
      <w:r w:rsidR="00D13ED2" w:rsidRPr="00DB7074">
        <w:rPr>
          <w:rFonts w:ascii="Book Antiqua" w:hAnsi="Book Antiqua" w:cs="Times New Roman"/>
          <w:sz w:val="24"/>
          <w:szCs w:val="24"/>
        </w:rPr>
        <w:t xml:space="preserve"> predict</w:t>
      </w:r>
      <w:r w:rsidR="00B0268F" w:rsidRPr="00DB7074">
        <w:rPr>
          <w:rFonts w:ascii="Book Antiqua" w:hAnsi="Book Antiqua" w:cs="Times New Roman"/>
          <w:sz w:val="24"/>
          <w:szCs w:val="24"/>
        </w:rPr>
        <w:t>ing</w:t>
      </w:r>
      <w:r w:rsidR="00D13ED2" w:rsidRPr="00DB7074">
        <w:rPr>
          <w:rFonts w:ascii="Book Antiqua" w:hAnsi="Book Antiqua" w:cs="Times New Roman"/>
          <w:sz w:val="24"/>
          <w:szCs w:val="24"/>
        </w:rPr>
        <w:t xml:space="preserve"> CRC. By combining their gut microbiome data with known clinical risk factors (</w:t>
      </w:r>
      <w:r w:rsidR="00B0268F" w:rsidRPr="00DB7074">
        <w:rPr>
          <w:rFonts w:ascii="Book Antiqua" w:hAnsi="Book Antiqua" w:cs="Times New Roman"/>
          <w:sz w:val="24"/>
          <w:szCs w:val="24"/>
        </w:rPr>
        <w:t>b</w:t>
      </w:r>
      <w:r w:rsidR="00D13ED2" w:rsidRPr="00DB7074">
        <w:rPr>
          <w:rFonts w:ascii="Book Antiqua" w:hAnsi="Book Antiqua" w:cs="Times New Roman"/>
          <w:sz w:val="24"/>
          <w:szCs w:val="24"/>
        </w:rPr>
        <w:t xml:space="preserve">ody </w:t>
      </w:r>
      <w:r w:rsidR="00B0268F" w:rsidRPr="00DB7074">
        <w:rPr>
          <w:rFonts w:ascii="Book Antiqua" w:hAnsi="Book Antiqua" w:cs="Times New Roman"/>
          <w:sz w:val="24"/>
          <w:szCs w:val="24"/>
        </w:rPr>
        <w:t>m</w:t>
      </w:r>
      <w:r w:rsidR="00D13ED2" w:rsidRPr="00DB7074">
        <w:rPr>
          <w:rFonts w:ascii="Book Antiqua" w:hAnsi="Book Antiqua" w:cs="Times New Roman"/>
          <w:sz w:val="24"/>
          <w:szCs w:val="24"/>
        </w:rPr>
        <w:t xml:space="preserve">ass </w:t>
      </w:r>
      <w:r w:rsidR="00B0268F" w:rsidRPr="00DB7074">
        <w:rPr>
          <w:rFonts w:ascii="Book Antiqua" w:hAnsi="Book Antiqua" w:cs="Times New Roman"/>
          <w:sz w:val="24"/>
          <w:szCs w:val="24"/>
        </w:rPr>
        <w:t>i</w:t>
      </w:r>
      <w:r w:rsidR="00D13ED2" w:rsidRPr="00DB7074">
        <w:rPr>
          <w:rFonts w:ascii="Book Antiqua" w:hAnsi="Book Antiqua" w:cs="Times New Roman"/>
          <w:sz w:val="24"/>
          <w:szCs w:val="24"/>
        </w:rPr>
        <w:t xml:space="preserve">ndex, </w:t>
      </w:r>
      <w:r w:rsidR="00B0268F" w:rsidRPr="00DB7074">
        <w:rPr>
          <w:rFonts w:ascii="Book Antiqua" w:hAnsi="Book Antiqua" w:cs="Times New Roman"/>
          <w:sz w:val="24"/>
          <w:szCs w:val="24"/>
        </w:rPr>
        <w:t>a</w:t>
      </w:r>
      <w:r w:rsidR="00D13ED2" w:rsidRPr="00DB7074">
        <w:rPr>
          <w:rFonts w:ascii="Book Antiqua" w:hAnsi="Book Antiqua" w:cs="Times New Roman"/>
          <w:sz w:val="24"/>
          <w:szCs w:val="24"/>
        </w:rPr>
        <w:t xml:space="preserve">ge, </w:t>
      </w:r>
      <w:proofErr w:type="gramStart"/>
      <w:r w:rsidR="00B0268F" w:rsidRPr="00DB7074">
        <w:rPr>
          <w:rFonts w:ascii="Book Antiqua" w:hAnsi="Book Antiqua" w:cs="Times New Roman"/>
          <w:sz w:val="24"/>
          <w:szCs w:val="24"/>
        </w:rPr>
        <w:t>r</w:t>
      </w:r>
      <w:r w:rsidR="00D13ED2" w:rsidRPr="00DB7074">
        <w:rPr>
          <w:rFonts w:ascii="Book Antiqua" w:hAnsi="Book Antiqua" w:cs="Times New Roman"/>
          <w:sz w:val="24"/>
          <w:szCs w:val="24"/>
        </w:rPr>
        <w:t>ace</w:t>
      </w:r>
      <w:proofErr w:type="gramEnd"/>
      <w:r w:rsidR="00D13ED2" w:rsidRPr="00DB7074">
        <w:rPr>
          <w:rFonts w:ascii="Book Antiqua" w:hAnsi="Book Antiqua" w:cs="Times New Roman"/>
          <w:sz w:val="24"/>
          <w:szCs w:val="24"/>
        </w:rPr>
        <w:t xml:space="preserve">), they were able to significantly improve the ability </w:t>
      </w:r>
      <w:r w:rsidR="00B0268F" w:rsidRPr="00DB7074">
        <w:rPr>
          <w:rFonts w:ascii="Book Antiqua" w:hAnsi="Book Antiqua" w:cs="Times New Roman"/>
          <w:sz w:val="24"/>
          <w:szCs w:val="24"/>
        </w:rPr>
        <w:t xml:space="preserve">of faecal microbial screening </w:t>
      </w:r>
      <w:r w:rsidR="00D13ED2" w:rsidRPr="00DB7074">
        <w:rPr>
          <w:rFonts w:ascii="Book Antiqua" w:hAnsi="Book Antiqua" w:cs="Times New Roman"/>
          <w:sz w:val="24"/>
          <w:szCs w:val="24"/>
        </w:rPr>
        <w:t xml:space="preserve">to discriminate </w:t>
      </w:r>
      <w:r w:rsidR="00B0268F" w:rsidRPr="00DB7074">
        <w:rPr>
          <w:rFonts w:ascii="Book Antiqua" w:hAnsi="Book Antiqua" w:cs="Times New Roman"/>
          <w:sz w:val="24"/>
          <w:szCs w:val="24"/>
        </w:rPr>
        <w:t xml:space="preserve">between </w:t>
      </w:r>
      <w:r w:rsidR="00D13ED2" w:rsidRPr="00DB7074">
        <w:rPr>
          <w:rFonts w:ascii="Book Antiqua" w:hAnsi="Book Antiqua" w:cs="Times New Roman"/>
          <w:sz w:val="24"/>
          <w:szCs w:val="24"/>
        </w:rPr>
        <w:t xml:space="preserve">the three clinical groups when </w:t>
      </w:r>
      <w:r w:rsidR="00E5106C" w:rsidRPr="00DB7074">
        <w:rPr>
          <w:rFonts w:ascii="Book Antiqua" w:hAnsi="Book Antiqua" w:cs="Times New Roman"/>
          <w:sz w:val="24"/>
          <w:szCs w:val="24"/>
        </w:rPr>
        <w:t xml:space="preserve">compared </w:t>
      </w:r>
      <w:r w:rsidR="00B0268F" w:rsidRPr="00DB7074">
        <w:rPr>
          <w:rFonts w:ascii="Book Antiqua" w:hAnsi="Book Antiqua" w:cs="Times New Roman"/>
          <w:sz w:val="24"/>
          <w:szCs w:val="24"/>
        </w:rPr>
        <w:t>with</w:t>
      </w:r>
      <w:r w:rsidR="00E5106C" w:rsidRPr="00DB7074">
        <w:rPr>
          <w:rFonts w:ascii="Book Antiqua" w:hAnsi="Book Antiqua" w:cs="Times New Roman"/>
          <w:sz w:val="24"/>
          <w:szCs w:val="24"/>
        </w:rPr>
        <w:t xml:space="preserve"> risk factors alone. Zeller et al.</w:t>
      </w:r>
      <w:r w:rsidR="00D13ED2" w:rsidRPr="00DB7074">
        <w:rPr>
          <w:rFonts w:ascii="Book Antiqua" w:hAnsi="Book Antiqua" w:cs="Times New Roman"/>
          <w:sz w:val="24"/>
          <w:szCs w:val="24"/>
        </w:rPr>
        <w:t>, with 53 CRC</w:t>
      </w:r>
      <w:r w:rsidR="00B0268F" w:rsidRPr="00DB7074">
        <w:rPr>
          <w:rFonts w:ascii="Book Antiqua" w:hAnsi="Book Antiqua" w:cs="Times New Roman"/>
          <w:sz w:val="24"/>
          <w:szCs w:val="24"/>
        </w:rPr>
        <w:t xml:space="preserve"> patients</w:t>
      </w:r>
      <w:r w:rsidR="00D13ED2" w:rsidRPr="00DB7074">
        <w:rPr>
          <w:rFonts w:ascii="Book Antiqua" w:hAnsi="Book Antiqua" w:cs="Times New Roman"/>
          <w:sz w:val="24"/>
          <w:szCs w:val="24"/>
        </w:rPr>
        <w:t>, 42 adenoma</w:t>
      </w:r>
      <w:r w:rsidR="00B0268F" w:rsidRPr="00DB7074">
        <w:rPr>
          <w:rFonts w:ascii="Book Antiqua" w:hAnsi="Book Antiqua" w:cs="Times New Roman"/>
          <w:sz w:val="24"/>
          <w:szCs w:val="24"/>
        </w:rPr>
        <w:t xml:space="preserve"> patients</w:t>
      </w:r>
      <w:r w:rsidR="00D13ED2" w:rsidRPr="00DB7074">
        <w:rPr>
          <w:rFonts w:ascii="Book Antiqua" w:hAnsi="Book Antiqua" w:cs="Times New Roman"/>
          <w:sz w:val="24"/>
          <w:szCs w:val="24"/>
        </w:rPr>
        <w:t xml:space="preserve"> and 61 controls, established </w:t>
      </w:r>
      <w:r w:rsidR="00B0268F" w:rsidRPr="00DB7074">
        <w:rPr>
          <w:rFonts w:ascii="Book Antiqua" w:hAnsi="Book Antiqua" w:cs="Times New Roman"/>
          <w:sz w:val="24"/>
          <w:szCs w:val="24"/>
        </w:rPr>
        <w:t xml:space="preserve">a </w:t>
      </w:r>
      <w:r w:rsidR="00D13ED2" w:rsidRPr="00DB7074">
        <w:rPr>
          <w:rFonts w:ascii="Book Antiqua" w:hAnsi="Book Antiqua" w:cs="Times New Roman"/>
          <w:sz w:val="24"/>
          <w:szCs w:val="24"/>
        </w:rPr>
        <w:t xml:space="preserve">16S-based classifier for CRC detection and validated their </w:t>
      </w:r>
      <w:r w:rsidR="00E5106C" w:rsidRPr="00DB7074">
        <w:rPr>
          <w:rFonts w:ascii="Book Antiqua" w:hAnsi="Book Antiqua" w:cs="Times New Roman"/>
          <w:sz w:val="24"/>
          <w:szCs w:val="24"/>
        </w:rPr>
        <w:t>model with an accuracy of 0.82</w:t>
      </w:r>
      <w:r w:rsidR="00452A81"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{"citationID":"a9f7f9j4gm","properties":{"formattedCitation":"\\super [131]\\nosupersub{}","plainCitation":"[131]","noteIndex":0},"citationItems":[{"id":"D1GMNV0O/6FXNbvpi","uris":["http://zotero.org/users/4804376/items/M58YNUQZ"],"uri":["http://zotero.org/users/4804376/items/M58YNUQZ"],"itemData":{"id":75,"type":"article-journal","title":"Potential of fecal microbiota for early-stage detection of colorectal cancer","container-title":"Molecular Systems Biology","page":"766-766","volume":"10","issue":"11","source":"CrossRef","abstract":"Several bacterial species have been implicated in the development of colorectal carcinoma (CRC), but CRC-associated changes of fecal microbiota and their potential for cancer screening remain to be explored. Here, we used metagenomic sequencing of fecal samples to identify taxonomic markers that distinguished CRC patients from tumor-free controls in a study population of 156 participants. Accuracy of metagenomic CRC detection was similar to the standard fecal occult blood test (FOBT) and when both approaches were combined, sensitivity improved &gt; 45% relative to the FOBT, while maintaining its specificity. Accuracy of metagenomic CRC detection did not differ significantly between early- and late-stage cancer and could be validated in independent patient and control populations (N = 335) from different countries. CRC-associated changes in the fecal microbiome at least partially reflected microbial community composition at the tumor itself, indicating that observed gene pool differences may reveal tumor-related host–microbe interactions. Indeed, we deduced a metabolic shift from fiber degradation in controls to utilization of host carbohydrates and amino acids in CRC patients, accompanied by an increase of lipopolysaccharide metabolism.","DOI":"10.15252/msb.20145645","ISSN":"1744-4292","language":"en","author":[{"family":"Zeller","given":"G."},{"family":"Tap","given":"J."},{"family":"Voigt","given":"A. Y."},{"family":"Sunagawa","given":"S."},{"family":"Kultima","given":"J. R."},{"family":"Costea","given":"P. I."},{"family":"Amiot","given":"A."},{"family":"Bohm","given":"J."},{"family":"Brunetti","given":"F."},{"family":"Habermann","given":"N."},{"family":"Hercog","given":"R."},{"family":"Koch","given":"M."},{"family":"Luciani","given":"A."},{"family":"Mende","given":"D. R."},{"family":"Schneider","given":"M. A."},{"family":"Schrotz-King","given":"P."},{"family":"Tournigand","given":"C."},{"family":"Tran Van Nhieu","given":"J."},{"family":"Yamada","given":"T."},{"family":"Zimmermann","given":"J."},{"family":"Benes","given":"V."},{"family":"Kloor","given":"M."},{"family":"Ulrich","given":"C. M."},{"family":"Knebel Doeberitz","given":"M.","non-dropping-particle":"von"},{"family":"Sobhani","given":"I."},{"family":"Bork","given":"P."}],"issued":{"date-parts":[["2014",11,28]]}}}],"schema":"https://github.com/citation-style-language/schema/raw/master/csl-citation.json"} </w:instrText>
      </w:r>
      <w:r w:rsidR="00452A81"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[131]</w:t>
      </w:r>
      <w:r w:rsidR="00452A81" w:rsidRPr="00DB7074">
        <w:rPr>
          <w:rFonts w:ascii="Book Antiqua" w:hAnsi="Book Antiqua" w:cs="Times New Roman"/>
          <w:sz w:val="24"/>
          <w:szCs w:val="24"/>
        </w:rPr>
        <w:fldChar w:fldCharType="end"/>
      </w:r>
      <w:r w:rsidR="00D13ED2" w:rsidRPr="00DB7074">
        <w:rPr>
          <w:rFonts w:ascii="Book Antiqua" w:hAnsi="Book Antiqua" w:cs="Times New Roman"/>
          <w:sz w:val="24"/>
          <w:szCs w:val="24"/>
        </w:rPr>
        <w:t>. More recently, Ai et a</w:t>
      </w:r>
      <w:r w:rsidR="00E5106C" w:rsidRPr="00DB7074">
        <w:rPr>
          <w:rFonts w:ascii="Book Antiqua" w:hAnsi="Book Antiqua" w:cs="Times New Roman"/>
          <w:sz w:val="24"/>
          <w:szCs w:val="24"/>
        </w:rPr>
        <w:t xml:space="preserve">l. </w:t>
      </w:r>
      <w:r w:rsidR="00D13ED2" w:rsidRPr="00DB7074">
        <w:rPr>
          <w:rFonts w:ascii="Book Antiqua" w:hAnsi="Book Antiqua" w:cs="Times New Roman"/>
          <w:sz w:val="24"/>
          <w:szCs w:val="24"/>
        </w:rPr>
        <w:t xml:space="preserve">sequenced the 16S rRNA gene from </w:t>
      </w:r>
      <w:r w:rsidR="00B0268F" w:rsidRPr="00DB7074">
        <w:rPr>
          <w:rFonts w:ascii="Book Antiqua" w:hAnsi="Book Antiqua" w:cs="Times New Roman"/>
          <w:sz w:val="24"/>
          <w:szCs w:val="24"/>
        </w:rPr>
        <w:t xml:space="preserve">the </w:t>
      </w:r>
      <w:r w:rsidR="00507882" w:rsidRPr="00DB7074">
        <w:rPr>
          <w:rFonts w:ascii="Book Antiqua" w:hAnsi="Book Antiqua" w:cs="Times New Roman"/>
          <w:sz w:val="24"/>
          <w:szCs w:val="24"/>
        </w:rPr>
        <w:t>faeces</w:t>
      </w:r>
      <w:r w:rsidR="00D13ED2" w:rsidRPr="00DB7074">
        <w:rPr>
          <w:rFonts w:ascii="Book Antiqua" w:hAnsi="Book Antiqua" w:cs="Times New Roman"/>
          <w:sz w:val="24"/>
          <w:szCs w:val="24"/>
        </w:rPr>
        <w:t xml:space="preserve"> of 141 Chinese participants and evaluated the performance of different classifiers </w:t>
      </w:r>
      <w:r w:rsidR="00B0268F" w:rsidRPr="00DB7074">
        <w:rPr>
          <w:rFonts w:ascii="Book Antiqua" w:hAnsi="Book Antiqua" w:cs="Times New Roman"/>
          <w:sz w:val="24"/>
          <w:szCs w:val="24"/>
        </w:rPr>
        <w:t>for</w:t>
      </w:r>
      <w:r w:rsidR="00D13ED2" w:rsidRPr="00DB7074">
        <w:rPr>
          <w:rFonts w:ascii="Book Antiqua" w:hAnsi="Book Antiqua" w:cs="Times New Roman"/>
          <w:sz w:val="24"/>
          <w:szCs w:val="24"/>
        </w:rPr>
        <w:t xml:space="preserve"> predict</w:t>
      </w:r>
      <w:r w:rsidR="00B0268F" w:rsidRPr="00DB7074">
        <w:rPr>
          <w:rFonts w:ascii="Book Antiqua" w:hAnsi="Book Antiqua" w:cs="Times New Roman"/>
          <w:sz w:val="24"/>
          <w:szCs w:val="24"/>
        </w:rPr>
        <w:t>ing</w:t>
      </w:r>
      <w:r w:rsidR="00D13ED2" w:rsidRPr="00DB7074">
        <w:rPr>
          <w:rFonts w:ascii="Book Antiqua" w:hAnsi="Book Antiqua" w:cs="Times New Roman"/>
          <w:sz w:val="24"/>
          <w:szCs w:val="24"/>
        </w:rPr>
        <w:t xml:space="preserve"> CRC based on </w:t>
      </w:r>
      <w:r w:rsidR="00507882" w:rsidRPr="00DB7074">
        <w:rPr>
          <w:rFonts w:ascii="Book Antiqua" w:hAnsi="Book Antiqua" w:cs="Times New Roman"/>
          <w:sz w:val="24"/>
          <w:szCs w:val="24"/>
        </w:rPr>
        <w:t>faecal</w:t>
      </w:r>
      <w:r w:rsidR="00D13ED2" w:rsidRPr="00DB7074">
        <w:rPr>
          <w:rFonts w:ascii="Book Antiqua" w:hAnsi="Book Antiqua" w:cs="Times New Roman"/>
          <w:sz w:val="24"/>
          <w:szCs w:val="24"/>
        </w:rPr>
        <w:t xml:space="preserve"> microbiota</w:t>
      </w:r>
      <w:r w:rsidR="00452A81"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{"citationID":"a1mhp8mt0qr","properties":{"formattedCitation":"\\super [200]\\nosupersub{}","plainCitation":"[200]","noteIndex":0},"citationItems":[{"id":"D1GMNV0O/GwycBQEh","uris":["http://zotero.org/users/4804376/items/I57VIZ64"],"uri":["http://zotero.org/users/4804376/items/I57VIZ64"],"itemData":{"id":42,"type":"article-journal","title":"Systematic evaluation of supervised classifiers for fecal microbiota-based prediction of colorectal cancer","container-title":"Oncotarget","volume":"8","issue":"6","source":"CrossRef","abstract":"Predicting colorectal cancer (CRC) based on fecal microbiota presents a promising method for non-invasive screening of CRC, but the optimization of classification models remains an unaddressed question. The purpose of this study was to systematically evaluate the effectiveness of different supervised machine-learning models in predicting CRC in two independent eastern and western populations. The structures of intestinal microflora in feces in Chinese population (N = 141) were determined by 454 FLX pyrosequencing, and different supervised classifiers were employed to predict CRC based on fecal microbiota operational taxonomic unit (OTUs). As a result, Bayes Net and Random Forest displayed higher accuracies than other algorithms in both populations, although Bayes Net was found with a lower false negative rate than that of Random Forest. Gut microbiota-based prediction was more accurate than the standard fecal occult blood test (FOBT), and the combination of both approaches further improved the prediction accuracy. Moreover, when unclassified OTUs were used as input, the BayesDMNB text algorithm achieved higher accuracy in the Chinese population (AUC=0.994). Taken together, our results suggest that Bayes Net classification model combined with unclassified OTUs may present an accurate method for predicting CRC based on the compositions of gut microbiota.","URL":"http://www.oncotarget.com/fulltext/14488","DOI":"10.18632/oncotarget.14488","ISSN":"1949-2553","language":"en","author":[{"family":"Ai","given":"Luoyan"},{"family":"Tian","given":"Haiying"},{"family":"Chen","given":"Zhaofei"},{"family":"Chen","given":"Huimin"},{"family":"Xu","given":"Jie"},{"family":"Fang","given":"Jing-Yuan"}],"issued":{"date-parts":[["2017",2,7]]},"accessed":{"date-parts":[["2018",3,19]]}}}],"schema":"https://github.com/citation-style-language/schema/raw/master/csl-citation.json"} </w:instrText>
      </w:r>
      <w:r w:rsidR="00452A81"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[200]</w:t>
      </w:r>
      <w:r w:rsidR="00452A81" w:rsidRPr="00DB7074">
        <w:rPr>
          <w:rFonts w:ascii="Book Antiqua" w:hAnsi="Book Antiqua" w:cs="Times New Roman"/>
          <w:sz w:val="24"/>
          <w:szCs w:val="24"/>
        </w:rPr>
        <w:fldChar w:fldCharType="end"/>
      </w:r>
      <w:r w:rsidR="00D13ED2" w:rsidRPr="00DB7074">
        <w:rPr>
          <w:rFonts w:ascii="Book Antiqua" w:hAnsi="Book Antiqua" w:cs="Times New Roman"/>
          <w:sz w:val="24"/>
          <w:szCs w:val="24"/>
        </w:rPr>
        <w:t xml:space="preserve">. </w:t>
      </w:r>
      <w:r w:rsidR="00B0268F" w:rsidRPr="00DB7074">
        <w:rPr>
          <w:rFonts w:ascii="Book Antiqua" w:hAnsi="Book Antiqua" w:cs="Times New Roman"/>
          <w:sz w:val="24"/>
          <w:szCs w:val="24"/>
        </w:rPr>
        <w:lastRenderedPageBreak/>
        <w:t>The a</w:t>
      </w:r>
      <w:r w:rsidR="00D13ED2" w:rsidRPr="00DB7074">
        <w:rPr>
          <w:rFonts w:ascii="Book Antiqua" w:hAnsi="Book Antiqua" w:cs="Times New Roman"/>
          <w:sz w:val="24"/>
          <w:szCs w:val="24"/>
        </w:rPr>
        <w:t xml:space="preserve">uthors reported a strong variation in the CRC prediction between the different models tested, with </w:t>
      </w:r>
      <w:r w:rsidR="00B0268F" w:rsidRPr="00DB7074">
        <w:rPr>
          <w:rFonts w:ascii="Book Antiqua" w:hAnsi="Book Antiqua" w:cs="Times New Roman"/>
          <w:sz w:val="24"/>
          <w:szCs w:val="24"/>
        </w:rPr>
        <w:t xml:space="preserve">the </w:t>
      </w:r>
      <w:r w:rsidR="00D13ED2" w:rsidRPr="00DB7074">
        <w:rPr>
          <w:rFonts w:ascii="Book Antiqua" w:hAnsi="Book Antiqua" w:cs="Times New Roman"/>
          <w:sz w:val="24"/>
          <w:szCs w:val="24"/>
        </w:rPr>
        <w:t xml:space="preserve">Bayes Net algorithm displaying the best performance. </w:t>
      </w:r>
      <w:r w:rsidR="00B0268F" w:rsidRPr="00DB7074">
        <w:rPr>
          <w:rFonts w:ascii="Book Antiqua" w:hAnsi="Book Antiqua" w:cs="Times New Roman"/>
          <w:sz w:val="24"/>
          <w:szCs w:val="24"/>
        </w:rPr>
        <w:t xml:space="preserve">Their </w:t>
      </w:r>
      <w:r w:rsidR="00D13ED2" w:rsidRPr="00DB7074">
        <w:rPr>
          <w:rFonts w:ascii="Book Antiqua" w:hAnsi="Book Antiqua" w:cs="Times New Roman"/>
          <w:sz w:val="24"/>
          <w:szCs w:val="24"/>
        </w:rPr>
        <w:t xml:space="preserve">prediction test, with 0.93 AUC, was more accurate than the FOBT, while combining both tests improved the accuracy. This list of studies </w:t>
      </w:r>
      <w:r w:rsidR="00EA780A" w:rsidRPr="00DB7074">
        <w:rPr>
          <w:rFonts w:ascii="Book Antiqua" w:hAnsi="Book Antiqua" w:cs="Times New Roman"/>
          <w:sz w:val="24"/>
          <w:szCs w:val="24"/>
        </w:rPr>
        <w:t xml:space="preserve">that </w:t>
      </w:r>
      <w:r w:rsidR="00D13ED2" w:rsidRPr="00DB7074">
        <w:rPr>
          <w:rFonts w:ascii="Book Antiqua" w:hAnsi="Book Antiqua" w:cs="Times New Roman"/>
          <w:sz w:val="24"/>
          <w:szCs w:val="24"/>
        </w:rPr>
        <w:t xml:space="preserve">assessed the use of changes in </w:t>
      </w:r>
      <w:r w:rsidR="00EA780A" w:rsidRPr="00DB7074">
        <w:rPr>
          <w:rFonts w:ascii="Book Antiqua" w:hAnsi="Book Antiqua" w:cs="Times New Roman"/>
          <w:sz w:val="24"/>
          <w:szCs w:val="24"/>
        </w:rPr>
        <w:t xml:space="preserve">the </w:t>
      </w:r>
      <w:r w:rsidR="00507882" w:rsidRPr="00DB7074">
        <w:rPr>
          <w:rFonts w:ascii="Book Antiqua" w:hAnsi="Book Antiqua" w:cs="Times New Roman"/>
          <w:sz w:val="24"/>
          <w:szCs w:val="24"/>
        </w:rPr>
        <w:t>faecal</w:t>
      </w:r>
      <w:r w:rsidR="00D13ED2" w:rsidRPr="00DB7074">
        <w:rPr>
          <w:rFonts w:ascii="Book Antiqua" w:hAnsi="Book Antiqua" w:cs="Times New Roman"/>
          <w:sz w:val="24"/>
          <w:szCs w:val="24"/>
        </w:rPr>
        <w:t xml:space="preserve"> microbiota for colorectal adenoma and CRC screening is non-exhaustive. Among these studies, while an association between CRC and microbiota is clear, there is limited agreement in the taxa reported.</w:t>
      </w:r>
    </w:p>
    <w:p w14:paraId="6EA7B903" w14:textId="03177AB5" w:rsidR="00D13ED2" w:rsidRPr="00DB7074" w:rsidRDefault="00E5106C" w:rsidP="008D60FF">
      <w:pPr>
        <w:snapToGrid w:val="0"/>
        <w:spacing w:after="0" w:line="360" w:lineRule="auto"/>
        <w:ind w:firstLineChars="100" w:firstLine="240"/>
        <w:jc w:val="both"/>
        <w:rPr>
          <w:rFonts w:ascii="Book Antiqua" w:hAnsi="Book Antiqua" w:cs="Times New Roman"/>
          <w:sz w:val="24"/>
          <w:szCs w:val="24"/>
        </w:rPr>
      </w:pPr>
      <w:r w:rsidRPr="00DB7074">
        <w:rPr>
          <w:rFonts w:ascii="Book Antiqua" w:hAnsi="Book Antiqua" w:cs="Times New Roman"/>
          <w:sz w:val="24"/>
          <w:szCs w:val="24"/>
        </w:rPr>
        <w:t xml:space="preserve">For this reason, Shah et al. </w:t>
      </w:r>
      <w:r w:rsidR="00EA780A" w:rsidRPr="00DB7074">
        <w:rPr>
          <w:rFonts w:ascii="Book Antiqua" w:hAnsi="Book Antiqua" w:cs="Times New Roman"/>
          <w:sz w:val="24"/>
          <w:szCs w:val="24"/>
        </w:rPr>
        <w:t xml:space="preserve">conducted </w:t>
      </w:r>
      <w:r w:rsidR="00D13ED2" w:rsidRPr="00DB7074">
        <w:rPr>
          <w:rFonts w:ascii="Book Antiqua" w:hAnsi="Book Antiqua" w:cs="Times New Roman"/>
          <w:sz w:val="24"/>
          <w:szCs w:val="24"/>
        </w:rPr>
        <w:t>a microbiome-based meta-analysis for CRC, using the results from 9 studies and including 79 colorectal adenomas</w:t>
      </w:r>
      <w:r w:rsidR="00EA780A" w:rsidRPr="00DB7074">
        <w:rPr>
          <w:rFonts w:ascii="Book Antiqua" w:hAnsi="Book Antiqua" w:cs="Times New Roman"/>
          <w:sz w:val="24"/>
          <w:szCs w:val="24"/>
        </w:rPr>
        <w:t xml:space="preserve"> patients</w:t>
      </w:r>
      <w:r w:rsidR="00D13ED2" w:rsidRPr="00DB7074">
        <w:rPr>
          <w:rFonts w:ascii="Book Antiqua" w:hAnsi="Book Antiqua" w:cs="Times New Roman"/>
          <w:sz w:val="24"/>
          <w:szCs w:val="24"/>
        </w:rPr>
        <w:t>, 195 CRC</w:t>
      </w:r>
      <w:r w:rsidR="00EA780A" w:rsidRPr="00DB7074">
        <w:rPr>
          <w:rFonts w:ascii="Book Antiqua" w:hAnsi="Book Antiqua" w:cs="Times New Roman"/>
          <w:sz w:val="24"/>
          <w:szCs w:val="24"/>
        </w:rPr>
        <w:t xml:space="preserve"> patients</w:t>
      </w:r>
      <w:r w:rsidR="00D13ED2" w:rsidRPr="00DB7074">
        <w:rPr>
          <w:rFonts w:ascii="Book Antiqua" w:hAnsi="Book Antiqua" w:cs="Times New Roman"/>
          <w:sz w:val="24"/>
          <w:szCs w:val="24"/>
        </w:rPr>
        <w:t xml:space="preserve"> and 235 controls, in order to identify a common microbial marker in stool samples</w:t>
      </w:r>
      <w:r w:rsidR="00E62209"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{"citationID":"a1e1u6tv8o4","properties":{"formattedCitation":"\\super [201]\\nosupersub{}","plainCitation":"[201]","noteIndex":0},"citationItems":[{"id":"D1GMNV0O/iWt5LgNA","uris":["http://zotero.org/users/4804376/items/TI2SDE69"],"uri":["http://zotero.org/users/4804376/items/TI2SDE69"],"itemData":{"id":644,"type":"article-journal","title":"Leveraging sequence-based faecal microbial community survey data to identify a composite biomarker for colorectal cancer","container-title":"Gut","source":"PubMed","abstract":"OBJECTIVE: Colorectal cancer (CRC) is the second leading cause of cancer-associated mortality in the USA. The faecal microbiome may provide non-invasive biomarkers of CRC and indicate transition in the adenoma-carcinoma sequence. Re-analysing raw sequence and metadata from several studies uniformly, we sought to identify a composite and generalisable microbial marker for CRC.\nDESIGN: Raw 16S rRNA gene sequence data sets from nine studies were processed with two pipelines, (1) QIIME closed reference (QIIME-CR) or (2) a strain-specific method herein termed SS-UP (Strain Select, UPARSE bioinformatics pipeline). A total of 509 samples (79 colorectal adenoma, 195 CRC and 235 controls) were analysed. Differential abundance, meta-analysis random effects regression and machine learning analyses were carried out to determine the consistency and diagnostic capabilities of potential microbial biomarkers.\nRESULTS: Definitive taxa, includingParvimonas micraATCC 33270,Streptococcus anginosusand yet-to-be-cultured members of Proteobacteria, were frequently and significantly increased in stools from patients with CRC compared with controls across studies and had high discriminatory capacity in diagnostic classification. Microbiome-based CRC versus control classification produced an area under receiver operator characteristic (AUROC) curve of 76.6% in QIIME-CR and 80.3% in SS-UP. Combining clinical and microbiome markers gave a diagnostic AUROC of 83.3% for QIIME-CR and 91.3% for SS-UP.\nCONCLUSIONS: Despite technological differences across studies and methods, key microbial markers emerged as important in classifying CRC cases and such could be used in a universal diagnostic for the disease. The choice of bioinformatics pipeline influenced accuracy of classification. Strain-resolved microbial markers might prove crucial in providing a microbial diagnostic for CRC.","DOI":"10.1136/gutjnl-2016-313189","ISSN":"1468-3288","note":"PMID: 28341746","journalAbbreviation":"Gut","language":"eng","author":[{"family":"Shah","given":"Manasi S."},{"family":"DeSantis","given":"Todd Z."},{"family":"Weinmaier","given":"Thomas"},{"family":"McMurdie","given":"Paul J."},{"family":"Cope","given":"Julia L."},{"family":"Altrichter","given":"Adam"},{"family":"Yamal","given":"Jose-Miguel"},{"family":"Hollister","given":"Emily B."}],"issued":{"date-parts":[["2017",3,24]]}}}],"schema":"https://github.com/citation-style-language/schema/raw/master/csl-citation.json"} </w:instrText>
      </w:r>
      <w:r w:rsidR="00E62209"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[201]</w:t>
      </w:r>
      <w:r w:rsidR="00E62209" w:rsidRPr="00DB7074">
        <w:rPr>
          <w:rFonts w:ascii="Book Antiqua" w:hAnsi="Book Antiqua" w:cs="Times New Roman"/>
          <w:sz w:val="24"/>
          <w:szCs w:val="24"/>
        </w:rPr>
        <w:fldChar w:fldCharType="end"/>
      </w:r>
      <w:r w:rsidR="00D13ED2" w:rsidRPr="00DB7074">
        <w:rPr>
          <w:rFonts w:ascii="Book Antiqua" w:hAnsi="Book Antiqua" w:cs="Times New Roman"/>
          <w:sz w:val="24"/>
          <w:szCs w:val="24"/>
        </w:rPr>
        <w:t xml:space="preserve">. In addition to </w:t>
      </w:r>
      <w:r w:rsidR="00EA780A" w:rsidRPr="00DB7074">
        <w:rPr>
          <w:rFonts w:ascii="Book Antiqua" w:hAnsi="Book Antiqua" w:cs="Times New Roman"/>
          <w:sz w:val="24"/>
          <w:szCs w:val="24"/>
        </w:rPr>
        <w:t xml:space="preserve">the </w:t>
      </w:r>
      <w:r w:rsidR="00D13ED2" w:rsidRPr="00DB7074">
        <w:rPr>
          <w:rFonts w:ascii="Book Antiqua" w:hAnsi="Book Antiqua" w:cs="Times New Roman"/>
          <w:sz w:val="24"/>
          <w:szCs w:val="24"/>
        </w:rPr>
        <w:t>previous</w:t>
      </w:r>
      <w:r w:rsidR="00EA780A" w:rsidRPr="00DB7074">
        <w:rPr>
          <w:rFonts w:ascii="Book Antiqua" w:hAnsi="Book Antiqua" w:cs="Times New Roman"/>
          <w:sz w:val="24"/>
          <w:szCs w:val="24"/>
        </w:rPr>
        <w:t>ly</w:t>
      </w:r>
      <w:r w:rsidR="00D13ED2" w:rsidRPr="00DB7074">
        <w:rPr>
          <w:rFonts w:ascii="Book Antiqua" w:hAnsi="Book Antiqua" w:cs="Times New Roman"/>
          <w:sz w:val="24"/>
          <w:szCs w:val="24"/>
        </w:rPr>
        <w:t xml:space="preserve"> reported taxa, they highlighted a significant increase in </w:t>
      </w:r>
      <w:r w:rsidR="00D13ED2" w:rsidRPr="00DB7074">
        <w:rPr>
          <w:rFonts w:ascii="Book Antiqua" w:hAnsi="Book Antiqua" w:cs="Times New Roman"/>
          <w:i/>
          <w:sz w:val="24"/>
          <w:szCs w:val="24"/>
        </w:rPr>
        <w:t>Parvimonas micra</w:t>
      </w:r>
      <w:r w:rsidR="00D13ED2" w:rsidRPr="00DB7074">
        <w:rPr>
          <w:rFonts w:ascii="Book Antiqua" w:hAnsi="Book Antiqua" w:cs="Times New Roman"/>
          <w:sz w:val="24"/>
          <w:szCs w:val="24"/>
        </w:rPr>
        <w:t xml:space="preserve"> ATCC 33270, </w:t>
      </w:r>
      <w:r w:rsidR="00D13ED2" w:rsidRPr="00DB7074">
        <w:rPr>
          <w:rFonts w:ascii="Book Antiqua" w:hAnsi="Book Antiqua" w:cs="Times New Roman"/>
          <w:i/>
          <w:sz w:val="24"/>
          <w:szCs w:val="24"/>
        </w:rPr>
        <w:t>Streptococcus anginosus</w:t>
      </w:r>
      <w:r w:rsidR="00D13ED2" w:rsidRPr="00DB7074">
        <w:rPr>
          <w:rFonts w:ascii="Book Antiqua" w:hAnsi="Book Antiqua" w:cs="Times New Roman"/>
          <w:sz w:val="24"/>
          <w:szCs w:val="24"/>
        </w:rPr>
        <w:t xml:space="preserve">, </w:t>
      </w:r>
      <w:r w:rsidR="00D13ED2" w:rsidRPr="00DB7074">
        <w:rPr>
          <w:rFonts w:ascii="Book Antiqua" w:hAnsi="Book Antiqua" w:cs="Times New Roman"/>
          <w:i/>
          <w:sz w:val="24"/>
          <w:szCs w:val="24"/>
        </w:rPr>
        <w:t>Parabacteroides distasonis</w:t>
      </w:r>
      <w:r w:rsidR="00D13ED2" w:rsidRPr="00DB7074">
        <w:rPr>
          <w:rFonts w:ascii="Book Antiqua" w:hAnsi="Book Antiqua" w:cs="Times New Roman"/>
          <w:sz w:val="24"/>
          <w:szCs w:val="24"/>
        </w:rPr>
        <w:t xml:space="preserve"> and </w:t>
      </w:r>
      <w:r w:rsidR="00EA780A" w:rsidRPr="00DB7074">
        <w:rPr>
          <w:rFonts w:ascii="Book Antiqua" w:hAnsi="Book Antiqua" w:cs="Times New Roman"/>
          <w:sz w:val="24"/>
          <w:szCs w:val="24"/>
        </w:rPr>
        <w:t xml:space="preserve">other </w:t>
      </w:r>
      <w:r w:rsidR="00D13ED2" w:rsidRPr="00DB7074">
        <w:rPr>
          <w:rFonts w:ascii="Book Antiqua" w:hAnsi="Book Antiqua" w:cs="Times New Roman"/>
          <w:sz w:val="24"/>
          <w:szCs w:val="24"/>
        </w:rPr>
        <w:t xml:space="preserve">members of </w:t>
      </w:r>
      <w:r w:rsidR="00D13ED2" w:rsidRPr="00DB7074">
        <w:rPr>
          <w:rFonts w:ascii="Book Antiqua" w:hAnsi="Book Antiqua" w:cs="Times New Roman"/>
          <w:i/>
          <w:sz w:val="24"/>
          <w:szCs w:val="24"/>
        </w:rPr>
        <w:t>Proteobacteria.</w:t>
      </w:r>
      <w:r w:rsidR="00D13ED2" w:rsidRPr="00DB7074">
        <w:rPr>
          <w:rFonts w:ascii="Book Antiqua" w:hAnsi="Book Antiqua" w:cs="Times New Roman"/>
          <w:sz w:val="24"/>
          <w:szCs w:val="24"/>
        </w:rPr>
        <w:t xml:space="preserve"> Their microbiome-based CRC versus control classification produced an area under </w:t>
      </w:r>
      <w:r w:rsidR="00EA780A" w:rsidRPr="00DB7074">
        <w:rPr>
          <w:rFonts w:ascii="Book Antiqua" w:hAnsi="Book Antiqua" w:cs="Times New Roman"/>
          <w:sz w:val="24"/>
          <w:szCs w:val="24"/>
        </w:rPr>
        <w:t xml:space="preserve">the </w:t>
      </w:r>
      <w:r w:rsidR="00D13ED2" w:rsidRPr="00DB7074">
        <w:rPr>
          <w:rFonts w:ascii="Book Antiqua" w:hAnsi="Book Antiqua" w:cs="Times New Roman"/>
          <w:sz w:val="24"/>
          <w:szCs w:val="24"/>
        </w:rPr>
        <w:t>receiver operat</w:t>
      </w:r>
      <w:r w:rsidR="00EA780A" w:rsidRPr="00DB7074">
        <w:rPr>
          <w:rFonts w:ascii="Book Antiqua" w:hAnsi="Book Antiqua" w:cs="Times New Roman"/>
          <w:sz w:val="24"/>
          <w:szCs w:val="24"/>
        </w:rPr>
        <w:t>ing</w:t>
      </w:r>
      <w:r w:rsidR="00D13ED2" w:rsidRPr="00DB7074">
        <w:rPr>
          <w:rFonts w:ascii="Book Antiqua" w:hAnsi="Book Antiqua" w:cs="Times New Roman"/>
          <w:sz w:val="24"/>
          <w:szCs w:val="24"/>
        </w:rPr>
        <w:t xml:space="preserve"> characteristic (AUROC) curve of 80.3%, </w:t>
      </w:r>
      <w:r w:rsidR="00EA780A" w:rsidRPr="00DB7074">
        <w:rPr>
          <w:rFonts w:ascii="Book Antiqua" w:hAnsi="Book Antiqua" w:cs="Times New Roman"/>
          <w:sz w:val="24"/>
          <w:szCs w:val="24"/>
        </w:rPr>
        <w:t>which was</w:t>
      </w:r>
      <w:r w:rsidR="00D13ED2" w:rsidRPr="00DB7074">
        <w:rPr>
          <w:rFonts w:ascii="Book Antiqua" w:hAnsi="Book Antiqua" w:cs="Times New Roman"/>
          <w:sz w:val="24"/>
          <w:szCs w:val="24"/>
        </w:rPr>
        <w:t xml:space="preserve"> 91.3% when combined with clinical markers </w:t>
      </w:r>
      <w:r w:rsidR="00EA780A" w:rsidRPr="00DB7074">
        <w:rPr>
          <w:rFonts w:ascii="Book Antiqua" w:hAnsi="Book Antiqua" w:cs="Times New Roman"/>
          <w:sz w:val="24"/>
          <w:szCs w:val="24"/>
        </w:rPr>
        <w:t>from</w:t>
      </w:r>
      <w:r w:rsidR="00D13ED2" w:rsidRPr="00DB7074">
        <w:rPr>
          <w:rFonts w:ascii="Book Antiqua" w:hAnsi="Book Antiqua" w:cs="Times New Roman"/>
          <w:sz w:val="24"/>
          <w:szCs w:val="24"/>
        </w:rPr>
        <w:t xml:space="preserve"> the bioinformatics pipeline. </w:t>
      </w:r>
      <w:r w:rsidR="00EA780A" w:rsidRPr="00DB7074">
        <w:rPr>
          <w:rFonts w:ascii="Book Antiqua" w:hAnsi="Book Antiqua" w:cs="Times New Roman"/>
          <w:sz w:val="24"/>
          <w:szCs w:val="24"/>
        </w:rPr>
        <w:t>Similarly</w:t>
      </w:r>
      <w:r w:rsidRPr="00DB7074">
        <w:rPr>
          <w:rFonts w:ascii="Book Antiqua" w:hAnsi="Book Antiqua" w:cs="Times New Roman"/>
          <w:sz w:val="24"/>
          <w:szCs w:val="24"/>
        </w:rPr>
        <w:t xml:space="preserve">, Amitay et al. </w:t>
      </w:r>
      <w:r w:rsidR="00EA780A" w:rsidRPr="00DB7074">
        <w:rPr>
          <w:rFonts w:ascii="Book Antiqua" w:hAnsi="Book Antiqua" w:cs="Times New Roman"/>
          <w:sz w:val="24"/>
          <w:szCs w:val="24"/>
        </w:rPr>
        <w:t xml:space="preserve">conducted </w:t>
      </w:r>
      <w:r w:rsidR="00D13ED2" w:rsidRPr="00DB7074">
        <w:rPr>
          <w:rFonts w:ascii="Book Antiqua" w:hAnsi="Book Antiqua" w:cs="Times New Roman"/>
          <w:sz w:val="24"/>
          <w:szCs w:val="24"/>
        </w:rPr>
        <w:t xml:space="preserve">a systematic review of 19 studies (including most of the studies cited above) examining the differences in </w:t>
      </w:r>
      <w:r w:rsidR="00EA780A" w:rsidRPr="00DB7074">
        <w:rPr>
          <w:rFonts w:ascii="Book Antiqua" w:hAnsi="Book Antiqua" w:cs="Times New Roman"/>
          <w:sz w:val="24"/>
          <w:szCs w:val="24"/>
        </w:rPr>
        <w:t xml:space="preserve">the </w:t>
      </w:r>
      <w:r w:rsidR="00D13ED2" w:rsidRPr="00DB7074">
        <w:rPr>
          <w:rFonts w:ascii="Book Antiqua" w:hAnsi="Book Antiqua" w:cs="Times New Roman"/>
          <w:sz w:val="24"/>
          <w:szCs w:val="24"/>
        </w:rPr>
        <w:t xml:space="preserve">gut microbial community in </w:t>
      </w:r>
      <w:r w:rsidR="00507882" w:rsidRPr="00DB7074">
        <w:rPr>
          <w:rFonts w:ascii="Book Antiqua" w:hAnsi="Book Antiqua" w:cs="Times New Roman"/>
          <w:sz w:val="24"/>
          <w:szCs w:val="24"/>
        </w:rPr>
        <w:t>faecal</w:t>
      </w:r>
      <w:r w:rsidR="00D13ED2" w:rsidRPr="00DB7074">
        <w:rPr>
          <w:rFonts w:ascii="Book Antiqua" w:hAnsi="Book Antiqua" w:cs="Times New Roman"/>
          <w:sz w:val="24"/>
          <w:szCs w:val="24"/>
        </w:rPr>
        <w:t xml:space="preserve"> samples </w:t>
      </w:r>
      <w:r w:rsidR="00EA780A" w:rsidRPr="00DB7074">
        <w:rPr>
          <w:rFonts w:ascii="Book Antiqua" w:hAnsi="Book Antiqua" w:cs="Times New Roman"/>
          <w:sz w:val="24"/>
          <w:szCs w:val="24"/>
        </w:rPr>
        <w:t xml:space="preserve">from </w:t>
      </w:r>
      <w:r w:rsidR="00D13ED2" w:rsidRPr="00DB7074">
        <w:rPr>
          <w:rFonts w:ascii="Book Antiqua" w:hAnsi="Book Antiqua" w:cs="Times New Roman"/>
          <w:sz w:val="24"/>
          <w:szCs w:val="24"/>
        </w:rPr>
        <w:t xml:space="preserve">people diagnosed with CRC or adenomas and </w:t>
      </w:r>
      <w:r w:rsidR="00EA780A" w:rsidRPr="00DB7074">
        <w:rPr>
          <w:rFonts w:ascii="Book Antiqua" w:hAnsi="Book Antiqua" w:cs="Times New Roman"/>
          <w:sz w:val="24"/>
          <w:szCs w:val="24"/>
        </w:rPr>
        <w:t xml:space="preserve">from </w:t>
      </w:r>
      <w:r w:rsidR="00D13ED2" w:rsidRPr="00DB7074">
        <w:rPr>
          <w:rFonts w:ascii="Book Antiqua" w:hAnsi="Book Antiqua" w:cs="Times New Roman"/>
          <w:sz w:val="24"/>
          <w:szCs w:val="24"/>
        </w:rPr>
        <w:t xml:space="preserve">people without colorectal </w:t>
      </w:r>
      <w:r w:rsidR="00231EFA" w:rsidRPr="00DB7074">
        <w:rPr>
          <w:rFonts w:ascii="Book Antiqua" w:hAnsi="Book Antiqua" w:cs="Times New Roman"/>
          <w:sz w:val="24"/>
          <w:szCs w:val="24"/>
        </w:rPr>
        <w:t>neoplasia</w:t>
      </w:r>
      <w:r w:rsidR="00D13ED2" w:rsidRPr="00DB7074">
        <w:rPr>
          <w:rFonts w:ascii="Book Antiqua" w:hAnsi="Book Antiqua" w:cs="Times New Roman"/>
          <w:sz w:val="24"/>
          <w:szCs w:val="24"/>
        </w:rPr>
        <w:t xml:space="preserve"> to </w:t>
      </w:r>
      <w:r w:rsidR="00EA780A" w:rsidRPr="00DB7074">
        <w:rPr>
          <w:rFonts w:ascii="Book Antiqua" w:hAnsi="Book Antiqua" w:cs="Times New Roman"/>
          <w:sz w:val="24"/>
          <w:szCs w:val="24"/>
        </w:rPr>
        <w:t xml:space="preserve">generate </w:t>
      </w:r>
      <w:r w:rsidR="00507882" w:rsidRPr="00DB7074">
        <w:rPr>
          <w:rFonts w:ascii="Book Antiqua" w:hAnsi="Book Antiqua" w:cs="Times New Roman"/>
          <w:sz w:val="24"/>
          <w:szCs w:val="24"/>
        </w:rPr>
        <w:t>faecal</w:t>
      </w:r>
      <w:r w:rsidR="00D13ED2" w:rsidRPr="00DB7074">
        <w:rPr>
          <w:rFonts w:ascii="Book Antiqua" w:hAnsi="Book Antiqua" w:cs="Times New Roman"/>
          <w:sz w:val="24"/>
          <w:szCs w:val="24"/>
        </w:rPr>
        <w:t xml:space="preserve"> multi-bacterial models for early detection of adenoma</w:t>
      </w:r>
      <w:r w:rsidR="00EA780A" w:rsidRPr="00DB7074">
        <w:rPr>
          <w:rFonts w:ascii="Book Antiqua" w:hAnsi="Book Antiqua" w:cs="Times New Roman"/>
          <w:sz w:val="24"/>
          <w:szCs w:val="24"/>
        </w:rPr>
        <w:t>s</w:t>
      </w:r>
      <w:r w:rsidR="00D13ED2" w:rsidRPr="00DB7074">
        <w:rPr>
          <w:rFonts w:ascii="Book Antiqua" w:hAnsi="Book Antiqua" w:cs="Times New Roman"/>
          <w:sz w:val="24"/>
          <w:szCs w:val="24"/>
        </w:rPr>
        <w:t xml:space="preserve"> and CRC</w:t>
      </w:r>
      <w:r w:rsidR="00E62209"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{"citationID":"asuf1bstfj","properties":{"formattedCitation":"\\super [202]\\nosupersub{}","plainCitation":"[202]","noteIndex":0},"citationItems":[{"id":"D1GMNV0O/ekM6GjKK","uris":["http://zotero.org/users/4804376/items/ASHFUTGD"],"uri":["http://zotero.org/users/4804376/items/ASHFUTGD"],"itemData":{"id":43,"type":"article-journal","title":"Systematic Review: Gut Microbiota in Fecal Samples and Detection of Colorectal Neoplasms","container-title":"Gut Microbes","page":"1-25","source":"CrossRef","DOI":"10.1080/19490976.2018.1445957","ISSN":"1949-0976, 1949-0984","shortTitle":"Systematic Review","language":"en","author":[{"family":"Amitay","given":"Efrat L."},{"family":"Krilaviciute","given":"Agne"},{"family":"Brenner","given":"Hermann"}],"issued":{"date-parts":[["2018",3,15]]}}}],"schema":"https://github.com/citation-style-language/schema/raw/master/csl-citation.json"} </w:instrText>
      </w:r>
      <w:r w:rsidR="00E62209"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[202]</w:t>
      </w:r>
      <w:r w:rsidR="00E62209" w:rsidRPr="00DB7074">
        <w:rPr>
          <w:rFonts w:ascii="Book Antiqua" w:hAnsi="Book Antiqua" w:cs="Times New Roman"/>
          <w:sz w:val="24"/>
          <w:szCs w:val="24"/>
        </w:rPr>
        <w:fldChar w:fldCharType="end"/>
      </w:r>
      <w:r w:rsidR="00D13ED2" w:rsidRPr="00DB7074">
        <w:rPr>
          <w:rFonts w:ascii="Book Antiqua" w:hAnsi="Book Antiqua" w:cs="Times New Roman"/>
          <w:sz w:val="24"/>
          <w:szCs w:val="24"/>
        </w:rPr>
        <w:t xml:space="preserve">. Overall, they concluded that there </w:t>
      </w:r>
      <w:r w:rsidR="00EA780A" w:rsidRPr="00DB7074">
        <w:rPr>
          <w:rFonts w:ascii="Book Antiqua" w:hAnsi="Book Antiqua" w:cs="Times New Roman"/>
          <w:sz w:val="24"/>
          <w:szCs w:val="24"/>
        </w:rPr>
        <w:t>was</w:t>
      </w:r>
      <w:r w:rsidR="00D13ED2" w:rsidRPr="00DB7074">
        <w:rPr>
          <w:rFonts w:ascii="Book Antiqua" w:hAnsi="Book Antiqua" w:cs="Times New Roman"/>
          <w:sz w:val="24"/>
          <w:szCs w:val="24"/>
        </w:rPr>
        <w:t xml:space="preserve"> limited but encouraging evidence that </w:t>
      </w:r>
      <w:r w:rsidR="0099422B" w:rsidRPr="00DB7074">
        <w:rPr>
          <w:rFonts w:ascii="Book Antiqua" w:hAnsi="Book Antiqua" w:cs="Times New Roman"/>
          <w:sz w:val="24"/>
          <w:szCs w:val="24"/>
        </w:rPr>
        <w:t xml:space="preserve">the </w:t>
      </w:r>
      <w:r w:rsidR="00D13ED2" w:rsidRPr="00DB7074">
        <w:rPr>
          <w:rFonts w:ascii="Book Antiqua" w:hAnsi="Book Antiqua" w:cs="Times New Roman"/>
          <w:sz w:val="24"/>
          <w:szCs w:val="24"/>
        </w:rPr>
        <w:t xml:space="preserve">differences in </w:t>
      </w:r>
      <w:r w:rsidR="00EA780A" w:rsidRPr="00DB7074">
        <w:rPr>
          <w:rFonts w:ascii="Book Antiqua" w:hAnsi="Book Antiqua" w:cs="Times New Roman"/>
          <w:sz w:val="24"/>
          <w:szCs w:val="24"/>
        </w:rPr>
        <w:t xml:space="preserve">the </w:t>
      </w:r>
      <w:r w:rsidR="00507882" w:rsidRPr="00DB7074">
        <w:rPr>
          <w:rFonts w:ascii="Book Antiqua" w:hAnsi="Book Antiqua" w:cs="Times New Roman"/>
          <w:sz w:val="24"/>
          <w:szCs w:val="24"/>
        </w:rPr>
        <w:t>faecal</w:t>
      </w:r>
      <w:r w:rsidR="00D13ED2" w:rsidRPr="00DB7074">
        <w:rPr>
          <w:rFonts w:ascii="Book Antiqua" w:hAnsi="Book Antiqua" w:cs="Times New Roman"/>
          <w:sz w:val="24"/>
          <w:szCs w:val="24"/>
        </w:rPr>
        <w:t xml:space="preserve"> gut microbiome between people diagnosed with CRC or adenoma and healthy controls </w:t>
      </w:r>
      <w:r w:rsidR="00EA780A" w:rsidRPr="00DB7074">
        <w:rPr>
          <w:rFonts w:ascii="Book Antiqua" w:hAnsi="Book Antiqua" w:cs="Times New Roman"/>
          <w:sz w:val="24"/>
          <w:szCs w:val="24"/>
        </w:rPr>
        <w:t xml:space="preserve">could </w:t>
      </w:r>
      <w:r w:rsidR="00D13ED2" w:rsidRPr="00DB7074">
        <w:rPr>
          <w:rFonts w:ascii="Book Antiqua" w:hAnsi="Book Antiqua" w:cs="Times New Roman"/>
          <w:sz w:val="24"/>
          <w:szCs w:val="24"/>
        </w:rPr>
        <w:t xml:space="preserve">be used to develop new </w:t>
      </w:r>
      <w:r w:rsidR="00507882" w:rsidRPr="00DB7074">
        <w:rPr>
          <w:rFonts w:ascii="Book Antiqua" w:hAnsi="Book Antiqua" w:cs="Times New Roman"/>
          <w:sz w:val="24"/>
          <w:szCs w:val="24"/>
        </w:rPr>
        <w:t>faecal</w:t>
      </w:r>
      <w:r w:rsidR="00D13ED2" w:rsidRPr="00DB7074">
        <w:rPr>
          <w:rFonts w:ascii="Book Antiqua" w:hAnsi="Book Antiqua" w:cs="Times New Roman"/>
          <w:sz w:val="24"/>
          <w:szCs w:val="24"/>
        </w:rPr>
        <w:t xml:space="preserve"> test</w:t>
      </w:r>
      <w:r w:rsidR="0099422B" w:rsidRPr="00DB7074">
        <w:rPr>
          <w:rFonts w:ascii="Book Antiqua" w:hAnsi="Book Antiqua" w:cs="Times New Roman"/>
          <w:sz w:val="24"/>
          <w:szCs w:val="24"/>
        </w:rPr>
        <w:t>s</w:t>
      </w:r>
      <w:r w:rsidR="00D13ED2" w:rsidRPr="00DB7074">
        <w:rPr>
          <w:rFonts w:ascii="Book Antiqua" w:hAnsi="Book Antiqua" w:cs="Times New Roman"/>
          <w:sz w:val="24"/>
          <w:szCs w:val="24"/>
        </w:rPr>
        <w:t xml:space="preserve">. </w:t>
      </w:r>
      <w:r w:rsidR="0099422B" w:rsidRPr="00DB7074">
        <w:rPr>
          <w:rFonts w:ascii="Book Antiqua" w:hAnsi="Book Antiqua" w:cs="Times New Roman"/>
          <w:sz w:val="24"/>
          <w:szCs w:val="24"/>
        </w:rPr>
        <w:t>The a</w:t>
      </w:r>
      <w:r w:rsidR="00D13ED2" w:rsidRPr="00DB7074">
        <w:rPr>
          <w:rFonts w:ascii="Book Antiqua" w:hAnsi="Book Antiqua" w:cs="Times New Roman"/>
          <w:sz w:val="24"/>
          <w:szCs w:val="24"/>
        </w:rPr>
        <w:t xml:space="preserve">uthors </w:t>
      </w:r>
      <w:r w:rsidR="0099422B" w:rsidRPr="00DB7074">
        <w:rPr>
          <w:rFonts w:ascii="Book Antiqua" w:hAnsi="Book Antiqua" w:cs="Times New Roman"/>
          <w:sz w:val="24"/>
          <w:szCs w:val="24"/>
        </w:rPr>
        <w:t>suggested that</w:t>
      </w:r>
      <w:r w:rsidR="00D13ED2" w:rsidRPr="00DB7074">
        <w:rPr>
          <w:rFonts w:ascii="Book Antiqua" w:hAnsi="Book Antiqua" w:cs="Times New Roman"/>
          <w:sz w:val="24"/>
          <w:szCs w:val="24"/>
        </w:rPr>
        <w:t xml:space="preserve"> future research </w:t>
      </w:r>
      <w:r w:rsidR="0099422B" w:rsidRPr="00DB7074">
        <w:rPr>
          <w:rFonts w:ascii="Book Antiqua" w:hAnsi="Book Antiqua" w:cs="Times New Roman"/>
          <w:sz w:val="24"/>
          <w:szCs w:val="24"/>
        </w:rPr>
        <w:t>should</w:t>
      </w:r>
      <w:r w:rsidR="00D13ED2" w:rsidRPr="00DB7074">
        <w:rPr>
          <w:rFonts w:ascii="Book Antiqua" w:hAnsi="Book Antiqua" w:cs="Times New Roman"/>
          <w:sz w:val="24"/>
          <w:szCs w:val="24"/>
        </w:rPr>
        <w:t xml:space="preserve"> focus on developing unified documented and reproducible protocols for studying the human gut microbiome from </w:t>
      </w:r>
      <w:r w:rsidR="00507882" w:rsidRPr="00DB7074">
        <w:rPr>
          <w:rFonts w:ascii="Book Antiqua" w:hAnsi="Book Antiqua" w:cs="Times New Roman"/>
          <w:sz w:val="24"/>
          <w:szCs w:val="24"/>
        </w:rPr>
        <w:t>faecal</w:t>
      </w:r>
      <w:r w:rsidR="00D13ED2" w:rsidRPr="00DB7074">
        <w:rPr>
          <w:rFonts w:ascii="Book Antiqua" w:hAnsi="Book Antiqua" w:cs="Times New Roman"/>
          <w:sz w:val="24"/>
          <w:szCs w:val="24"/>
        </w:rPr>
        <w:t xml:space="preserve"> samples for more comparable results between cohorts</w:t>
      </w:r>
      <w:r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{"citationID":"a2plld31prs","properties":{"formattedCitation":"\\super [202]\\nosupersub{}","plainCitation":"[202]","noteIndex":0},"citationItems":[{"id":"D1GMNV0O/ekM6GjKK","uris":["http://zotero.org/users/4804376/items/ASHFUTGD"],"uri":["http://zotero.org/users/4804376/items/ASHFUTGD"],"itemData":{"id":43,"type":"article-journal","title":"Systematic Review: Gut Microbiota in Fecal Samples and Detection of Colorectal Neoplasms","container-title":"Gut Microbes","page":"1-25","source":"CrossRef","DOI":"10.1080/19490976.2018.1445957","ISSN":"1949-0976, 1949-0984","shortTitle":"Systematic Review","language":"en","author":[{"family":"Amitay","given":"Efrat L."},{"family":"Krilaviciute","given":"Agne"},{"family":"Brenner","given":"Hermann"}],"issued":{"date-parts":[["2018",3,15]]}}}],"schema":"https://github.com/citation-style-language/schema/raw/master/csl-citation.json"} </w:instrText>
      </w:r>
      <w:r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[202]</w:t>
      </w:r>
      <w:r w:rsidRPr="00DB7074">
        <w:rPr>
          <w:rFonts w:ascii="Book Antiqua" w:hAnsi="Book Antiqua" w:cs="Times New Roman"/>
          <w:sz w:val="24"/>
          <w:szCs w:val="24"/>
        </w:rPr>
        <w:fldChar w:fldCharType="end"/>
      </w:r>
      <w:r w:rsidR="00D13ED2" w:rsidRPr="00DB7074">
        <w:rPr>
          <w:rFonts w:ascii="Book Antiqua" w:hAnsi="Book Antiqua" w:cs="Times New Roman"/>
          <w:sz w:val="24"/>
          <w:szCs w:val="24"/>
        </w:rPr>
        <w:t>.</w:t>
      </w:r>
    </w:p>
    <w:p w14:paraId="08B7E6E6" w14:textId="03956E40" w:rsidR="001F14C1" w:rsidRPr="00DB7074" w:rsidRDefault="00636D5A" w:rsidP="008D60FF">
      <w:pPr>
        <w:snapToGrid w:val="0"/>
        <w:spacing w:after="0" w:line="360" w:lineRule="auto"/>
        <w:ind w:firstLineChars="100" w:firstLine="240"/>
        <w:jc w:val="both"/>
        <w:rPr>
          <w:rFonts w:ascii="Book Antiqua" w:eastAsia="Times New Roman" w:hAnsi="Book Antiqua" w:cs="Times New Roman"/>
          <w:sz w:val="24"/>
          <w:szCs w:val="24"/>
          <w:lang w:eastAsia="fr-FR"/>
        </w:rPr>
      </w:pPr>
      <w:r w:rsidRPr="00DB7074">
        <w:rPr>
          <w:rFonts w:ascii="Book Antiqua" w:hAnsi="Book Antiqua" w:cs="Times New Roman"/>
          <w:sz w:val="24"/>
          <w:szCs w:val="24"/>
        </w:rPr>
        <w:t xml:space="preserve">In many studies, patients had </w:t>
      </w:r>
      <w:r w:rsidR="00D21BDA" w:rsidRPr="00DB7074">
        <w:rPr>
          <w:rFonts w:ascii="Book Antiqua" w:hAnsi="Book Antiqua" w:cs="Times New Roman"/>
          <w:sz w:val="24"/>
          <w:szCs w:val="24"/>
        </w:rPr>
        <w:t xml:space="preserve">a corresponding decrease in the </w:t>
      </w:r>
      <w:r w:rsidR="00D21BDA" w:rsidRPr="00DB7074">
        <w:rPr>
          <w:rFonts w:ascii="Book Antiqua" w:hAnsi="Book Antiqua" w:cs="Times New Roman"/>
          <w:i/>
          <w:sz w:val="24"/>
          <w:szCs w:val="24"/>
        </w:rPr>
        <w:t>Firmicutes/Bacteroidetes</w:t>
      </w:r>
      <w:r w:rsidR="00D21BDA" w:rsidRPr="00DB7074">
        <w:rPr>
          <w:rFonts w:ascii="Book Antiqua" w:hAnsi="Book Antiqua" w:cs="Times New Roman"/>
          <w:sz w:val="24"/>
          <w:szCs w:val="24"/>
        </w:rPr>
        <w:t xml:space="preserve"> ratio, which </w:t>
      </w:r>
      <w:r w:rsidR="0099422B" w:rsidRPr="00DB7074">
        <w:rPr>
          <w:rFonts w:ascii="Book Antiqua" w:hAnsi="Book Antiqua" w:cs="Times New Roman"/>
          <w:sz w:val="24"/>
          <w:szCs w:val="24"/>
        </w:rPr>
        <w:t xml:space="preserve">might </w:t>
      </w:r>
      <w:r w:rsidR="00D21BDA" w:rsidRPr="00DB7074">
        <w:rPr>
          <w:rFonts w:ascii="Book Antiqua" w:hAnsi="Book Antiqua" w:cs="Times New Roman"/>
          <w:sz w:val="24"/>
          <w:szCs w:val="24"/>
        </w:rPr>
        <w:t>be</w:t>
      </w:r>
      <w:r w:rsidRPr="00DB7074">
        <w:rPr>
          <w:rFonts w:ascii="Book Antiqua" w:hAnsi="Book Antiqua" w:cs="Times New Roman"/>
          <w:sz w:val="24"/>
          <w:szCs w:val="24"/>
        </w:rPr>
        <w:t xml:space="preserve"> an important marker </w:t>
      </w:r>
      <w:r w:rsidR="00D21BDA" w:rsidRPr="00DB7074">
        <w:rPr>
          <w:rFonts w:ascii="Book Antiqua" w:hAnsi="Book Antiqua" w:cs="Times New Roman"/>
          <w:sz w:val="24"/>
          <w:szCs w:val="24"/>
        </w:rPr>
        <w:t xml:space="preserve">for intestinal dysbiosis </w:t>
      </w:r>
      <w:r w:rsidR="0099422B" w:rsidRPr="00DB7074">
        <w:rPr>
          <w:rFonts w:ascii="Book Antiqua" w:hAnsi="Book Antiqua" w:cs="Times New Roman"/>
          <w:sz w:val="24"/>
          <w:szCs w:val="24"/>
        </w:rPr>
        <w:t>in</w:t>
      </w:r>
      <w:r w:rsidR="00D21BDA" w:rsidRPr="00DB7074">
        <w:rPr>
          <w:rFonts w:ascii="Book Antiqua" w:hAnsi="Book Antiqua" w:cs="Times New Roman"/>
          <w:sz w:val="24"/>
          <w:szCs w:val="24"/>
        </w:rPr>
        <w:t xml:space="preserve"> colorectal precancerous lesions.</w:t>
      </w:r>
      <w:r w:rsidRPr="00DB7074">
        <w:rPr>
          <w:rFonts w:ascii="Book Antiqua" w:hAnsi="Book Antiqua" w:cs="Times New Roman"/>
          <w:sz w:val="24"/>
          <w:szCs w:val="24"/>
        </w:rPr>
        <w:t xml:space="preserve"> </w:t>
      </w:r>
      <w:r w:rsidRPr="00DB7074">
        <w:rPr>
          <w:rFonts w:ascii="Book Antiqua" w:hAnsi="Book Antiqua" w:cs="Times New Roman"/>
          <w:i/>
          <w:sz w:val="24"/>
          <w:szCs w:val="24"/>
        </w:rPr>
        <w:t>F</w:t>
      </w:r>
      <w:r w:rsidR="001F14C1" w:rsidRPr="00DB7074">
        <w:rPr>
          <w:rFonts w:ascii="Book Antiqua" w:hAnsi="Book Antiqua" w:cs="Times New Roman"/>
          <w:i/>
          <w:sz w:val="24"/>
          <w:szCs w:val="24"/>
        </w:rPr>
        <w:t>.</w:t>
      </w:r>
      <w:r w:rsidR="0099422B" w:rsidRPr="00DB7074">
        <w:rPr>
          <w:rFonts w:ascii="Book Antiqua" w:hAnsi="Book Antiqua" w:cs="Times New Roman"/>
          <w:i/>
          <w:sz w:val="24"/>
          <w:szCs w:val="24"/>
        </w:rPr>
        <w:t xml:space="preserve"> </w:t>
      </w:r>
      <w:r w:rsidRPr="00DB7074">
        <w:rPr>
          <w:rFonts w:ascii="Book Antiqua" w:hAnsi="Book Antiqua" w:cs="Times New Roman"/>
          <w:i/>
          <w:sz w:val="24"/>
          <w:szCs w:val="24"/>
        </w:rPr>
        <w:t>nucleatum</w:t>
      </w:r>
      <w:r w:rsidR="001F14C1" w:rsidRPr="00DB7074">
        <w:rPr>
          <w:rFonts w:ascii="Book Antiqua" w:hAnsi="Book Antiqua" w:cs="Times New Roman"/>
          <w:i/>
          <w:sz w:val="24"/>
          <w:szCs w:val="24"/>
        </w:rPr>
        <w:t>,</w:t>
      </w:r>
      <w:r w:rsidRPr="00DB7074">
        <w:rPr>
          <w:rFonts w:ascii="Book Antiqua" w:hAnsi="Book Antiqua" w:cs="Times New Roman"/>
          <w:i/>
          <w:sz w:val="24"/>
          <w:szCs w:val="24"/>
        </w:rPr>
        <w:t xml:space="preserve"> </w:t>
      </w:r>
      <w:r w:rsidR="0025759F" w:rsidRPr="00DB7074">
        <w:rPr>
          <w:rFonts w:ascii="Book Antiqua" w:hAnsi="Book Antiqua" w:cs="Times New Roman"/>
          <w:sz w:val="24"/>
          <w:szCs w:val="24"/>
        </w:rPr>
        <w:t>BFT-producing</w:t>
      </w:r>
      <w:r w:rsidR="0099422B" w:rsidRPr="00DB7074">
        <w:rPr>
          <w:rFonts w:ascii="Book Antiqua" w:hAnsi="Book Antiqua" w:cs="Times New Roman"/>
          <w:i/>
          <w:sz w:val="24"/>
          <w:szCs w:val="24"/>
        </w:rPr>
        <w:t xml:space="preserve"> </w:t>
      </w:r>
      <w:r w:rsidR="001F14C1" w:rsidRPr="00DB7074">
        <w:rPr>
          <w:rFonts w:ascii="Book Antiqua" w:hAnsi="Book Antiqua" w:cs="Times New Roman"/>
          <w:i/>
          <w:sz w:val="24"/>
          <w:szCs w:val="24"/>
        </w:rPr>
        <w:t>B. fragilis,</w:t>
      </w:r>
      <w:r w:rsidR="001F14C1" w:rsidRPr="00DB7074">
        <w:rPr>
          <w:rFonts w:ascii="Book Antiqua" w:hAnsi="Book Antiqua" w:cs="Times New Roman"/>
          <w:sz w:val="24"/>
          <w:szCs w:val="24"/>
        </w:rPr>
        <w:t xml:space="preserve"> </w:t>
      </w:r>
      <w:r w:rsidRPr="00DB7074">
        <w:rPr>
          <w:rFonts w:ascii="Book Antiqua" w:hAnsi="Book Antiqua" w:cs="Times New Roman"/>
          <w:sz w:val="24"/>
          <w:szCs w:val="24"/>
        </w:rPr>
        <w:t xml:space="preserve">and colibactin-producing </w:t>
      </w:r>
      <w:r w:rsidRPr="00DB7074">
        <w:rPr>
          <w:rFonts w:ascii="Book Antiqua" w:hAnsi="Book Antiqua" w:cs="Times New Roman"/>
          <w:i/>
          <w:sz w:val="24"/>
          <w:szCs w:val="24"/>
        </w:rPr>
        <w:t>E.coli</w:t>
      </w:r>
      <w:r w:rsidRPr="00DB7074">
        <w:rPr>
          <w:rFonts w:ascii="Book Antiqua" w:hAnsi="Book Antiqua" w:cs="Times New Roman"/>
          <w:sz w:val="24"/>
          <w:szCs w:val="24"/>
        </w:rPr>
        <w:t xml:space="preserve"> </w:t>
      </w:r>
      <w:r w:rsidR="0099422B" w:rsidRPr="00DB7074">
        <w:rPr>
          <w:rFonts w:ascii="Book Antiqua" w:hAnsi="Book Antiqua" w:cs="Times New Roman"/>
          <w:sz w:val="24"/>
          <w:szCs w:val="24"/>
        </w:rPr>
        <w:t xml:space="preserve">are </w:t>
      </w:r>
      <w:r w:rsidRPr="00DB7074">
        <w:rPr>
          <w:rFonts w:ascii="Book Antiqua" w:hAnsi="Book Antiqua" w:cs="Times New Roman"/>
          <w:sz w:val="24"/>
          <w:szCs w:val="24"/>
        </w:rPr>
        <w:t xml:space="preserve">known to be associated with </w:t>
      </w:r>
      <w:r w:rsidR="0099422B" w:rsidRPr="00DB7074">
        <w:rPr>
          <w:rFonts w:ascii="Book Antiqua" w:hAnsi="Book Antiqua" w:cs="Times New Roman"/>
          <w:sz w:val="24"/>
          <w:szCs w:val="24"/>
        </w:rPr>
        <w:t xml:space="preserve">a </w:t>
      </w:r>
      <w:r w:rsidRPr="00DB7074">
        <w:rPr>
          <w:rFonts w:ascii="Book Antiqua" w:hAnsi="Book Antiqua" w:cs="Times New Roman"/>
          <w:sz w:val="24"/>
          <w:szCs w:val="24"/>
        </w:rPr>
        <w:t>more aggressive TNM stage</w:t>
      </w:r>
      <w:r w:rsidR="00E5106C"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{"citationID":"bygKsITv","properties":{"formattedCitation":"\\super [130,145,149,158]\\nosupersub{}","plainCitation":"[130,145,149,158]","noteIndex":0},"citationItems":[{"id":"D1GMNV0O/ELvcAZlq","uris":["http://zotero.org/users/4804376/items/42YNQH53"],"uri":["http://zotero.org/users/4804376/items/42YNQH53"],"itemData":{"id":361,"type":"article-journal","title":"Colonization of the human gut by E. coli and colorectal cancer risk","container-title":"Clinical Cancer Research: An Official Journal of the American Association for Cancer Research","page":"859-867","volume":"20","issue":"4","source":"PubMed","abstract":"PURPOSE: The intestinal microbiota is potentially involved in the development of colorectal carcinoma via various mechanisms. Escherichia coli are commensal bacteria of the human gut microbiota, but some pathogenic strains have acquired the ability to induce chronic inflammation and/or produce toxins, such as cyclomodulin, which could participate in the carcinogenesis process. Here, we analyzed the E. coli population associated with mucosa of patients with colon cancer in relation to clinicopathologic characteristics. We assessed carcinogenic properties of a colon cancer-associated E. coli strain in multiple intestinal neoplasia (Min) mice.\nEXPERIMENTAL DESIGN: Mucosa-associated or internalized E. coli were quantified and characterized from tumors and mucosa of patients with colon cancer and the healthy mucosa of diverticulosis controls. Min mice were inoculated with a colon cancer-associated E. coli strain (11G5). The number of colonic polyps was evaluated at 7 weeks after infection.\nRESULTS: An increased level of mucosa-associated and internalized E. coli was observed in the tumors compared with normal tissue. A relationship between poor prognostic factors for colon cancer (tumor-node-metastasis stage) and colonization of mucosa by E. coli was observed. Pathogenic cyclomodulin-positive E. coli strains were more prevalent on mucosa of patients with stages III/IV than those with stage I colon cancer. Proliferative index and E. coli colonization level of the mucosa distant from the tumor significantly correlated. Min mice infected with the E. coli strain 11G5 displayed a marked increase in the number of visible colonic polyps compared with controls.\nCONCLUSION: These findings support that pathogenic E. coli could be a cofactor in pathogenesis of colorectal cancer.","DOI":"10.1158/1078-0432.CCR-13-1343","ISSN":"1078-0432","note":"PMID: 24334760","journalAbbreviation":"Clin. Cancer Res.","language":"eng","author":[{"family":"Bonnet","given":"Mathilde"},{"family":"Buc","given":"Emmanuel"},{"family":"Sauvanet","given":"Pierre"},{"family":"Darcha","given":"Claude"},{"family":"Dubois","given":"Damien"},{"family":"Pereira","given":"Bruno"},{"family":"Déchelotte","given":"Pierre"},{"family":"Bonnet","given":"Richard"},{"family":"Pezet","given":"Denis"},{"family":"Darfeuille-Michaud","given":"Arlette"}],"issued":{"date-parts":[["2014",2,15]]}}},{"id":"D1GMNV0O/6dlFpmII","uris":["http://zotero.org/users/4804376/items/6EDF2YAG"],"uri":["http://zotero.org/users/4804376/items/6EDF2YAG"],"itemData":{"id":648,"type":"article-journal","title":"Fusobacterium nucleatum in colorectal carcinoma tissue and patient prognosis","container-title":"Gut","page":"1973-1980","volume":"65","issue":"12","source":"PubMed","abstract":"OBJECTIVE: Accumulating evidence links the intestinal microbiota and colorectal carcinogenesis. Fusobacterium nucleatum may promote colorectal tumour growth and inhibit T cell-mediated immune responses against colorectal tumours. Thus, we hypothesised that the amount of F. nucleatum in colorectal carcinoma might be associated with worse clinical outcome.\nDESIGN: We used molecular pathological epidemiology database of 1069 rectal and colon cancer cases in the Nurses' Health Study and the Health Professionals Follow-up Study, and measured F. nucleatum DNA in carcinoma tissue. Cox proportional hazards model was used to compute hazard ratio (HR), controlling for potential confounders, including microsatellite instability (MSI, mismatch repair deficiency), CpG island methylator phenotype (CIMP), KRAS, BRAF, and PIK3CA mutations, and LINE-1 hypomethylation (low-level methylation).\nRESULTS: Compared with F. nucleatum-negative cases, multivariable HRs (95% CI) for colorectal cancer-specific mortality in F. nucleatum-low cases and F. nucleatum-high cases were 1.25 (0.82 to 1.92) and 1.58 (1.04 to 2.39), respectively, (p for trend=0.020). The amount of F. nucleatum was associated with MSI-high (multivariable odd ratio (OR), 5.22; 95% CI 2.86 to 9.55) independent of CIMP and BRAF mutation status, whereas CIMP and BRAF mutation were associated with F. nucleatum only in univariate analyses (p&lt;0.001) but not in multivariate analysis that adjusted for MSI status.\nCONCLUSIONS: The amount of F. nucleatum DNA in colorectal cancer tissue is associated with shorter survival, and may potentially serve as a prognostic biomarker. Our data may have implications in developing cancer prevention and treatment strategies through targeting GI microflora by diet, probiotics and antibiotics.","DOI":"10.1136/gutjnl-2015-310101","ISSN":"1468-3288","note":"PMID: 26311717\nPMCID: PMC4769120","journalAbbreviation":"Gut","language":"eng","author":[{"family":"Mima","given":"Kosuke"},{"family":"Nishihara","given":"Reiko"},{"family":"Qian","given":"Zhi Rong"},{"family":"Cao","given":"Yin"},{"family":"Sukawa","given":"Yasutaka"},{"family":"Nowak","given":"Jonathan A."},{"family":"Yang","given":"Juhong"},{"family":"Dou","given":"Ruoxu"},{"family":"Masugi","given":"Yohei"},{"family":"Song","given":"Mingyang"},{"family":"Kostic","given":"Aleksandar D."},{"family":"Giannakis","given":"Marios"},{"family":"Bullman","given":"Susan"},{"family":"Milner","given":"Danny A."},{"family":"Baba","given":"Hideo"},{"family":"Giovannucci","given":"Edward L."},{"family":"Garraway","given":"Levi A."},{"family":"Freeman","given":"Gordon J."},{"family":"Dranoff","given":"Glenn"},{"family":"Garrett","given":"Wendy S."},{"family":"Huttenhower","given":"Curtis"},{"family":"Meyerson","given":"Matthew"},{"family":"Meyerhardt","given":"Jeffrey A."},{"family":"Chan","given":"Andrew T."},{"family":"Fuchs","given":"Charles S."},{"family":"Ogino","given":"Shuji"}],"issued":{"date-parts":[["2016"]]}}},{"id":"D1GMNV0O/C8ydDPxb","uris":["http://zotero.org/users/4804376/items/72ZTFL8N"],"uri":["http://zotero.org/users/4804376/items/72ZTFL8N"],"itemData":{"id":678,"type":"article-journal","title":"Quantitative profiling of colorectal cancer-associated bacteria reveals associations between fusobacterium spp., enterotoxigenic Bacteroides fragilis (ETBF) and clinicopathological features of colorectal cancer","container-title":"PloS One","page":"e0119462","volume":"10","issue":"3","source":"PubMed","abstract":"Various studies have presented clinical or in vitro evidence linking bacteria to colorectal cancer, but these bacteria have not previously been concurrently quantified by qPCR in a single cohort. We quantify these bacteria (Fusobacterium spp., Streptococcus gallolyticus, Enterococcus faecalis, Enterotoxigenic Bacteroides fragilis (ETBF), Enteropathogenic Escherichia coli (EPEC), and afaC- or pks-positive E. coli) in paired tumour and normal tissue samples from 55 colorectal cancer patients. We further investigate the relationship between a) the presence and b) the level of colonisation of each bacterial species with site and stage of disease, age, gender, ethnicity and MSI-status. With the exception of S. gallolyticus, we detected all bacteria profiled here in both tumour and normal samples at varying frequencies. ETBF (FDR = 0.001 and 0.002 for normal and tumour samples) and afaC-positive E. coli (FDR = 0.03, normal samples) were significantly enriched in the colon compared to the rectum. ETBF (FDR = 0.04 and 0.002 for normal and tumour samples, respectively) and Fusobacterium spp. (FDR = 0.03 tumour samples) levels were significantly higher in late stage (III/IV) colorectal cancers. Fusobacterium was by far the most common bacteria detected, occurring in 82% and 81% of paired tumour and normal samples. Fusobacterium was also the only bacterium that was significantly higher in tumour compared to normal samples (p = 6e-5). We also identified significant associations between high-level colonisation by Fusobacterium and MSI-H (FDR = 0.05), age (FDR = 0.03) or pks-positive E. coli (FDR = 0.01). Furthermore, we exclusively identified atypical EPEC in our cohort, which has not been previously reported in association with colorectal cancer. By quantifying colorectal cancer-associated bacteria across a single cohort, we uncovered inter- and intra-individual patterns of colonization not previously recognized, as well as important associations with clinicopathological features, especially in the case of Fusobacterium and ETBF.","DOI":"10.1371/journal.pone.0119462","ISSN":"1932-6203","note":"PMID: 25751261\nPMCID: PMC4353626","journalAbbreviation":"PLoS ONE","language":"eng","author":[{"family":"Viljoen","given":"Katie S."},{"family":"Dakshinamurthy","given":"Amirtha"},{"family":"Goldberg","given":"Paul"},{"family":"Blackburn","given":"Jonathan M."}],"issued":{"date-parts":[["2015"]]}}},{"id":"D1GMNV0O/I2dFbx48","uris":["http://zotero.org/users/4804376/items/JIYSTXEH"],"uri":["http://zotero.org/users/4804376/items/JIYSTXEH"],"itemData":{"id":325,"type":"article-journal","title":"The Bacteroides fragilis toxin gene is prevalent in the colon mucosa of colorectal cancer patients","container-title":"Clinical Infectious Diseases: An Official Publication of the Infectious Diseases Society of America","page":"208-215","volume":"60","issue":"2","source":"PubMed","abstract":"BACKGROUND: Enterotoxigenic Bacteroides fragilis (ETBF) produces the Bacteroides fragilis toxin, which has been associated with acute diarrheal disease, inflammatory bowel disease, and colorectal cancer (CRC). ETBF induces colon carcinogenesis in experimental models. Previous human studies have demonstrated frequent asymptomatic fecal colonization with ETBF, but no study has investigated mucosal colonization that is expected to impact colon carcinogenesis.\nMETHODS: We compared the presence of the bft gene in mucosal samples from colorectal neoplasia patients (cases, n = 49) to a control group undergoing outpatient colonoscopy for CRC screening or diagnostic workup (controls, n = 49). Single bacterial colonies isolated anaerobically from mucosal colon tissue were tested for the bft gene with touch-down polymerase chain reaction.\nRESULTS: The mucosa of cases was significantly more often bft-positive on left (85.7%) and right (91.7%) tumor and/or paired normal tissues compared with left and right control biopsies (53.1%; P = .033 and 55.5%; P = .04, respectively). Detection of bft was concordant in most paired mucosal samples from individual cases or controls (75% cases; 67% controls). There was a trend toward increased bft positivity in mucosa from late- vs early-stage CRC patients (100% vs 72.7%, respectively; P = .093). In contrast to ETBF diarrheal disease where bft-1 detection dom</w:instrText>
      </w:r>
      <w:r w:rsidR="002A773B" w:rsidRPr="00DB7074">
        <w:rPr>
          <w:rFonts w:ascii="Book Antiqua" w:hAnsi="Book Antiqua" w:cs="Times New Roman" w:hint="eastAsia"/>
          <w:sz w:val="24"/>
          <w:szCs w:val="24"/>
        </w:rPr>
        <w:instrText xml:space="preserve">inates, bft-2 was the most frequent toxin isotype identified in both cases and controls, whereas multiple bft isotypes were detected more frequently in cases (P </w:instrText>
      </w:r>
      <w:r w:rsidR="002A773B" w:rsidRPr="00DB7074">
        <w:rPr>
          <w:rFonts w:ascii="Book Antiqua" w:hAnsi="Book Antiqua" w:cs="Times New Roman" w:hint="eastAsia"/>
          <w:sz w:val="24"/>
          <w:szCs w:val="24"/>
        </w:rPr>
        <w:instrText>≤</w:instrText>
      </w:r>
      <w:r w:rsidR="002A773B" w:rsidRPr="00DB7074">
        <w:rPr>
          <w:rFonts w:ascii="Book Antiqua" w:hAnsi="Book Antiqua" w:cs="Times New Roman" w:hint="eastAsia"/>
          <w:sz w:val="24"/>
          <w:szCs w:val="24"/>
        </w:rPr>
        <w:instrText xml:space="preserve"> .02).\nCONCLUSIONS: The bft gene is associated with colorectal neoplasia, especially in late</w:instrText>
      </w:r>
      <w:r w:rsidR="002A773B" w:rsidRPr="00DB7074">
        <w:rPr>
          <w:rFonts w:ascii="Book Antiqua" w:hAnsi="Book Antiqua" w:cs="Times New Roman"/>
          <w:sz w:val="24"/>
          <w:szCs w:val="24"/>
        </w:rPr>
        <w:instrText xml:space="preserve">-stage CRC. Our results suggest that mucosal bft exposure is common and may be a risk factor for developing CRC.","DOI":"10.1093/cid/ciu787","ISSN":"1537-6591","note":"PMID: 25305284\nPMCID: PMC4351371","journalAbbreviation":"Clin. Infect. Dis.","language":"eng","author":[{"family":"Boleij","given":"Annemarie"},{"family":"Hechenbleikner","given":"Elizabeth M."},{"family":"Goodwin","given":"Andrew C."},{"family":"Badani","given":"Ruchi"},{"family":"Stein","given":"Ellen M."},{"family":"Lazarev","given":"Mark G."},{"family":"Ellis","given":"Brandon"},{"family":"Carroll","given":"Karen C."},{"family":"Albesiano","given":"Emilia"},{"family":"Wick","given":"Elizabeth C."},{"family":"Platz","given":"Elizabeth A."},{"family":"Pardoll","given":"Drew M."},{"family":"Sears","given":"Cynthia L."}],"issued":{"date-parts":[["2015",1,15]]}}}],"schema":"https://github.com/citation-style-language/schema/raw/master/csl-citation.json"} </w:instrText>
      </w:r>
      <w:r w:rsidR="00E5106C"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[130,145,149,158]</w:t>
      </w:r>
      <w:r w:rsidR="00E5106C" w:rsidRPr="00DB7074">
        <w:rPr>
          <w:rFonts w:ascii="Book Antiqua" w:hAnsi="Book Antiqua" w:cs="Times New Roman"/>
          <w:sz w:val="24"/>
          <w:szCs w:val="24"/>
        </w:rPr>
        <w:fldChar w:fldCharType="end"/>
      </w:r>
      <w:r w:rsidR="00974CC3" w:rsidRPr="00DB7074">
        <w:rPr>
          <w:rFonts w:ascii="Book Antiqua" w:hAnsi="Book Antiqua" w:cs="Times New Roman"/>
          <w:sz w:val="24"/>
          <w:szCs w:val="24"/>
        </w:rPr>
        <w:t>.</w:t>
      </w:r>
      <w:r w:rsidRPr="00DB7074">
        <w:rPr>
          <w:rFonts w:ascii="Book Antiqua" w:hAnsi="Book Antiqua" w:cs="Times New Roman"/>
          <w:sz w:val="24"/>
          <w:szCs w:val="24"/>
        </w:rPr>
        <w:t xml:space="preserve"> </w:t>
      </w:r>
      <w:r w:rsidR="00A20D7C" w:rsidRPr="00DB7074">
        <w:rPr>
          <w:rFonts w:ascii="Book Antiqua" w:hAnsi="Book Antiqua" w:cs="Times New Roman"/>
          <w:sz w:val="24"/>
          <w:szCs w:val="24"/>
        </w:rPr>
        <w:t xml:space="preserve">Their detection by PCR </w:t>
      </w:r>
      <w:r w:rsidR="0099422B" w:rsidRPr="00DB7074">
        <w:rPr>
          <w:rFonts w:ascii="Book Antiqua" w:hAnsi="Book Antiqua" w:cs="Times New Roman"/>
          <w:sz w:val="24"/>
          <w:szCs w:val="24"/>
        </w:rPr>
        <w:t>in</w:t>
      </w:r>
      <w:r w:rsidR="00A20D7C" w:rsidRPr="00DB7074">
        <w:rPr>
          <w:rFonts w:ascii="Book Antiqua" w:hAnsi="Book Antiqua" w:cs="Times New Roman"/>
          <w:sz w:val="24"/>
          <w:szCs w:val="24"/>
        </w:rPr>
        <w:t xml:space="preserve"> tissues or </w:t>
      </w:r>
      <w:r w:rsidR="00507882" w:rsidRPr="00DB7074">
        <w:rPr>
          <w:rFonts w:ascii="Book Antiqua" w:hAnsi="Book Antiqua" w:cs="Times New Roman"/>
          <w:sz w:val="24"/>
          <w:szCs w:val="24"/>
        </w:rPr>
        <w:t>faeces</w:t>
      </w:r>
      <w:r w:rsidR="00A20D7C" w:rsidRPr="00DB7074">
        <w:rPr>
          <w:rFonts w:ascii="Book Antiqua" w:hAnsi="Book Antiqua" w:cs="Times New Roman"/>
          <w:sz w:val="24"/>
          <w:szCs w:val="24"/>
        </w:rPr>
        <w:t xml:space="preserve"> </w:t>
      </w:r>
      <w:r w:rsidR="0099422B" w:rsidRPr="00DB7074">
        <w:rPr>
          <w:rFonts w:ascii="Book Antiqua" w:hAnsi="Book Antiqua" w:cs="Times New Roman"/>
          <w:sz w:val="24"/>
          <w:szCs w:val="24"/>
        </w:rPr>
        <w:t>might allow the</w:t>
      </w:r>
      <w:r w:rsidR="00A20D7C" w:rsidRPr="00DB7074">
        <w:rPr>
          <w:rFonts w:ascii="Book Antiqua" w:hAnsi="Book Antiqua" w:cs="Times New Roman"/>
          <w:sz w:val="24"/>
          <w:szCs w:val="24"/>
        </w:rPr>
        <w:t xml:space="preserve"> </w:t>
      </w:r>
      <w:r w:rsidR="00A20D7C" w:rsidRPr="00DB7074">
        <w:rPr>
          <w:rFonts w:ascii="Book Antiqua" w:hAnsi="Book Antiqua" w:cs="Times New Roman"/>
          <w:sz w:val="24"/>
          <w:szCs w:val="24"/>
        </w:rPr>
        <w:lastRenderedPageBreak/>
        <w:t>develop</w:t>
      </w:r>
      <w:r w:rsidR="0099422B" w:rsidRPr="00DB7074">
        <w:rPr>
          <w:rFonts w:ascii="Book Antiqua" w:hAnsi="Book Antiqua" w:cs="Times New Roman"/>
          <w:sz w:val="24"/>
          <w:szCs w:val="24"/>
        </w:rPr>
        <w:t>ment of</w:t>
      </w:r>
      <w:r w:rsidR="00A20D7C" w:rsidRPr="00DB7074">
        <w:rPr>
          <w:rFonts w:ascii="Book Antiqua" w:eastAsia="Times New Roman" w:hAnsi="Book Antiqua" w:cs="Times New Roman"/>
          <w:sz w:val="24"/>
          <w:szCs w:val="24"/>
          <w:lang w:eastAsia="fr-FR"/>
        </w:rPr>
        <w:t xml:space="preserve"> rapid tests </w:t>
      </w:r>
      <w:r w:rsidR="00A20D7C" w:rsidRPr="00DB7074">
        <w:rPr>
          <w:rFonts w:ascii="Book Antiqua" w:hAnsi="Book Antiqua" w:cs="Times New Roman"/>
          <w:sz w:val="24"/>
          <w:szCs w:val="24"/>
        </w:rPr>
        <w:t>for</w:t>
      </w:r>
      <w:r w:rsidRPr="00DB7074">
        <w:rPr>
          <w:rFonts w:ascii="Book Antiqua" w:hAnsi="Book Antiqua" w:cs="Times New Roman"/>
          <w:sz w:val="24"/>
          <w:szCs w:val="24"/>
        </w:rPr>
        <w:t xml:space="preserve"> </w:t>
      </w:r>
      <w:r w:rsidR="00A20D7C" w:rsidRPr="00DB7074">
        <w:rPr>
          <w:rFonts w:ascii="Book Antiqua" w:hAnsi="Book Antiqua" w:cs="Times New Roman"/>
          <w:sz w:val="24"/>
          <w:szCs w:val="24"/>
        </w:rPr>
        <w:t>new</w:t>
      </w:r>
      <w:r w:rsidRPr="00DB7074">
        <w:rPr>
          <w:rFonts w:ascii="Book Antiqua" w:hAnsi="Book Antiqua" w:cs="Times New Roman"/>
          <w:sz w:val="24"/>
          <w:szCs w:val="24"/>
        </w:rPr>
        <w:t xml:space="preserve"> prognostic factor</w:t>
      </w:r>
      <w:r w:rsidR="0099422B" w:rsidRPr="00DB7074">
        <w:rPr>
          <w:rFonts w:ascii="Book Antiqua" w:hAnsi="Book Antiqua" w:cs="Times New Roman"/>
          <w:sz w:val="24"/>
          <w:szCs w:val="24"/>
        </w:rPr>
        <w:t>s</w:t>
      </w:r>
      <w:r w:rsidR="00A20D7C" w:rsidRPr="00DB7074">
        <w:rPr>
          <w:rFonts w:ascii="Book Antiqua" w:hAnsi="Book Antiqua" w:cs="Times New Roman"/>
          <w:sz w:val="24"/>
          <w:szCs w:val="24"/>
        </w:rPr>
        <w:t xml:space="preserve">. </w:t>
      </w:r>
      <w:r w:rsidR="0099422B" w:rsidRPr="00DB7074">
        <w:rPr>
          <w:rFonts w:ascii="Book Antiqua" w:hAnsi="Book Antiqua" w:cs="Times New Roman"/>
          <w:sz w:val="24"/>
          <w:szCs w:val="24"/>
        </w:rPr>
        <w:t xml:space="preserve">With a </w:t>
      </w:r>
      <w:r w:rsidR="00865CA1" w:rsidRPr="00DB7074">
        <w:rPr>
          <w:rFonts w:ascii="Book Antiqua" w:hAnsi="Book Antiqua" w:cs="Times New Roman"/>
          <w:sz w:val="24"/>
          <w:szCs w:val="24"/>
        </w:rPr>
        <w:t xml:space="preserve">16S rRNA gene sequencing approach, </w:t>
      </w:r>
      <w:r w:rsidR="00865CA1" w:rsidRPr="00DB7074">
        <w:rPr>
          <w:rFonts w:ascii="Book Antiqua" w:hAnsi="Book Antiqua" w:cs="Times New Roman"/>
          <w:i/>
          <w:sz w:val="24"/>
          <w:szCs w:val="24"/>
        </w:rPr>
        <w:t>F. nucleatum</w:t>
      </w:r>
      <w:r w:rsidR="00865CA1" w:rsidRPr="00DB7074">
        <w:rPr>
          <w:rFonts w:ascii="Book Antiqua" w:hAnsi="Book Antiqua" w:cs="Times New Roman"/>
          <w:sz w:val="24"/>
          <w:szCs w:val="24"/>
        </w:rPr>
        <w:t xml:space="preserve">, </w:t>
      </w:r>
      <w:r w:rsidR="00865CA1" w:rsidRPr="00DB7074">
        <w:rPr>
          <w:rFonts w:ascii="Book Antiqua" w:hAnsi="Book Antiqua" w:cs="Times New Roman"/>
          <w:i/>
          <w:sz w:val="24"/>
          <w:szCs w:val="24"/>
        </w:rPr>
        <w:t>B. fragilis</w:t>
      </w:r>
      <w:r w:rsidR="00865CA1" w:rsidRPr="00DB7074">
        <w:rPr>
          <w:rFonts w:ascii="Book Antiqua" w:hAnsi="Book Antiqua" w:cs="Times New Roman"/>
          <w:sz w:val="24"/>
          <w:szCs w:val="24"/>
        </w:rPr>
        <w:t xml:space="preserve"> and </w:t>
      </w:r>
      <w:r w:rsidR="00090C20" w:rsidRPr="00DB7074">
        <w:rPr>
          <w:rFonts w:ascii="Book Antiqua" w:hAnsi="Book Antiqua" w:cs="Times New Roman"/>
          <w:i/>
          <w:sz w:val="24"/>
          <w:szCs w:val="24"/>
        </w:rPr>
        <w:t xml:space="preserve">Faecalibacterium </w:t>
      </w:r>
      <w:r w:rsidR="00865CA1" w:rsidRPr="00DB7074">
        <w:rPr>
          <w:rFonts w:ascii="Book Antiqua" w:hAnsi="Book Antiqua" w:cs="Times New Roman"/>
          <w:i/>
          <w:sz w:val="24"/>
          <w:szCs w:val="24"/>
        </w:rPr>
        <w:t>prausnitzii</w:t>
      </w:r>
      <w:r w:rsidR="00865CA1" w:rsidRPr="00DB7074">
        <w:rPr>
          <w:rFonts w:ascii="Book Antiqua" w:hAnsi="Book Antiqua" w:cs="Times New Roman"/>
          <w:sz w:val="24"/>
          <w:szCs w:val="24"/>
        </w:rPr>
        <w:t xml:space="preserve"> were identified as useful prognostic biomarkers for CRC</w:t>
      </w:r>
      <w:r w:rsidR="00C140B4"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{"citationID":"a2clf4k6211","properties":{"formattedCitation":"\\super [203]\\nosupersub{}","plainCitation":"[203]","noteIndex":0},"citationItems":[{"id":"D1GMNV0O/wjO1KstZ","uris":["http://zotero.org/users/4804376/items/B8XH2M7E"],"uri":["http://zotero.org/users/4804376/items/B8XH2M7E"],"itemData":{"id":51,"type":"article-journal","title":"Could gut microbiota serve as prognostic biomarker associated with colorectal cancer patients&amp;apos; survival? A pilot study on relevant mechanism","container-title":"Oncotarget","volume":"7","issue":"29","source":"CrossRef","abstract":"Evidences have shown that dysbiosis could promote the progression of colorectal cancer (CRC). However, the association of dysbiosis and prognosis of CRC is barely investigated. Therefore, we used 16S rRNA gene sequencing approach to determine differences in microbiota among tumor tissues of different prognosis and found that Fusobacterium nucleatum and Bacteroides fragilis were more abundant in worse prognosis groups, while Faecalibacterium prausnitzii displayed higher abundance in survival group. To further explore the prognostic value of the found bacteria, Kaplan–Meier and Cox proportional regression analyses were used and the results exhibited that high abundance of F. nucleatum and B. fragilis were independent indicators of poor patient’s survival. Besides, the expression of major inflammatory mediator were analyzed using PCR and western blot methods, and it turned out that high abundance of F. nucleatum was associated with increased expression of TNF-a, β-catenin and NF-kB, while COX-2, MMP-9 and NF-kB were positively related with high B. fragilis level, and high level of F. prausnitzii showed lower expression of β-catenin, MMP-9 and NF-kB. Moreover, immunohistochemical analysis indicated that KRAS and BRAF expression were prominent in F. nucleatum and B. fragilis high abundance group, while MLH1 showed lower expression. In conclusion, F. nucleatum, B. fragilis and F. prausnitzii can be identified as useful prognostic biomarkers for CRC, and dysbiosis might worsen the patients’ prognosis by up-regulating gut inflammation level.","URL":"http://www.oncotarget.com/fulltext/10064","DOI":"10.18632/oncotarget.10064","ISSN":"1949-2553","shortTitle":"Could gut microbiota serve as prognostic biomarker associated with colorectal cancer patients&amp;apos; survival?","language":"en","author":[{"family":"Wei","given":"Zhiliang"},{"family":"Cao","given":"Shougen"},{"family":"Liu","given":"Shanglong"},{"family":"Yao","given":"Zengwu"},{"family":"Sun","given":"Teng"},{"family":"Li","given":"Yi"},{"family":"Li","given":"Jiante"},{"family":"Zhang","given":"Dongfeng"},{"family":"Zhou","given":"Yanbing"}],"issued":{"date-parts":[["2016",7,19]]},"accessed":{"date-parts":[["2018",3,19]]}}}],"schema":"https://github.com/citation-style-language/schema/raw/master/csl-citation.json"} </w:instrText>
      </w:r>
      <w:r w:rsidR="00C140B4"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[203]</w:t>
      </w:r>
      <w:r w:rsidR="00C140B4" w:rsidRPr="00DB7074">
        <w:rPr>
          <w:rFonts w:ascii="Book Antiqua" w:hAnsi="Book Antiqua" w:cs="Times New Roman"/>
          <w:sz w:val="24"/>
          <w:szCs w:val="24"/>
        </w:rPr>
        <w:fldChar w:fldCharType="end"/>
      </w:r>
      <w:r w:rsidR="00865CA1" w:rsidRPr="00DB7074">
        <w:rPr>
          <w:rFonts w:ascii="Book Antiqua" w:hAnsi="Book Antiqua" w:cs="Times New Roman"/>
          <w:sz w:val="24"/>
          <w:szCs w:val="24"/>
        </w:rPr>
        <w:t>. Indeed</w:t>
      </w:r>
      <w:r w:rsidR="0099422B" w:rsidRPr="00DB7074">
        <w:rPr>
          <w:rFonts w:ascii="Book Antiqua" w:hAnsi="Book Antiqua" w:cs="Times New Roman"/>
          <w:sz w:val="24"/>
          <w:szCs w:val="24"/>
        </w:rPr>
        <w:t>,</w:t>
      </w:r>
      <w:r w:rsidR="00865CA1" w:rsidRPr="00DB7074">
        <w:rPr>
          <w:rFonts w:ascii="Book Antiqua" w:hAnsi="Book Antiqua" w:cs="Times New Roman"/>
          <w:sz w:val="24"/>
          <w:szCs w:val="24"/>
        </w:rPr>
        <w:t xml:space="preserve"> in</w:t>
      </w:r>
      <w:r w:rsidR="00090C20" w:rsidRPr="00DB7074">
        <w:rPr>
          <w:rFonts w:ascii="Book Antiqua" w:hAnsi="Book Antiqua" w:cs="Times New Roman"/>
          <w:sz w:val="24"/>
          <w:szCs w:val="24"/>
        </w:rPr>
        <w:t xml:space="preserve"> </w:t>
      </w:r>
      <w:r w:rsidR="00865CA1" w:rsidRPr="00DB7074">
        <w:rPr>
          <w:rFonts w:ascii="Book Antiqua" w:hAnsi="Book Antiqua" w:cs="Times New Roman"/>
          <w:sz w:val="24"/>
          <w:szCs w:val="24"/>
        </w:rPr>
        <w:t>t</w:t>
      </w:r>
      <w:r w:rsidR="00090C20" w:rsidRPr="00DB7074">
        <w:rPr>
          <w:rFonts w:ascii="Book Antiqua" w:hAnsi="Book Antiqua" w:cs="Times New Roman"/>
          <w:sz w:val="24"/>
          <w:szCs w:val="24"/>
        </w:rPr>
        <w:t>h</w:t>
      </w:r>
      <w:r w:rsidR="00865CA1" w:rsidRPr="00DB7074">
        <w:rPr>
          <w:rFonts w:ascii="Book Antiqua" w:hAnsi="Book Antiqua" w:cs="Times New Roman"/>
          <w:sz w:val="24"/>
          <w:szCs w:val="24"/>
        </w:rPr>
        <w:t xml:space="preserve">is study, </w:t>
      </w:r>
      <w:r w:rsidR="00865CA1" w:rsidRPr="00DB7074">
        <w:rPr>
          <w:rFonts w:ascii="Book Antiqua" w:hAnsi="Book Antiqua" w:cs="Times New Roman"/>
          <w:i/>
          <w:sz w:val="24"/>
          <w:szCs w:val="24"/>
        </w:rPr>
        <w:t>F</w:t>
      </w:r>
      <w:r w:rsidR="00090C20" w:rsidRPr="00DB7074">
        <w:rPr>
          <w:rFonts w:ascii="Book Antiqua" w:hAnsi="Book Antiqua" w:cs="Times New Roman"/>
          <w:i/>
          <w:sz w:val="24"/>
          <w:szCs w:val="24"/>
        </w:rPr>
        <w:t>.</w:t>
      </w:r>
      <w:r w:rsidR="00865CA1" w:rsidRPr="00DB7074">
        <w:rPr>
          <w:rFonts w:ascii="Book Antiqua" w:hAnsi="Book Antiqua" w:cs="Times New Roman"/>
          <w:i/>
          <w:sz w:val="24"/>
          <w:szCs w:val="24"/>
        </w:rPr>
        <w:t xml:space="preserve"> nucleatum </w:t>
      </w:r>
      <w:r w:rsidR="00865CA1" w:rsidRPr="00DB7074">
        <w:rPr>
          <w:rFonts w:ascii="Book Antiqua" w:hAnsi="Book Antiqua" w:cs="Times New Roman"/>
          <w:sz w:val="24"/>
          <w:szCs w:val="24"/>
        </w:rPr>
        <w:t xml:space="preserve">and </w:t>
      </w:r>
      <w:r w:rsidR="00865CA1" w:rsidRPr="00DB7074">
        <w:rPr>
          <w:rFonts w:ascii="Book Antiqua" w:hAnsi="Book Antiqua" w:cs="Times New Roman"/>
          <w:i/>
          <w:sz w:val="24"/>
          <w:szCs w:val="24"/>
        </w:rPr>
        <w:t>B</w:t>
      </w:r>
      <w:r w:rsidR="00090C20" w:rsidRPr="00DB7074">
        <w:rPr>
          <w:rFonts w:ascii="Book Antiqua" w:hAnsi="Book Antiqua" w:cs="Times New Roman"/>
          <w:i/>
          <w:sz w:val="24"/>
          <w:szCs w:val="24"/>
        </w:rPr>
        <w:t xml:space="preserve">. </w:t>
      </w:r>
      <w:r w:rsidR="00865CA1" w:rsidRPr="00DB7074">
        <w:rPr>
          <w:rFonts w:ascii="Book Antiqua" w:hAnsi="Book Antiqua" w:cs="Times New Roman"/>
          <w:i/>
          <w:sz w:val="24"/>
          <w:szCs w:val="24"/>
        </w:rPr>
        <w:t>fragilis</w:t>
      </w:r>
      <w:r w:rsidR="00865CA1" w:rsidRPr="00DB7074">
        <w:rPr>
          <w:rFonts w:ascii="Book Antiqua" w:hAnsi="Book Antiqua" w:cs="Times New Roman"/>
          <w:sz w:val="24"/>
          <w:szCs w:val="24"/>
        </w:rPr>
        <w:t xml:space="preserve"> were more abundant in </w:t>
      </w:r>
      <w:r w:rsidR="0099422B" w:rsidRPr="00DB7074">
        <w:rPr>
          <w:rFonts w:ascii="Book Antiqua" w:hAnsi="Book Antiqua" w:cs="Times New Roman"/>
          <w:sz w:val="24"/>
          <w:szCs w:val="24"/>
        </w:rPr>
        <w:t xml:space="preserve">the groups with a </w:t>
      </w:r>
      <w:r w:rsidR="00865CA1" w:rsidRPr="00DB7074">
        <w:rPr>
          <w:rFonts w:ascii="Book Antiqua" w:hAnsi="Book Antiqua" w:cs="Times New Roman"/>
          <w:sz w:val="24"/>
          <w:szCs w:val="24"/>
        </w:rPr>
        <w:t xml:space="preserve">worse prognosis, while </w:t>
      </w:r>
      <w:r w:rsidR="00865CA1" w:rsidRPr="00DB7074">
        <w:rPr>
          <w:rFonts w:ascii="Book Antiqua" w:hAnsi="Book Antiqua" w:cs="Times New Roman"/>
          <w:i/>
          <w:sz w:val="24"/>
          <w:szCs w:val="24"/>
        </w:rPr>
        <w:t>Faecalibacterium prausnitzii</w:t>
      </w:r>
      <w:r w:rsidR="00865CA1" w:rsidRPr="00DB7074">
        <w:rPr>
          <w:rFonts w:ascii="Book Antiqua" w:hAnsi="Book Antiqua" w:cs="Times New Roman"/>
          <w:sz w:val="24"/>
          <w:szCs w:val="24"/>
        </w:rPr>
        <w:t xml:space="preserve"> </w:t>
      </w:r>
      <w:r w:rsidR="0099422B" w:rsidRPr="00DB7074">
        <w:rPr>
          <w:rFonts w:ascii="Book Antiqua" w:hAnsi="Book Antiqua" w:cs="Times New Roman"/>
          <w:sz w:val="24"/>
          <w:szCs w:val="24"/>
        </w:rPr>
        <w:t>was more</w:t>
      </w:r>
      <w:r w:rsidR="00865CA1" w:rsidRPr="00DB7074">
        <w:rPr>
          <w:rFonts w:ascii="Book Antiqua" w:hAnsi="Book Antiqua" w:cs="Times New Roman"/>
          <w:sz w:val="24"/>
          <w:szCs w:val="24"/>
        </w:rPr>
        <w:t xml:space="preserve"> abundan</w:t>
      </w:r>
      <w:r w:rsidR="0099422B" w:rsidRPr="00DB7074">
        <w:rPr>
          <w:rFonts w:ascii="Book Antiqua" w:hAnsi="Book Antiqua" w:cs="Times New Roman"/>
          <w:sz w:val="24"/>
          <w:szCs w:val="24"/>
        </w:rPr>
        <w:t>t</w:t>
      </w:r>
      <w:r w:rsidR="00865CA1" w:rsidRPr="00DB7074">
        <w:rPr>
          <w:rFonts w:ascii="Book Antiqua" w:hAnsi="Book Antiqua" w:cs="Times New Roman"/>
          <w:sz w:val="24"/>
          <w:szCs w:val="24"/>
        </w:rPr>
        <w:t xml:space="preserve"> in </w:t>
      </w:r>
      <w:r w:rsidR="0099422B" w:rsidRPr="00DB7074">
        <w:rPr>
          <w:rFonts w:ascii="Book Antiqua" w:hAnsi="Book Antiqua" w:cs="Times New Roman"/>
          <w:sz w:val="24"/>
          <w:szCs w:val="24"/>
        </w:rPr>
        <w:t xml:space="preserve">the </w:t>
      </w:r>
      <w:r w:rsidR="00865CA1" w:rsidRPr="00DB7074">
        <w:rPr>
          <w:rFonts w:ascii="Book Antiqua" w:hAnsi="Book Antiqua" w:cs="Times New Roman"/>
          <w:sz w:val="24"/>
          <w:szCs w:val="24"/>
        </w:rPr>
        <w:t>survival group</w:t>
      </w:r>
      <w:r w:rsidR="00090C20" w:rsidRPr="00DB7074">
        <w:rPr>
          <w:rFonts w:ascii="Book Antiqua" w:hAnsi="Book Antiqua" w:cs="Times New Roman"/>
          <w:sz w:val="24"/>
          <w:szCs w:val="24"/>
        </w:rPr>
        <w:t>.</w:t>
      </w:r>
      <w:r w:rsidR="00090C20" w:rsidRPr="00DB7074">
        <w:rPr>
          <w:rFonts w:ascii="Book Antiqua" w:hAnsi="Book Antiqua" w:cs="Times New Roman"/>
          <w:i/>
          <w:sz w:val="24"/>
          <w:szCs w:val="24"/>
        </w:rPr>
        <w:t xml:space="preserve"> </w:t>
      </w:r>
      <w:r w:rsidR="0099422B" w:rsidRPr="00DB7074">
        <w:rPr>
          <w:rFonts w:ascii="Book Antiqua" w:hAnsi="Book Antiqua" w:cs="Times New Roman"/>
          <w:sz w:val="24"/>
          <w:szCs w:val="24"/>
        </w:rPr>
        <w:t>Similarly</w:t>
      </w:r>
      <w:r w:rsidR="00DE0227" w:rsidRPr="00DB7074">
        <w:rPr>
          <w:rFonts w:ascii="Book Antiqua" w:hAnsi="Book Antiqua" w:cs="Times New Roman"/>
          <w:i/>
          <w:sz w:val="24"/>
          <w:szCs w:val="24"/>
        </w:rPr>
        <w:t xml:space="preserve">, </w:t>
      </w:r>
      <w:r w:rsidR="00DE0227" w:rsidRPr="00DB7074">
        <w:rPr>
          <w:rFonts w:ascii="Book Antiqua" w:hAnsi="Book Antiqua" w:cs="Times New Roman"/>
          <w:sz w:val="24"/>
          <w:szCs w:val="24"/>
        </w:rPr>
        <w:t>Mima et</w:t>
      </w:r>
      <w:r w:rsidR="00DE0227" w:rsidRPr="00DB7074">
        <w:rPr>
          <w:rFonts w:ascii="Book Antiqua" w:hAnsi="Book Antiqua" w:cs="Times New Roman"/>
          <w:i/>
          <w:sz w:val="24"/>
          <w:szCs w:val="24"/>
        </w:rPr>
        <w:t xml:space="preserve"> </w:t>
      </w:r>
      <w:r w:rsidR="00DE0227" w:rsidRPr="00DB7074">
        <w:rPr>
          <w:rFonts w:ascii="Book Antiqua" w:hAnsi="Book Antiqua" w:cs="Times New Roman"/>
          <w:sz w:val="24"/>
          <w:szCs w:val="24"/>
        </w:rPr>
        <w:t>al.</w:t>
      </w:r>
      <w:r w:rsidR="00DE0227" w:rsidRPr="00DB7074">
        <w:rPr>
          <w:rFonts w:ascii="Book Antiqua" w:hAnsi="Book Antiqua" w:cs="Times New Roman"/>
          <w:i/>
          <w:sz w:val="24"/>
          <w:szCs w:val="24"/>
        </w:rPr>
        <w:t xml:space="preserve"> </w:t>
      </w:r>
      <w:r w:rsidR="00070063" w:rsidRPr="00DB7074">
        <w:rPr>
          <w:rFonts w:ascii="Book Antiqua" w:hAnsi="Book Antiqua" w:cs="Times New Roman"/>
          <w:sz w:val="24"/>
          <w:szCs w:val="24"/>
        </w:rPr>
        <w:t xml:space="preserve">showed that </w:t>
      </w:r>
      <w:r w:rsidR="00C51AC6" w:rsidRPr="00DB7074">
        <w:rPr>
          <w:rFonts w:ascii="Book Antiqua" w:hAnsi="Book Antiqua" w:cs="Times New Roman"/>
          <w:sz w:val="24"/>
          <w:szCs w:val="24"/>
        </w:rPr>
        <w:t xml:space="preserve">the </w:t>
      </w:r>
      <w:r w:rsidR="00070063" w:rsidRPr="00DB7074">
        <w:rPr>
          <w:rFonts w:ascii="Book Antiqua" w:hAnsi="Book Antiqua" w:cs="Times New Roman"/>
          <w:sz w:val="24"/>
          <w:szCs w:val="24"/>
        </w:rPr>
        <w:t xml:space="preserve">amount of </w:t>
      </w:r>
      <w:r w:rsidR="00070063" w:rsidRPr="00DB7074">
        <w:rPr>
          <w:rFonts w:ascii="Book Antiqua" w:hAnsi="Book Antiqua" w:cs="Times New Roman"/>
          <w:i/>
          <w:sz w:val="24"/>
          <w:szCs w:val="24"/>
        </w:rPr>
        <w:t>F. nucleatum</w:t>
      </w:r>
      <w:r w:rsidR="00070063" w:rsidRPr="00DB7074">
        <w:rPr>
          <w:rFonts w:ascii="Book Antiqua" w:hAnsi="Book Antiqua" w:cs="Times New Roman"/>
          <w:sz w:val="24"/>
          <w:szCs w:val="24"/>
        </w:rPr>
        <w:t xml:space="preserve"> DNA in colorectal cancer tissue </w:t>
      </w:r>
      <w:r w:rsidR="00011360" w:rsidRPr="00DB7074">
        <w:rPr>
          <w:rFonts w:ascii="Book Antiqua" w:hAnsi="Book Antiqua" w:cs="Times New Roman"/>
          <w:sz w:val="24"/>
          <w:szCs w:val="24"/>
        </w:rPr>
        <w:t xml:space="preserve">was </w:t>
      </w:r>
      <w:r w:rsidR="00070063" w:rsidRPr="00DB7074">
        <w:rPr>
          <w:rFonts w:ascii="Book Antiqua" w:hAnsi="Book Antiqua" w:cs="Times New Roman"/>
          <w:sz w:val="24"/>
          <w:szCs w:val="24"/>
        </w:rPr>
        <w:t>associated with shorter survival</w:t>
      </w:r>
      <w:r w:rsidR="00C140B4"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{"citationID":"a23msoh19or","properties":{"formattedCitation":"\\super [158]\\nosupersub{}","plainCitation":"[158]","noteIndex":0},"citationItems":[{"id":"D1GMNV0O/6dlFpmII","uris":["http://zotero.org/users/4804376/items/6EDF2YAG"],"uri":["http://zotero.org/users/4804376/items/6EDF2YAG"],"itemData":{"id":648,"type":"article-journal","title":"Fusobacterium nucleatum in colorectal carcinoma tissue and patient prognosis","container-title":"Gut","page":"1973-1980","volume":"65","issue":"12","source":"PubMed","abstract":"OBJECTIVE: Accumulating evidence links the intestinal microbiota and colorectal carcinogenesis. Fusobacterium nucleatum may promote colorectal tumour growth and inhibit T cell-mediated immune responses against colorectal tumours. Thus, we hypothesised that the amount of F. nucleatum in colorectal carcinoma might be associated with worse clinical outcome.\nDESIGN: We used molecular pathological epidemiology database of 1069 rectal and colon cancer cases in the Nurses' Health Study and the Health Professionals Follow-up Study, and measured F. nucleatum DNA in carcinoma tissue. Cox proportional hazards model was used to compute hazard ratio (HR), controlling for potential confounders, including microsatellite instability (MSI, mismatch repair deficiency), CpG island methylator phenotype (CIMP), KRAS, BRAF, and PIK3CA mutations, and LINE-1 hypomethylation (low-level methylation).\nRESULTS: Compared with F. nucleatum-negative cases, multivariable HRs (95% CI) for colorectal cancer-specific mortality in F. nucleatum-low cases and F. nucleatum-high cases were 1.25 (0.82 to 1.92) and 1.58 (1.04 to 2.39), respectively, (p for trend=0.020). The amount of F. nucleatum was associated with MSI-high (multivariable odd ratio (OR), 5.22; 95% CI 2.86 to 9.55) independent of CIMP and BRAF mutation status, whereas CIMP and BRAF mutation were associated with F. nucleatum only in univariate analyses (p&lt;0.001) but not in multivariate analysis that adjusted for MSI status.\nCONCLUSIONS: The amount of F. nucleatum DNA in colorectal cancer tissue is associated with shorter survival, and may potentially serve as a prognostic biomarker. Our data may have implications in developing cancer prevention and treatment strategies through targeting GI microflora by diet, probiotics and antibiotics.","DOI":"10.1136/gutjnl-2015-310101","ISSN":"1468-3288","note":"PMID: 26311717\nPMCID: PMC4769120","journalAbbreviation":"Gut","language":"eng","author":[{"family":"Mima","given":"Kosuke"},{"family":"Nishihara","given":"Reiko"},{"family":"Qian","given":"Zhi Rong"},{"family":"Cao","given":"Yin"},{"family":"Sukawa","given":"Yasutaka"},{"family":"Nowak","given":"Jonathan A."},{"family":"Yang","given":"Juhong"},{"family":"Dou","given":"Ruoxu"},{"family":"Masugi","given":"Yohei"},{"family":"Song","given":"Mingyang"},{"family":"Kostic","given":"Aleksandar D."},{"family":"Giannakis","given":"Marios"},{"family":"Bullman","given":"Susan"},{"family":"Milner","given":"Danny A."},{"family":"Baba","given":"Hideo"},{"family":"Giovannucci","given":"Edward L."},{"family":"Garraway","given":"Levi A."},{"family":"Freeman","given":"Gordon J."},{"family":"Dranoff","given":"Glenn"},{"family":"Garrett","given":"Wendy S."},{"family":"Huttenhower","given":"Curtis"},{"family":"Meyerson","given":"Matthew"},{"family":"Meyerhardt","given":"Jeffrey A."},{"family":"Chan","given":"Andrew T."},{"family":"Fuchs","given":"Charles S."},{"family":"Ogino","given":"Shuji"}],"issued":{"date-parts":[["2016"]]}}}],"schema":"https://github.com/citation-style-language/schema/raw/master/csl-citation.json"} </w:instrText>
      </w:r>
      <w:r w:rsidR="00C140B4"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[158]</w:t>
      </w:r>
      <w:r w:rsidR="00C140B4" w:rsidRPr="00DB7074">
        <w:rPr>
          <w:rFonts w:ascii="Book Antiqua" w:hAnsi="Book Antiqua" w:cs="Times New Roman"/>
          <w:sz w:val="24"/>
          <w:szCs w:val="24"/>
        </w:rPr>
        <w:fldChar w:fldCharType="end"/>
      </w:r>
      <w:r w:rsidR="00070063" w:rsidRPr="00DB7074">
        <w:rPr>
          <w:rFonts w:ascii="Book Antiqua" w:hAnsi="Book Antiqua" w:cs="Times New Roman"/>
          <w:i/>
          <w:sz w:val="24"/>
          <w:szCs w:val="24"/>
        </w:rPr>
        <w:t xml:space="preserve">. </w:t>
      </w:r>
      <w:r w:rsidR="00C70093" w:rsidRPr="00DB7074">
        <w:rPr>
          <w:rFonts w:ascii="Book Antiqua" w:hAnsi="Book Antiqua" w:cs="Times New Roman"/>
          <w:sz w:val="24"/>
          <w:szCs w:val="24"/>
        </w:rPr>
        <w:t xml:space="preserve">Another study demonstrated </w:t>
      </w:r>
      <w:r w:rsidR="00011360" w:rsidRPr="00DB7074">
        <w:rPr>
          <w:rFonts w:ascii="Book Antiqua" w:hAnsi="Book Antiqua" w:cs="Times New Roman"/>
          <w:sz w:val="24"/>
          <w:szCs w:val="24"/>
        </w:rPr>
        <w:t>that the detection of</w:t>
      </w:r>
      <w:r w:rsidR="00C70093" w:rsidRPr="00DB7074">
        <w:rPr>
          <w:rFonts w:ascii="Book Antiqua" w:hAnsi="Book Antiqua" w:cs="Times New Roman"/>
          <w:i/>
          <w:sz w:val="24"/>
          <w:szCs w:val="24"/>
        </w:rPr>
        <w:t xml:space="preserve"> F. nucleatum</w:t>
      </w:r>
      <w:r w:rsidR="00C70093" w:rsidRPr="00DB7074">
        <w:rPr>
          <w:rFonts w:ascii="Book Antiqua" w:hAnsi="Book Antiqua" w:cs="Times New Roman"/>
          <w:sz w:val="24"/>
          <w:szCs w:val="24"/>
        </w:rPr>
        <w:t xml:space="preserve">  associated with the non-invasive screening</w:t>
      </w:r>
      <w:r w:rsidR="00C70093" w:rsidRPr="00DB7074">
        <w:rPr>
          <w:rFonts w:ascii="Book Antiqua" w:eastAsia="Times New Roman" w:hAnsi="Book Antiqua" w:cs="Times New Roman"/>
          <w:sz w:val="24"/>
          <w:szCs w:val="24"/>
          <w:lang w:eastAsia="fr-FR"/>
        </w:rPr>
        <w:t xml:space="preserve"> </w:t>
      </w:r>
      <w:r w:rsidR="00C70093" w:rsidRPr="00DB7074">
        <w:rPr>
          <w:rFonts w:ascii="Book Antiqua" w:hAnsi="Book Antiqua" w:cs="Times New Roman"/>
          <w:sz w:val="24"/>
          <w:szCs w:val="24"/>
        </w:rPr>
        <w:t xml:space="preserve">FIT </w:t>
      </w:r>
      <w:r w:rsidR="006438F9" w:rsidRPr="00DB7074">
        <w:rPr>
          <w:rFonts w:ascii="Book Antiqua" w:hAnsi="Book Antiqua" w:cs="Times New Roman"/>
          <w:sz w:val="24"/>
          <w:szCs w:val="24"/>
        </w:rPr>
        <w:t xml:space="preserve">could be a promising marker </w:t>
      </w:r>
      <w:r w:rsidR="00011360" w:rsidRPr="00DB7074">
        <w:rPr>
          <w:rFonts w:ascii="Book Antiqua" w:hAnsi="Book Antiqua" w:cs="Times New Roman"/>
          <w:sz w:val="24"/>
          <w:szCs w:val="24"/>
        </w:rPr>
        <w:t>for</w:t>
      </w:r>
      <w:r w:rsidR="006438F9" w:rsidRPr="00DB7074">
        <w:rPr>
          <w:rFonts w:ascii="Book Antiqua" w:hAnsi="Book Antiqua" w:cs="Times New Roman"/>
          <w:sz w:val="24"/>
          <w:szCs w:val="24"/>
        </w:rPr>
        <w:t xml:space="preserve"> detect</w:t>
      </w:r>
      <w:r w:rsidR="00011360" w:rsidRPr="00DB7074">
        <w:rPr>
          <w:rFonts w:ascii="Book Antiqua" w:hAnsi="Book Antiqua" w:cs="Times New Roman"/>
          <w:sz w:val="24"/>
          <w:szCs w:val="24"/>
        </w:rPr>
        <w:t>ing</w:t>
      </w:r>
      <w:r w:rsidR="006438F9" w:rsidRPr="00DB7074">
        <w:rPr>
          <w:rFonts w:ascii="Book Antiqua" w:hAnsi="Book Antiqua" w:cs="Times New Roman"/>
          <w:sz w:val="24"/>
          <w:szCs w:val="24"/>
        </w:rPr>
        <w:t xml:space="preserve"> neoplas</w:t>
      </w:r>
      <w:r w:rsidR="00011360" w:rsidRPr="00DB7074">
        <w:rPr>
          <w:rFonts w:ascii="Book Antiqua" w:hAnsi="Book Antiqua" w:cs="Times New Roman"/>
          <w:sz w:val="24"/>
          <w:szCs w:val="24"/>
        </w:rPr>
        <w:t>t</w:t>
      </w:r>
      <w:r w:rsidR="006438F9" w:rsidRPr="00DB7074">
        <w:rPr>
          <w:rFonts w:ascii="Book Antiqua" w:hAnsi="Book Antiqua" w:cs="Times New Roman"/>
          <w:sz w:val="24"/>
          <w:szCs w:val="24"/>
        </w:rPr>
        <w:t>ic lesions</w:t>
      </w:r>
      <w:r w:rsidR="00C140B4"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{"citationID":"a2e78k94095","properties":{"formattedCitation":"\\super [204]\\nosupersub{}","plainCitation":"[204]","noteIndex":0},"citationItems":[{"id":"D1GMNV0O/VVgLnjmJ","uris":["http://zotero.org/users/4804376/items/85JWITRP"],"uri":["http://zotero.org/users/4804376/items/85JWITRP"],"itemData":{"id":650,"type":"article-journal","title":"Quantitation of faecalFusobacteriumimproves faecal immunochemical test in detecting advanced colorectal neoplasia","container-title":"Gut","page":"1441-1448","volume":"66","issue":"8","source":"PubMed","abstract":"OBJECTIVE: There is a need for an improved biomarker for colorectal cancer (CRC) and advanced adenoma. We evaluated faecal microbial markers for clinical use in detecting CRC and advanced adenoma.\nDESIGN: We measured relative abundance ofFusobacterium nucleatum(Fn),Peptostreptococcus anaerobius(Pa) andParvimonas micra(Pm) by quantitative PCR in 309 subjects, including 104 patients with CRC, 103 patients with advanced adenoma and 102 controls. We evaluated the diagnostic performance of these biomarkers with respect to faecal immunochemical test (FIT), and validated the results in an independent cohort of 181 subjects.\nRESULTS: The abundance was higher for all three individual markers in patients with CRC than controls (p&lt;0.001), and for markerFnin patients with advanced adenoma than controls (p=0.022). The markerFn, when combined with FIT, showed superior sensitivity (92.3% vs 73.1%, p&lt;0.001) and area under the receiver-operating characteristic curve (AUC) (0.95 vs 0.86, p&lt;0.001) than stand-alone FIT in detecting CRC in the same patient cohort. This combined test also increased the sensitivity (38.6% vs 15.5%, p&lt;0.001) and AUC (0.65 vs 0.57, p=0.007) for detecting advanced adenoma. The performance gain for both CRC and advanced adenoma was confirmed in the validation cohort (p=0.0014 and p=0.031, respectively).\nCONCLUSIONS: This study identified markerFnas a valuable marker to improve diagnostic performance of FIT, providing a complementary role to detect lesions missed by FIT alone. This simple approach may improve the clinical utility of the current FIT, and takes one step further towards a non-invasive, potentially more accurate and affordable diagnosis of advanced colorectal neoplasia.","DOI":"10.1136/gutjnl-2016-312766","ISSN":"1468-3288","note":"PMID: 27797940\nPMCID: PMC5530471","journalAbbreviation":"Gut","language":"eng","author":[{"family":"Wong","given":"Sunny H."},{"family":"Kwong","given":"Thomas N. Y."},{"family":"Chow","given":"Tai-Cheong"},{"family":"Luk","given":"Arthur K. C."},{"family":"Dai","given":"Rudin Z. W."},{"family":"Nakatsu","given":"Geicho"},{"family":"Lam","given":"Thomas Y. T."},{"family":"Zhang","given":"Lin"},{"family":"Wu","given":"Justin C. Y."},{"family":"Chan","given":"Francis K. L."},{"family":"Ng","given":"Simon S. M."},{"family":"Wong","given":"Martin C. S."},{"family":"Ng","given":"Siew C."},{"family":"Wu","given":"William K. K."},{"family":"Yu","given":"Jun"},{"family":"Sung","given":"Joseph J. Y."}],"issued":{"date-parts":[["2017"]]}}}],"schema":"https://github.com/citation-style-language/schema/raw/master/csl-citation.json"} </w:instrText>
      </w:r>
      <w:r w:rsidR="00C140B4"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[204]</w:t>
      </w:r>
      <w:r w:rsidR="00C140B4" w:rsidRPr="00DB7074">
        <w:rPr>
          <w:rFonts w:ascii="Book Antiqua" w:hAnsi="Book Antiqua" w:cs="Times New Roman"/>
          <w:sz w:val="24"/>
          <w:szCs w:val="24"/>
        </w:rPr>
        <w:fldChar w:fldCharType="end"/>
      </w:r>
      <w:r w:rsidR="006438F9" w:rsidRPr="00DB7074">
        <w:rPr>
          <w:rFonts w:ascii="Book Antiqua" w:hAnsi="Book Antiqua" w:cs="Times New Roman"/>
          <w:sz w:val="24"/>
          <w:szCs w:val="24"/>
        </w:rPr>
        <w:t>.</w:t>
      </w:r>
      <w:r w:rsidR="006438F9" w:rsidRPr="00DB7074">
        <w:rPr>
          <w:rFonts w:ascii="Book Antiqua" w:eastAsia="Times New Roman" w:hAnsi="Book Antiqua" w:cs="Times New Roman"/>
          <w:sz w:val="24"/>
          <w:szCs w:val="24"/>
          <w:lang w:eastAsia="fr-FR"/>
        </w:rPr>
        <w:t xml:space="preserve"> </w:t>
      </w:r>
      <w:r w:rsidR="005D06F8" w:rsidRPr="00DB7074">
        <w:rPr>
          <w:rFonts w:ascii="Book Antiqua" w:eastAsia="Times New Roman" w:hAnsi="Book Antiqua" w:cs="Times New Roman"/>
          <w:sz w:val="24"/>
          <w:szCs w:val="24"/>
          <w:lang w:eastAsia="fr-FR"/>
        </w:rPr>
        <w:t>Recently</w:t>
      </w:r>
      <w:r w:rsidR="002E685D" w:rsidRPr="00DB7074">
        <w:rPr>
          <w:rFonts w:ascii="Book Antiqua" w:eastAsia="Times New Roman" w:hAnsi="Book Antiqua" w:cs="Times New Roman"/>
          <w:sz w:val="24"/>
          <w:szCs w:val="24"/>
          <w:lang w:eastAsia="fr-FR"/>
        </w:rPr>
        <w:t>,</w:t>
      </w:r>
      <w:r w:rsidR="005D06F8" w:rsidRPr="00DB7074">
        <w:rPr>
          <w:rFonts w:ascii="Book Antiqua" w:eastAsia="Times New Roman" w:hAnsi="Book Antiqua" w:cs="Times New Roman"/>
          <w:sz w:val="24"/>
          <w:szCs w:val="24"/>
          <w:lang w:eastAsia="fr-FR"/>
        </w:rPr>
        <w:t xml:space="preserve"> Eklof et al. </w:t>
      </w:r>
      <w:r w:rsidR="000B3BF6" w:rsidRPr="00DB7074">
        <w:rPr>
          <w:rFonts w:ascii="Book Antiqua" w:eastAsia="Times New Roman" w:hAnsi="Book Antiqua" w:cs="Times New Roman"/>
          <w:sz w:val="24"/>
          <w:szCs w:val="24"/>
          <w:lang w:eastAsia="fr-FR"/>
        </w:rPr>
        <w:t>explore</w:t>
      </w:r>
      <w:r w:rsidR="005D6E3A" w:rsidRPr="00DB7074">
        <w:rPr>
          <w:rFonts w:ascii="Book Antiqua" w:eastAsia="Times New Roman" w:hAnsi="Book Antiqua" w:cs="Times New Roman"/>
          <w:sz w:val="24"/>
          <w:szCs w:val="24"/>
          <w:lang w:eastAsia="fr-FR"/>
        </w:rPr>
        <w:t>d</w:t>
      </w:r>
      <w:r w:rsidR="000B3BF6" w:rsidRPr="00DB7074">
        <w:rPr>
          <w:rFonts w:ascii="Book Antiqua" w:eastAsia="Times New Roman" w:hAnsi="Book Antiqua" w:cs="Times New Roman"/>
          <w:sz w:val="24"/>
          <w:szCs w:val="24"/>
          <w:lang w:eastAsia="fr-FR"/>
        </w:rPr>
        <w:t xml:space="preserve"> the use of microbial markers for bacteria</w:t>
      </w:r>
      <w:r w:rsidR="00507882" w:rsidRPr="00DB7074">
        <w:rPr>
          <w:rFonts w:ascii="Book Antiqua" w:eastAsia="Times New Roman" w:hAnsi="Book Antiqua" w:cs="Times New Roman"/>
          <w:sz w:val="24"/>
          <w:szCs w:val="24"/>
          <w:lang w:eastAsia="fr-FR"/>
        </w:rPr>
        <w:t xml:space="preserve"> harbour</w:t>
      </w:r>
      <w:r w:rsidR="000B3BF6" w:rsidRPr="00DB7074">
        <w:rPr>
          <w:rFonts w:ascii="Book Antiqua" w:eastAsia="Times New Roman" w:hAnsi="Book Antiqua" w:cs="Times New Roman"/>
          <w:sz w:val="24"/>
          <w:szCs w:val="24"/>
          <w:lang w:eastAsia="fr-FR"/>
        </w:rPr>
        <w:t xml:space="preserve">ing the </w:t>
      </w:r>
      <w:proofErr w:type="gramStart"/>
      <w:r w:rsidR="000B3BF6" w:rsidRPr="00DB7074">
        <w:rPr>
          <w:rFonts w:ascii="Book Antiqua" w:eastAsia="Times New Roman" w:hAnsi="Book Antiqua" w:cs="Times New Roman"/>
          <w:sz w:val="24"/>
          <w:szCs w:val="24"/>
          <w:lang w:eastAsia="fr-FR"/>
        </w:rPr>
        <w:t>pks island</w:t>
      </w:r>
      <w:proofErr w:type="gramEnd"/>
      <w:r w:rsidR="00011360" w:rsidRPr="00DB7074">
        <w:rPr>
          <w:rFonts w:ascii="Book Antiqua" w:eastAsia="Times New Roman" w:hAnsi="Book Antiqua" w:cs="Times New Roman"/>
          <w:sz w:val="24"/>
          <w:szCs w:val="24"/>
          <w:lang w:eastAsia="fr-FR"/>
        </w:rPr>
        <w:t>, which</w:t>
      </w:r>
      <w:r w:rsidR="005D6E3A" w:rsidRPr="00DB7074">
        <w:rPr>
          <w:rFonts w:ascii="Book Antiqua" w:eastAsia="Times New Roman" w:hAnsi="Book Antiqua" w:cs="Times New Roman"/>
          <w:sz w:val="24"/>
          <w:szCs w:val="24"/>
          <w:lang w:eastAsia="fr-FR"/>
        </w:rPr>
        <w:t xml:space="preserve"> cod</w:t>
      </w:r>
      <w:r w:rsidR="00011360" w:rsidRPr="00DB7074">
        <w:rPr>
          <w:rFonts w:ascii="Book Antiqua" w:eastAsia="Times New Roman" w:hAnsi="Book Antiqua" w:cs="Times New Roman"/>
          <w:sz w:val="24"/>
          <w:szCs w:val="24"/>
          <w:lang w:eastAsia="fr-FR"/>
        </w:rPr>
        <w:t>es</w:t>
      </w:r>
      <w:r w:rsidR="005D6E3A" w:rsidRPr="00DB7074">
        <w:rPr>
          <w:rFonts w:ascii="Book Antiqua" w:eastAsia="Times New Roman" w:hAnsi="Book Antiqua" w:cs="Times New Roman"/>
          <w:sz w:val="24"/>
          <w:szCs w:val="24"/>
          <w:lang w:eastAsia="fr-FR"/>
        </w:rPr>
        <w:t xml:space="preserve"> for colibactin synthesis</w:t>
      </w:r>
      <w:r w:rsidR="00011360" w:rsidRPr="00DB7074">
        <w:rPr>
          <w:rFonts w:ascii="Book Antiqua" w:eastAsia="Times New Roman" w:hAnsi="Book Antiqua" w:cs="Times New Roman"/>
          <w:sz w:val="24"/>
          <w:szCs w:val="24"/>
          <w:lang w:eastAsia="fr-FR"/>
        </w:rPr>
        <w:t>,</w:t>
      </w:r>
      <w:r w:rsidR="000B3BF6" w:rsidRPr="00DB7074">
        <w:rPr>
          <w:rFonts w:ascii="Book Antiqua" w:eastAsia="Times New Roman" w:hAnsi="Book Antiqua" w:cs="Times New Roman"/>
          <w:sz w:val="24"/>
          <w:szCs w:val="24"/>
          <w:lang w:eastAsia="fr-FR"/>
        </w:rPr>
        <w:t xml:space="preserve"> and </w:t>
      </w:r>
      <w:r w:rsidR="000B3BF6" w:rsidRPr="00DB7074">
        <w:rPr>
          <w:rFonts w:ascii="Book Antiqua" w:eastAsia="Times New Roman" w:hAnsi="Book Antiqua" w:cs="Times New Roman"/>
          <w:i/>
          <w:sz w:val="24"/>
          <w:szCs w:val="24"/>
          <w:lang w:eastAsia="fr-FR"/>
        </w:rPr>
        <w:t>F</w:t>
      </w:r>
      <w:r w:rsidR="007450C8" w:rsidRPr="00DB7074">
        <w:rPr>
          <w:rFonts w:ascii="Book Antiqua" w:eastAsia="Times New Roman" w:hAnsi="Book Antiqua" w:cs="Times New Roman"/>
          <w:i/>
          <w:sz w:val="24"/>
          <w:szCs w:val="24"/>
          <w:lang w:eastAsia="fr-FR"/>
        </w:rPr>
        <w:t>.</w:t>
      </w:r>
      <w:r w:rsidR="000B3BF6" w:rsidRPr="00DB7074">
        <w:rPr>
          <w:rFonts w:ascii="Book Antiqua" w:eastAsia="Times New Roman" w:hAnsi="Book Antiqua" w:cs="Times New Roman"/>
          <w:i/>
          <w:sz w:val="24"/>
          <w:szCs w:val="24"/>
          <w:lang w:eastAsia="fr-FR"/>
        </w:rPr>
        <w:t xml:space="preserve"> nucleatum</w:t>
      </w:r>
      <w:r w:rsidR="000B3BF6" w:rsidRPr="00DB7074">
        <w:rPr>
          <w:rFonts w:ascii="Book Antiqua" w:eastAsia="Times New Roman" w:hAnsi="Book Antiqua" w:cs="Times New Roman"/>
          <w:sz w:val="24"/>
          <w:szCs w:val="24"/>
          <w:lang w:eastAsia="fr-FR"/>
        </w:rPr>
        <w:t xml:space="preserve"> in stool as potential screening markers for CRC. </w:t>
      </w:r>
      <w:r w:rsidR="00DA12FE" w:rsidRPr="00DB7074">
        <w:rPr>
          <w:rFonts w:ascii="Book Antiqua" w:eastAsia="Times New Roman" w:hAnsi="Book Antiqua" w:cs="Times New Roman"/>
          <w:sz w:val="24"/>
          <w:szCs w:val="24"/>
          <w:lang w:eastAsia="fr-FR"/>
        </w:rPr>
        <w:t>Authors suggested that t</w:t>
      </w:r>
      <w:r w:rsidR="00011360" w:rsidRPr="00DB7074">
        <w:rPr>
          <w:rFonts w:ascii="Book Antiqua" w:eastAsia="Times New Roman" w:hAnsi="Book Antiqua" w:cs="Times New Roman"/>
          <w:sz w:val="24"/>
          <w:szCs w:val="24"/>
          <w:lang w:eastAsia="fr-FR"/>
        </w:rPr>
        <w:t xml:space="preserve">he presence </w:t>
      </w:r>
      <w:r w:rsidR="005D6E3A" w:rsidRPr="00DB7074">
        <w:rPr>
          <w:rFonts w:ascii="Book Antiqua" w:eastAsia="Times New Roman" w:hAnsi="Book Antiqua" w:cs="Times New Roman"/>
          <w:sz w:val="24"/>
          <w:szCs w:val="24"/>
          <w:lang w:eastAsia="fr-FR"/>
        </w:rPr>
        <w:t xml:space="preserve">of </w:t>
      </w:r>
      <w:r w:rsidR="00011360" w:rsidRPr="00DB7074">
        <w:rPr>
          <w:rFonts w:ascii="Book Antiqua" w:eastAsia="Times New Roman" w:hAnsi="Book Antiqua" w:cs="Times New Roman"/>
          <w:sz w:val="24"/>
          <w:szCs w:val="24"/>
          <w:lang w:eastAsia="fr-FR"/>
        </w:rPr>
        <w:t xml:space="preserve">the </w:t>
      </w:r>
      <w:r w:rsidR="005D6E3A" w:rsidRPr="00DB7074">
        <w:rPr>
          <w:rStyle w:val="highlight"/>
          <w:rFonts w:ascii="Book Antiqua" w:hAnsi="Book Antiqua" w:cs="Times New Roman"/>
          <w:sz w:val="24"/>
          <w:szCs w:val="24"/>
        </w:rPr>
        <w:t>pks island</w:t>
      </w:r>
      <w:r w:rsidR="000B3BF6" w:rsidRPr="00DB7074">
        <w:rPr>
          <w:rFonts w:ascii="Book Antiqua" w:hAnsi="Book Antiqua" w:cs="Times New Roman"/>
          <w:sz w:val="24"/>
          <w:szCs w:val="24"/>
        </w:rPr>
        <w:t xml:space="preserve"> and </w:t>
      </w:r>
      <w:r w:rsidR="000B3BF6" w:rsidRPr="00DB7074">
        <w:rPr>
          <w:rFonts w:ascii="Book Antiqua" w:hAnsi="Book Antiqua" w:cs="Times New Roman"/>
          <w:i/>
          <w:sz w:val="24"/>
          <w:szCs w:val="24"/>
        </w:rPr>
        <w:t>F. nucleatum</w:t>
      </w:r>
      <w:r w:rsidR="000B3BF6" w:rsidRPr="00DB7074">
        <w:rPr>
          <w:rFonts w:ascii="Book Antiqua" w:hAnsi="Book Antiqua" w:cs="Times New Roman"/>
          <w:sz w:val="24"/>
          <w:szCs w:val="24"/>
        </w:rPr>
        <w:t xml:space="preserve"> </w:t>
      </w:r>
      <w:r w:rsidR="005D6E3A" w:rsidRPr="00DB7074">
        <w:rPr>
          <w:rFonts w:ascii="Book Antiqua" w:hAnsi="Book Antiqua" w:cs="Times New Roman"/>
          <w:sz w:val="24"/>
          <w:szCs w:val="24"/>
        </w:rPr>
        <w:t xml:space="preserve">detection </w:t>
      </w:r>
      <w:r w:rsidR="000B3BF6" w:rsidRPr="00DB7074">
        <w:rPr>
          <w:rFonts w:ascii="Book Antiqua" w:hAnsi="Book Antiqua" w:cs="Times New Roman"/>
          <w:sz w:val="24"/>
          <w:szCs w:val="24"/>
        </w:rPr>
        <w:t>could predict cancer with a specificity of 63.1% and a sensitivity of 84.6%</w:t>
      </w:r>
      <w:r w:rsidR="00011360" w:rsidRPr="00DB7074">
        <w:rPr>
          <w:rFonts w:ascii="Book Antiqua" w:hAnsi="Book Antiqua" w:cs="Times New Roman"/>
          <w:sz w:val="24"/>
          <w:szCs w:val="24"/>
        </w:rPr>
        <w:t>,</w:t>
      </w:r>
      <w:r w:rsidR="007959D3" w:rsidRPr="00DB7074">
        <w:rPr>
          <w:rFonts w:ascii="Book Antiqua" w:hAnsi="Book Antiqua" w:cs="Times New Roman"/>
          <w:sz w:val="24"/>
          <w:szCs w:val="24"/>
        </w:rPr>
        <w:t xml:space="preserve"> suggesting the potential value of these microbial </w:t>
      </w:r>
      <w:r w:rsidR="00EF2942" w:rsidRPr="00DB7074">
        <w:rPr>
          <w:rFonts w:ascii="Book Antiqua" w:hAnsi="Book Antiqua" w:cs="Times New Roman"/>
          <w:sz w:val="24"/>
          <w:szCs w:val="24"/>
        </w:rPr>
        <w:t>parameter</w:t>
      </w:r>
      <w:r w:rsidR="007959D3" w:rsidRPr="00DB7074">
        <w:rPr>
          <w:rFonts w:ascii="Book Antiqua" w:hAnsi="Book Antiqua" w:cs="Times New Roman"/>
          <w:sz w:val="24"/>
          <w:szCs w:val="24"/>
        </w:rPr>
        <w:t>s as putative non</w:t>
      </w:r>
      <w:r w:rsidR="00011360" w:rsidRPr="00DB7074">
        <w:rPr>
          <w:rFonts w:ascii="Book Antiqua" w:hAnsi="Book Antiqua" w:cs="Times New Roman"/>
          <w:sz w:val="24"/>
          <w:szCs w:val="24"/>
        </w:rPr>
        <w:t>-</w:t>
      </w:r>
      <w:r w:rsidR="007959D3" w:rsidRPr="00DB7074">
        <w:rPr>
          <w:rFonts w:ascii="Book Antiqua" w:hAnsi="Book Antiqua" w:cs="Times New Roman"/>
          <w:sz w:val="24"/>
          <w:szCs w:val="24"/>
        </w:rPr>
        <w:t>invasive biomarkers for CRC detection</w:t>
      </w:r>
      <w:r w:rsidR="00C140B4"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{"citationID":"a18tfhnuqe","properties":{"formattedCitation":"\\super [151]\\nosupersub{}","plainCitation":"[151]","noteIndex":0},"citationItems":[{"id":"D1GMNV0O/dsHJXe4Q","uris":["http://zotero.org/users/4804376/items/CMMHZTNP"],"uri":["http://zotero.org/users/4804376/items/CMMHZTNP"],"itemData":{"id":71,"type":"article-journal","title":"Cancer-associated fecal microbial markers in colorectal cancer detection: Fecal microbial markers in colorectal cancer detection","container-title":"International Journal of Cancer","page":"2528-2536","volume":"141","issue":"12","source":"CrossRef","DOI":"10.1002/ijc.31011","ISSN":"00207136","shortTitle":"Cancer-associated fecal microbial markers in colorectal cancer detection","language":"en","author":[{"family":"Eklöf","given":"Vincy"},{"family":"Löfgren-Burström","given":"Anna"},{"family":"Zingmark","given":"Carl"},{"family":"Edin","given":"Sofia"},{"family":"Larsson","given":"Pär"},{"family":"Karling","given":"Pontus"},{"family":"Alexeyev","given":"Oleg"},{"family":"Rutegård","given":"Jörgen"},{"family":"Wikberg","given":"Maria L."},{"family":"Palmqvist","given":"Richard"}],"issued":{"date-parts":[["2017",12,15]]}}}],"schema":"https://github.com/citation-style-language/schema/raw/master/csl-citation.json"} </w:instrText>
      </w:r>
      <w:r w:rsidR="00C140B4"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[151]</w:t>
      </w:r>
      <w:r w:rsidR="00C140B4" w:rsidRPr="00DB7074">
        <w:rPr>
          <w:rFonts w:ascii="Book Antiqua" w:hAnsi="Book Antiqua" w:cs="Times New Roman"/>
          <w:sz w:val="24"/>
          <w:szCs w:val="24"/>
        </w:rPr>
        <w:fldChar w:fldCharType="end"/>
      </w:r>
      <w:r w:rsidR="000B3BF6" w:rsidRPr="00DB7074">
        <w:rPr>
          <w:rFonts w:ascii="Book Antiqua" w:eastAsia="Times New Roman" w:hAnsi="Book Antiqua" w:cs="Times New Roman"/>
          <w:sz w:val="24"/>
          <w:szCs w:val="24"/>
          <w:lang w:eastAsia="fr-FR"/>
        </w:rPr>
        <w:t>.</w:t>
      </w:r>
      <w:r w:rsidR="005A60FA" w:rsidRPr="00DB7074">
        <w:rPr>
          <w:rFonts w:ascii="Book Antiqua" w:eastAsia="Times New Roman" w:hAnsi="Book Antiqua" w:cs="Times New Roman"/>
          <w:sz w:val="24"/>
          <w:szCs w:val="24"/>
          <w:lang w:eastAsia="fr-FR"/>
        </w:rPr>
        <w:t xml:space="preserve"> </w:t>
      </w:r>
      <w:r w:rsidR="00080EBA" w:rsidRPr="00DB7074">
        <w:rPr>
          <w:rFonts w:ascii="Book Antiqua" w:eastAsia="Times New Roman" w:hAnsi="Book Antiqua" w:cs="Times New Roman"/>
          <w:sz w:val="24"/>
          <w:szCs w:val="24"/>
          <w:lang w:eastAsia="fr-FR"/>
        </w:rPr>
        <w:t xml:space="preserve">Multicentric </w:t>
      </w:r>
      <w:r w:rsidR="00080EBA" w:rsidRPr="00DB7074">
        <w:rPr>
          <w:rFonts w:ascii="Book Antiqua" w:hAnsi="Book Antiqua" w:cs="Times New Roman"/>
          <w:sz w:val="24"/>
          <w:szCs w:val="24"/>
        </w:rPr>
        <w:t>c</w:t>
      </w:r>
      <w:r w:rsidR="00865CA1" w:rsidRPr="00DB7074">
        <w:rPr>
          <w:rFonts w:ascii="Book Antiqua" w:hAnsi="Book Antiqua" w:cs="Times New Roman"/>
          <w:sz w:val="24"/>
          <w:szCs w:val="24"/>
        </w:rPr>
        <w:t xml:space="preserve">linical studies </w:t>
      </w:r>
      <w:r w:rsidR="00B967C6" w:rsidRPr="00DB7074">
        <w:rPr>
          <w:rFonts w:ascii="Book Antiqua" w:hAnsi="Book Antiqua" w:cs="Times New Roman"/>
          <w:sz w:val="24"/>
          <w:szCs w:val="24"/>
        </w:rPr>
        <w:t>need to</w:t>
      </w:r>
      <w:r w:rsidR="00865CA1" w:rsidRPr="00DB7074">
        <w:rPr>
          <w:rFonts w:ascii="Book Antiqua" w:hAnsi="Book Antiqua" w:cs="Times New Roman"/>
          <w:sz w:val="24"/>
          <w:szCs w:val="24"/>
        </w:rPr>
        <w:t xml:space="preserve"> be performed to validate </w:t>
      </w:r>
      <w:r w:rsidR="00080EBA" w:rsidRPr="00DB7074">
        <w:rPr>
          <w:rFonts w:ascii="Book Antiqua" w:hAnsi="Book Antiqua" w:cs="Times New Roman"/>
          <w:sz w:val="24"/>
          <w:szCs w:val="24"/>
        </w:rPr>
        <w:t xml:space="preserve">all these </w:t>
      </w:r>
      <w:r w:rsidR="00F143FE" w:rsidRPr="00DB7074">
        <w:rPr>
          <w:rFonts w:ascii="Book Antiqua" w:hAnsi="Book Antiqua" w:cs="Times New Roman"/>
          <w:sz w:val="24"/>
          <w:szCs w:val="24"/>
        </w:rPr>
        <w:t xml:space="preserve">promising </w:t>
      </w:r>
      <w:r w:rsidR="00080EBA" w:rsidRPr="00DB7074">
        <w:rPr>
          <w:rFonts w:ascii="Book Antiqua" w:hAnsi="Book Antiqua" w:cs="Times New Roman"/>
          <w:sz w:val="24"/>
          <w:szCs w:val="24"/>
        </w:rPr>
        <w:t xml:space="preserve">results </w:t>
      </w:r>
      <w:r w:rsidR="00011360" w:rsidRPr="00DB7074">
        <w:rPr>
          <w:rFonts w:ascii="Book Antiqua" w:hAnsi="Book Antiqua" w:cs="Times New Roman"/>
          <w:sz w:val="24"/>
          <w:szCs w:val="24"/>
        </w:rPr>
        <w:t>in a</w:t>
      </w:r>
      <w:r w:rsidR="00080EBA" w:rsidRPr="00DB7074">
        <w:rPr>
          <w:rFonts w:ascii="Book Antiqua" w:hAnsi="Book Antiqua" w:cs="Times New Roman"/>
          <w:sz w:val="24"/>
          <w:szCs w:val="24"/>
        </w:rPr>
        <w:t xml:space="preserve"> larger </w:t>
      </w:r>
      <w:r w:rsidR="00F30146" w:rsidRPr="00DB7074">
        <w:rPr>
          <w:rFonts w:ascii="Book Antiqua" w:hAnsi="Book Antiqua" w:cs="Times New Roman"/>
          <w:sz w:val="24"/>
          <w:szCs w:val="24"/>
        </w:rPr>
        <w:t>cohort</w:t>
      </w:r>
      <w:r w:rsidR="00865CA1" w:rsidRPr="00DB7074">
        <w:rPr>
          <w:rFonts w:ascii="Book Antiqua" w:hAnsi="Book Antiqua" w:cs="Times New Roman"/>
          <w:sz w:val="24"/>
          <w:szCs w:val="24"/>
        </w:rPr>
        <w:t xml:space="preserve">. </w:t>
      </w:r>
      <w:r w:rsidR="00507882" w:rsidRPr="00DB7074">
        <w:rPr>
          <w:rFonts w:ascii="Book Antiqua" w:hAnsi="Book Antiqua" w:cs="Times New Roman"/>
          <w:sz w:val="24"/>
          <w:szCs w:val="24"/>
        </w:rPr>
        <w:t xml:space="preserve">Moreover, </w:t>
      </w:r>
      <w:r w:rsidR="00865CA1" w:rsidRPr="00DB7074">
        <w:rPr>
          <w:rFonts w:ascii="Book Antiqua" w:hAnsi="Book Antiqua" w:cs="Times New Roman"/>
          <w:sz w:val="24"/>
          <w:szCs w:val="24"/>
        </w:rPr>
        <w:t xml:space="preserve">these bacterial markers </w:t>
      </w:r>
      <w:r w:rsidR="00011360" w:rsidRPr="00DB7074">
        <w:rPr>
          <w:rFonts w:ascii="Book Antiqua" w:hAnsi="Book Antiqua" w:cs="Times New Roman"/>
          <w:sz w:val="24"/>
          <w:szCs w:val="24"/>
        </w:rPr>
        <w:t xml:space="preserve">might </w:t>
      </w:r>
      <w:r w:rsidR="00865CA1" w:rsidRPr="00DB7074">
        <w:rPr>
          <w:rFonts w:ascii="Book Antiqua" w:hAnsi="Book Antiqua" w:cs="Times New Roman"/>
          <w:sz w:val="24"/>
          <w:szCs w:val="24"/>
        </w:rPr>
        <w:t xml:space="preserve">provide a CRC-associated microbiome risk profile </w:t>
      </w:r>
      <w:r w:rsidR="00011360" w:rsidRPr="00DB7074">
        <w:rPr>
          <w:rFonts w:ascii="Book Antiqua" w:hAnsi="Book Antiqua" w:cs="Times New Roman"/>
          <w:sz w:val="24"/>
          <w:szCs w:val="24"/>
        </w:rPr>
        <w:t xml:space="preserve">that might </w:t>
      </w:r>
      <w:r w:rsidR="00865CA1" w:rsidRPr="00DB7074">
        <w:rPr>
          <w:rFonts w:ascii="Book Antiqua" w:hAnsi="Book Antiqua" w:cs="Times New Roman"/>
          <w:sz w:val="24"/>
          <w:szCs w:val="24"/>
        </w:rPr>
        <w:t>aid in the early identification of individuals who are a</w:t>
      </w:r>
      <w:r w:rsidR="00011360" w:rsidRPr="00DB7074">
        <w:rPr>
          <w:rFonts w:ascii="Book Antiqua" w:hAnsi="Book Antiqua" w:cs="Times New Roman"/>
          <w:sz w:val="24"/>
          <w:szCs w:val="24"/>
        </w:rPr>
        <w:t>t</w:t>
      </w:r>
      <w:r w:rsidR="00865CA1" w:rsidRPr="00DB7074">
        <w:rPr>
          <w:rFonts w:ascii="Book Antiqua" w:hAnsi="Book Antiqua" w:cs="Times New Roman"/>
          <w:sz w:val="24"/>
          <w:szCs w:val="24"/>
        </w:rPr>
        <w:t xml:space="preserve"> risk and require </w:t>
      </w:r>
      <w:r w:rsidR="00011360" w:rsidRPr="00DB7074">
        <w:rPr>
          <w:rFonts w:ascii="Book Antiqua" w:hAnsi="Book Antiqua" w:cs="Times New Roman"/>
          <w:sz w:val="24"/>
          <w:szCs w:val="24"/>
        </w:rPr>
        <w:t xml:space="preserve">close </w:t>
      </w:r>
      <w:r w:rsidR="00865CA1" w:rsidRPr="00DB7074">
        <w:rPr>
          <w:rFonts w:ascii="Book Antiqua" w:hAnsi="Book Antiqua" w:cs="Times New Roman"/>
          <w:sz w:val="24"/>
          <w:szCs w:val="24"/>
        </w:rPr>
        <w:t>surveillance.</w:t>
      </w:r>
    </w:p>
    <w:p w14:paraId="0566CF0D" w14:textId="77777777" w:rsidR="00D530B9" w:rsidRPr="00DB7074" w:rsidRDefault="00D530B9" w:rsidP="00DB7074">
      <w:pPr>
        <w:snapToGrid w:val="0"/>
        <w:spacing w:after="0" w:line="360" w:lineRule="auto"/>
        <w:ind w:firstLine="708"/>
        <w:jc w:val="both"/>
        <w:rPr>
          <w:rFonts w:ascii="Book Antiqua" w:eastAsia="Times New Roman" w:hAnsi="Book Antiqua" w:cs="Times New Roman"/>
          <w:sz w:val="24"/>
          <w:szCs w:val="24"/>
          <w:lang w:eastAsia="fr-FR"/>
        </w:rPr>
      </w:pPr>
    </w:p>
    <w:p w14:paraId="000BD7B3" w14:textId="61E19763" w:rsidR="00D530B9" w:rsidRPr="00DB7074" w:rsidRDefault="00D530B9" w:rsidP="00DB7074">
      <w:pPr>
        <w:snapToGrid w:val="0"/>
        <w:spacing w:after="0" w:line="360" w:lineRule="auto"/>
        <w:jc w:val="both"/>
        <w:rPr>
          <w:rFonts w:ascii="Book Antiqua" w:hAnsi="Book Antiqua" w:cs="Times New Roman"/>
          <w:b/>
          <w:i/>
          <w:sz w:val="24"/>
          <w:szCs w:val="24"/>
        </w:rPr>
      </w:pPr>
      <w:r w:rsidRPr="00DB7074">
        <w:rPr>
          <w:rFonts w:ascii="Book Antiqua" w:hAnsi="Book Antiqua" w:cs="Times New Roman"/>
          <w:b/>
          <w:i/>
          <w:sz w:val="24"/>
          <w:szCs w:val="24"/>
        </w:rPr>
        <w:t xml:space="preserve">Screening </w:t>
      </w:r>
      <w:r w:rsidR="00507882" w:rsidRPr="00DB7074">
        <w:rPr>
          <w:rFonts w:ascii="Book Antiqua" w:hAnsi="Book Antiqua" w:cs="Times New Roman"/>
          <w:b/>
          <w:i/>
          <w:sz w:val="24"/>
          <w:szCs w:val="24"/>
        </w:rPr>
        <w:t>faecal</w:t>
      </w:r>
      <w:r w:rsidRPr="00DB7074">
        <w:rPr>
          <w:rFonts w:ascii="Book Antiqua" w:hAnsi="Book Antiqua" w:cs="Times New Roman"/>
          <w:b/>
          <w:i/>
          <w:sz w:val="24"/>
          <w:szCs w:val="24"/>
        </w:rPr>
        <w:t xml:space="preserve"> microbial-related metabolites for CRC detection</w:t>
      </w:r>
    </w:p>
    <w:p w14:paraId="615E9AD5" w14:textId="26A45C74" w:rsidR="00D530B9" w:rsidRPr="00DB7074" w:rsidRDefault="00D530B9" w:rsidP="008D60FF">
      <w:pPr>
        <w:snapToGrid w:val="0"/>
        <w:spacing w:after="0" w:line="360" w:lineRule="auto"/>
        <w:jc w:val="both"/>
        <w:rPr>
          <w:rFonts w:ascii="Book Antiqua" w:hAnsi="Book Antiqua" w:cs="Times New Roman"/>
          <w:sz w:val="24"/>
          <w:szCs w:val="24"/>
        </w:rPr>
      </w:pPr>
      <w:r w:rsidRPr="00DB7074">
        <w:rPr>
          <w:rFonts w:ascii="Book Antiqua" w:hAnsi="Book Antiqua" w:cs="Times New Roman"/>
          <w:sz w:val="24"/>
          <w:szCs w:val="24"/>
        </w:rPr>
        <w:t xml:space="preserve">Screening </w:t>
      </w:r>
      <w:r w:rsidR="00011360" w:rsidRPr="00DB7074">
        <w:rPr>
          <w:rFonts w:ascii="Book Antiqua" w:hAnsi="Book Antiqua" w:cs="Times New Roman"/>
          <w:sz w:val="24"/>
          <w:szCs w:val="24"/>
        </w:rPr>
        <w:t xml:space="preserve">the </w:t>
      </w:r>
      <w:r w:rsidR="00507882" w:rsidRPr="00DB7074">
        <w:rPr>
          <w:rFonts w:ascii="Book Antiqua" w:hAnsi="Book Antiqua" w:cs="Times New Roman"/>
          <w:sz w:val="24"/>
          <w:szCs w:val="24"/>
        </w:rPr>
        <w:t>faecal</w:t>
      </w:r>
      <w:r w:rsidRPr="00DB7074">
        <w:rPr>
          <w:rFonts w:ascii="Book Antiqua" w:hAnsi="Book Antiqua" w:cs="Times New Roman"/>
          <w:sz w:val="24"/>
          <w:szCs w:val="24"/>
        </w:rPr>
        <w:t xml:space="preserve"> metabolome </w:t>
      </w:r>
      <w:r w:rsidR="00011360" w:rsidRPr="00DB7074">
        <w:rPr>
          <w:rFonts w:ascii="Book Antiqua" w:hAnsi="Book Antiqua" w:cs="Times New Roman"/>
          <w:sz w:val="24"/>
          <w:szCs w:val="24"/>
        </w:rPr>
        <w:t>is</w:t>
      </w:r>
      <w:r w:rsidRPr="00DB7074">
        <w:rPr>
          <w:rFonts w:ascii="Book Antiqua" w:hAnsi="Book Antiqua" w:cs="Times New Roman"/>
          <w:sz w:val="24"/>
          <w:szCs w:val="24"/>
        </w:rPr>
        <w:t xml:space="preserve"> a promising non-invasive procedure </w:t>
      </w:r>
      <w:r w:rsidR="00011360" w:rsidRPr="00DB7074">
        <w:rPr>
          <w:rFonts w:ascii="Book Antiqua" w:hAnsi="Book Antiqua" w:cs="Times New Roman"/>
          <w:sz w:val="24"/>
          <w:szCs w:val="24"/>
        </w:rPr>
        <w:t>for</w:t>
      </w:r>
      <w:r w:rsidRPr="00DB7074">
        <w:rPr>
          <w:rFonts w:ascii="Book Antiqua" w:hAnsi="Book Antiqua" w:cs="Times New Roman"/>
          <w:sz w:val="24"/>
          <w:szCs w:val="24"/>
        </w:rPr>
        <w:t xml:space="preserve"> obtain</w:t>
      </w:r>
      <w:r w:rsidR="00011360" w:rsidRPr="00DB7074">
        <w:rPr>
          <w:rFonts w:ascii="Book Antiqua" w:hAnsi="Book Antiqua" w:cs="Times New Roman"/>
          <w:sz w:val="24"/>
          <w:szCs w:val="24"/>
        </w:rPr>
        <w:t>ing a</w:t>
      </w:r>
      <w:r w:rsidRPr="00DB7074">
        <w:rPr>
          <w:rFonts w:ascii="Book Antiqua" w:hAnsi="Book Antiqua" w:cs="Times New Roman"/>
          <w:sz w:val="24"/>
          <w:szCs w:val="24"/>
        </w:rPr>
        <w:t xml:space="preserve"> unique metabolic fingerprint </w:t>
      </w:r>
      <w:r w:rsidR="00011360" w:rsidRPr="00DB7074">
        <w:rPr>
          <w:rFonts w:ascii="Book Antiqua" w:hAnsi="Book Antiqua" w:cs="Times New Roman"/>
          <w:sz w:val="24"/>
          <w:szCs w:val="24"/>
        </w:rPr>
        <w:t xml:space="preserve">to </w:t>
      </w:r>
      <w:r w:rsidRPr="00DB7074">
        <w:rPr>
          <w:rFonts w:ascii="Book Antiqua" w:hAnsi="Book Antiqua" w:cs="Times New Roman"/>
          <w:sz w:val="24"/>
          <w:szCs w:val="24"/>
        </w:rPr>
        <w:t>diagnos</w:t>
      </w:r>
      <w:r w:rsidR="00011360" w:rsidRPr="00DB7074">
        <w:rPr>
          <w:rFonts w:ascii="Book Antiqua" w:hAnsi="Book Antiqua" w:cs="Times New Roman"/>
          <w:sz w:val="24"/>
          <w:szCs w:val="24"/>
        </w:rPr>
        <w:t>e</w:t>
      </w:r>
      <w:r w:rsidRPr="00DB7074">
        <w:rPr>
          <w:rFonts w:ascii="Book Antiqua" w:hAnsi="Book Antiqua" w:cs="Times New Roman"/>
          <w:sz w:val="24"/>
          <w:szCs w:val="24"/>
        </w:rPr>
        <w:t xml:space="preserve"> or </w:t>
      </w:r>
      <w:r w:rsidR="00011360" w:rsidRPr="00DB7074">
        <w:rPr>
          <w:rFonts w:ascii="Book Antiqua" w:hAnsi="Book Antiqua" w:cs="Times New Roman"/>
          <w:sz w:val="24"/>
          <w:szCs w:val="24"/>
        </w:rPr>
        <w:t xml:space="preserve">determine the </w:t>
      </w:r>
      <w:r w:rsidRPr="00DB7074">
        <w:rPr>
          <w:rFonts w:ascii="Book Antiqua" w:hAnsi="Book Antiqua" w:cs="Times New Roman"/>
          <w:sz w:val="24"/>
          <w:szCs w:val="24"/>
        </w:rPr>
        <w:t>prognos</w:t>
      </w:r>
      <w:r w:rsidR="00011360" w:rsidRPr="00DB7074">
        <w:rPr>
          <w:rFonts w:ascii="Book Antiqua" w:hAnsi="Book Antiqua" w:cs="Times New Roman"/>
          <w:sz w:val="24"/>
          <w:szCs w:val="24"/>
        </w:rPr>
        <w:t>is</w:t>
      </w:r>
      <w:r w:rsidRPr="00DB7074">
        <w:rPr>
          <w:rFonts w:ascii="Book Antiqua" w:hAnsi="Book Antiqua" w:cs="Times New Roman"/>
          <w:sz w:val="24"/>
          <w:szCs w:val="24"/>
        </w:rPr>
        <w:t xml:space="preserve"> of CRC. To our knowledge, only </w:t>
      </w:r>
      <w:r w:rsidR="00011360" w:rsidRPr="00DB7074">
        <w:rPr>
          <w:rFonts w:ascii="Book Antiqua" w:hAnsi="Book Antiqua" w:cs="Times New Roman"/>
          <w:sz w:val="24"/>
          <w:szCs w:val="24"/>
        </w:rPr>
        <w:t xml:space="preserve">a </w:t>
      </w:r>
      <w:r w:rsidRPr="00DB7074">
        <w:rPr>
          <w:rFonts w:ascii="Book Antiqua" w:hAnsi="Book Antiqua" w:cs="Times New Roman"/>
          <w:sz w:val="24"/>
          <w:szCs w:val="24"/>
        </w:rPr>
        <w:t>few studies with different metabolomics methods</w:t>
      </w:r>
      <w:r w:rsidR="00011360" w:rsidRPr="00DB7074">
        <w:rPr>
          <w:rFonts w:ascii="Book Antiqua" w:hAnsi="Book Antiqua" w:cs="Times New Roman"/>
          <w:sz w:val="24"/>
          <w:szCs w:val="24"/>
        </w:rPr>
        <w:t xml:space="preserve"> have</w:t>
      </w:r>
      <w:r w:rsidRPr="00DB7074">
        <w:rPr>
          <w:rFonts w:ascii="Book Antiqua" w:hAnsi="Book Antiqua" w:cs="Times New Roman"/>
          <w:sz w:val="24"/>
          <w:szCs w:val="24"/>
        </w:rPr>
        <w:t xml:space="preserve"> </w:t>
      </w:r>
      <w:r w:rsidR="00C65594" w:rsidRPr="00DB7074">
        <w:rPr>
          <w:rFonts w:ascii="Book Antiqua" w:hAnsi="Book Antiqua" w:cs="Times New Roman"/>
          <w:sz w:val="24"/>
          <w:szCs w:val="24"/>
        </w:rPr>
        <w:t>show</w:t>
      </w:r>
      <w:r w:rsidR="00011360" w:rsidRPr="00DB7074">
        <w:rPr>
          <w:rFonts w:ascii="Book Antiqua" w:hAnsi="Book Antiqua" w:cs="Times New Roman"/>
          <w:sz w:val="24"/>
          <w:szCs w:val="24"/>
        </w:rPr>
        <w:t>n</w:t>
      </w:r>
      <w:r w:rsidRPr="00DB7074">
        <w:rPr>
          <w:rFonts w:ascii="Book Antiqua" w:hAnsi="Book Antiqua" w:cs="Times New Roman"/>
          <w:sz w:val="24"/>
          <w:szCs w:val="24"/>
        </w:rPr>
        <w:t xml:space="preserve"> the diagnostic potential of </w:t>
      </w:r>
      <w:r w:rsidR="00507882" w:rsidRPr="00DB7074">
        <w:rPr>
          <w:rFonts w:ascii="Book Antiqua" w:hAnsi="Book Antiqua" w:cs="Times New Roman"/>
          <w:sz w:val="24"/>
          <w:szCs w:val="24"/>
        </w:rPr>
        <w:t>faecal</w:t>
      </w:r>
      <w:r w:rsidRPr="00DB7074">
        <w:rPr>
          <w:rFonts w:ascii="Book Antiqua" w:hAnsi="Book Antiqua" w:cs="Times New Roman"/>
          <w:sz w:val="24"/>
          <w:szCs w:val="24"/>
        </w:rPr>
        <w:t xml:space="preserve"> samples for human colorectal cancer. They are summarized in </w:t>
      </w:r>
      <w:r w:rsidR="00011360" w:rsidRPr="00DB7074">
        <w:rPr>
          <w:rFonts w:ascii="Book Antiqua" w:hAnsi="Book Antiqua" w:cs="Times New Roman"/>
          <w:sz w:val="24"/>
          <w:szCs w:val="24"/>
        </w:rPr>
        <w:t>T</w:t>
      </w:r>
      <w:r w:rsidRPr="00DB7074">
        <w:rPr>
          <w:rFonts w:ascii="Book Antiqua" w:hAnsi="Book Antiqua" w:cs="Times New Roman"/>
          <w:sz w:val="24"/>
          <w:szCs w:val="24"/>
        </w:rPr>
        <w:t xml:space="preserve">able 1. In 2009, Bezabeh et al. used </w:t>
      </w:r>
      <w:r w:rsidRPr="00DB7074">
        <w:rPr>
          <w:rFonts w:ascii="Book Antiqua" w:hAnsi="Book Antiqua" w:cs="Times New Roman"/>
          <w:sz w:val="24"/>
          <w:szCs w:val="24"/>
          <w:vertAlign w:val="superscript"/>
        </w:rPr>
        <w:t>1</w:t>
      </w:r>
      <w:r w:rsidRPr="00DB7074">
        <w:rPr>
          <w:rFonts w:ascii="Book Antiqua" w:hAnsi="Book Antiqua" w:cs="Times New Roman"/>
          <w:sz w:val="24"/>
          <w:szCs w:val="24"/>
        </w:rPr>
        <w:t xml:space="preserve">H NMR to detect colorectal neoplasia in 111 CRC human </w:t>
      </w:r>
      <w:r w:rsidR="00507882" w:rsidRPr="00DB7074">
        <w:rPr>
          <w:rFonts w:ascii="Book Antiqua" w:hAnsi="Book Antiqua" w:cs="Times New Roman"/>
          <w:sz w:val="24"/>
          <w:szCs w:val="24"/>
        </w:rPr>
        <w:t>faecal</w:t>
      </w:r>
      <w:r w:rsidRPr="00DB7074">
        <w:rPr>
          <w:rFonts w:ascii="Book Antiqua" w:hAnsi="Book Antiqua" w:cs="Times New Roman"/>
          <w:sz w:val="24"/>
          <w:szCs w:val="24"/>
        </w:rPr>
        <w:t xml:space="preserve"> samples and compar</w:t>
      </w:r>
      <w:r w:rsidR="00011360" w:rsidRPr="00DB7074">
        <w:rPr>
          <w:rFonts w:ascii="Book Antiqua" w:hAnsi="Book Antiqua" w:cs="Times New Roman"/>
          <w:sz w:val="24"/>
          <w:szCs w:val="24"/>
        </w:rPr>
        <w:t>ed them with samples from</w:t>
      </w:r>
      <w:r w:rsidRPr="00DB7074">
        <w:rPr>
          <w:rFonts w:ascii="Book Antiqua" w:hAnsi="Book Antiqua" w:cs="Times New Roman"/>
          <w:sz w:val="24"/>
          <w:szCs w:val="24"/>
        </w:rPr>
        <w:t xml:space="preserve"> 412 healthy controls</w:t>
      </w:r>
      <w:r w:rsidR="00C140B4"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{"citationID":"a1b8nrn824u","properties":{"formattedCitation":"\\super [205]\\nosupersub{}","plainCitation":"[205]","noteIndex":0},"citationItems":[{"id":"D1GMNV0O/rOMifCVQ","uris":["http://zotero.org/users/4804376/items/TQT9M2TL"],"uri":["http://zotero.org/users/4804376/items/TQT9M2TL"],"itemData":{"id":654,"type":"article-journal","title":"Detecting colorectal cancer by 1H magnetic resonance spectroscopy of fecal extracts","container-title":"NMR in biomedicine","page":"593-600","volume":"22","issue":"6","source":"PubMed","abstract":"Colorectal cancer is one of the most common cancers in the western world. Its early detection has been found to improve the prognosis of the patient, providing a wide window of opportunity for successful therapeutic interventions. However, current diagnostic techniques all have some limitations; there is a need to develop a better technique for routine screening purposes. We present a new methodology based on magnetic resonance spectroscopy of fecal extracts for the non-invasive detection of colorectal cancer. Five hundred twenty-three human subjects (412 with no colonic neoplasia and 111 with colorectal cancer, who were scheduled for colonoscopy or surgery) were recruited to donate a single sample of stool. One-dimensional (1)H magnetic resonance spectroscopy (MRS) experiments were performed on the supernatant of aqueous dispersions of the stool samples. Using a statistical classification strategy, several multivariate classifiers were developed. Applying the preprocessing, feature selection and classifier development stages of the Statistical Classification Strategy led to approximately 87% average balanced sensitivity and specificity for both training and monitoring sets, improving to approximately 92% when only crisp results, i.e. class assignment probabilities &gt; or =75%, are considered. These results indicate that (1)H magnetic resonance spectroscopy of human fecal extracts, combined with appropriate data analysis methodology, has the potential to detect colorectal neoplasia accurately and reliably, and could be a useful addition to the current screening tools.","DOI":"10.1002/nbm.1372","ISSN":"1099-1492","note":"PMID: 19259992","journalAbbreviation":"NMR Biomed","language":"eng","author":[{"family":"Bezabeh","given":"T."},{"family":"Somorjai","given":"R."},{"family":"Dolenko","given":"B."},{"family":"Bryskina","given":"N."},{"family":"Levin","given":"B."},{"family":"Bernstein","given":"C. N."},{"family":"Jeyarajah","given":"E."},{"family":"Steinhart","given":"A. H."},{"family":"Rubin","given":"D. T."},{"family":"Smith","given":"I. C. P."}],"issued":{"date-parts":[["2009",7]]}}}],"schema":"https://github.com/citation-style-language/schema/raw/master/csl-citation.json"} </w:instrText>
      </w:r>
      <w:r w:rsidR="00C140B4"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[205]</w:t>
      </w:r>
      <w:r w:rsidR="00C140B4" w:rsidRPr="00DB7074">
        <w:rPr>
          <w:rFonts w:ascii="Book Antiqua" w:hAnsi="Book Antiqua" w:cs="Times New Roman"/>
          <w:sz w:val="24"/>
          <w:szCs w:val="24"/>
        </w:rPr>
        <w:fldChar w:fldCharType="end"/>
      </w:r>
      <w:r w:rsidRPr="00DB7074">
        <w:rPr>
          <w:rFonts w:ascii="Book Antiqua" w:hAnsi="Book Antiqua" w:cs="Times New Roman"/>
          <w:sz w:val="24"/>
          <w:szCs w:val="24"/>
        </w:rPr>
        <w:t xml:space="preserve">. NMR-based metabolic profiling of </w:t>
      </w:r>
      <w:r w:rsidR="00507882" w:rsidRPr="00DB7074">
        <w:rPr>
          <w:rFonts w:ascii="Book Antiqua" w:hAnsi="Book Antiqua" w:cs="Times New Roman"/>
          <w:sz w:val="24"/>
          <w:szCs w:val="24"/>
        </w:rPr>
        <w:t>faecal</w:t>
      </w:r>
      <w:r w:rsidRPr="00DB7074">
        <w:rPr>
          <w:rFonts w:ascii="Book Antiqua" w:hAnsi="Book Antiqua" w:cs="Times New Roman"/>
          <w:sz w:val="24"/>
          <w:szCs w:val="24"/>
        </w:rPr>
        <w:t xml:space="preserve"> water extracts from patients with colorectal cancer and healthy individuals was able to identify potential diagnostic markers</w:t>
      </w:r>
      <w:r w:rsidR="00011360" w:rsidRPr="00DB7074">
        <w:rPr>
          <w:rFonts w:ascii="Book Antiqua" w:hAnsi="Book Antiqua" w:cs="Times New Roman"/>
          <w:sz w:val="24"/>
          <w:szCs w:val="24"/>
        </w:rPr>
        <w:t>,</w:t>
      </w:r>
      <w:r w:rsidRPr="00DB7074">
        <w:rPr>
          <w:rFonts w:ascii="Book Antiqua" w:hAnsi="Book Antiqua" w:cs="Times New Roman"/>
          <w:sz w:val="24"/>
          <w:szCs w:val="24"/>
        </w:rPr>
        <w:t xml:space="preserve"> such as SCFA (acetate and butyrate) and amino acids (proline and cysteine)</w:t>
      </w:r>
      <w:r w:rsidR="00C140B4"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{"citationID":"a1qcm24klfl","properties":{"formattedCitation":"\\super [206]\\nosupersub{}","plainCitation":"[206]","noteIndex":0},"citationItems":[{"id":"D1GMNV0O/3DrXj0lQ","uris":["http://zotero.org/users/4804376/items/3XPPCAT2"],"uri":["http://zotero.org/users/4804376/items/3XPPCAT2"],"itemData":{"id":656,"type":"article-journal","title":"Metabolite profiling of fecal water extracts from human colorectal cancer","container-title":"NMR in biomedicine","page":"342-348","volume":"22","issue":"3","source":"PubMed","abstract":"Colorectal cancer is the second leading cause of cancer death in developed countries. There is a need for better preventive strategies to improve the outcome of this disease. The increasing availability of high-throughput methodologies opens up new possibilities for screening new markers. The application of NMR metabolic profiling to fecal water extracts has interesting potential as a diagnostic tool for detecting colorectal cancer. We obtained NMR metabolic profiles of fecal water extracts from patients with colorectal cancer and healthy individuals, to characterize possible differences between them and to identify potential diagnostic markers. Our results show that metabolic profiling of fecal water extracts is a cheap, reproducible and effective method for detecting colorectal cancer markers and therefore complements other stool-screening methods. A low concentration of short-chain fatty acids, such as acetate and butyrate, previously associated with the development of colorectal cancer, appears to be the most effective marker. Concentrations of proline and cysteine, which are major components of most colonic epithelium mucus glycoproteins, also display significant changes in samples from colorectal cancer. Differentiation between fecal water extracts from controls and patients with colorectal cancer by NMR spectroscopy combined with chemometric techniques opens up new possibilities for developing new, efficient, high-throughput screening protocols.","DOI":"10.1002/nbm.1345","ISSN":"0952-3480","note":"PMID: 19006102","journalAbbreviation":"NMR Biomed","language":"eng","author":[{"family":"Monleón","given":"Daniel"},{"family":"Morales","given":"José Manuel"},{"family":"Barrasa","given":"Antonio"},{"family":"López","given":"Jose Antonio"},{"family":"Vázquez","given":"Carlos"},{"family":"Celda","given":"Bernardo"}],"issued":{"date-parts":[["2009",4]]}}}],"schema":"https://github.com/citation-style-language/schema/raw/master/csl-citation.json"} </w:instrText>
      </w:r>
      <w:r w:rsidR="00C140B4"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[206]</w:t>
      </w:r>
      <w:r w:rsidR="00C140B4" w:rsidRPr="00DB7074">
        <w:rPr>
          <w:rFonts w:ascii="Book Antiqua" w:hAnsi="Book Antiqua" w:cs="Times New Roman"/>
          <w:sz w:val="24"/>
          <w:szCs w:val="24"/>
        </w:rPr>
        <w:fldChar w:fldCharType="end"/>
      </w:r>
      <w:r w:rsidR="00C140B4" w:rsidRPr="00DB7074">
        <w:rPr>
          <w:rFonts w:ascii="Book Antiqua" w:hAnsi="Book Antiqua" w:cs="Times New Roman"/>
          <w:sz w:val="24"/>
          <w:szCs w:val="24"/>
        </w:rPr>
        <w:t xml:space="preserve">. </w:t>
      </w:r>
      <w:r w:rsidRPr="00DB7074">
        <w:rPr>
          <w:rFonts w:ascii="Book Antiqua" w:hAnsi="Book Antiqua" w:cs="Times New Roman"/>
          <w:sz w:val="24"/>
          <w:szCs w:val="24"/>
        </w:rPr>
        <w:t xml:space="preserve">More recently, </w:t>
      </w:r>
      <w:r w:rsidR="00F143FE" w:rsidRPr="00DB7074">
        <w:rPr>
          <w:rFonts w:ascii="Book Antiqua" w:hAnsi="Book Antiqua" w:cs="Times New Roman"/>
          <w:sz w:val="24"/>
          <w:szCs w:val="24"/>
        </w:rPr>
        <w:t xml:space="preserve">the </w:t>
      </w:r>
      <w:r w:rsidR="00011360" w:rsidRPr="00DB7074">
        <w:rPr>
          <w:rFonts w:ascii="Book Antiqua" w:hAnsi="Book Antiqua" w:cs="Times New Roman"/>
          <w:sz w:val="24"/>
          <w:szCs w:val="24"/>
        </w:rPr>
        <w:t xml:space="preserve">analysis </w:t>
      </w:r>
      <w:r w:rsidRPr="00DB7074">
        <w:rPr>
          <w:rFonts w:ascii="Book Antiqua" w:hAnsi="Book Antiqua" w:cs="Times New Roman"/>
          <w:sz w:val="24"/>
          <w:szCs w:val="24"/>
        </w:rPr>
        <w:t xml:space="preserve">of lyophilized stools by HPLC-GC/MS-MS resulted in the identification of 41 relevant </w:t>
      </w:r>
      <w:r w:rsidR="00507882" w:rsidRPr="00DB7074">
        <w:rPr>
          <w:rFonts w:ascii="Book Antiqua" w:hAnsi="Book Antiqua" w:cs="Times New Roman"/>
          <w:sz w:val="24"/>
          <w:szCs w:val="24"/>
        </w:rPr>
        <w:t>faecal</w:t>
      </w:r>
      <w:r w:rsidRPr="00DB7074">
        <w:rPr>
          <w:rFonts w:ascii="Book Antiqua" w:hAnsi="Book Antiqua" w:cs="Times New Roman"/>
          <w:sz w:val="24"/>
          <w:szCs w:val="24"/>
        </w:rPr>
        <w:t xml:space="preserve"> </w:t>
      </w:r>
      <w:r w:rsidRPr="00DB7074">
        <w:rPr>
          <w:rFonts w:ascii="Book Antiqua" w:hAnsi="Book Antiqua" w:cs="Times New Roman"/>
          <w:sz w:val="24"/>
          <w:szCs w:val="24"/>
        </w:rPr>
        <w:lastRenderedPageBreak/>
        <w:t>metabolites</w:t>
      </w:r>
      <w:r w:rsidR="00011360" w:rsidRPr="00DB7074">
        <w:rPr>
          <w:rFonts w:ascii="Book Antiqua" w:hAnsi="Book Antiqua" w:cs="Times New Roman"/>
          <w:sz w:val="24"/>
          <w:szCs w:val="24"/>
        </w:rPr>
        <w:t>, such as xenobiotics, heme, peptides/amino acids, vitamins and co-factors,</w:t>
      </w:r>
      <w:r w:rsidRPr="00DB7074">
        <w:rPr>
          <w:rFonts w:ascii="Book Antiqua" w:hAnsi="Book Antiqua" w:cs="Times New Roman"/>
          <w:sz w:val="24"/>
          <w:szCs w:val="24"/>
        </w:rPr>
        <w:t xml:space="preserve"> </w:t>
      </w:r>
      <w:r w:rsidR="00011360" w:rsidRPr="00DB7074">
        <w:rPr>
          <w:rFonts w:ascii="Book Antiqua" w:hAnsi="Book Antiqua" w:cs="Times New Roman"/>
          <w:sz w:val="24"/>
          <w:szCs w:val="24"/>
        </w:rPr>
        <w:t xml:space="preserve">that had </w:t>
      </w:r>
      <w:r w:rsidRPr="00DB7074">
        <w:rPr>
          <w:rFonts w:ascii="Book Antiqua" w:hAnsi="Book Antiqua" w:cs="Times New Roman"/>
          <w:sz w:val="24"/>
          <w:szCs w:val="24"/>
        </w:rPr>
        <w:t>increased or decreased concentrations in CRC samples</w:t>
      </w:r>
      <w:r w:rsidR="00C140B4"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{"citationID":"a21v7ukcfbu","properties":{"formattedCitation":"\\super [207]\\nosupersub{}","plainCitation":"[207]","noteIndex":0},"citationItems":[{"id":"D1GMNV0O/vQdJy3jj","uris":["http://zotero.org/users/4804376/items/5T7YTBJZ"],"uri":["http://zotero.org/users/4804376/items/5T7YTBJZ"],"itemData":{"id":119,"type":"article-journal","title":"Fecal metabolomics: assay performance and association with colorectal cancer","container-title":"Carcinogenesis","page":"2089-2096","volume":"35","issue":"9","source":"CrossRef","DOI":"10.1093/carcin/bgu131","ISSN":"0143-3334, 1460-2180","shortTitle":"Fecal metabolomics","language":"en","author":[{"family":"Goedert","given":"James J."},{"family":"Sampson","given":"Joshua N."},{"family":"Moore","given":"Steven C."},{"family":"Xiao","given":"Qian"},{"family":"Xiong","given":"Xiaoqin"},{"family":"Hayes","given":"Richard B."},{"family":"Ahn","given":"Jiyoung"},{"family":"Shi","given":"Jianxin"},{"family":"Sinha","given":"Rashmi"}],"issued":{"date-parts":[["2014",9]]}}}],"schema":"https://github.com/citation-style-language/schema/raw/master/csl-citation.json"} </w:instrText>
      </w:r>
      <w:r w:rsidR="00C140B4"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[207]</w:t>
      </w:r>
      <w:r w:rsidR="00C140B4" w:rsidRPr="00DB7074">
        <w:rPr>
          <w:rFonts w:ascii="Book Antiqua" w:hAnsi="Book Antiqua" w:cs="Times New Roman"/>
          <w:sz w:val="24"/>
          <w:szCs w:val="24"/>
        </w:rPr>
        <w:fldChar w:fldCharType="end"/>
      </w:r>
      <w:r w:rsidRPr="00DB7074">
        <w:rPr>
          <w:rFonts w:ascii="Book Antiqua" w:hAnsi="Book Antiqua" w:cs="Times New Roman"/>
          <w:sz w:val="24"/>
          <w:szCs w:val="24"/>
        </w:rPr>
        <w:t xml:space="preserve">. Volatile metabolome profiling of </w:t>
      </w:r>
      <w:r w:rsidR="00507882" w:rsidRPr="00DB7074">
        <w:rPr>
          <w:rFonts w:ascii="Book Antiqua" w:hAnsi="Book Antiqua" w:cs="Times New Roman"/>
          <w:sz w:val="24"/>
          <w:szCs w:val="24"/>
        </w:rPr>
        <w:t>faecal</w:t>
      </w:r>
      <w:r w:rsidRPr="00DB7074">
        <w:rPr>
          <w:rFonts w:ascii="Book Antiqua" w:hAnsi="Book Antiqua" w:cs="Times New Roman"/>
          <w:sz w:val="24"/>
          <w:szCs w:val="24"/>
        </w:rPr>
        <w:t xml:space="preserve"> samples using GC/TOF–MS also </w:t>
      </w:r>
      <w:r w:rsidR="00011360" w:rsidRPr="00DB7074">
        <w:rPr>
          <w:rFonts w:ascii="Book Antiqua" w:hAnsi="Book Antiqua" w:cs="Times New Roman"/>
          <w:sz w:val="24"/>
          <w:szCs w:val="24"/>
        </w:rPr>
        <w:t xml:space="preserve">had </w:t>
      </w:r>
      <w:r w:rsidRPr="00DB7074">
        <w:rPr>
          <w:rFonts w:ascii="Book Antiqua" w:hAnsi="Book Antiqua" w:cs="Times New Roman"/>
          <w:sz w:val="24"/>
          <w:szCs w:val="24"/>
        </w:rPr>
        <w:t xml:space="preserve">diagnostic potential </w:t>
      </w:r>
      <w:r w:rsidR="00011360" w:rsidRPr="00DB7074">
        <w:rPr>
          <w:rFonts w:ascii="Book Antiqua" w:hAnsi="Book Antiqua" w:cs="Times New Roman"/>
          <w:sz w:val="24"/>
          <w:szCs w:val="24"/>
        </w:rPr>
        <w:t>for</w:t>
      </w:r>
      <w:r w:rsidRPr="00DB7074">
        <w:rPr>
          <w:rFonts w:ascii="Book Antiqua" w:hAnsi="Book Antiqua" w:cs="Times New Roman"/>
          <w:sz w:val="24"/>
          <w:szCs w:val="24"/>
        </w:rPr>
        <w:t xml:space="preserve"> detecti</w:t>
      </w:r>
      <w:r w:rsidR="00011360" w:rsidRPr="00DB7074">
        <w:rPr>
          <w:rFonts w:ascii="Book Antiqua" w:hAnsi="Book Antiqua" w:cs="Times New Roman"/>
          <w:sz w:val="24"/>
          <w:szCs w:val="24"/>
        </w:rPr>
        <w:t>ng</w:t>
      </w:r>
      <w:r w:rsidRPr="00DB7074">
        <w:rPr>
          <w:rFonts w:ascii="Book Antiqua" w:hAnsi="Book Antiqua" w:cs="Times New Roman"/>
          <w:sz w:val="24"/>
          <w:szCs w:val="24"/>
        </w:rPr>
        <w:t xml:space="preserve"> colorectal cancer. Phua </w:t>
      </w:r>
      <w:r w:rsidRPr="008D60FF">
        <w:rPr>
          <w:rFonts w:ascii="Book Antiqua" w:hAnsi="Book Antiqua" w:cs="Times New Roman"/>
          <w:i/>
          <w:sz w:val="24"/>
          <w:szCs w:val="24"/>
        </w:rPr>
        <w:t>et al</w:t>
      </w:r>
      <w:r w:rsidR="008D60FF" w:rsidRPr="00DB7074">
        <w:rPr>
          <w:rFonts w:ascii="Book Antiqua" w:hAnsi="Book Antiqua" w:cs="Times New Roman"/>
          <w:sz w:val="24"/>
          <w:szCs w:val="24"/>
        </w:rPr>
        <w:fldChar w:fldCharType="begin"/>
      </w:r>
      <w:r w:rsidR="008D60FF" w:rsidRPr="00DB7074">
        <w:rPr>
          <w:rFonts w:ascii="Book Antiqua" w:hAnsi="Book Antiqua" w:cs="Times New Roman"/>
          <w:sz w:val="24"/>
          <w:szCs w:val="24"/>
        </w:rPr>
        <w:instrText xml:space="preserve"> ADDIN ZOTERO_ITEM CSL_CITATION {"citationID":"a12afdedc61","properties":{"formattedCitation":"\\super [208]\\nosupersub{}","plainCitation":"[208]","noteIndex":0},"citationItems":[{"id":"D1GMNV0O/TcfaS2Mb","uris":["http://zotero.org/users/4804376/items/G3Z8I7ID"],"uri":["http://zotero.org/users/4804376/items/G3Z8I7ID"],"itemData":{"id":126,"type":"article-journal","title":"Non-invasive fecal metabonomic detection of colorectal cancer","container-title":"Cancer Biology &amp; Therapy","page":"389-397","volume":"15","issue":"4","source":"CrossRef","DOI":"10.4161/cbt.27625","ISSN":"1538-4047, 1555-8576","language":"en","author":[{"family":"Phua","given":"Lee Cheng"},{"family":"Chue","given":"Xiu Ping"},{"family":"Koh","given":"Poh Koon"},{"family":"Cheah","given":"Peh Yean"},{"family":"Ho","given":"Han Kiat"},{"family":"Chan","given":"Eric Chun Yong"}],"issued":{"date-parts":[["2014",4]]}}}],"schema":"https://github.com/citation-style-language/schema/raw/master/csl-citation.json"} </w:instrText>
      </w:r>
      <w:r w:rsidR="008D60FF" w:rsidRPr="00DB7074">
        <w:rPr>
          <w:rFonts w:ascii="Book Antiqua" w:hAnsi="Book Antiqua" w:cs="Times New Roman"/>
          <w:sz w:val="24"/>
          <w:szCs w:val="24"/>
        </w:rPr>
        <w:fldChar w:fldCharType="separate"/>
      </w:r>
      <w:r w:rsidR="008D60FF" w:rsidRPr="00DB7074">
        <w:rPr>
          <w:rFonts w:ascii="Book Antiqua" w:hAnsi="Book Antiqua" w:cs="Times New Roman"/>
          <w:sz w:val="24"/>
          <w:szCs w:val="24"/>
          <w:vertAlign w:val="superscript"/>
        </w:rPr>
        <w:t>[208]</w:t>
      </w:r>
      <w:r w:rsidR="008D60FF" w:rsidRPr="00DB7074">
        <w:rPr>
          <w:rFonts w:ascii="Book Antiqua" w:hAnsi="Book Antiqua" w:cs="Times New Roman"/>
          <w:sz w:val="24"/>
          <w:szCs w:val="24"/>
        </w:rPr>
        <w:fldChar w:fldCharType="end"/>
      </w:r>
      <w:r w:rsidR="008D60FF">
        <w:rPr>
          <w:rFonts w:ascii="Book Antiqua" w:hAnsi="Book Antiqua" w:cs="Times New Roman" w:hint="eastAsia"/>
          <w:sz w:val="24"/>
          <w:szCs w:val="24"/>
          <w:lang w:eastAsia="zh-CN"/>
        </w:rPr>
        <w:t xml:space="preserve"> </w:t>
      </w:r>
      <w:r w:rsidR="002D0A5B" w:rsidRPr="00DB7074">
        <w:rPr>
          <w:rFonts w:ascii="Book Antiqua" w:hAnsi="Book Antiqua" w:cs="Times New Roman"/>
          <w:sz w:val="24"/>
          <w:szCs w:val="24"/>
        </w:rPr>
        <w:t>evaluated</w:t>
      </w:r>
      <w:r w:rsidRPr="00DB7074">
        <w:rPr>
          <w:rFonts w:ascii="Book Antiqua" w:hAnsi="Book Antiqua" w:cs="Times New Roman"/>
          <w:sz w:val="24"/>
          <w:szCs w:val="24"/>
        </w:rPr>
        <w:t xml:space="preserve"> a small cohort</w:t>
      </w:r>
      <w:r w:rsidR="002D0A5B" w:rsidRPr="00DB7074">
        <w:rPr>
          <w:rFonts w:ascii="Book Antiqua" w:hAnsi="Book Antiqua" w:cs="Times New Roman"/>
          <w:sz w:val="24"/>
          <w:szCs w:val="24"/>
        </w:rPr>
        <w:t xml:space="preserve"> and identified</w:t>
      </w:r>
      <w:r w:rsidRPr="00DB7074">
        <w:rPr>
          <w:rFonts w:ascii="Book Antiqua" w:hAnsi="Book Antiqua" w:cs="Times New Roman"/>
          <w:sz w:val="24"/>
          <w:szCs w:val="24"/>
        </w:rPr>
        <w:t xml:space="preserve"> three specific markers </w:t>
      </w:r>
      <w:r w:rsidR="002D0A5B" w:rsidRPr="00DB7074">
        <w:rPr>
          <w:rFonts w:ascii="Book Antiqua" w:hAnsi="Book Antiqua" w:cs="Times New Roman"/>
          <w:sz w:val="24"/>
          <w:szCs w:val="24"/>
        </w:rPr>
        <w:t>(</w:t>
      </w:r>
      <w:r w:rsidRPr="00DB7074">
        <w:rPr>
          <w:rFonts w:ascii="Book Antiqua" w:hAnsi="Book Antiqua" w:cs="Times New Roman"/>
          <w:sz w:val="24"/>
          <w:szCs w:val="24"/>
        </w:rPr>
        <w:t>fructose, linoleic acid, and nicotinic acid</w:t>
      </w:r>
      <w:r w:rsidR="002D0A5B" w:rsidRPr="00DB7074">
        <w:rPr>
          <w:rFonts w:ascii="Book Antiqua" w:hAnsi="Book Antiqua" w:cs="Times New Roman"/>
          <w:sz w:val="24"/>
          <w:szCs w:val="24"/>
        </w:rPr>
        <w:t>)</w:t>
      </w:r>
      <w:r w:rsidRPr="00DB7074">
        <w:rPr>
          <w:rFonts w:ascii="Book Antiqua" w:hAnsi="Book Antiqua" w:cs="Times New Roman"/>
          <w:sz w:val="24"/>
          <w:szCs w:val="24"/>
        </w:rPr>
        <w:t xml:space="preserve"> that were found at lower levels in the </w:t>
      </w:r>
      <w:r w:rsidR="00507882" w:rsidRPr="00DB7074">
        <w:rPr>
          <w:rFonts w:ascii="Book Antiqua" w:hAnsi="Book Antiqua" w:cs="Times New Roman"/>
          <w:sz w:val="24"/>
          <w:szCs w:val="24"/>
        </w:rPr>
        <w:t>faecal</w:t>
      </w:r>
      <w:r w:rsidRPr="00DB7074">
        <w:rPr>
          <w:rFonts w:ascii="Book Antiqua" w:hAnsi="Book Antiqua" w:cs="Times New Roman"/>
          <w:sz w:val="24"/>
          <w:szCs w:val="24"/>
        </w:rPr>
        <w:t xml:space="preserve"> volatile metabolome of CRC patients </w:t>
      </w:r>
      <w:r w:rsidR="002D0A5B" w:rsidRPr="00DB7074">
        <w:rPr>
          <w:rFonts w:ascii="Book Antiqua" w:hAnsi="Book Antiqua" w:cs="Times New Roman"/>
          <w:sz w:val="24"/>
          <w:szCs w:val="24"/>
        </w:rPr>
        <w:t>than in that of</w:t>
      </w:r>
      <w:r w:rsidRPr="00DB7074">
        <w:rPr>
          <w:rFonts w:ascii="Book Antiqua" w:hAnsi="Book Antiqua" w:cs="Times New Roman"/>
          <w:sz w:val="24"/>
          <w:szCs w:val="24"/>
        </w:rPr>
        <w:t xml:space="preserve"> healthy subjects. A similar study using </w:t>
      </w:r>
      <w:r w:rsidR="002D0A5B" w:rsidRPr="00DB7074">
        <w:rPr>
          <w:rFonts w:ascii="Book Antiqua" w:hAnsi="Book Antiqua" w:cs="Times New Roman"/>
          <w:sz w:val="24"/>
          <w:szCs w:val="24"/>
        </w:rPr>
        <w:t xml:space="preserve">an </w:t>
      </w:r>
      <w:r w:rsidRPr="00DB7074">
        <w:rPr>
          <w:rFonts w:ascii="Book Antiqua" w:hAnsi="Book Antiqua" w:cs="Times New Roman"/>
          <w:sz w:val="24"/>
          <w:szCs w:val="24"/>
        </w:rPr>
        <w:t xml:space="preserve">electronic nose on </w:t>
      </w:r>
      <w:r w:rsidR="002D0A5B" w:rsidRPr="00DB7074">
        <w:rPr>
          <w:rFonts w:ascii="Book Antiqua" w:hAnsi="Book Antiqua" w:cs="Times New Roman"/>
          <w:sz w:val="24"/>
          <w:szCs w:val="24"/>
        </w:rPr>
        <w:t xml:space="preserve">samples from </w:t>
      </w:r>
      <w:r w:rsidRPr="00DB7074">
        <w:rPr>
          <w:rFonts w:ascii="Book Antiqua" w:hAnsi="Book Antiqua" w:cs="Times New Roman"/>
          <w:sz w:val="24"/>
          <w:szCs w:val="24"/>
        </w:rPr>
        <w:t>40 CRC</w:t>
      </w:r>
      <w:r w:rsidR="002D0A5B" w:rsidRPr="00DB7074">
        <w:rPr>
          <w:rFonts w:ascii="Book Antiqua" w:hAnsi="Book Antiqua" w:cs="Times New Roman"/>
          <w:sz w:val="24"/>
          <w:szCs w:val="24"/>
        </w:rPr>
        <w:t xml:space="preserve"> patients</w:t>
      </w:r>
      <w:r w:rsidRPr="00DB7074">
        <w:rPr>
          <w:rFonts w:ascii="Book Antiqua" w:hAnsi="Book Antiqua" w:cs="Times New Roman"/>
          <w:sz w:val="24"/>
          <w:szCs w:val="24"/>
        </w:rPr>
        <w:t>, 60 advanced adenoma</w:t>
      </w:r>
      <w:r w:rsidR="002D0A5B" w:rsidRPr="00DB7074">
        <w:rPr>
          <w:rFonts w:ascii="Book Antiqua" w:hAnsi="Book Antiqua" w:cs="Times New Roman"/>
          <w:sz w:val="24"/>
          <w:szCs w:val="24"/>
        </w:rPr>
        <w:t xml:space="preserve"> patients</w:t>
      </w:r>
      <w:r w:rsidRPr="00DB7074">
        <w:rPr>
          <w:rFonts w:ascii="Book Antiqua" w:hAnsi="Book Antiqua" w:cs="Times New Roman"/>
          <w:sz w:val="24"/>
          <w:szCs w:val="24"/>
        </w:rPr>
        <w:t xml:space="preserve">, and 57 healthy controls was able to strongly distinguish the </w:t>
      </w:r>
      <w:r w:rsidR="00507882" w:rsidRPr="00DB7074">
        <w:rPr>
          <w:rFonts w:ascii="Book Antiqua" w:hAnsi="Book Antiqua" w:cs="Times New Roman"/>
          <w:sz w:val="24"/>
          <w:szCs w:val="24"/>
        </w:rPr>
        <w:t>faecal</w:t>
      </w:r>
      <w:r w:rsidRPr="00DB7074">
        <w:rPr>
          <w:rFonts w:ascii="Book Antiqua" w:hAnsi="Book Antiqua" w:cs="Times New Roman"/>
          <w:sz w:val="24"/>
          <w:szCs w:val="24"/>
        </w:rPr>
        <w:t xml:space="preserve"> volatile organic compounds (VOC) profile of patients with CRC and advanced adenoma from controls</w:t>
      </w:r>
      <w:r w:rsidR="00C140B4"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{"citationID":"a1t1p16ml93","properties":{"formattedCitation":"\\super [209]\\nosupersub{}","plainCitation":"[209]","noteIndex":0},"citationItems":[{"id":"D1GMNV0O/RtDMEbRq","uris":["http://zotero.org/users/4804376/items/55FNLFBG"],"uri":["http://zotero.org/users/4804376/items/55FNLFBG"],"itemData":{"id":122,"type":"article-journal","title":"Electronic nose can discriminate colorectal carcinoma and advanced adenomas by fecal volatile biomarker analysis: proof of principle study: Electronic Nose Screening for CRC and Advanced Adenomas","container-title":"International Journal of Cancer","page":"1132-1138","volume":"134","issue":"5","source":"CrossRef","DOI":"10.1002/ijc.28446","ISSN":"00207136","shortTitle":"Electronic nose can discriminate colorectal carcinoma and advanced adenomas by fecal volatile biomarker analysis","language":"en","author":[{"family":"Meij","given":"Tim G.","non-dropping-particle":"de"},{"family":"Larbi","given":"Ilhame Ben"},{"family":"Schee","given":"Marc P.","non-dropping-particle":"van der"},{"family":"Lentferink","given":"Yvette E."},{"family":"Paff","given":"Tamara"},{"family":"Terhaar sive Droste","given":"Jochim S."},{"family":"Mulder","given":"Chris J."},{"family":"Bodegraven","given":"Adriaan A.","non-dropping-particle":"van"},{"family":"Boer","given":"Nanne K.","non-dropping-particle":"de"}],"issued":{"date-parts":[["2014",3,1]]}}}],"schema":"https://github.com/citation-style-language/schema/raw/master/csl-citation.json"} </w:instrText>
      </w:r>
      <w:r w:rsidR="00C140B4"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[209]</w:t>
      </w:r>
      <w:r w:rsidR="00C140B4" w:rsidRPr="00DB7074">
        <w:rPr>
          <w:rFonts w:ascii="Book Antiqua" w:hAnsi="Book Antiqua" w:cs="Times New Roman"/>
          <w:sz w:val="24"/>
          <w:szCs w:val="24"/>
        </w:rPr>
        <w:fldChar w:fldCharType="end"/>
      </w:r>
      <w:r w:rsidRPr="00DB7074">
        <w:rPr>
          <w:rFonts w:ascii="Book Antiqua" w:hAnsi="Book Antiqua" w:cs="Times New Roman"/>
          <w:sz w:val="24"/>
          <w:szCs w:val="24"/>
        </w:rPr>
        <w:t xml:space="preserve">. Given the volatility of </w:t>
      </w:r>
      <w:r w:rsidR="002D0A5B" w:rsidRPr="00DB7074">
        <w:rPr>
          <w:rFonts w:ascii="Book Antiqua" w:hAnsi="Book Antiqua" w:cs="Times New Roman"/>
          <w:sz w:val="24"/>
          <w:szCs w:val="24"/>
        </w:rPr>
        <w:t xml:space="preserve">the </w:t>
      </w:r>
      <w:r w:rsidR="00507882" w:rsidRPr="00DB7074">
        <w:rPr>
          <w:rFonts w:ascii="Book Antiqua" w:hAnsi="Book Antiqua" w:cs="Times New Roman"/>
          <w:sz w:val="24"/>
          <w:szCs w:val="24"/>
        </w:rPr>
        <w:t>analysed</w:t>
      </w:r>
      <w:r w:rsidRPr="00DB7074">
        <w:rPr>
          <w:rFonts w:ascii="Book Antiqua" w:hAnsi="Book Antiqua" w:cs="Times New Roman"/>
          <w:sz w:val="24"/>
          <w:szCs w:val="24"/>
        </w:rPr>
        <w:t xml:space="preserve"> compounds, improper sample collection and storage can drastically reduce the repeatability and robustness of</w:t>
      </w:r>
      <w:r w:rsidR="00E62209" w:rsidRPr="00DB7074">
        <w:rPr>
          <w:rFonts w:ascii="Book Antiqua" w:hAnsi="Book Antiqua" w:cs="Times New Roman"/>
          <w:sz w:val="24"/>
          <w:szCs w:val="24"/>
        </w:rPr>
        <w:t xml:space="preserve"> the method. Batty </w:t>
      </w:r>
      <w:r w:rsidR="00E62209" w:rsidRPr="004C52B5">
        <w:rPr>
          <w:rFonts w:ascii="Book Antiqua" w:hAnsi="Book Antiqua" w:cs="Times New Roman"/>
          <w:i/>
          <w:sz w:val="24"/>
          <w:szCs w:val="24"/>
        </w:rPr>
        <w:t>et al</w:t>
      </w:r>
      <w:r w:rsidR="004C52B5" w:rsidRPr="00DB7074">
        <w:rPr>
          <w:rFonts w:ascii="Book Antiqua" w:hAnsi="Book Antiqua" w:cs="Times New Roman"/>
          <w:sz w:val="24"/>
          <w:szCs w:val="24"/>
        </w:rPr>
        <w:fldChar w:fldCharType="begin"/>
      </w:r>
      <w:r w:rsidR="004C52B5" w:rsidRPr="00DB7074">
        <w:rPr>
          <w:rFonts w:ascii="Book Antiqua" w:hAnsi="Book Antiqua" w:cs="Times New Roman"/>
          <w:sz w:val="24"/>
          <w:szCs w:val="24"/>
        </w:rPr>
        <w:instrText xml:space="preserve"> ADDIN ZOTERO_ITEM CSL_CITATION {"citationID":"a213mo2qpnj","properties":{"formattedCitation":"\\super [210]\\nosupersub{}","plainCitation":"[210]","noteIndex":0},"citationItems":[{"id":"D1GMNV0O/SX1Jl2Ui","uris":["http://zotero.org/users/4804376/items/DB6EMWZE"],"uri":["http://zotero.org/users/4804376/items/DB6EMWZE"],"itemData":{"id":115,"type":"article-journal","title":"Use of the Analysis of the Volatile Faecal Metabolome in Screening for Colorectal Cancer","container-title":"PLOS ONE","page":"e0130301","volume":"10","issue":"6","source":"CrossRef","DOI":"10.1371/journal.pone.0130301","ISSN":"1932-6203","language":"en","author":[{"family":"Batty","given":"Claire A"},{"family":"Cauchi","given":"Michael"},{"family":"Lourenço","given":"Célia"},{"family":"Hunter","given":"John O"},{"family":"Turner","given":"Claire"}],"editor":[{"family":"Chamaillard","given":"Mathias"}],"issued":{"date-parts":[["2015",6,18]]}}}],"schema":"https://github.com/citation-style-language/schema/raw/master/csl-citation.json"} </w:instrText>
      </w:r>
      <w:r w:rsidR="004C52B5" w:rsidRPr="00DB7074">
        <w:rPr>
          <w:rFonts w:ascii="Book Antiqua" w:hAnsi="Book Antiqua" w:cs="Times New Roman"/>
          <w:sz w:val="24"/>
          <w:szCs w:val="24"/>
        </w:rPr>
        <w:fldChar w:fldCharType="separate"/>
      </w:r>
      <w:r w:rsidR="004C52B5" w:rsidRPr="00DB7074">
        <w:rPr>
          <w:rFonts w:ascii="Book Antiqua" w:hAnsi="Book Antiqua" w:cs="Times New Roman"/>
          <w:sz w:val="24"/>
          <w:szCs w:val="24"/>
          <w:vertAlign w:val="superscript"/>
        </w:rPr>
        <w:t>[210]</w:t>
      </w:r>
      <w:r w:rsidR="004C52B5" w:rsidRPr="00DB7074">
        <w:rPr>
          <w:rFonts w:ascii="Book Antiqua" w:hAnsi="Book Antiqua" w:cs="Times New Roman"/>
          <w:sz w:val="24"/>
          <w:szCs w:val="24"/>
        </w:rPr>
        <w:fldChar w:fldCharType="end"/>
      </w:r>
      <w:r w:rsidR="004C52B5">
        <w:rPr>
          <w:rFonts w:ascii="Book Antiqua" w:hAnsi="Book Antiqua" w:cs="Times New Roman" w:hint="eastAsia"/>
          <w:sz w:val="24"/>
          <w:szCs w:val="24"/>
          <w:lang w:eastAsia="zh-CN"/>
        </w:rPr>
        <w:t xml:space="preserve"> </w:t>
      </w:r>
      <w:r w:rsidRPr="00DB7074">
        <w:rPr>
          <w:rFonts w:ascii="Book Antiqua" w:hAnsi="Book Antiqua" w:cs="Times New Roman"/>
          <w:sz w:val="24"/>
          <w:szCs w:val="24"/>
        </w:rPr>
        <w:t xml:space="preserve">proposed </w:t>
      </w:r>
      <w:r w:rsidR="002D0A5B" w:rsidRPr="00DB7074">
        <w:rPr>
          <w:rFonts w:ascii="Book Antiqua" w:hAnsi="Book Antiqua" w:cs="Times New Roman"/>
          <w:sz w:val="24"/>
          <w:szCs w:val="24"/>
        </w:rPr>
        <w:t>the</w:t>
      </w:r>
      <w:r w:rsidRPr="00DB7074">
        <w:rPr>
          <w:rFonts w:ascii="Book Antiqua" w:hAnsi="Book Antiqua" w:cs="Times New Roman"/>
          <w:sz w:val="24"/>
          <w:szCs w:val="24"/>
        </w:rPr>
        <w:t xml:space="preserve"> use</w:t>
      </w:r>
      <w:r w:rsidR="002D0A5B" w:rsidRPr="00DB7074">
        <w:rPr>
          <w:rFonts w:ascii="Book Antiqua" w:hAnsi="Book Antiqua" w:cs="Times New Roman"/>
          <w:sz w:val="24"/>
          <w:szCs w:val="24"/>
        </w:rPr>
        <w:t xml:space="preserve"> of</w:t>
      </w:r>
      <w:r w:rsidRPr="00DB7074">
        <w:rPr>
          <w:rFonts w:ascii="Book Antiqua" w:hAnsi="Book Antiqua" w:cs="Times New Roman"/>
          <w:sz w:val="24"/>
          <w:szCs w:val="24"/>
        </w:rPr>
        <w:t xml:space="preserve"> </w:t>
      </w:r>
      <w:r w:rsidR="00B132B3" w:rsidRPr="00DB7074">
        <w:rPr>
          <w:rFonts w:ascii="Book Antiqua" w:hAnsi="Book Antiqua" w:cs="Times New Roman"/>
          <w:sz w:val="24"/>
          <w:szCs w:val="24"/>
        </w:rPr>
        <w:t xml:space="preserve">selected </w:t>
      </w:r>
      <w:r w:rsidRPr="00DB7074">
        <w:rPr>
          <w:rFonts w:ascii="Book Antiqua" w:hAnsi="Book Antiqua" w:cs="Times New Roman"/>
          <w:sz w:val="24"/>
          <w:szCs w:val="24"/>
        </w:rPr>
        <w:t xml:space="preserve">ion flow tube mass spectrometry (SIFT-MS) to classify 62 human </w:t>
      </w:r>
      <w:r w:rsidR="00507882" w:rsidRPr="00DB7074">
        <w:rPr>
          <w:rFonts w:ascii="Book Antiqua" w:hAnsi="Book Antiqua" w:cs="Times New Roman"/>
          <w:sz w:val="24"/>
          <w:szCs w:val="24"/>
        </w:rPr>
        <w:t>faecal</w:t>
      </w:r>
      <w:r w:rsidRPr="00DB7074">
        <w:rPr>
          <w:rFonts w:ascii="Book Antiqua" w:hAnsi="Book Antiqua" w:cs="Times New Roman"/>
          <w:sz w:val="24"/>
          <w:szCs w:val="24"/>
        </w:rPr>
        <w:t xml:space="preserve"> samples with a positive result </w:t>
      </w:r>
      <w:r w:rsidR="002D0A5B" w:rsidRPr="00DB7074">
        <w:rPr>
          <w:rFonts w:ascii="Book Antiqua" w:hAnsi="Book Antiqua" w:cs="Times New Roman"/>
          <w:sz w:val="24"/>
          <w:szCs w:val="24"/>
        </w:rPr>
        <w:t>on</w:t>
      </w:r>
      <w:r w:rsidRPr="00DB7074">
        <w:rPr>
          <w:rFonts w:ascii="Book Antiqua" w:hAnsi="Book Antiqua" w:cs="Times New Roman"/>
          <w:sz w:val="24"/>
          <w:szCs w:val="24"/>
        </w:rPr>
        <w:t xml:space="preserve"> FOBT. Indeed, their method showed a 75% correct discrimination between CRC samples and low risk samples</w:t>
      </w:r>
      <w:r w:rsidR="00C140B4"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{"citationID":"UuhD9wBM","properties":{"formattedCitation":"\\super [210]\\nosupersub{}","plainCitation":"[210]","noteIndex":0},"citationItems":[{"id":"D1GMNV0O/SX1Jl2Ui","uris":["http://zotero.org/users/4804376/items/DB6EMWZE"],"uri":["http://zotero.org/users/4804376/items/DB6EMWZE"],"itemData":{"id":115,"type":"article-journal","title":"Use of the Analysis of the Volatile Faecal Metabolome in Screening for Colorectal Cancer","container-title":"PLOS ONE","page":"e0130301","volume":"10","issue":"6","source":"CrossRef","DOI":"10.1371/journal.pone.0130301","ISSN":"1932-6203","language":"en","author":[{"family":"Batty","given":"Claire A"},{"family":"Cauchi","given":"Michael"},{"family":"Lourenço","given":"Célia"},{"family":"Hunter","given":"John O"},{"family":"Turner","given":"Claire"}],"editor":[{"family":"Chamaillard","given":"Mathias"}],"issued":{"date-parts":[["2015",6,18]]}}}],"schema":"https://github.com/citation-style-language/schema/raw/master/csl-citation.json"} </w:instrText>
      </w:r>
      <w:r w:rsidR="00C140B4"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[210]</w:t>
      </w:r>
      <w:r w:rsidR="00C140B4" w:rsidRPr="00DB7074">
        <w:rPr>
          <w:rFonts w:ascii="Book Antiqua" w:hAnsi="Book Antiqua" w:cs="Times New Roman"/>
          <w:sz w:val="24"/>
          <w:szCs w:val="24"/>
        </w:rPr>
        <w:fldChar w:fldCharType="end"/>
      </w:r>
      <w:r w:rsidRPr="00DB7074">
        <w:rPr>
          <w:rFonts w:ascii="Book Antiqua" w:hAnsi="Book Antiqua" w:cs="Times New Roman"/>
          <w:sz w:val="24"/>
          <w:szCs w:val="24"/>
        </w:rPr>
        <w:t>. Mor</w:t>
      </w:r>
      <w:r w:rsidR="007B590F" w:rsidRPr="00DB7074">
        <w:rPr>
          <w:rFonts w:ascii="Book Antiqua" w:hAnsi="Book Antiqua" w:cs="Times New Roman"/>
          <w:sz w:val="24"/>
          <w:szCs w:val="24"/>
        </w:rPr>
        <w:t xml:space="preserve">e recently, Sinha et al. </w:t>
      </w:r>
      <w:r w:rsidRPr="00DB7074">
        <w:rPr>
          <w:rFonts w:ascii="Book Antiqua" w:hAnsi="Book Antiqua" w:cs="Times New Roman"/>
          <w:sz w:val="24"/>
          <w:szCs w:val="24"/>
        </w:rPr>
        <w:t xml:space="preserve">intended to establish a microbe-metabolite correlation through the analysis of lyophilized </w:t>
      </w:r>
      <w:r w:rsidR="00507882" w:rsidRPr="00DB7074">
        <w:rPr>
          <w:rFonts w:ascii="Book Antiqua" w:hAnsi="Book Antiqua" w:cs="Times New Roman"/>
          <w:sz w:val="24"/>
          <w:szCs w:val="24"/>
        </w:rPr>
        <w:t>faecal</w:t>
      </w:r>
      <w:r w:rsidRPr="00DB7074">
        <w:rPr>
          <w:rFonts w:ascii="Book Antiqua" w:hAnsi="Book Antiqua" w:cs="Times New Roman"/>
          <w:sz w:val="24"/>
          <w:szCs w:val="24"/>
        </w:rPr>
        <w:t xml:space="preserve"> samples of 42 CRC </w:t>
      </w:r>
      <w:r w:rsidR="002D0A5B" w:rsidRPr="00DB7074">
        <w:rPr>
          <w:rFonts w:ascii="Book Antiqua" w:hAnsi="Book Antiqua" w:cs="Times New Roman"/>
          <w:sz w:val="24"/>
          <w:szCs w:val="24"/>
        </w:rPr>
        <w:t xml:space="preserve">patients </w:t>
      </w:r>
      <w:r w:rsidRPr="00DB7074">
        <w:rPr>
          <w:rFonts w:ascii="Book Antiqua" w:hAnsi="Book Antiqua" w:cs="Times New Roman"/>
          <w:sz w:val="24"/>
          <w:szCs w:val="24"/>
        </w:rPr>
        <w:t>and 89 healthy controls using HPLC-GC/MS-MS</w:t>
      </w:r>
      <w:r w:rsidR="00C140B4"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{"citationID":"a1lqfuaq0h2","properties":{"formattedCitation":"\\super [211]\\nosupersub{}","plainCitation":"[211]","noteIndex":0},"citationItems":[{"id":"D1GMNV0O/lylo9xNr","uris":["http://zotero.org/users/4804376/items/YL38ZVBR"],"uri":["http://zotero.org/users/4804376/items/YL38ZVBR"],"itemData":{"id":128,"type":"article-journal","title":"Fecal Microbiota, Fecal Metabolome, and Colorectal Cancer Interrelations","container-title":"PLOS ONE","page":"e0152126","volume":"11","issue":"3","source":"CrossRef","DOI":"10.1371/journal.pone.0152126","ISSN":"1932-6203","language":"en","author":[{"family":"Sinha","given":"Rashmi"},{"family":"Ahn","given":"Jiyoung"},{"family":"Sampson","given":"Joshua N."},{"family":"Shi","given":"Jianxin"},{"family":"Yu","given":"Guoqin"},{"family":"Xiong","given":"Xiaoqin"},{"family":"Hayes","given":"Richard B."},{"family":"Goedert","given":"James J."}],"editor":[{"family":"Cheah","given":"Peh Yean"}],"issued":{"date-parts":[["2016",3,25]]}}}],"schema":"https://github.com/citation-style-language/schema/raw/master/csl-citation.json"} </w:instrText>
      </w:r>
      <w:r w:rsidR="00C140B4"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[211]</w:t>
      </w:r>
      <w:r w:rsidR="00C140B4" w:rsidRPr="00DB7074">
        <w:rPr>
          <w:rFonts w:ascii="Book Antiqua" w:hAnsi="Book Antiqua" w:cs="Times New Roman"/>
          <w:sz w:val="24"/>
          <w:szCs w:val="24"/>
        </w:rPr>
        <w:fldChar w:fldCharType="end"/>
      </w:r>
      <w:r w:rsidRPr="00DB7074">
        <w:rPr>
          <w:rFonts w:ascii="Book Antiqua" w:hAnsi="Book Antiqua" w:cs="Times New Roman"/>
          <w:sz w:val="24"/>
          <w:szCs w:val="24"/>
        </w:rPr>
        <w:t xml:space="preserve">. They reported that CRC was independently associated with lower levels of </w:t>
      </w:r>
      <w:r w:rsidRPr="00DB7074">
        <w:rPr>
          <w:rFonts w:ascii="Book Antiqua" w:hAnsi="Book Antiqua" w:cs="Times New Roman"/>
          <w:i/>
          <w:sz w:val="24"/>
          <w:szCs w:val="24"/>
        </w:rPr>
        <w:t>Clostridia</w:t>
      </w:r>
      <w:r w:rsidRPr="00DB7074">
        <w:rPr>
          <w:rFonts w:ascii="Book Antiqua" w:hAnsi="Book Antiqua" w:cs="Times New Roman"/>
          <w:sz w:val="24"/>
          <w:szCs w:val="24"/>
        </w:rPr>
        <w:t xml:space="preserve">, </w:t>
      </w:r>
      <w:r w:rsidRPr="00DB7074">
        <w:rPr>
          <w:rFonts w:ascii="Book Antiqua" w:hAnsi="Book Antiqua" w:cs="Times New Roman"/>
          <w:i/>
          <w:sz w:val="24"/>
          <w:szCs w:val="24"/>
        </w:rPr>
        <w:t>Lachnospiraceae</w:t>
      </w:r>
      <w:r w:rsidRPr="00DB7074">
        <w:rPr>
          <w:rFonts w:ascii="Book Antiqua" w:hAnsi="Book Antiqua" w:cs="Times New Roman"/>
          <w:sz w:val="24"/>
          <w:szCs w:val="24"/>
        </w:rPr>
        <w:t xml:space="preserve">, </w:t>
      </w:r>
      <w:r w:rsidRPr="00DB7074">
        <w:rPr>
          <w:rFonts w:ascii="Book Antiqua" w:hAnsi="Book Antiqua" w:cs="Times New Roman"/>
          <w:i/>
          <w:sz w:val="24"/>
          <w:szCs w:val="24"/>
        </w:rPr>
        <w:t>p</w:t>
      </w:r>
      <w:r w:rsidRPr="00DB7074">
        <w:rPr>
          <w:rFonts w:ascii="Book Antiqua" w:hAnsi="Book Antiqua" w:cs="Times New Roman"/>
          <w:sz w:val="24"/>
          <w:szCs w:val="24"/>
        </w:rPr>
        <w:t xml:space="preserve">-aminobenzoate and conjugated linoleate and with higher levels of </w:t>
      </w:r>
      <w:r w:rsidRPr="00DB7074">
        <w:rPr>
          <w:rFonts w:ascii="Book Antiqua" w:hAnsi="Book Antiqua" w:cs="Times New Roman"/>
          <w:i/>
          <w:sz w:val="24"/>
          <w:szCs w:val="24"/>
        </w:rPr>
        <w:t>Fusobacterium</w:t>
      </w:r>
      <w:r w:rsidRPr="00DB7074">
        <w:rPr>
          <w:rFonts w:ascii="Book Antiqua" w:hAnsi="Book Antiqua" w:cs="Times New Roman"/>
          <w:sz w:val="24"/>
          <w:szCs w:val="24"/>
        </w:rPr>
        <w:t xml:space="preserve">, </w:t>
      </w:r>
      <w:r w:rsidRPr="00DB7074">
        <w:rPr>
          <w:rFonts w:ascii="Book Antiqua" w:hAnsi="Book Antiqua" w:cs="Times New Roman"/>
          <w:i/>
          <w:sz w:val="24"/>
          <w:szCs w:val="24"/>
        </w:rPr>
        <w:t>Porphyromonas</w:t>
      </w:r>
      <w:r w:rsidRPr="00DB7074">
        <w:rPr>
          <w:rFonts w:ascii="Book Antiqua" w:hAnsi="Book Antiqua" w:cs="Times New Roman"/>
          <w:sz w:val="24"/>
          <w:szCs w:val="24"/>
        </w:rPr>
        <w:t xml:space="preserve">, p-hydroxy-benzaldehyde, and palmitoyl-sphingomyelin. </w:t>
      </w:r>
      <w:r w:rsidR="002D0A5B" w:rsidRPr="00DB7074">
        <w:rPr>
          <w:rFonts w:ascii="Book Antiqua" w:hAnsi="Book Antiqua" w:cs="Times New Roman"/>
          <w:sz w:val="24"/>
          <w:szCs w:val="24"/>
        </w:rPr>
        <w:t>The a</w:t>
      </w:r>
      <w:r w:rsidRPr="00DB7074">
        <w:rPr>
          <w:rFonts w:ascii="Book Antiqua" w:hAnsi="Book Antiqua" w:cs="Times New Roman"/>
          <w:sz w:val="24"/>
          <w:szCs w:val="24"/>
        </w:rPr>
        <w:t xml:space="preserve">uthors identified a strong microbe-metabolite correlation in CRC </w:t>
      </w:r>
      <w:r w:rsidR="002D0A5B" w:rsidRPr="00DB7074">
        <w:rPr>
          <w:rFonts w:ascii="Book Antiqua" w:hAnsi="Book Antiqua" w:cs="Times New Roman"/>
          <w:sz w:val="24"/>
          <w:szCs w:val="24"/>
        </w:rPr>
        <w:t>patients</w:t>
      </w:r>
      <w:r w:rsidRPr="00DB7074">
        <w:rPr>
          <w:rFonts w:ascii="Book Antiqua" w:hAnsi="Book Antiqua" w:cs="Times New Roman"/>
          <w:sz w:val="24"/>
          <w:szCs w:val="24"/>
        </w:rPr>
        <w:t xml:space="preserve">. In conclusion, the diagnostic potential of metabolic profiling </w:t>
      </w:r>
      <w:r w:rsidR="002D0A5B" w:rsidRPr="00DB7074">
        <w:rPr>
          <w:rFonts w:ascii="Book Antiqua" w:hAnsi="Book Antiqua" w:cs="Times New Roman"/>
          <w:sz w:val="24"/>
          <w:szCs w:val="24"/>
        </w:rPr>
        <w:t>of</w:t>
      </w:r>
      <w:r w:rsidRPr="00DB7074">
        <w:rPr>
          <w:rFonts w:ascii="Book Antiqua" w:hAnsi="Book Antiqua" w:cs="Times New Roman"/>
          <w:sz w:val="24"/>
          <w:szCs w:val="24"/>
        </w:rPr>
        <w:t xml:space="preserve"> </w:t>
      </w:r>
      <w:r w:rsidR="00507882" w:rsidRPr="00DB7074">
        <w:rPr>
          <w:rFonts w:ascii="Book Antiqua" w:hAnsi="Book Antiqua" w:cs="Times New Roman"/>
          <w:sz w:val="24"/>
          <w:szCs w:val="24"/>
        </w:rPr>
        <w:t>faeces</w:t>
      </w:r>
      <w:r w:rsidRPr="00DB7074">
        <w:rPr>
          <w:rFonts w:ascii="Book Antiqua" w:hAnsi="Book Antiqua" w:cs="Times New Roman"/>
          <w:sz w:val="24"/>
          <w:szCs w:val="24"/>
        </w:rPr>
        <w:t xml:space="preserve"> is strongly supported by several human studies, but </w:t>
      </w:r>
      <w:r w:rsidR="002D0A5B" w:rsidRPr="00DB7074">
        <w:rPr>
          <w:rFonts w:ascii="Book Antiqua" w:hAnsi="Book Antiqua" w:cs="Times New Roman"/>
          <w:sz w:val="24"/>
          <w:szCs w:val="24"/>
        </w:rPr>
        <w:t xml:space="preserve">these </w:t>
      </w:r>
      <w:r w:rsidRPr="00DB7074">
        <w:rPr>
          <w:rFonts w:ascii="Book Antiqua" w:hAnsi="Book Antiqua" w:cs="Times New Roman"/>
          <w:sz w:val="24"/>
          <w:szCs w:val="24"/>
        </w:rPr>
        <w:t xml:space="preserve">analytical techniques require standard procedures in order to obtain comparable and robust </w:t>
      </w:r>
      <w:r w:rsidR="00CE6BBB" w:rsidRPr="00DB7074">
        <w:rPr>
          <w:rFonts w:ascii="Book Antiqua" w:hAnsi="Book Antiqua" w:cs="Times New Roman"/>
          <w:sz w:val="24"/>
          <w:szCs w:val="24"/>
        </w:rPr>
        <w:t>high-quality</w:t>
      </w:r>
      <w:r w:rsidRPr="00DB7074">
        <w:rPr>
          <w:rFonts w:ascii="Book Antiqua" w:hAnsi="Book Antiqua" w:cs="Times New Roman"/>
          <w:sz w:val="24"/>
          <w:szCs w:val="24"/>
        </w:rPr>
        <w:t xml:space="preserve"> data.</w:t>
      </w:r>
    </w:p>
    <w:p w14:paraId="4D38A8EB" w14:textId="77777777" w:rsidR="00D164DE" w:rsidRPr="005858DC" w:rsidRDefault="00D164DE" w:rsidP="00DB7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jc w:val="both"/>
        <w:rPr>
          <w:rFonts w:ascii="Book Antiqua" w:hAnsi="Book Antiqua" w:cs="Times New Roman"/>
          <w:b/>
          <w:sz w:val="24"/>
          <w:szCs w:val="24"/>
          <w:lang w:eastAsia="zh-CN"/>
        </w:rPr>
      </w:pPr>
    </w:p>
    <w:p w14:paraId="0575BD57" w14:textId="3CED42FF" w:rsidR="002C25E0" w:rsidRPr="00DB7074" w:rsidRDefault="002C25E0" w:rsidP="00DB7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60" w:lineRule="auto"/>
        <w:jc w:val="both"/>
        <w:rPr>
          <w:rFonts w:ascii="Book Antiqua" w:eastAsia="Times New Roman" w:hAnsi="Book Antiqua" w:cs="Times New Roman"/>
          <w:b/>
          <w:i/>
          <w:sz w:val="24"/>
          <w:szCs w:val="24"/>
          <w:lang w:eastAsia="fr-FR"/>
        </w:rPr>
      </w:pPr>
      <w:r w:rsidRPr="00DB7074">
        <w:rPr>
          <w:rFonts w:ascii="Book Antiqua" w:eastAsia="Times New Roman" w:hAnsi="Book Antiqua" w:cs="Times New Roman"/>
          <w:b/>
          <w:i/>
          <w:sz w:val="24"/>
          <w:szCs w:val="24"/>
          <w:lang w:eastAsia="fr-FR"/>
        </w:rPr>
        <w:t>Prediction of treatment response with microbial-associated markers</w:t>
      </w:r>
    </w:p>
    <w:p w14:paraId="2EC4283E" w14:textId="3E008D4D" w:rsidR="00523FEF" w:rsidRPr="00DB7074" w:rsidRDefault="00722230" w:rsidP="005858DC">
      <w:pPr>
        <w:widowControl w:val="0"/>
        <w:autoSpaceDE w:val="0"/>
        <w:autoSpaceDN w:val="0"/>
        <w:adjustRightInd w:val="0"/>
        <w:snapToGrid w:val="0"/>
        <w:spacing w:after="0" w:line="360" w:lineRule="auto"/>
        <w:jc w:val="both"/>
        <w:rPr>
          <w:rFonts w:ascii="Book Antiqua" w:hAnsi="Book Antiqua" w:cs="Times New Roman"/>
          <w:sz w:val="24"/>
          <w:szCs w:val="24"/>
        </w:rPr>
      </w:pPr>
      <w:r w:rsidRPr="00DB7074">
        <w:rPr>
          <w:rFonts w:ascii="Book Antiqua" w:hAnsi="Book Antiqua" w:cs="Times New Roman"/>
          <w:sz w:val="24"/>
          <w:szCs w:val="24"/>
        </w:rPr>
        <w:t xml:space="preserve">It </w:t>
      </w:r>
      <w:r w:rsidR="00F143FE" w:rsidRPr="00DB7074">
        <w:rPr>
          <w:rFonts w:ascii="Book Antiqua" w:hAnsi="Book Antiqua" w:cs="Times New Roman"/>
          <w:sz w:val="24"/>
          <w:szCs w:val="24"/>
        </w:rPr>
        <w:t>has long been</w:t>
      </w:r>
      <w:r w:rsidR="00523FEF" w:rsidRPr="00DB7074">
        <w:rPr>
          <w:rFonts w:ascii="Book Antiqua" w:hAnsi="Book Antiqua" w:cs="Times New Roman"/>
          <w:sz w:val="24"/>
          <w:szCs w:val="24"/>
        </w:rPr>
        <w:t xml:space="preserve"> recognized that </w:t>
      </w:r>
      <w:r w:rsidR="007D1CCE" w:rsidRPr="00DB7074">
        <w:rPr>
          <w:rFonts w:ascii="Book Antiqua" w:hAnsi="Book Antiqua" w:cs="Times New Roman"/>
          <w:sz w:val="24"/>
          <w:szCs w:val="24"/>
        </w:rPr>
        <w:t xml:space="preserve">the </w:t>
      </w:r>
      <w:r w:rsidR="00523FEF" w:rsidRPr="00DB7074">
        <w:rPr>
          <w:rFonts w:ascii="Book Antiqua" w:hAnsi="Book Antiqua" w:cs="Times New Roman"/>
          <w:sz w:val="24"/>
          <w:szCs w:val="24"/>
        </w:rPr>
        <w:t xml:space="preserve">gut microbiota can modify </w:t>
      </w:r>
      <w:r w:rsidR="007D1CCE" w:rsidRPr="00DB7074">
        <w:rPr>
          <w:rFonts w:ascii="Book Antiqua" w:hAnsi="Book Antiqua" w:cs="Times New Roman"/>
          <w:sz w:val="24"/>
          <w:szCs w:val="24"/>
        </w:rPr>
        <w:t xml:space="preserve">the </w:t>
      </w:r>
      <w:r w:rsidR="00523FEF" w:rsidRPr="00DB7074">
        <w:rPr>
          <w:rFonts w:ascii="Book Antiqua" w:hAnsi="Book Antiqua" w:cs="Times New Roman"/>
          <w:sz w:val="24"/>
          <w:szCs w:val="24"/>
        </w:rPr>
        <w:t xml:space="preserve">pharmacokinetics of various drugs including </w:t>
      </w:r>
      <w:r w:rsidR="00507882" w:rsidRPr="00DB7074">
        <w:rPr>
          <w:rFonts w:ascii="Book Antiqua" w:hAnsi="Book Antiqua" w:cs="Times New Roman"/>
          <w:sz w:val="24"/>
          <w:szCs w:val="24"/>
        </w:rPr>
        <w:t>anticancer</w:t>
      </w:r>
      <w:r w:rsidR="00523FEF" w:rsidRPr="00DB7074">
        <w:rPr>
          <w:rFonts w:ascii="Book Antiqua" w:hAnsi="Book Antiqua" w:cs="Times New Roman"/>
          <w:sz w:val="24"/>
          <w:szCs w:val="24"/>
        </w:rPr>
        <w:t xml:space="preserve"> therapies thus influencing therapeutic outcome</w:t>
      </w:r>
      <w:r w:rsidR="007D1CCE" w:rsidRPr="00DB7074">
        <w:rPr>
          <w:rFonts w:ascii="Book Antiqua" w:hAnsi="Book Antiqua" w:cs="Times New Roman"/>
          <w:sz w:val="24"/>
          <w:szCs w:val="24"/>
        </w:rPr>
        <w:t>s</w:t>
      </w:r>
      <w:r w:rsidR="00523FEF"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{"citationID":"96EBSf0R","properties":{"formattedCitation":"\\super [212\\uc0\\u8211{}217]\\nosupersub{}","plainCitation":"[212–217]","noteIndex":0},"citationItems":[{"id":568,"uris":["http://zotero.org/users/4113810/items/L6SVZJRH"],"uri":["http://zotero.org/users/4113810/items/L6SVZJRH"],"itemData":{"id":568,"type":"article-journal","title":"The cytostatic activity of pyrimidine nucleosides is strongly modulated by Mycoplasma hyorhinis infection: Implications for cancer therapy","container-title":"Biochemical Pharmacology","page":"188-197","volume":"76","issue":"2","source":"CrossRef","DOI":"10.1016/j.bcp.2008.04.019","ISSN":"00062952","shortTitle":"The cytostatic activity of pyrimidine nucleosides is strongly modulated by Mycoplasma hyorhinis infection","language":"en","author":[{"family":"Bronckaers","given":"Annelies"},{"family":"Balzarini","given":"Jan"},{"family":"Liekens","given":"Sandra"}],"issued":{"date-parts":[["2008",7]]}}},{"id":547,"uris":["http://zotero.org/users/4113810/items/W22DCX64"],"uri":["http://zotero.org/users/4113810/items/W22DCX64"],"itemData":{"id":547,"type":"article-journal","title":"The gut microbiota: A key factor in the therapeutic effects of (poly)phenols","container-title":"Biochemical Pharmacology","page":"82-93","volume":"139","source":"PubMed","abstract":"(Poly)phenols (PPs) constitute a large family of phytochemicals with high chemical diversity that are known to be active principles of plant-derived nutraceuticals and herbal medicinal products. Their pharmacological activity, however, is difficult to demonstrate due to their mild physiological effects, and to the large inter-individual variability observed. Many PPs have little bioavailability and reach the colon almost unaltered. There they encounter the gut microbes resulting in a two-way interaction in which PPs modulate the gut microbiota composition, and the intestinal microbes catabolize the ingested PPs to release metabolites that are often more active and better absorbed than the native phenolic compounds. The type and quantity of the PP metabolites produced in humans depend on the gut microbiota composition and function, and different metabotypes have been identified. However, not all the metabolites have the same biological activity, and therefore the final health effects of dietary PPs depend on the gut microbiota composition. Stratification in clinical trials according to individuals' metabotypes is necessary to fully understand the health effects of PPs. In this review, we present and discuss the most significant and updated knowledge regarding the reciprocal interrelation of the gut microbiota with dietary PPs as a key factor that modulates the health effects of these compounds. The review will focus in those PPs that are known to be metabolized by gut microbiota resulting in bioactive metabolites.","DOI":"10.1016/j.bcp.2017.04.033","ISSN":"1873-2968","note":"PMID: 28483461","shortTitle":"The gut microbiota","journalAbbreviation":"Biochem. Pharmacol.","language":"eng","author":[{"family":"Espín","given":"Juan Carlos"},{"family":"González-Sarrías","given":"Antonio"},{"family":"Tomás-Barberán","given":"Francisco A."}],"issued":{"date-parts":[["2017"]],"season":"01"}}},{"id":549,"uris":["http://zotero.org/users/4113810/items/RZP6TSGN"],"uri":["http://zotero.org/users/4113810/items/RZP6TSGN"],"itemData":{"id":549,"type":"article-journal","title":"Human microbiome signatures of differential colorectal cancer drug metabolism","container-title":"NPJ biofilms and microbiomes","page":"27","volume":"3","source":"PubMed","abstract":"It is well appreciated that microbial metabolism of drugs can influence treatment efficacy. Microbial β-glucuronidases in the gut can reactivate the excreted, inactive metabolite of irinotecan, a first-line chemotherapeutic for metastatic colorectal cancer. Reactivation causes adverse drug responses, including severe diarrhea. However, a direct connection between irinotecan metabolism and the composition of an individual's gut microbiota has not previously been made. Here, we report quantitative evidence of inter-individual variability in microbiome metabolism of the inactive metabolite of irinotecan to its active form. We identify a high turnover microbiota metabotype with potentially elevated risk for irinotecan-dependent adverse drug responses. We link the high turnover metabotype to unreported microbial β-glucuronidases; inhibiting these enzymes may decrease irinotecan-dependent adverse drug responses in targeted subsets of patients. In total, this study reveals metagenomic mining of the microbiome, combined with metabolomics, as a non-invasive approach to develop biomarkers for colorectal cancer treatment outcomes.","DOI":"10.1038/s41522-017-0034-1","ISSN":"2055-5008","note":"PMID: 29104759\nPMCID: PMC5665930","journalAbbreviation":"NPJ Biofilms Microbiomes","language":"eng","author":[{"family":"Guthrie","given":"Leah"},{"family":"Gupta","given":"Sanchit"},{"family":"Daily","given":"Johanna"},{"family":"Kelly","given":"Libusha"}],"issued":{"date-parts":[["2017"]]}}},{"id":569,"uris":["http://zotero.org/users/4113810/items/Z4NTJZRD"],"uri":["http://zotero.org/users/4113810/items/Z4NTJZRD"],"itemData":{"id":569,"type":"article-journal","title":"Nucleoside-catabolizing Enzymes in Mycoplasma-infected Tumor Cell Cultures Compromise the Cytostatic Activity of the Anticancer Drug Gemcitabine","container-title":"Journal of Biological Chemistry","page":"13054-13065","volume":"289","issue":"19","source":"CrossRef","DOI":"10.1074/jbc.M114.558924","ISSN":"0021-9258, 1083-351X","language":"en","author":[{"family":"Vande Voorde","given":"Johan"},{"family":"Sabuncuoğlu","given":"Suna"},{"family":"Noppen","given":"Sam"},{"family":"Hofer","given":"Anders"},{"family":"Ranjbarian","given":"Farahnaz"},{"family":"Fieuws","given":"Steffen"},{"family":"Balzarini","given":"Jan"},{"family":"Liekens","given":"Sandra"}],"issued":{"date-parts":[["2014",5,9]]}}},{"id":460,"uris":["http://zotero.org/users/4113810/items/TNUCJ4ZA"],"uri":["http://zotero.org/users/4113810/items/TNUCJ4ZA"],"itemData":{"id":460,"type":"article-journal","title":"Potential role of intratumor bacteria in mediating tumor resistance to the chemotherapeutic drug gemcitabine","container-title":"Science (New York, N.Y.)","page":"1156-1160","volume":"357","issue":"6356","source":"PubMed","abstract":"Growing evidence suggests that microbes can influence the efficacy of cancer therapies. By studying colon cancer models, we found that bacteria can metabolize the chemotherapeutic drug gemcitabine (2',2'-difluorodeoxycytidine) into its inactive form, 2',2'-difluorodeoxyuridine. Metabolism was dependent on the expression of a long isoform of the bacterial enzyme cytidine deaminase (CDDL), seen primarily in Gammaproteobacteria. In a colon cancer mouse model, gemcitabine resistance was induced by intratumor Gammaproteobacteria, dependent on bacterial CDDL expression, and abrogated by cotreatment with the antibiotic ciprofloxacin. Gemcitabine is commonly used to treat pancreatic ductal adenocarcinoma (PDAC), and we hypothesized that intratumor bacteria might contribute to drug resistance of these tumors. Consistent with this possibility, we found that of the 113 human PDACs that were tested, 86 (76%) were positive for bacteria, mainly Gammaproteobacteria.","DOI":"10.1126/science.aah5043","ISSN":"1095-9203","note":"PMID: 28912244\nPMCID: PMC5727343","journalAbbreviation":"Science","language":"eng","author":[{"family":"Geller","given":"Leore T."},{"family":"Barzily-Rokni","given":"Michal"},{"family":"Danino","given":"Tal"},{"family":"Jonas","given":"Oliver H."},{"family":"Shental","given":"Noam"},{"family":"Nejman","given":"Deborah"},{"family":"Gavert","given":"Nancy"},{"family":"Zwang","given":"Yaara"},{"family":"Cooper","given":"Zachary A."},{"family":"Shee","given":"Kevin"},{"family":"Thaiss","given":"Christoph A."},{"family":"Reuben","given":"Alexandre"},{"family":"Livny","given":"Jonathan"},{"family":"Avraham","given":"Roi"},{"family":"Frederick","given":"Dennie T."},{"family":"Ligorio","given":"Matteo"},{"family":"Chatman","given":"Kelly"},{"family":"Johnston","given":"Stephen E."},{"family":"Mosher","given":"Carrie M."},{"family":"Brandis","given":"Alexander"},{"family":"Fuks","given":"Garold"},{"family":"Gurbatri","given":"Candice"},{"family":"Gopalakrishnan","given":"Vancheswaran"},{"family":"Kim","given":"Michael"},{"family":"Hurd","given":"Mark W."},{"family":"Katz","given":"Matthew"},{"family":"Fleming","given":"Jason"},{"family":"Maitra","given":"Anirban"},{"family":"Smith","given":"David A."},{"family":"Skalak","given":"Matt"},{"family":"Bu","given":"Jeffrey"},{"family":"Michaud","given":"Monia"},{"family":"Trauger","given":"Sunia A."},{"family":"Barshack","given":"Iris"},{"family":"Golan","given":"Talia"},{"family":"Sandbank","given":"Judith"},{"family":"Flaherty","given":"Keith T."},{"family":"Mandinova","given":"Anna"},{"family":"Garrett","given":"Wendy S."},{"family":"Thayer","given":"Sarah P."},{"family":"Ferrone","given":"Cristina R."},{"family":"Huttenhower","given":"Curtis"},{"family":"Bhatia","given":"Sangeeta N."},{"family":"Gevers","given":"Dirk"},{"family":"Wargo","given":"Jennifer A."},{"family":"Golub","given":"Todd R."},{"family":"Straussman","given":"Ravid"}],"issued":{"date-parts":[["2017"]],"season":"15"}}},{"id":522,"uris":["http://zotero.org/users/4113810/items/EG2VBFFK"],"uri":["http://zotero.org/users/4113810/items/EG2VBFFK"],"itemData":{"id":522,"type":"article-journal","title":"Intratumoral bacteria may elicit chemoresistance by metabolizing anticancer agents","container-title":"Molecular &amp; Cellular Oncology","page":"e1405139","volume":"5","issue":"1","source":"PubMed","abstract":"We recently reported that bacteria can be found within pancreatic ductal adenocarcinoma (PDAC) tumors. Some of these bacteria can metabolize and thereby inactivate the nucleoside analog gemcitabine. We demonstrated that the long isoform of the bacterial enzyme cytidine deaminase (CDD) mediates the metabolism of gemcitabine. The clinical effect of overcoming this potential mechanism of drug resistance has yet to be studied.","DOI":"10.1080/23723556.2017.1405139","ISSN":"2372-3556","note":"PMID: 29404397\nPMCID: PMC5791857","journalAbbreviation":"Mol Cell Oncol","language":"eng","author":[{"family":"Geller","given":"Leore T."},{"family":"Straussman","given":"Ravid"}],"issued":{"date-parts":[["2018"]]}}}],"schema":"https://github.com/citation-style-language/schema/raw/master/csl-citation.json"} </w:instrText>
      </w:r>
      <w:r w:rsidR="00523FEF"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[212–217]</w:t>
      </w:r>
      <w:r w:rsidR="00523FEF" w:rsidRPr="00DB7074">
        <w:rPr>
          <w:rFonts w:ascii="Book Antiqua" w:hAnsi="Book Antiqua" w:cs="Times New Roman"/>
          <w:sz w:val="24"/>
          <w:szCs w:val="24"/>
        </w:rPr>
        <w:fldChar w:fldCharType="end"/>
      </w:r>
      <w:r w:rsidR="00C43CFB">
        <w:rPr>
          <w:rFonts w:ascii="Book Antiqua" w:hAnsi="Book Antiqua" w:cs="Times New Roman" w:hint="eastAsia"/>
          <w:sz w:val="24"/>
          <w:szCs w:val="24"/>
          <w:lang w:eastAsia="zh-CN"/>
        </w:rPr>
        <w:t xml:space="preserve"> </w:t>
      </w:r>
      <w:r w:rsidR="00523FEF" w:rsidRPr="00DB7074">
        <w:rPr>
          <w:rFonts w:ascii="Book Antiqua" w:hAnsi="Book Antiqua" w:cs="Times New Roman"/>
          <w:sz w:val="24"/>
          <w:szCs w:val="24"/>
        </w:rPr>
        <w:t>and/or side effects</w:t>
      </w:r>
      <w:r w:rsidR="00523FEF"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{"citationID":"a22tcng0utl","properties":{"formattedCitation":"\\super [218\\uc0\\u8211{}220]\\nosupersub{}","plainCitation":"[218–220]","noteIndex":0},"citationItems":[{"id":562,"uris":["http://zotero.org/users/4113810/items/Z2BBM97G"],"uri":["http://zotero.org/users/4113810/items/Z2BBM97G"],"itemData":{"id":562,"type":"article-journal","title":"Involvement of β-glucuronidase in intestinal microflora in the intestinal toxicity of the antitumor camptothecin derivative irinotecan hydrochloride (CPT-11) in rats","container-title":"Cancer Research","page":"3752–3757","volume":"56","issue":"16","source":"Google Scholar","author":[{"family":"Takasuna","given":"Kiyoshi"},{"family":"Hagiwara","given":"Takehiro"},{"family":"Hirohashi","given":"Masaaki"},{"family":"Kato","given":"Michiyuki"},{"family":"Nomura","given":"Mamoru"},{"family":"Nagai","given":"Eiichi"},{"family":"Yokoi","given":"Tsuyoshi"},{"family":"Kamataki","given":"Tetsuya"}],"issued":{"date-parts":[["1996"]]}}},{"id":540,"uris":["http://zotero.org/users/4113810/items/WJ5CR2YA"],"uri":["http://zotero.org/users/4113810/items/WJ5CR2YA"],"itemData":{"id":540,"type":"article-journal","title":"Alleviating Cancer Drug Toxicity by Inhibiting a Bacterial Enzyme","container-title":"Science","page":"831-835","volume":"330","issue":"6005","source":"CrossRef","DOI":"10.1126/science.1191175","ISSN":"0036-8075, 1095-9203","language":"en","author":[{"family":"Wallace","given":"B. D."},{"family":"Wang","given":"H."},{"family":"Lane","given":"K. T."},{"family":"Scott","given":"J. E."},{"family":"Orans","given":"J."},{"family":"Koo","given":"J. S."},{"family":"Venkatesh","given":"M."},{"family":"Jobin","given":"C."},{"family":"Yeh","given":"L.-A."},{"family":"Mani","given":"S."},{"family":"Redinbo","given":"M. R."}],"issued":{"date-parts":[["2010",11,5]]}}},{"id":570,"uris":["http://zotero.org/users/4113810/items/B7I27Y5G"],"uri":["http://zotero.org/users/4113810/items/B7I27Y5G"],"itemData":{"id":570,"type":"article-journal","title":"Intestinal anaerobic bacteria hydrolyse sorivudine, producing the high blood concentration of 5-(E)-(2-bromovinyl)uracil that increases the level and toxicity of 5-fluorouracil","container-title":"Pharmacogenetics","page":"35-43","volume":"7","issue":"1","source":"PubMed","abstract":"Sorivudine, 1-beta-D-arabinofuranosyl-5-(E)-(2-bromovinyl)uracil, is a potent antiviral agent against varicella-zoster virus and herpes simplex virus type 1. However, sorivudine should not be used in combination with anticancer drugs such as 5-fluorouracil (5-FU) because (E)-5-(2-bromovinyl)uracil (BVU), a metabolite of sorivudine, inhibits the degradation of 5-FU, resulting in its accumulation in the blood and marked enhancement of the toxicity of 5-FU. Since phosphorolytic enzymes generate BVU from sorivudine, we investigated the distribution of the enzyme activity in rats. High activity was found in the cecal and large intestinal contents, while very low or no detectable activity in the liver, kidney, stomach, cecum, large intestine, and the stomach and small intestinal contents. These results suggest that intestinal microflora play an important role in BVU production. Therefore, we measured the phosphorylase activity in cell-free extracts from 23 aerobes, 16 anaerobes and a fungus. Bacteroides species B. vulgatus, B. thetaiotaomicron, B. fragilis, B. uniformis and B. eggerthii, dominant members of intestinal microflora, had high activity to convert sorivudine to BVU. To elucidate the contribution of intestinal microflora to BVU production in vivo, we administered sorivudine to rats treated with several antibiotics and measured the BVU concentration in the serum of rats. When sorivudine was given to rats treated with ampicillin or a mixture of bacitracin, neomycin and streptomycin, which decreased the numbers of viable aerobes and anaerobes, only a small amount of BVU was found in the serum. BVU concentration in the serum of rats treated with metronidazole to decrease the number of intestinal anaerobes was also very low. In contrast, BVU concentration in the serum of rats treated with kanamycin, which was used to decrease the number of aerobes selectively, was higher than that of non-treated rats. These results also suggest that BVU is produced by intestinal anaerobic bacteria especially Bacteroides species in vivo.","ISSN":"0960-314X","note":"PMID: 9110360","journalAbbreviation":"Pharmacogenetics","language":"eng","author":[{"family":"Nakayama","given":"H."},{"family":"Kinouchi","given":"T."},{"family":"Kataoka","given":"K."},{"family":"Akimoto","given":"S."},{"family":"Matsuda","given":"Y."},{"family":"Ohnishi","given":"Y."}],"issued":{"date-parts":[["1997",2]]}}}],"schema":"https://github.com/citation-style-language/schema/raw/master/csl-citation.json"} </w:instrText>
      </w:r>
      <w:r w:rsidR="00523FEF"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[218–220]</w:t>
      </w:r>
      <w:r w:rsidR="00523FEF" w:rsidRPr="00DB7074">
        <w:rPr>
          <w:rFonts w:ascii="Book Antiqua" w:hAnsi="Book Antiqua" w:cs="Times New Roman"/>
          <w:sz w:val="24"/>
          <w:szCs w:val="24"/>
        </w:rPr>
        <w:fldChar w:fldCharType="end"/>
      </w:r>
      <w:r w:rsidR="00523FEF" w:rsidRPr="00DB7074">
        <w:rPr>
          <w:rFonts w:ascii="Book Antiqua" w:hAnsi="Book Antiqua" w:cs="Times New Roman"/>
          <w:sz w:val="24"/>
          <w:szCs w:val="24"/>
        </w:rPr>
        <w:t xml:space="preserve">. Irinotecan, </w:t>
      </w:r>
      <w:r w:rsidR="007D1CCE" w:rsidRPr="00DB7074">
        <w:rPr>
          <w:rFonts w:ascii="Book Antiqua" w:hAnsi="Book Antiqua" w:cs="Times New Roman"/>
          <w:sz w:val="24"/>
          <w:szCs w:val="24"/>
        </w:rPr>
        <w:t xml:space="preserve">which is </w:t>
      </w:r>
      <w:r w:rsidR="00523FEF" w:rsidRPr="00DB7074">
        <w:rPr>
          <w:rFonts w:ascii="Book Antiqua" w:hAnsi="Book Antiqua" w:cs="Times New Roman"/>
          <w:sz w:val="24"/>
          <w:szCs w:val="24"/>
        </w:rPr>
        <w:t>a first-line chemotherapeutic agent for metastatic CRC</w:t>
      </w:r>
      <w:r w:rsidR="00523FEF" w:rsidRPr="00DB7074">
        <w:rPr>
          <w:rFonts w:ascii="Book Antiqua" w:hAnsi="Book Antiqua"/>
          <w:sz w:val="24"/>
          <w:szCs w:val="24"/>
        </w:rPr>
        <w:t xml:space="preserve">, </w:t>
      </w:r>
      <w:r w:rsidR="00523FEF" w:rsidRPr="00DB7074">
        <w:rPr>
          <w:rFonts w:ascii="Book Antiqua" w:hAnsi="Book Antiqua" w:cs="Times New Roman"/>
          <w:sz w:val="24"/>
          <w:szCs w:val="24"/>
        </w:rPr>
        <w:t xml:space="preserve">causes adverse and dose-limiting effects </w:t>
      </w:r>
      <w:r w:rsidR="00523FEF" w:rsidRPr="00DB7074">
        <w:rPr>
          <w:rFonts w:ascii="Book Antiqua" w:hAnsi="Book Antiqua" w:cs="Times New Roman"/>
          <w:sz w:val="24"/>
          <w:szCs w:val="24"/>
        </w:rPr>
        <w:lastRenderedPageBreak/>
        <w:t xml:space="preserve">that are largely influenced by bacterial </w:t>
      </w:r>
      <w:r w:rsidR="00523FEF" w:rsidRPr="00DB7074">
        <w:rPr>
          <w:rFonts w:ascii="Symbol" w:hAnsi="Symbol" w:cs="Times New Roman"/>
          <w:sz w:val="24"/>
          <w:szCs w:val="24"/>
        </w:rPr>
        <w:t></w:t>
      </w:r>
      <w:r w:rsidR="00523FEF" w:rsidRPr="00DB7074">
        <w:rPr>
          <w:rFonts w:ascii="Book Antiqua" w:hAnsi="Book Antiqua" w:cs="Times New Roman"/>
          <w:sz w:val="24"/>
          <w:szCs w:val="24"/>
        </w:rPr>
        <w:t>-glucuronidase</w:t>
      </w:r>
      <w:r w:rsidR="00523FEF"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{"citationID":"wyz3kzW3","properties":{"formattedCitation":"\\super [214,219]\\nosupersub{}","plainCitation":"[214,219]","noteIndex":0},"citationItems":[{"id":549,"uris":["http://zotero.org/users/4113810/items/RZP6TSGN"],"uri":["http://zotero.org/users/4113810/items/RZP6TSGN"],"itemData":{"id":549,"type":"article-journal","title":"Human microbiome signatures of differential colorectal cancer drug metabolism","container-title":"NPJ biofilms and microbiomes","page":"27","volume":"3","source":"PubMed","abstract":"It is well appreciated that microbial metabolism of drugs can influence treatment efficacy. Microbial β-glucuronidases in the gut can reactivate the excreted, inactive metabolite of irinotecan, a first-line chemotherapeutic for metastatic colorectal cancer. Reactivation causes adverse drug responses, including severe diarrhea. However, a direct connection between irinotecan metabolism and the composition of an individual's gut microbiota has not previously been made. Here, we report quantitative evidence of inter-individual variability in microbiome metabolism of the inactive metabolite of irinotecan to its active form. We identify a high turnover microbiota metabotype with potentially elevated risk for irinotecan-dependent adverse drug responses. We link the high turnover metabotype to unreported microbial β-glucuronidases; inhibiting these enzymes may decrease irinotecan-dependent adverse drug responses in targeted subsets of patients. In total, this study reveals metagenomic mining of the microbiome, combined with metabolomics, as a non-invasive approach to develop biomarkers for colorectal cancer treatment outcomes.","DOI":"10.1038/s41522-017-0034-1","ISSN":"2055-5008","note":"PMID: 29104759\nPMCID: PMC5665930","journalAbbreviation":"NPJ Biofilms Microbiomes","language":"eng","author":[{"family":"Guthrie","given":"Leah"},{"family":"Gupta","given":"Sanchit"},{"family":"Daily","given":"Johanna"},{"family":"Kelly","given":"Libusha"}],"issued":{"date-parts":[["2017"]]}}},{"id":540,"uris":["http://zotero.org/users/4113810/items/WJ5CR2YA"],"uri":["http://zotero.org/users/4113810/items/WJ5CR2YA"],"itemData":{"id":540,"type":"article-journal","title":"Alleviating Cancer Drug Toxicity by Inhibiting a Bacterial Enzyme","container-title":"Science","page":"831-835","volume":"330","issue":"6005","source":"CrossRef","DOI":"10.1126/science.1191175","ISSN":"0036-8075, 1095-9203","language":"en","author":[{"family":"Wallace","given":"B. D."},{"family":"Wang","given":"H."},{"family":"Lane","given":"K. T."},{"family":"Scott","given":"J. E."},{"family":"Orans","given":"J."},{"family":"Koo","given":"J. S."},{"family":"Venkatesh","given":"M."},{"family":"Jobin","given":"C."},{"family":"Yeh","given":"L.-A."},{"family":"Mani","given":"S."},{"family":"Redinbo","given":"M. R."}],"issued":{"date-parts":[["2010",11,5]]}}}],"schema":"https://github.com/citation-style-language/schema/raw/master/csl-citation.json"} </w:instrText>
      </w:r>
      <w:r w:rsidR="00523FEF"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[214,219]</w:t>
      </w:r>
      <w:r w:rsidR="00523FEF" w:rsidRPr="00DB7074">
        <w:rPr>
          <w:rFonts w:ascii="Book Antiqua" w:hAnsi="Book Antiqua" w:cs="Times New Roman"/>
          <w:sz w:val="24"/>
          <w:szCs w:val="24"/>
        </w:rPr>
        <w:fldChar w:fldCharType="end"/>
      </w:r>
      <w:r w:rsidR="00523FEF" w:rsidRPr="00DB7074">
        <w:rPr>
          <w:rFonts w:ascii="Book Antiqua" w:hAnsi="Book Antiqua" w:cs="Times New Roman"/>
          <w:sz w:val="24"/>
          <w:szCs w:val="24"/>
        </w:rPr>
        <w:t>.</w:t>
      </w:r>
      <w:r w:rsidR="00523FEF" w:rsidRPr="00DB7074">
        <w:rPr>
          <w:rFonts w:ascii="Book Antiqua" w:hAnsi="Book Antiqua" w:cs="Times New Roman"/>
          <w:sz w:val="24"/>
          <w:szCs w:val="24"/>
          <w:vertAlign w:val="superscript"/>
        </w:rPr>
        <w:t xml:space="preserve"> </w:t>
      </w:r>
      <w:r w:rsidR="007D1CCE" w:rsidRPr="00DB7074">
        <w:rPr>
          <w:rFonts w:ascii="Book Antiqua" w:hAnsi="Book Antiqua" w:cs="Times New Roman"/>
          <w:sz w:val="24"/>
          <w:szCs w:val="24"/>
        </w:rPr>
        <w:t>M</w:t>
      </w:r>
      <w:r w:rsidR="00523FEF" w:rsidRPr="00DB7074">
        <w:rPr>
          <w:rFonts w:ascii="Book Antiqua" w:hAnsi="Book Antiqua" w:cs="Times New Roman"/>
          <w:sz w:val="24"/>
          <w:szCs w:val="24"/>
        </w:rPr>
        <w:t>etagenomic and metabolomic profiling of patients</w:t>
      </w:r>
      <w:r w:rsidR="007D1CCE" w:rsidRPr="00DB7074">
        <w:rPr>
          <w:rFonts w:ascii="Book Antiqua" w:hAnsi="Book Antiqua" w:cs="Times New Roman"/>
          <w:sz w:val="24"/>
          <w:szCs w:val="24"/>
        </w:rPr>
        <w:t>’</w:t>
      </w:r>
      <w:r w:rsidR="00523FEF" w:rsidRPr="00DB7074">
        <w:rPr>
          <w:rFonts w:ascii="Book Antiqua" w:hAnsi="Book Antiqua" w:cs="Times New Roman"/>
          <w:sz w:val="24"/>
          <w:szCs w:val="24"/>
        </w:rPr>
        <w:t xml:space="preserve"> gut microbiota could thus be informative before choosing this drug to predict side effects. </w:t>
      </w:r>
      <w:r w:rsidR="00507882" w:rsidRPr="00DB7074">
        <w:rPr>
          <w:rFonts w:ascii="Book Antiqua" w:hAnsi="Book Antiqua" w:cs="Times New Roman"/>
          <w:sz w:val="24"/>
          <w:szCs w:val="24"/>
        </w:rPr>
        <w:t xml:space="preserve">Moreover, </w:t>
      </w:r>
      <w:r w:rsidR="00523FEF" w:rsidRPr="00DB7074">
        <w:rPr>
          <w:rFonts w:ascii="Book Antiqua" w:hAnsi="Book Antiqua" w:cs="Times New Roman"/>
          <w:sz w:val="24"/>
          <w:szCs w:val="24"/>
        </w:rPr>
        <w:t xml:space="preserve">specific members of </w:t>
      </w:r>
      <w:r w:rsidR="007D1CCE" w:rsidRPr="00DB7074">
        <w:rPr>
          <w:rFonts w:ascii="Book Antiqua" w:hAnsi="Book Antiqua" w:cs="Times New Roman"/>
          <w:sz w:val="24"/>
          <w:szCs w:val="24"/>
        </w:rPr>
        <w:t xml:space="preserve">the </w:t>
      </w:r>
      <w:r w:rsidR="00523FEF" w:rsidRPr="00DB7074">
        <w:rPr>
          <w:rFonts w:ascii="Book Antiqua" w:hAnsi="Book Antiqua" w:cs="Times New Roman"/>
          <w:sz w:val="24"/>
          <w:szCs w:val="24"/>
        </w:rPr>
        <w:t xml:space="preserve">gut microbiota </w:t>
      </w:r>
      <w:r w:rsidR="007D1CCE" w:rsidRPr="00DB7074">
        <w:rPr>
          <w:rFonts w:ascii="Book Antiqua" w:hAnsi="Book Antiqua" w:cs="Times New Roman"/>
          <w:sz w:val="24"/>
          <w:szCs w:val="24"/>
        </w:rPr>
        <w:t xml:space="preserve">might </w:t>
      </w:r>
      <w:r w:rsidR="00523FEF" w:rsidRPr="00DB7074">
        <w:rPr>
          <w:rFonts w:ascii="Book Antiqua" w:hAnsi="Book Antiqua" w:cs="Times New Roman"/>
          <w:sz w:val="24"/>
          <w:szCs w:val="24"/>
        </w:rPr>
        <w:t xml:space="preserve">also drive chemoresistance to treatment. Indeed, </w:t>
      </w:r>
      <w:r w:rsidR="00523FEF" w:rsidRPr="00DB7074">
        <w:rPr>
          <w:rFonts w:ascii="Book Antiqua" w:hAnsi="Book Antiqua" w:cs="Times New Roman"/>
          <w:i/>
          <w:sz w:val="24"/>
          <w:szCs w:val="24"/>
        </w:rPr>
        <w:t>Fusobacterium nucleatum</w:t>
      </w:r>
      <w:r w:rsidR="00523FEF" w:rsidRPr="00DB7074">
        <w:rPr>
          <w:rFonts w:ascii="Book Antiqua" w:hAnsi="Book Antiqua" w:cs="Times New Roman"/>
          <w:sz w:val="24"/>
          <w:szCs w:val="24"/>
        </w:rPr>
        <w:t xml:space="preserve">, causes resistance to oxaliplatin and 5-FU through autophagy induction in colorectal cancer cell lines </w:t>
      </w:r>
      <w:r w:rsidR="00523FEF" w:rsidRPr="00DB7074">
        <w:rPr>
          <w:rFonts w:ascii="Book Antiqua" w:hAnsi="Book Antiqua" w:cs="Times New Roman"/>
          <w:i/>
          <w:sz w:val="24"/>
          <w:szCs w:val="24"/>
        </w:rPr>
        <w:t>in vitro</w:t>
      </w:r>
      <w:r w:rsidR="007D1CCE" w:rsidRPr="00DB7074">
        <w:rPr>
          <w:rFonts w:ascii="Book Antiqua" w:hAnsi="Book Antiqua" w:cs="Times New Roman"/>
          <w:sz w:val="24"/>
          <w:szCs w:val="24"/>
        </w:rPr>
        <w:t xml:space="preserve"> and</w:t>
      </w:r>
      <w:r w:rsidR="00523FEF" w:rsidRPr="00DB7074">
        <w:rPr>
          <w:rFonts w:ascii="Book Antiqua" w:hAnsi="Book Antiqua" w:cs="Times New Roman"/>
          <w:sz w:val="24"/>
          <w:szCs w:val="24"/>
        </w:rPr>
        <w:t xml:space="preserve"> </w:t>
      </w:r>
      <w:r w:rsidR="00523FEF" w:rsidRPr="00DB7074">
        <w:rPr>
          <w:rFonts w:ascii="Book Antiqua" w:hAnsi="Book Antiqua" w:cs="Times New Roman"/>
          <w:i/>
          <w:sz w:val="24"/>
          <w:szCs w:val="24"/>
        </w:rPr>
        <w:t>in vivo</w:t>
      </w:r>
      <w:r w:rsidR="00523FEF" w:rsidRPr="00DB7074">
        <w:rPr>
          <w:rFonts w:ascii="Book Antiqua" w:hAnsi="Book Antiqua" w:cs="Times New Roman"/>
          <w:sz w:val="24"/>
          <w:szCs w:val="24"/>
        </w:rPr>
        <w:t xml:space="preserve"> in </w:t>
      </w:r>
      <w:r w:rsidR="007D1CCE" w:rsidRPr="00DB7074">
        <w:rPr>
          <w:rFonts w:ascii="Book Antiqua" w:hAnsi="Book Antiqua" w:cs="Times New Roman"/>
          <w:sz w:val="24"/>
          <w:szCs w:val="24"/>
        </w:rPr>
        <w:t xml:space="preserve">mouse </w:t>
      </w:r>
      <w:r w:rsidR="00523FEF" w:rsidRPr="00DB7074">
        <w:rPr>
          <w:rFonts w:ascii="Book Antiqua" w:hAnsi="Book Antiqua" w:cs="Times New Roman"/>
          <w:sz w:val="24"/>
          <w:szCs w:val="24"/>
        </w:rPr>
        <w:t>models of colorectal xenografts</w:t>
      </w:r>
      <w:r w:rsidR="00523FEF"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{"citationID":"a4la6pdo5l","properties":{"formattedCitation":"\\super [221]\\nosupersub{}","plainCitation":"[221]","noteIndex":0},"citationItems":[{"id":521,"uris":["http://zotero.org/users/4113810/items/LJJRXRGX"],"uri":["http://zotero.org/users/4113810/items/LJJRXRGX"],"itemData":{"id":521,"type":"article-journal","title":"Fusobacterium nucleatum Promotes Chemoresistance to Colorectal Cancer by Modulating Autophagy","container-title":"Cell","page":"548-563.e16","volume":"170","issue":"3","source":"CrossRef","DOI":"10.1016/j.cell.2017.07.008","ISSN":"00928674","language":"en","author":[{"family":"Yu","given":"TaChung"},{"family":"Guo","given":"Fangfang"},{"family":"Yu","given":"Yanan"},{"family":"Sun","given":"Tiantian"},{"family":"Ma","given":"Dan"},{"family":"Han","given":"Jixuan"},{"family":"Qian","given":"Yun"},{"family":"Kryczek","given":"Ilona"},{"family":"Sun","given":"Danfeng"},{"family":"Nagarsheth","given":"Nisha"},{"family":"Chen","given":"Yingxuan"},{"family":"Chen","given":"Haoyan"},{"family":"Hong","given":"Jie"},{"family":"Zou","given":"Weiping"},{"family":"Fang","given":"Jing-Yuan"}],"issued":{"date-parts":[["2017",7]]}}}],"schema":"https://github.com/citation-style-language/schema/raw/master/csl-citation.json"} </w:instrText>
      </w:r>
      <w:r w:rsidR="00523FEF"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[221]</w:t>
      </w:r>
      <w:r w:rsidR="00523FEF" w:rsidRPr="00DB7074">
        <w:rPr>
          <w:rFonts w:ascii="Book Antiqua" w:hAnsi="Book Antiqua" w:cs="Times New Roman"/>
          <w:sz w:val="24"/>
          <w:szCs w:val="24"/>
        </w:rPr>
        <w:fldChar w:fldCharType="end"/>
      </w:r>
      <w:r w:rsidR="00523FEF" w:rsidRPr="00DB7074">
        <w:rPr>
          <w:rFonts w:ascii="Book Antiqua" w:hAnsi="Book Antiqua" w:cs="Times New Roman"/>
          <w:sz w:val="24"/>
          <w:szCs w:val="24"/>
        </w:rPr>
        <w:t xml:space="preserve">. Conversely, </w:t>
      </w:r>
      <w:r w:rsidR="007D1CCE" w:rsidRPr="00DB7074">
        <w:rPr>
          <w:rFonts w:ascii="Book Antiqua" w:hAnsi="Book Antiqua" w:cs="Times New Roman"/>
          <w:sz w:val="24"/>
          <w:szCs w:val="24"/>
        </w:rPr>
        <w:t xml:space="preserve">the </w:t>
      </w:r>
      <w:r w:rsidR="00523FEF" w:rsidRPr="00DB7074">
        <w:rPr>
          <w:rFonts w:ascii="Book Antiqua" w:hAnsi="Book Antiqua" w:cs="Times New Roman"/>
          <w:sz w:val="24"/>
          <w:szCs w:val="24"/>
        </w:rPr>
        <w:t xml:space="preserve">sensitivity of cancer cells to many chemotherapeutic agents </w:t>
      </w:r>
      <w:r w:rsidR="007D1CCE" w:rsidRPr="00DB7074">
        <w:rPr>
          <w:rFonts w:ascii="Book Antiqua" w:hAnsi="Book Antiqua" w:cs="Times New Roman"/>
          <w:sz w:val="24"/>
          <w:szCs w:val="24"/>
        </w:rPr>
        <w:t xml:space="preserve">has been </w:t>
      </w:r>
      <w:r w:rsidR="00523FEF" w:rsidRPr="00DB7074">
        <w:rPr>
          <w:rFonts w:ascii="Book Antiqua" w:hAnsi="Book Antiqua" w:cs="Times New Roman"/>
          <w:sz w:val="24"/>
          <w:szCs w:val="24"/>
        </w:rPr>
        <w:t>shown to be modulated by intra-</w:t>
      </w:r>
      <w:r w:rsidR="00507882" w:rsidRPr="00DB7074">
        <w:rPr>
          <w:rFonts w:ascii="Book Antiqua" w:hAnsi="Book Antiqua" w:cs="Times New Roman"/>
          <w:sz w:val="24"/>
          <w:szCs w:val="24"/>
        </w:rPr>
        <w:t>tumour</w:t>
      </w:r>
      <w:r w:rsidR="00523FEF" w:rsidRPr="00DB7074">
        <w:rPr>
          <w:rFonts w:ascii="Book Antiqua" w:hAnsi="Book Antiqua" w:cs="Times New Roman"/>
          <w:sz w:val="24"/>
          <w:szCs w:val="24"/>
        </w:rPr>
        <w:t>al microbial agents</w:t>
      </w:r>
      <w:r w:rsidR="00523FEF"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{"citationID":"g4uZLJUl","properties":{"formattedCitation":"\\super [212,215,216,221,222]\\nosupersub{}","plainCitation":"[212,215,216,221,222]","noteIndex":0},"citationItems":[{"id":521,"uris":["http://zotero.org/users/4113810/items/LJJRXRGX"],"uri":["http://zotero.org/users/4113810/items/LJJRXRGX"],"itemData":{"id":521,"type":"article-journal","title":"Fusobacterium nucleatum Promotes Chemoresistance to Colorectal Cancer by Modulating Autophagy","container-title":"Cell","page":"548-563.e16","volume":"170","issue":"3","source":"CrossRef","DOI":"10.1016/j.cell.2017.07.008","ISSN":"00928674","language":"en","author":[{"family":"Yu","given":"TaChung"},{"family":"Guo","given":"Fangfang"},{"family":"Yu","given":"Yanan"},{"family":"Sun","given":"Tiantian"},{"family":"Ma","given":"Dan"},{"family":"Han","given":"Jixuan"},{"family":"Qian","given":"Yun"},{"family":"Kryczek","given":"Ilona"},{"family":"Sun","given":"Danfeng"},{"family":"Nagarsheth","given":"Nisha"},{"family":"Chen","given":"Yingxuan"},{"family":"Chen","given":"Haoyan"},{"family":"Hong","given":"Jie"},{"family":"Zou","given":"Weiping"},{"family":"Fang","given":"Jing-Yuan"}],"issued":{"date-parts":[["2017",7]]}}},{"id":460,"uris":["http://zotero.org/users/4113810/items/TNUCJ4ZA"],"uri":["http://zotero.org/users/4113810/items/TNUCJ4ZA"],"itemData":{"id":460,"type":"article-journal","title":"Potential role of intratumor bacteria in mediating tumor resistance to the chemotherapeutic drug gemcitabine","container-title":"Science (New York, N.Y.)","page":"1156-1160","volume":"357","issue":"6356","source":"PubMed","abstract":"Growing evidence suggests that microbes can influence the efficacy of cancer therapies. By studying colon cancer models, we found that bacteria can metabolize the chemotherapeutic drug gemcitabine (2',2'-difluorodeoxycytidine) into its inactive form, 2',2'-difluorodeoxyuridine. Metabolism was dependent on the expression of a long isoform of the bacterial enzyme cytidine deaminase (CDDL), seen primarily in Gammaproteobacteria. In a colon cancer mouse model, gemcitabine resistance was induced by intratumor Gammaproteobacteria, dependent on bacterial CDDL expression, and abrogated by cotreatment with the antibiotic ciprofloxacin. Gemcitabine is commonly used to treat pancreatic ductal adenocarcinoma (PDAC), and we hypothesized that intratumor bacteria might contribute to drug resistance of these tumors. Consistent with this possibility, we found that of the 113 human PDACs that were tested, 86 (76%) were positive for bacteria, mainly Gammaproteobacteria.","DOI":"10.1126/science.aah5043","ISSN":"1095-9203","note":"PMID: 28912244\nPMCID: PMC5727343","journalAbbreviation":"Science","language":"eng","author":[{"family":"Geller","given":"Leore T."},{"family":"Barzily-Rokni","given":"Michal"},{"family":"Danino","given":"Tal"},{"family":"Jonas","given":"Oliver H."},{"family":"Shental","given":"Noam"},{"family":"Nejman","given":"Deborah"},{"family":"Gavert","given":"Nancy"},{"family":"Zwang","given":"Yaara"},{"family":"Cooper","given":"Zachary A."},{"family":"Shee","given":"Kevin"},{"family":"Thaiss","given":"Christoph A."},{"family":"Reuben","given":"Alexandre"},{"family":"Livny","given":"Jonathan"},{"family":"Avraham","given":"Roi"},{"family":"Frederick","given":"Dennie T."},{"family":"Ligorio","given":"Matteo"},{"family":"Chatman","given":"Kelly"},{"family":"Johnston","given":"Stephen E."},{"family":"Mosher","given":"Carrie M."},{"family":"Brandis","given":"Alexander"},{"family":"Fuks","given":"Garold"},{"family":"Gurbatri","given":"Candice"},{"family":"Gopalakrishnan","given":"Vancheswaran"},{"family":"Kim","given":"Michael"},{"family":"Hurd","given":"Mark W."},{"family":"Katz","given":"Matthew"},{"family":"Fleming","given":"Jason"},{"family":"Maitra","given":"Anirban"},{"family":"Smith","given":"David A."},{"family":"Skalak","given":"Matt"},{"family":"Bu","given":"Jeffrey"},{"family":"Michaud","given":"Monia"},{"family":"Trauger","given":"Sunia A."},{"family":"Barshack","given":"Iris"},{"family":"Golan","given":"Talia"},{"family":"Sandbank","given":"Judith"},{"family":"Flaherty","given":"Keith T."},{"family":"Mandinova","given":"Anna"},{"family":"Garrett","given":"Wendy S."},{"family":"Thayer","given":"Sarah P."},{"family":"Ferrone","given":"Cristina R."},{"family":"Huttenhower","given":"Curtis"},{"family":"Bhatia","given":"Sangeeta N."},{"family":"Gevers","given":"Dirk"},{"family":"Wargo","given":"Jennifer A."},{"family":"Golub","given":"Todd R."},{"family":"Straussman","given":"Ravid"}],"issued":{"date-parts":[["2017"]],"season":"15"}}},{"id":591,"uris":["http://zotero.org/users/4113810/items/3JJYENH8"],"uri":["http://zotero.org/users/4113810/items/3JJYENH8"],"itemData":{"id":591,"type":"article-journal","title":"Local bacteria affect the efficacy of chemotherapeutic drugs","container-title":"Scientific Reports","volume":"5","issue":"1","source":"CrossRef","URL":"http://www.nature.com/articles/srep14554","DOI":"10.1038/srep14554","ISSN":"2045-2322","language":"en","author":[{"family":"Lehouritis","given":"Panos"},{"family":"Cummins","given":"Joanne"},{"family":"Stanton","given":"Michael"},{"family":"Murphy","given":"Carola T."},{"family":"McCarthy","given":"Florence O."},{"family":"Reid","given":"Gregor"},{"family":"Urbaniak","given":"Camilla"},{"family":"Byrne","given":"William L."},{"family":"Tangney","given":"Mark"}],"issued":{"date-parts":[["2015",11]]},"accessed":{"date-parts":[["2018",3,8]]}}},{"id":568,"uris":["http://zotero.org/users/4113810/items/L6SVZJRH"],"uri":["http://zotero.org/users/4113810/items/L6SVZJRH"],"itemData":{"id":568,"type":"article-journal","title":"The cytostatic activity of pyrimidine nucleosides is strongly modulated by Mycoplasma hyorhinis infection: Implications for cancer therapy","container-title":"Biochemical Pharmacology","page":"188-197","volume":"76","issue":"2","source":"CrossRef","DOI":"10.1016/j.bcp.2008.04.019","ISSN":"00062952","shortTitle":"The cytostatic activity of pyrimidine nucleosides is strongly modulated by Mycoplasma hyorhinis infection","language":"en","author":[{"family":"Bronckaers","given":"Annelies"},{"family":"Balzarini","given":"Jan"},{"family":"Liekens","given":"Sandra"}],"issued":{"date-parts":[["2008",7]]}}},{"id":569,"uris":["http://zotero.org/users/4113810/items/Z4NTJZRD"],"uri":["http://zotero.org/users/4113810/items/Z4NTJZRD"],"itemData":{"id":569,"type":"article-journal","title":"Nucleoside-catabolizing Enzymes in Mycoplasma-infected Tumor Cell Cultures Compromise the Cytostatic Activity of the Anticancer Drug Gemcitabine","container-title":"Journal of Biological Chemistry","page":"13054-13065","volume":"289","issue":"19","source":"CrossRef","DOI":"10.1074/jbc.M114.558924","ISSN":"0021-9258, 1083-351X","language":"en","author":[{"family":"Vande Voorde","given":"Johan"},{"family":"Sabuncuoğlu","given":"Suna"},{"family":"Noppen","given":"Sam"},{"family":"Hofer","given":"Anders"},{"family":"Ranjbarian","given":"Farahnaz"},{"family":"Fieuws","given":"Steffen"},{"family":"Balzarini","given":"Jan"},{"family":"Liekens","given":"Sandra"}],"issued":{"date-parts":[["2014",5,9]]}}}],"schema":"https://github.com/citation-style-language/schema/raw/master/csl-citation.json"} </w:instrText>
      </w:r>
      <w:r w:rsidR="00523FEF"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[212,215,216,221,222]</w:t>
      </w:r>
      <w:r w:rsidR="00523FEF" w:rsidRPr="00DB7074">
        <w:rPr>
          <w:rFonts w:ascii="Book Antiqua" w:hAnsi="Book Antiqua" w:cs="Times New Roman"/>
          <w:sz w:val="24"/>
          <w:szCs w:val="24"/>
        </w:rPr>
        <w:fldChar w:fldCharType="end"/>
      </w:r>
      <w:r w:rsidR="00523FEF" w:rsidRPr="00DB7074">
        <w:rPr>
          <w:rFonts w:ascii="Book Antiqua" w:hAnsi="Book Antiqua" w:cs="Times New Roman"/>
          <w:sz w:val="24"/>
          <w:szCs w:val="24"/>
        </w:rPr>
        <w:t xml:space="preserve">. Moreover, </w:t>
      </w:r>
      <w:r w:rsidR="007D1CCE" w:rsidRPr="00DB7074">
        <w:rPr>
          <w:rFonts w:ascii="Book Antiqua" w:hAnsi="Book Antiqua" w:cs="Times New Roman"/>
          <w:sz w:val="24"/>
          <w:szCs w:val="24"/>
        </w:rPr>
        <w:t xml:space="preserve">the </w:t>
      </w:r>
      <w:r w:rsidR="00523FEF" w:rsidRPr="00DB7074">
        <w:rPr>
          <w:rFonts w:ascii="Book Antiqua" w:hAnsi="Book Antiqua" w:cs="Times New Roman"/>
          <w:sz w:val="24"/>
          <w:szCs w:val="24"/>
        </w:rPr>
        <w:t xml:space="preserve">gut microbiota also </w:t>
      </w:r>
      <w:r w:rsidR="007D1CCE" w:rsidRPr="00DB7074">
        <w:rPr>
          <w:rFonts w:ascii="Book Antiqua" w:hAnsi="Book Antiqua" w:cs="Times New Roman"/>
          <w:sz w:val="24"/>
          <w:szCs w:val="24"/>
        </w:rPr>
        <w:t xml:space="preserve">has </w:t>
      </w:r>
      <w:r w:rsidR="00523FEF" w:rsidRPr="00DB7074">
        <w:rPr>
          <w:rFonts w:ascii="Book Antiqua" w:hAnsi="Book Antiqua" w:cs="Times New Roman"/>
          <w:sz w:val="24"/>
          <w:szCs w:val="24"/>
        </w:rPr>
        <w:t>a lon</w:t>
      </w:r>
      <w:r w:rsidR="00CE6BBB" w:rsidRPr="00DB7074">
        <w:rPr>
          <w:rFonts w:ascii="Book Antiqua" w:hAnsi="Book Antiqua" w:cs="Times New Roman"/>
          <w:sz w:val="24"/>
          <w:szCs w:val="24"/>
        </w:rPr>
        <w:t>g</w:t>
      </w:r>
      <w:r w:rsidR="007D1CCE" w:rsidRPr="00DB7074">
        <w:rPr>
          <w:rFonts w:ascii="Book Antiqua" w:hAnsi="Book Antiqua" w:cs="Times New Roman"/>
          <w:sz w:val="24"/>
          <w:szCs w:val="24"/>
        </w:rPr>
        <w:t>-term</w:t>
      </w:r>
      <w:r w:rsidR="00523FEF" w:rsidRPr="00DB7074">
        <w:rPr>
          <w:rFonts w:ascii="Book Antiqua" w:hAnsi="Book Antiqua" w:cs="Times New Roman"/>
          <w:sz w:val="24"/>
          <w:szCs w:val="24"/>
        </w:rPr>
        <w:t xml:space="preserve"> impact on both </w:t>
      </w:r>
      <w:r w:rsidR="007D1CCE" w:rsidRPr="00DB7074">
        <w:rPr>
          <w:rFonts w:ascii="Book Antiqua" w:hAnsi="Book Antiqua" w:cs="Times New Roman"/>
          <w:sz w:val="24"/>
          <w:szCs w:val="24"/>
        </w:rPr>
        <w:t xml:space="preserve">the </w:t>
      </w:r>
      <w:r w:rsidR="00523FEF" w:rsidRPr="00DB7074">
        <w:rPr>
          <w:rFonts w:ascii="Book Antiqua" w:hAnsi="Book Antiqua" w:cs="Times New Roman"/>
          <w:sz w:val="24"/>
          <w:szCs w:val="24"/>
        </w:rPr>
        <w:t xml:space="preserve">efficacy and toxicity of </w:t>
      </w:r>
      <w:r w:rsidR="00507882" w:rsidRPr="00DB7074">
        <w:rPr>
          <w:rFonts w:ascii="Book Antiqua" w:hAnsi="Book Antiqua" w:cs="Times New Roman"/>
          <w:sz w:val="24"/>
          <w:szCs w:val="24"/>
        </w:rPr>
        <w:t>anticancer</w:t>
      </w:r>
      <w:r w:rsidR="00523FEF" w:rsidRPr="00DB7074">
        <w:rPr>
          <w:rFonts w:ascii="Book Antiqua" w:hAnsi="Book Antiqua" w:cs="Times New Roman"/>
          <w:sz w:val="24"/>
          <w:szCs w:val="24"/>
        </w:rPr>
        <w:t xml:space="preserve"> therapies</w:t>
      </w:r>
      <w:r w:rsidR="00A718A9" w:rsidRPr="00DB7074">
        <w:rPr>
          <w:rFonts w:ascii="Book Antiqua" w:hAnsi="Book Antiqua" w:cs="Times New Roman"/>
          <w:sz w:val="24"/>
          <w:szCs w:val="24"/>
        </w:rPr>
        <w:t>. I</w:t>
      </w:r>
      <w:r w:rsidR="007D1CCE" w:rsidRPr="00DB7074">
        <w:rPr>
          <w:rFonts w:ascii="Book Antiqua" w:hAnsi="Book Antiqua" w:cs="Times New Roman"/>
          <w:sz w:val="24"/>
          <w:szCs w:val="24"/>
        </w:rPr>
        <w:t>n particular, it</w:t>
      </w:r>
      <w:r w:rsidR="00523FEF" w:rsidRPr="00DB7074">
        <w:rPr>
          <w:rFonts w:ascii="Book Antiqua" w:hAnsi="Book Antiqua" w:cs="Times New Roman"/>
          <w:sz w:val="24"/>
          <w:szCs w:val="24"/>
        </w:rPr>
        <w:t xml:space="preserve"> can modulate </w:t>
      </w:r>
      <w:r w:rsidR="007D1CCE" w:rsidRPr="00DB7074">
        <w:rPr>
          <w:rFonts w:ascii="Book Antiqua" w:hAnsi="Book Antiqua" w:cs="Times New Roman"/>
          <w:sz w:val="24"/>
          <w:szCs w:val="24"/>
        </w:rPr>
        <w:t xml:space="preserve">the </w:t>
      </w:r>
      <w:r w:rsidR="00523FEF" w:rsidRPr="00DB7074">
        <w:rPr>
          <w:rFonts w:ascii="Book Antiqua" w:hAnsi="Book Antiqua" w:cs="Times New Roman"/>
          <w:sz w:val="24"/>
          <w:szCs w:val="24"/>
        </w:rPr>
        <w:t xml:space="preserve">concomitant </w:t>
      </w:r>
      <w:r w:rsidR="00507882" w:rsidRPr="00DB7074">
        <w:rPr>
          <w:rFonts w:ascii="Book Antiqua" w:hAnsi="Book Antiqua" w:cs="Times New Roman"/>
          <w:sz w:val="24"/>
          <w:szCs w:val="24"/>
        </w:rPr>
        <w:t>anti</w:t>
      </w:r>
      <w:r w:rsidR="00CE6BBB" w:rsidRPr="00DB7074">
        <w:rPr>
          <w:rFonts w:ascii="Book Antiqua" w:hAnsi="Book Antiqua" w:cs="Times New Roman"/>
          <w:sz w:val="24"/>
          <w:szCs w:val="24"/>
        </w:rPr>
        <w:t>-</w:t>
      </w:r>
      <w:r w:rsidR="00507882" w:rsidRPr="00DB7074">
        <w:rPr>
          <w:rFonts w:ascii="Book Antiqua" w:hAnsi="Book Antiqua" w:cs="Times New Roman"/>
          <w:sz w:val="24"/>
          <w:szCs w:val="24"/>
        </w:rPr>
        <w:t>tumour</w:t>
      </w:r>
      <w:r w:rsidR="00523FEF" w:rsidRPr="00DB7074">
        <w:rPr>
          <w:rFonts w:ascii="Book Antiqua" w:hAnsi="Book Antiqua" w:cs="Times New Roman"/>
          <w:sz w:val="24"/>
          <w:szCs w:val="24"/>
        </w:rPr>
        <w:t xml:space="preserve"> immune response</w:t>
      </w:r>
      <w:r w:rsidR="00523FEF"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{"citationID":"TMnq8DHm","properties":{"formattedCitation":"\\super [223\\uc0\\u8211{}227]\\nosupersub{}","plainCitation":"[223–227]","noteIndex":0},"citationItems":[{"id":511,"uris":["http://zotero.org/users/4113810/items/JZBT6DQW"],"uri":["http://zotero.org/users/4113810/items/JZBT6DQW"],"itemData":{"id":511,"type":"article-journal","title":"Enterococcus hirae and Barnesiella intestinihominis Facilitate Cyclophosphamide-Induced Therapeutic Immunomodulatory Effects","container-title":"Immunity","page":"931-943","volume":"45","issue":"4","source":"CrossRef","DOI":"10.1016/j.immuni.2016.09.009","ISSN":"10747613","language":"en","author":[{"family":"Daillère","given":"Romain"},{"family":"Vétizou","given":"Marie"},{"family":"Waldschmitt","given":"Nadine"},{"family":"Yamazaki","given":"Takahiro"},{"family":"Isnard","given":"Christophe"},{"family":"Poirier-Colame","given":"Vichnou"},{"family":"Duong","given":"Connie P.M."},{"family":"Flament","given":"Caroline"},{"family":"Lepage","given":"Patricia"},{"family":"Roberti","given":"Maria Paula"},{"family":"Routy","given":"Bertrand"},{"family":"Jacquelot","given":"Nicolas"},{"family":"Apetoh","given":"Lionel"},{"family":"Becharef","given":"Sonia"},{"family":"Rusakiewicz","given":"Sylvie"},{"family":"Langella","given":"Philippe"},{"family":"Sokol","given":"Harry"},{"family":"Kroemer","given":"Guido"},{"family":"Enot","given":"David"},{"family":"Roux","given":"Antoine"},{"family":"Eggermont","given":"Alexander"},{"family":"Tartour","given":"Eric"},{"family":"Johannes","given":"Ludger"},{"family":"Woerther","given":"Paul-Louis"},{"family":"Chachaty","given":"Elisabeth"},{"family":"Soria","given":"Jean-Charles"},{"family":"Golden","given":"Encouse"},{"family":"Formenti","given":"Silvia"},{"family":"Plebanski","given":"Magdalena"},{"family":"Madondo","given":"Mutsa"},{"family":"Rosenstiel","given":"Philip"},{"family":"Raoult","given":"Didier"},{"family":"Cattoir","given":"Vincent"},{"family":"Boneca","given":"Ivo Gomperts"},{"family":"Chamaillard","given":"Mathias"},{"family":"Zitvogel","given":"Laurence"}],"issued":{"date-parts":[["2016",10]]}}},{"id":462,"uris":["http://zotero.org/users/4113810/items/H3NTLY69"],"uri":["http://zotero.org/users/4113810/items/H3NTLY69"],"itemData":{"id":462,"type":"article-journal","title":"Commensal bacteria control cancer response to therapy by modulating the tumor microenvironment","container-title":"Science (New York, N.Y.)","page":"967-970","volume":"342","issue":"6161","source":"PubMed","abstract":"The gut microbiota influences both local and systemic inflammation. Inflammation contributes to development, progression, and treatment of cancer, but it remains unclear whether commensal bacteria affect inflammation in the sterile tumor microenvironment. Here, we show that disruption of the microbiota impairs the response of subcutaneous tumors to CpG-oligonucleotide immunotherapy and platinum chemotherapy. In antibiotics-treated or germ-free mice, tumor-infiltrating myeloid-derived cells responded poorly to therapy, resulting in lower cytokine production and tumor necrosis after CpG-oligonucleotide treatment and deficient production of reactive oxygen species and cytotoxicity after chemotherapy. Thus, optimal responses to cancer therapy require an intact commensal microbiota that mediates its effects by modulating myeloid-derived cell functions in the tumor microenvironment. These findings underscore the importance of the microbiota in the outcome of disease treatment.","DOI":"10.1126/science.1240527","ISSN":"1095-9203","note":"PMID: 24264989","journalAbbreviation":"Science","language":"eng","author":[{"family":"Iida","given":"Noriho"},{"family":"Dzutsev","given":"Amiran"},{"family":"Stewart","given":"C. Andrew"},{"family":"Smith","given":"Loretta"},{"family":"Bouladoux","given":"Nicolas"},{"family":"Weingarten","given":"Rebecca A."},{"family":"Molina","given":"Daniel A."},{"family":"Salcedo","given":"Rosalba"},{"family":"Back","given":"Timothy"},{"family":"Cramer","given":"Sarah"},{"family":"Dai","given":"Ren-Ming"},{"family":"Kiu","given":"Hiu"},{"family":"Cardone","given":"Marco"},{"family":"Naik","given":"Shruti"},{"family":"Patri","given":"Anil K."},{"family":"Wang","given":"Ena"},{"family":"Marincola","given":"Francesco M."},{"family":"Frank","given":"Karen M."},{"family":"Belkaid","given":"Yasmine"},{"family":"Trinchieri","given":"Giorgio"},{"family":"Goldszmid","given":"Romina S."}],"issued":{"date-parts":[["2013",11,22]]}}},{"id":544,"uris":["http://zotero.org/users/4113810/items/2ATLGBVI"],"uri":["http://zotero.org/users/4113810/items/2ATLGBVI"],"itemData":{"id":544,"type":"article-journal","title":"The impact of antibiotic usage on the efficacy of chemoimmunotherapy is contingent on the source of tumor-reactive T cells","container-title":"Oncotarget","page":"111931-111942","volume":"8","issue":"67","source":"PubMed","abstract":"In recent years the combined use of chemotherapy and immunotherapy, collectively termed chemoimmunotherapy, has emerged as a promising treatment option for patients with cancer. Antibiotics are commonly used to reduce infection-related complications in patients undergoing chemotherapy. Intriguingly, accumulating evidence has implicated gut microbiota as a critical determinant of host antitumor immune responses, raising the question as to whether the use of broad-spectrum antibiotics would invariably diminish tumor response to chemoimmunotherapies. We investigated the impact of antibiotics on the therapeutic outcomes of cyclophosphamide (CTX) chemotherapy and adoptive T-cell therapy (ACT) where CTX was used as the host-conditioning regimen in mice. We show that antibiotic prophylaxis dampened the endogenous T cell responses elicited by CTX, and reduced the efficacy of CTX against B-cell lymphoma. In the ACT setting, antibiotics administration impaired the therapeutic effects of adoptively transferred tumor-specific CD4+ T cells in mice with implanted colorectal tumors. In contrast, long-term antibiotic exposure did not affect the efficacy of ACT using CD19-targeting chimeric antigen receptor (CAR) T cells in mice with systemic B-cell lymphoma, although it correlated with prolonged CAR expression and sustained B-cell aplasia. Our study demonstrates that chemoimmunotherapies may have variable reliance on intestinal microbiota for T cell activation and function, and thus have different sensitivities to antibiotic prophylaxis. These findings may have implications for the judicial use of antibiotics in cancer patients receiving chemoimmunotherapies.","DOI":"10.18632/oncotarget.22953","ISSN":"1949-2553","note":"PMID: 29340102\nPMCID: PMC5762370","journalAbbreviation":"Oncotarget","language":"eng","author":[{"family":"Kuczma","given":"Michal P."},{"family":"Ding","given":"Zhi-Chun"},{"family":"Li","given":"Tao"},{"family":"Habtetsion","given":"Tsadik"},{"family":"Chen","given":"Tingting"},{"family":"Hao","given":"Zhonglin"},{"family":"Bryan","given":"Locke"},{"family":"Singh","given":"Nagendra"},{"family":"Kochenderfer","given":"James N."},{"family":"Zhou","given":"Gang"}],"issued":{"date-parts":[["2017",12,19]]}}},{"id":454,"uris":["http://zotero.org/users/4113810/items/NDKLPLUW"],"uri":["http://zotero.org/users/4113810/items/NDKLPLUW"],"itemData":{"id":454,"type":"article-journal","title":"The intestinal microbiota modulates the anticancer immune effects of cyclophosphamide","container-title":"Science (New York, N.Y.)","page":"971-976","volume":"342","issue":"6161","source":"PubMed","abstract":"Cyclophosphamide is one of several clinically important cancer drugs whose therapeutic efficacy is due in part to their ability to stimulate antitumor immune responses. Studying mouse models, we demonstrate that cyclophosphamide alters the composition of microbiota in the small intestine and induces the translocation of selected species of Gram-positive bacteria into secondary lymphoid organs. There, these bacteria stimulate the generation of a specific subset of \"pathogenic\" T helper 17 (pT(H)17) cells and memory T(H)1 immune responses. Tumor-bearing mice that were germ-free or that had been treated with antibiotics to kill Gram-positive bacteria showed a reduction in pT(H)17 responses, and their tumors were resistant to cyclophosphamide. Adoptive transfer of pT(H)17 cells partially restored the antitumor efficacy of cyclophosphamide. These results suggest that the gut microbiota help shape the anticancer immune response.","DOI":"10.1126/science.1240537","ISSN":"1095-9203","note":"PMID: 24264990\nPMCID: PMC4048947","journalAbbreviation":"Science","language":"eng","author":[{"family":"Viaud","given":"Sophie"},{"family":"Saccheri","given":"Fabiana"},{"family":"Mignot","given":"Grégoire"},{"family":"Yamazaki","given":"Takahiro"},{"family":"Daillère","given":"Romain"},{"family":"Hannani","given":"Dalil"},{"family":"Enot","given":"David P."},{"family":"Pfirschke","given":"Christina"},{"family":"Engblom","given":"Camilla"},{"family":"Pittet","given":"Mikael J."},{"family":"Schlitzer","given":"Andreas"},{"family":"Ginhoux","given":"Florent"},{"family":"Apetoh","given":"Lionel"},{"family":"Chachaty","given":"Elisabeth"},{"family":"Woerther","given":"Paul-Louis"},{"family":"Eberl","given":"Gérard"},{"family":"Bérard","given":"Marion"},{"family":"Ecobichon","given":"Chantal"},{"family":"Clermont","given":"Dominique"},{"family":"Bizet","given":"Chantal"},{"family":"Gaboriau-Routhiau","given":"Valérie"},{"family":"Cerf-Bensussan","given":"Nadine"},{"family":"Opolon","given":"Paule"},{"family":"Yessaad","given":"Nadia"},{"family":"Vivier","given":"Eric"},{"family":"Ryffel","given":"Bernhard"},{"family":"Elson","given":"Charles O."},{"family":"Doré","given":"Joël"},{"family":"Kroemer","given":"Guido"},{"family":"Lepage","given":"Patricia"},{"family":"Boneca","given":"Ivo Gomperts"},{"family":"Ghiringhelli","given":"François"},{"family":"Zitvogel","given":"Laurence"}],"issued":{"date-parts":[["2013",11,22]]}}},{"id":534,"uris":["http://zotero.org/users/4113810/items/YPMUY4EL"],"uri":["http://zotero.org/users/4113810/items/YPMUY4EL"],"itemData":{"id":534,"type":"article-journal","title":"Effects of cyclophosphamide on immune system and gut microbiota in mice","container-title":"Microbiological Research","page":"97-106","volume":"171","source":"PubMed","abstract":"Cyclophosphamide (CP) is the most commonly used drug in autoimmune disease, cancer, blood and marrow transplantation. Recent data revealed that therapy efficacy of CP is gut microbiota-dependent. So, it is very important to understand how CP affects intestinal microbiota and immune function. In this study, the effects of CP on mice immuno-activity were firstly evaluated, then, the fecal microbiota from normal and CP-treated mice was compared, and the characteristic bacterial diversity and compositions were identified, using 454 pyrosequencing technology. The results showed that CP reduced the diversity and shifted the fecal microbiota composition. Specifically, CP treatment decreased the proportion of Bacteroidetes while increased the proportion of Firmictutes in the microbial community. Most importantly, specific microbiota signatures belonging to Bacteroides acidifaciens, Streptococcaceae and Alistipes were also identified, which would provide new insight into the efficacy and side effects in clinical usage of CP. This should be helpful for further demonstration of CP's action mechanism, development of personalized therapy strategies, and prediction of potential side effects related to various treatment regimens of CP.","DOI":"10.1016/j.micres.2014.11.002","ISSN":"1618-0623","note":"PMID: 25553830","journalAbbreviation":"Microbiol. Res.","language":"eng","author":[{"family":"Xu","given":"Xiaofei"},{"family":"Zhang","given":"Xuewu"}],"issued":{"date-parts":[["2015",2]]}}}],"schema":"https://github.com/citation-style-language/schema/raw/master/csl-citation.json"} </w:instrText>
      </w:r>
      <w:r w:rsidR="00523FEF"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[223–227]</w:t>
      </w:r>
      <w:r w:rsidR="00523FEF" w:rsidRPr="00DB7074">
        <w:rPr>
          <w:rFonts w:ascii="Book Antiqua" w:hAnsi="Book Antiqua" w:cs="Times New Roman"/>
          <w:sz w:val="24"/>
          <w:szCs w:val="24"/>
        </w:rPr>
        <w:fldChar w:fldCharType="end"/>
      </w:r>
      <w:r w:rsidR="00523FEF" w:rsidRPr="00DB7074">
        <w:rPr>
          <w:rFonts w:ascii="Book Antiqua" w:hAnsi="Book Antiqua" w:cs="Times New Roman"/>
          <w:sz w:val="24"/>
          <w:szCs w:val="24"/>
        </w:rPr>
        <w:t xml:space="preserve">. Indeed, various pre-clinical </w:t>
      </w:r>
      <w:r w:rsidR="007D1CCE" w:rsidRPr="00DB7074">
        <w:rPr>
          <w:rFonts w:ascii="Book Antiqua" w:hAnsi="Book Antiqua" w:cs="Times New Roman"/>
          <w:sz w:val="24"/>
          <w:szCs w:val="24"/>
        </w:rPr>
        <w:t xml:space="preserve">mouse </w:t>
      </w:r>
      <w:r w:rsidR="00523FEF" w:rsidRPr="00DB7074">
        <w:rPr>
          <w:rFonts w:ascii="Book Antiqua" w:hAnsi="Book Antiqua" w:cs="Times New Roman"/>
          <w:sz w:val="24"/>
          <w:szCs w:val="24"/>
        </w:rPr>
        <w:t xml:space="preserve">models of subcutaneous </w:t>
      </w:r>
      <w:r w:rsidR="00507882" w:rsidRPr="00DB7074">
        <w:rPr>
          <w:rFonts w:ascii="Book Antiqua" w:hAnsi="Book Antiqua" w:cs="Times New Roman"/>
          <w:sz w:val="24"/>
          <w:szCs w:val="24"/>
        </w:rPr>
        <w:t>tumour</w:t>
      </w:r>
      <w:r w:rsidR="00523FEF" w:rsidRPr="00DB7074">
        <w:rPr>
          <w:rFonts w:ascii="Book Antiqua" w:hAnsi="Book Antiqua" w:cs="Times New Roman"/>
          <w:sz w:val="24"/>
          <w:szCs w:val="24"/>
        </w:rPr>
        <w:t xml:space="preserve">s (melanoma, lung cancer, sarcoma) </w:t>
      </w:r>
      <w:r w:rsidR="007D1CCE" w:rsidRPr="00DB7074">
        <w:rPr>
          <w:rFonts w:ascii="Book Antiqua" w:hAnsi="Book Antiqua" w:cs="Times New Roman"/>
          <w:sz w:val="24"/>
          <w:szCs w:val="24"/>
        </w:rPr>
        <w:t xml:space="preserve">have </w:t>
      </w:r>
      <w:r w:rsidR="00523FEF" w:rsidRPr="00DB7074">
        <w:rPr>
          <w:rFonts w:ascii="Book Antiqua" w:hAnsi="Book Antiqua" w:cs="Times New Roman"/>
          <w:sz w:val="24"/>
          <w:szCs w:val="24"/>
        </w:rPr>
        <w:t xml:space="preserve">suggested that specific crosstalk between bacteria and immune cells </w:t>
      </w:r>
      <w:r w:rsidR="007D1CCE" w:rsidRPr="00DB7074">
        <w:rPr>
          <w:rFonts w:ascii="Book Antiqua" w:hAnsi="Book Antiqua" w:cs="Times New Roman"/>
          <w:sz w:val="24"/>
          <w:szCs w:val="24"/>
        </w:rPr>
        <w:t xml:space="preserve">may </w:t>
      </w:r>
      <w:r w:rsidR="00523FEF" w:rsidRPr="00DB7074">
        <w:rPr>
          <w:rFonts w:ascii="Book Antiqua" w:hAnsi="Book Antiqua" w:cs="Times New Roman"/>
          <w:sz w:val="24"/>
          <w:szCs w:val="24"/>
        </w:rPr>
        <w:t xml:space="preserve">affect responses to </w:t>
      </w:r>
      <w:r w:rsidR="00507882" w:rsidRPr="00DB7074">
        <w:rPr>
          <w:rFonts w:ascii="Book Antiqua" w:hAnsi="Book Antiqua" w:cs="Times New Roman"/>
          <w:sz w:val="24"/>
          <w:szCs w:val="24"/>
        </w:rPr>
        <w:t>anticancer</w:t>
      </w:r>
      <w:r w:rsidR="00523FEF" w:rsidRPr="00DB7074">
        <w:rPr>
          <w:rFonts w:ascii="Book Antiqua" w:hAnsi="Book Antiqua" w:cs="Times New Roman"/>
          <w:sz w:val="24"/>
          <w:szCs w:val="24"/>
        </w:rPr>
        <w:t xml:space="preserve"> chemotherapies</w:t>
      </w:r>
      <w:r w:rsidR="00523FEF"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{"citationID":"MZPbtkV4","properties":{"formattedCitation":"\\super [223\\uc0\\u8211{}227]\\nosupersub{}","plainCitation":"[223–227]","noteIndex":0},"citationItems":[{"id":511,"uris":["http://zotero.org/users/4113810/items/JZBT6DQW"],"uri":["http://zotero.org/users/4113810/items/JZBT6DQW"],"itemData":{"id":511,"type":"article-journal","title":"Enterococcus hirae and Barnesiella intestinihominis Facilitate Cyclophosphamide-Induced Therapeutic Immunomodulatory Effects","container-title":"Immunity","page":"931-943","volume":"45","issue":"4","source":"CrossRef","DOI":"10.1016/j.immuni.2016.09.009","ISSN":"10747613","language":"en","author":[{"family":"Daillère","given":"Romain"},{"family":"Vétizou","given":"Marie"},{"family":"Waldschmitt","given":"Nadine"},{"family":"Yamazaki","given":"Takahiro"},{"family":"Isnard","given":"Christophe"},{"family":"Poirier-Colame","given":"Vichnou"},{"family":"Duong","given":"Connie P.M."},{"family":"Flament","given":"Caroline"},{"family":"Lepage","given":"Patricia"},{"family":"Roberti","given":"Maria Paula"},{"family":"Routy","given":"Bertrand"},{"family":"Jacquelot","given":"Nicolas"},{"family":"Apetoh","given":"Lionel"},{"family":"Becharef","given":"Sonia"},{"family":"Rusakiewicz","given":"Sylvie"},{"family":"Langella","given":"Philippe"},{"family":"Sokol","given":"Harry"},{"family":"Kroemer","given":"Guido"},{"family":"Enot","given":"David"},{"family":"Roux","given":"Antoine"},{"family":"Eggermont","given":"Alexander"},{"family":"Tartour","given":"Eric"},{"family":"Johannes","given":"Ludger"},{"family":"Woerther","given":"Paul-Louis"},{"family":"Chachaty","given":"Elisabeth"},{"family":"Soria","given":"Jean-Charles"},{"family":"Golden","given":"Encouse"},{"family":"Formenti","given":"Silvia"},{"family":"Plebanski","given":"Magdalena"},{"family":"Madondo","given":"Mutsa"},{"family":"Rosenstiel","given":"Philip"},{"family":"Raoult","given":"Didier"},{"family":"Cattoir","given":"Vincent"},{"family":"Boneca","given":"Ivo Gomperts"},{"family":"Chamaillard","given":"Mathias"},{"family":"Zitvogel","given":"Laurence"}],"issued":{"date-parts":[["2016",10]]}}},{"id":462,"uris":["http://zotero.org/users/4113810/items/H3NTLY69"],"uri":["http://zotero.org/users/4113810/items/H3NTLY69"],"itemData":{"id":462,"type":"article-journal","title":"Commensal bacteria control cancer response to therapy by modulating the tumor microenvironment","container-title":"Science (New York, N.Y.)","page":"967-970","volume":"342","issue":"6161","source":"PubMed","abstract":"The gut microbiota influences both local and systemic inflammation. Inflammation contributes to development, progression, and treatment of cancer, but it remains unclear whether commensal bacteria affect inflammation in the sterile tumor microenvironment. Here, we show that disruption of the microbiota impairs the response of subcutaneous tumors to CpG-oligonucleotide immunotherapy and platinum chemotherapy. In antibiotics-treated or germ-free mice, tumor-infiltrating myeloid-derived cells responded poorly to therapy, resulting in lower cytokine production and tumor necrosis after CpG-oligonucleotide treatment and deficient production of reactive oxygen species and cytotoxicity after chemotherapy. Thus, optimal responses to cancer therapy require an intact commensal microbiota that mediates its effects by modulating myeloid-derived cell functions in the tumor microenvironment. These findings underscore the importance of the microbiota in the outcome of disease treatment.","DOI":"10.1126/science.1240527","ISSN":"1095-9203","note":"PMID: 24264989","journalAbbreviation":"Science","language":"eng","author":[{"family":"Iida","given":"Noriho"},{"family":"Dzutsev","given":"Amiran"},{"family":"Stewart","given":"C. Andrew"},{"family":"Smith","given":"Loretta"},{"family":"Bouladoux","given":"Nicolas"},{"family":"Weingarten","given":"Rebecca A."},{"family":"Molina","given":"Daniel A."},{"family":"Salcedo","given":"Rosalba"},{"family":"Back","given":"Timothy"},{"family":"Cramer","given":"Sarah"},{"family":"Dai","given":"Ren-Ming"},{"family":"Kiu","given":"Hiu"},{"family":"Cardone","given":"Marco"},{"family":"Naik","given":"Shruti"},{"family":"Patri","given":"Anil K."},{"family":"Wang","given":"Ena"},{"family":"Marincola","given":"Francesco M."},{"family":"Frank","given":"Karen M."},{"family":"Belkaid","given":"Yasmine"},{"family":"Trinchieri","given":"Giorgio"},{"family":"Goldszmid","given":"Romina S."}],"issued":{"date-parts":[["2013",11,22]]}}},{"id":544,"uris":["http://zotero.org/users/4113810/items/2ATLGBVI"],"uri":["http://zotero.org/users/4113810/items/2ATLGBVI"],"itemData":{"id":544,"type":"article-journal","title":"The impact of antibiotic usage on the efficacy of chemoimmunotherapy is contingent on the source of tumor-reactive T cells","container-title":"Oncotarget","page":"111931-111942","volume":"8","issue":"67","source":"PubMed","abstract":"In recent years the combined use of chemotherapy and immunotherapy, collectively termed chemoimmunotherapy, has emerged as a promising treatment option for patients with cancer. Antibiotics are commonly used to reduce infection-related complications in patients undergoing chemotherapy. Intriguingly, accumulating evidence has implicated gut microbiota as a critical determinant of host antitumor immune responses, raising the question as to whether the use of broad-spectrum antibiotics would invariably diminish tumor response to chemoimmunotherapies. We investigated the impact of antibiotics on the therapeutic outcomes of cyclophosphamide (CTX) chemotherapy and adoptive T-cell therapy (ACT) where CTX was used as the host-conditioning regimen in mice. We show that antibiotic prophylaxis dampened the endogenous T cell responses elicited by CTX, and reduced the efficacy of CTX against B-cell lymphoma. In the ACT setting, antibiotics administration impaired the therapeutic effects of adoptively transferred tumor-specific CD4+ T cells in mice with implanted colorectal tumors. In contrast, long-term antibiotic exposure did not affect the efficacy of ACT using CD19-targeting chimeric antigen receptor (CAR) T cells in mice with systemic B-cell lymphoma, although it correlated with prolonged CAR expression and sustained B-cell aplasia. Our study demonstrates that chemoimmunotherapies may have variable reliance on intestinal microbiota for T cell activation and function, and thus have different sensitivities to antibiotic prophylaxis. These findings may have implications for the judicial use of antibiotics in cancer patients receiving chemoimmunotherapies.","DOI":"10.18632/oncotarget.22953","ISSN":"1949-2553","note":"PMID: 29340102\nPMCID: PMC5762370","journalAbbreviation":"Oncotarget","language":"eng","author":[{"family":"Kuczma","given":"Michal P."},{"family":"Ding","given":"Zhi-Chun"},{"family":"Li","given":"Tao"},{"family":"Habtetsion","given":"Tsadik"},{"family":"Chen","given":"Tingting"},{"family":"Hao","given":"Zhonglin"},{"family":"Bryan","given":"Locke"},{"family":"Singh","given":"Nagendra"},{"family":"Kochenderfer","given":"James N."},{"family":"Zhou","given":"Gang"}],"issued":{"date-parts":[["2017",12,19]]}}},{"id":454,"uris":["http://zotero.org/users/4113810/items/NDKLPLUW"],"uri":["http://zotero.org/users/4113810/items/NDKLPLUW"],"itemData":{"id":454,"type":"article-journal","title":"The intestinal microbiota modulates the anticancer immune effects of cyclophosphamide","container-title":"Science (New York, N.Y.)","page":"971-976","volume":"342","issue":"6161","source":"PubMed","abstract":"Cyclophosphamide is one of several clinically important cancer drugs whose therapeutic efficacy is due in part to their ability to stimulate antitumor immune responses. Studying mouse models, we demonstrate that cyclophosphamide alters the composition of microbiota in the small intestine and induces the translocation of selected species of Gram-positive bacteria into secondary lymphoid organs. There, these bacteria stimulate the generation of a specific subset of \"pathogenic\" T helper 17 (pT(H)17) cells and memory T(H)1 immune responses. Tumor-bearing mice that were germ-free or that had been treated with antibiotics to kill Gram-positive bacteria showed a reduction in pT(H)17 responses, and their tumors were resistant to cyclophosphamide. Adoptive transfer of pT(H)17 cells partially restored the antitumor efficacy of cyclophosphamide. These results suggest that the gut microbiota help shape the anticancer immune response.","DOI":"10.1126/science.1240537","ISSN":"1095-9203","note":"PMID: 24264990\nPMCID: PMC4048947","journalAbbreviation":"Science","language":"eng","author":[{"family":"Viaud","given":"Sophie"},{"family":"Saccheri","given":"Fabiana"},{"family":"Mignot","given":"Grégoire"},{"family":"Yamazaki","given":"Takahiro"},{"family":"Daillère","given":"Romain"},{"family":"Hannani","given":"Dalil"},{"family":"Enot","given":"David P."},{"family":"Pfirschke","given":"Christina"},{"family":"Engblom","given":"Camilla"},{"family":"Pittet","given":"Mikael J."},{"family":"Schlitzer","given":"Andreas"},{"family":"Ginhoux","given":"Florent"},{"family":"Apetoh","given":"Lionel"},{"family":"Chachaty","given":"Elisabeth"},{"family":"Woerther","given":"Paul-Louis"},{"family":"Eberl","given":"Gérard"},{"family":"Bérard","given":"Marion"},{"family":"Ecobichon","given":"Chantal"},{"family":"Clermont","given":"Dominique"},{"family":"Bizet","given":"Chantal"},{"family":"Gaboriau-Routhiau","given":"Valérie"},{"family":"Cerf-Bensussan","given":"Nadine"},{"family":"Opolon","given":"Paule"},{"family":"Yessaad","given":"Nadia"},{"family":"Vivier","given":"Eric"},{"family":"Ryffel","given":"Bernhard"},{"family":"Elson","given":"Charles O."},{"family":"Doré","given":"Joël"},{"family":"Kroemer","given":"Guido"},{"family":"Lepage","given":"Patricia"},{"family":"Boneca","given":"Ivo Gomperts"},{"family":"Ghiringhelli","given":"François"},{"family":"Zitvogel","given":"Laurence"}],"issued":{"date-parts":[["2013",11,22]]}}},{"id":534,"uris":["http://zotero.org/users/4113810/items/YPMUY4EL"],"uri":["http://zotero.org/users/4113810/items/YPMUY4EL"],"itemData":{"id":534,"type":"article-journal","title":"Effects of cyclophosphamide on immune system and gut microbiota in mice","container-title":"Microbiological Research","page":"97-106","volume":"171","source":"PubMed","abstract":"Cyclophosphamide (CP) is the most commonly used drug in autoimmune disease, cancer, blood and marrow transplantation. Recent data revealed that therapy efficacy of CP is gut microbiota-dependent. So, it is very important to understand how CP affects intestinal microbiota and immune function. In this study, the effects of CP on mice immuno-activity were firstly evaluated, then, the fecal microbiota from normal and CP-treated mice was compared, and the characteristic bacterial diversity and compositions were identified, using 454 pyrosequencing technology. The results showed that CP reduced the diversity and shifted the fecal microbiota composition. Specifically, CP treatment decreased the proportion of Bacteroidetes while increased the proportion of Firmictutes in the microbial community. Most importantly, specific microbiota signatures belonging to Bacteroides acidifaciens, Streptococcaceae and Alistipes were also identified, which would provide new insight into the efficacy and side effects in clinical usage of CP. This should be helpful for further demonstration of CP's action mechanism, development of personalized therapy strategies, and prediction of potential side effects related to various treatment regimens of CP.","DOI":"10.1016/j.micres.2014.11.002","ISSN":"1618-0623","note":"PMID: 25553830","journalAbbreviation":"Microbiol. Res.","language":"eng","author":[{"family":"Xu","given":"Xiaofei"},{"family":"Zhang","given":"Xuewu"}],"issued":{"date-parts":[["2015",2]]}}}],"schema":"https://github.com/citation-style-language/schema/raw/master/csl-citation.json"} </w:instrText>
      </w:r>
      <w:r w:rsidR="00523FEF"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[223–227]</w:t>
      </w:r>
      <w:r w:rsidR="00523FEF" w:rsidRPr="00DB7074">
        <w:rPr>
          <w:rFonts w:ascii="Book Antiqua" w:hAnsi="Book Antiqua" w:cs="Times New Roman"/>
          <w:sz w:val="24"/>
          <w:szCs w:val="24"/>
        </w:rPr>
        <w:fldChar w:fldCharType="end"/>
      </w:r>
      <w:r w:rsidR="00523FEF" w:rsidRPr="00DB7074">
        <w:rPr>
          <w:rFonts w:ascii="Book Antiqua" w:hAnsi="Book Antiqua" w:cs="Times New Roman"/>
          <w:sz w:val="24"/>
          <w:szCs w:val="24"/>
        </w:rPr>
        <w:t xml:space="preserve">. </w:t>
      </w:r>
      <w:r w:rsidR="007D1CCE" w:rsidRPr="00DB7074">
        <w:rPr>
          <w:rFonts w:ascii="Book Antiqua" w:hAnsi="Book Antiqua" w:cs="Times New Roman"/>
          <w:sz w:val="24"/>
          <w:szCs w:val="24"/>
        </w:rPr>
        <w:t>In terms of</w:t>
      </w:r>
      <w:r w:rsidR="00523FEF" w:rsidRPr="00DB7074">
        <w:rPr>
          <w:rFonts w:ascii="Book Antiqua" w:hAnsi="Book Antiqua" w:cs="Times New Roman"/>
          <w:sz w:val="24"/>
          <w:szCs w:val="24"/>
        </w:rPr>
        <w:t xml:space="preserve"> CRC</w:t>
      </w:r>
      <w:r w:rsidR="007D1CCE" w:rsidRPr="00DB7074">
        <w:rPr>
          <w:rFonts w:ascii="Book Antiqua" w:hAnsi="Book Antiqua" w:cs="Times New Roman"/>
          <w:sz w:val="24"/>
          <w:szCs w:val="24"/>
        </w:rPr>
        <w:t xml:space="preserve"> in particular</w:t>
      </w:r>
      <w:r w:rsidR="00523FEF" w:rsidRPr="00DB7074">
        <w:rPr>
          <w:rFonts w:ascii="Book Antiqua" w:hAnsi="Book Antiqua" w:cs="Times New Roman"/>
          <w:sz w:val="24"/>
          <w:szCs w:val="24"/>
        </w:rPr>
        <w:t xml:space="preserve">, the efficacy of oxaliplatin, </w:t>
      </w:r>
      <w:r w:rsidR="007D1CCE" w:rsidRPr="00DB7074">
        <w:rPr>
          <w:rFonts w:ascii="Book Antiqua" w:hAnsi="Book Antiqua" w:cs="Times New Roman"/>
          <w:sz w:val="24"/>
          <w:szCs w:val="24"/>
        </w:rPr>
        <w:t xml:space="preserve">which is </w:t>
      </w:r>
      <w:r w:rsidR="00523FEF" w:rsidRPr="00DB7074">
        <w:rPr>
          <w:rFonts w:ascii="Book Antiqua" w:hAnsi="Book Antiqua" w:cs="Times New Roman"/>
          <w:sz w:val="24"/>
          <w:szCs w:val="24"/>
        </w:rPr>
        <w:t>a drug routinely used for CRC</w:t>
      </w:r>
      <w:r w:rsidR="00F143FE" w:rsidRPr="00DB7074">
        <w:rPr>
          <w:rFonts w:ascii="Book Antiqua" w:hAnsi="Book Antiqua" w:cs="Times New Roman"/>
          <w:sz w:val="24"/>
          <w:szCs w:val="24"/>
        </w:rPr>
        <w:t xml:space="preserve"> treatment</w:t>
      </w:r>
      <w:r w:rsidR="00523FEF" w:rsidRPr="00DB7074">
        <w:rPr>
          <w:rFonts w:ascii="Book Antiqua" w:hAnsi="Book Antiqua" w:cs="Times New Roman"/>
          <w:sz w:val="24"/>
          <w:szCs w:val="24"/>
        </w:rPr>
        <w:t xml:space="preserve">, </w:t>
      </w:r>
      <w:r w:rsidR="007D1CCE" w:rsidRPr="00DB7074">
        <w:rPr>
          <w:rFonts w:ascii="Book Antiqua" w:hAnsi="Book Antiqua" w:cs="Times New Roman"/>
          <w:sz w:val="24"/>
          <w:szCs w:val="24"/>
        </w:rPr>
        <w:t xml:space="preserve">has been </w:t>
      </w:r>
      <w:r w:rsidR="00523FEF" w:rsidRPr="00DB7074">
        <w:rPr>
          <w:rFonts w:ascii="Book Antiqua" w:hAnsi="Book Antiqua" w:cs="Times New Roman"/>
          <w:sz w:val="24"/>
          <w:szCs w:val="24"/>
        </w:rPr>
        <w:t xml:space="preserve">shown to be strongly reinforced by gut microbiota in mice </w:t>
      </w:r>
      <w:r w:rsidR="007D1CCE" w:rsidRPr="00DB7074">
        <w:rPr>
          <w:rFonts w:ascii="Book Antiqua" w:hAnsi="Book Antiqua" w:cs="Times New Roman"/>
          <w:sz w:val="24"/>
          <w:szCs w:val="24"/>
        </w:rPr>
        <w:t xml:space="preserve">that were </w:t>
      </w:r>
      <w:r w:rsidR="00523FEF" w:rsidRPr="00DB7074">
        <w:rPr>
          <w:rFonts w:ascii="Book Antiqua" w:hAnsi="Book Antiqua" w:cs="Times New Roman"/>
          <w:sz w:val="24"/>
          <w:szCs w:val="24"/>
        </w:rPr>
        <w:t xml:space="preserve">transplanted with MC38 colorectal syngeneic </w:t>
      </w:r>
      <w:r w:rsidR="00507882" w:rsidRPr="00DB7074">
        <w:rPr>
          <w:rFonts w:ascii="Book Antiqua" w:hAnsi="Book Antiqua" w:cs="Times New Roman"/>
          <w:sz w:val="24"/>
          <w:szCs w:val="24"/>
        </w:rPr>
        <w:t>tumour</w:t>
      </w:r>
      <w:r w:rsidR="00523FEF" w:rsidRPr="00DB7074">
        <w:rPr>
          <w:rFonts w:ascii="Book Antiqua" w:hAnsi="Book Antiqua" w:cs="Times New Roman"/>
          <w:sz w:val="24"/>
          <w:szCs w:val="24"/>
        </w:rPr>
        <w:t>s, due to myeloid cells with increased anti-</w:t>
      </w:r>
      <w:r w:rsidR="00507882" w:rsidRPr="00DB7074">
        <w:rPr>
          <w:rFonts w:ascii="Book Antiqua" w:hAnsi="Book Antiqua" w:cs="Times New Roman"/>
          <w:sz w:val="24"/>
          <w:szCs w:val="24"/>
        </w:rPr>
        <w:t>tumour</w:t>
      </w:r>
      <w:r w:rsidR="00523FEF" w:rsidRPr="00DB7074">
        <w:rPr>
          <w:rFonts w:ascii="Book Antiqua" w:hAnsi="Book Antiqua" w:cs="Times New Roman"/>
          <w:sz w:val="24"/>
          <w:szCs w:val="24"/>
        </w:rPr>
        <w:t xml:space="preserve"> functions</w:t>
      </w:r>
      <w:r w:rsidR="00523FEF"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{"citationID":"asr2bira9c","properties":{"formattedCitation":"\\super [224]\\nosupersub{}","plainCitation":"[224]","noteIndex":0},"citationItems":[{"id":462,"uris":["http://zotero.org/users/4113810/items/H3NTLY69"],"uri":["http://zotero.org/users/4113810/items/H3NTLY69"],"itemData":{"id":462,"type":"article-journal","title":"Commensal bacteria control cancer response to therapy by modulating the tumor microenvironment","container-title":"Science (New York, N.Y.)","page":"967-970","volume":"342","issue":"6161","source":"PubMed","abstract":"The gut microbiota influences both local and systemic inflammation. Inflammation contributes to development, progression, and treatment of cancer, but it remains unclear whether commensal bacteria affect inflammation in the sterile tumor microenvironment. Here, we show that disruption of the microbiota impairs the response of subcutaneous tumors to CpG-oligonucleotide immunotherapy and platinum chemotherapy. In antibiotics-treated or germ-free mice, tumor-infiltrating myeloid-derived cells responded poorly to therapy, resulting in lower cytokine production and tumor necrosis after CpG-oligonucleotide treatment and deficient production of reactive oxygen species and cytotoxicity after chemotherapy. Thus, optimal responses to cancer therapy require an intact commensal microbiota that mediates its effects by modulating myeloid-derived cell functions in the tumor microenvironment. These findings underscore the importance of the microbiota in the outcome of disease treatment.","DOI":"10.1126/science.1240527","ISSN":"1095-9203","note":"PMID: 24264989","journalAbbreviation":"Science","language":"eng","author":[{"family":"Iida","given":"Noriho"},{"family":"Dzutsev","given":"Amiran"},{"family":"Stewart","given":"C. Andrew"},{"family":"Smith","given":"Loretta"},{"family":"Bouladoux","given":"Nicolas"},{"family":"Weingarten","given":"Rebecca A."},{"family":"Molina","given":"Daniel A."},{"family":"Salcedo","given":"Rosalba"},{"family":"Back","given":"Timothy"},{"family":"Cramer","given":"Sarah"},{"family":"Dai","given":"Ren-Ming"},{"family":"Kiu","given":"Hiu"},{"family":"Cardone","given":"Marco"},{"family":"Naik","given":"Shruti"},{"family":"Patri","given":"Anil K."},{"family":"Wang","given":"Ena"},{"family":"Marincola","given":"Francesco M."},{"family":"Frank","given":"Karen M."},{"family":"Belkaid","given":"Yasmine"},{"family":"Trinchieri","given":"Giorgio"},{"family":"Goldszmid","given":"Romina S."}],"issued":{"date-parts":[["2013",11,22]]}}}],"schema":"https://github.com/citation-style-language/schema/raw/master/csl-citation.json"} </w:instrText>
      </w:r>
      <w:r w:rsidR="00523FEF"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[224]</w:t>
      </w:r>
      <w:r w:rsidR="00523FEF" w:rsidRPr="00DB7074">
        <w:rPr>
          <w:rFonts w:ascii="Book Antiqua" w:hAnsi="Book Antiqua" w:cs="Times New Roman"/>
          <w:sz w:val="24"/>
          <w:szCs w:val="24"/>
        </w:rPr>
        <w:fldChar w:fldCharType="end"/>
      </w:r>
      <w:r w:rsidR="00523FEF" w:rsidRPr="00DB7074">
        <w:rPr>
          <w:rFonts w:ascii="Book Antiqua" w:hAnsi="Book Antiqua" w:cs="Times New Roman"/>
          <w:sz w:val="24"/>
          <w:szCs w:val="24"/>
        </w:rPr>
        <w:t xml:space="preserve">. In addition, </w:t>
      </w:r>
      <w:r w:rsidR="00F143FE" w:rsidRPr="00DB7074">
        <w:rPr>
          <w:rFonts w:ascii="Book Antiqua" w:hAnsi="Book Antiqua" w:cs="Times New Roman"/>
          <w:sz w:val="24"/>
          <w:szCs w:val="24"/>
        </w:rPr>
        <w:t>i</w:t>
      </w:r>
      <w:r w:rsidR="00523FEF" w:rsidRPr="00DB7074">
        <w:rPr>
          <w:rFonts w:ascii="Book Antiqua" w:hAnsi="Book Antiqua" w:cs="Times New Roman"/>
          <w:sz w:val="24"/>
          <w:szCs w:val="24"/>
        </w:rPr>
        <w:t xml:space="preserve">t </w:t>
      </w:r>
      <w:r w:rsidR="007D1CCE" w:rsidRPr="00DB7074">
        <w:rPr>
          <w:rFonts w:ascii="Book Antiqua" w:hAnsi="Book Antiqua" w:cs="Times New Roman"/>
          <w:sz w:val="24"/>
          <w:szCs w:val="24"/>
        </w:rPr>
        <w:t xml:space="preserve">has been </w:t>
      </w:r>
      <w:r w:rsidR="00523FEF" w:rsidRPr="00DB7074">
        <w:rPr>
          <w:rFonts w:ascii="Book Antiqua" w:hAnsi="Book Antiqua" w:cs="Times New Roman"/>
          <w:sz w:val="24"/>
          <w:szCs w:val="24"/>
        </w:rPr>
        <w:t xml:space="preserve">described </w:t>
      </w:r>
      <w:r w:rsidR="007D1CCE" w:rsidRPr="00DB7074">
        <w:rPr>
          <w:rFonts w:ascii="Book Antiqua" w:hAnsi="Book Antiqua" w:cs="Times New Roman"/>
          <w:sz w:val="24"/>
          <w:szCs w:val="24"/>
        </w:rPr>
        <w:t>that the</w:t>
      </w:r>
      <w:r w:rsidR="00CE6BBB" w:rsidRPr="00DB7074">
        <w:rPr>
          <w:rFonts w:ascii="Book Antiqua" w:hAnsi="Book Antiqua" w:cs="Times New Roman"/>
          <w:sz w:val="24"/>
          <w:szCs w:val="24"/>
        </w:rPr>
        <w:t xml:space="preserve"> </w:t>
      </w:r>
      <w:r w:rsidR="00523FEF" w:rsidRPr="00DB7074">
        <w:rPr>
          <w:rFonts w:ascii="Book Antiqua" w:hAnsi="Book Antiqua" w:cs="Times New Roman"/>
          <w:sz w:val="24"/>
          <w:szCs w:val="24"/>
        </w:rPr>
        <w:t>gut microbiota contributes to anti-</w:t>
      </w:r>
      <w:r w:rsidR="00507882" w:rsidRPr="00DB7074">
        <w:rPr>
          <w:rFonts w:ascii="Book Antiqua" w:hAnsi="Book Antiqua" w:cs="Times New Roman"/>
          <w:sz w:val="24"/>
          <w:szCs w:val="24"/>
        </w:rPr>
        <w:t>tumour</w:t>
      </w:r>
      <w:r w:rsidR="00523FEF" w:rsidRPr="00DB7074">
        <w:rPr>
          <w:rFonts w:ascii="Book Antiqua" w:hAnsi="Book Antiqua" w:cs="Times New Roman"/>
          <w:sz w:val="24"/>
          <w:szCs w:val="24"/>
        </w:rPr>
        <w:t xml:space="preserve"> functions of adoptively transferred T cells in several models, including colorectal </w:t>
      </w:r>
      <w:r w:rsidR="00507882" w:rsidRPr="00DB7074">
        <w:rPr>
          <w:rFonts w:ascii="Book Antiqua" w:hAnsi="Book Antiqua" w:cs="Times New Roman"/>
          <w:sz w:val="24"/>
          <w:szCs w:val="24"/>
        </w:rPr>
        <w:t>tumour</w:t>
      </w:r>
      <w:r w:rsidR="007D1CCE" w:rsidRPr="00DB7074">
        <w:rPr>
          <w:rFonts w:ascii="Book Antiqua" w:hAnsi="Book Antiqua" w:cs="Times New Roman"/>
          <w:sz w:val="24"/>
          <w:szCs w:val="24"/>
        </w:rPr>
        <w:t>s</w:t>
      </w:r>
      <w:r w:rsidR="00523FEF" w:rsidRPr="00DB7074">
        <w:rPr>
          <w:rFonts w:ascii="Book Antiqua" w:hAnsi="Book Antiqua" w:cs="Times New Roman"/>
          <w:sz w:val="24"/>
          <w:szCs w:val="24"/>
        </w:rPr>
        <w:t xml:space="preserve"> implanted</w:t>
      </w:r>
      <w:r w:rsidR="007D1CCE" w:rsidRPr="00DB7074">
        <w:rPr>
          <w:rFonts w:ascii="Book Antiqua" w:hAnsi="Book Antiqua" w:cs="Times New Roman"/>
          <w:sz w:val="24"/>
          <w:szCs w:val="24"/>
        </w:rPr>
        <w:t xml:space="preserve"> in</w:t>
      </w:r>
      <w:r w:rsidR="00523FEF" w:rsidRPr="00DB7074">
        <w:rPr>
          <w:rFonts w:ascii="Book Antiqua" w:hAnsi="Book Antiqua" w:cs="Times New Roman"/>
          <w:sz w:val="24"/>
          <w:szCs w:val="24"/>
        </w:rPr>
        <w:t xml:space="preserve"> mice</w:t>
      </w:r>
      <w:r w:rsidR="00523FEF"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{"citationID":"a1a1536fnio","properties":{"formattedCitation":"\\super [225,228,229]\\nosupersub{}","plainCitation":"[225,228,229]","noteIndex":0},"citationItems":[{"id":596,"uris":["http://zotero.org/users/4113810/items/F6PEJU4M"],"uri":["http://zotero.org/users/4113810/items/F6PEJU4M"],"itemData":{"id":596,"type":"article-journal","title":"Microbial translocation augments the function of adoptively transferred self/tumor-specific CD8+ T cells via TLR4 signaling","container-title":"Journal of Clinical Investigation","page":"2197-2204","volume":"117","issue":"8","source":"CrossRef","DOI":"10.1172/JCI32205","ISSN":"0021-9738","language":"en","author":[{"family":"Paulos","given":"Chrystal M."},{"family":"Wrzesinski","given":"Claudia"},{"family":"Kaiser,","given":"Andrew"},{"family":"Hinrichs","given":"Christian S."},{"family":"Chieppa","given":"Marcello"},{"family":"Cassard","given":"Lydie"},{"family":"Palmer","given":"Douglas C."},{"family":"Boni","given":"Andrea"},{"family":"Muranski","given":"Pawel"},{"family":"Yu","given":"Zhiya"},{"family":"Gattinoni","given":"Luca"},{"family":"Antony","given":"Paul A."},{"family":"Rosenberg","given":"Steven A."},{"family":"Restifo","given":"Nicholas P."}],"issued":{"date-parts":[["2007",8,1]]}}},{"id":595,"uris":["http://zotero.org/users/4113810/items/S8GLMYUL"],"uri":["http://zotero.org/users/4113810/items/S8GLMYUL"],"itemData":{"id":595,"type":"article-journal","title":"Gut microbiota modulates adoptive cell therapy via CD8α dendritic cells and IL-12","container-title":"JCI Insight","volume":"3","issue":"4","source":"CrossRef","URL":"https://insight.jci.org/articles/view/94952","DOI":"10.1172/jci.insight.94952","ISSN":"2379-3708","language":"en","author":[{"family":"Uribe-Herranz","given":"Mireia"},{"family":"Bittinger","given":"Kyle"},{"family":"Rafail","given":"Stavros"},{"family":"Guedan","given":"Sonia"},{"family":"Pierini","given":"Stefano"},{"family":"Tanes","given":"Ceylan"},{"family":"Ganetsky","given":"Alex"},{"family":"Morgan","given":"Mark A."},{"family":"Gill","given":"Saar"},{"family":"Tanyi","given":"Janos L."},{"family":"Bushman","given":"Frederic D."},{"family":"June","given":"Carl H."},{"family":"Facciabene","given":"Andrea"}],"issued":{"date-parts":[["2018",2,22]]},"accessed":{"date-parts":[["2018",3,8]]}}},{"id":544,"uris":["http://zotero.org/users/4113810/items/2ATLGBVI"],"uri":["http://zotero.org/users/4113810/items/2ATLGBVI"],"itemData":{"id":544,"type":"article-journal","title":"The impact of antibiotic usage on the efficacy of chemoimmunotherapy is contingent on the source of tumor-reactive T cells","container-title":"Oncotarget","page":"111931-111942","volume":"8","issue":"67","source":"PubMed","abstract":"In recent years the combined use of chemotherapy and immunotherapy, collectively termed chemoimmunotherapy, has emerged as a promising treatment option for patients with cancer. Antibiotics are commonly used to reduce infection-related complications in patients undergoing chemotherapy. Intriguingly, accumulating evidence has implicated gut microbiota as a critical determinant of host antitumor immune responses, raising the question as to whether the use of broad-spectrum antibiotics would invariably diminish tumor response to chemoimmunotherapies. We investigated the impact of antibiotics on the therapeutic outcomes of cyclophosphamide (CTX) chemotherapy and adoptive T-cell therapy (ACT) where CTX was used as the host-conditioning regimen in mice. We show that antibiotic prophylaxis dampened the endogenous T cell responses elicited by CTX, and reduced the efficacy of CTX against B-cell lymphoma. In the ACT setting, antibiotics administration impaired the therapeutic effects of adoptively transferred tumor-specific CD4+ T cells in mice with implanted colorectal tumors. In contrast, long-term antibiotic exposure did not affect the efficacy of ACT using CD19-targeting chimeric antigen receptor (CAR) T cells in mice with systemic B-cell lymphoma, although it correlated with prolonged CAR expression and sustained B-cell aplasia. Our study demonstrates that chemoimmunotherapies may have variable reliance on intestinal microbiota for T cell activation and function, and thus have different sensitivities to antibiotic prophylaxis. These findings may have implications for the judicial use of antibiotics in cancer patients receiving chemoimmunotherapies.","DOI":"10.18632/oncotarget.22953","ISSN":"1949-2553","note":"PMID: 29340102\nPMCID: PMC5762370","journalAbbreviation":"Oncotarget","language":"eng","author":[{"family":"Kuczma","given":"Michal P."},{"family":"Ding","given":"Zhi-Chun"},{"family":"Li","given":"Tao"},{"family":"Habtetsion","given":"Tsadik"},{"family":"Chen","given":"Tingting"},{"family":"Hao","given":"Zhonglin"},{"family":"Bryan","given":"Locke"},{"family":"Singh","given":"Nagendra"},{"family":"Kochenderfer","given":"James N."},{"family":"Zhou","given":"Gang"}],"issued":{"date-parts":[["2017",12,19]]}}}],"schema":"https://github.com/citation-style-language/schema/raw/master/csl-citation.json"} </w:instrText>
      </w:r>
      <w:r w:rsidR="00523FEF"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[225,228,229]</w:t>
      </w:r>
      <w:r w:rsidR="00523FEF" w:rsidRPr="00DB7074">
        <w:rPr>
          <w:rFonts w:ascii="Book Antiqua" w:hAnsi="Book Antiqua" w:cs="Times New Roman"/>
          <w:sz w:val="24"/>
          <w:szCs w:val="24"/>
        </w:rPr>
        <w:fldChar w:fldCharType="end"/>
      </w:r>
      <w:r w:rsidR="00355AB0" w:rsidRPr="00DB7074">
        <w:rPr>
          <w:rFonts w:ascii="Book Antiqua" w:hAnsi="Book Antiqua" w:cs="Times New Roman"/>
          <w:sz w:val="24"/>
          <w:szCs w:val="24"/>
        </w:rPr>
        <w:t>. This suggest</w:t>
      </w:r>
      <w:r w:rsidR="007D1CCE" w:rsidRPr="00DB7074">
        <w:rPr>
          <w:rFonts w:ascii="Book Antiqua" w:hAnsi="Book Antiqua" w:cs="Times New Roman"/>
          <w:sz w:val="24"/>
          <w:szCs w:val="24"/>
        </w:rPr>
        <w:t>s</w:t>
      </w:r>
      <w:r w:rsidR="00523FEF" w:rsidRPr="00DB7074">
        <w:rPr>
          <w:rFonts w:ascii="Book Antiqua" w:hAnsi="Book Antiqua" w:cs="Times New Roman"/>
          <w:sz w:val="24"/>
          <w:szCs w:val="24"/>
        </w:rPr>
        <w:t xml:space="preserve"> that </w:t>
      </w:r>
      <w:r w:rsidR="007D1CCE" w:rsidRPr="00DB7074">
        <w:rPr>
          <w:rFonts w:ascii="Book Antiqua" w:hAnsi="Book Antiqua" w:cs="Times New Roman"/>
          <w:sz w:val="24"/>
          <w:szCs w:val="24"/>
        </w:rPr>
        <w:t xml:space="preserve">the </w:t>
      </w:r>
      <w:r w:rsidR="00523FEF" w:rsidRPr="00DB7074">
        <w:rPr>
          <w:rFonts w:ascii="Book Antiqua" w:hAnsi="Book Antiqua" w:cs="Times New Roman"/>
          <w:sz w:val="24"/>
          <w:szCs w:val="24"/>
        </w:rPr>
        <w:t>patient</w:t>
      </w:r>
      <w:r w:rsidR="007D1CCE" w:rsidRPr="00DB7074">
        <w:rPr>
          <w:rFonts w:ascii="Book Antiqua" w:hAnsi="Book Antiqua" w:cs="Times New Roman"/>
          <w:sz w:val="24"/>
          <w:szCs w:val="24"/>
        </w:rPr>
        <w:t>s’</w:t>
      </w:r>
      <w:r w:rsidR="00523FEF" w:rsidRPr="00DB7074">
        <w:rPr>
          <w:rFonts w:ascii="Book Antiqua" w:hAnsi="Book Antiqua" w:cs="Times New Roman"/>
          <w:sz w:val="24"/>
          <w:szCs w:val="24"/>
        </w:rPr>
        <w:t xml:space="preserve"> microbiota should also be taken into account in future clinical studies involving infusion of autologous </w:t>
      </w:r>
      <w:r w:rsidR="00507882" w:rsidRPr="00DB7074">
        <w:rPr>
          <w:rFonts w:ascii="Book Antiqua" w:hAnsi="Book Antiqua" w:cs="Times New Roman"/>
          <w:sz w:val="24"/>
          <w:szCs w:val="24"/>
        </w:rPr>
        <w:t>anticancer</w:t>
      </w:r>
      <w:r w:rsidR="00523FEF" w:rsidRPr="00DB7074">
        <w:rPr>
          <w:rFonts w:ascii="Book Antiqua" w:hAnsi="Book Antiqua" w:cs="Times New Roman"/>
          <w:sz w:val="24"/>
          <w:szCs w:val="24"/>
        </w:rPr>
        <w:t xml:space="preserve"> T cells.</w:t>
      </w:r>
    </w:p>
    <w:p w14:paraId="020E40C6" w14:textId="582E0CAB" w:rsidR="00523FEF" w:rsidRPr="00DB7074" w:rsidRDefault="00523FEF" w:rsidP="00C43CFB">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DB7074">
        <w:rPr>
          <w:rFonts w:ascii="Book Antiqua" w:hAnsi="Book Antiqua" w:cs="Times New Roman"/>
          <w:sz w:val="24"/>
          <w:szCs w:val="24"/>
        </w:rPr>
        <w:t>Immune checkpoint therapies are often used in association with chemotherapies and can also be positively or negatively impacted by</w:t>
      </w:r>
      <w:r w:rsidR="007D1CCE" w:rsidRPr="00DB7074">
        <w:rPr>
          <w:rFonts w:ascii="Book Antiqua" w:hAnsi="Book Antiqua" w:cs="Times New Roman"/>
          <w:sz w:val="24"/>
          <w:szCs w:val="24"/>
        </w:rPr>
        <w:t xml:space="preserve"> the</w:t>
      </w:r>
      <w:r w:rsidRPr="00DB7074">
        <w:rPr>
          <w:rFonts w:ascii="Book Antiqua" w:hAnsi="Book Antiqua" w:cs="Times New Roman"/>
          <w:sz w:val="24"/>
          <w:szCs w:val="24"/>
        </w:rPr>
        <w:t xml:space="preserve"> gut microbiota in terms of toxicity</w:t>
      </w:r>
      <w:r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{"citationID":"ad1nl8a192","properties":{"formattedCitation":"\\super [230\\uc0\\u8211{}233]\\nosupersub{}","plainCitation":"[230–233]","noteIndex":0},"citationItems":[{"id":36,"uris":["http://zotero.org/users/4113810/items/BTVJWKVX"],"uri":["http://zotero.org/users/4113810/items/BTVJWKVX"],"itemData":{"id":36,"type":"article-journal","title":"Inflammatory bowel disease and cancer response due to anti-CTLA-4: is it in the flora?","container-title":"Seminars in Immunopathology","page":"327-331","volume":"39","issue":"3","source":"PubMed","abstract":"Checkpoint inhibitors blocking CTLA-4 (ipilimumab) and PD-1 (nivolumab, pembrolizumab) have transfigured our cancer treatment paradigm. However, these drugs can induce immune-related adverse events that share clinical and pathological characteristics with immune-mediated diseases. One of the most severe immune-related adverse event observed with anti-CTLA-4 is an enterocolitis that mirrors naturally occurring inflammatory bowel disease. This paper reviews the clinical, immunological, and microbiota data associated with the immune-related enterocolitis induced by the cancer immunotherapy blocking CTLA-4, ipilimumab. A parallel analysis of the mechanisms underlying inflammatory bowel diseases on the one hand, and anti-CTLA-4-induced colitis on the other hand, stresses the crucial role of the gut microbiota and of resident Treg in the genesis of both iatrogenic and spontaneous inflammatory bowel diseases.","DOI":"10.1007/s00281-016-0613-x","ISSN":"1863-2300","note":"PMID: 28093620","shortTitle":"Inflammatory bowel disease and cancer response due to anti-CTLA-4","journalAbbreviation":"Semin Immunopathol","language":"eng","author":[{"family":"Carbonnel","given":"Franck"},{"family":"Soularue","given":"Emilie"},{"family":"Coutzac","given":"Clélia"},{"family":"Chaput","given":"Nathalie"},{"family":"Mateus","given":"Christine"},{"family":"Lepage","given":"Patricia"},{"family":"Robert","given":"Caroline"}],"issued":{"date-parts":[["2017",4]]}}},{"id":445,"uris":["http://zotero.org/users/4113810/items/ICN8QW4Q"],"uri":["http://zotero.org/users/4113810/items/ICN8QW4Q"],"itemData":{"id":445,"type":"article-journal","title":"Baseline gut microbiota predicts clinical response and colitis in metastatic melanoma patients treated with ipilimumab","container-title":"Annals of Oncology","page":"1368-1379","volume":"28","issue":"6","source":"CrossRef","DOI":"10.1093/annonc/mdx108","ISSN":"0923-7534, 1569-8041","language":"en","author":[{"family":"Chaput","given":"N."},{"family":"Lepage","given":"P."},{"family":"Coutzac","given":"C."},{"family":"Soularue","given":"E."},{"family":"Le Roux","given":"K."},{"family":"Monot","given":"C."},{"family":"Boselli","given":"L."},{"family":"Routier","given":"E."},{"family":"Cassard","given":"L."},{"family":"Collins","given":"M."},{"family":"Vaysse","given":"T."},{"family":"Marthey","given":"L."},{"family":"Eggermont","given":"A."},{"family":"Asvatourian","given":"V."},{"family":"Lanoy","given":"E."},{"family":"Mateus","given":"C."},{"family":"Robert","given":"C."},{"family":"Carbonnel","given":"F."}],"issued":{"date-parts":[["2017",6]]}}},{"id":526,"uris":["http://zotero.org/users/4113810/items/BBVG78IG"],"uri":["http://zotero.org/users/4113810/items/BBVG78IG"],"itemData":{"id":526,"type":"article-journal","title":"Intestinal microbiome analyses identify melanoma patients at risk for checkpoint-blockade-induced colitis","container-title":"Nature Communications","volume":"7","source":"PubMed Central","abstract":"The composition of the intestinal microbiota influences the development of inflammatory disorders. However, associating inflammatory diseases with specific microbial members of the microbiota is challenging, because clinically detectable inflammation and its treatment can alter the microbiota's composition. Immunologic checkpoint blockade with ipilimumab, a monoclonal antibody that blocks cytotoxic T-lymphocyte-associated antigen-4 (CTLA-4) signalling, is associated with new-onset, immune-mediated colitis. Here we conduct a prospective study of patients with metastatic melanoma undergoing ipilimumab treatment and correlate the pre-inflammation faecal microbiota and microbiome composition with subsequent colitis development. We demonstrate that increased representation of bacteria belonging to the Bacteroidetes phylum is correlated with resistance to the development of checkpoint-blockade-induced colitis. Furthermore, a paucity of genetic pathways involved in polyamine transport and B vitamin biosynthesis is associated with an increased risk of colitis. Identification of these biomarkers may enable interventions to reduce the risk of inflammatory complications following cancer immunotherapy., \nA subset of cancer patients treated with immune checkpoint blockade develops colitis. Here the authors show that lower abundance of Bacteroidetes and vitamin B biosynthetic modules in fecal samples of melanoma patients can predict their susceptibility to colitis following anti-CTLA-4 treatment.","URL":"https://www.ncbi.nlm.nih.gov/pmc/articles/PMC4740747/","DOI":"10.1038/ncomms10391","ISSN":"2041-1723","note":"PMID: 26837003\nPMCID: PMC4740747","journalAbbreviation":"Nat Commun","author":[{"family":"Dubin","given":"Krista"},{"family":"Callahan","given":"Margaret K."},{"family":"Ren","given":"Boyu"},{"family":"Khanin","given":"Raya"},{"family":"Viale","given":"Agnes"},{"family":"Ling","given":"Lilan"},{"family":"No","given":"Daniel"},{"family":"Gobourne","given":"Asia"},{"family":"Littmann","given":"Eric"},{"family":"Huttenhower","given":"Curtis"},{"family":"Pamer","given":"Eric G."},{"family":"Wolchok","given":"Jedd D."}],"issued":{"date-parts":[["2016",2,2]]},"accessed":{"date-parts":[["2018",3,1]]}}},{"id":447,"uris":["http://zotero.org/users/4113810/items/SS2H8HYU"],"uri":["http://zotero.org/users/4113810/items/SS2H8HYU"],"itemData":{"id":447,"type":"article-journal","title":"Anticancer immunotherapy by CTLA-4 blockade relies on the gut microbiota","container-title":"Science","page":"1079-1084","volume":"350","issue":"6264","source":"CrossRef","DOI":"10.1126/science.aad1329","ISSN":"0036-8075, 1095-9203","language":"en","author":[{"family":"Vetizou","given":"M."},{"family":"Pitt","given":"J. M."},{"family":"Daillere","given":"R."},{"family":"Lepage","given":"P."},{"family":"Waldschmitt","given":"N."},{"family":"Flament","given":"C."},{"family":"Rusakiewicz","given":"S."},{"family":"Routy","given":"B."},{"family":"Roberti","given":"M. P."},{"family":"Duong","given":"C. P. M."},{"family":"Poirier-Colame","given":"V."},{"family":"Roux","given":"A."},{"family":"Becharef","given":"S."},{"family":"Formenti","given":"S."},{"family":"Golden","given":"E."},{"family":"Cording","given":"S."},{"family":"Eberl","given":"G."},{"family":"Schlitzer","given":"A."},{"family":"Ginhoux","given":"F."},{"family":"Mani","given":"S."},{"family":"Yamazaki","given":"T."},{"family":"Jacquelot","given":"N."},{"family":"Enot","given":"D. P."},{"family":"Berard","given":"M."},{"family":"Nigou","given":"J."},{"family":"Opolon","given":"P."},{"family":"Eggermont","given":"A."},{"family":"Woerther","given":"P.-L."},{"family":"Chachaty","given":"E."},{"family":"Chaput","given":"N."},{"family":"Robert","given":"C."},{"family":"Mateus","given":"C."},{"family":"Kroemer","given":"G."},{"family":"Raoult","given":"D."},{"family":"Boneca","given":"I. G."},{"family":"Carbonnel","given":"F."},{"family":"Chamaillard","given":"M."},{"family":"Zitvogel","given":"L."}],"issued":{"date-parts":[["2015",11,27]]}}}],"schema":"https://github.com/citation-style-language/schema/raw/master/csl-citation.json"} </w:instrText>
      </w:r>
      <w:r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[230–233]</w:t>
      </w:r>
      <w:r w:rsidRPr="00DB7074">
        <w:rPr>
          <w:rFonts w:ascii="Book Antiqua" w:hAnsi="Book Antiqua" w:cs="Times New Roman"/>
          <w:sz w:val="24"/>
          <w:szCs w:val="24"/>
        </w:rPr>
        <w:fldChar w:fldCharType="end"/>
      </w:r>
      <w:r w:rsidRPr="00DB7074">
        <w:rPr>
          <w:rFonts w:ascii="Book Antiqua" w:hAnsi="Book Antiqua" w:cs="Times New Roman"/>
          <w:sz w:val="24"/>
          <w:szCs w:val="24"/>
        </w:rPr>
        <w:t xml:space="preserve"> and therapeutic effect, as shown for anti-CTLA-4</w:t>
      </w:r>
      <w:r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{"citationID":"a1jfvt6u6la","properties":{"formattedCitation":"\\super [231,233]\\nosupersub{}","plainCitation":"[231,233]","noteIndex":0},"citationItems":[{"id":445,"uris":["http://zotero.org/users/4113810/items/ICN8QW4Q"],"uri":["http://zotero.org/users/4113810/items/ICN8QW4Q"],"itemData":{"id":445,"type":"article-journal","title":"Baseline gut microbiota predicts clinical response and colitis in metastatic melanoma patients treated with ipilimumab","container-title":"Annals of Oncology","page":"1368-1379","volume":"28","issue":"6","source":"CrossRef","DOI":"10.1093/annonc/mdx108","ISSN":"0923-7534, 1569-8041","language":"en","author":[{"family":"Chaput","given":"N."},{"family":"Lepage","given":"P."},{"family":"Coutzac","given":"C."},{"family":"Soularue","given":"E."},{"family":"Le Roux","given":"K."},{"family":"Monot","given":"C."},{"family":"Boselli","given":"L."},{"family":"Routier","given":"E."},{"family":"Cassard","given":"L."},{"family":"Collins","given":"M."},{"family":"Vaysse","given":"T."},{"family":"Marthey","given":"L."},{"family":"Eggermont","given":"A."},{"family":"Asvatourian","given":"V."},{"family":"Lanoy","given":"E."},{"family":"Mateus","given":"C."},{"family":"Robert","given":"C."},{"family":"Carbonnel","given":"F."}],"issued":{"date-parts":[["2017",6]]}}},{"id":447,"uris":["http://zotero.org/users/4113810/items/SS2H8HYU"],"uri":["http://zotero.org/users/4113810/items/SS2H8HYU"],"itemData":{"id":447,"type":"article-journal","title":"Anticancer immunotherapy by CTLA-4 blockade relies on the gut microbiota","container-title":"Science","page":"1079-1084","volume":"350","issue":"6264","source":"CrossRef","DOI":"10.1126/science.aad1329","ISSN":"0036-8075, 1095-9203","language":"en","author":[{"family":"Vetizou","given":"M."},{"family":"Pitt","given":"J. M."},{"family":"Daillere","given":"R."},{"family":"Lepage","given":"P."},{"family":"Waldschmitt","given":"N."},{"family":"Flament","given":"C."},{"family":"Rusakiewicz","given":"S."},{"family":"Routy","given":"B."},{"family":"Roberti","given":"M. P."},{"family":"Duong","given":"C. P. M."},{"family":"Poirier-Colame","given":"V."},{"family":"Roux","given":"A."},{"family":"Becharef","given":"S."},{"family":"Formenti","given":"S."},{"family":"Golden","given":"E."},{"family":"Cording","given":"S."},{"family":"Eberl","given":"G."},{"family":"Schlitzer","given":"A."},{"family":"Ginhoux","given":"F."},{"family":"Mani","given":"S."},{"family":"Yamazaki","given":"T."},{"family":"Jacquelot","given":"N."},{"family":"Enot","given":"D. P."},{"family":"Berard","given":"M."},{"family":"Nigou","given":"J."},{"family":"Opolon","given":"P."},{"family":"Eggermont","given":"A."},{"family":"Woerther","given":"P.-L."},{"family":"Chachaty","given":"E."},{"family":"Chaput","given":"N."},{"family":"Robert","given":"C."},{"family":"Mateus","given":"C."},{"family":"Kroemer","given":"G."},{"family":"Raoult","given":"D."},{"family":"Boneca","given":"I. G."},{"family":"Carbonnel","given":"F."},{"family":"Chamaillard","given":"M."},{"family":"Zitvogel","given":"L."}],"issued":{"date-parts":[["2015",11,27]]}}}],"schema":"https://github.com/citation-style-language/schema/raw/master/csl-citation.json"} </w:instrText>
      </w:r>
      <w:r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[231,233]</w:t>
      </w:r>
      <w:r w:rsidRPr="00DB7074">
        <w:rPr>
          <w:rFonts w:ascii="Book Antiqua" w:hAnsi="Book Antiqua" w:cs="Times New Roman"/>
          <w:sz w:val="24"/>
          <w:szCs w:val="24"/>
        </w:rPr>
        <w:fldChar w:fldCharType="end"/>
      </w:r>
      <w:r w:rsidRPr="00DB7074">
        <w:rPr>
          <w:rFonts w:ascii="Book Antiqua" w:hAnsi="Book Antiqua" w:cs="Times New Roman"/>
          <w:sz w:val="24"/>
          <w:szCs w:val="24"/>
        </w:rPr>
        <w:t>, anti-PD</w:t>
      </w:r>
      <w:r w:rsidR="00F143FE" w:rsidRPr="00DB7074">
        <w:rPr>
          <w:rFonts w:ascii="Book Antiqua" w:hAnsi="Book Antiqua" w:cs="Times New Roman"/>
          <w:sz w:val="24"/>
          <w:szCs w:val="24"/>
        </w:rPr>
        <w:t>-</w:t>
      </w:r>
      <w:r w:rsidRPr="00DB7074">
        <w:rPr>
          <w:rFonts w:ascii="Book Antiqua" w:hAnsi="Book Antiqua" w:cs="Times New Roman"/>
          <w:sz w:val="24"/>
          <w:szCs w:val="24"/>
        </w:rPr>
        <w:t>L1</w:t>
      </w:r>
      <w:r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{"citationID":"a1oveegt5jo","properties":{"formattedCitation":"\\super [234]\\nosupersub{}","plainCitation":"[234]","noteIndex":0},"citationItems":[{"id":46,"uris":["http://zotero.org/users/4113810/items/F4MHC9VA"],"uri":["http://zotero.org/users/4113810/items/F4MHC9VA"],"itemData":{"id":46,"type":"article-journal","title":"Commensal Bifidobacterium promotes antitumor immunity and facilitates anti-PD-L1 efficacy","container-title":"Science (New York, N.Y.)","page":"1084-1089","volume":"350","issue":"6264","source":"PubMed","abstract":"T cell infiltration of solid tumors is associated with favorable patient outcomes, yet the mechanisms underlying variable immune responses between individuals are not well understood. One possible modulator could be the intestinal microbiota. We compared melanoma growth in mice harboring distinct commensal microbiota and observed differences in spontaneous antitumor immunity, which were eliminated upon cohousing or after fecal transfer. Sequencing of the 16S ribosomal RNA identified Bifidobacterium as associated with the antitumor effects. Oral administration of Bifidobacterium alone improved tumor control to the same degree as programmed cell death protein 1 ligand 1 (PD-L1)-specific antibody therapy (checkpoint blockade), and combination treatment nearly abolished tumor outgrowth. Augmented dendritic cell function leading to enhanced CD8(+) T cell priming and accumulation in the tumor microenvironment mediated the effect. Our data suggest that manipulating the microbiota may modulate cancer immunotherapy.","DOI":"10.1126/science.aac4255","ISSN":"1095-9203","note":"PMID: 26541606\nPMCID: PMC4873287","journalAbbreviation":"Science","language":"eng","author":[{"family":"Sivan","given":"Ayelet"},{"family":"Corrales","given":"Leticia"},{"family":"Hubert","given":"Nathaniel"},{"family":"Williams","given":"Jason B."},{"family":"Aquino-Michaels","given":"Keston"},{"family":"Earley","given":"Zachary M."},{"family":"Benyamin","given":"Franco W."},{"family":"Lei","given":"Yuk Man"},{"family":"Jabri","given":"Bana"},{"family":"Alegre","given":"Maria-Luisa"},{"family":"Chang","given":"Eugene B."},{"family":"Gajewski","given":"Thomas F."}],"issued":{"date-parts":[["2015",11,27]]}}}],"schema":"https://github.com/citation-style-language/schema/raw/master/csl-citation.json"} </w:instrText>
      </w:r>
      <w:r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[234]</w:t>
      </w:r>
      <w:r w:rsidRPr="00DB7074">
        <w:rPr>
          <w:rFonts w:ascii="Book Antiqua" w:hAnsi="Book Antiqua" w:cs="Times New Roman"/>
          <w:sz w:val="24"/>
          <w:szCs w:val="24"/>
        </w:rPr>
        <w:fldChar w:fldCharType="end"/>
      </w:r>
      <w:r w:rsidRPr="00DB7074">
        <w:rPr>
          <w:rFonts w:ascii="Book Antiqua" w:hAnsi="Book Antiqua" w:cs="Times New Roman"/>
          <w:sz w:val="24"/>
          <w:szCs w:val="24"/>
        </w:rPr>
        <w:t xml:space="preserve"> and anti-PD-1</w:t>
      </w:r>
      <w:r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{"citationID":"a28fnim8hci","properties":{"formattedCitation":"\\super [235\\uc0\\u8211{}237]\\nosupersub{}","plainCitation":"[235–237]","noteIndex":0},"citationItems":[{"id":458,"uris":["http://zotero.org/users/4113810/items/YJGDQRBS"],"uri":["http://zotero.org/users/4113810/items/YJGDQRBS"],"itemData":{"id":458,"type":"article-journal","title":"Gut microbiome modulates response to anti-PD-1 immunotherapy in melanoma patients","container-title":"Science (New York, N.Y.)","page":"97-103","volume":"359","issue":"6371","source":"PubMed","abstract":"Preclinical mouse models suggest that the gut microbiome modulates tumor response to checkpoint blockade immunotherapy; however, this has not been well-characterized in human cancer patients. Here we examined the oral and gut microbiome of melanoma patients undergoing anti-programmed cell death 1 protein (PD-1) immunotherapy (n = 112). Significant differences were observed in the diversity and composition of the patient gut microbiome of responders versus nonresponders. Analysis of patient fecal microbiome samples (n = 43, 30 responders, 13 nonresponders) showed significantly higher alpha diversity (P &lt; 0.01) and relative abundance of bacteria of the Ruminococcaceae family (P &lt; 0.01) in responding patients. Metagenomic studies revealed functional differences in gut bacteria in responders, including enrichment of anabolic pathways. Immune profiling suggested enhanced systemic and antitumor immunity in responding patients with a favorable gut microbiome as well as in germ-free mice receiving fecal transplants from responding patients. Together, these data have important implications for the treatment of melanoma patients with immune checkpoint inhibitors.","DOI":"10.1126/science.aan4236","ISSN":"1095-9203","note":"PMID: 29097493","journalAbbreviation":"Science","language":"eng","author":[{"family":"Gopalakrishnan","given":"V."},{"family":"Spencer","given":"C. N."},{"family":"Nezi","given":"L."},{"family":"Reuben","given":"A."},{"family":"Andrews","given":"M. C."},{"family":"Karpinets","given":"T. V."},{"family":"Prieto","given":"P. A."},{"family":"Vicente","given":"D."},{"family":"Hoffman","given":"K."},{"family":"Wei","given":"S. C."},{"family":"Cogdill","given":"A. P."},{"family":"Zhao","given":"L."},{"family":"Hudgens","given":"C. W."},{"family":"Hutchinson","given":"D. S."},{"family":"Manzo","given":"T."},{"family":"Petaccia de Macedo","given":"M."},{"family":"Cotechini","given":"T."},{"family":"Kumar","given":"T."},{"family":"Chen","given":"W. S."},{"family":"Reddy","given":"S. M."},{"family":"Szczepaniak Sloane","given":"R."},{"family":"Galloway-Pena","given":"J."},{"family":"Jiang","given":"H."},{"family":"Chen","given":"P. L."},{"family":"Shpall","given":"E. J."},{"family":"Rezvani","given":"K."},{"family":"Alousi","given":"A. M."},{"family":"Chemaly","given":"R. F."},{"family":"Shelburne","given":"S."},{"family":"Vence","given":"L. M."},{"family":"Okhuysen","given":"P. C."},{"family":"Jensen","given":"V. B."},{"family":"Swennes","given":"A. G."},{"family":"McAllister","given":"F."},{"family":"Marcelo Riquelme Sanchez","given":"E."},{"family":"Zhang","given":"Y."},{"family":"Le Chatelier","given":"E."},{"family":"Zitvogel","given":"L."},{"family":"Pons","given":"N."},{"family":"Austin-Breneman","given":"J. L."},{"family":"Haydu","given":"L. E."},{"family":"Burton","given":"E. M."},{"family":"Gardner","given":"J. M."},{"family":"Sirmans","given":"E."},{"family":"Hu","given":"J."},{"family":"Lazar","given":"A. J."},{"family":"Tsujikawa","given":"T."},{"family":"Diab","given":"A."},{"family":"Tawbi","given":"H."},{"family":"Glitza","given":"I. C."},{"family":"Hwu","given":"W. J."},{"family":"Patel","given":"S. P."},{"family":"Woodman","given":"S. E."},{"family":"Amaria","given":"R. N."},{"family":"Davies","given":"M. A."},{"family":"Gershenwald","given":"J. E."},{"family":"Hwu","given":"P."},{"family":"Lee","given":"J. E."},{"family":"Zhang","given":"J."},{"family":"Coussens","given":"L. M."},{"family":"Cooper","given":"Z. A."},{"family":"Futreal","given":"P. A."},{"family":"Daniel","given":"C. R."},{"family":"Ajami","given":"N. J."},{"family":"Petrosino","given":"J. F."},{"family":"Tetzlaff","given":"M. T."},{"family":"Sharma","given":"P."},{"family":"Allison","given":"J. P."},{"family":"Jenq","given":"R. R."},{"family":"Wargo","given":"J. A."}],"issued":{"date-parts":[["2018"]],"season":"05"}}},{"id":449,"uris":["http://zotero.org/users/4113810/items/2V7RRFTR"],"uri":["http://zotero.org/users/4113810/items/2V7RRFTR"],"itemData":{"id":449,"type":"article-journal","title":"The commensal microbiome is associated with anti–PD-1 efficacy in metastatic melanoma patients","container-title":"Science","page":"104–108","volume":"359","issue":"6371","source":"Google Scholar","author":[{"family":"Matson","given":"Vyara"},{"family":"Fessler","given":"Jessica"},{"family":"Bao","given":"Riyue"},{"family":"Chongsuwat","given":"Tara"},{"family":"Zha","given":"Yuanyuan"},{"family":"Alegre","given":"Maria-Luisa"},{"family":"Luke","given":"Jason J."},{"family":"Gajewski","given":"Thomas F."}],"issued":{"date-parts":[["2018"]]}}},{"id":456,"uris":["http://zotero.org/users/4113810/items/69HFCLM9"],"uri":["http://zotero.org/users/4113810/items/69HFCLM9"],"itemData":{"id":456,"type":"article-journal","title":"Gut microbiome influences efficacy of PD-1-based immunotherapy against epithelial tumors","container-title":"Science (New York, N.Y.)","page":"91-97","volume":"359","issue":"6371","source":"PubMed","abstract":"Immune checkpoint inhibitors (ICIs) targeting the PD-1/PD-L1 axis induce sustained clinical responses in a sizable minority of cancer patients. We found that primary resistance to ICIs can be attributed to abnormal gut microbiome composition. Antibiotics inhibited the clinical benefit of ICIs in patients with advanced cancer. Fecal microbiota transplantation (FMT) from cancer patients who responded to ICIs into germ-free or antibiotic-treated mice ameliorated the antitumor effects of PD-1 blockade, whereas FMT from nonresponding patients failed to do so. Metagenomics of patient stool samples at diagnosis revealed correlations between clinical responses to ICIs and the relative abundance of Akkermansia muciniphila Oral supplementation with A. muciniphila after FMT with nonresponder feces restored the efficacy of PD-1 blockade in an interleukin-12-dependent manner by increasing the recruitment of CCR9+CXCR3+CD4+ T lymphocytes into mouse tumor beds.","DOI":"10.1126/science.aan3706","ISSN":"1095-9203","note":"PMID: 29097494","journalAbbreviation":"Science","language":"eng","author":[{"family":"Routy","given":"Bertrand"},{"family":"Le Chatelier","given":"Emmanuelle"},{"family":"Derosa","given":"Lisa"},{"family":"Duong","given":"Connie P. M."},{"family":"Alou","given":"Maryam Tidjani"},{"family":"Daillère","given":"Romain"},{"family":"Fluckiger","given":"Aurélie"},{"family":"Messaoudene","given":"Meriem"},{"family":"Rauber","given":"Conrad"},{"family":"Roberti","given":"Maria P."},{"family":"Fidelle","given":"Marine"},{"family":"Flament","given":"Caroline"},{"family":"Poirier-Colame","given":"Vichnou"},{"family":"Opolon","given":"Paule"},{"family":"Klein","given":"Christophe"},{"family":"Iribarren","given":"Kristina"},{"family":"Mondragón","given":"Laura"},{"family":"Jacquelot","given":"Nicolas"},{"family":"Qu","given":"Bo"},{"family":"Ferrere","given":"Gladys"},{"family":"Clémenson","given":"Céline"},{"family":"Mezquita","given":"Laura"},{"family":"Masip","given":"Jordi Remon"},{"family":"Naltet","given":"Charles"},{"family":"Brosseau","given":"Solenn"},{"family":"Kaderbhai","given":"Coureche"},{"family":"Richard","given":"Corentin"},{"family":"Rizvi","given":"Hira"},{"family":"Levenez","given":"Florence"},{"family":"Galleron","given":"Nathalie"},{"family":"Quinquis","given":"Benoit"},{"family":"Pons","given":"Nicolas"},{"family":"Ryffel","given":"Bernhard"},{"family":"Minard-Colin","given":"Véronique"},{"family":"Gonin","given":"Patrick"},{"family":"Soria","given":"Jean-Charles"},{"family":"Deutsch","given":"Eric"},{"family":"Loriot","given":"Yohann"},{"family":"Ghiringhelli","given":"François"},{"family":"Zalcman","given":"Gérard"},{"family":"Goldwasser","given":"François"},{"family":"Escudier","given":"Bernard"},{"family":"Hellmann","given":"Matthew D."},{"family":"Eggermont","given":"Alexander"},{"family":"Raoult","given":"Didier"},{"family":"Albiges","given":"Laurence"},{"family":"Kroemer","given":"Guido"},{"family":"Zitvogel","given":"Laurence"}],"issued":{"date-parts":[["2018",1,5]]}}}],"schema":"https://github.com/citation-style-language/schema/raw/master/csl-citation.json"} </w:instrText>
      </w:r>
      <w:r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[235–237]</w:t>
      </w:r>
      <w:r w:rsidRPr="00DB7074">
        <w:rPr>
          <w:rFonts w:ascii="Book Antiqua" w:hAnsi="Book Antiqua" w:cs="Times New Roman"/>
          <w:sz w:val="24"/>
          <w:szCs w:val="24"/>
        </w:rPr>
        <w:fldChar w:fldCharType="end"/>
      </w:r>
      <w:r w:rsidR="00C43CFB">
        <w:rPr>
          <w:rFonts w:ascii="Book Antiqua" w:hAnsi="Book Antiqua" w:cs="Times New Roman" w:hint="eastAsia"/>
          <w:sz w:val="24"/>
          <w:szCs w:val="24"/>
          <w:lang w:eastAsia="zh-CN"/>
        </w:rPr>
        <w:t xml:space="preserve"> </w:t>
      </w:r>
      <w:r w:rsidRPr="00DB7074">
        <w:rPr>
          <w:rFonts w:ascii="Book Antiqua" w:hAnsi="Book Antiqua" w:cs="Times New Roman"/>
          <w:sz w:val="24"/>
          <w:szCs w:val="24"/>
        </w:rPr>
        <w:t xml:space="preserve">antibodies. Interestingly, three clinical investigations demonstrated that </w:t>
      </w:r>
      <w:r w:rsidR="007D1CCE" w:rsidRPr="00DB7074">
        <w:rPr>
          <w:rFonts w:ascii="Book Antiqua" w:hAnsi="Book Antiqua" w:cs="Times New Roman"/>
          <w:sz w:val="24"/>
          <w:szCs w:val="24"/>
        </w:rPr>
        <w:t xml:space="preserve">the </w:t>
      </w:r>
      <w:r w:rsidRPr="00DB7074">
        <w:rPr>
          <w:rFonts w:ascii="Book Antiqua" w:hAnsi="Book Antiqua" w:cs="Times New Roman"/>
          <w:sz w:val="24"/>
          <w:szCs w:val="24"/>
        </w:rPr>
        <w:t xml:space="preserve">gut microbiota can be used to predict responder and non-responder patients to PD-1/PDL-1 immunotherapies in several solid epithelial </w:t>
      </w:r>
      <w:r w:rsidR="00507882" w:rsidRPr="00DB7074">
        <w:rPr>
          <w:rFonts w:ascii="Book Antiqua" w:hAnsi="Book Antiqua" w:cs="Times New Roman"/>
          <w:sz w:val="24"/>
          <w:szCs w:val="24"/>
        </w:rPr>
        <w:t>tumour</w:t>
      </w:r>
      <w:r w:rsidRPr="00DB7074">
        <w:rPr>
          <w:rFonts w:ascii="Book Antiqua" w:hAnsi="Book Antiqua" w:cs="Times New Roman"/>
          <w:sz w:val="24"/>
          <w:szCs w:val="24"/>
        </w:rPr>
        <w:t>s</w:t>
      </w:r>
      <w:r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{"citationID":"aaduhtavg1","properties":{"formattedCitation":"\\super [235\\uc0\\u8211{}237]\\nosupersub{}","plainCitation":"[235–237]","noteIndex":0},"citationItems":[{"id":458,"uris":["http://zotero.org/users/4113810/items/YJGDQRBS"],"uri":["http://zotero.org/users/4113810/items/YJGDQRBS"],"itemData":{"id":458,"type":"article-journal","title":"Gut microbiome modulates response to anti-PD-1 immunotherapy in melanoma patients","container-title":"Science (New York, N.Y.)","page":"97-103","volume":"359","issue":"6371","source":"PubMed","abstract":"Preclinical mouse models suggest that the gut microbiome modulates tumor response to checkpoint blockade immunotherapy; however, this has not been well-characterized in human cancer patients. Here we examined the oral and gut microbiome of melanoma patients undergoing anti-programmed cell death 1 protein (PD-1) immunotherapy (n = 112). Significant differences were observed in the diversity and composition of the patient gut microbiome of responders versus nonresponders. Analysis of patient fecal microbiome samples (n = 43, 30 responders, 13 nonresponders) showed significantly higher alpha diversity (P &lt; 0.01) and relative abundance of bacteria of the Ruminococcaceae family (P &lt; 0.01) in responding patients. Metagenomic studies revealed functional differences in gut bacteria in responders, including enrichment of anabolic pathways. Immune profiling suggested enhanced systemic and antitumor immunity in responding patients with a favorable gut microbiome as well as in germ-free mice receiving fecal transplants from responding patients. Together, these data have important implications for the treatment of melanoma patients with immune checkpoint inhibitors.","DOI":"10.1126/science.aan4236","ISSN":"1095-9203","note":"PMID: 29097493","journalAbbreviation":"Science","language":"eng","author":[{"family":"Gopalakrishnan","given":"V."},{"family":"Spencer","given":"C. N."},{"family":"Nezi","given":"L."},{"family":"Reuben","given":"A."},{"family":"Andrews","given":"M. C."},{"family":"Karpinets","given":"T. V."},{"family":"Prieto","given":"P. A."},{"family":"Vicente","given":"D."},{"family":"Hoffman","given":"K."},{"family":"Wei","given":"S. C."},{"family":"Cogdill","given":"A. P."},{"family":"Zhao","given":"L."},{"family":"Hudgens","given":"C. W."},{"family":"Hutchinson","given":"D. S."},{"family":"Manzo","given":"T."},{"family":"Petaccia de Macedo","given":"M."},{"family":"Cotechini","given":"T."},{"family":"Kumar","given":"T."},{"family":"Chen","given":"W. S."},{"family":"Reddy","given":"S. M."},{"family":"Szczepaniak Sloane","given":"R."},{"family":"Galloway-Pena","given":"J."},{"family":"Jiang","given":"H."},{"family":"Chen","given":"P. L."},{"family":"Shpall","given":"E. J."},{"family":"Rezvani","given":"K."},{"family":"Alousi","given":"A. M."},{"family":"Chemaly","given":"R. F."},{"family":"Shelburne","given":"S."},{"family":"Vence","given":"L. M."},{"family":"Okhuysen","given":"P. C."},{"family":"Jensen","given":"V. B."},{"family":"Swennes","given":"A. G."},{"family":"McAllister","given":"F."},{"family":"Marcelo Riquelme Sanchez","given":"E."},{"family":"Zhang","given":"Y."},{"family":"Le Chatelier","given":"E."},{"family":"Zitvogel","given":"L."},{"family":"Pons","given":"N."},{"family":"Austin-Breneman","given":"J. L."},{"family":"Haydu","given":"L. E."},{"family":"Burton","given":"E. M."},{"family":"Gardner","given":"J. M."},{"family":"Sirmans","given":"E."},{"family":"Hu","given":"J."},{"family":"Lazar","given":"A. J."},{"family":"Tsujikawa","given":"T."},{"family":"Diab","given":"A."},{"family":"Tawbi","given":"H."},{"family":"Glitza","given":"I. C."},{"family":"Hwu","given":"W. J."},{"family":"Patel","given":"S. P."},{"family":"Woodman","given":"S. E."},{"family":"Amaria","given":"R. N."},{"family":"Davies","given":"M. A."},{"family":"Gershenwald","given":"J. E."},{"family":"Hwu","given":"P."},{"family":"Lee","given":"J. E."},{"family":"Zhang","given":"J."},{"family":"Coussens","given":"L. M."},{"family":"Cooper","given":"Z. A."},{"family":"Futreal","given":"P. A."},{"family":"Daniel","given":"C. R."},{"family":"Ajami","given":"N. J."},{"family":"Petrosino","given":"J. F."},{"family":"Tetzlaff","given":"M. T."},{"family":"Sharma","given":"P."},{"family":"Allison","given":"J. P."},{"family":"Jenq","given":"R. R."},{"family":"Wargo","given":"J. A."}],"issued":{"date-parts":[["2018"]],"season":"05"}}},{"id":449,"uris":["http://zotero.org/users/4113810/items/2V7RRFTR"],"uri":["http://zotero.org/users/4113810/items/2V7RRFTR"],"itemData":{"id":449,"type":"article-journal","title":"The commensal microbiome is associated with anti–PD-1 efficacy in metastatic melanoma patients","container-title":"Science","page":"104–108","volume":"359","issue":"6371","source":"Google Scholar","author":[{"family":"Matson","given":"Vyara"},{"family":"Fessler","given":"Jessica"},{"family":"Bao","given":"Riyue"},{"family":"Chongsuwat","given":"Tara"},{"family":"Zha","given":"Yuanyuan"},{"family":"Alegre","given":"Maria-Luisa"},{"family":"Luke","given":"Jason J."},{"family":"Gajewski","given":"Thomas F."}],"issued":{"date-parts":[["2018"]]}}},{"id":456,"uris":["http://zotero.org/users/4113810/items/69HFCLM9"],"uri":["http://zotero.org/users/4113810/items/69HFCLM9"],"itemData":{"id":456,"type":"article-journal","title":"Gut microbiome influences efficacy of PD-1-based immunotherapy against epithelial tumors","container-title":"Science (New York, N.Y.)","page":"91-97","volume":"359","issue":"6371","source":"PubMed","abstract":"Immune checkpoint inhibitors (ICIs) targeting the PD-1/PD-L1 axis induce sustained clinical responses in a sizable minority of cancer patients. We found that primary resistance to ICIs can be attributed to abnormal gut microbiome composition. Antibiotics inhibited the clinical benefit of ICIs in patients with advanced cancer. Fecal microbiota transplantation (FMT) from cancer patients who responded to ICIs into germ-free or antibiotic-treated mice ameliorated the antitumor effects of PD-1 blockade, whereas FMT from nonresponding patients failed to do so. Metagenomics of patient stool samples at diagnosis revealed correlations between clinical responses to ICIs and the relative abundance of Akkermansia muciniphila Oral supplementation with A. muciniphila after FMT with nonresponder feces restored the efficacy of PD-1 blockade in an interleukin-12-dependent manner by increasing the recruitment of CCR9+CXCR3+CD4+ T lymphocytes into mouse tumor beds.","DOI":"10.1126/science.aan3706","ISSN":"1095-9203","note":"PMID: 29097494","journalAbbreviation":"Science","language":"eng","author":[{"family":"Routy","given":"Bertrand"},{"family":"Le Chatelier","given":"Emmanuelle"},{"family":"Derosa","given":"Lisa"},{"family":"Duong","given":"Connie P. M."},{"family":"Alou","given":"Maryam Tidjani"},{"family":"Daillère","given":"Romain"},{"family":"Fluckiger","given":"Aurélie"},{"family":"Messaoudene","given":"Meriem"},{"family":"Rauber","given":"Conrad"},{"family":"Roberti","given":"Maria P."},{"family":"Fidelle","given":"Marine"},{"family":"Flament","given":"Caroline"},{"family":"Poirier-Colame","given":"Vichnou"},{"family":"Opolon","given":"Paule"},{"family":"Klein","given":"Christophe"},{"family":"Iribarren","given":"Kristina"},{"family":"Mondragón","given":"Laura"},{"family":"Jacquelot","given":"Nicolas"},{"family":"Qu","given":"Bo"},{"family":"Ferrere","given":"Gladys"},{"family":"Clémenson","given":"Céline"},{"family":"Mezquita","given":"Laura"},{"family":"Masip","given":"Jordi Remon"},{"family":"Naltet","given":"Charles"},{"family":"Brosseau","given":"Solenn"},{"family":"Kaderbhai","given":"Coureche"},{"family":"Richard","given":"Corentin"},{"family":"Rizvi","given":"Hira"},{"family":"Levenez","given":"Florence"},{"family":"Galleron","given":"Nathalie"},{"family":"Quinquis","given":"Benoit"},{"family":"Pons","given":"Nicolas"},{"family":"Ryffel","given":"Bernhard"},{"family":"Minard-Colin","given":"Véronique"},{"family":"Gonin","given":"Patrick"},{"family":"Soria","given":"Jean-Charles"},{"family":"Deutsch","given":"Eric"},{"family":"Loriot","given":"Yohann"},{"family":"Ghiringhelli","given":"François"},{"family":"Zalcman","given":"Gérard"},{"family":"Goldwasser","given":"François"},{"family":"Escudier","given":"Bernard"},{"family":"Hellmann","given":"Matthew D."},{"family":"Eggermont","given":"Alexander"},{"family":"Raoult","given":"Didier"},{"family":"Albiges","given":"Laurence"},{"family":"Kroemer","given":"Guido"},{"family":"Zitvogel","given":"Laurence"}],"issued":{"date-parts":[["2018",1,5]]}}}],"schema":"https://github.com/citation-style-language/schema/raw/master/csl-citation.json"} </w:instrText>
      </w:r>
      <w:r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[235–237]</w:t>
      </w:r>
      <w:r w:rsidRPr="00DB7074">
        <w:rPr>
          <w:rFonts w:ascii="Book Antiqua" w:hAnsi="Book Antiqua" w:cs="Times New Roman"/>
          <w:sz w:val="24"/>
          <w:szCs w:val="24"/>
        </w:rPr>
        <w:fldChar w:fldCharType="end"/>
      </w:r>
      <w:r w:rsidRPr="00DB7074">
        <w:rPr>
          <w:rFonts w:ascii="Book Antiqua" w:hAnsi="Book Antiqua" w:cs="Times New Roman"/>
          <w:sz w:val="24"/>
          <w:szCs w:val="24"/>
        </w:rPr>
        <w:t>. In</w:t>
      </w:r>
      <w:r w:rsidR="007D1CCE" w:rsidRPr="00DB7074">
        <w:rPr>
          <w:rFonts w:ascii="Book Antiqua" w:hAnsi="Book Antiqua" w:cs="Times New Roman"/>
          <w:sz w:val="24"/>
          <w:szCs w:val="24"/>
        </w:rPr>
        <w:t xml:space="preserve"> terms of</w:t>
      </w:r>
      <w:r w:rsidRPr="00DB7074">
        <w:rPr>
          <w:rFonts w:ascii="Book Antiqua" w:hAnsi="Book Antiqua" w:cs="Times New Roman"/>
          <w:sz w:val="24"/>
          <w:szCs w:val="24"/>
        </w:rPr>
        <w:t xml:space="preserve"> CRC, many studies </w:t>
      </w:r>
      <w:r w:rsidR="007D1CCE" w:rsidRPr="00DB7074">
        <w:rPr>
          <w:rFonts w:ascii="Book Antiqua" w:hAnsi="Book Antiqua" w:cs="Times New Roman"/>
          <w:sz w:val="24"/>
          <w:szCs w:val="24"/>
        </w:rPr>
        <w:t xml:space="preserve">have shown </w:t>
      </w:r>
      <w:r w:rsidRPr="00DB7074">
        <w:rPr>
          <w:rFonts w:ascii="Book Antiqua" w:hAnsi="Book Antiqua" w:cs="Times New Roman"/>
          <w:sz w:val="24"/>
          <w:szCs w:val="24"/>
        </w:rPr>
        <w:t xml:space="preserve">the capacity of </w:t>
      </w:r>
      <w:r w:rsidR="007D1CCE" w:rsidRPr="00DB7074">
        <w:rPr>
          <w:rFonts w:ascii="Book Antiqua" w:hAnsi="Book Antiqua" w:cs="Times New Roman"/>
          <w:sz w:val="24"/>
          <w:szCs w:val="24"/>
        </w:rPr>
        <w:t xml:space="preserve">the </w:t>
      </w:r>
      <w:r w:rsidRPr="00DB7074">
        <w:rPr>
          <w:rFonts w:ascii="Book Antiqua" w:hAnsi="Book Antiqua" w:cs="Times New Roman"/>
          <w:sz w:val="24"/>
          <w:szCs w:val="24"/>
        </w:rPr>
        <w:t xml:space="preserve">gut microbiota to modulate </w:t>
      </w:r>
      <w:r w:rsidR="00507882" w:rsidRPr="00DB7074">
        <w:rPr>
          <w:rFonts w:ascii="Book Antiqua" w:hAnsi="Book Antiqua" w:cs="Times New Roman"/>
          <w:sz w:val="24"/>
          <w:szCs w:val="24"/>
        </w:rPr>
        <w:t>tumour</w:t>
      </w:r>
      <w:r w:rsidRPr="00DB7074">
        <w:rPr>
          <w:rFonts w:ascii="Book Antiqua" w:hAnsi="Book Antiqua" w:cs="Times New Roman"/>
          <w:sz w:val="24"/>
          <w:szCs w:val="24"/>
        </w:rPr>
        <w:t>-infiltrating myeloid</w:t>
      </w:r>
      <w:r w:rsidR="007D1CCE" w:rsidRPr="00DB7074">
        <w:rPr>
          <w:rFonts w:ascii="Book Antiqua" w:hAnsi="Book Antiqua" w:cs="Times New Roman"/>
          <w:sz w:val="24"/>
          <w:szCs w:val="24"/>
        </w:rPr>
        <w:t xml:space="preserve"> cell</w:t>
      </w:r>
      <w:r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{"citationID":"R6hj9urx","properties":{"formattedCitation":"\\super [238\\uc0\\u8211{}240]\\nosupersub{}","plainCitation":"[238–240]","noteIndex":0},"citationItems":[{"id":84,"uris":["http://zotero.org/users/4113810/items/CB5IUZIF"],"uri":["http://zotero.org/users/4113810/items/CB5IUZIF"],"itemData":{"id":84,"type":"article-journal","title":"Fusobacterium nucleatum Potentiates Intestinal Tumorigenesis and Modulates the Tumor-Immune Microenvironment","container-title":"Cell Host &amp; Microbe","page":"207-215","volume":"14","issue":"2","source":"ScienceDirect","abstract":"Increasing evidence links the gut microbiota with colorectal cancer. Metagenomic analyses indicate that symbiotic Fusobacterium spp. are associated with human colorectal carcinoma, but whether this is an indirect or causal link remains unclear. We find that Fusobacterium spp. are enriched in human colonic adenomas relative to surrounding tissues and in stool samples from colorectal adenoma and carcinoma patients compared to healthy subjects. Additionally, in the ApcMin/+ mouse model of intestinal tumorigenesis, Fusobacterium nucleatum increases tumor multiplicity and selectively recruits tumor-infiltrating myeloid cells, which can promote tumor progression. Tumors from ApcMin/+ mice exposed to F. nucleatum exhibit a proinflammatory expression signature that is shared with human fusobacteria-positive colorectal carcinomas. However, unlike other bacteria linked to colorectal carcinoma, F. nucleatum does not exacerbate colitis, enteritis, or inflammation-associated intestinal carcinogenesis. Collectively, these data suggest that, through recruitment of tumor-infiltrating immune cells, fusobacteria generate a proinflammatory microenvironment that is conducive for colorectal neoplasia progression.","DOI":"10.1016/j.chom.2013.07.007","ISSN":"1931-3128","journalAbbreviation":"Cell Host &amp; Microbe","author":[{"family":"Kostic","given":"Aleksandar D."},{"family":"Chun","given":"Eunyoung"},{"family":"Robertson","given":"Lauren"},{"family":"Glickman","given":"Jonathan N."},{"family":"Gallini","given":"Carey Ann"},{"family":"Michaud","given":"Monia"},{"family":"Clancy","given":"Thomas E."},{"family":"Chung","given":"Daniel C."},{"family":"Lochhead","given":"Paul"},{"family":"Hold","given":"Georgina L."},{"family":"El-Omar","given":"Emad M."},{"family":"Brenner","given":"Dean"},{"family":"Fuchs","given":"Charles S."},{"family":"Meyerson","given":"Matthew"},{"family":"Garrett","given":"Wendy S."}],"issued":{"date-parts":[["2013",8,14]]}}},{"id":110,"uris":["http://zotero.org/users/4113810/items/MAA5J7BG"],"uri":["http://zotero.org/users/4113810/items/MAA5J7BG"],"itemData":{"id":110,"type":"article-journal","title":"Intratumoral Fusobacterium nucleatum abundance correlates with macrophage infiltration and CDKN2A methylation in microsatellite-unstable colorectal carcinoma","container-title":"Virchows Archiv","source":"CrossRef","URL":"http://link.springer.com/10.1007/s00428-017-2171-6","DOI":"10.1007/s00428-017-2171-6","ISSN":"0945-6317, 1432-2307","language":"en","author":[{"family":"Park","given":"Hye Eun"},{"family":"Kim","given":"Jung Ho"},{"family":"Cho","given":"Nam-Yun"},{"family":"Lee","given":"Hye Seung"},{"family":"Kang","given":"Gyeong Hoon"}],"issued":{"date-parts":[["2017",6,8]]},"accessed":{"date-parts":[["2017",9,5]]}}},{"id":184,"uris":["http://zotero.org/users/4113810/items/DFEUKNFN"],"uri":["http://zotero.org/users/4113810/items/DFEUKNFN"],"itemData":{"id":184,"type":"article-journal","title":"The myeloid immune signature of enterotoxigenic Bacteroides fragilis-induced murine colon tumorigenesis","container-title":"Mucosal Immunology","page":"421-433","volume":"10","issue":"2","source":"CrossRef","DOI":"10.1038/mi.2016.53","ISSN":"1933-0219, 1935-3456","author":[{"family":"Thiele Orberg","given":"E"},{"family":"Fan","given":"H"},{"family":"Tam","given":"A J"},{"family":"Dejea","given":"C M"},{"family":"Destefano Shields","given":"C E"},{"family":"Wu","given":"S"},{"family":"Chung","given":"L"},{"family":"Finard","given":"B B"},{"family":"Wu","given":"X"},{"family":"Fathi","given":"P"},{"family":"Ganguly","given":"S"},{"family":"Fu","given":"J"},{"family":"Pardoll","given":"D M"},{"family":"Sears","given":"C L"},{"family":"Housseau","given":"F"}],"issued":{"date-parts":[["2017",3]]}}}],"schema":"https://github.com/citation-style-language/schema/raw/master/csl-citation.json"} </w:instrText>
      </w:r>
      <w:r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[238–240]</w:t>
      </w:r>
      <w:r w:rsidRPr="00DB7074">
        <w:rPr>
          <w:rFonts w:ascii="Book Antiqua" w:hAnsi="Book Antiqua" w:cs="Times New Roman"/>
          <w:sz w:val="24"/>
          <w:szCs w:val="24"/>
        </w:rPr>
        <w:fldChar w:fldCharType="end"/>
      </w:r>
      <w:r w:rsidRPr="00DB7074">
        <w:rPr>
          <w:rFonts w:ascii="Book Antiqua" w:hAnsi="Book Antiqua" w:cs="Times New Roman"/>
          <w:sz w:val="24"/>
          <w:szCs w:val="24"/>
        </w:rPr>
        <w:t xml:space="preserve"> and T cell responses</w:t>
      </w:r>
      <w:r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{"citationID":"bvnTMf2N","properties":{"formattedCitation":"\\super [241\\uc0\\u8211{}244]\\nosupersub{}","plainCitation":"[241–244]","noteIndex":0},"citationItems":[{"id":180,"uris":["http://zotero.org/users/4113810/items/457VUVZ7"],"uri":["http://zotero.org/users/4113810/items/457VUVZ7"],"itemData":{"id":180,"type":"article-journal","title":"Normalizing Microbiota-Induced Retinoic Acid Deficiency Stimulates Protective CD8+ T Cell-Mediated Immunity in Colorectal Cancer","container-title":"Immunity","page":"641-655","volume":"45","issue":"3","source":"CrossRef","DOI":"10.1016/j.immuni.2016.08.008","ISSN":"10747613","language":"en","author":[{"family":"Bhattacharya","given":"Nupur"},{"family":"Yuan","given":"Robert"},{"family":"Prestwood","given":"Tyler R."},{"family":"Penny","given":"Hweixian Leong"},{"family":"DiMaio","given":"Michael A."},{"family":"Reticker-Flynn","given":"Nathan E."},{"family":"Krois","given":"Charles R."},{"family":"Kenkel","given":"Justin A."},{"family":"Pham","given":"Tho D."},{"family":"Carmi","given":"Yaron"},{"family":"Tolentino","given":"Lorna"},{"family":"Choi","given":"Okmi"},{"family":"Hulett","given":"Reyna"},{"family":"Wang","given":"Jinshan"},{"family":"Winer","given":"Daniel A."},{"family":"Napoli","given":"Joseph L."},{"family":"Engleman","given":"Edgar G."}],"issued":{"date-parts":[["2016",9]]}}},{"id":509,"uris":["http://zotero.org/users/4113810/items/RDPGDJBG"],"uri":["http://zotero.org/users/4113810/items/RDPGDJBG"],"itemData":{"id":509,"type":"article-journal","title":"Gut microbiota modulate T cell trafficking into human colorectal cancer","container-title":"Gut","page":"gutjnl-2016-313498","source":"CrossRef","DOI":"10.1136/gutjnl-2016-313498","ISSN":"0017-5749, 1468-3288","language":"en","author":[{"family":"Cremonesi","given":"Eleonora"},{"family":"Governa","given":"Valeria"},{"family":"Garzon","given":"Jesus Francisco Glaus"},{"family":"Mele","given":"Valentina"},{"family":"Amicarella","given":"Francesca"},{"family":"Muraro","given":"Manuele Giuseppe"},{"family":"Trella","given":"Emanuele"},{"family":"Galati-Fournier","given":"Virginie"},{"family":"Oertli","given":"Daniel"},{"family":"Däster","given":"Silvio Raffael"},{"family":"Droeser","given":"Raoul A"},{"family":"Weixler","given":"Benjamin"},{"family":"Bolli","given":"Martin"},{"family":"Rosso","given":"Raffaele"},{"family":"Nitsche","given":"Ulrich"},{"family":"Khanna","given":"Nina"},{"family":"Egli","given":"Adrian"},{"family":"Keck","given":"Simone"},{"family":"Slotta-Huspenina","given":"Julia"},{"family":"Terracciano","given":"Luigi M"},{"family":"Zajac","given":"Paul"},{"family":"Spagnoli","given":"Giulio Cesare"},{"family":"Eppenberger-Castori","given":"Serenella"},{"family":"Janssen","given":"Klaus-Peter"},{"family":"Borsig","given":"Lubor"},{"family":"Iezzi","given":"Giandomenica"}],"issued":{"date-parts":[["2018",2,6]]}}},{"id":190,"uris":["http://zotero.org/users/4113810/items/G22K5892"],"uri":["http://zotero.org/users/4113810/items/G22K5892"],"itemData":{"id":190,"type":"article-journal","title":"&lt;i&gt;Fusobacterium nucleatum&lt;/i&gt; and T Cells in Colorectal Carcinoma","container-title":"JAMA Oncology","page":"653","volume":"1","issue":"5","source":"CrossRef","DOI":"10.1001/jamaoncol.2015.1377","ISSN":"2374-2437","language":"en","author":[{"family":"Mima","given":"Kosuke"},{"family":"Sukawa","given":"Yasutaka"},{"family":"Nishihara","given":"Reiko"},{"family":"Qian","given":"Zhi Rong"},{"family":"Yamauchi","given":"Mai"},{"family":"Inamura","given":"Kentaro"},{"family":"Kim","given":"Sun A."},{"family":"Masuda","given":"Atsuhiro"},{"family":"Nowak","given":"Jonathan A."},{"family":"Nosho","given":"Katsuhiko"},{"family":"Kostic","given":"Aleksandar D."},{"family":"Giannakis","given":"Marios"},{"family":"Watanabe","given":"Hideo"},{"family":"Bullman","given":"Susan"},{"family":"Milner","given":"Danny A."},{"family":"Harris","given":"Curtis C."},{"family":"Giovannucci","given":"Edward"},{"family":"Garraway","given":"Levi A."},{"family":"Freeman","given":"Gordon J."},{"family":"Dranoff","given":"Glenn"},{"family":"Chan","given":"Andrew T."},{"family":"Garrett","given":"Wendy S."},{"family":"Huttenhower","given":"Curtis"},{"family":"Fuchs","given":"Charles S."},{"family":"Ogino","given":"Shuji"}],"issued":{"date-parts":[["2015",8,1]]}}},{"id":122,"uris":["http://zotero.org/users/4113810/items/2ZKFJI32"],"uri":["http://zotero.org/users/4113810/items/2ZKFJI32"],"itemData":{"id":122,"type":"article-journal","title":"A human colonic commensal promotes colon tumorigenesis via activation of T helper type 17 T cell responses","container-title":"Nature Medicine","page":"1016-1022","volume":"15","issue":"9","source":"CrossRef","DOI":"10.1038/nm.2015","ISSN":"1078-8956, 1546-170X","author":[{"family":"Wu","given":"Shaoguang"},{"family":"Rhee","given":"Ki-Jong"},{"family":"Albesiano","given":"Emilia"},{"family":"Rabizadeh","given":"Shervin"},{"family":"Wu","given":"Xinqun"},{"family":"Yen","given":"Hung-Rong"},{"family":"Huso","given":"David L"},{"family":"Brancati","given":"Frederick L"},{"family":"Wick","given":"Elizabeth"},{"family":"McAllister","given":"Florencia"},{"family":"Housseau","given":"Franck"},{"family":"Pardoll","given":"Drew M"},{"family":"Sears","given":"Cynthia L"}],"issued":{"date-parts":[["2009",9]]}}}],"schema":"https://github.com/citation-style-language/schema/raw/master/csl-citation.json"} </w:instrText>
      </w:r>
      <w:r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[241–244]</w:t>
      </w:r>
      <w:r w:rsidRPr="00DB7074">
        <w:rPr>
          <w:rFonts w:ascii="Book Antiqua" w:hAnsi="Book Antiqua" w:cs="Times New Roman"/>
          <w:sz w:val="24"/>
          <w:szCs w:val="24"/>
        </w:rPr>
        <w:fldChar w:fldCharType="end"/>
      </w:r>
      <w:r w:rsidR="007D1CCE" w:rsidRPr="00DB7074">
        <w:rPr>
          <w:rFonts w:ascii="Book Antiqua" w:hAnsi="Book Antiqua" w:cs="Times New Roman"/>
          <w:sz w:val="24"/>
          <w:szCs w:val="24"/>
        </w:rPr>
        <w:t>,</w:t>
      </w:r>
      <w:r w:rsidRPr="00DB7074">
        <w:rPr>
          <w:rFonts w:ascii="Book Antiqua" w:hAnsi="Book Antiqua" w:cs="Times New Roman"/>
          <w:sz w:val="24"/>
          <w:szCs w:val="24"/>
        </w:rPr>
        <w:t xml:space="preserve"> while improvement </w:t>
      </w:r>
      <w:r w:rsidR="007D1CCE" w:rsidRPr="00DB7074">
        <w:rPr>
          <w:rFonts w:ascii="Book Antiqua" w:hAnsi="Book Antiqua" w:cs="Times New Roman"/>
          <w:sz w:val="24"/>
          <w:szCs w:val="24"/>
        </w:rPr>
        <w:t>in</w:t>
      </w:r>
      <w:r w:rsidRPr="00DB7074">
        <w:rPr>
          <w:rFonts w:ascii="Book Antiqua" w:hAnsi="Book Antiqua" w:cs="Times New Roman"/>
          <w:sz w:val="24"/>
          <w:szCs w:val="24"/>
        </w:rPr>
        <w:t xml:space="preserve"> immunotherapy efficacy by </w:t>
      </w:r>
      <w:r w:rsidR="007D1CCE" w:rsidRPr="00DB7074">
        <w:rPr>
          <w:rFonts w:ascii="Book Antiqua" w:hAnsi="Book Antiqua" w:cs="Times New Roman"/>
          <w:sz w:val="24"/>
          <w:szCs w:val="24"/>
        </w:rPr>
        <w:t xml:space="preserve">the </w:t>
      </w:r>
      <w:r w:rsidRPr="00DB7074">
        <w:rPr>
          <w:rFonts w:ascii="Book Antiqua" w:hAnsi="Book Antiqua" w:cs="Times New Roman"/>
          <w:sz w:val="24"/>
          <w:szCs w:val="24"/>
        </w:rPr>
        <w:t xml:space="preserve">microbiota is </w:t>
      </w:r>
      <w:r w:rsidRPr="00DB7074">
        <w:rPr>
          <w:rFonts w:ascii="Book Antiqua" w:hAnsi="Book Antiqua" w:cs="Times New Roman"/>
          <w:sz w:val="24"/>
          <w:szCs w:val="24"/>
        </w:rPr>
        <w:lastRenderedPageBreak/>
        <w:t xml:space="preserve">mediated precisely by these immune pathways in </w:t>
      </w:r>
      <w:r w:rsidR="007D1CCE" w:rsidRPr="00DB7074">
        <w:rPr>
          <w:rFonts w:ascii="Book Antiqua" w:hAnsi="Book Antiqua" w:cs="Times New Roman"/>
          <w:sz w:val="24"/>
          <w:szCs w:val="24"/>
        </w:rPr>
        <w:t xml:space="preserve">solid </w:t>
      </w:r>
      <w:r w:rsidRPr="00DB7074">
        <w:rPr>
          <w:rFonts w:ascii="Book Antiqua" w:hAnsi="Book Antiqua" w:cs="Times New Roman"/>
          <w:sz w:val="24"/>
          <w:szCs w:val="24"/>
        </w:rPr>
        <w:t xml:space="preserve">human epithelial </w:t>
      </w:r>
      <w:r w:rsidR="00507882" w:rsidRPr="00DB7074">
        <w:rPr>
          <w:rFonts w:ascii="Book Antiqua" w:hAnsi="Book Antiqua" w:cs="Times New Roman"/>
          <w:sz w:val="24"/>
          <w:szCs w:val="24"/>
        </w:rPr>
        <w:t>tumour</w:t>
      </w:r>
      <w:r w:rsidRPr="00DB7074">
        <w:rPr>
          <w:rFonts w:ascii="Book Antiqua" w:hAnsi="Book Antiqua" w:cs="Times New Roman"/>
          <w:sz w:val="24"/>
          <w:szCs w:val="24"/>
        </w:rPr>
        <w:t>s (</w:t>
      </w:r>
      <w:r w:rsidR="00507882" w:rsidRPr="00DB7074">
        <w:rPr>
          <w:rFonts w:ascii="Book Antiqua" w:hAnsi="Book Antiqua" w:cs="Times New Roman"/>
          <w:sz w:val="24"/>
          <w:szCs w:val="24"/>
        </w:rPr>
        <w:t xml:space="preserve">e.g., </w:t>
      </w:r>
      <w:r w:rsidRPr="00DB7074">
        <w:rPr>
          <w:rFonts w:ascii="Book Antiqua" w:hAnsi="Book Antiqua" w:cs="Times New Roman"/>
          <w:sz w:val="24"/>
          <w:szCs w:val="24"/>
        </w:rPr>
        <w:t>melanoma)</w:t>
      </w:r>
      <w:r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{"citationID":"a51tl6mbin","properties":{"formattedCitation":"\\super [235\\uc0\\u8211{}237]\\nosupersub{}","plainCitation":"[235–237]","noteIndex":0},"citationItems":[{"id":456,"uris":["http://zotero.org/users/4113810/items/69HFCLM9"],"uri":["http://zotero.org/users/4113810/items/69HFCLM9"],"itemData":{"id":456,"type":"article-journal","title":"Gut microbiome influences efficacy of PD-1-based immunotherapy against epithelial tumors","container-title":"Science (New York, N.Y.)","page":"91-97","volume":"359","issue":"6371","source":"PubMed","abstract":"Immune checkpoint inhibitors (ICIs) targeting the PD-1/PD-L1 axis induce sustained clinical responses in a sizable minority of cancer patients. We found that primary resistance to ICIs can be attributed to abnormal gut microbiome composition. Antibiotics inhibited the clinical benefit of ICIs in patients with advanced cancer. Fecal microbiota transplantation (FMT) from cancer patients who responded to ICIs into germ-free or antibiotic-treated mice ameliorated the antitumor effects of PD-1 blockade, whereas FMT from nonresponding patients failed to do so. Metagenomics of patient stool samples at diagnosis revealed correlations between clinical responses to ICIs and the relative abundance of Akkermansia muciniphila Oral supplementation with A. muciniphila after FMT with nonresponder feces restored the efficacy of PD-1 blockade in an interleukin-12-dependent manner by increasing the recruitment of CCR9+CXCR3+CD4+ T lymphocytes into mouse tumor beds.","DOI":"10.1126/science.aan3706","ISSN":"1095-9203","note":"PMID: 29097494","journalAbbreviation":"Science","language":"eng","author":[{"family":"Routy","given":"Bertrand"},{"family":"Le Chatelier","given":"Emmanuelle"},{"family":"Derosa","given":"Lisa"},{"family":"Duong","given":"Connie P. M."},{"family":"Alou","given":"Maryam Tidjani"},{"family":"Daillère","given":"Romain"},{"family":"Fluckiger","given":"Aurélie"},{"family":"Messaoudene","given":"Meriem"},{"family":"Rauber","given":"Conrad"},{"family":"Roberti","given":"Maria P."},{"family":"Fidelle","given":"Marine"},{"family":"Flament","given":"Caroline"},{"family":"Poirier-Colame","given":"Vichnou"},{"family":"Opolon","given":"Paule"},{"family":"Klein","given":"Christophe"},{"family":"Iribarren","given":"Kristina"},{"family":"Mondragón","given":"Laura"},{"family":"Jacquelot","given":"Nicolas"},{"family":"Qu","given":"Bo"},{"family":"Ferrere","given":"Gladys"},{"family":"Clémenson","given":"Céline"},{"family":"Mezquita","given":"Laura"},{"family":"Masip","given":"Jordi Remon"},{"family":"Naltet","given":"Charles"},{"family":"Brosseau","given":"Solenn"},{"family":"Kaderbhai","given":"Coureche"},{"family":"Richard","given":"Corentin"},{"family":"Rizvi","given":"Hira"},{"family":"Levenez","given":"Florence"},{"family":"Galleron","given":"Nathalie"},{"family":"Quinquis","given":"Benoit"},{"family":"Pons","given":"Nicolas"},{"family":"Ryffel","given":"Bernhard"},{"family":"Minard-Colin","given":"Véronique"},{"family":"Gonin","given":"Patrick"},{"family":"Soria","given":"Jean-Charles"},{"family":"Deutsch","given":"Eric"},{"family":"Loriot","given":"Yohann"},{"family":"Ghiringhelli","given":"François"},{"family":"Zalcman","given":"Gérard"},{"family":"Goldwasser","given":"François"},{"family":"Escudier","given":"Bernard"},{"family":"Hellmann","given":"Matthew D."},{"family":"Eggermont","given":"Alexander"},{"family":"Raoult","given":"Didier"},{"family":"Albiges","given":"Laurence"},{"family":"Kroemer","given":"Guido"},{"family":"Zitvogel","given":"Laurence"}],"issued":{"date-parts":[["2018",1,5]]}}},{"id":449,"uris":["http://zotero.org/users/4113810/items/2V7RRFTR"],"uri":["http://zotero.org/users/4113810/items/2V7RRFTR"],"itemData":{"id":449,"type":"article-journal","title":"The commensal microbiome is associated with anti–PD-1 efficacy in metastatic melanoma patients","container-title":"Science","page":"104–108","volume":"359","issue":"6371","source":"Google Scholar","author":[{"family":"Matson","given":"Vyara"},{"family":"Fessler","given":"Jessica"},{"family":"Bao","given":"Riyue"},{"family":"Chongsuwat","given":"Tara"},{"family":"Zha","given":"Yuanyuan"},{"family":"Alegre","given":"Maria-Luisa"},{"family":"Luke","given":"Jason J."},{"family":"Gajewski","given":"Thomas F."}],"issued":{"date-parts":[["2018"]]}}},{"id":458,"uris":["http://zotero.org/users/4113810/items/YJGDQRBS"],"uri":["http://zotero.org/users/4113810/items/YJGDQRBS"],"itemData":{"id":458,"type":"article-journal","title":"Gut microbiome modulates response to anti-PD-1 immunotherapy in melanoma patients","container-title":"Science (New York, N.Y.)","page":"97-103","volume":"359","issue":"6371","source":"PubMed","abstract":"Preclinical mouse models suggest that the gut microbiome modulates tumor response to checkpoint blockade immunotherapy; however, this has not been well-characterized in human cancer patients. Here we examined the oral and gut microbiome of melanoma patients undergoing anti-programmed cell death 1 protein (PD-1) immunotherapy (n = 112). Significant differences were observed in the diversity and composition of the patient gut microbiome of responders versus nonresponders. Analysis of patient fecal microbiome samples (n = 43, 30 responders, 13 nonresponders) showed significantly higher alpha diversity (P &lt; 0.01) and relative abundance of bacteria of the Ruminococcaceae family (P &lt; 0.01) in responding patients. Metagenomic studies revealed functional differences in gut bacteria in responders, including enrichment of anabolic pathways. Immune profiling suggested enhanced systemic and antitumor immunity in responding patients with a favorable gut microbiome as well as in germ-free mice receiving fecal transplants from responding patients. Together, these data have important implications for the treatment of melanoma patients with immune checkpoint inhibitors.","DOI":"10.1126/science.aan4236","ISSN":"1095-9203","note":"PMID: 29097493","journalAbbreviation":"Science","language":"eng","author":[{"family":"Gopalakrishnan","given":"V."},{"family":"Spencer","given":"C. N."},{"family":"Nezi","given":"L."},{"family":"Reuben","given":"A."},{"family":"Andrews","given":"M. C."},{"family":"Karpinets","given":"T. V."},{"family":"Prieto","given":"P. A."},{"family":"Vicente","given":"D."},{"family":"Hoffman","given":"K."},{"family":"Wei","given":"S. C."},{"family":"Cogdill","given":"A. P."},{"family":"Zhao","given":"L."},{"family":"Hudgens","given":"C. W."},{"family":"Hutchinson","given":"D. S."},{"family":"Manzo","given":"T."},{"family":"Petaccia de Macedo","given":"M."},{"family":"Cotechini","given":"T."},{"family":"Kumar","given":"T."},{"family":"Chen","given":"W. S."},{"family":"Reddy","given":"S. M."},{"family":"Szczepaniak Sloane","given":"R."},{"family":"Galloway-Pena","given":"J."},{"family":"Jiang","given":"H."},{"family":"Chen","given":"P. L."},{"family":"Shpall","given":"E. J."},{"family":"Rezvani","given":"K."},{"family":"Alousi","given":"A. M."},{"family":"Chemaly","given":"R. F."},{"family":"Shelburne","given":"S."},{"family":"Vence","given":"L. M."},{"family":"Okhuysen","given":"P. C."},{"family":"Jensen","given":"V. B."},{"family":"Swennes","given":"A. G."},{"family":"McAllister","given":"F."},{"family":"Marcelo Riquelme Sanchez","given":"E."},{"family":"Zhang","given":"Y."},{"family":"Le Chatelier","given":"E."},{"family":"Zitvogel","given":"L."},{"family":"Pons","given":"N."},{"family":"Austin-Breneman","given":"J. L."},{"family":"Haydu","given":"L. E."},{"family":"Burton","given":"E. M."},{"family":"Gardner","given":"J. M."},{"family":"Sirmans","given":"E."},{"family":"Hu","given":"J."},{"family":"Lazar","given":"A. J."},{"family":"Tsujikawa","given":"T."},{"family":"Diab","given":"A."},{"family":"Tawbi","given":"H."},{"family":"Glitza","given":"I. C."},{"family":"Hwu","given":"W. J."},{"family":"Patel","given":"S. P."},{"family":"Woodman","given":"S. E."},{"family":"Amaria","given":"R. N."},{"family":"Davies","given":"M. A."},{"family":"Gershenwald","given":"J. E."},{"family":"Hwu","given":"P."},{"family":"Lee","given":"J. E."},{"family":"Zhang","given":"J."},{"family":"Coussens","given":"L. M."},{"family":"Cooper","given":"Z. A."},{"family":"Futreal","given":"P. A."},{"family":"Daniel","given":"C. R."},{"family":"Ajami","given":"N. J."},{"family":"Petrosino","given":"J. F."},{"family":"Tetzlaff","given":"M. T."},{"family":"Sharma","given":"P."},{"family":"Allison","given":"J. P."},{"family":"Jenq","given":"R. R."},{"family":"Wargo","given":"J. A."}],"issued":{"date-parts":[["2018"]],"season":"05"}}}],"schema":"https://github.com/citation-style-language/schema/raw/master/csl-citation.json"} </w:instrText>
      </w:r>
      <w:r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[235–237]</w:t>
      </w:r>
      <w:r w:rsidRPr="00DB7074">
        <w:rPr>
          <w:rFonts w:ascii="Book Antiqua" w:hAnsi="Book Antiqua" w:cs="Times New Roman"/>
          <w:sz w:val="24"/>
          <w:szCs w:val="24"/>
        </w:rPr>
        <w:fldChar w:fldCharType="end"/>
      </w:r>
      <w:r w:rsidRPr="00DB7074">
        <w:rPr>
          <w:rFonts w:ascii="Book Antiqua" w:hAnsi="Book Antiqua" w:cs="Times New Roman"/>
          <w:sz w:val="24"/>
          <w:szCs w:val="24"/>
        </w:rPr>
        <w:t xml:space="preserve">. Moreover, in a subcutaneous CRC </w:t>
      </w:r>
      <w:r w:rsidR="007D1CCE" w:rsidRPr="00DB7074">
        <w:rPr>
          <w:rFonts w:ascii="Book Antiqua" w:hAnsi="Book Antiqua" w:cs="Times New Roman"/>
          <w:sz w:val="24"/>
          <w:szCs w:val="24"/>
        </w:rPr>
        <w:t xml:space="preserve">mouse </w:t>
      </w:r>
      <w:r w:rsidRPr="00DB7074">
        <w:rPr>
          <w:rFonts w:ascii="Book Antiqua" w:hAnsi="Book Antiqua" w:cs="Times New Roman"/>
          <w:sz w:val="24"/>
          <w:szCs w:val="24"/>
        </w:rPr>
        <w:t xml:space="preserve">model, a positive impact of some microbial species on anti-CTLA-4 immunotherapy </w:t>
      </w:r>
      <w:r w:rsidR="005B45C1" w:rsidRPr="00DB7074">
        <w:rPr>
          <w:rFonts w:ascii="Book Antiqua" w:hAnsi="Book Antiqua" w:cs="Times New Roman"/>
          <w:sz w:val="24"/>
          <w:szCs w:val="24"/>
        </w:rPr>
        <w:t>was</w:t>
      </w:r>
      <w:r w:rsidRPr="00DB7074">
        <w:rPr>
          <w:rFonts w:ascii="Book Antiqua" w:hAnsi="Book Antiqua" w:cs="Times New Roman"/>
          <w:sz w:val="24"/>
          <w:szCs w:val="24"/>
        </w:rPr>
        <w:t xml:space="preserve"> observed</w:t>
      </w:r>
      <w:r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{"citationID":"5BMd2sM4","properties":{"formattedCitation":"\\super [233]\\nosupersub{}","plainCitation":"[233]","noteIndex":0},"citationItems":[{"id":447,"uris":["http://zotero.org/users/4113810/items/SS2H8HYU"],"uri":["http://zotero.org/users/4113810/items/SS2H8HYU"],"itemData":{"id":447,"type":"article-journal","title":"Anticancer immunotherapy by CTLA-4 blockade relies on the gut microbiota","container-title":"Science","page":"1079-1084","volume":"350","issue":"6264","source":"CrossRef","DOI":"10.1126/science.aad1329","ISSN":"0036-8075, 1095-9203","language":"en","author":[{"family":"Vetizou","given":"M."},{"family":"Pitt","given":"J. M."},{"family":"Daillere","given":"R."},{"family":"Lepage","given":"P."},{"family":"Waldschmitt","given":"N."},{"family":"Flament","given":"C."},{"family":"Rusakiewicz","given":"S."},{"family":"Routy","given":"B."},{"family":"Roberti","given":"M. P."},{"family":"Duong","given":"C. P. M."},{"family":"Poirier-Colame","given":"V."},{"family":"Roux","given":"A."},{"family":"Becharef","given":"S."},{"family":"Formenti","given":"S."},{"family":"Golden","given":"E."},{"family":"Cording","given":"S."},{"family":"Eberl","given":"G."},{"family":"Schlitzer","given":"A."},{"family":"Ginhoux","given":"F."},{"family":"Mani","given":"S."},{"family":"Yamazaki","given":"T."},{"family":"Jacquelot","given":"N."},{"family":"Enot","given":"D. P."},{"family":"Berard","given":"M."},{"family":"Nigou","given":"J."},{"family":"Opolon","given":"P."},{"family":"Eggermont","given":"A."},{"family":"Woerther","given":"P.-L."},{"family":"Chachaty","given":"E."},{"family":"Chaput","given":"N."},{"family":"Robert","given":"C."},{"family":"Mateus","given":"C."},{"family":"Kroemer","given":"G."},{"family":"Raoult","given":"D."},{"family":"Boneca","given":"I. G."},{"family":"Carbonnel","given":"F."},{"family":"Chamaillard","given":"M."},{"family":"Zitvogel","given":"L."}],"issued":{"date-parts":[["2015",11,27]]}}}],"schema":"https://github.com/citation-style-language/schema/raw/master/csl-citation.json"} </w:instrText>
      </w:r>
      <w:r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[233]</w:t>
      </w:r>
      <w:r w:rsidRPr="00DB7074">
        <w:rPr>
          <w:rFonts w:ascii="Book Antiqua" w:hAnsi="Book Antiqua" w:cs="Times New Roman"/>
          <w:sz w:val="24"/>
          <w:szCs w:val="24"/>
        </w:rPr>
        <w:fldChar w:fldCharType="end"/>
      </w:r>
      <w:r w:rsidRPr="00DB7074">
        <w:rPr>
          <w:rFonts w:ascii="Book Antiqua" w:hAnsi="Book Antiqua" w:cs="Times New Roman"/>
          <w:sz w:val="24"/>
          <w:szCs w:val="24"/>
        </w:rPr>
        <w:t xml:space="preserve">. </w:t>
      </w:r>
      <w:r w:rsidR="005B45C1" w:rsidRPr="00DB7074">
        <w:rPr>
          <w:rFonts w:ascii="Book Antiqua" w:hAnsi="Book Antiqua" w:cs="Times New Roman"/>
          <w:sz w:val="24"/>
          <w:szCs w:val="24"/>
        </w:rPr>
        <w:t xml:space="preserve">Given the severe colitis observed in some patients receiving immunotherapies (e.g., antibodies to CTLA4 and PD-L1) and the role of gut microbes in colitis, it is possible that the gut microbiota influences this toxicity. Investigations are thus needed to elucidate the potential role of </w:t>
      </w:r>
      <w:r w:rsidR="007D1CCE" w:rsidRPr="00DB7074">
        <w:rPr>
          <w:rFonts w:ascii="Book Antiqua" w:hAnsi="Book Antiqua" w:cs="Times New Roman"/>
          <w:sz w:val="24"/>
          <w:szCs w:val="24"/>
        </w:rPr>
        <w:t xml:space="preserve">the </w:t>
      </w:r>
      <w:r w:rsidR="005B45C1" w:rsidRPr="00DB7074">
        <w:rPr>
          <w:rFonts w:ascii="Book Antiqua" w:hAnsi="Book Antiqua" w:cs="Times New Roman"/>
          <w:sz w:val="24"/>
          <w:szCs w:val="24"/>
        </w:rPr>
        <w:t>microbiota on immunotherapy efficacy and toxicity in preclinical models and patients</w:t>
      </w:r>
      <w:r w:rsidRPr="00DB7074">
        <w:rPr>
          <w:rFonts w:ascii="Book Antiqua" w:hAnsi="Book Antiqua" w:cs="Times New Roman"/>
          <w:sz w:val="24"/>
          <w:szCs w:val="24"/>
        </w:rPr>
        <w:t>.</w:t>
      </w:r>
      <w:r w:rsidR="00A80AF5" w:rsidRPr="00DB7074">
        <w:rPr>
          <w:rFonts w:ascii="Book Antiqua" w:hAnsi="Book Antiqua" w:cs="Times New Roman"/>
          <w:sz w:val="24"/>
          <w:szCs w:val="24"/>
        </w:rPr>
        <w:t xml:space="preserve"> G</w:t>
      </w:r>
      <w:r w:rsidRPr="00DB7074">
        <w:rPr>
          <w:rFonts w:ascii="Book Antiqua" w:hAnsi="Book Antiqua" w:cs="Times New Roman"/>
          <w:sz w:val="24"/>
          <w:szCs w:val="24"/>
        </w:rPr>
        <w:t xml:space="preserve">ut microbiota profiling of CRC patients </w:t>
      </w:r>
      <w:r w:rsidR="007D1CCE" w:rsidRPr="00DB7074">
        <w:rPr>
          <w:rFonts w:ascii="Book Antiqua" w:hAnsi="Book Antiqua" w:cs="Times New Roman"/>
          <w:sz w:val="24"/>
          <w:szCs w:val="24"/>
        </w:rPr>
        <w:t>might</w:t>
      </w:r>
      <w:r w:rsidRPr="00DB7074">
        <w:rPr>
          <w:rFonts w:ascii="Book Antiqua" w:hAnsi="Book Antiqua" w:cs="Times New Roman"/>
          <w:sz w:val="24"/>
          <w:szCs w:val="24"/>
        </w:rPr>
        <w:t xml:space="preserve"> be useful in the future to predict </w:t>
      </w:r>
      <w:r w:rsidR="007D1CCE" w:rsidRPr="00DB7074">
        <w:rPr>
          <w:rFonts w:ascii="Book Antiqua" w:hAnsi="Book Antiqua" w:cs="Times New Roman"/>
          <w:sz w:val="24"/>
          <w:szCs w:val="24"/>
        </w:rPr>
        <w:t xml:space="preserve">treatment </w:t>
      </w:r>
      <w:r w:rsidRPr="00DB7074">
        <w:rPr>
          <w:rFonts w:ascii="Book Antiqua" w:hAnsi="Book Antiqua" w:cs="Times New Roman"/>
          <w:sz w:val="24"/>
          <w:szCs w:val="24"/>
        </w:rPr>
        <w:t xml:space="preserve">responses and/or side effects of cancer chemotherapies and immunotherapies. </w:t>
      </w:r>
      <w:r w:rsidR="00A718A9" w:rsidRPr="00DB7074">
        <w:rPr>
          <w:rFonts w:ascii="Book Antiqua" w:hAnsi="Book Antiqua" w:cs="Times New Roman"/>
          <w:sz w:val="24"/>
          <w:szCs w:val="24"/>
        </w:rPr>
        <w:t xml:space="preserve">All these data could </w:t>
      </w:r>
      <w:r w:rsidRPr="00DB7074">
        <w:rPr>
          <w:rFonts w:ascii="Book Antiqua" w:hAnsi="Book Antiqua" w:cs="Times New Roman"/>
          <w:sz w:val="24"/>
          <w:szCs w:val="24"/>
        </w:rPr>
        <w:t xml:space="preserve">lead to “personalized medicine 2.0” </w:t>
      </w:r>
      <w:r w:rsidR="00AB633A" w:rsidRPr="00DB7074">
        <w:rPr>
          <w:rFonts w:ascii="Book Antiqua" w:hAnsi="Book Antiqua" w:cs="Times New Roman"/>
          <w:sz w:val="24"/>
          <w:szCs w:val="24"/>
        </w:rPr>
        <w:t>that is being developed</w:t>
      </w:r>
      <w:r w:rsidRPr="00DB7074">
        <w:rPr>
          <w:rFonts w:ascii="Book Antiqua" w:hAnsi="Book Antiqua" w:cs="Times New Roman"/>
          <w:sz w:val="24"/>
          <w:szCs w:val="24"/>
        </w:rPr>
        <w:t xml:space="preserve"> in an ongoing study investigating the impact of </w:t>
      </w:r>
      <w:r w:rsidR="00AB633A" w:rsidRPr="00DB7074">
        <w:rPr>
          <w:rFonts w:ascii="Book Antiqua" w:hAnsi="Book Antiqua" w:cs="Times New Roman"/>
          <w:sz w:val="24"/>
          <w:szCs w:val="24"/>
        </w:rPr>
        <w:t xml:space="preserve">the </w:t>
      </w:r>
      <w:r w:rsidRPr="00DB7074">
        <w:rPr>
          <w:rFonts w:ascii="Book Antiqua" w:hAnsi="Book Antiqua" w:cs="Times New Roman"/>
          <w:sz w:val="24"/>
          <w:szCs w:val="24"/>
        </w:rPr>
        <w:t xml:space="preserve">intestinal microbiome on </w:t>
      </w:r>
      <w:r w:rsidR="00AB633A" w:rsidRPr="00DB7074">
        <w:rPr>
          <w:rFonts w:ascii="Book Antiqua" w:hAnsi="Book Antiqua" w:cs="Times New Roman"/>
          <w:sz w:val="24"/>
          <w:szCs w:val="24"/>
        </w:rPr>
        <w:t xml:space="preserve">treatment </w:t>
      </w:r>
      <w:r w:rsidRPr="00DB7074">
        <w:rPr>
          <w:rFonts w:ascii="Book Antiqua" w:hAnsi="Book Antiqua" w:cs="Times New Roman"/>
          <w:sz w:val="24"/>
          <w:szCs w:val="24"/>
        </w:rPr>
        <w:t>response</w:t>
      </w:r>
      <w:r w:rsidR="00AB633A" w:rsidRPr="00DB7074">
        <w:rPr>
          <w:rFonts w:ascii="Book Antiqua" w:hAnsi="Book Antiqua" w:cs="Times New Roman"/>
          <w:sz w:val="24"/>
          <w:szCs w:val="24"/>
        </w:rPr>
        <w:t>s</w:t>
      </w:r>
      <w:r w:rsidRPr="00DB7074">
        <w:rPr>
          <w:rFonts w:ascii="Book Antiqua" w:hAnsi="Book Antiqua" w:cs="Times New Roman"/>
          <w:sz w:val="24"/>
          <w:szCs w:val="24"/>
        </w:rPr>
        <w:t xml:space="preserve"> and </w:t>
      </w:r>
      <w:r w:rsidR="00AB633A" w:rsidRPr="00DB7074">
        <w:rPr>
          <w:rFonts w:ascii="Book Antiqua" w:hAnsi="Book Antiqua" w:cs="Times New Roman"/>
          <w:sz w:val="24"/>
          <w:szCs w:val="24"/>
        </w:rPr>
        <w:t xml:space="preserve">the </w:t>
      </w:r>
      <w:r w:rsidRPr="00DB7074">
        <w:rPr>
          <w:rFonts w:ascii="Book Antiqua" w:hAnsi="Book Antiqua" w:cs="Times New Roman"/>
          <w:sz w:val="24"/>
          <w:szCs w:val="24"/>
        </w:rPr>
        <w:t>toxicity of capecitabine or TAS-102 chemotherapies in patients with metastatic and/or irresectable CRC</w:t>
      </w:r>
      <w:r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{"citationID":"a4bvfulhf2","properties":{"formattedCitation":"\\super [245]\\nosupersub{}","plainCitation":"[245]","noteIndex":0},"citationItems":[{"id":553,"uris":["http://zotero.org/users/4113810/items/LJRGM6GC"],"uri":["http://zotero.org/users/4113810/items/LJRGM6GC"],"itemData":{"id":553,"type":"article-journal","title":"Study protocol on the role of intestinal microbiota in colorectal cancer treatment: a pathway to personalized medicine 2.0","container-title":"International Journal of Colorectal Disease","page":"1077-1084","volume":"32","issue":"7","source":"PubMed","abstract":"PURPOSE: Investigate in patients with metastatic and/or irresectable colorectal cancer treated with systemic treatment with capecitabine or TAS-102 whether: 1. Intestinal microbiota composition can act as a predictor for response. 2. Intestinal microbiota composition changes during systemic treatment and its relation to chemotoxicity.\nBACKGROUND: Gut microbiota and host determinants evolve in symbiotic and dependent relationships resulting in a personal ecosystem. In vitro studies showed prolonged and increased response to 5-fluorouracil, a fluoropyrimidine, in the presence of a favorable microbiota composition. Capecitabine and TAS-102 are both fluoropyrimidines used for systemic treatment in colorectal cancer patients.\nMETHODS: An explorative prospective multicenter cohort study in the Maastricht University Medical Centre+ and Zuyderland Medical Centre will be performed in 66 patients. Before, during, and after three cycles of systemic treatment with capecitabine or TAS-102, fecal samples and questionnaires (concerning compliance and chemotoxicity) will be collected. The response will be measured by CT/MRI using RECIST-criteria. Fecal microbiota composition will be analyzed with 16S rRNA next-generation sequencing. The absolute bacterial abundance will be assessed with quantitative polymerase chain reaction. Multivariate analysis will be used for statistical analysis.\nCONCLUSIONS: We aim to detect a microbiota composition that predicts if patients with metastatic and/or irresectable colorectal cancer will respond to systemic treatment and/or experience zero to limited chemotoxicity. If we are able to identify a favorable microbiota composition, fecal microbiota transplantation might be the low-burden alternative to chemotherapy switch in the future.","DOI":"10.1007/s00384-017-2819-3","ISSN":"1432-1262","note":"PMID: 28444508\nPMCID: PMC5486633","shortTitle":"Study protocol on the role of intestinal microbiota in colorectal cancer treatment","journalAbbreviation":"Int J Colorectal Dis","language":"eng","author":[{"family":"Aarnoutse","given":"R."},{"family":"Vos-Geelen","given":"J. M. P. G. M.","non-dropping-particle":"de"},{"family":"Penders","given":"J."},{"family":"Boerma","given":"E. G."},{"family":"Warmerdam","given":"F. a. R. M."},{"family":"Goorts","given":"B."},{"family":"Olde Damink","given":"S. W. M."},{"family":"Soons","given":"Z."},{"family":"Rensen","given":"S. S. M."},{"family":"Smidt","given":"M. L."}],"issued":{"date-parts":[["2017",7]]}}}],"schema":"https://github.com/citation-style-language/schema/raw/master/csl-citation.json"} </w:instrText>
      </w:r>
      <w:r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[245]</w:t>
      </w:r>
      <w:r w:rsidRPr="00DB7074">
        <w:rPr>
          <w:rFonts w:ascii="Book Antiqua" w:hAnsi="Book Antiqua" w:cs="Times New Roman"/>
          <w:sz w:val="24"/>
          <w:szCs w:val="24"/>
        </w:rPr>
        <w:fldChar w:fldCharType="end"/>
      </w:r>
      <w:r w:rsidRPr="00DB7074">
        <w:rPr>
          <w:rFonts w:ascii="Book Antiqua" w:hAnsi="Book Antiqua" w:cs="Times New Roman"/>
          <w:sz w:val="24"/>
          <w:szCs w:val="24"/>
        </w:rPr>
        <w:t xml:space="preserve">. </w:t>
      </w:r>
    </w:p>
    <w:p w14:paraId="3A543094" w14:textId="7036FBDA" w:rsidR="00D13ED2" w:rsidRPr="00DB7074" w:rsidRDefault="001D32EA" w:rsidP="00C43CFB">
      <w:pPr>
        <w:snapToGrid w:val="0"/>
        <w:spacing w:after="0" w:line="360" w:lineRule="auto"/>
        <w:ind w:firstLineChars="100" w:firstLine="240"/>
        <w:jc w:val="both"/>
        <w:rPr>
          <w:rFonts w:ascii="Book Antiqua" w:hAnsi="Book Antiqua" w:cs="Times New Roman"/>
          <w:sz w:val="24"/>
          <w:szCs w:val="24"/>
        </w:rPr>
      </w:pPr>
      <w:r w:rsidRPr="00DB7074">
        <w:rPr>
          <w:rFonts w:ascii="Book Antiqua" w:hAnsi="Book Antiqua" w:cs="Times New Roman"/>
          <w:sz w:val="24"/>
          <w:szCs w:val="24"/>
        </w:rPr>
        <w:t>Perioperative antibiotic prophylaxis strategies targeting the gut microbiota are widely used in colorectal surgery. The aim of such approaches is to prevent both</w:t>
      </w:r>
      <w:r w:rsidR="00AB633A" w:rsidRPr="00DB7074">
        <w:rPr>
          <w:rFonts w:ascii="Book Antiqua" w:hAnsi="Book Antiqua" w:cs="Times New Roman"/>
          <w:sz w:val="24"/>
          <w:szCs w:val="24"/>
        </w:rPr>
        <w:t xml:space="preserve"> surgical</w:t>
      </w:r>
      <w:r w:rsidRPr="00DB7074">
        <w:rPr>
          <w:rFonts w:ascii="Book Antiqua" w:hAnsi="Book Antiqua" w:cs="Times New Roman"/>
          <w:sz w:val="24"/>
          <w:szCs w:val="24"/>
        </w:rPr>
        <w:t xml:space="preserve"> site and wound infections, protecting against potential contamination by the microorganisms </w:t>
      </w:r>
      <w:r w:rsidR="00AB633A" w:rsidRPr="00DB7074">
        <w:rPr>
          <w:rFonts w:ascii="Book Antiqua" w:hAnsi="Book Antiqua" w:cs="Times New Roman"/>
          <w:sz w:val="24"/>
          <w:szCs w:val="24"/>
        </w:rPr>
        <w:t xml:space="preserve">that are </w:t>
      </w:r>
      <w:r w:rsidRPr="00DB7074">
        <w:rPr>
          <w:rFonts w:ascii="Book Antiqua" w:hAnsi="Book Antiqua" w:cs="Times New Roman"/>
          <w:sz w:val="24"/>
          <w:szCs w:val="24"/>
        </w:rPr>
        <w:t>spread from surgical</w:t>
      </w:r>
      <w:r w:rsidR="00507882" w:rsidRPr="00DB7074">
        <w:rPr>
          <w:rFonts w:ascii="Book Antiqua" w:hAnsi="Book Antiqua" w:cs="Times New Roman"/>
          <w:sz w:val="24"/>
          <w:szCs w:val="24"/>
        </w:rPr>
        <w:t xml:space="preserve">ly </w:t>
      </w:r>
      <w:r w:rsidRPr="00DB7074">
        <w:rPr>
          <w:rFonts w:ascii="Book Antiqua" w:hAnsi="Book Antiqua" w:cs="Times New Roman"/>
          <w:sz w:val="24"/>
          <w:szCs w:val="24"/>
        </w:rPr>
        <w:t xml:space="preserve">induced alterations of the intestinal epithelial barrier. However, these antibiotic prophylaxis strategies </w:t>
      </w:r>
      <w:r w:rsidR="00AB633A" w:rsidRPr="00DB7074">
        <w:rPr>
          <w:rFonts w:ascii="Book Antiqua" w:hAnsi="Book Antiqua" w:cs="Times New Roman"/>
          <w:sz w:val="24"/>
          <w:szCs w:val="24"/>
        </w:rPr>
        <w:t xml:space="preserve">may </w:t>
      </w:r>
      <w:r w:rsidRPr="00DB7074">
        <w:rPr>
          <w:rFonts w:ascii="Book Antiqua" w:hAnsi="Book Antiqua" w:cs="Times New Roman"/>
          <w:sz w:val="24"/>
          <w:szCs w:val="24"/>
        </w:rPr>
        <w:t xml:space="preserve">also impair the beneficial impact of the gut microbiota on intestinal immune function and healing </w:t>
      </w:r>
      <w:r w:rsidR="00E27DEF" w:rsidRPr="00DB7074">
        <w:rPr>
          <w:rFonts w:ascii="Book Antiqua" w:hAnsi="Book Antiqua" w:cs="Times New Roman"/>
          <w:sz w:val="24"/>
          <w:szCs w:val="24"/>
        </w:rPr>
        <w:t>(</w:t>
      </w:r>
      <w:r w:rsidR="00AB633A" w:rsidRPr="00DB7074">
        <w:rPr>
          <w:rFonts w:ascii="Book Antiqua" w:hAnsi="Book Antiqua" w:cs="Times New Roman"/>
          <w:sz w:val="24"/>
          <w:szCs w:val="24"/>
        </w:rPr>
        <w:t>f</w:t>
      </w:r>
      <w:r w:rsidR="00E27DEF" w:rsidRPr="00DB7074">
        <w:rPr>
          <w:rFonts w:ascii="Book Antiqua" w:hAnsi="Book Antiqua" w:cs="Times New Roman"/>
          <w:sz w:val="24"/>
          <w:szCs w:val="24"/>
        </w:rPr>
        <w:t>or review</w:t>
      </w:r>
      <w:r w:rsidR="007B1C93"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{"citationID":"a1oq5viecka","properties":{"formattedCitation":"\\super [246]\\nosupersub{}","plainCitation":"[246]","noteIndex":0},"citationItems":[{"id":"D1GMNV0O/3n2KM5gr","uris":["http://zotero.org/users/4804376/items/P4K8LWED"],"uri":["http://zotero.org/users/4804376/items/P4K8LWED"],"itemData":{"id":38,"type":"article-journal","title":"The gut microbiota and gastrointestinal surgery","container-title":"Nature Reviews Gastroenterology &amp; Hepatology","page":"43-54","volume":"14","issue":"1","source":"CrossRef","abstract":"Surgery involving the gastrointestinal tract continues to prove challenging because of the persistence of unpredictable complications such as anastomotic leakage and life-threatening infections. Removal of diseased intestinal segments results in substantial catabolic stress and might require complex reconstructive surgery to maintain the functional continuity of the intestinal tract. As gastrointestinal surgery necessarily involves a breach of an epithelial barrier colonized by microorganisms, preoperative intestinal antisepsis is used to reduce infection-related complications. The current approach to intestinal antisepsis varies widely across institutions and countries with little understanding of its mechanism of action, effect on the gut microbiota and overall efficacy. Many of the current approaches to intestinal antisepsis before gastrointestinal surgery run counter to emerging concepts of intestinal microbiota contributing to immune function and recovery from injury. Here, we review evidence outlining the role of gut microbiota in recovery from gastrointestinal surgery, particularly in the development of infections and anastomotic leak. To make surgery safer and further reduce complications, a molecular, genetic and functional understanding of the response of the gastrointestinal tract to alterations in its microbiota is needed. Methods can then be developed to preserve the health-promoting functions of the microbiota while at the same time suppressing their harmful effects.","DOI":"10.1038/nrgastro.2016.139","ISSN":"1759-5045, 1759-5053","language":"en","author":[{"family":"Guyton","given":"Kristina"},{"family":"Alverdy","given":"John C."}],"issued":{"date-parts":[["2017",1]]}}}],"schema":"https://github.com/citation-style-language/schema/raw/master/csl-citation.json"} </w:instrText>
      </w:r>
      <w:r w:rsidR="007B1C93"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[246]</w:t>
      </w:r>
      <w:r w:rsidR="007B1C93" w:rsidRPr="00DB7074">
        <w:rPr>
          <w:rFonts w:ascii="Book Antiqua" w:hAnsi="Book Antiqua" w:cs="Times New Roman"/>
          <w:sz w:val="24"/>
          <w:szCs w:val="24"/>
        </w:rPr>
        <w:fldChar w:fldCharType="end"/>
      </w:r>
      <w:r w:rsidR="00E27DEF" w:rsidRPr="00DB7074">
        <w:rPr>
          <w:rFonts w:ascii="Book Antiqua" w:hAnsi="Book Antiqua" w:cs="Times New Roman"/>
          <w:sz w:val="24"/>
          <w:szCs w:val="24"/>
        </w:rPr>
        <w:t>)</w:t>
      </w:r>
      <w:r w:rsidR="00D27373" w:rsidRPr="00DB7074">
        <w:rPr>
          <w:rFonts w:ascii="Book Antiqua" w:hAnsi="Book Antiqua" w:cs="Times New Roman"/>
          <w:sz w:val="24"/>
          <w:szCs w:val="24"/>
        </w:rPr>
        <w:t>.</w:t>
      </w:r>
      <w:r w:rsidR="00D13ED2" w:rsidRPr="00DB7074">
        <w:rPr>
          <w:rFonts w:ascii="Book Antiqua" w:hAnsi="Book Antiqua" w:cs="Times New Roman"/>
          <w:sz w:val="24"/>
          <w:szCs w:val="24"/>
        </w:rPr>
        <w:t xml:space="preserve"> </w:t>
      </w:r>
      <w:r w:rsidR="00375225" w:rsidRPr="00DB7074">
        <w:rPr>
          <w:rFonts w:ascii="Book Antiqua" w:hAnsi="Book Antiqua" w:cs="Times New Roman"/>
          <w:sz w:val="24"/>
          <w:szCs w:val="24"/>
        </w:rPr>
        <w:t xml:space="preserve">Few studies </w:t>
      </w:r>
      <w:r w:rsidR="00AB633A" w:rsidRPr="00DB7074">
        <w:rPr>
          <w:rFonts w:ascii="Book Antiqua" w:hAnsi="Book Antiqua" w:cs="Times New Roman"/>
          <w:sz w:val="24"/>
          <w:szCs w:val="24"/>
        </w:rPr>
        <w:t xml:space="preserve">have </w:t>
      </w:r>
      <w:r w:rsidR="00375225" w:rsidRPr="00DB7074">
        <w:rPr>
          <w:rFonts w:ascii="Book Antiqua" w:hAnsi="Book Antiqua" w:cs="Times New Roman"/>
          <w:sz w:val="24"/>
          <w:szCs w:val="24"/>
        </w:rPr>
        <w:t>investigated the impact that bowel preparation prior to colorectal surgery may have on the mucosa-associated and luminal colonic micro</w:t>
      </w:r>
      <w:r w:rsidR="00A718A9" w:rsidRPr="00DB7074">
        <w:rPr>
          <w:rFonts w:ascii="Book Antiqua" w:hAnsi="Book Antiqua" w:cs="Times New Roman"/>
          <w:sz w:val="24"/>
          <w:szCs w:val="24"/>
        </w:rPr>
        <w:t>biota</w:t>
      </w:r>
      <w:r w:rsidR="00CF7F12"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{"citationID":"a1p7u7cguaa","properties":{"formattedCitation":"\\super [247]\\nosupersub{}","plainCitation":"[247]","noteIndex":0},"citationItems":[{"id":"D1GMNV0O/0zXr0U8W","uris":["http://zotero.org/users/4804376/items/7ICLXBAC"],"uri":["http://zotero.org/users/4804376/items/7ICLXBAC"],"itemData":{"id":37,"type":"article-journal","title":"Novel insight into the role of microbiota in colorectal surgery","container-title":"Gut","page":"738-749","volume":"66","issue":"4","source":"CrossRef","abstract":"Recent literature undeniably supports the idea that the microbiota has a strong inﬂuence on the healing process of an intestinal anastomosis. Understanding the mechanisms by which the bacterial community of the gut inﬂuences intestinal healing could open the door for new preventive and therapeutic approaches. Among the different mechanisms, data have shown that the production of speciﬁc reactive oxygen species (ROS) and the activation of speciﬁc formyl peptide receptors (FPRs) regulate intestinal wound healing. Evidence suggests that speciﬁc gut microbes such as Lactobacillus spp and Akkermansia muciniphila help to regulate healing processes through both ROS-dependent and FPRdependent mechanisms. In this review, we will discuss the current knowledge and future perspectives concerning the impact of microbiota on wound healing. We will further review available evidence on whether mechanical bowel preparation and the use of speciﬁc antibiotics are beneﬁcial or harmful procedures, an ongoing matter of debate. These practices have a profound effect on the gut microbiota composition at the level of both the mucosal and the luminal compartments. Therefore, a key question remains unanswered: should we continue to prepare the gut before surgical intervention? Current knowledge and data do not clearly support the use of one technique or another to avoid complications such as anastomotic leak. There is an urgent need for appropriate interventions with a deep microbiota analysis to investigate both the surgical technical beneﬁts of a proper anastomosis compared with the potential effect of the gut microbes (beneﬁcial vs harmful) on the processes of wound healing and anastomotic leakage reduction.","DOI":"10.1136/gutjnl-2016-312569","ISSN":"0017-5749, 1468-3288","language":"en","author":[{"family":"Bachmann","given":"Radu"},{"family":"Leonard","given":"Daniel"},{"family":"Delzenne","given":"Nathalie"},{"family":"Kartheuser","given":"Alex"},{"family":"Cani","given":"Patrice D"}],"issued":{"date-parts":[["2017",4]]}}}],"schema":"https://github.com/citation-style-language/schema/raw/master/csl-citation.json"} </w:instrText>
      </w:r>
      <w:r w:rsidR="00CF7F12"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[247]</w:t>
      </w:r>
      <w:r w:rsidR="00CF7F12" w:rsidRPr="00DB7074">
        <w:rPr>
          <w:rFonts w:ascii="Book Antiqua" w:hAnsi="Book Antiqua" w:cs="Times New Roman"/>
          <w:sz w:val="24"/>
          <w:szCs w:val="24"/>
        </w:rPr>
        <w:fldChar w:fldCharType="end"/>
      </w:r>
      <w:r w:rsidR="00375225" w:rsidRPr="00DB7074">
        <w:rPr>
          <w:rFonts w:ascii="Book Antiqua" w:hAnsi="Book Antiqua" w:cs="Times New Roman"/>
          <w:sz w:val="24"/>
          <w:szCs w:val="24"/>
        </w:rPr>
        <w:t xml:space="preserve">. </w:t>
      </w:r>
      <w:r w:rsidR="0089343F" w:rsidRPr="00DB7074">
        <w:rPr>
          <w:rFonts w:ascii="Book Antiqua" w:hAnsi="Book Antiqua" w:cs="Times New Roman"/>
          <w:sz w:val="24"/>
          <w:szCs w:val="24"/>
        </w:rPr>
        <w:t xml:space="preserve">After </w:t>
      </w:r>
      <w:r w:rsidR="00AB633A" w:rsidRPr="00DB7074">
        <w:rPr>
          <w:rFonts w:ascii="Book Antiqua" w:hAnsi="Book Antiqua" w:cs="Times New Roman"/>
          <w:sz w:val="24"/>
          <w:szCs w:val="24"/>
        </w:rPr>
        <w:t xml:space="preserve">the </w:t>
      </w:r>
      <w:r w:rsidR="0089343F" w:rsidRPr="00DB7074">
        <w:rPr>
          <w:rFonts w:ascii="Book Antiqua" w:hAnsi="Book Antiqua" w:cs="Times New Roman"/>
          <w:sz w:val="24"/>
          <w:szCs w:val="24"/>
        </w:rPr>
        <w:t xml:space="preserve">suppression of beneficial bacteria, the host </w:t>
      </w:r>
      <w:r w:rsidR="00AB633A" w:rsidRPr="00DB7074">
        <w:rPr>
          <w:rFonts w:ascii="Book Antiqua" w:hAnsi="Book Antiqua" w:cs="Times New Roman"/>
          <w:sz w:val="24"/>
          <w:szCs w:val="24"/>
        </w:rPr>
        <w:t>may</w:t>
      </w:r>
      <w:r w:rsidR="0089343F" w:rsidRPr="00DB7074">
        <w:rPr>
          <w:rFonts w:ascii="Book Antiqua" w:hAnsi="Book Antiqua" w:cs="Times New Roman"/>
          <w:sz w:val="24"/>
          <w:szCs w:val="24"/>
        </w:rPr>
        <w:t xml:space="preserve"> lose its colonization resistance to pathogens</w:t>
      </w:r>
      <w:r w:rsidR="00AB633A" w:rsidRPr="00DB7074">
        <w:rPr>
          <w:rFonts w:ascii="Book Antiqua" w:hAnsi="Book Antiqua" w:cs="Times New Roman"/>
          <w:sz w:val="24"/>
          <w:szCs w:val="24"/>
        </w:rPr>
        <w:t xml:space="preserve"> and may have decreased </w:t>
      </w:r>
      <w:r w:rsidR="0089343F" w:rsidRPr="00DB7074">
        <w:rPr>
          <w:rFonts w:ascii="Book Antiqua" w:hAnsi="Book Antiqua" w:cs="Times New Roman"/>
          <w:sz w:val="24"/>
          <w:szCs w:val="24"/>
        </w:rPr>
        <w:t xml:space="preserve">local stimulation of systemic immunity and </w:t>
      </w:r>
      <w:r w:rsidR="00AB633A" w:rsidRPr="00DB7074">
        <w:rPr>
          <w:rFonts w:ascii="Book Antiqua" w:hAnsi="Book Antiqua" w:cs="Times New Roman"/>
          <w:sz w:val="24"/>
          <w:szCs w:val="24"/>
        </w:rPr>
        <w:t xml:space="preserve">the </w:t>
      </w:r>
      <w:r w:rsidR="0089343F" w:rsidRPr="00DB7074">
        <w:rPr>
          <w:rFonts w:ascii="Book Antiqua" w:hAnsi="Book Antiqua" w:cs="Times New Roman"/>
          <w:sz w:val="24"/>
          <w:szCs w:val="24"/>
        </w:rPr>
        <w:t>healing</w:t>
      </w:r>
      <w:r w:rsidR="008565EA" w:rsidRPr="00DB7074">
        <w:rPr>
          <w:rFonts w:ascii="Book Antiqua" w:hAnsi="Book Antiqua" w:cs="Times New Roman"/>
          <w:sz w:val="24"/>
          <w:szCs w:val="24"/>
        </w:rPr>
        <w:t xml:space="preserve"> process</w:t>
      </w:r>
      <w:r w:rsidR="00CF7F12"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{"citationID":"jJ4LLFdu","properties":{"formattedCitation":"\\super [248,249]\\nosupersub{}","plainCitation":"[248,249]","noteIndex":0},"citationItems":[{"id":"D1GMNV0O/p9B8Lnca","uris":["http://zotero.org/users/4804376/items/UL55LG9D"],"uri":["http://zotero.org/users/4804376/items/UL55LG9D"],"itemData":{"id":662,"type":"article-journal","title":"No vacancy: how beneficial microbes cooperate with immunity to provide colonization resistance to pathogens","container-title":"Journal of Immunology (Baltimore, Md.: 1950)","page":"4081-4087","volume":"194","issue":"9","source":"PubMed","abstract":"The mammalian intestine harbors a community of trillions of microbes, collectively known as the gut microbiota, which coevolved with the host in a mutually beneficial relationship. Among the numerous gut microbial species, certain commensal bacteria are known to provide health benefits to the host when administered in adequate amounts and, as such, are labeled \"probiotics.\" We review some of the mechanisms by which probiotics and other beneficial commensals provide colonization resistance to pathogens. The battle for similar nutrients and the bacterial secretion of antimicrobials provide a direct means of competition between beneficial and harmful microbes. Beneficial microbes can also indirectly diminish pathogen colonization by stimulating the development of innate and adaptive immunity, as well as the function of the mucosal barrier. Altogether, we gather and present evidence that beneficial microbes cooperate with host immunity in an effort to shut out pathogens.","DOI":"10.4049/jimmunol.1403169","ISSN":"1550-6606","note":"PMID: 25888704\nPMCID: PMC4402713","shortTitle":"No vacancy","journalAbbreviation":"J. Immunol.","language":"eng","author":[{"family":"Sassone-Corsi","given":"Martina"},{"family":"Raffatellu","given":"Manuela"}],"issued":{"date-parts":[["2015",5,1]]}}},{"id":"D1GMNV0O/j98IKjVs","uris":["http://zotero.org/users/4804376/items/Y3IGWNBF"],"uri":["http://zotero.org/users/4804376/items/Y3IGWNBF"],"itemData":{"id":664,"type":"article-journal","title":"Wound healing responses at the gastrointestinal epithelium: a close look at novel regulatory factors and investigative approaches","container-title":"Zeitschrift Fur Gastroenterologie","page":"1221-1229","volume":"47","issue":"12","source":"PubMed","abstract":"The gastrointestinal epithelium functions as an important physical barrier that separates the rich, diverse, and potentially immunogenic luminal content from the underlying mucosal immune system. In pathological situations such as inflammatory bowel disease, ischemic/hypoxic episodes and bacterial infection, insults to the intestinal epithelium threaten the integrity of the mucosal barrier and represent a huge challenge for the host. During episodes of epithelial injury and barrier breakdown, the host initiates a rapid wound healing response aimed at resealing the gap region and reestablishing homeostasis. This response named \"restitution\" involves migration of epithelial cells toward the injured regions, as well as epithelial cell proliferation until the gap is closed and the barrier function is reestablished. These biological processes are influenced by a variety of factors derived from the gastrointestinal microenvironment, including host epithelial and lamina propria cells, as well as the microbiota, and the dietary and non-dietary components present in the gastrointestinal lumen. In this manuscript, we will review both host signaling events and luminal factors that influence the wound healing response and have an impact on host homeostasis.","DOI":"10.1055/s-0028-1109766","ISSN":"1439-7803","note":"PMID: 19960401","shortTitle":"Wound healing responses at the gastrointestinal epithelium","journalAbbreviation":"Z Gastroenterol","language":"eng","author":[{"family":"Karrasch","given":"T."},{"family":"Jobin","given":"C."}],"issued":{"date-parts":[["2009",12]]}}}],"schema":"https://github.com/citation-style-language/schema/raw/master/csl-citation.json"} </w:instrText>
      </w:r>
      <w:r w:rsidR="00CF7F12"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[248,249]</w:t>
      </w:r>
      <w:r w:rsidR="00CF7F12" w:rsidRPr="00DB7074">
        <w:rPr>
          <w:rFonts w:ascii="Book Antiqua" w:hAnsi="Book Antiqua" w:cs="Times New Roman"/>
          <w:sz w:val="24"/>
          <w:szCs w:val="24"/>
        </w:rPr>
        <w:fldChar w:fldCharType="end"/>
      </w:r>
      <w:r w:rsidR="0089343F" w:rsidRPr="00DB7074">
        <w:rPr>
          <w:rFonts w:ascii="Book Antiqua" w:hAnsi="Book Antiqua" w:cs="Times New Roman"/>
          <w:sz w:val="24"/>
          <w:szCs w:val="24"/>
        </w:rPr>
        <w:t xml:space="preserve">. After surgery, if the commensal microbiota </w:t>
      </w:r>
      <w:r w:rsidR="00AB633A" w:rsidRPr="00DB7074">
        <w:rPr>
          <w:rFonts w:ascii="Book Antiqua" w:hAnsi="Book Antiqua" w:cs="Times New Roman"/>
          <w:sz w:val="24"/>
          <w:szCs w:val="24"/>
        </w:rPr>
        <w:t>does</w:t>
      </w:r>
      <w:r w:rsidR="0089343F" w:rsidRPr="00DB7074">
        <w:rPr>
          <w:rFonts w:ascii="Book Antiqua" w:hAnsi="Book Antiqua" w:cs="Times New Roman"/>
          <w:sz w:val="24"/>
          <w:szCs w:val="24"/>
        </w:rPr>
        <w:t xml:space="preserve"> not repopulat</w:t>
      </w:r>
      <w:r w:rsidR="00AB633A" w:rsidRPr="00DB7074">
        <w:rPr>
          <w:rFonts w:ascii="Book Antiqua" w:hAnsi="Book Antiqua" w:cs="Times New Roman"/>
          <w:sz w:val="24"/>
          <w:szCs w:val="24"/>
        </w:rPr>
        <w:t>e</w:t>
      </w:r>
      <w:r w:rsidR="0089343F" w:rsidRPr="00DB7074">
        <w:rPr>
          <w:rFonts w:ascii="Book Antiqua" w:hAnsi="Book Antiqua" w:cs="Times New Roman"/>
          <w:sz w:val="24"/>
          <w:szCs w:val="24"/>
        </w:rPr>
        <w:t xml:space="preserve"> the tract, the situation can lead to the development of pathogenic bacteria such as </w:t>
      </w:r>
      <w:r w:rsidR="0089343F" w:rsidRPr="00DB7074">
        <w:rPr>
          <w:rFonts w:ascii="Book Antiqua" w:hAnsi="Book Antiqua" w:cs="Times New Roman"/>
          <w:i/>
          <w:sz w:val="24"/>
          <w:szCs w:val="24"/>
        </w:rPr>
        <w:t>C. difficile</w:t>
      </w:r>
      <w:r w:rsidR="00CF7F12"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{"citationID":"a1hv1hqljn4","properties":{"formattedCitation":"\\super [250]\\nosupersub{}","plainCitation":"[250]","noteIndex":0},"citationItems":[{"id":"D1GMNV0O/xPuFBsaf","uris":["http://zotero.org/users/4804376/items/2BWNKMHR"],"uri":["http://zotero.org/users/4804376/items/2BWNKMHR"],"itemData":{"id":39,"type":"article-journal","title":"The impact of complications after elective colorectal resection within an enhanced recovery pathway","container-title":"Techniques in Coloproctology","source":"CrossRef","abstract":"Background  Despite the implementation of enhanced recovery pathways (ERP), morbidity following colorectal surgery remains high. The aim of the present study was to estimate the impact of postoperative complications on excess hospital length of stay (LOS) in patients undergoing elective colorectal resection.\nMethods  A retrospective study of patients undergoing elective colorectal surgery at a single institution from 2003 to 2010 was performed. Patients managed by an ERP were compared to conventional care (CC), matched by propensity score radius matching. Complications were defined a priori. Excess (independent effect on LOS from multivariate analysis) and attributable (absolute number of additional bed days) LOS of common postoperative complications determined the impact of complications on bed utilization. Multivariate analysis was performed using multiple linear regression.\nResults  A total of 810 propensity-score-matched patients were included (ERP = 472, CC = 338). Complications were significantly lower in the ERP group compared to the CC group (20 vs. 31%, p &lt; 0.001). Median LOS decreased from 7 days in the CC group to 5 days in the ERP group [adjusted decrease in mean LOS of 2.8 days (95% CI 0.8, 4.8)]. Anastomotic leak, myocardial infarction and C. difficile infection had the highest excess LOS for both the ERP and CC groups. However, impaired gastrointestinal function had a higher impact on theabsolute number of hospital bed days in the ERP group, as high as anastomotic leak (72.7 vs. 73.5 days respectively), while in the CC group the impact of gastrointestinal dysfunction was less of that of anastomotic leak (50.6 vs. 78.9 days respectively).\nConclusions  In the setting of an ERP, postoperative complications have significant impact on total bed utilization. Impaired gastrointestinal function, given its high incidence, accounted for almost the same number of additional hospital bed days as anastomotic leak in the ERP group and is a target for quality improvement.","URL":"http://link.springer.com/10.1007/s10151-018-1761-x","DOI":"10.1007/s10151-018-1761-x","ISSN":"1123-6337, 1128-045X","language":"en","author":[{"family":"Lee","given":"L."},{"family":"Liberman","given":"S."},{"family":"Charlebois","given":"P."},{"family":"Stein","given":"B."},{"family":"Kaneva","given":"P."},{"family":"Carli","given":"F."},{"family":"Feldman","given":"L. S."}],"issued":{"date-parts":[["2018",3,5]]},"accessed":{"date-parts":[["2018",3,19]]}}}],"schema":"https://github.com/citation-style-language/schema/raw/master/csl-citation.json"} </w:instrText>
      </w:r>
      <w:r w:rsidR="00CF7F12"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[250]</w:t>
      </w:r>
      <w:r w:rsidR="00CF7F12" w:rsidRPr="00DB7074">
        <w:rPr>
          <w:rFonts w:ascii="Book Antiqua" w:hAnsi="Book Antiqua" w:cs="Times New Roman"/>
          <w:sz w:val="24"/>
          <w:szCs w:val="24"/>
        </w:rPr>
        <w:fldChar w:fldCharType="end"/>
      </w:r>
      <w:r w:rsidR="0089343F" w:rsidRPr="00DB7074">
        <w:rPr>
          <w:rFonts w:ascii="Book Antiqua" w:hAnsi="Book Antiqua" w:cs="Times New Roman"/>
          <w:sz w:val="24"/>
          <w:szCs w:val="24"/>
        </w:rPr>
        <w:t>.</w:t>
      </w:r>
      <w:r w:rsidR="00375225" w:rsidRPr="00DB7074">
        <w:rPr>
          <w:rFonts w:ascii="Book Antiqua" w:hAnsi="Book Antiqua" w:cs="Times New Roman"/>
          <w:sz w:val="24"/>
          <w:szCs w:val="24"/>
        </w:rPr>
        <w:t xml:space="preserve"> </w:t>
      </w:r>
      <w:r w:rsidR="00F6237C" w:rsidRPr="00DB7074">
        <w:rPr>
          <w:rFonts w:ascii="Book Antiqua" w:hAnsi="Book Antiqua" w:cs="Times New Roman"/>
          <w:sz w:val="24"/>
          <w:szCs w:val="24"/>
        </w:rPr>
        <w:t xml:space="preserve">Moreover, data from animal and human studies </w:t>
      </w:r>
      <w:r w:rsidR="00AB633A" w:rsidRPr="00DB7074">
        <w:rPr>
          <w:rFonts w:ascii="Book Antiqua" w:hAnsi="Book Antiqua" w:cs="Times New Roman"/>
          <w:sz w:val="24"/>
          <w:szCs w:val="24"/>
        </w:rPr>
        <w:t xml:space="preserve">have </w:t>
      </w:r>
      <w:r w:rsidR="00F6237C" w:rsidRPr="00DB7074">
        <w:rPr>
          <w:rFonts w:ascii="Book Antiqua" w:hAnsi="Book Antiqua" w:cs="Times New Roman"/>
          <w:sz w:val="24"/>
          <w:szCs w:val="24"/>
        </w:rPr>
        <w:t xml:space="preserve">suggested that some of the bacteria present at the anastomotic site may respond to surgical stress </w:t>
      </w:r>
      <w:r w:rsidR="00AB633A" w:rsidRPr="00DB7074">
        <w:rPr>
          <w:rFonts w:ascii="Book Antiqua" w:hAnsi="Book Antiqua" w:cs="Times New Roman"/>
          <w:sz w:val="24"/>
          <w:szCs w:val="24"/>
        </w:rPr>
        <w:t>by</w:t>
      </w:r>
      <w:r w:rsidR="00F6237C" w:rsidRPr="00DB7074">
        <w:rPr>
          <w:rFonts w:ascii="Book Antiqua" w:hAnsi="Book Antiqua" w:cs="Times New Roman"/>
          <w:sz w:val="24"/>
          <w:szCs w:val="24"/>
        </w:rPr>
        <w:t xml:space="preserve"> activati</w:t>
      </w:r>
      <w:r w:rsidR="00AB633A" w:rsidRPr="00DB7074">
        <w:rPr>
          <w:rFonts w:ascii="Book Antiqua" w:hAnsi="Book Antiqua" w:cs="Times New Roman"/>
          <w:sz w:val="24"/>
          <w:szCs w:val="24"/>
        </w:rPr>
        <w:t xml:space="preserve">ng </w:t>
      </w:r>
      <w:r w:rsidR="00F6237C" w:rsidRPr="00DB7074">
        <w:rPr>
          <w:rFonts w:ascii="Book Antiqua" w:hAnsi="Book Antiqua" w:cs="Times New Roman"/>
          <w:sz w:val="24"/>
          <w:szCs w:val="24"/>
        </w:rPr>
        <w:t>virulence pathways</w:t>
      </w:r>
      <w:r w:rsidR="00AB633A" w:rsidRPr="00DB7074">
        <w:rPr>
          <w:rFonts w:ascii="Book Antiqua" w:hAnsi="Book Antiqua" w:cs="Times New Roman"/>
          <w:sz w:val="24"/>
          <w:szCs w:val="24"/>
        </w:rPr>
        <w:t>,</w:t>
      </w:r>
      <w:r w:rsidR="00F6237C" w:rsidRPr="00DB7074">
        <w:rPr>
          <w:rFonts w:ascii="Book Antiqua" w:hAnsi="Book Antiqua" w:cs="Times New Roman"/>
          <w:sz w:val="24"/>
          <w:szCs w:val="24"/>
        </w:rPr>
        <w:t xml:space="preserve"> which results in alterations </w:t>
      </w:r>
      <w:r w:rsidR="00AB633A" w:rsidRPr="00DB7074">
        <w:rPr>
          <w:rFonts w:ascii="Book Antiqua" w:hAnsi="Book Antiqua" w:cs="Times New Roman"/>
          <w:sz w:val="24"/>
          <w:szCs w:val="24"/>
        </w:rPr>
        <w:t>in</w:t>
      </w:r>
      <w:r w:rsidR="00F6237C" w:rsidRPr="00DB7074">
        <w:rPr>
          <w:rFonts w:ascii="Book Antiqua" w:hAnsi="Book Antiqua" w:cs="Times New Roman"/>
          <w:sz w:val="24"/>
          <w:szCs w:val="24"/>
        </w:rPr>
        <w:t xml:space="preserve"> the healing process. An investigation of the </w:t>
      </w:r>
      <w:r w:rsidR="00507882" w:rsidRPr="00DB7074">
        <w:rPr>
          <w:rFonts w:ascii="Book Antiqua" w:hAnsi="Book Antiqua" w:cs="Times New Roman"/>
          <w:sz w:val="24"/>
          <w:szCs w:val="24"/>
        </w:rPr>
        <w:t>faecal</w:t>
      </w:r>
      <w:r w:rsidR="00F6237C" w:rsidRPr="00DB7074">
        <w:rPr>
          <w:rFonts w:ascii="Book Antiqua" w:hAnsi="Book Antiqua" w:cs="Times New Roman"/>
          <w:sz w:val="24"/>
          <w:szCs w:val="24"/>
        </w:rPr>
        <w:t xml:space="preserve"> microbiota of patients before and after colorectal surgery for CRC revealed that </w:t>
      </w:r>
      <w:r w:rsidR="00F6237C" w:rsidRPr="00DB7074">
        <w:rPr>
          <w:rFonts w:ascii="Book Antiqua" w:hAnsi="Book Antiqua" w:cs="Times New Roman"/>
          <w:i/>
          <w:sz w:val="24"/>
          <w:szCs w:val="24"/>
        </w:rPr>
        <w:t>Enterococcus faecalis</w:t>
      </w:r>
      <w:r w:rsidR="00F6237C" w:rsidRPr="00DB7074">
        <w:rPr>
          <w:rFonts w:ascii="Book Antiqua" w:hAnsi="Book Antiqua" w:cs="Times New Roman"/>
          <w:sz w:val="24"/>
          <w:szCs w:val="24"/>
        </w:rPr>
        <w:t xml:space="preserve"> and </w:t>
      </w:r>
      <w:r w:rsidR="00F6237C" w:rsidRPr="00DB7074">
        <w:rPr>
          <w:rFonts w:ascii="Book Antiqua" w:hAnsi="Book Antiqua" w:cs="Times New Roman"/>
          <w:i/>
          <w:sz w:val="24"/>
          <w:szCs w:val="24"/>
        </w:rPr>
        <w:t>Pseudomonas aeruginosa</w:t>
      </w:r>
      <w:r w:rsidR="00F6237C" w:rsidRPr="00DB7074">
        <w:rPr>
          <w:rFonts w:ascii="Book Antiqua" w:hAnsi="Book Antiqua" w:cs="Times New Roman"/>
          <w:sz w:val="24"/>
          <w:szCs w:val="24"/>
        </w:rPr>
        <w:t xml:space="preserve"> were the dominant pathogens </w:t>
      </w:r>
      <w:r w:rsidR="00F6237C" w:rsidRPr="00DB7074">
        <w:rPr>
          <w:rFonts w:ascii="Book Antiqua" w:hAnsi="Book Antiqua" w:cs="Times New Roman"/>
          <w:sz w:val="24"/>
          <w:szCs w:val="24"/>
        </w:rPr>
        <w:lastRenderedPageBreak/>
        <w:t xml:space="preserve">present postoperatively in the stools, with a several log-fold increase </w:t>
      </w:r>
      <w:r w:rsidR="00AB633A" w:rsidRPr="00DB7074">
        <w:rPr>
          <w:rFonts w:ascii="Book Antiqua" w:hAnsi="Book Antiqua" w:cs="Times New Roman"/>
          <w:sz w:val="24"/>
          <w:szCs w:val="24"/>
        </w:rPr>
        <w:t>during</w:t>
      </w:r>
      <w:r w:rsidR="00F6237C" w:rsidRPr="00DB7074">
        <w:rPr>
          <w:rFonts w:ascii="Book Antiqua" w:hAnsi="Book Antiqua" w:cs="Times New Roman"/>
          <w:sz w:val="24"/>
          <w:szCs w:val="24"/>
        </w:rPr>
        <w:t xml:space="preserve"> the postoperative recovery period</w:t>
      </w:r>
      <w:r w:rsidR="007B1C93"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{"citationID":"a1oie6hba1i","properties":{"formattedCitation":"\\super [251]\\nosupersub{}","plainCitation":"[251]","noteIndex":0},"citationItems":[{"id":"D1GMNV0O/VE10gIGC","uris":["http://zotero.org/users/4804376/items/YGFKYZFZ"],"uri":["http://zotero.org/users/4804376/items/YGFKYZFZ"],"itemData":{"id":698,"type":"article-journal","title":"Significant changes in the intestinal environment after surgery in patients with colorectal cancer","container-title":"Journal of Gastrointestinal Surgery: Official Journal of the Society for Surgery of the Alimentary Tract","page":"1657-1664","volume":"17","issue":"9","source":"PubMed","abstract":"BACKGROUND: There have been very few detailed reports of the intestinal environment after surgical treatment for colorectal cancer (CRC). We analysed faecal microbiota, organic acids and pH to investigate the influence of colorectal surgery on the intestinal environment.\nMETHODS: Faecal samples from 81 CRC patients were collected before the start of pre-operative preparation the day before surgery, as well as 7 days or more after surgery. Thirteen groups of intestinal microbiota, eight types of organic acids, and pH were measured using 16S rRNA-targeted reverse transcription-quantitative PCR, high-performance liquid chromatography and a pH meter, respectively.\nRESULTS: Total bacterial counts (10.3</w:instrText>
      </w:r>
      <w:r w:rsidR="004B13A2" w:rsidRPr="00DB7074">
        <w:rPr>
          <w:rFonts w:ascii="Times New Roman" w:hAnsi="Times New Roman" w:cs="Times New Roman"/>
          <w:sz w:val="24"/>
          <w:szCs w:val="24"/>
        </w:rPr>
        <w:instrText> </w:instrText>
      </w:r>
      <w:r w:rsidR="004B13A2" w:rsidRPr="00DB7074">
        <w:rPr>
          <w:rFonts w:ascii="Book Antiqua" w:hAnsi="Book Antiqua" w:cs="Book Antiqua"/>
          <w:sz w:val="24"/>
          <w:szCs w:val="24"/>
        </w:rPr>
        <w:instrText>±</w:instrText>
      </w:r>
      <w:r w:rsidR="004B13A2" w:rsidRPr="00DB7074">
        <w:rPr>
          <w:rFonts w:ascii="Times New Roman" w:hAnsi="Times New Roman" w:cs="Times New Roman"/>
          <w:sz w:val="24"/>
          <w:szCs w:val="24"/>
        </w:rPr>
        <w:instrText> </w:instrText>
      </w:r>
      <w:r w:rsidR="004B13A2" w:rsidRPr="00DB7074">
        <w:rPr>
          <w:rFonts w:ascii="Book Antiqua" w:hAnsi="Book Antiqua" w:cs="Times New Roman"/>
          <w:sz w:val="24"/>
          <w:szCs w:val="24"/>
        </w:rPr>
        <w:instrText>0.6 vs. 9.4</w:instrText>
      </w:r>
      <w:r w:rsidR="004B13A2" w:rsidRPr="00DB7074">
        <w:rPr>
          <w:rFonts w:ascii="Times New Roman" w:hAnsi="Times New Roman" w:cs="Times New Roman"/>
          <w:sz w:val="24"/>
          <w:szCs w:val="24"/>
        </w:rPr>
        <w:instrText> </w:instrText>
      </w:r>
      <w:r w:rsidR="004B13A2" w:rsidRPr="00DB7074">
        <w:rPr>
          <w:rFonts w:ascii="Book Antiqua" w:hAnsi="Book Antiqua" w:cs="Book Antiqua"/>
          <w:sz w:val="24"/>
          <w:szCs w:val="24"/>
        </w:rPr>
        <w:instrText>±</w:instrText>
      </w:r>
      <w:r w:rsidR="004B13A2" w:rsidRPr="00DB7074">
        <w:rPr>
          <w:rFonts w:ascii="Times New Roman" w:hAnsi="Times New Roman" w:cs="Times New Roman"/>
          <w:sz w:val="24"/>
          <w:szCs w:val="24"/>
        </w:rPr>
        <w:instrText> </w:instrText>
      </w:r>
      <w:r w:rsidR="004B13A2" w:rsidRPr="00DB7074">
        <w:rPr>
          <w:rFonts w:ascii="Book Antiqua" w:hAnsi="Book Antiqua" w:cs="Times New Roman"/>
          <w:sz w:val="24"/>
          <w:szCs w:val="24"/>
        </w:rPr>
        <w:instrText>1.2 log10 cells/g; p</w:instrText>
      </w:r>
      <w:r w:rsidR="004B13A2" w:rsidRPr="00DB7074">
        <w:rPr>
          <w:rFonts w:ascii="Times New Roman" w:hAnsi="Times New Roman" w:cs="Times New Roman"/>
          <w:sz w:val="24"/>
          <w:szCs w:val="24"/>
        </w:rPr>
        <w:instrText> </w:instrText>
      </w:r>
      <w:r w:rsidR="004B13A2" w:rsidRPr="00DB7074">
        <w:rPr>
          <w:rFonts w:ascii="Book Antiqua" w:hAnsi="Book Antiqua" w:cs="Times New Roman"/>
          <w:sz w:val="24"/>
          <w:szCs w:val="24"/>
        </w:rPr>
        <w:instrText>&lt;</w:instrText>
      </w:r>
      <w:r w:rsidR="004B13A2" w:rsidRPr="00DB7074">
        <w:rPr>
          <w:rFonts w:ascii="Times New Roman" w:hAnsi="Times New Roman" w:cs="Times New Roman"/>
          <w:sz w:val="24"/>
          <w:szCs w:val="24"/>
        </w:rPr>
        <w:instrText> </w:instrText>
      </w:r>
      <w:r w:rsidR="004B13A2" w:rsidRPr="00DB7074">
        <w:rPr>
          <w:rFonts w:ascii="Book Antiqua" w:hAnsi="Book Antiqua" w:cs="Times New Roman"/>
          <w:sz w:val="24"/>
          <w:szCs w:val="24"/>
        </w:rPr>
        <w:instrText>0.001) and the numbers of 6 groups of obligate anaerobes were significantly decreased after surgery. In contrast, the populations of Enterobacteriaceae, Enterococcus, Staphylococcus and Pseudomonas were significantly increased. Post-operatively, the concentration of total organic acids was lower (77.9</w:instrText>
      </w:r>
      <w:r w:rsidR="004B13A2" w:rsidRPr="00DB7074">
        <w:rPr>
          <w:rFonts w:ascii="Times New Roman" w:hAnsi="Times New Roman" w:cs="Times New Roman"/>
          <w:sz w:val="24"/>
          <w:szCs w:val="24"/>
        </w:rPr>
        <w:instrText> </w:instrText>
      </w:r>
      <w:r w:rsidR="004B13A2" w:rsidRPr="00DB7074">
        <w:rPr>
          <w:rFonts w:ascii="Book Antiqua" w:hAnsi="Book Antiqua" w:cs="Book Antiqua"/>
          <w:sz w:val="24"/>
          <w:szCs w:val="24"/>
        </w:rPr>
        <w:instrText>±</w:instrText>
      </w:r>
      <w:r w:rsidR="004B13A2" w:rsidRPr="00DB7074">
        <w:rPr>
          <w:rFonts w:ascii="Times New Roman" w:hAnsi="Times New Roman" w:cs="Times New Roman"/>
          <w:sz w:val="24"/>
          <w:szCs w:val="24"/>
        </w:rPr>
        <w:instrText> </w:instrText>
      </w:r>
      <w:r w:rsidR="004B13A2" w:rsidRPr="00DB7074">
        <w:rPr>
          <w:rFonts w:ascii="Book Antiqua" w:hAnsi="Book Antiqua" w:cs="Times New Roman"/>
          <w:sz w:val="24"/>
          <w:szCs w:val="24"/>
        </w:rPr>
        <w:instrText>40.1 vs. 50.1</w:instrText>
      </w:r>
      <w:r w:rsidR="004B13A2" w:rsidRPr="00DB7074">
        <w:rPr>
          <w:rFonts w:ascii="Times New Roman" w:hAnsi="Times New Roman" w:cs="Times New Roman"/>
          <w:sz w:val="24"/>
          <w:szCs w:val="24"/>
        </w:rPr>
        <w:instrText> </w:instrText>
      </w:r>
      <w:r w:rsidR="004B13A2" w:rsidRPr="00DB7074">
        <w:rPr>
          <w:rFonts w:ascii="Book Antiqua" w:hAnsi="Book Antiqua" w:cs="Book Antiqua"/>
          <w:sz w:val="24"/>
          <w:szCs w:val="24"/>
        </w:rPr>
        <w:instrText>±</w:instrText>
      </w:r>
      <w:r w:rsidR="004B13A2" w:rsidRPr="00DB7074">
        <w:rPr>
          <w:rFonts w:ascii="Times New Roman" w:hAnsi="Times New Roman" w:cs="Times New Roman"/>
          <w:sz w:val="24"/>
          <w:szCs w:val="24"/>
        </w:rPr>
        <w:instrText> </w:instrText>
      </w:r>
      <w:r w:rsidR="004B13A2" w:rsidRPr="00DB7074">
        <w:rPr>
          <w:rFonts w:ascii="Book Antiqua" w:hAnsi="Book Antiqua" w:cs="Times New Roman"/>
          <w:sz w:val="24"/>
          <w:szCs w:val="24"/>
        </w:rPr>
        <w:instrText>37.0</w:instrText>
      </w:r>
      <w:r w:rsidR="004B13A2" w:rsidRPr="00DB7074">
        <w:rPr>
          <w:rFonts w:ascii="Book Antiqua" w:hAnsi="Book Antiqua" w:cs="Book Antiqua"/>
          <w:sz w:val="24"/>
          <w:szCs w:val="24"/>
        </w:rPr>
        <w:instrText> μ</w:instrText>
      </w:r>
      <w:r w:rsidR="004B13A2" w:rsidRPr="00DB7074">
        <w:rPr>
          <w:rFonts w:ascii="Book Antiqua" w:hAnsi="Book Antiqua" w:cs="Times New Roman"/>
          <w:sz w:val="24"/>
          <w:szCs w:val="24"/>
        </w:rPr>
        <w:instrText>mol/g; p</w:instrText>
      </w:r>
      <w:r w:rsidR="004B13A2" w:rsidRPr="00DB7074">
        <w:rPr>
          <w:rFonts w:ascii="Times New Roman" w:hAnsi="Times New Roman" w:cs="Times New Roman"/>
          <w:sz w:val="24"/>
          <w:szCs w:val="24"/>
        </w:rPr>
        <w:instrText> </w:instrText>
      </w:r>
      <w:r w:rsidR="004B13A2" w:rsidRPr="00DB7074">
        <w:rPr>
          <w:rFonts w:ascii="Book Antiqua" w:hAnsi="Book Antiqua" w:cs="Times New Roman"/>
          <w:sz w:val="24"/>
          <w:szCs w:val="24"/>
        </w:rPr>
        <w:instrText>&lt;</w:instrText>
      </w:r>
      <w:r w:rsidR="004B13A2" w:rsidRPr="00DB7074">
        <w:rPr>
          <w:rFonts w:ascii="Times New Roman" w:hAnsi="Times New Roman" w:cs="Times New Roman"/>
          <w:sz w:val="24"/>
          <w:szCs w:val="24"/>
        </w:rPr>
        <w:instrText> </w:instrText>
      </w:r>
      <w:r w:rsidR="004B13A2" w:rsidRPr="00DB7074">
        <w:rPr>
          <w:rFonts w:ascii="Book Antiqua" w:hAnsi="Book Antiqua" w:cs="Times New Roman"/>
          <w:sz w:val="24"/>
          <w:szCs w:val="24"/>
        </w:rPr>
        <w:instrText xml:space="preserve">0.001) than the pre-operative concentration, and a significant reduction in short-chain fatty acids (SCFAs) was observed.\nCONCLUSION: Significant changes in the intestinal environment, including marked decreases in obligate anaerobes, increases in pathogenic bacteria, and reductions in SCFAs, were detected after surgery for CRC.","DOI":"10.1007/s11605-013-2270-x","ISSN":"1873-4626","note":"PMID: 23807702","journalAbbreviation":"J. Gastrointest. Surg.","language":"eng","author":[{"family":"Ohigashi","given":"Seiji"},{"family":"Sudo","given":"Kazuki"},{"family":"Kobayashi","given":"Daiki"},{"family":"Takahashi","given":"Takuya"},{"family":"Nomoto","given":"Koji"},{"family":"Onodera","given":"Hisashi"}],"issued":{"date-parts":[["2013",9]]}}}],"schema":"https://github.com/citation-style-language/schema/raw/master/csl-citation.json"} </w:instrText>
      </w:r>
      <w:r w:rsidR="007B1C93"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[251]</w:t>
      </w:r>
      <w:r w:rsidR="007B1C93" w:rsidRPr="00DB7074">
        <w:rPr>
          <w:rFonts w:ascii="Book Antiqua" w:hAnsi="Book Antiqua" w:cs="Times New Roman"/>
          <w:sz w:val="24"/>
          <w:szCs w:val="24"/>
        </w:rPr>
        <w:fldChar w:fldCharType="end"/>
      </w:r>
      <w:r w:rsidR="00375225" w:rsidRPr="00DB7074">
        <w:rPr>
          <w:rStyle w:val="element-citation"/>
          <w:rFonts w:ascii="Book Antiqua" w:hAnsi="Book Antiqua" w:cs="Times New Roman"/>
          <w:sz w:val="24"/>
          <w:szCs w:val="24"/>
        </w:rPr>
        <w:t>.</w:t>
      </w:r>
      <w:r w:rsidR="00375225" w:rsidRPr="00DB7074">
        <w:rPr>
          <w:rFonts w:ascii="Book Antiqua" w:hAnsi="Book Antiqua" w:cs="Times New Roman"/>
          <w:sz w:val="24"/>
          <w:szCs w:val="24"/>
        </w:rPr>
        <w:t xml:space="preserve"> </w:t>
      </w:r>
      <w:r w:rsidR="0068614C" w:rsidRPr="00DB7074">
        <w:rPr>
          <w:rFonts w:ascii="Book Antiqua" w:hAnsi="Book Antiqua" w:cs="Times New Roman"/>
          <w:sz w:val="24"/>
          <w:szCs w:val="24"/>
        </w:rPr>
        <w:t>Postoperative sepsis (</w:t>
      </w:r>
      <w:r w:rsidR="00507882" w:rsidRPr="00C43CFB">
        <w:rPr>
          <w:rFonts w:ascii="Book Antiqua" w:hAnsi="Book Antiqua" w:cs="Times New Roman"/>
          <w:i/>
          <w:sz w:val="24"/>
          <w:szCs w:val="24"/>
        </w:rPr>
        <w:t>e.g.</w:t>
      </w:r>
      <w:r w:rsidR="00507882" w:rsidRPr="00DB7074">
        <w:rPr>
          <w:rFonts w:ascii="Book Antiqua" w:hAnsi="Book Antiqua" w:cs="Times New Roman"/>
          <w:sz w:val="24"/>
          <w:szCs w:val="24"/>
        </w:rPr>
        <w:t xml:space="preserve">, </w:t>
      </w:r>
      <w:r w:rsidR="0068614C" w:rsidRPr="00DB7074">
        <w:rPr>
          <w:rFonts w:ascii="Book Antiqua" w:hAnsi="Book Antiqua" w:cs="Times New Roman"/>
          <w:sz w:val="24"/>
          <w:szCs w:val="24"/>
        </w:rPr>
        <w:t xml:space="preserve">anastomotic leakage, perianastomotic abscess) </w:t>
      </w:r>
      <w:r w:rsidR="00AB633A" w:rsidRPr="00DB7074">
        <w:rPr>
          <w:rFonts w:ascii="Book Antiqua" w:hAnsi="Book Antiqua" w:cs="Times New Roman"/>
          <w:sz w:val="24"/>
          <w:szCs w:val="24"/>
        </w:rPr>
        <w:t xml:space="preserve">is </w:t>
      </w:r>
      <w:r w:rsidR="0068614C" w:rsidRPr="00DB7074">
        <w:rPr>
          <w:rFonts w:ascii="Book Antiqua" w:hAnsi="Book Antiqua" w:cs="Times New Roman"/>
          <w:sz w:val="24"/>
          <w:szCs w:val="24"/>
        </w:rPr>
        <w:t>the most feared complication after colorectal surgery</w:t>
      </w:r>
      <w:r w:rsidR="00AB633A" w:rsidRPr="00DB7074">
        <w:rPr>
          <w:rFonts w:ascii="Book Antiqua" w:hAnsi="Book Antiqua" w:cs="Times New Roman"/>
          <w:sz w:val="24"/>
          <w:szCs w:val="24"/>
        </w:rPr>
        <w:t xml:space="preserve"> and is </w:t>
      </w:r>
      <w:r w:rsidR="0068614C" w:rsidRPr="00DB7074">
        <w:rPr>
          <w:rFonts w:ascii="Book Antiqua" w:hAnsi="Book Antiqua" w:cs="Times New Roman"/>
          <w:sz w:val="24"/>
          <w:szCs w:val="24"/>
        </w:rPr>
        <w:t xml:space="preserve">responsible </w:t>
      </w:r>
      <w:r w:rsidR="00AB633A" w:rsidRPr="00DB7074">
        <w:rPr>
          <w:rFonts w:ascii="Book Antiqua" w:hAnsi="Book Antiqua" w:cs="Times New Roman"/>
          <w:sz w:val="24"/>
          <w:szCs w:val="24"/>
        </w:rPr>
        <w:t>for</w:t>
      </w:r>
      <w:r w:rsidR="0068614C" w:rsidRPr="00DB7074">
        <w:rPr>
          <w:rFonts w:ascii="Book Antiqua" w:hAnsi="Book Antiqua" w:cs="Times New Roman"/>
          <w:sz w:val="24"/>
          <w:szCs w:val="24"/>
        </w:rPr>
        <w:t xml:space="preserve"> potentially deadly complications and significant alterations </w:t>
      </w:r>
      <w:r w:rsidR="00AB633A" w:rsidRPr="00DB7074">
        <w:rPr>
          <w:rFonts w:ascii="Book Antiqua" w:hAnsi="Book Antiqua" w:cs="Times New Roman"/>
          <w:sz w:val="24"/>
          <w:szCs w:val="24"/>
        </w:rPr>
        <w:t>in the</w:t>
      </w:r>
      <w:r w:rsidR="0068614C" w:rsidRPr="00DB7074">
        <w:rPr>
          <w:rFonts w:ascii="Book Antiqua" w:hAnsi="Book Antiqua" w:cs="Times New Roman"/>
          <w:sz w:val="24"/>
          <w:szCs w:val="24"/>
        </w:rPr>
        <w:t xml:space="preserve"> patient’s quality of life</w:t>
      </w:r>
      <w:r w:rsidR="007E6860" w:rsidRPr="00DB7074">
        <w:rPr>
          <w:rFonts w:ascii="Book Antiqua" w:hAnsi="Book Antiqua" w:cs="Times New Roman"/>
          <w:sz w:val="24"/>
          <w:szCs w:val="24"/>
        </w:rPr>
        <w:t xml:space="preserve">. The critical role of the intestinal microbiome in sepsis </w:t>
      </w:r>
      <w:r w:rsidR="00AB633A" w:rsidRPr="00DB7074">
        <w:rPr>
          <w:rFonts w:ascii="Book Antiqua" w:hAnsi="Book Antiqua" w:cs="Times New Roman"/>
          <w:sz w:val="24"/>
          <w:szCs w:val="24"/>
        </w:rPr>
        <w:t xml:space="preserve">has been </w:t>
      </w:r>
      <w:r w:rsidR="007E6860" w:rsidRPr="00DB7074">
        <w:rPr>
          <w:rFonts w:ascii="Book Antiqua" w:hAnsi="Book Antiqua" w:cs="Times New Roman"/>
          <w:sz w:val="24"/>
          <w:szCs w:val="24"/>
        </w:rPr>
        <w:t>illustrated by studies on germ-free animals</w:t>
      </w:r>
      <w:r w:rsidR="00AB633A" w:rsidRPr="00DB7074">
        <w:rPr>
          <w:rFonts w:ascii="Book Antiqua" w:hAnsi="Book Antiqua" w:cs="Times New Roman"/>
          <w:sz w:val="24"/>
          <w:szCs w:val="24"/>
        </w:rPr>
        <w:t>,</w:t>
      </w:r>
      <w:r w:rsidR="005302A5" w:rsidRPr="00DB7074">
        <w:rPr>
          <w:rFonts w:ascii="Book Antiqua" w:hAnsi="Book Antiqua" w:cs="Times New Roman"/>
          <w:sz w:val="24"/>
          <w:szCs w:val="24"/>
        </w:rPr>
        <w:t xml:space="preserve"> which</w:t>
      </w:r>
      <w:r w:rsidR="007E6860" w:rsidRPr="00DB7074">
        <w:rPr>
          <w:rFonts w:ascii="Book Antiqua" w:hAnsi="Book Antiqua" w:cs="Times New Roman"/>
          <w:sz w:val="24"/>
          <w:szCs w:val="24"/>
        </w:rPr>
        <w:t xml:space="preserve"> demonstrate</w:t>
      </w:r>
      <w:r w:rsidR="00AB633A" w:rsidRPr="00DB7074">
        <w:rPr>
          <w:rFonts w:ascii="Book Antiqua" w:hAnsi="Book Antiqua" w:cs="Times New Roman"/>
          <w:sz w:val="24"/>
          <w:szCs w:val="24"/>
        </w:rPr>
        <w:t>d</w:t>
      </w:r>
      <w:r w:rsidR="007E6860" w:rsidRPr="00DB7074">
        <w:rPr>
          <w:rFonts w:ascii="Book Antiqua" w:hAnsi="Book Antiqua" w:cs="Times New Roman"/>
          <w:sz w:val="24"/>
          <w:szCs w:val="24"/>
        </w:rPr>
        <w:t xml:space="preserve"> improved survival </w:t>
      </w:r>
      <w:r w:rsidR="00AB633A" w:rsidRPr="00DB7074">
        <w:rPr>
          <w:rFonts w:ascii="Book Antiqua" w:hAnsi="Book Antiqua" w:cs="Times New Roman"/>
          <w:sz w:val="24"/>
          <w:szCs w:val="24"/>
        </w:rPr>
        <w:t>in these animals</w:t>
      </w:r>
      <w:r w:rsidR="007E6860" w:rsidRPr="00DB7074">
        <w:rPr>
          <w:rFonts w:ascii="Book Antiqua" w:hAnsi="Book Antiqua" w:cs="Times New Roman"/>
          <w:sz w:val="24"/>
          <w:szCs w:val="24"/>
        </w:rPr>
        <w:t xml:space="preserve"> compared </w:t>
      </w:r>
      <w:r w:rsidR="00AB633A" w:rsidRPr="00DB7074">
        <w:rPr>
          <w:rFonts w:ascii="Book Antiqua" w:hAnsi="Book Antiqua" w:cs="Times New Roman"/>
          <w:sz w:val="24"/>
          <w:szCs w:val="24"/>
        </w:rPr>
        <w:t>with</w:t>
      </w:r>
      <w:r w:rsidR="007E6860" w:rsidRPr="00DB7074">
        <w:rPr>
          <w:rFonts w:ascii="Book Antiqua" w:hAnsi="Book Antiqua" w:cs="Times New Roman"/>
          <w:sz w:val="24"/>
          <w:szCs w:val="24"/>
        </w:rPr>
        <w:t xml:space="preserve"> conventional animals</w:t>
      </w:r>
      <w:r w:rsidR="003075AB"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{"citationID":"a225rhouhul","properties":{"formattedCitation":"\\super [252]\\nosupersub{}","plainCitation":"[252]","noteIndex":0},"citationItems":[{"id":"D1GMNV0O/kIRbafDj","uris":["http://zotero.org/users/4804376/items/HR666P8T"],"uri":["http://zotero.org/users/4804376/items/HR666P8T"],"itemData":{"id":658,"type":"article-journal","title":"The essential role of the intestinal microbiota in facilitating acute inflammatory responses","container-title":"Journal of Immunology (Baltimore, Md.: 1950)","page":"4137-4146","volume":"173","issue":"6","source":"PubMed","abstract":"The restoration of blood flow, i.e., reperfusion, is the treatment of choice to save viable tissue following acute ischemia of a vascular territory. Nevertheless, reperfusion can be accompanied by significant inflammatory events that limit the beneficial effects of blood flow restoration. To evaluate the potential role of the intestinal microbiota in facilitating the development of tissue injury and systemic inflammation, germ-free and conventional mice were compared in their ability to respond to ischemia and reperfusion injury. In conventional mice, there was marked local (intestine) and remote (lung) edema formation, neutrophil influx, hemorrhage, and production of TNF-alpha, KC, MIP-2, and MCP-1. Moreover, there was an increase in the concentration of serum TNF-alpha and 100% lethality. In germ-free mice, there was no local, remote, or systemic inflammatory response or lethality after intestinal ischemia and reperfusion and, in contrast to conventional mice, germ-free animals produced greater amounts of IL-10. Similar results were obtained after administration of LPS, i.e., little production of TNF-alpha or lethality and production of IL-10 after LPS in germ-free mice. Blockade of IL-10 with Abs induced marked inflammation and lethality in germ-free mice after ischemia and reperfusion or LPS administration, demonstrating that the ability of these mice to produce IL-10 was largely responsible for their \"no inflammation\" phenotype. This was consistent with the prevention of reperfusion-associated injury by the exogenous administration of IL-10 to conventional mice. Thus, the lack of intestinal microbiota is accompanied by a state of active IL-10-mediated inflammatory hyporesponsiveness.","ISSN":"0022-1767","note":"PMID: 15356164","journalAbbreviation":"J. Immunol.","language":"eng","author":[{"family":"Souza","given":"Danielle G."},{"family":"Vieira","given":"Angélica T."},{"family":"Soares","given":"Adriana C."},{"family":"Pinho","given":"Vanessa"},{"family":"Nicoli","given":"Jacques R."},{"family":"Vieira","given":"Leda Q."},{"family":"Teixeira","given":"Mauro M."}],"issued":{"date-parts":[["2004",9,15]]}}}],"schema":"https://github.com/citation-style-language/schema/raw/master/csl-citation.json"} </w:instrText>
      </w:r>
      <w:r w:rsidR="003075AB"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[252]</w:t>
      </w:r>
      <w:r w:rsidR="003075AB" w:rsidRPr="00DB7074">
        <w:rPr>
          <w:rFonts w:ascii="Book Antiqua" w:hAnsi="Book Antiqua" w:cs="Times New Roman"/>
          <w:sz w:val="24"/>
          <w:szCs w:val="24"/>
        </w:rPr>
        <w:fldChar w:fldCharType="end"/>
      </w:r>
      <w:r w:rsidR="00375225" w:rsidRPr="00DB7074">
        <w:rPr>
          <w:rStyle w:val="element-citation"/>
          <w:rFonts w:ascii="Book Antiqua" w:hAnsi="Book Antiqua" w:cs="Times New Roman"/>
          <w:sz w:val="24"/>
          <w:szCs w:val="24"/>
        </w:rPr>
        <w:t>.</w:t>
      </w:r>
      <w:r w:rsidR="007E6860" w:rsidRPr="00DB7074">
        <w:rPr>
          <w:rFonts w:ascii="Book Antiqua" w:hAnsi="Book Antiqua" w:cs="Times New Roman"/>
          <w:sz w:val="24"/>
          <w:szCs w:val="24"/>
        </w:rPr>
        <w:t xml:space="preserve"> </w:t>
      </w:r>
      <w:r w:rsidR="003C020A" w:rsidRPr="00DB7074">
        <w:rPr>
          <w:rFonts w:ascii="Book Antiqua" w:hAnsi="Book Antiqua" w:cs="Times New Roman"/>
          <w:sz w:val="24"/>
          <w:szCs w:val="24"/>
        </w:rPr>
        <w:t xml:space="preserve">Therefore, the restoration and/or maintenance of a microbiota </w:t>
      </w:r>
      <w:r w:rsidR="00507882" w:rsidRPr="00DB7074">
        <w:rPr>
          <w:rFonts w:ascii="Book Antiqua" w:hAnsi="Book Antiqua" w:cs="Times New Roman"/>
          <w:sz w:val="24"/>
          <w:szCs w:val="24"/>
        </w:rPr>
        <w:t>favour</w:t>
      </w:r>
      <w:r w:rsidR="003C020A" w:rsidRPr="00DB7074">
        <w:rPr>
          <w:rFonts w:ascii="Book Antiqua" w:hAnsi="Book Antiqua" w:cs="Times New Roman"/>
          <w:sz w:val="24"/>
          <w:szCs w:val="24"/>
        </w:rPr>
        <w:t xml:space="preserve">ing intestinal healing and preventing </w:t>
      </w:r>
      <w:r w:rsidR="00AB633A" w:rsidRPr="00DB7074">
        <w:rPr>
          <w:rFonts w:ascii="Book Antiqua" w:hAnsi="Book Antiqua" w:cs="Times New Roman"/>
          <w:sz w:val="24"/>
          <w:szCs w:val="24"/>
        </w:rPr>
        <w:t>surgical</w:t>
      </w:r>
      <w:r w:rsidR="003C020A" w:rsidRPr="00DB7074">
        <w:rPr>
          <w:rFonts w:ascii="Book Antiqua" w:hAnsi="Book Antiqua" w:cs="Times New Roman"/>
          <w:sz w:val="24"/>
          <w:szCs w:val="24"/>
        </w:rPr>
        <w:t xml:space="preserve"> site infections after colorectal surgery could be a promising approach for the development of new therapeutic strategies, thus targeting the gut microbiota to improve surgical outcomes. Moreover, the parallel development of tools</w:t>
      </w:r>
      <w:r w:rsidR="003743B7" w:rsidRPr="00DB7074">
        <w:rPr>
          <w:rFonts w:ascii="Book Antiqua" w:hAnsi="Book Antiqua" w:cs="Times New Roman"/>
          <w:sz w:val="24"/>
          <w:szCs w:val="24"/>
        </w:rPr>
        <w:t>,</w:t>
      </w:r>
      <w:r w:rsidR="003C020A" w:rsidRPr="00DB7074">
        <w:rPr>
          <w:rFonts w:ascii="Book Antiqua" w:hAnsi="Book Antiqua" w:cs="Times New Roman"/>
          <w:sz w:val="24"/>
          <w:szCs w:val="24"/>
        </w:rPr>
        <w:t xml:space="preserve"> such as the “personalized microbiota composition analysis”</w:t>
      </w:r>
      <w:r w:rsidR="003743B7" w:rsidRPr="00DB7074">
        <w:rPr>
          <w:rFonts w:ascii="Book Antiqua" w:hAnsi="Book Antiqua" w:cs="Times New Roman"/>
          <w:sz w:val="24"/>
          <w:szCs w:val="24"/>
        </w:rPr>
        <w:t xml:space="preserve">, to be </w:t>
      </w:r>
      <w:r w:rsidR="003C020A" w:rsidRPr="00DB7074">
        <w:rPr>
          <w:rFonts w:ascii="Book Antiqua" w:hAnsi="Book Antiqua" w:cs="Times New Roman"/>
          <w:sz w:val="24"/>
          <w:szCs w:val="24"/>
        </w:rPr>
        <w:t>performed pre- and postoperatively to evaluate the clinical relevance of gut microbiota modulation to positively influence the clinical outcome</w:t>
      </w:r>
      <w:r w:rsidR="003743B7" w:rsidRPr="00DB7074">
        <w:rPr>
          <w:rFonts w:ascii="Book Antiqua" w:hAnsi="Book Antiqua" w:cs="Times New Roman"/>
          <w:sz w:val="24"/>
          <w:szCs w:val="24"/>
        </w:rPr>
        <w:t>s</w:t>
      </w:r>
      <w:r w:rsidR="00507882" w:rsidRPr="00DB7074">
        <w:rPr>
          <w:rFonts w:ascii="Book Antiqua" w:hAnsi="Book Antiqua" w:cs="Times New Roman"/>
          <w:sz w:val="24"/>
          <w:szCs w:val="24"/>
        </w:rPr>
        <w:t xml:space="preserve"> and to </w:t>
      </w:r>
      <w:r w:rsidR="003C020A" w:rsidRPr="00DB7074">
        <w:rPr>
          <w:rFonts w:ascii="Book Antiqua" w:hAnsi="Book Antiqua" w:cs="Times New Roman"/>
          <w:sz w:val="24"/>
          <w:szCs w:val="24"/>
        </w:rPr>
        <w:t>optimize the perioperative strategies appears promising.</w:t>
      </w:r>
    </w:p>
    <w:p w14:paraId="65559ABB" w14:textId="77777777" w:rsidR="009F0FDE" w:rsidRPr="00DB7074" w:rsidRDefault="009F0FDE" w:rsidP="00B67546">
      <w:pPr>
        <w:snapToGrid w:val="0"/>
        <w:spacing w:after="0" w:line="360" w:lineRule="auto"/>
        <w:jc w:val="both"/>
        <w:rPr>
          <w:rStyle w:val="element-citation"/>
          <w:rFonts w:ascii="Book Antiqua" w:hAnsi="Book Antiqua"/>
          <w:sz w:val="24"/>
          <w:szCs w:val="24"/>
          <w:lang w:eastAsia="zh-CN"/>
        </w:rPr>
      </w:pPr>
    </w:p>
    <w:p w14:paraId="29546449" w14:textId="05695767" w:rsidR="0073652C" w:rsidRPr="00DB7074" w:rsidRDefault="00614B06" w:rsidP="00DB7074">
      <w:pPr>
        <w:pStyle w:val="Heading2"/>
        <w:snapToGrid w:val="0"/>
        <w:spacing w:before="0" w:line="360" w:lineRule="auto"/>
        <w:jc w:val="both"/>
        <w:rPr>
          <w:rFonts w:ascii="Book Antiqua" w:hAnsi="Book Antiqua" w:cs="Times New Roman"/>
          <w:b/>
          <w:i/>
          <w:color w:val="auto"/>
          <w:sz w:val="24"/>
          <w:szCs w:val="24"/>
        </w:rPr>
      </w:pPr>
      <w:r w:rsidRPr="00DB7074">
        <w:rPr>
          <w:rFonts w:ascii="Book Antiqua" w:hAnsi="Book Antiqua" w:cs="Times New Roman"/>
          <w:b/>
          <w:i/>
          <w:color w:val="auto"/>
          <w:sz w:val="24"/>
          <w:szCs w:val="24"/>
        </w:rPr>
        <w:t>L</w:t>
      </w:r>
      <w:r w:rsidR="008C30EF" w:rsidRPr="00DB7074">
        <w:rPr>
          <w:rFonts w:ascii="Book Antiqua" w:hAnsi="Book Antiqua" w:cs="Times New Roman"/>
          <w:b/>
          <w:i/>
          <w:color w:val="auto"/>
          <w:sz w:val="24"/>
          <w:szCs w:val="24"/>
        </w:rPr>
        <w:t xml:space="preserve">imitations of microbial markers </w:t>
      </w:r>
      <w:r w:rsidRPr="00DB7074">
        <w:rPr>
          <w:rFonts w:ascii="Book Antiqua" w:hAnsi="Book Antiqua" w:cs="Times New Roman"/>
          <w:b/>
          <w:i/>
          <w:color w:val="auto"/>
          <w:sz w:val="24"/>
          <w:szCs w:val="24"/>
        </w:rPr>
        <w:t xml:space="preserve">and </w:t>
      </w:r>
      <w:r w:rsidR="003743B7" w:rsidRPr="00DB7074">
        <w:rPr>
          <w:rFonts w:ascii="Book Antiqua" w:hAnsi="Book Antiqua" w:cs="Times New Roman"/>
          <w:b/>
          <w:i/>
          <w:color w:val="auto"/>
          <w:sz w:val="24"/>
          <w:szCs w:val="24"/>
        </w:rPr>
        <w:t>f</w:t>
      </w:r>
      <w:r w:rsidRPr="00DB7074">
        <w:rPr>
          <w:rFonts w:ascii="Book Antiqua" w:hAnsi="Book Antiqua" w:cs="Times New Roman"/>
          <w:b/>
          <w:i/>
          <w:color w:val="auto"/>
          <w:sz w:val="24"/>
          <w:szCs w:val="24"/>
        </w:rPr>
        <w:t xml:space="preserve">uture challenges and </w:t>
      </w:r>
      <w:r w:rsidR="00CE6BBB" w:rsidRPr="00DB7074">
        <w:rPr>
          <w:rFonts w:ascii="Book Antiqua" w:hAnsi="Book Antiqua" w:cs="Times New Roman"/>
          <w:b/>
          <w:i/>
          <w:color w:val="auto"/>
          <w:sz w:val="24"/>
          <w:szCs w:val="24"/>
        </w:rPr>
        <w:t xml:space="preserve">directions </w:t>
      </w:r>
    </w:p>
    <w:p w14:paraId="6C4390F5" w14:textId="0E9F9594" w:rsidR="003A20C7" w:rsidRPr="00DB7074" w:rsidRDefault="002D5253" w:rsidP="00B67546">
      <w:pPr>
        <w:snapToGrid w:val="0"/>
        <w:spacing w:after="0" w:line="360" w:lineRule="auto"/>
        <w:jc w:val="both"/>
        <w:rPr>
          <w:rFonts w:ascii="Book Antiqua" w:hAnsi="Book Antiqua" w:cs="Times New Roman"/>
          <w:sz w:val="24"/>
          <w:szCs w:val="24"/>
        </w:rPr>
      </w:pPr>
      <w:r w:rsidRPr="00DB7074">
        <w:rPr>
          <w:rFonts w:ascii="Book Antiqua" w:hAnsi="Book Antiqua" w:cs="Times New Roman"/>
          <w:sz w:val="24"/>
          <w:szCs w:val="24"/>
        </w:rPr>
        <w:t xml:space="preserve">The complexity of the microbiome turns the need </w:t>
      </w:r>
      <w:r w:rsidR="003743B7" w:rsidRPr="00DB7074">
        <w:rPr>
          <w:rFonts w:ascii="Book Antiqua" w:hAnsi="Book Antiqua" w:cs="Times New Roman"/>
          <w:sz w:val="24"/>
          <w:szCs w:val="24"/>
        </w:rPr>
        <w:t>for</w:t>
      </w:r>
      <w:r w:rsidRPr="00DB7074">
        <w:rPr>
          <w:rFonts w:ascii="Book Antiqua" w:hAnsi="Book Antiqua" w:cs="Times New Roman"/>
          <w:sz w:val="24"/>
          <w:szCs w:val="24"/>
        </w:rPr>
        <w:t xml:space="preserve"> microbial marker-based diagnosis techni</w:t>
      </w:r>
      <w:r w:rsidR="003743B7" w:rsidRPr="00DB7074">
        <w:rPr>
          <w:rFonts w:ascii="Book Antiqua" w:hAnsi="Book Antiqua" w:cs="Times New Roman"/>
          <w:sz w:val="24"/>
          <w:szCs w:val="24"/>
        </w:rPr>
        <w:t>ques</w:t>
      </w:r>
      <w:r w:rsidRPr="00DB7074">
        <w:rPr>
          <w:rFonts w:ascii="Book Antiqua" w:hAnsi="Book Antiqua" w:cs="Times New Roman"/>
          <w:sz w:val="24"/>
          <w:szCs w:val="24"/>
        </w:rPr>
        <w:t xml:space="preserve"> into a r</w:t>
      </w:r>
      <w:r w:rsidR="004C731A" w:rsidRPr="00DB7074">
        <w:rPr>
          <w:rFonts w:ascii="Book Antiqua" w:hAnsi="Book Antiqua" w:cs="Times New Roman"/>
          <w:sz w:val="24"/>
          <w:szCs w:val="24"/>
        </w:rPr>
        <w:t xml:space="preserve">eal challenge. Numerous studies </w:t>
      </w:r>
      <w:r w:rsidR="003743B7" w:rsidRPr="00DB7074">
        <w:rPr>
          <w:rFonts w:ascii="Book Antiqua" w:hAnsi="Book Antiqua" w:cs="Times New Roman"/>
          <w:sz w:val="24"/>
          <w:szCs w:val="24"/>
        </w:rPr>
        <w:t xml:space="preserve">have </w:t>
      </w:r>
      <w:r w:rsidRPr="00DB7074">
        <w:rPr>
          <w:rFonts w:ascii="Book Antiqua" w:hAnsi="Book Antiqua" w:cs="Times New Roman"/>
          <w:sz w:val="24"/>
          <w:szCs w:val="24"/>
        </w:rPr>
        <w:t>reported associations between microbial</w:t>
      </w:r>
      <w:r w:rsidR="003743B7" w:rsidRPr="00DB7074">
        <w:rPr>
          <w:rFonts w:ascii="Book Antiqua" w:hAnsi="Book Antiqua" w:cs="Times New Roman"/>
          <w:sz w:val="24"/>
          <w:szCs w:val="24"/>
        </w:rPr>
        <w:t xml:space="preserve"> </w:t>
      </w:r>
      <w:r w:rsidRPr="00DB7074">
        <w:rPr>
          <w:rFonts w:ascii="Book Antiqua" w:hAnsi="Book Antiqua" w:cs="Times New Roman"/>
          <w:sz w:val="24"/>
          <w:szCs w:val="24"/>
        </w:rPr>
        <w:t>markers</w:t>
      </w:r>
      <w:r w:rsidR="003743B7" w:rsidRPr="00DB7074">
        <w:rPr>
          <w:rFonts w:ascii="Book Antiqua" w:hAnsi="Book Antiqua" w:cs="Times New Roman"/>
          <w:sz w:val="24"/>
          <w:szCs w:val="24"/>
        </w:rPr>
        <w:t xml:space="preserve">, such as </w:t>
      </w:r>
      <w:r w:rsidR="003743B7" w:rsidRPr="00DB7074">
        <w:rPr>
          <w:rFonts w:ascii="Book Antiqua" w:hAnsi="Book Antiqua" w:cs="Times New Roman"/>
          <w:i/>
          <w:sz w:val="24"/>
          <w:szCs w:val="24"/>
        </w:rPr>
        <w:t>F. nucleatum</w:t>
      </w:r>
      <w:r w:rsidR="003743B7" w:rsidRPr="00DB7074">
        <w:rPr>
          <w:rFonts w:ascii="Book Antiqua" w:hAnsi="Book Antiqua" w:cs="Times New Roman"/>
          <w:sz w:val="24"/>
          <w:szCs w:val="24"/>
        </w:rPr>
        <w:t xml:space="preserve">, or colibactin-producing </w:t>
      </w:r>
      <w:r w:rsidR="003743B7" w:rsidRPr="00DB7074">
        <w:rPr>
          <w:rFonts w:ascii="Book Antiqua" w:hAnsi="Book Antiqua" w:cs="Times New Roman"/>
          <w:i/>
          <w:sz w:val="24"/>
          <w:szCs w:val="24"/>
        </w:rPr>
        <w:t>E.coli</w:t>
      </w:r>
      <w:r w:rsidR="003743B7" w:rsidRPr="00DB7074">
        <w:rPr>
          <w:rFonts w:ascii="Book Antiqua" w:hAnsi="Book Antiqua" w:cs="Times New Roman"/>
          <w:sz w:val="24"/>
          <w:szCs w:val="24"/>
        </w:rPr>
        <w:t>,</w:t>
      </w:r>
      <w:r w:rsidR="00CE6BBB" w:rsidRPr="00DB7074">
        <w:rPr>
          <w:rFonts w:ascii="Book Antiqua" w:hAnsi="Book Antiqua" w:cs="Times New Roman"/>
          <w:sz w:val="24"/>
          <w:szCs w:val="24"/>
        </w:rPr>
        <w:t xml:space="preserve"> </w:t>
      </w:r>
      <w:r w:rsidRPr="00DB7074">
        <w:rPr>
          <w:rFonts w:ascii="Book Antiqua" w:hAnsi="Book Antiqua" w:cs="Times New Roman"/>
          <w:sz w:val="24"/>
          <w:szCs w:val="24"/>
        </w:rPr>
        <w:t>and CRC</w:t>
      </w:r>
      <w:r w:rsidR="003743B7" w:rsidRPr="00DB7074">
        <w:rPr>
          <w:rFonts w:ascii="Book Antiqua" w:hAnsi="Book Antiqua" w:cs="Times New Roman"/>
          <w:sz w:val="24"/>
          <w:szCs w:val="24"/>
        </w:rPr>
        <w:t xml:space="preserve">, </w:t>
      </w:r>
      <w:r w:rsidRPr="00DB7074">
        <w:rPr>
          <w:rFonts w:ascii="Book Antiqua" w:hAnsi="Book Antiqua" w:cs="Times New Roman"/>
          <w:sz w:val="24"/>
          <w:szCs w:val="24"/>
        </w:rPr>
        <w:t>but to date</w:t>
      </w:r>
      <w:r w:rsidR="003743B7" w:rsidRPr="00DB7074">
        <w:rPr>
          <w:rFonts w:ascii="Book Antiqua" w:hAnsi="Book Antiqua" w:cs="Times New Roman"/>
          <w:sz w:val="24"/>
          <w:szCs w:val="24"/>
        </w:rPr>
        <w:t>,</w:t>
      </w:r>
      <w:r w:rsidRPr="00DB7074">
        <w:rPr>
          <w:rFonts w:ascii="Book Antiqua" w:hAnsi="Book Antiqua" w:cs="Times New Roman"/>
          <w:sz w:val="24"/>
          <w:szCs w:val="24"/>
        </w:rPr>
        <w:t xml:space="preserve"> there is no universal microbial marker defined for CRC detection. Several limitations </w:t>
      </w:r>
      <w:r w:rsidR="003743B7" w:rsidRPr="00DB7074">
        <w:rPr>
          <w:rFonts w:ascii="Book Antiqua" w:hAnsi="Book Antiqua" w:cs="Times New Roman"/>
          <w:sz w:val="24"/>
          <w:szCs w:val="24"/>
        </w:rPr>
        <w:t>should be taken into</w:t>
      </w:r>
      <w:r w:rsidRPr="00DB7074">
        <w:rPr>
          <w:rFonts w:ascii="Book Antiqua" w:hAnsi="Book Antiqua" w:cs="Times New Roman"/>
          <w:sz w:val="24"/>
          <w:szCs w:val="24"/>
        </w:rPr>
        <w:t xml:space="preserve"> consideration </w:t>
      </w:r>
      <w:r w:rsidR="003743B7" w:rsidRPr="00DB7074">
        <w:rPr>
          <w:rFonts w:ascii="Book Antiqua" w:hAnsi="Book Antiqua" w:cs="Times New Roman"/>
          <w:sz w:val="24"/>
          <w:szCs w:val="24"/>
        </w:rPr>
        <w:t>for</w:t>
      </w:r>
      <w:r w:rsidRPr="00DB7074">
        <w:rPr>
          <w:rFonts w:ascii="Book Antiqua" w:hAnsi="Book Antiqua" w:cs="Times New Roman"/>
          <w:sz w:val="24"/>
          <w:szCs w:val="24"/>
        </w:rPr>
        <w:t xml:space="preserve"> the future development of new tests. First, the very high variability of </w:t>
      </w:r>
      <w:r w:rsidR="003743B7" w:rsidRPr="00DB7074">
        <w:rPr>
          <w:rFonts w:ascii="Book Antiqua" w:hAnsi="Book Antiqua" w:cs="Times New Roman"/>
          <w:sz w:val="24"/>
          <w:szCs w:val="24"/>
        </w:rPr>
        <w:t xml:space="preserve">the </w:t>
      </w:r>
      <w:r w:rsidRPr="00DB7074">
        <w:rPr>
          <w:rFonts w:ascii="Book Antiqua" w:hAnsi="Book Antiqua" w:cs="Times New Roman"/>
          <w:sz w:val="24"/>
          <w:szCs w:val="24"/>
        </w:rPr>
        <w:t>microbiota composition between individuals due to sex, age, diet, lifestyle, genetic background, medication</w:t>
      </w:r>
      <w:r w:rsidR="003743B7" w:rsidRPr="00DB7074">
        <w:rPr>
          <w:rFonts w:ascii="Book Antiqua" w:hAnsi="Book Antiqua" w:cs="Times New Roman"/>
          <w:sz w:val="24"/>
          <w:szCs w:val="24"/>
        </w:rPr>
        <w:t xml:space="preserve"> </w:t>
      </w:r>
      <w:r w:rsidR="00CE6BBB" w:rsidRPr="00DB7074">
        <w:rPr>
          <w:rFonts w:ascii="Book Antiqua" w:hAnsi="Book Antiqua" w:cs="Times New Roman"/>
          <w:sz w:val="24"/>
          <w:szCs w:val="24"/>
        </w:rPr>
        <w:t>use,</w:t>
      </w:r>
      <w:r w:rsidRPr="00DB7074">
        <w:rPr>
          <w:rFonts w:ascii="Book Antiqua" w:hAnsi="Book Antiqua" w:cs="Times New Roman"/>
          <w:sz w:val="24"/>
          <w:szCs w:val="24"/>
        </w:rPr>
        <w:t xml:space="preserve"> ethnicity, or geographical location make finding a universal microbial marker almost impossible. </w:t>
      </w:r>
      <w:r w:rsidR="003743B7" w:rsidRPr="00DB7074">
        <w:rPr>
          <w:rFonts w:ascii="Book Antiqua" w:hAnsi="Book Antiqua" w:cs="Times New Roman"/>
          <w:sz w:val="24"/>
          <w:szCs w:val="24"/>
        </w:rPr>
        <w:t>A</w:t>
      </w:r>
      <w:r w:rsidRPr="00DB7074">
        <w:rPr>
          <w:rFonts w:ascii="Book Antiqua" w:hAnsi="Book Antiqua" w:cs="Times New Roman"/>
          <w:sz w:val="24"/>
          <w:szCs w:val="24"/>
        </w:rPr>
        <w:t>ntibiotic therapy greatly influence</w:t>
      </w:r>
      <w:r w:rsidR="003743B7" w:rsidRPr="00DB7074">
        <w:rPr>
          <w:rFonts w:ascii="Book Antiqua" w:hAnsi="Book Antiqua" w:cs="Times New Roman"/>
          <w:sz w:val="24"/>
          <w:szCs w:val="24"/>
        </w:rPr>
        <w:t>s</w:t>
      </w:r>
      <w:r w:rsidRPr="00DB7074">
        <w:rPr>
          <w:rFonts w:ascii="Book Antiqua" w:hAnsi="Book Antiqua" w:cs="Times New Roman"/>
          <w:sz w:val="24"/>
          <w:szCs w:val="24"/>
        </w:rPr>
        <w:t xml:space="preserve"> the expression of microbial markers and is a critical limitation to microbial marker use. Moreover, standardization </w:t>
      </w:r>
      <w:r w:rsidR="003743B7" w:rsidRPr="00DB7074">
        <w:rPr>
          <w:rFonts w:ascii="Book Antiqua" w:hAnsi="Book Antiqua" w:cs="Times New Roman"/>
          <w:sz w:val="24"/>
          <w:szCs w:val="24"/>
        </w:rPr>
        <w:t xml:space="preserve">in terms </w:t>
      </w:r>
      <w:r w:rsidRPr="00DB7074">
        <w:rPr>
          <w:rFonts w:ascii="Book Antiqua" w:hAnsi="Book Antiqua" w:cs="Times New Roman"/>
          <w:sz w:val="24"/>
          <w:szCs w:val="24"/>
        </w:rPr>
        <w:t>sample collection and storage, RNA or metabolite extraction, sample analysis, and data processing is essential to compare studies. If studies that screen</w:t>
      </w:r>
      <w:r w:rsidR="003743B7" w:rsidRPr="00DB7074">
        <w:rPr>
          <w:rFonts w:ascii="Book Antiqua" w:hAnsi="Book Antiqua" w:cs="Times New Roman"/>
          <w:sz w:val="24"/>
          <w:szCs w:val="24"/>
        </w:rPr>
        <w:t xml:space="preserve"> for</w:t>
      </w:r>
      <w:r w:rsidRPr="00DB7074">
        <w:rPr>
          <w:rFonts w:ascii="Book Antiqua" w:hAnsi="Book Antiqua" w:cs="Times New Roman"/>
          <w:sz w:val="24"/>
          <w:szCs w:val="24"/>
        </w:rPr>
        <w:t xml:space="preserve"> microbiota composition use the same method of 16S rRNA sequencing, the use of metabolomics technologies will require exhaustive </w:t>
      </w:r>
      <w:r w:rsidRPr="00DB7074">
        <w:rPr>
          <w:rFonts w:ascii="Book Antiqua" w:hAnsi="Book Antiqua" w:cs="Times New Roman"/>
          <w:sz w:val="24"/>
          <w:szCs w:val="24"/>
        </w:rPr>
        <w:lastRenderedPageBreak/>
        <w:t>standardization between studies.</w:t>
      </w:r>
      <w:r w:rsidR="0073652C" w:rsidRPr="00DB7074">
        <w:rPr>
          <w:rFonts w:ascii="Book Antiqua" w:hAnsi="Book Antiqua" w:cs="Times New Roman"/>
          <w:sz w:val="24"/>
          <w:szCs w:val="24"/>
        </w:rPr>
        <w:t xml:space="preserve"> </w:t>
      </w:r>
      <w:r w:rsidRPr="00DB7074">
        <w:rPr>
          <w:rFonts w:ascii="Book Antiqua" w:hAnsi="Book Antiqua" w:cs="Times New Roman"/>
          <w:sz w:val="24"/>
          <w:szCs w:val="24"/>
        </w:rPr>
        <w:t>Stary et al. shared a very interesting and detailed list of recommendation</w:t>
      </w:r>
      <w:r w:rsidR="009B5C0B" w:rsidRPr="00DB7074">
        <w:rPr>
          <w:rFonts w:ascii="Book Antiqua" w:hAnsi="Book Antiqua" w:cs="Times New Roman"/>
          <w:sz w:val="24"/>
          <w:szCs w:val="24"/>
        </w:rPr>
        <w:t>s</w:t>
      </w:r>
      <w:r w:rsidRPr="00DB7074">
        <w:rPr>
          <w:rFonts w:ascii="Book Antiqua" w:hAnsi="Book Antiqua" w:cs="Times New Roman"/>
          <w:sz w:val="24"/>
          <w:szCs w:val="24"/>
        </w:rPr>
        <w:t xml:space="preserve"> </w:t>
      </w:r>
      <w:r w:rsidR="003743B7" w:rsidRPr="00DB7074">
        <w:rPr>
          <w:rFonts w:ascii="Book Antiqua" w:hAnsi="Book Antiqua" w:cs="Times New Roman"/>
          <w:sz w:val="24"/>
          <w:szCs w:val="24"/>
        </w:rPr>
        <w:t>for</w:t>
      </w:r>
      <w:r w:rsidRPr="00DB7074">
        <w:rPr>
          <w:rFonts w:ascii="Book Antiqua" w:hAnsi="Book Antiqua" w:cs="Times New Roman"/>
          <w:sz w:val="24"/>
          <w:szCs w:val="24"/>
        </w:rPr>
        <w:t xml:space="preserve"> us</w:t>
      </w:r>
      <w:r w:rsidR="003743B7" w:rsidRPr="00DB7074">
        <w:rPr>
          <w:rFonts w:ascii="Book Antiqua" w:hAnsi="Book Antiqua" w:cs="Times New Roman"/>
          <w:sz w:val="24"/>
          <w:szCs w:val="24"/>
        </w:rPr>
        <w:t>ing</w:t>
      </w:r>
      <w:r w:rsidRPr="00DB7074">
        <w:rPr>
          <w:rFonts w:ascii="Book Antiqua" w:hAnsi="Book Antiqua" w:cs="Times New Roman"/>
          <w:sz w:val="24"/>
          <w:szCs w:val="24"/>
        </w:rPr>
        <w:t xml:space="preserve"> microbial markers for CRC screening</w:t>
      </w:r>
      <w:r w:rsidR="00525415"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{"citationID":"ah8a0o413","properties":{"formattedCitation":"\\super [253]\\nosupersub{}","plainCitation":"[253]","noteIndex":0},"citationItems":[{"id":"D1GMNV0O/0HAjrcyw","uris":["http://zotero.org/users/4804376/items/XQLETVBT"],"uri":["http://zotero.org/users/4804376/items/XQLETVBT"],"itemData":{"id":67,"type":"article-journal","title":"Are we any closer to screening for colorectal cancer using microbial markers?A critical review","container-title":"Biomedical Papers","source":"CrossRef","abstract":"The role of gut microbiota in the development of sporadic colorectal cancer (CRC) is supported by a number of studies, however, the conclusiveness of published metagenomic studies is questioned by technical pitfalls and limited by small cohort sizes. In this review, we evaluate the current knowledge critically and outline practical solutions. We also list candidate CRC risk markers that are – in our opinion – well supported by available data and thus deserve clinical validation. Last but not least, we summarise available knowledge useful for improving care for patients immediately.","URL":"http://biomed.papers.upol.cz/doi/10.5507/bp.2017.051.html","DOI":"10.5507/bp.2017.051","ISSN":"12138118, 18047521","shortTitle":"Are we any closer to screening for colorectal cancer using microbial markers?","author":[{"family":"Stary","given":"Lubomir"},{"family":"Mezerova","given":"Kristyna"},{"family":"Skalicky","given":"Pavel"},{"family":"Zboril","given":"Pavel"},{"family":"Raclavsky","given":"Vladislav"}],"issued":{"date-parts":[["2017",12,13]]},"accessed":{"date-parts":[["2018",3,19]]}}}],"schema":"https://github.com/citation-style-language/schema/raw/master/csl-citation.json"} </w:instrText>
      </w:r>
      <w:r w:rsidR="00525415"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[253]</w:t>
      </w:r>
      <w:r w:rsidR="00525415" w:rsidRPr="00DB7074">
        <w:rPr>
          <w:rFonts w:ascii="Book Antiqua" w:hAnsi="Book Antiqua" w:cs="Times New Roman"/>
          <w:sz w:val="24"/>
          <w:szCs w:val="24"/>
        </w:rPr>
        <w:fldChar w:fldCharType="end"/>
      </w:r>
      <w:r w:rsidR="003743B7" w:rsidRPr="00DB7074">
        <w:rPr>
          <w:rFonts w:ascii="Book Antiqua" w:hAnsi="Book Antiqua" w:cs="Times New Roman"/>
          <w:sz w:val="24"/>
          <w:szCs w:val="24"/>
        </w:rPr>
        <w:t>.</w:t>
      </w:r>
      <w:r w:rsidR="0073652C" w:rsidRPr="00DB7074">
        <w:rPr>
          <w:rFonts w:ascii="Book Antiqua" w:hAnsi="Book Antiqua" w:cs="Times New Roman"/>
          <w:sz w:val="24"/>
          <w:szCs w:val="24"/>
        </w:rPr>
        <w:t xml:space="preserve"> (</w:t>
      </w:r>
      <w:r w:rsidR="00B67546">
        <w:rPr>
          <w:rFonts w:ascii="Book Antiqua" w:hAnsi="Book Antiqua" w:cs="Times New Roman" w:hint="eastAsia"/>
          <w:sz w:val="24"/>
          <w:szCs w:val="24"/>
          <w:lang w:eastAsia="zh-CN"/>
        </w:rPr>
        <w:t>1</w:t>
      </w:r>
      <w:r w:rsidR="0073652C" w:rsidRPr="00DB7074">
        <w:rPr>
          <w:rFonts w:ascii="Book Antiqua" w:hAnsi="Book Antiqua" w:cs="Times New Roman"/>
          <w:sz w:val="24"/>
          <w:szCs w:val="24"/>
        </w:rPr>
        <w:t xml:space="preserve">) </w:t>
      </w:r>
      <w:r w:rsidR="003743B7" w:rsidRPr="00DB7074">
        <w:rPr>
          <w:rFonts w:ascii="Book Antiqua" w:hAnsi="Book Antiqua" w:cs="Times New Roman"/>
          <w:sz w:val="24"/>
          <w:szCs w:val="24"/>
        </w:rPr>
        <w:t>A</w:t>
      </w:r>
      <w:r w:rsidRPr="00DB7074">
        <w:rPr>
          <w:rFonts w:ascii="Book Antiqua" w:hAnsi="Book Antiqua" w:cs="Times New Roman"/>
          <w:sz w:val="24"/>
          <w:szCs w:val="24"/>
        </w:rPr>
        <w:t xml:space="preserve">ny studies should be prepared carefully, taking into account </w:t>
      </w:r>
      <w:r w:rsidR="003743B7" w:rsidRPr="00DB7074">
        <w:rPr>
          <w:rFonts w:ascii="Book Antiqua" w:hAnsi="Book Antiqua" w:cs="Times New Roman"/>
          <w:sz w:val="24"/>
          <w:szCs w:val="24"/>
        </w:rPr>
        <w:t xml:space="preserve">the </w:t>
      </w:r>
      <w:r w:rsidRPr="00DB7074">
        <w:rPr>
          <w:rFonts w:ascii="Book Antiqua" w:hAnsi="Book Antiqua" w:cs="Times New Roman"/>
          <w:sz w:val="24"/>
          <w:szCs w:val="24"/>
        </w:rPr>
        <w:t xml:space="preserve">recommendations and limitations of </w:t>
      </w:r>
      <w:r w:rsidR="0073652C" w:rsidRPr="00DB7074">
        <w:rPr>
          <w:rFonts w:ascii="Book Antiqua" w:hAnsi="Book Antiqua" w:cs="Times New Roman"/>
          <w:sz w:val="24"/>
          <w:szCs w:val="24"/>
        </w:rPr>
        <w:t>techniques published previously</w:t>
      </w:r>
      <w:r w:rsidR="003743B7" w:rsidRPr="00DB7074">
        <w:rPr>
          <w:rFonts w:ascii="Book Antiqua" w:hAnsi="Book Antiqua" w:cs="Times New Roman"/>
          <w:sz w:val="24"/>
          <w:szCs w:val="24"/>
        </w:rPr>
        <w:t>.</w:t>
      </w:r>
      <w:r w:rsidR="0073652C" w:rsidRPr="00DB7074">
        <w:rPr>
          <w:rFonts w:ascii="Book Antiqua" w:hAnsi="Book Antiqua" w:cs="Times New Roman"/>
          <w:sz w:val="24"/>
          <w:szCs w:val="24"/>
        </w:rPr>
        <w:t xml:space="preserve"> (</w:t>
      </w:r>
      <w:r w:rsidR="00B67546">
        <w:rPr>
          <w:rFonts w:ascii="Book Antiqua" w:hAnsi="Book Antiqua" w:cs="Times New Roman" w:hint="eastAsia"/>
          <w:sz w:val="24"/>
          <w:szCs w:val="24"/>
          <w:lang w:eastAsia="zh-CN"/>
        </w:rPr>
        <w:t>2</w:t>
      </w:r>
      <w:r w:rsidR="0073652C" w:rsidRPr="00DB7074">
        <w:rPr>
          <w:rFonts w:ascii="Book Antiqua" w:hAnsi="Book Antiqua" w:cs="Times New Roman"/>
          <w:sz w:val="24"/>
          <w:szCs w:val="24"/>
        </w:rPr>
        <w:t xml:space="preserve">) </w:t>
      </w:r>
      <w:r w:rsidR="003743B7" w:rsidRPr="00DB7074">
        <w:rPr>
          <w:rFonts w:ascii="Book Antiqua" w:hAnsi="Book Antiqua" w:cs="Times New Roman"/>
          <w:sz w:val="24"/>
          <w:szCs w:val="24"/>
        </w:rPr>
        <w:t>V</w:t>
      </w:r>
      <w:r w:rsidRPr="00DB7074">
        <w:rPr>
          <w:rFonts w:ascii="Book Antiqua" w:hAnsi="Book Antiqua" w:cs="Times New Roman"/>
          <w:sz w:val="24"/>
          <w:szCs w:val="24"/>
        </w:rPr>
        <w:t xml:space="preserve">alidation of CRC screening markers on </w:t>
      </w:r>
      <w:r w:rsidR="0073652C" w:rsidRPr="00DB7074">
        <w:rPr>
          <w:rFonts w:ascii="Book Antiqua" w:hAnsi="Book Antiqua" w:cs="Times New Roman"/>
          <w:sz w:val="24"/>
          <w:szCs w:val="24"/>
        </w:rPr>
        <w:t>specific</w:t>
      </w:r>
      <w:r w:rsidRPr="00DB7074">
        <w:rPr>
          <w:rFonts w:ascii="Book Antiqua" w:hAnsi="Book Antiqua" w:cs="Times New Roman"/>
          <w:sz w:val="24"/>
          <w:szCs w:val="24"/>
        </w:rPr>
        <w:t xml:space="preserve"> populations should be encouraged because differences in the gut microbiome </w:t>
      </w:r>
      <w:r w:rsidR="003743B7" w:rsidRPr="00DB7074">
        <w:rPr>
          <w:rFonts w:ascii="Book Antiqua" w:hAnsi="Book Antiqua" w:cs="Times New Roman"/>
          <w:sz w:val="24"/>
          <w:szCs w:val="24"/>
        </w:rPr>
        <w:t xml:space="preserve">are </w:t>
      </w:r>
      <w:r w:rsidRPr="00DB7074">
        <w:rPr>
          <w:rFonts w:ascii="Book Antiqua" w:hAnsi="Book Antiqua" w:cs="Times New Roman"/>
          <w:sz w:val="24"/>
          <w:szCs w:val="24"/>
        </w:rPr>
        <w:t xml:space="preserve">observed in different geographical locations or </w:t>
      </w:r>
      <w:r w:rsidR="003743B7" w:rsidRPr="00DB7074">
        <w:rPr>
          <w:rFonts w:ascii="Book Antiqua" w:hAnsi="Book Antiqua" w:cs="Times New Roman"/>
          <w:sz w:val="24"/>
          <w:szCs w:val="24"/>
        </w:rPr>
        <w:t xml:space="preserve">in </w:t>
      </w:r>
      <w:r w:rsidRPr="00DB7074">
        <w:rPr>
          <w:rFonts w:ascii="Book Antiqua" w:hAnsi="Book Antiqua" w:cs="Times New Roman"/>
          <w:sz w:val="24"/>
          <w:szCs w:val="24"/>
        </w:rPr>
        <w:t>different racial/ethnic groups</w:t>
      </w:r>
      <w:r w:rsidR="003743B7" w:rsidRPr="00DB7074">
        <w:rPr>
          <w:rFonts w:ascii="Book Antiqua" w:hAnsi="Book Antiqua" w:cs="Times New Roman"/>
          <w:sz w:val="24"/>
          <w:szCs w:val="24"/>
        </w:rPr>
        <w:t>.</w:t>
      </w:r>
      <w:r w:rsidR="0073652C" w:rsidRPr="00DB7074">
        <w:rPr>
          <w:rFonts w:ascii="Book Antiqua" w:hAnsi="Book Antiqua" w:cs="Times New Roman"/>
          <w:sz w:val="24"/>
          <w:szCs w:val="24"/>
        </w:rPr>
        <w:t xml:space="preserve"> (</w:t>
      </w:r>
      <w:r w:rsidR="00B67546">
        <w:rPr>
          <w:rFonts w:ascii="Book Antiqua" w:hAnsi="Book Antiqua" w:cs="Times New Roman" w:hint="eastAsia"/>
          <w:sz w:val="24"/>
          <w:szCs w:val="24"/>
          <w:lang w:eastAsia="zh-CN"/>
        </w:rPr>
        <w:t>3</w:t>
      </w:r>
      <w:r w:rsidR="0073652C" w:rsidRPr="00DB7074">
        <w:rPr>
          <w:rFonts w:ascii="Book Antiqua" w:hAnsi="Book Antiqua" w:cs="Times New Roman"/>
          <w:sz w:val="24"/>
          <w:szCs w:val="24"/>
        </w:rPr>
        <w:t xml:space="preserve">) </w:t>
      </w:r>
      <w:r w:rsidR="003743B7" w:rsidRPr="00DB7074">
        <w:rPr>
          <w:rFonts w:ascii="Book Antiqua" w:hAnsi="Book Antiqua" w:cs="Times New Roman"/>
          <w:sz w:val="24"/>
          <w:szCs w:val="24"/>
        </w:rPr>
        <w:t>W</w:t>
      </w:r>
      <w:r w:rsidRPr="00DB7074">
        <w:rPr>
          <w:rFonts w:ascii="Book Antiqua" w:hAnsi="Book Antiqua" w:cs="Times New Roman"/>
          <w:sz w:val="24"/>
          <w:szCs w:val="24"/>
        </w:rPr>
        <w:t xml:space="preserve">henever possible, conventional culture should be used to confirm the findings from sequencing studies. Particularly, </w:t>
      </w:r>
      <w:r w:rsidR="003743B7" w:rsidRPr="00DB7074">
        <w:rPr>
          <w:rFonts w:ascii="Book Antiqua" w:hAnsi="Book Antiqua" w:cs="Times New Roman"/>
          <w:sz w:val="24"/>
          <w:szCs w:val="24"/>
        </w:rPr>
        <w:t xml:space="preserve">the </w:t>
      </w:r>
      <w:r w:rsidRPr="00DB7074">
        <w:rPr>
          <w:rFonts w:ascii="Book Antiqua" w:hAnsi="Book Antiqua" w:cs="Times New Roman"/>
          <w:sz w:val="24"/>
          <w:szCs w:val="24"/>
        </w:rPr>
        <w:t>candidate marker status of species or genes revealed by molecular techniques should be confirmed or refuted by culture and vice versa.</w:t>
      </w:r>
      <w:r w:rsidR="0073652C" w:rsidRPr="00DB7074">
        <w:rPr>
          <w:rFonts w:ascii="Book Antiqua" w:hAnsi="Book Antiqua" w:cs="Times New Roman"/>
          <w:sz w:val="24"/>
          <w:szCs w:val="24"/>
        </w:rPr>
        <w:t xml:space="preserve"> </w:t>
      </w:r>
      <w:r w:rsidR="00A7584D" w:rsidRPr="00DB7074">
        <w:rPr>
          <w:rFonts w:ascii="Book Antiqua" w:hAnsi="Book Antiqua" w:cs="Times New Roman"/>
          <w:sz w:val="24"/>
          <w:szCs w:val="24"/>
        </w:rPr>
        <w:t>Systematic high-throughput culturomics should be developed because cultivation represent</w:t>
      </w:r>
      <w:r w:rsidR="00804EDC" w:rsidRPr="00DB7074">
        <w:rPr>
          <w:rFonts w:ascii="Book Antiqua" w:hAnsi="Book Antiqua" w:cs="Times New Roman"/>
          <w:sz w:val="24"/>
          <w:szCs w:val="24"/>
        </w:rPr>
        <w:t>s</w:t>
      </w:r>
      <w:r w:rsidR="00A7584D" w:rsidRPr="00DB7074">
        <w:rPr>
          <w:rFonts w:ascii="Book Antiqua" w:hAnsi="Book Antiqua" w:cs="Times New Roman"/>
          <w:sz w:val="24"/>
          <w:szCs w:val="24"/>
        </w:rPr>
        <w:t xml:space="preserve"> an approach that is economical</w:t>
      </w:r>
      <w:r w:rsidR="00804EDC" w:rsidRPr="00DB7074">
        <w:rPr>
          <w:rFonts w:ascii="Book Antiqua" w:hAnsi="Book Antiqua" w:cs="Times New Roman"/>
          <w:sz w:val="24"/>
          <w:szCs w:val="24"/>
        </w:rPr>
        <w:t>.</w:t>
      </w:r>
      <w:r w:rsidR="00A7584D" w:rsidRPr="00DB7074">
        <w:rPr>
          <w:rFonts w:ascii="Book Antiqua" w:hAnsi="Book Antiqua" w:cs="Times New Roman"/>
          <w:sz w:val="24"/>
          <w:szCs w:val="24"/>
        </w:rPr>
        <w:t xml:space="preserve"> </w:t>
      </w:r>
      <w:r w:rsidR="00B67546">
        <w:rPr>
          <w:rFonts w:ascii="Book Antiqua" w:hAnsi="Book Antiqua" w:cs="Times New Roman" w:hint="eastAsia"/>
          <w:sz w:val="24"/>
          <w:szCs w:val="24"/>
          <w:lang w:eastAsia="zh-CN"/>
        </w:rPr>
        <w:t>(4</w:t>
      </w:r>
      <w:r w:rsidR="0073652C" w:rsidRPr="00DB7074">
        <w:rPr>
          <w:rFonts w:ascii="Book Antiqua" w:hAnsi="Book Antiqua" w:cs="Times New Roman"/>
          <w:sz w:val="24"/>
          <w:szCs w:val="24"/>
        </w:rPr>
        <w:t xml:space="preserve">) </w:t>
      </w:r>
      <w:r w:rsidR="00804EDC" w:rsidRPr="00DB7074">
        <w:rPr>
          <w:rFonts w:ascii="Book Antiqua" w:hAnsi="Book Antiqua" w:cs="Times New Roman"/>
          <w:sz w:val="24"/>
          <w:szCs w:val="24"/>
        </w:rPr>
        <w:t>S</w:t>
      </w:r>
      <w:r w:rsidRPr="00DB7074">
        <w:rPr>
          <w:rFonts w:ascii="Book Antiqua" w:hAnsi="Book Antiqua" w:cs="Times New Roman"/>
          <w:sz w:val="24"/>
          <w:szCs w:val="24"/>
        </w:rPr>
        <w:t xml:space="preserve">creening techniques </w:t>
      </w:r>
      <w:r w:rsidR="00804EDC" w:rsidRPr="00DB7074">
        <w:rPr>
          <w:rFonts w:ascii="Book Antiqua" w:hAnsi="Book Antiqua" w:cs="Times New Roman"/>
          <w:sz w:val="24"/>
          <w:szCs w:val="24"/>
        </w:rPr>
        <w:t>for</w:t>
      </w:r>
      <w:r w:rsidRPr="00DB7074">
        <w:rPr>
          <w:rFonts w:ascii="Book Antiqua" w:hAnsi="Book Antiqua" w:cs="Times New Roman"/>
          <w:sz w:val="24"/>
          <w:szCs w:val="24"/>
        </w:rPr>
        <w:t xml:space="preserve"> CRC risk should </w:t>
      </w:r>
      <w:r w:rsidR="00804EDC" w:rsidRPr="00DB7074">
        <w:rPr>
          <w:rFonts w:ascii="Book Antiqua" w:hAnsi="Book Antiqua" w:cs="Times New Roman"/>
          <w:sz w:val="24"/>
          <w:szCs w:val="24"/>
        </w:rPr>
        <w:t xml:space="preserve">evaluate </w:t>
      </w:r>
      <w:r w:rsidRPr="00DB7074">
        <w:rPr>
          <w:rFonts w:ascii="Book Antiqua" w:hAnsi="Book Antiqua" w:cs="Times New Roman"/>
          <w:sz w:val="24"/>
          <w:szCs w:val="24"/>
        </w:rPr>
        <w:t xml:space="preserve">all </w:t>
      </w:r>
      <w:r w:rsidR="00804EDC" w:rsidRPr="00DB7074">
        <w:rPr>
          <w:rFonts w:ascii="Book Antiqua" w:hAnsi="Book Antiqua" w:cs="Times New Roman"/>
          <w:sz w:val="24"/>
          <w:szCs w:val="24"/>
        </w:rPr>
        <w:t xml:space="preserve">the </w:t>
      </w:r>
      <w:r w:rsidRPr="00DB7074">
        <w:rPr>
          <w:rFonts w:ascii="Book Antiqua" w:hAnsi="Book Antiqua" w:cs="Times New Roman"/>
          <w:sz w:val="24"/>
          <w:szCs w:val="24"/>
        </w:rPr>
        <w:t>known candidate markers, combining particular species, genotoxin production and possibly further strain ch</w:t>
      </w:r>
      <w:r w:rsidR="00893560" w:rsidRPr="00DB7074">
        <w:rPr>
          <w:rFonts w:ascii="Book Antiqua" w:hAnsi="Book Antiqua" w:cs="Times New Roman"/>
          <w:sz w:val="24"/>
          <w:szCs w:val="24"/>
        </w:rPr>
        <w:t>aracteristics whenever relevant</w:t>
      </w:r>
      <w:r w:rsidR="00804EDC" w:rsidRPr="00DB7074">
        <w:rPr>
          <w:rFonts w:ascii="Book Antiqua" w:hAnsi="Book Antiqua" w:cs="Times New Roman"/>
          <w:sz w:val="24"/>
          <w:szCs w:val="24"/>
        </w:rPr>
        <w:t>.</w:t>
      </w:r>
      <w:r w:rsidR="0073652C" w:rsidRPr="00DB7074">
        <w:rPr>
          <w:rFonts w:ascii="Book Antiqua" w:hAnsi="Book Antiqua" w:cs="Times New Roman"/>
          <w:sz w:val="24"/>
          <w:szCs w:val="24"/>
        </w:rPr>
        <w:t xml:space="preserve"> </w:t>
      </w:r>
      <w:r w:rsidR="00D20A30">
        <w:rPr>
          <w:rFonts w:ascii="Book Antiqua" w:hAnsi="Book Antiqua" w:cs="Times New Roman"/>
          <w:sz w:val="24"/>
          <w:szCs w:val="24"/>
          <w:lang w:eastAsia="zh-CN"/>
        </w:rPr>
        <w:t>A</w:t>
      </w:r>
      <w:r w:rsidR="00D20A30">
        <w:rPr>
          <w:rFonts w:ascii="Book Antiqua" w:hAnsi="Book Antiqua" w:cs="Times New Roman" w:hint="eastAsia"/>
          <w:sz w:val="24"/>
          <w:szCs w:val="24"/>
          <w:lang w:eastAsia="zh-CN"/>
        </w:rPr>
        <w:t xml:space="preserve">nd </w:t>
      </w:r>
      <w:r w:rsidR="0073652C" w:rsidRPr="00DB7074">
        <w:rPr>
          <w:rFonts w:ascii="Book Antiqua" w:hAnsi="Book Antiqua" w:cs="Times New Roman"/>
          <w:sz w:val="24"/>
          <w:szCs w:val="24"/>
        </w:rPr>
        <w:t>(</w:t>
      </w:r>
      <w:r w:rsidR="00D20A30">
        <w:rPr>
          <w:rFonts w:ascii="Book Antiqua" w:hAnsi="Book Antiqua" w:cs="Times New Roman" w:hint="eastAsia"/>
          <w:sz w:val="24"/>
          <w:szCs w:val="24"/>
          <w:lang w:eastAsia="zh-CN"/>
        </w:rPr>
        <w:t>5</w:t>
      </w:r>
      <w:r w:rsidR="0073652C" w:rsidRPr="00DB7074">
        <w:rPr>
          <w:rFonts w:ascii="Book Antiqua" w:hAnsi="Book Antiqua" w:cs="Times New Roman"/>
          <w:sz w:val="24"/>
          <w:szCs w:val="24"/>
        </w:rPr>
        <w:t xml:space="preserve">) </w:t>
      </w:r>
      <w:proofErr w:type="gramStart"/>
      <w:r w:rsidR="00804EDC" w:rsidRPr="00DB7074">
        <w:rPr>
          <w:rFonts w:ascii="Book Antiqua" w:hAnsi="Book Antiqua" w:cs="Times New Roman"/>
          <w:sz w:val="24"/>
          <w:szCs w:val="24"/>
        </w:rPr>
        <w:t>The</w:t>
      </w:r>
      <w:proofErr w:type="gramEnd"/>
      <w:r w:rsidR="00804EDC" w:rsidRPr="00DB7074">
        <w:rPr>
          <w:rFonts w:ascii="Book Antiqua" w:hAnsi="Book Antiqua" w:cs="Times New Roman"/>
          <w:sz w:val="24"/>
          <w:szCs w:val="24"/>
        </w:rPr>
        <w:t xml:space="preserve"> potential for </w:t>
      </w:r>
      <w:r w:rsidR="00CE6BBB" w:rsidRPr="00DB7074">
        <w:rPr>
          <w:rFonts w:ascii="Book Antiqua" w:hAnsi="Book Antiqua" w:cs="Times New Roman"/>
          <w:sz w:val="24"/>
          <w:szCs w:val="24"/>
        </w:rPr>
        <w:t>practical</w:t>
      </w:r>
      <w:r w:rsidR="00804EDC" w:rsidRPr="00DB7074">
        <w:rPr>
          <w:rFonts w:ascii="Book Antiqua" w:hAnsi="Book Antiqua" w:cs="Times New Roman"/>
          <w:sz w:val="24"/>
          <w:szCs w:val="24"/>
        </w:rPr>
        <w:t xml:space="preserve"> detection should </w:t>
      </w:r>
      <w:r w:rsidR="00893560" w:rsidRPr="00DB7074">
        <w:rPr>
          <w:rFonts w:ascii="Book Antiqua" w:hAnsi="Book Antiqua" w:cs="Times New Roman"/>
          <w:sz w:val="24"/>
          <w:szCs w:val="24"/>
        </w:rPr>
        <w:t>a</w:t>
      </w:r>
      <w:r w:rsidRPr="00DB7074">
        <w:rPr>
          <w:rFonts w:ascii="Book Antiqua" w:hAnsi="Book Antiqua" w:cs="Times New Roman"/>
          <w:sz w:val="24"/>
          <w:szCs w:val="24"/>
        </w:rPr>
        <w:t xml:space="preserve">lways </w:t>
      </w:r>
      <w:r w:rsidR="00804EDC" w:rsidRPr="00DB7074">
        <w:rPr>
          <w:rFonts w:ascii="Book Antiqua" w:hAnsi="Book Antiqua" w:cs="Times New Roman"/>
          <w:sz w:val="24"/>
          <w:szCs w:val="24"/>
        </w:rPr>
        <w:t xml:space="preserve">be </w:t>
      </w:r>
      <w:r w:rsidRPr="00DB7074">
        <w:rPr>
          <w:rFonts w:ascii="Book Antiqua" w:hAnsi="Book Antiqua" w:cs="Times New Roman"/>
          <w:sz w:val="24"/>
          <w:szCs w:val="24"/>
        </w:rPr>
        <w:t>consider</w:t>
      </w:r>
      <w:r w:rsidR="00804EDC" w:rsidRPr="00DB7074">
        <w:rPr>
          <w:rFonts w:ascii="Book Antiqua" w:hAnsi="Book Antiqua" w:cs="Times New Roman"/>
          <w:sz w:val="24"/>
          <w:szCs w:val="24"/>
        </w:rPr>
        <w:t>ed</w:t>
      </w:r>
      <w:r w:rsidRPr="00DB7074">
        <w:rPr>
          <w:rFonts w:ascii="Book Antiqua" w:hAnsi="Book Antiqua" w:cs="Times New Roman"/>
          <w:sz w:val="24"/>
          <w:szCs w:val="24"/>
        </w:rPr>
        <w:t xml:space="preserve">. </w:t>
      </w:r>
      <w:r w:rsidR="00507882" w:rsidRPr="00DB7074">
        <w:rPr>
          <w:rFonts w:ascii="Book Antiqua" w:hAnsi="Book Antiqua" w:cs="Times New Roman"/>
          <w:sz w:val="24"/>
          <w:szCs w:val="24"/>
        </w:rPr>
        <w:t>For example, tumour</w:t>
      </w:r>
      <w:r w:rsidRPr="00DB7074">
        <w:rPr>
          <w:rFonts w:ascii="Book Antiqua" w:hAnsi="Book Antiqua" w:cs="Times New Roman"/>
          <w:sz w:val="24"/>
          <w:szCs w:val="24"/>
        </w:rPr>
        <w:t xml:space="preserve"> screening, which require</w:t>
      </w:r>
      <w:r w:rsidR="00804EDC" w:rsidRPr="00DB7074">
        <w:rPr>
          <w:rFonts w:ascii="Book Antiqua" w:hAnsi="Book Antiqua" w:cs="Times New Roman"/>
          <w:sz w:val="24"/>
          <w:szCs w:val="24"/>
        </w:rPr>
        <w:t>s</w:t>
      </w:r>
      <w:r w:rsidRPr="00DB7074">
        <w:rPr>
          <w:rFonts w:ascii="Book Antiqua" w:hAnsi="Book Antiqua" w:cs="Times New Roman"/>
          <w:sz w:val="24"/>
          <w:szCs w:val="24"/>
        </w:rPr>
        <w:t xml:space="preserve"> colonoscopy, is costly, uncomfortable for patient</w:t>
      </w:r>
      <w:r w:rsidR="00507882" w:rsidRPr="00DB7074">
        <w:rPr>
          <w:rFonts w:ascii="Book Antiqua" w:hAnsi="Book Antiqua" w:cs="Times New Roman"/>
          <w:sz w:val="24"/>
          <w:szCs w:val="24"/>
        </w:rPr>
        <w:t xml:space="preserve"> and is </w:t>
      </w:r>
      <w:r w:rsidRPr="00DB7074">
        <w:rPr>
          <w:rFonts w:ascii="Book Antiqua" w:hAnsi="Book Antiqua" w:cs="Times New Roman"/>
          <w:sz w:val="24"/>
          <w:szCs w:val="24"/>
        </w:rPr>
        <w:t xml:space="preserve">the </w:t>
      </w:r>
      <w:r w:rsidR="00804EDC" w:rsidRPr="00DB7074">
        <w:rPr>
          <w:rFonts w:ascii="Book Antiqua" w:hAnsi="Book Antiqua" w:cs="Times New Roman"/>
          <w:sz w:val="24"/>
          <w:szCs w:val="24"/>
        </w:rPr>
        <w:t xml:space="preserve">gold standard </w:t>
      </w:r>
      <w:r w:rsidRPr="00DB7074">
        <w:rPr>
          <w:rFonts w:ascii="Book Antiqua" w:hAnsi="Book Antiqua" w:cs="Times New Roman"/>
          <w:sz w:val="24"/>
          <w:szCs w:val="24"/>
        </w:rPr>
        <w:t>tool for CRC screening.</w:t>
      </w:r>
      <w:r w:rsidR="00F44B71" w:rsidRPr="00DB7074">
        <w:rPr>
          <w:rFonts w:ascii="Book Antiqua" w:hAnsi="Book Antiqua" w:cs="Times New Roman"/>
          <w:sz w:val="24"/>
          <w:szCs w:val="24"/>
        </w:rPr>
        <w:t xml:space="preserve"> </w:t>
      </w:r>
      <w:r w:rsidR="00507882" w:rsidRPr="00DB7074">
        <w:rPr>
          <w:rFonts w:ascii="Book Antiqua" w:hAnsi="Book Antiqua" w:cs="Times New Roman"/>
          <w:sz w:val="24"/>
          <w:szCs w:val="24"/>
        </w:rPr>
        <w:t>Faecal</w:t>
      </w:r>
      <w:r w:rsidR="00255AF9" w:rsidRPr="00DB7074">
        <w:rPr>
          <w:rFonts w:ascii="Book Antiqua" w:hAnsi="Book Antiqua" w:cs="Times New Roman"/>
          <w:sz w:val="24"/>
          <w:szCs w:val="24"/>
        </w:rPr>
        <w:t xml:space="preserve"> samples </w:t>
      </w:r>
      <w:r w:rsidR="00804EDC" w:rsidRPr="00DB7074">
        <w:rPr>
          <w:rFonts w:ascii="Book Antiqua" w:hAnsi="Book Antiqua" w:cs="Times New Roman"/>
          <w:sz w:val="24"/>
          <w:szCs w:val="24"/>
        </w:rPr>
        <w:t>are</w:t>
      </w:r>
      <w:r w:rsidR="00FB032E" w:rsidRPr="00DB7074">
        <w:rPr>
          <w:rFonts w:ascii="Book Antiqua" w:hAnsi="Book Antiqua" w:cs="Times New Roman"/>
          <w:sz w:val="24"/>
          <w:szCs w:val="24"/>
        </w:rPr>
        <w:t xml:space="preserve"> better non-invasive specimen</w:t>
      </w:r>
      <w:r w:rsidR="00804EDC" w:rsidRPr="00DB7074">
        <w:rPr>
          <w:rFonts w:ascii="Book Antiqua" w:hAnsi="Book Antiqua" w:cs="Times New Roman"/>
          <w:sz w:val="24"/>
          <w:szCs w:val="24"/>
        </w:rPr>
        <w:t>s</w:t>
      </w:r>
      <w:r w:rsidR="00FB032E" w:rsidRPr="00DB7074">
        <w:rPr>
          <w:rFonts w:ascii="Book Antiqua" w:hAnsi="Book Antiqua" w:cs="Times New Roman"/>
          <w:sz w:val="24"/>
          <w:szCs w:val="24"/>
        </w:rPr>
        <w:t xml:space="preserve"> for developing these microbial-associated-markers.</w:t>
      </w:r>
      <w:r w:rsidR="00494942" w:rsidRPr="00DB7074">
        <w:rPr>
          <w:rFonts w:ascii="Book Antiqua" w:hAnsi="Book Antiqua" w:cs="Times New Roman"/>
          <w:sz w:val="24"/>
          <w:szCs w:val="24"/>
        </w:rPr>
        <w:t xml:space="preserve"> </w:t>
      </w:r>
      <w:r w:rsidR="00447625" w:rsidRPr="00DB7074">
        <w:rPr>
          <w:rFonts w:ascii="Book Antiqua" w:hAnsi="Book Antiqua" w:cs="Times New Roman"/>
          <w:sz w:val="24"/>
          <w:szCs w:val="24"/>
        </w:rPr>
        <w:t>However</w:t>
      </w:r>
      <w:r w:rsidR="00F143FE" w:rsidRPr="00DB7074">
        <w:rPr>
          <w:rFonts w:ascii="Book Antiqua" w:hAnsi="Book Antiqua" w:cs="Times New Roman"/>
          <w:sz w:val="24"/>
          <w:szCs w:val="24"/>
        </w:rPr>
        <w:t>,</w:t>
      </w:r>
      <w:r w:rsidR="00447625" w:rsidRPr="00DB7074">
        <w:rPr>
          <w:rFonts w:ascii="Book Antiqua" w:hAnsi="Book Antiqua" w:cs="Times New Roman"/>
          <w:sz w:val="24"/>
          <w:szCs w:val="24"/>
        </w:rPr>
        <w:t xml:space="preserve"> </w:t>
      </w:r>
      <w:r w:rsidR="00507882" w:rsidRPr="00DB7074">
        <w:rPr>
          <w:rFonts w:ascii="Book Antiqua" w:hAnsi="Book Antiqua" w:cs="Times New Roman"/>
          <w:sz w:val="24"/>
          <w:szCs w:val="24"/>
        </w:rPr>
        <w:t>faeces</w:t>
      </w:r>
      <w:r w:rsidR="00447625" w:rsidRPr="00DB7074">
        <w:rPr>
          <w:rFonts w:ascii="Book Antiqua" w:hAnsi="Book Antiqua" w:cs="Times New Roman"/>
          <w:sz w:val="24"/>
          <w:szCs w:val="24"/>
        </w:rPr>
        <w:t xml:space="preserve"> are likely to contain a large number of microbial species unrelated to the disease site, which may introduce noise in the detection of potential biomarkers of the disease.</w:t>
      </w:r>
      <w:r w:rsidR="00FB032E" w:rsidRPr="00DB7074">
        <w:rPr>
          <w:rFonts w:ascii="Book Antiqua" w:hAnsi="Book Antiqua" w:cs="Times New Roman"/>
          <w:sz w:val="24"/>
          <w:szCs w:val="24"/>
        </w:rPr>
        <w:t xml:space="preserve"> </w:t>
      </w:r>
      <w:r w:rsidR="00494942" w:rsidRPr="00DB7074">
        <w:rPr>
          <w:rFonts w:ascii="Book Antiqua" w:hAnsi="Book Antiqua" w:cs="Times New Roman"/>
          <w:sz w:val="24"/>
          <w:szCs w:val="24"/>
        </w:rPr>
        <w:t xml:space="preserve">Because some bacteria </w:t>
      </w:r>
      <w:r w:rsidR="00804EDC" w:rsidRPr="00DB7074">
        <w:rPr>
          <w:rFonts w:ascii="Book Antiqua" w:hAnsi="Book Antiqua" w:cs="Times New Roman"/>
          <w:sz w:val="24"/>
          <w:szCs w:val="24"/>
        </w:rPr>
        <w:t xml:space="preserve">that are </w:t>
      </w:r>
      <w:r w:rsidR="00494942" w:rsidRPr="00DB7074">
        <w:rPr>
          <w:rFonts w:ascii="Book Antiqua" w:hAnsi="Book Antiqua" w:cs="Times New Roman"/>
          <w:sz w:val="24"/>
          <w:szCs w:val="24"/>
        </w:rPr>
        <w:t>associated with CRC</w:t>
      </w:r>
      <w:r w:rsidR="00804EDC" w:rsidRPr="00DB7074">
        <w:rPr>
          <w:rFonts w:ascii="Book Antiqua" w:hAnsi="Book Antiqua" w:cs="Times New Roman"/>
          <w:sz w:val="24"/>
          <w:szCs w:val="24"/>
        </w:rPr>
        <w:t>, such</w:t>
      </w:r>
      <w:r w:rsidR="00494942" w:rsidRPr="00DB7074">
        <w:rPr>
          <w:rFonts w:ascii="Book Antiqua" w:hAnsi="Book Antiqua" w:cs="Times New Roman"/>
          <w:sz w:val="24"/>
          <w:szCs w:val="24"/>
        </w:rPr>
        <w:t xml:space="preserve"> as </w:t>
      </w:r>
      <w:r w:rsidR="00494942" w:rsidRPr="00DB7074">
        <w:rPr>
          <w:rFonts w:ascii="Book Antiqua" w:hAnsi="Book Antiqua" w:cs="Times New Roman"/>
          <w:i/>
          <w:sz w:val="24"/>
          <w:szCs w:val="24"/>
        </w:rPr>
        <w:t>F. nucleatum</w:t>
      </w:r>
      <w:r w:rsidR="00804EDC" w:rsidRPr="00DB7074">
        <w:rPr>
          <w:rFonts w:ascii="Book Antiqua" w:hAnsi="Book Antiqua" w:cs="Times New Roman"/>
          <w:sz w:val="24"/>
          <w:szCs w:val="24"/>
        </w:rPr>
        <w:t>, are</w:t>
      </w:r>
      <w:r w:rsidR="00494942" w:rsidRPr="00DB7074">
        <w:rPr>
          <w:rFonts w:ascii="Book Antiqua" w:hAnsi="Book Antiqua" w:cs="Times New Roman"/>
          <w:sz w:val="24"/>
          <w:szCs w:val="24"/>
        </w:rPr>
        <w:t xml:space="preserve"> </w:t>
      </w:r>
      <w:r w:rsidR="00494942" w:rsidRPr="00DB7074">
        <w:rPr>
          <w:rStyle w:val="st"/>
          <w:rFonts w:ascii="Book Antiqua" w:hAnsi="Book Antiqua" w:cs="Times New Roman"/>
          <w:sz w:val="24"/>
          <w:szCs w:val="24"/>
        </w:rPr>
        <w:t xml:space="preserve">indigenous to the human oral cavity, </w:t>
      </w:r>
      <w:r w:rsidR="00494942" w:rsidRPr="00DB7074">
        <w:rPr>
          <w:rFonts w:ascii="Book Antiqua" w:hAnsi="Book Antiqua" w:cs="Times New Roman"/>
          <w:sz w:val="24"/>
          <w:szCs w:val="24"/>
        </w:rPr>
        <w:t xml:space="preserve">analysing the oral microbiome </w:t>
      </w:r>
      <w:r w:rsidR="00804EDC" w:rsidRPr="00DB7074">
        <w:rPr>
          <w:rFonts w:ascii="Book Antiqua" w:hAnsi="Book Antiqua" w:cs="Times New Roman"/>
          <w:sz w:val="24"/>
          <w:szCs w:val="24"/>
        </w:rPr>
        <w:t xml:space="preserve">may </w:t>
      </w:r>
      <w:r w:rsidR="00494942" w:rsidRPr="00DB7074">
        <w:rPr>
          <w:rFonts w:ascii="Book Antiqua" w:hAnsi="Book Antiqua" w:cs="Times New Roman"/>
          <w:sz w:val="24"/>
          <w:szCs w:val="24"/>
        </w:rPr>
        <w:t xml:space="preserve">be an alternative </w:t>
      </w:r>
      <w:r w:rsidR="00804EDC" w:rsidRPr="00DB7074">
        <w:rPr>
          <w:rFonts w:ascii="Book Antiqua" w:hAnsi="Book Antiqua" w:cs="Times New Roman"/>
          <w:sz w:val="24"/>
          <w:szCs w:val="24"/>
        </w:rPr>
        <w:t xml:space="preserve">screening </w:t>
      </w:r>
      <w:r w:rsidR="00494942" w:rsidRPr="00DB7074">
        <w:rPr>
          <w:rFonts w:ascii="Book Antiqua" w:hAnsi="Book Antiqua" w:cs="Times New Roman"/>
          <w:sz w:val="24"/>
          <w:szCs w:val="24"/>
        </w:rPr>
        <w:t>method for CRC.</w:t>
      </w:r>
      <w:r w:rsidR="00494942" w:rsidRPr="00DB7074">
        <w:rPr>
          <w:rStyle w:val="st"/>
          <w:rFonts w:ascii="Book Antiqua" w:hAnsi="Book Antiqua" w:cs="Times New Roman"/>
          <w:sz w:val="24"/>
          <w:szCs w:val="24"/>
        </w:rPr>
        <w:t xml:space="preserve"> </w:t>
      </w:r>
      <w:r w:rsidR="00447625" w:rsidRPr="00DB7074">
        <w:rPr>
          <w:rFonts w:ascii="Book Antiqua" w:hAnsi="Book Antiqua" w:cs="Times New Roman"/>
          <w:sz w:val="24"/>
          <w:szCs w:val="24"/>
        </w:rPr>
        <w:t xml:space="preserve">Saliva is a biological fluid that </w:t>
      </w:r>
      <w:r w:rsidR="00804EDC" w:rsidRPr="00DB7074">
        <w:rPr>
          <w:rFonts w:ascii="Book Antiqua" w:hAnsi="Book Antiqua" w:cs="Times New Roman"/>
          <w:sz w:val="24"/>
          <w:szCs w:val="24"/>
        </w:rPr>
        <w:t xml:space="preserve">may </w:t>
      </w:r>
      <w:r w:rsidR="00447625" w:rsidRPr="00DB7074">
        <w:rPr>
          <w:rFonts w:ascii="Book Antiqua" w:hAnsi="Book Antiqua" w:cs="Times New Roman"/>
          <w:sz w:val="24"/>
          <w:szCs w:val="24"/>
        </w:rPr>
        <w:t xml:space="preserve">be suitable for biomarker detection. The oral microbial compositions may theoretically reflect the oral and general health status. Flemer </w:t>
      </w:r>
      <w:r w:rsidR="00447625" w:rsidRPr="00DB7074">
        <w:rPr>
          <w:rFonts w:ascii="Book Antiqua" w:hAnsi="Book Antiqua" w:cs="Times New Roman"/>
          <w:iCs/>
          <w:sz w:val="24"/>
          <w:szCs w:val="24"/>
        </w:rPr>
        <w:t>et al</w:t>
      </w:r>
      <w:r w:rsidR="00447625" w:rsidRPr="00DB7074">
        <w:rPr>
          <w:rFonts w:ascii="Book Antiqua" w:hAnsi="Book Antiqua" w:cs="Times New Roman"/>
          <w:sz w:val="24"/>
          <w:szCs w:val="24"/>
        </w:rPr>
        <w:t xml:space="preserve">. found that several oral taxa (such as </w:t>
      </w:r>
      <w:r w:rsidR="00447625" w:rsidRPr="00DB7074">
        <w:rPr>
          <w:rFonts w:ascii="Book Antiqua" w:hAnsi="Book Antiqua" w:cs="Times New Roman"/>
          <w:i/>
          <w:iCs/>
          <w:sz w:val="24"/>
          <w:szCs w:val="24"/>
        </w:rPr>
        <w:t>Streptococcus</w:t>
      </w:r>
      <w:r w:rsidR="00447625" w:rsidRPr="00DB7074">
        <w:rPr>
          <w:rFonts w:ascii="Book Antiqua" w:hAnsi="Book Antiqua" w:cs="Times New Roman"/>
          <w:sz w:val="24"/>
          <w:szCs w:val="24"/>
        </w:rPr>
        <w:t xml:space="preserve"> and </w:t>
      </w:r>
      <w:r w:rsidR="00447625" w:rsidRPr="00DB7074">
        <w:rPr>
          <w:rFonts w:ascii="Book Antiqua" w:hAnsi="Book Antiqua" w:cs="Times New Roman"/>
          <w:i/>
          <w:iCs/>
          <w:sz w:val="24"/>
          <w:szCs w:val="24"/>
        </w:rPr>
        <w:t>Prevotella</w:t>
      </w:r>
      <w:r w:rsidR="00447625" w:rsidRPr="00DB7074">
        <w:rPr>
          <w:rFonts w:ascii="Book Antiqua" w:hAnsi="Book Antiqua" w:cs="Times New Roman"/>
          <w:sz w:val="24"/>
          <w:szCs w:val="24"/>
        </w:rPr>
        <w:t xml:space="preserve"> spp.) were differentially abundant in CRC </w:t>
      </w:r>
      <w:r w:rsidR="00804EDC" w:rsidRPr="00DB7074">
        <w:rPr>
          <w:rFonts w:ascii="Book Antiqua" w:hAnsi="Book Antiqua" w:cs="Times New Roman"/>
          <w:sz w:val="24"/>
          <w:szCs w:val="24"/>
        </w:rPr>
        <w:t xml:space="preserve">patients </w:t>
      </w:r>
      <w:r w:rsidR="00447625" w:rsidRPr="00DB7074">
        <w:rPr>
          <w:rFonts w:ascii="Book Antiqua" w:hAnsi="Book Antiqua" w:cs="Times New Roman"/>
          <w:sz w:val="24"/>
          <w:szCs w:val="24"/>
        </w:rPr>
        <w:t>versus controls</w:t>
      </w:r>
      <w:r w:rsidR="00B132B3"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{"citationID":"a10thhla11e","properties":{"formattedCitation":"\\super [254]\\nosupersub{}","plainCitation":"[254]","noteIndex":0},"citationItems":[{"id":"D1GMNV0O/dO3C9Q9o","uris":["http://zotero.org/users/4804376/items/2GT4MUWV"],"uri":["http://zotero.org/users/4804376/items/2GT4MUWV"],"itemData":{"id":357,"type":"article-journal","title":"The oral microbiota in colorectal cancer is distinctive and predictive","container-title":"Gut","source":"PubMed","abstract":"BACKGROUND AND AIMS: Microbiota alterations are linked with colorectal cancer (CRC) and notably higher abundance of putative oral bacteria on colonic tumours. However, it is not known if colonic mucosa-associated taxa are indeed orally derived, if such cases are a distinct subset of patients or if the oral microbiome is generally suitable for screening for CRC.\nMETHODS: We profiled the microbiota in oral swabs, colonic mucosae and stool from individuals with CRC (99 subjects), colorectal polyps (32) or controls (103).\nRESULTS: Several oral taxa were differentially abundant in CRC compared with controls, for example,StreptococcusandPrevotellas pp. A classification model of oral swab microbiota distinguished individuals with CRC or polyps from controls (sensitivity: 53% (CRC)/67% (polyps); specificity: 96%). Combining the data from faecal microbiota and oral swab microbiota increased the sensitivity of this model to 76% (CRC)/88% (polyps). We detected similar bacterial networks in colonic microbiota and oral microbiota datasets comprising putative oral biofilm forming bacteria. While these taxa were more abundant in CRC, core networks between pathogenic, CRC-associated oral bacteria such asPeptostreptococcus,ParvimonasandFusobacteriumwere also detected in healthy controls. High abundance of Lachnospiraceae was negatively associated with the colonisation of colonic tissue with oral-like bacterial networks suggesting a protective role for certain microbiota types against CRC, possibly by conferring colonisation resistance to CRC-associated oral taxa and possibly mediated through habitual diet.\nCONCLUSION: The heterogeneity of CRC may relate to microbiota types that either predispose or provide resistance to the disease, and profiling the oral microbiome may offer an alternative screen for detecting CRC.","DOI":"10.1136/gutjnl-2017-314814","ISSN":"1468-3288","note":"PMID: 28988196","journalAbbreviation":"Gut","language":"eng","author":[{"family":"Flemer","given":"Burkhardt"},{"family":"Warren","given":"Ryan D."},{"family":"Barrett","given":"Maurice P."},{"family":"Cisek","given":"Katryna"},{"family":"Das","given":"Anubhav"},{"family":"Jeffery","given":"Ian B."},{"family":"Hurley","given":"Eimear"},{"family":"O'Riordain","given":"Micheal"},{"family":"Shanahan","given":"Fergus"},{"family":"O'Toole","given":"Paul W."}],"issued":{"date-parts":[["2017",10,7]]}}}],"schema":"https://github.com/citation-style-language/schema/raw/master/csl-citation.json"} </w:instrText>
      </w:r>
      <w:r w:rsidR="00B132B3"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[254]</w:t>
      </w:r>
      <w:r w:rsidR="00B132B3" w:rsidRPr="00DB7074">
        <w:rPr>
          <w:rFonts w:ascii="Book Antiqua" w:hAnsi="Book Antiqua" w:cs="Times New Roman"/>
          <w:sz w:val="24"/>
          <w:szCs w:val="24"/>
        </w:rPr>
        <w:fldChar w:fldCharType="end"/>
      </w:r>
      <w:r w:rsidR="00447625" w:rsidRPr="00DB7074">
        <w:rPr>
          <w:rFonts w:ascii="Book Antiqua" w:hAnsi="Book Antiqua" w:cs="Times New Roman"/>
          <w:sz w:val="24"/>
          <w:szCs w:val="24"/>
        </w:rPr>
        <w:t xml:space="preserve">. Moreover, they developed a classification model based on </w:t>
      </w:r>
      <w:r w:rsidR="00804EDC" w:rsidRPr="00DB7074">
        <w:rPr>
          <w:rFonts w:ascii="Book Antiqua" w:hAnsi="Book Antiqua" w:cs="Times New Roman"/>
          <w:sz w:val="24"/>
          <w:szCs w:val="24"/>
        </w:rPr>
        <w:t xml:space="preserve">the </w:t>
      </w:r>
      <w:r w:rsidR="00447625" w:rsidRPr="00DB7074">
        <w:rPr>
          <w:rFonts w:ascii="Book Antiqua" w:hAnsi="Book Antiqua" w:cs="Times New Roman"/>
          <w:sz w:val="24"/>
          <w:szCs w:val="24"/>
        </w:rPr>
        <w:t xml:space="preserve">oral swab microbiota that distinguished individuals with CRC or polyps from controls (sensitivity: 53% CRC, 67% polyps; specificity: 96%). Importantly, when data from both </w:t>
      </w:r>
      <w:r w:rsidR="00804EDC" w:rsidRPr="00DB7074">
        <w:rPr>
          <w:rFonts w:ascii="Book Antiqua" w:hAnsi="Book Antiqua" w:cs="Times New Roman"/>
          <w:sz w:val="24"/>
          <w:szCs w:val="24"/>
        </w:rPr>
        <w:t xml:space="preserve">the </w:t>
      </w:r>
      <w:r w:rsidR="00507882" w:rsidRPr="00DB7074">
        <w:rPr>
          <w:rFonts w:ascii="Book Antiqua" w:hAnsi="Book Antiqua" w:cs="Times New Roman"/>
          <w:sz w:val="24"/>
          <w:szCs w:val="24"/>
        </w:rPr>
        <w:t>faecal</w:t>
      </w:r>
      <w:r w:rsidR="00447625" w:rsidRPr="00DB7074">
        <w:rPr>
          <w:rFonts w:ascii="Book Antiqua" w:hAnsi="Book Antiqua" w:cs="Times New Roman"/>
          <w:sz w:val="24"/>
          <w:szCs w:val="24"/>
        </w:rPr>
        <w:t xml:space="preserve"> and oral swab microbiota were considered in this model, the sensitivity increased to 76% for CRC and 88% for polyps. </w:t>
      </w:r>
      <w:r w:rsidR="003A20C7" w:rsidRPr="00DB7074">
        <w:rPr>
          <w:rFonts w:ascii="Book Antiqua" w:hAnsi="Book Antiqua" w:cs="Times New Roman"/>
          <w:sz w:val="24"/>
          <w:szCs w:val="24"/>
        </w:rPr>
        <w:t xml:space="preserve">In addition </w:t>
      </w:r>
      <w:r w:rsidR="00CF493A" w:rsidRPr="00DB7074">
        <w:rPr>
          <w:rFonts w:ascii="Book Antiqua" w:hAnsi="Book Antiqua" w:cs="Times New Roman"/>
          <w:sz w:val="24"/>
          <w:szCs w:val="24"/>
        </w:rPr>
        <w:t xml:space="preserve">to </w:t>
      </w:r>
      <w:r w:rsidR="005955CC" w:rsidRPr="00DB7074">
        <w:rPr>
          <w:rFonts w:ascii="Book Antiqua" w:hAnsi="Book Antiqua" w:cs="Times New Roman"/>
          <w:sz w:val="24"/>
          <w:szCs w:val="24"/>
        </w:rPr>
        <w:t xml:space="preserve">Stary’s recommendations, </w:t>
      </w:r>
      <w:r w:rsidR="003A20C7" w:rsidRPr="00DB7074">
        <w:rPr>
          <w:rFonts w:ascii="Book Antiqua" w:hAnsi="Book Antiqua" w:cs="Times New Roman"/>
          <w:sz w:val="24"/>
          <w:szCs w:val="24"/>
        </w:rPr>
        <w:t xml:space="preserve">we showed that </w:t>
      </w:r>
      <w:r w:rsidR="003A20C7" w:rsidRPr="00DB7074">
        <w:rPr>
          <w:rFonts w:ascii="Book Antiqua" w:hAnsi="Book Antiqua" w:cs="Times New Roman"/>
          <w:sz w:val="24"/>
          <w:szCs w:val="24"/>
        </w:rPr>
        <w:lastRenderedPageBreak/>
        <w:t xml:space="preserve">microbial markers </w:t>
      </w:r>
      <w:r w:rsidR="00804EDC" w:rsidRPr="00DB7074">
        <w:rPr>
          <w:rFonts w:ascii="Book Antiqua" w:hAnsi="Book Antiqua" w:cs="Times New Roman"/>
          <w:sz w:val="24"/>
          <w:szCs w:val="24"/>
        </w:rPr>
        <w:t xml:space="preserve">might </w:t>
      </w:r>
      <w:r w:rsidR="003A20C7" w:rsidRPr="00DB7074">
        <w:rPr>
          <w:rFonts w:ascii="Book Antiqua" w:hAnsi="Book Antiqua" w:cs="Times New Roman"/>
          <w:sz w:val="24"/>
          <w:szCs w:val="24"/>
        </w:rPr>
        <w:t xml:space="preserve">be different depending on the </w:t>
      </w:r>
      <w:r w:rsidR="00507882" w:rsidRPr="00DB7074">
        <w:rPr>
          <w:rFonts w:ascii="Book Antiqua" w:hAnsi="Book Antiqua" w:cs="Times New Roman"/>
          <w:sz w:val="24"/>
          <w:szCs w:val="24"/>
        </w:rPr>
        <w:t>tumour</w:t>
      </w:r>
      <w:r w:rsidR="003A20C7" w:rsidRPr="00DB7074">
        <w:rPr>
          <w:rFonts w:ascii="Book Antiqua" w:hAnsi="Book Antiqua" w:cs="Times New Roman"/>
          <w:sz w:val="24"/>
          <w:szCs w:val="24"/>
        </w:rPr>
        <w:t xml:space="preserve"> CRC phenotype</w:t>
      </w:r>
      <w:r w:rsidR="00525415" w:rsidRPr="00DB7074">
        <w:rPr>
          <w:rFonts w:ascii="Book Antiqua" w:hAnsi="Book Antiqua" w:cs="Times New Roman"/>
          <w:sz w:val="24"/>
          <w:szCs w:val="24"/>
        </w:rPr>
        <w:fldChar w:fldCharType="begin"/>
      </w:r>
      <w:r w:rsidR="002A773B" w:rsidRPr="00DB7074">
        <w:rPr>
          <w:rFonts w:ascii="Book Antiqua" w:hAnsi="Book Antiqua" w:cs="Times New Roman"/>
          <w:sz w:val="24"/>
          <w:szCs w:val="24"/>
        </w:rPr>
        <w:instrText xml:space="preserve"> ADDIN ZOTERO_ITEM CSL_CITATION {"citationID":"a2cdbue8a14","properties":{"formattedCitation":"\\super [157]\\nosupersub{}","plainCitation":"[157]","noteIndex":0},"citationItems":[{"id":"D1GMNV0O/JuAxIu9Q","uris":["http://zotero.org/users/4804376/items/BGHZKCI6"],"uri":["http://zotero.org/users/4804376/items/BGHZKCI6"],"itemData":{"id":598,"type":"article-journal","title":"Interactions between microsatellite instability and human gut colonization byEscherichia coliin colorectal cancer","container-title":"Clinical Science (London, England: 1979)","page":"471-485","volume":"131","issue":"6","source":"PubMed","abstract":"Recent studies suggest that colonization of colonic mucosa by pathogenicEscherichia colicould be involved in the development of colorectal cancer (CRC), especially through the production of genotoxins such as colibactin and/or by interfering with the DNA mismatch repair (MMR) pathway that leads to microsatellite instability (MSI). The present study, performed on 88 CRC patients, revealed a significant increase inE. colicolonization in the MSI CRC phenotype. In the same way,E. colipersistence and internalization were increasedin vitroin MMR-deficient cells. Moreover, we demonstrated that colibactin-producingE. coliinduce inhibition of the mutL homologue 1 (MLH1) MMR proteins, which could lead to genomic instability. However, colibactin-producingE. coliwere more frequently identified in microsatellite stable (MSS) CRC. The present study suggests differences in the involvement of colibactin-producingE. coliin colorectal carcinogenesis according to the CRC phenotype. Further host-pathogen interactions studies should take into account CRC phenotypes.","DOI":"10.1042/CS20160876","ISSN":"1470-8736","note":"PMID: 28093453","journalAbbreviation":"Clin. Sci.","language":"eng","author":[{"family":"Gagnière","given":"Johan"},{"family":"Bonnin","given":"Virginie"},{"family":"Jarrousse","given":"Anne-Sophie"},{"family":"Cardamone","given":"Emilie"},{"family":"Agus","given":"Allison"},{"family":"Uhrhammer","given":"Nancy"},{"family":"Sauvanet","given":"Pierre"},{"family":"Déchelotte","given":"Pierre"},{"family":"Barnich","given":"Nicolas"},{"family":"Bonnet","given":"Richard"},{"family":"Pezet","given":"Denis"},{"family":"Bonnet","given":"Mathilde"}],"issued":{"date-parts":[["2017",3,1]]}}}],"schema":"https://github.com/citation-style-language/schema/raw/master/csl-citation.json"} </w:instrText>
      </w:r>
      <w:r w:rsidR="00525415"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[157]</w:t>
      </w:r>
      <w:r w:rsidR="00525415" w:rsidRPr="00DB7074">
        <w:rPr>
          <w:rFonts w:ascii="Book Antiqua" w:hAnsi="Book Antiqua" w:cs="Times New Roman"/>
          <w:sz w:val="24"/>
          <w:szCs w:val="24"/>
        </w:rPr>
        <w:fldChar w:fldCharType="end"/>
      </w:r>
      <w:r w:rsidR="003A20C7" w:rsidRPr="00DB7074">
        <w:rPr>
          <w:rFonts w:ascii="Book Antiqua" w:hAnsi="Book Antiqua" w:cs="Times New Roman"/>
          <w:sz w:val="24"/>
          <w:szCs w:val="24"/>
        </w:rPr>
        <w:t xml:space="preserve">. </w:t>
      </w:r>
      <w:r w:rsidR="00507882" w:rsidRPr="00DB7074">
        <w:rPr>
          <w:rFonts w:ascii="Book Antiqua" w:hAnsi="Book Antiqua" w:cs="Times New Roman"/>
          <w:sz w:val="24"/>
          <w:szCs w:val="24"/>
        </w:rPr>
        <w:t xml:space="preserve">Moreover, </w:t>
      </w:r>
      <w:r w:rsidR="00893560" w:rsidRPr="00DB7074">
        <w:rPr>
          <w:rFonts w:ascii="Book Antiqua" w:hAnsi="Book Antiqua" w:cs="Times New Roman"/>
          <w:sz w:val="24"/>
          <w:szCs w:val="24"/>
        </w:rPr>
        <w:t>a</w:t>
      </w:r>
      <w:r w:rsidR="001C7B85" w:rsidRPr="00DB7074">
        <w:rPr>
          <w:rFonts w:ascii="Book Antiqua" w:hAnsi="Book Antiqua" w:cs="Times New Roman"/>
          <w:sz w:val="24"/>
          <w:szCs w:val="24"/>
        </w:rPr>
        <w:t xml:space="preserve"> deeper understanding of the gut microbiota structure and function </w:t>
      </w:r>
      <w:r w:rsidR="00804EDC" w:rsidRPr="00DB7074">
        <w:rPr>
          <w:rFonts w:ascii="Book Antiqua" w:hAnsi="Book Antiqua" w:cs="Times New Roman"/>
          <w:sz w:val="24"/>
          <w:szCs w:val="24"/>
        </w:rPr>
        <w:t xml:space="preserve">may </w:t>
      </w:r>
      <w:r w:rsidR="001C7B85" w:rsidRPr="00DB7074">
        <w:rPr>
          <w:rFonts w:ascii="Book Antiqua" w:hAnsi="Book Antiqua" w:cs="Times New Roman"/>
          <w:sz w:val="24"/>
          <w:szCs w:val="24"/>
        </w:rPr>
        <w:t xml:space="preserve">help to </w:t>
      </w:r>
      <w:r w:rsidR="00804EDC" w:rsidRPr="00DB7074">
        <w:rPr>
          <w:rFonts w:ascii="Book Antiqua" w:hAnsi="Book Antiqua" w:cs="Times New Roman"/>
          <w:sz w:val="24"/>
          <w:szCs w:val="24"/>
        </w:rPr>
        <w:t xml:space="preserve">identify </w:t>
      </w:r>
      <w:r w:rsidR="001C7B85" w:rsidRPr="00DB7074">
        <w:rPr>
          <w:rFonts w:ascii="Book Antiqua" w:hAnsi="Book Antiqua" w:cs="Times New Roman"/>
          <w:sz w:val="24"/>
          <w:szCs w:val="24"/>
        </w:rPr>
        <w:t xml:space="preserve">several bacteria </w:t>
      </w:r>
      <w:r w:rsidR="00804EDC" w:rsidRPr="00DB7074">
        <w:rPr>
          <w:rFonts w:ascii="Book Antiqua" w:hAnsi="Book Antiqua" w:cs="Times New Roman"/>
          <w:sz w:val="24"/>
          <w:szCs w:val="24"/>
        </w:rPr>
        <w:t xml:space="preserve">that when </w:t>
      </w:r>
      <w:r w:rsidR="001C7B85" w:rsidRPr="00DB7074">
        <w:rPr>
          <w:rFonts w:ascii="Book Antiqua" w:hAnsi="Book Antiqua" w:cs="Times New Roman"/>
          <w:sz w:val="24"/>
          <w:szCs w:val="24"/>
        </w:rPr>
        <w:t>combined</w:t>
      </w:r>
      <w:r w:rsidR="00804EDC" w:rsidRPr="00DB7074">
        <w:rPr>
          <w:rFonts w:ascii="Book Antiqua" w:hAnsi="Book Antiqua" w:cs="Times New Roman"/>
          <w:sz w:val="24"/>
          <w:szCs w:val="24"/>
        </w:rPr>
        <w:t xml:space="preserve"> may</w:t>
      </w:r>
      <w:r w:rsidR="001C7B85" w:rsidRPr="00DB7074">
        <w:rPr>
          <w:rFonts w:ascii="Book Antiqua" w:hAnsi="Book Antiqua" w:cs="Times New Roman"/>
          <w:sz w:val="24"/>
          <w:szCs w:val="24"/>
        </w:rPr>
        <w:t xml:space="preserve"> provide a real CRC-associated microbial signature. </w:t>
      </w:r>
    </w:p>
    <w:p w14:paraId="724702C2" w14:textId="2FAD2C31" w:rsidR="002F1E28" w:rsidRPr="00DB7074" w:rsidRDefault="00447625" w:rsidP="00D56844">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DB7074">
        <w:rPr>
          <w:rFonts w:ascii="Book Antiqua" w:hAnsi="Book Antiqua" w:cs="Times New Roman"/>
          <w:sz w:val="24"/>
          <w:szCs w:val="24"/>
        </w:rPr>
        <w:t xml:space="preserve">Finally, </w:t>
      </w:r>
      <w:r w:rsidR="00804EDC" w:rsidRPr="00DB7074">
        <w:rPr>
          <w:rFonts w:ascii="Book Antiqua" w:hAnsi="Book Antiqua" w:cs="Times New Roman"/>
          <w:sz w:val="24"/>
          <w:szCs w:val="24"/>
        </w:rPr>
        <w:t xml:space="preserve">the </w:t>
      </w:r>
      <w:r w:rsidRPr="00DB7074">
        <w:rPr>
          <w:rFonts w:ascii="Book Antiqua" w:hAnsi="Book Antiqua" w:cs="Times New Roman"/>
          <w:sz w:val="24"/>
          <w:szCs w:val="24"/>
        </w:rPr>
        <w:t>t</w:t>
      </w:r>
      <w:r w:rsidR="002F1E28" w:rsidRPr="00DB7074">
        <w:rPr>
          <w:rFonts w:ascii="Book Antiqua" w:hAnsi="Book Antiqua" w:cs="Times New Roman"/>
          <w:sz w:val="24"/>
          <w:szCs w:val="24"/>
        </w:rPr>
        <w:t xml:space="preserve">herapeutic efficacy of </w:t>
      </w:r>
      <w:r w:rsidR="00507882" w:rsidRPr="00DB7074">
        <w:rPr>
          <w:rFonts w:ascii="Book Antiqua" w:hAnsi="Book Antiqua" w:cs="Times New Roman"/>
          <w:sz w:val="24"/>
          <w:szCs w:val="24"/>
        </w:rPr>
        <w:t>anticancer</w:t>
      </w:r>
      <w:r w:rsidR="002F1E28" w:rsidRPr="00DB7074">
        <w:rPr>
          <w:rFonts w:ascii="Book Antiqua" w:hAnsi="Book Antiqua" w:cs="Times New Roman"/>
          <w:sz w:val="24"/>
          <w:szCs w:val="24"/>
        </w:rPr>
        <w:t xml:space="preserve"> drugs could also be improved by active modulation of </w:t>
      </w:r>
      <w:r w:rsidR="00804EDC" w:rsidRPr="00DB7074">
        <w:rPr>
          <w:rFonts w:ascii="Book Antiqua" w:hAnsi="Book Antiqua" w:cs="Times New Roman"/>
          <w:sz w:val="24"/>
          <w:szCs w:val="24"/>
        </w:rPr>
        <w:t xml:space="preserve">the </w:t>
      </w:r>
      <w:r w:rsidR="002F1E28" w:rsidRPr="00DB7074">
        <w:rPr>
          <w:rFonts w:ascii="Book Antiqua" w:hAnsi="Book Antiqua" w:cs="Times New Roman"/>
          <w:sz w:val="24"/>
          <w:szCs w:val="24"/>
        </w:rPr>
        <w:t>gut microbiota through the use of probiotics, prebiotics or specific inhibitors. This perspective is supported by the fact that immunotherapy resistance observed in germ-free mice, in antibiotic</w:t>
      </w:r>
      <w:r w:rsidR="00804EDC" w:rsidRPr="00DB7074">
        <w:rPr>
          <w:rFonts w:ascii="Book Antiqua" w:hAnsi="Book Antiqua" w:cs="Times New Roman"/>
          <w:sz w:val="24"/>
          <w:szCs w:val="24"/>
        </w:rPr>
        <w:t>-</w:t>
      </w:r>
      <w:r w:rsidR="002F1E28" w:rsidRPr="00DB7074">
        <w:rPr>
          <w:rFonts w:ascii="Book Antiqua" w:hAnsi="Book Antiqua" w:cs="Times New Roman"/>
          <w:sz w:val="24"/>
          <w:szCs w:val="24"/>
        </w:rPr>
        <w:t xml:space="preserve">treated mice, </w:t>
      </w:r>
      <w:r w:rsidR="00804EDC" w:rsidRPr="00DB7074">
        <w:rPr>
          <w:rFonts w:ascii="Book Antiqua" w:hAnsi="Book Antiqua" w:cs="Times New Roman"/>
          <w:sz w:val="24"/>
          <w:szCs w:val="24"/>
        </w:rPr>
        <w:t>and in those that have</w:t>
      </w:r>
      <w:r w:rsidR="002F1E28" w:rsidRPr="00DB7074">
        <w:rPr>
          <w:rFonts w:ascii="Book Antiqua" w:hAnsi="Book Antiqua" w:cs="Times New Roman"/>
          <w:sz w:val="24"/>
          <w:szCs w:val="24"/>
        </w:rPr>
        <w:t xml:space="preserve"> previously received </w:t>
      </w:r>
      <w:r w:rsidR="00804EDC" w:rsidRPr="00DB7074">
        <w:rPr>
          <w:rFonts w:ascii="Book Antiqua" w:hAnsi="Book Antiqua" w:cs="Times New Roman"/>
          <w:sz w:val="24"/>
          <w:szCs w:val="24"/>
        </w:rPr>
        <w:t>f</w:t>
      </w:r>
      <w:r w:rsidR="00507882" w:rsidRPr="00DB7074">
        <w:rPr>
          <w:rFonts w:ascii="Book Antiqua" w:hAnsi="Book Antiqua" w:cs="Times New Roman"/>
          <w:sz w:val="24"/>
          <w:szCs w:val="24"/>
        </w:rPr>
        <w:t>aecal</w:t>
      </w:r>
      <w:r w:rsidR="002F1E28" w:rsidRPr="00DB7074">
        <w:rPr>
          <w:rFonts w:ascii="Book Antiqua" w:hAnsi="Book Antiqua" w:cs="Times New Roman"/>
          <w:sz w:val="24"/>
          <w:szCs w:val="24"/>
        </w:rPr>
        <w:t xml:space="preserve"> </w:t>
      </w:r>
      <w:r w:rsidR="00804EDC" w:rsidRPr="00DB7074">
        <w:rPr>
          <w:rFonts w:ascii="Book Antiqua" w:hAnsi="Book Antiqua" w:cs="Times New Roman"/>
          <w:sz w:val="24"/>
          <w:szCs w:val="24"/>
        </w:rPr>
        <w:t>m</w:t>
      </w:r>
      <w:r w:rsidR="002F1E28" w:rsidRPr="00DB7074">
        <w:rPr>
          <w:rFonts w:ascii="Book Antiqua" w:hAnsi="Book Antiqua" w:cs="Times New Roman"/>
          <w:sz w:val="24"/>
          <w:szCs w:val="24"/>
        </w:rPr>
        <w:t xml:space="preserve">icrobiota </w:t>
      </w:r>
      <w:r w:rsidR="00804EDC" w:rsidRPr="00DB7074">
        <w:rPr>
          <w:rFonts w:ascii="Book Antiqua" w:hAnsi="Book Antiqua" w:cs="Times New Roman"/>
          <w:sz w:val="24"/>
          <w:szCs w:val="24"/>
        </w:rPr>
        <w:t>t</w:t>
      </w:r>
      <w:r w:rsidR="002F1E28" w:rsidRPr="00DB7074">
        <w:rPr>
          <w:rFonts w:ascii="Book Antiqua" w:hAnsi="Book Antiqua" w:cs="Times New Roman"/>
          <w:sz w:val="24"/>
          <w:szCs w:val="24"/>
        </w:rPr>
        <w:t>ransplantation (FMT) from non-responder patients, can be reversed by FMT from responder patient</w:t>
      </w:r>
      <w:r w:rsidR="00804EDC" w:rsidRPr="00DB7074">
        <w:rPr>
          <w:rFonts w:ascii="Book Antiqua" w:hAnsi="Book Antiqua" w:cs="Times New Roman"/>
          <w:sz w:val="24"/>
          <w:szCs w:val="24"/>
        </w:rPr>
        <w:t>s</w:t>
      </w:r>
      <w:r w:rsidR="002F1E28"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{"citationID":"a11spk887ro","properties":{"formattedCitation":"\\super [233,235\\uc0\\u8211{}237]\\nosupersub{}","plainCitation":"[233,235–237]","noteIndex":0},"citationItems":[{"id":447,"uris":["http://zotero.org/users/4113810/items/SS2H8HYU"],"uri":["http://zotero.org/users/4113810/items/SS2H8HYU"],"itemData":{"id":447,"type":"article-journal","title":"Anticancer immunotherapy by CTLA-4 blockade relies on the gut microbiota","container-title":"Science","page":"1079-1084","volume":"350","issue":"6264","source":"CrossRef","DOI":"10.1126/science.aad1329","ISSN":"0036-8075, 1095-9203","language":"en","author":[{"family":"Vetizou","given":"M."},{"family":"Pitt","given":"J. M."},{"family":"Daillere","given":"R."},{"family":"Lepage","given":"P."},{"family":"Waldschmitt","given":"N."},{"family":"Flament","given":"C."},{"family":"Rusakiewicz","given":"S."},{"family":"Routy","given":"B."},{"family":"Roberti","given":"M. P."},{"family":"Duong","given":"C. P. M."},{"family":"Poirier-Colame","given":"V."},{"family":"Roux","given":"A."},{"family":"Becharef","given":"S."},{"family":"Formenti","given":"S."},{"family":"Golden","given":"E."},{"family":"Cording","given":"S."},{"family":"Eberl","given":"G."},{"family":"Schlitzer","given":"A."},{"family":"Ginhoux","given":"F."},{"family":"Mani","given":"S."},{"family":"Yamazaki","given":"T."},{"family":"Jacquelot","given":"N."},{"family":"Enot","given":"D. P."},{"family":"Berard","given":"M."},{"family":"Nigou","given":"J."},{"family":"Opolon","given":"P."},{"family":"Eggermont","given":"A."},{"family":"Woerther","given":"P.-L."},{"family":"Chachaty","given":"E."},{"family":"Chaput","given":"N."},{"family":"Robert","given":"C."},{"family":"Mateus","given":"C."},{"family":"Kroemer","given":"G."},{"family":"Raoult","given":"D."},{"family":"Boneca","given":"I. G."},{"family":"Carbonnel","given":"F."},{"family":"Chamaillard","given":"M."},{"family":"Zitvogel","given":"L."}],"issued":{"date-parts":[["2015",11,27]]}}},{"id":458,"uris":["http://zotero.org/users/4113810/items/YJGDQRBS"],"uri":["http://zotero.org/users/4113810/items/YJGDQRBS"],"itemData":{"id":458,"type":"article-journal","title":"Gut microbiome modulates response to anti-PD-1 immunotherapy in melanoma patients","container-title":"Science (New York, N.Y.)","page":"97-103","volume":"359","issue":"6371","source":"PubMed","abstract":"Preclinical mouse models suggest that the gut microbiome modulates tumor response to checkpoint blockade immunotherapy; however, this has not been well-characterized in human cancer patients. Here we examined the oral and gut microbiome of melanoma patients undergoing anti-programmed cell death 1 protein (PD-1) immunotherapy (n = 112). Significant differences were observed in the diversity and composition of the patient gut microbiome of responders versus nonresponders. Analysis of patient fecal microbiome samples (n = 43, 30 responders, 13 nonresponders) showed significantly higher alpha diversity (P &lt; 0.01) and relative abundance of bacteria of the Ruminococcaceae family (P &lt; 0.01) in responding patients. Metagenomic studies revealed functional differences in gut bacteria in responders, including enrichment of anabolic pathways. Immune profiling suggested enhanced systemic and antitumor immunity in responding patients with a favorable gut microbiome as well as in germ-free mice receiving fecal transplants from responding patients. Together, these data have important implications for the treatment of melanoma patients with immune checkpoint inhibitors.","DOI":"10.1126/science.aan4236","ISSN":"1095-9203","note":"PMID: 29097493","journalAbbreviation":"Science","language":"eng","author":[{"family":"Gopalakrishnan","given":"V."},{"family":"Spencer","given":"C. N."},{"family":"Nezi","given":"L."},{"family":"Reuben","given":"A."},{"family":"Andrews","given":"M. C."},{"family":"Karpinets","given":"T. V."},{"family":"Prieto","given":"P. A."},{"family":"Vicente","given":"D."},{"family":"Hoffman","given":"K."},{"family":"Wei","given":"S. C."},{"family":"Cogdill","given":"A. P."},{"family":"Zhao","given":"L."},{"family":"Hudgens","given":"C. W."},{"family":"Hutchinson","given":"D. S."},{"family":"Manzo","given":"T."},{"family":"Petaccia de Macedo","given":"M."},{"family":"Cotechini","given":"T."},{"family":"Kumar","given":"T."},{"family":"Chen","given":"W. S."},{"family":"Reddy","given":"S. M."},{"family":"Szczepaniak Sloane","given":"R."},{"family":"Galloway-Pena","given":"J."},{"family":"Jiang","given":"H."},{"family":"Chen","given":"P. L."},{"family":"Shpall","given":"E. J."},{"family":"Rezvani","given":"K."},{"family":"Alousi","given":"A. M."},{"family":"Chemaly","given":"R. F."},{"family":"Shelburne","given":"S."},{"family":"Vence","given":"L. M."},{"family":"Okhuysen","given":"P. C."},{"family":"Jensen","given":"V. B."},{"family":"Swennes","given":"A. G."},{"family":"McAllister","given":"F."},{"family":"Marcelo Riquelme Sanchez","given":"E."},{"family":"Zhang","given":"Y."},{"family":"Le Chatelier","given":"E."},{"family":"Zitvogel","given":"L."},{"family":"Pons","given":"N."},{"family":"Austin-Breneman","given":"J. L."},{"family":"Haydu","given":"L. E."},{"family":"Burton","given":"E. M."},{"family":"Gardner","given":"J. M."},{"family":"Sirmans","given":"E."},{"family":"Hu","given":"J."},{"family":"Lazar","given":"A. J."},{"family":"Tsujikawa","given":"T."},{"family":"Diab","given":"A."},{"family":"Tawbi","given":"H."},{"family":"Glitza","given":"I. C."},{"family":"Hwu","given":"W. J."},{"family":"Patel","given":"S. P."},{"family":"Woodman","given":"S. E."},{"family":"Amaria","given":"R. N."},{"family":"Davies","given":"M. A."},{"family":"Gershenwald","given":"J. E."},{"family":"Hwu","given":"P."},{"family":"Lee","given":"J. E."},{"family":"Zhang","given":"J."},{"family":"Coussens","given":"L. M."},{"family":"Cooper","given":"Z. A."},{"family":"Futreal","given":"P. A."},{"family":"Daniel","given":"C. R."},{"family":"Ajami","given":"N. J."},{"family":"Petrosino","given":"J. F."},{"family":"Tetzlaff","given":"M. T."},{"family":"Sharma","given":"P."},{"family":"Allison","given":"J. P."},{"family":"Jenq","given":"R. R."},{"family":"Wargo","given":"J. A."}],"issued":{"date-parts":[["2018"]],"season":"05"}}},{"id":449,"uris":["http://zotero.org/users/4113810/items/2V7RRFTR"],"uri":["http://zotero.org/users/4113810/items/2V7RRFTR"],"itemData":{"id":449,"type":"article-journal","title":"The commensal microbiome is associated with anti–PD-1 efficacy in metastatic melanoma patients","container-title":"Science","page":"104–108","volume":"359","issue":"6371","source":"Google Scholar","author":[{"family":"Matson","given":"Vyara"},{"family":"Fessler","given":"Jessica"},{"family":"Bao","given":"Riyue"},{"family":"Chongsuwat","given":"Tara"},{"family":"Zha","given":"Yuanyuan"},{"family":"Alegre","given":"Maria-Luisa"},{"family":"Luke","given":"Jason J."},{"family":"Gajewski","given":"Thomas F."}],"issued":{"date-parts":[["2018"]]}}},{"id":456,"uris":["http://zotero.org/users/4113810/items/69HFCLM9"],"uri":["http://zotero.org/users/4113810/items/69HFCLM9"],"itemData":{"id":456,"type":"article-journal","title":"Gut microbiome influences efficacy of PD-1-based immunotherapy against epithelial tumors","container-title":"Science (New York, N.Y.)","page":"91-97","volume":"359","issue":"6371","source":"PubMed","abstract":"Immune checkpoint inhibitors (ICIs) targeting the PD-1/PD-L1 axis induce sustained clinical responses in a sizable minority of cancer patients. We found that primary resistance to ICIs can be attributed to abnormal gut microbiome composition. Antibiotics inhibited the clinical benefit of ICIs in patients with advanced cancer. Fecal microbiota transplantation (FMT) from cancer patients who responded to ICIs into germ-free or antibiotic-treated mice ameliorated the antitumor effects of PD-1 blockade, whereas FMT from nonresponding patients failed to do so. Metagenomics of patient stool samples at diagnosis revealed correlations between clinical responses to ICIs and the relative abundance of Akkermansia muciniphila Oral supplementation with A. muciniphila after FMT with nonresponder feces restored the efficacy of PD-1 blockade in an interleukin-12-dependent manner by increasing the recruitment of CCR9+CXCR3+CD4+ T lymphocytes into mouse tumor beds.","DOI":"10.1126/science.aan3706","ISSN":"1095-9203","note":"PMID: 29097494","journalAbbreviation":"Science","language":"eng","author":[{"family":"Routy","given":"Bertrand"},{"family":"Le Chatelier","given":"Emmanuelle"},{"family":"Derosa","given":"Lisa"},{"family":"Duong","given":"Connie P. M."},{"family":"Alou","given":"Maryam Tidjani"},{"family":"Daillère","given":"Romain"},{"family":"Fluckiger","given":"Aurélie"},{"family":"Messaoudene","given":"Meriem"},{"family":"Rauber","given":"Conrad"},{"family":"Roberti","given":"Maria P."},{"family":"Fidelle","given":"Marine"},{"family":"Flament","given":"Caroline"},{"family":"Poirier-Colame","given":"Vichnou"},{"family":"Opolon","given":"Paule"},{"family":"Klein","given":"Christophe"},{"family":"Iribarren","given":"Kristina"},{"family":"Mondragón","given":"Laura"},{"family":"Jacquelot","given":"Nicolas"},{"family":"Qu","given":"Bo"},{"family":"Ferrere","given":"Gladys"},{"family":"Clémenson","given":"Céline"},{"family":"Mezquita","given":"Laura"},{"family":"Masip","given":"Jordi Remon"},{"family":"Naltet","given":"Charles"},{"family":"Brosseau","given":"Solenn"},{"family":"Kaderbhai","given":"Coureche"},{"family":"Richard","given":"Corentin"},{"family":"Rizvi","given":"Hira"},{"family":"Levenez","given":"Florence"},{"family":"Galleron","given":"Nathalie"},{"family":"Quinquis","given":"Benoit"},{"family":"Pons","given":"Nicolas"},{"family":"Ryffel","given":"Bernhard"},{"family":"Minard-Colin","given":"Véronique"},{"family":"Gonin","given":"Patrick"},{"family":"Soria","given":"Jean-Charles"},{"family":"Deutsch","given":"Eric"},{"family":"Loriot","given":"Yohann"},{"family":"Ghiringhelli","given":"François"},{"family":"Zalcman","given":"Gérard"},{"family":"Goldwasser","given":"François"},{"family":"Escudier","given":"Bernard"},{"family":"Hellmann","given":"Matthew D."},{"family":"Eggermont","given":"Alexander"},{"family":"Raoult","given":"Didier"},{"family":"Albiges","given":"Laurence"},{"family":"Kroemer","given":"Guido"},{"family":"Zitvogel","given":"Laurence"}],"issued":{"date-parts":[["2018",1,5]]}}}],"schema":"https://github.com/citation-style-language/schema/raw/master/csl-citation.json"} </w:instrText>
      </w:r>
      <w:r w:rsidR="002F1E28"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[233,235–237]</w:t>
      </w:r>
      <w:r w:rsidR="002F1E28" w:rsidRPr="00DB7074">
        <w:rPr>
          <w:rFonts w:ascii="Book Antiqua" w:hAnsi="Book Antiqua" w:cs="Times New Roman"/>
          <w:sz w:val="24"/>
          <w:szCs w:val="24"/>
        </w:rPr>
        <w:fldChar w:fldCharType="end"/>
      </w:r>
      <w:r w:rsidR="002F1E28" w:rsidRPr="00DB7074">
        <w:rPr>
          <w:rFonts w:ascii="Book Antiqua" w:hAnsi="Book Antiqua" w:cs="Times New Roman"/>
          <w:sz w:val="24"/>
          <w:szCs w:val="24"/>
        </w:rPr>
        <w:t xml:space="preserve">. Moreover, it </w:t>
      </w:r>
      <w:r w:rsidR="00804EDC" w:rsidRPr="00DB7074">
        <w:rPr>
          <w:rFonts w:ascii="Book Antiqua" w:hAnsi="Book Antiqua" w:cs="Times New Roman"/>
          <w:sz w:val="24"/>
          <w:szCs w:val="24"/>
        </w:rPr>
        <w:t xml:space="preserve">has been </w:t>
      </w:r>
      <w:r w:rsidR="002F1E28" w:rsidRPr="00DB7074">
        <w:rPr>
          <w:rFonts w:ascii="Book Antiqua" w:hAnsi="Book Antiqua" w:cs="Times New Roman"/>
          <w:sz w:val="24"/>
          <w:szCs w:val="24"/>
        </w:rPr>
        <w:t>highlighted that specific bacterial species</w:t>
      </w:r>
      <w:r w:rsidR="00804EDC" w:rsidRPr="00DB7074">
        <w:rPr>
          <w:rFonts w:ascii="Book Antiqua" w:hAnsi="Book Antiqua" w:cs="Times New Roman"/>
          <w:sz w:val="24"/>
          <w:szCs w:val="24"/>
        </w:rPr>
        <w:t>,</w:t>
      </w:r>
      <w:r w:rsidR="002F1E28" w:rsidRPr="00DB7074">
        <w:rPr>
          <w:rFonts w:ascii="Book Antiqua" w:hAnsi="Book Antiqua" w:cs="Times New Roman"/>
          <w:sz w:val="24"/>
          <w:szCs w:val="24"/>
        </w:rPr>
        <w:t xml:space="preserve"> such as </w:t>
      </w:r>
      <w:r w:rsidR="002F1E28" w:rsidRPr="00DB7074">
        <w:rPr>
          <w:rFonts w:ascii="Book Antiqua" w:hAnsi="Book Antiqua" w:cs="Times New Roman"/>
          <w:i/>
          <w:sz w:val="24"/>
          <w:szCs w:val="24"/>
        </w:rPr>
        <w:t>Lactobacillus johnsonii</w:t>
      </w:r>
      <w:r w:rsidR="002F1E28"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{"citationID":"a2npv49276r","properties":{"formattedCitation":"\\super [226]\\nosupersub{}","plainCitation":"[226]","noteIndex":0},"citationItems":[{"id":454,"uris":["http://zotero.org/users/4113810/items/NDKLPLUW"],"uri":["http://zotero.org/users/4113810/items/NDKLPLUW"],"itemData":{"id":454,"type":"article-journal","title":"The intestinal microbiota modulates the anticancer immune effects of cyclophosphamide","container-title":"Science (New York, N.Y.)","page":"971-976","volume":"342","issue":"6161","source":"PubMed","abstract":"Cyclophosphamide is one of several clinically important cancer drugs whose therapeutic efficacy is due in part to their ability to stimulate antitumor immune responses. Studying mouse models, we demonstrate that cyclophosphamide alters the composition of microbiota in the small intestine and induces the translocation of selected species of Gram-positive bacteria into secondary lymphoid organs. There, these bacteria stimulate the generation of a specific subset of \"pathogenic\" T helper 17 (pT(H)17) cells and memory T(H)1 immune responses. Tumor-bearing mice that were germ-free or that had been treated with antibiotics to kill Gram-positive bacteria showed a reduction in pT(H)17 responses, and their tumors were resistant to cyclophosphamide. Adoptive transfer of pT(H)17 cells partially restored the antitumor efficacy of cyclophosphamide. These results suggest that the gut microbiota help shape the anticancer immune response.","DOI":"10.1126/science.1240537","ISSN":"1095-9203","note":"PMID: 24264990\nPMCID: PMC4048947","journalAbbreviation":"Science","language":"eng","author":[{"family":"Viaud","given":"Sophie"},{"family":"Saccheri","given":"Fabiana"},{"family":"Mignot","given":"Grégoire"},{"family":"Yamazaki","given":"Takahiro"},{"family":"Daillère","given":"Romain"},{"family":"Hannani","given":"Dalil"},{"family":"Enot","given":"David P."},{"family":"Pfirschke","given":"Christina"},{"family":"Engblom","given":"Camilla"},{"family":"Pittet","given":"Mikael J."},{"family":"Schlitzer","given":"Andreas"},{"family":"Ginhoux","given":"Florent"},{"family":"Apetoh","given":"Lionel"},{"family":"Chachaty","given":"Elisabeth"},{"family":"Woerther","given":"Paul-Louis"},{"family":"Eberl","given":"Gérard"},{"family":"Bérard","given":"Marion"},{"family":"Ecobichon","given":"Chantal"},{"family":"Clermont","given":"Dominique"},{"family":"Bizet","given":"Chantal"},{"family":"Gaboriau-Routhiau","given":"Valérie"},{"family":"Cerf-Bensussan","given":"Nadine"},{"family":"Opolon","given":"Paule"},{"family":"Yessaad","given":"Nadia"},{"family":"Vivier","given":"Eric"},{"family":"Ryffel","given":"Bernhard"},{"family":"Elson","given":"Charles O."},{"family":"Doré","given":"Joël"},{"family":"Kroemer","given":"Guido"},{"family":"Lepage","given":"Patricia"},{"family":"Boneca","given":"Ivo Gomperts"},{"family":"Ghiringhelli","given":"François"},{"family":"Zitvogel","given":"Laurence"}],"issued":{"date-parts":[["2013",11,22]]}}}],"schema":"https://github.com/citation-style-language/schema/raw/master/csl-citation.json"} </w:instrText>
      </w:r>
      <w:r w:rsidR="002F1E28"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[226]</w:t>
      </w:r>
      <w:r w:rsidR="002F1E28" w:rsidRPr="00DB7074">
        <w:rPr>
          <w:rFonts w:ascii="Book Antiqua" w:hAnsi="Book Antiqua" w:cs="Times New Roman"/>
          <w:sz w:val="24"/>
          <w:szCs w:val="24"/>
        </w:rPr>
        <w:fldChar w:fldCharType="end"/>
      </w:r>
      <w:r w:rsidR="002F1E28" w:rsidRPr="00DB7074">
        <w:rPr>
          <w:rFonts w:ascii="Book Antiqua" w:hAnsi="Book Antiqua" w:cs="Times New Roman"/>
          <w:sz w:val="24"/>
          <w:szCs w:val="24"/>
        </w:rPr>
        <w:t xml:space="preserve">, </w:t>
      </w:r>
      <w:r w:rsidR="002F1E28" w:rsidRPr="00DB7074">
        <w:rPr>
          <w:rFonts w:ascii="Book Antiqua" w:hAnsi="Book Antiqua" w:cs="Times New Roman"/>
          <w:i/>
          <w:sz w:val="24"/>
          <w:szCs w:val="24"/>
        </w:rPr>
        <w:t>Enterococ</w:t>
      </w:r>
      <w:r w:rsidR="00CE6BBB" w:rsidRPr="00DB7074">
        <w:rPr>
          <w:rFonts w:ascii="Book Antiqua" w:hAnsi="Book Antiqua" w:cs="Times New Roman"/>
          <w:i/>
          <w:sz w:val="24"/>
          <w:szCs w:val="24"/>
        </w:rPr>
        <w:t>c</w:t>
      </w:r>
      <w:r w:rsidR="002F1E28" w:rsidRPr="00DB7074">
        <w:rPr>
          <w:rFonts w:ascii="Book Antiqua" w:hAnsi="Book Antiqua" w:cs="Times New Roman"/>
          <w:i/>
          <w:sz w:val="24"/>
          <w:szCs w:val="24"/>
        </w:rPr>
        <w:t>us hirae</w:t>
      </w:r>
      <w:r w:rsidR="002F1E28" w:rsidRPr="00DB7074">
        <w:rPr>
          <w:rFonts w:ascii="Book Antiqua" w:hAnsi="Book Antiqua" w:cs="Times New Roman"/>
          <w:i/>
          <w:sz w:val="24"/>
          <w:szCs w:val="24"/>
        </w:rPr>
        <w:fldChar w:fldCharType="begin"/>
      </w:r>
      <w:r w:rsidR="004B13A2" w:rsidRPr="00DB7074">
        <w:rPr>
          <w:rFonts w:ascii="Book Antiqua" w:hAnsi="Book Antiqua" w:cs="Times New Roman"/>
          <w:i/>
          <w:sz w:val="24"/>
          <w:szCs w:val="24"/>
        </w:rPr>
        <w:instrText xml:space="preserve"> ADDIN ZOTERO_ITEM CSL_CITATION {"citationID":"afc5aiulr8","properties":{"formattedCitation":"\\super [223,226]\\nosupersub{}","plainCitation":"[223,226]","noteIndex":0},"citationItems":[{"id":454,"uris":["http://zotero.org/users/4113810/items/NDKLPLUW"],"uri":["http://zotero.org/users/4113810/items/NDKLPLUW"],"itemData":{"id":454,"type":"article-journal","title":"The intestinal microbiota modulates the anticancer immune effects of cyclophosphamide","container-title":"Science (New York, N.Y.)","page":"971-976","volume":"342","issue":"6161","source":"PubMed","abstract":"Cyclophosphamide is one of several clinically important cancer drugs whose therapeutic efficacy is due in part to their ability to stimulate antitumor immune responses. Studying mouse models, we demonstrate that cyclophosphamide alters the composition of microbiota in the small intestine and induces the translocation of selected species of Gram-positive bacteria into secondary lymphoid organs. There, these bacteria stimulate the generation of a specific subset of \"pathogenic\" T helper 17 (pT(H)17) cells and memory T(H)1 immune responses. Tumor-bearing mice that were germ-free or that had been treated with antibiotics to kill Gram-positive bacteria showed a reduction in pT(H)17 responses, and their tumors were resistant to cyclophosphamide. Adoptive transfer of pT(H)17 cells partially restored the antitumor efficacy of cyclophosphamide. These results suggest that the gut microbiota help shape the anticancer immune response.","DOI":"10.1126/science.1240537","ISSN":"1095-9203","note":"PMID: 24264990\nPMCID: PMC4048947","journalAbbreviation":"Science","language":"eng","author":[{"family":"Viaud","given":"Sophie"},{"family":"Saccheri","given":"Fabiana"},{"family":"Mignot","given":"Grégoire"},{"family":"Yamazaki","given":"Takahiro"},{"family":"Daillère","given":"Romain"},{"family":"Hannani","given":"Dalil"},{"family":"Enot","given":"David P."},{"family":"Pfirschke","given":"Christina"},{"family":"Engblom","given":"Camilla"},{"family":"Pittet","given":"Mikael J."},{"family":"Schlitzer","given":"Andreas"},{"family":"Ginhoux","given":"Florent"},{"family":"Apetoh","given":"Lionel"},{"family":"Chachaty","given":"Elisabeth"},{"family":"Woerther","given":"Paul-Louis"},{"family":"Eberl","given":"Gérard"},{"family":"Bérard","given":"Marion"},{"family":"Ecobichon","given":"Chantal"},{"family":"Clermont","given":"Dominique"},{"family":"Bizet","given":"Chantal"},{"family":"Gaboriau-Routhiau","given":"Valérie"},{"family":"Cerf-Bensussan","given":"Nadine"},{"family":"Opolon","given":"Paule"},{"family":"Yessaad","given":"Nadia"},{"family":"Vivier","given":"Eric"},{"family":"Ryffel","given":"Bernhard"},{"family":"Elson","given":"Charles O."},{"family":"Doré","given":"Joël"},{"family":"Kroemer","given":"Guido"},{"family":"Lepage","given":"Patricia"},{"family":"Boneca","given":"Ivo Gomperts"},{"family":"Ghiringhelli","given":"François"},{"family":"Zitvogel","given":"Laurence"}],"issued":{"date-parts":[["2013",11,22]]}}},{"id":511,"uris":["http://zotero.org/users/4113810/items/JZBT6DQW"],"uri":["http://zotero.org/users/4113810/items/JZBT6DQW"],"itemData":{"id":511,"type":"article-journal","title":"Enterococcus hirae and Barnesiella intestinihominis Facilitate Cyclophosphamide-Induced Therapeutic Immunomodulatory Effects","container-title":"Immunity","page":"931-943","volume":"45","issue":"4","source":"CrossRef","DOI":"10.1016/j.immuni.2016.09.009","ISSN":"10747613","language":"en","author":[{"family":"Daillère","given":"Romain"},{"family":"Vétizou","given":"Marie"},{"family":"Waldschmitt","given":"Nadine"},{"family":"Yamazaki","given":"Takahiro"},{"family":"Isnard","given":"Christophe"},{"family":"Poirier-Colame","given":"Vichnou"},{"family":"Duong","given":"Connie P.M."},{"family":"Flament","given":"Caroline"},{"family":"Lepage","given":"Patricia"},{"family":"Roberti","given":"Maria Paula"},{"family":"Routy","given":"Bertrand"},{"family":"Jacquelot","given":"Nicolas"},{"family":"Apetoh","given":"Lionel"},{"family":"Becharef","given":"Sonia"},{"family":"Rusakiewicz","given":"Sylvie"},{"family":"Langella","given":"Philippe"},{"family":"Sokol","given":"Harry"},{"family":"Kroemer","given":"Guido"},{"family":"Enot","given":"David"},{"family":"Roux","given":"Antoine"},{"family":"Eggermont","given":"Alexander"},{"family":"Tartour","given":"Eric"},{"family":"Johannes","given":"Ludger"},{"family":"Woerther","given":"Paul-Louis"},{"family":"Chachaty","given":"Elisabeth"},{"family":"Soria","given":"Jean-Charles"},{"family":"Golden","given":"Encouse"},{"family":"Formenti","given":"Silvia"},{"family":"Plebanski","given":"Magdalena"},{"family":"Madondo","given":"Mutsa"},{"family":"Rosenstiel","given":"Philip"},{"family":"Raoult","given":"Didier"},{"family":"Cattoir","given":"Vincent"},{"family":"Boneca","given":"Ivo Gomperts"},{"family":"Chamaillard","given":"Mathias"},{"family":"Zitvogel","given":"Laurence"}],"issued":{"date-parts":[["2016",10]]}}}],"schema":"https://github.com/citation-style-language/schema/raw/master/csl-citation.json"} </w:instrText>
      </w:r>
      <w:r w:rsidR="002F1E28" w:rsidRPr="00DB7074">
        <w:rPr>
          <w:rFonts w:ascii="Book Antiqua" w:hAnsi="Book Antiqua" w:cs="Times New Roman"/>
          <w:i/>
          <w:sz w:val="24"/>
          <w:szCs w:val="24"/>
        </w:rPr>
        <w:fldChar w:fldCharType="separate"/>
      </w:r>
      <w:r w:rsidR="00794414" w:rsidRPr="00DB7074">
        <w:rPr>
          <w:rFonts w:ascii="Book Antiqua" w:hAnsi="Book Antiqua" w:cs="Times New Roman"/>
          <w:sz w:val="24"/>
          <w:szCs w:val="24"/>
          <w:vertAlign w:val="superscript"/>
        </w:rPr>
        <w:t>[223,226]</w:t>
      </w:r>
      <w:r w:rsidR="002F1E28" w:rsidRPr="00DB7074">
        <w:rPr>
          <w:rFonts w:ascii="Book Antiqua" w:hAnsi="Book Antiqua" w:cs="Times New Roman"/>
          <w:i/>
          <w:sz w:val="24"/>
          <w:szCs w:val="24"/>
        </w:rPr>
        <w:fldChar w:fldCharType="end"/>
      </w:r>
      <w:r w:rsidR="002F1E28" w:rsidRPr="00DB7074">
        <w:rPr>
          <w:rFonts w:ascii="Book Antiqua" w:hAnsi="Book Antiqua" w:cs="Times New Roman"/>
          <w:sz w:val="24"/>
          <w:szCs w:val="24"/>
        </w:rPr>
        <w:t xml:space="preserve"> </w:t>
      </w:r>
      <w:r w:rsidR="002F1E28" w:rsidRPr="00DB7074">
        <w:rPr>
          <w:rFonts w:ascii="Book Antiqua" w:hAnsi="Book Antiqua" w:cs="Times New Roman"/>
          <w:i/>
          <w:sz w:val="24"/>
          <w:szCs w:val="24"/>
        </w:rPr>
        <w:t>Barnesiella intestinihominis</w:t>
      </w:r>
      <w:r w:rsidR="002F1E28"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{"citationID":"a1q0iejlh1n","properties":{"formattedCitation":"\\super [223]\\nosupersub{}","plainCitation":"[223]","noteIndex":0},"citationItems":[{"id":511,"uris":["http://zotero.org/users/4113810/items/JZBT6DQW"],"uri":["http://zotero.org/users/4113810/items/JZBT6DQW"],"itemData":{"id":511,"type":"article-journal","title":"Enterococcus hirae and Barnesiella intestinihominis Facilitate Cyclophosphamide-Induced Therapeutic Immunomodulatory Effects","container-title":"Immunity","page":"931-943","volume":"45","issue":"4","source":"CrossRef","DOI":"10.1016/j.immuni.2016.09.009","ISSN":"10747613","language":"en","author":[{"family":"Daillère","given":"Romain"},{"family":"Vétizou","given":"Marie"},{"family":"Waldschmitt","given":"Nadine"},{"family":"Yamazaki","given":"Takahiro"},{"family":"Isnard","given":"Christophe"},{"family":"Poirier-Colame","given":"Vichnou"},{"family":"Duong","given":"Connie P.M."},{"family":"Flament","given":"Caroline"},{"family":"Lepage","given":"Patricia"},{"family":"Roberti","given":"Maria Paula"},{"family":"Routy","given":"Bertrand"},{"family":"Jacquelot","given":"Nicolas"},{"family":"Apetoh","given":"Lionel"},{"family":"Becharef","given":"Sonia"},{"family":"Rusakiewicz","given":"Sylvie"},{"family":"Langella","given":"Philippe"},{"family":"Sokol","given":"Harry"},{"family":"Kroemer","given":"Guido"},{"family":"Enot","given":"David"},{"family":"Roux","given":"Antoine"},{"family":"Eggermont","given":"Alexander"},{"family":"Tartour","given":"Eric"},{"family":"Johannes","given":"Ludger"},{"family":"Woerther","given":"Paul-Louis"},{"family":"Chachaty","given":"Elisabeth"},{"family":"Soria","given":"Jean-Charles"},{"family":"Golden","given":"Encouse"},{"family":"Formenti","given":"Silvia"},{"family":"Plebanski","given":"Magdalena"},{"family":"Madondo","given":"Mutsa"},{"family":"Rosenstiel","given":"Philip"},{"family":"Raoult","given":"Didier"},{"family":"Cattoir","given":"Vincent"},{"family":"Boneca","given":"Ivo Gomperts"},{"family":"Chamaillard","given":"Mathias"},{"family":"Zitvogel","given":"Laurence"}],"issued":{"date-parts":[["2016",10]]}}}],"schema":"https://github.com/citation-style-language/schema/raw/master/csl-citation.json"} </w:instrText>
      </w:r>
      <w:r w:rsidR="002F1E28"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[223]</w:t>
      </w:r>
      <w:r w:rsidR="002F1E28" w:rsidRPr="00DB7074">
        <w:rPr>
          <w:rFonts w:ascii="Book Antiqua" w:hAnsi="Book Antiqua" w:cs="Times New Roman"/>
          <w:sz w:val="24"/>
          <w:szCs w:val="24"/>
        </w:rPr>
        <w:fldChar w:fldCharType="end"/>
      </w:r>
      <w:r w:rsidR="002F1E28" w:rsidRPr="00DB7074">
        <w:rPr>
          <w:rFonts w:ascii="Book Antiqua" w:hAnsi="Book Antiqua" w:cs="Times New Roman"/>
          <w:sz w:val="24"/>
          <w:szCs w:val="24"/>
        </w:rPr>
        <w:t xml:space="preserve">, </w:t>
      </w:r>
      <w:r w:rsidR="002F1E28" w:rsidRPr="00DB7074">
        <w:rPr>
          <w:rFonts w:ascii="Book Antiqua" w:hAnsi="Book Antiqua" w:cs="Times New Roman"/>
          <w:i/>
          <w:sz w:val="24"/>
          <w:szCs w:val="24"/>
        </w:rPr>
        <w:t>Akkermansia muciniphila</w:t>
      </w:r>
      <w:r w:rsidR="002F1E28"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{"citationID":"aph4dfoj58","properties":{"formattedCitation":"\\super [237]\\nosupersub{}","plainCitation":"[237]","noteIndex":0},"citationItems":[{"id":456,"uris":["http://zotero.org/users/4113810/items/69HFCLM9"],"uri":["http://zotero.org/users/4113810/items/69HFCLM9"],"itemData":{"id":456,"type":"article-journal","title":"Gut microbiome influences efficacy of PD-1-based immunotherapy against epithelial tumors","container-title":"Science (New York, N.Y.)","page":"91-97","volume":"359","issue":"6371","source":"PubMed","abstract":"Immune checkpoint inhibitors (ICIs) targeting the PD-1/PD-L1 axis induce sustained clinical responses in a sizable minority of cancer patients. We found that primary resistance to ICIs can be attributed to abnormal gut microbiome composition. Antibiotics inhibited the clinical benefit of ICIs in patients with advanced cancer. Fecal microbiota transplantation (FMT) from cancer patients who responded to ICIs into germ-free or antibiotic-treated mice ameliorated the antitumor effects of PD-1 blockade, whereas FMT from nonresponding patients failed to do so. Metagenomics of patient stool samples at diagnosis revealed correlations between clinical responses to ICIs and the relative abundance of Akkermansia muciniphila Oral supplementation with A. muciniphila after FMT with nonresponder feces restored the efficacy of PD-1 blockade in an interleukin-12-dependent manner by increasing the recruitment of CCR9+CXCR3+CD4+ T lymphocytes into mouse tumor beds.","DOI":"10.1126/science.aan3706","ISSN":"1095-9203","note":"PMID: 29097494","journalAbbreviation":"Science","language":"eng","author":[{"family":"Routy","given":"Bertrand"},{"family":"Le Chatelier","given":"Emmanuelle"},{"family":"Derosa","given":"Lisa"},{"family":"Duong","given":"Connie P. M."},{"family":"Alou","given":"Maryam Tidjani"},{"family":"Daillère","given":"Romain"},{"family":"Fluckiger","given":"Aurélie"},{"family":"Messaoudene","given":"Meriem"},{"family":"Rauber","given":"Conrad"},{"family":"Roberti","given":"Maria P."},{"family":"Fidelle","given":"Marine"},{"family":"Flament","given":"Caroline"},{"family":"Poirier-Colame","given":"Vichnou"},{"family":"Opolon","given":"Paule"},{"family":"Klein","given":"Christophe"},{"family":"Iribarren","given":"Kristina"},{"family":"Mondragón","given":"Laura"},{"family":"Jacquelot","given":"Nicolas"},{"family":"Qu","given":"Bo"},{"family":"Ferrere","given":"Gladys"},{"family":"Clémenson","given":"Céline"},{"family":"Mezquita","given":"Laura"},{"family":"Masip","given":"Jordi Remon"},{"family":"Naltet","given":"Charles"},{"family":"Brosseau","given":"Solenn"},{"family":"Kaderbhai","given":"Coureche"},{"family":"Richard","given":"Corentin"},{"family":"Rizvi","given":"Hira"},{"family":"Levenez","given":"Florence"},{"family":"Galleron","given":"Nathalie"},{"family":"Quinquis","given":"Benoit"},{"family":"Pons","given":"Nicolas"},{"family":"Ryffel","given":"Bernhard"},{"family":"Minard-Colin","given":"Véronique"},{"family":"Gonin","given":"Patrick"},{"family":"Soria","given":"Jean-Charles"},{"family":"Deutsch","given":"Eric"},{"family":"Loriot","given":"Yohann"},{"family":"Ghiringhelli","given":"François"},{"family":"Zalcman","given":"Gérard"},{"family":"Goldwasser","given":"François"},{"family":"Escudier","given":"Bernard"},{"family":"Hellmann","given":"Matthew D."},{"family":"Eggermont","given":"Alexander"},{"family":"Raoult","given":"Didier"},{"family":"Albiges","given":"Laurence"},{"family":"Kroemer","given":"Guido"},{"family":"Zitvogel","given":"Laurence"}],"issued":{"date-parts":[["2018",1,5]]}}}],"schema":"https://github.com/citation-style-language/schema/raw/master/csl-citation.json"} </w:instrText>
      </w:r>
      <w:r w:rsidR="002F1E28"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[237]</w:t>
      </w:r>
      <w:r w:rsidR="002F1E28" w:rsidRPr="00DB7074">
        <w:rPr>
          <w:rFonts w:ascii="Book Antiqua" w:hAnsi="Book Antiqua" w:cs="Times New Roman"/>
          <w:sz w:val="24"/>
          <w:szCs w:val="24"/>
        </w:rPr>
        <w:fldChar w:fldCharType="end"/>
      </w:r>
      <w:r w:rsidR="002F1E28" w:rsidRPr="00DB7074">
        <w:rPr>
          <w:rFonts w:ascii="Book Antiqua" w:hAnsi="Book Antiqua" w:cs="Times New Roman"/>
          <w:sz w:val="24"/>
          <w:szCs w:val="24"/>
        </w:rPr>
        <w:t xml:space="preserve">, </w:t>
      </w:r>
      <w:r w:rsidR="002F1E28" w:rsidRPr="00DB7074">
        <w:rPr>
          <w:rFonts w:ascii="Book Antiqua" w:hAnsi="Book Antiqua" w:cs="Times New Roman"/>
          <w:i/>
          <w:sz w:val="24"/>
          <w:szCs w:val="24"/>
        </w:rPr>
        <w:t>Bacteroides</w:t>
      </w:r>
      <w:r w:rsidR="002F1E28" w:rsidRPr="00DB7074">
        <w:rPr>
          <w:rFonts w:ascii="Book Antiqua" w:hAnsi="Book Antiqua" w:cs="Times New Roman"/>
          <w:i/>
          <w:sz w:val="24"/>
          <w:szCs w:val="24"/>
        </w:rPr>
        <w:fldChar w:fldCharType="begin"/>
      </w:r>
      <w:r w:rsidR="004B13A2" w:rsidRPr="00DB7074">
        <w:rPr>
          <w:rFonts w:ascii="Book Antiqua" w:hAnsi="Book Antiqua" w:cs="Times New Roman"/>
          <w:i/>
          <w:sz w:val="24"/>
          <w:szCs w:val="24"/>
        </w:rPr>
        <w:instrText xml:space="preserve"> ADDIN ZOTERO_ITEM CSL_CITATION {"citationID":"a11lots7r8l","properties":{"formattedCitation":"\\super [233]\\nosupersub{}","plainCitation":"[233]","noteIndex":0},"citationItems":[{"id":447,"uris":["http://zotero.org/users/4113810/items/SS2H8HYU"],"uri":["http://zotero.org/users/4113810/items/SS2H8HYU"],"itemData":{"id":447,"type":"article-journal","title":"Anticancer immunotherapy by CTLA-4 blockade relies on the gut microbiota","container-title":"Science","page":"1079-1084","volume":"350","issue":"6264","source":"CrossRef","DOI":"10.1126/science.aad1329","ISSN":"0036-8075, 1095-9203","language":"en","author":[{"family":"Vetizou","given":"M."},{"family":"Pitt","given":"J. M."},{"family":"Daillere","given":"R."},{"family":"Lepage","given":"P."},{"family":"Waldschmitt","given":"N."},{"family":"Flament","given":"C."},{"family":"Rusakiewicz","given":"S."},{"family":"Routy","given":"B."},{"family":"Roberti","given":"M. P."},{"family":"Duong","given":"C. P. M."},{"family":"Poirier-Colame","given":"V."},{"family":"Roux","given":"A."},{"family":"Becharef","given":"S."},{"family":"Formenti","given":"S."},{"family":"Golden","given":"E."},{"family":"Cording","given":"S."},{"family":"Eberl","given":"G."},{"family":"Schlitzer","given":"A."},{"family":"Ginhoux","given":"F."},{"family":"Mani","given":"S."},{"family":"Yamazaki","given":"T."},{"family":"Jacquelot","given":"N."},{"family":"Enot","given":"D. P."},{"family":"Berard","given":"M."},{"family":"Nigou","given":"J."},{"family":"Opolon","given":"P."},{"family":"Eggermont","given":"A."},{"family":"Woerther","given":"P.-L."},{"family":"Chachaty","given":"E."},{"family":"Chaput","given":"N."},{"family":"Robert","given":"C."},{"family":"Mateus","given":"C."},{"family":"Kroemer","given":"G."},{"family":"Raoult","given":"D."},{"family":"Boneca","given":"I. G."},{"family":"Carbonnel","given":"F."},{"family":"Chamaillard","given":"M."},{"family":"Zitvogel","given":"L."}],"issued":{"date-parts":[["2015",11,27]]}}}],"schema":"https://github.com/citation-style-language/schema/raw/master/csl-citation.json"} </w:instrText>
      </w:r>
      <w:r w:rsidR="002F1E28" w:rsidRPr="00DB7074">
        <w:rPr>
          <w:rFonts w:ascii="Book Antiqua" w:hAnsi="Book Antiqua" w:cs="Times New Roman"/>
          <w:i/>
          <w:sz w:val="24"/>
          <w:szCs w:val="24"/>
        </w:rPr>
        <w:fldChar w:fldCharType="separate"/>
      </w:r>
      <w:r w:rsidR="00794414" w:rsidRPr="00DB7074">
        <w:rPr>
          <w:rFonts w:ascii="Book Antiqua" w:hAnsi="Book Antiqua" w:cs="Times New Roman"/>
          <w:sz w:val="24"/>
          <w:szCs w:val="24"/>
          <w:vertAlign w:val="superscript"/>
        </w:rPr>
        <w:t>[233]</w:t>
      </w:r>
      <w:r w:rsidR="002F1E28" w:rsidRPr="00DB7074">
        <w:rPr>
          <w:rFonts w:ascii="Book Antiqua" w:hAnsi="Book Antiqua" w:cs="Times New Roman"/>
          <w:i/>
          <w:sz w:val="24"/>
          <w:szCs w:val="24"/>
        </w:rPr>
        <w:fldChar w:fldCharType="end"/>
      </w:r>
      <w:r w:rsidR="002F1E28" w:rsidRPr="00DB7074">
        <w:rPr>
          <w:rFonts w:ascii="Book Antiqua" w:hAnsi="Book Antiqua" w:cs="Times New Roman"/>
          <w:i/>
          <w:sz w:val="24"/>
          <w:szCs w:val="24"/>
        </w:rPr>
        <w:t xml:space="preserve"> </w:t>
      </w:r>
      <w:r w:rsidR="002F1E28" w:rsidRPr="00DB7074">
        <w:rPr>
          <w:rFonts w:ascii="Book Antiqua" w:hAnsi="Book Antiqua" w:cs="Times New Roman"/>
          <w:sz w:val="24"/>
          <w:szCs w:val="24"/>
        </w:rPr>
        <w:t xml:space="preserve">and </w:t>
      </w:r>
      <w:r w:rsidR="002F1E28" w:rsidRPr="00DB7074">
        <w:rPr>
          <w:rFonts w:ascii="Book Antiqua" w:hAnsi="Book Antiqua" w:cs="Times New Roman"/>
          <w:i/>
          <w:sz w:val="24"/>
          <w:szCs w:val="24"/>
        </w:rPr>
        <w:t>Bifidobacterium</w:t>
      </w:r>
      <w:r w:rsidR="002F1E28" w:rsidRPr="00DB7074">
        <w:rPr>
          <w:rFonts w:ascii="Book Antiqua" w:hAnsi="Book Antiqua" w:cs="Times New Roman"/>
          <w:sz w:val="24"/>
          <w:szCs w:val="24"/>
        </w:rPr>
        <w:fldChar w:fldCharType="begin"/>
      </w:r>
      <w:r w:rsidR="004B13A2" w:rsidRPr="00DB7074">
        <w:rPr>
          <w:rFonts w:ascii="Book Antiqua" w:hAnsi="Book Antiqua" w:cs="Times New Roman"/>
          <w:sz w:val="24"/>
          <w:szCs w:val="24"/>
        </w:rPr>
        <w:instrText xml:space="preserve"> ADDIN ZOTERO_ITEM CSL_CITATION {"citationID":"r8yntf8N","properties":{"formattedCitation":"\\super [234,236]\\nosupersub{}","plainCitation":"[234,236]","noteIndex":0},"citationItems":[{"id":46,"uris":["http://zotero.org/users/4113810/items/F4MHC9VA"],"uri":["http://zotero.org/users/4113810/items/F4MHC9VA"],"itemData":{"id":46,"type":"article-journal","title":"Commensal Bifidobacterium promotes antitumor immunity and facilitates anti-PD-L1 efficacy","container-title":"Science (New York, N.Y.)","page":"1084-1089","volume":"350","issue":"6264","source":"PubMed","abstract":"T cell infiltration of solid tumors is associated with favorable patient outcomes, yet the mechanisms underlying variable immune responses between individuals are not well understood. One possible modulator could be the intestinal microbiota. We compared melanoma growth in mice harboring distinct commensal microbiota and observed differences in spontaneous antitumor immunity, which were eliminated upon cohousing or after fecal transfer. Sequencing of the 16S ribosomal RNA identified Bifidobacterium as associated with the antitumor effects. Oral administration of Bifidobacterium alone improved tumor control to the same degree as programmed cell death protein 1 ligand 1 (PD-L1)-specific antibody therapy (checkpoint blockade), and combination treatment nearly abolished tumor outgrowth. Augmented dendritic cell function leading to enhanced CD8(+) T cell priming and accumulation in the tumor microenvironment mediated the effect. Our data suggest that manipulating the microbiota may modulate cancer immunotherapy.","DOI":"10.1126/science.aac4255","ISSN":"1095-9203","note":"PMID: 26541606\nPMCID: PMC4873287","journalAbbreviation":"Science","language":"eng","author":[{"family":"Sivan","given":"Ayelet"},{"family":"Corrales","given":"Leticia"},{"family":"Hubert","given":"Nathaniel"},{"family":"Williams","given":"Jason B."},{"family":"Aquino-Michaels","given":"Keston"},{"family":"Earley","given":"Zachary M."},{"family":"Benyamin","given":"Franco W."},{"family":"Lei","given":"Yuk Man"},{"family":"Jabri","given":"Bana"},{"family":"Alegre","given":"Maria-Luisa"},{"family":"Chang","given":"Eugene B."},{"family":"Gajewski","given":"Thomas F."}],"issued":{"date-parts":[["2015",11,27]]}}},{"id":449,"uris":["http://zotero.org/users/4113810/items/2V7RRFTR"],"uri":["http://zotero.org/users/4113810/items/2V7RRFTR"],"itemData":{"id":449,"type":"article-journal","title":"The commensal microbiome is associated with anti–PD-1 efficacy in metastatic melanoma patients","container-title":"Science","page":"104–108","volume":"359","issue":"6371","source":"Google Scholar","author":[{"family":"Matson","given":"Vyara"},{"family":"Fessler","given":"Jessica"},{"family":"Bao","given":"Riyue"},{"family":"Chongsuwat","given":"Tara"},{"family":"Zha","given":"Yuanyuan"},{"family":"Alegre","given":"Maria-Luisa"},{"family":"Luke","given":"Jason J."},{"family":"Gajewski","given":"Thomas F."}],"issued":{"date-parts":[["2018"]]}}}],"schema":"https://github.com/citation-style-language/schema/raw/master/csl-citation.json"} </w:instrText>
      </w:r>
      <w:r w:rsidR="002F1E28" w:rsidRPr="00DB7074">
        <w:rPr>
          <w:rFonts w:ascii="Book Antiqua" w:hAnsi="Book Antiqua" w:cs="Times New Roman"/>
          <w:sz w:val="24"/>
          <w:szCs w:val="24"/>
        </w:rPr>
        <w:fldChar w:fldCharType="separate"/>
      </w:r>
      <w:r w:rsidR="00794414" w:rsidRPr="00DB7074">
        <w:rPr>
          <w:rFonts w:ascii="Book Antiqua" w:hAnsi="Book Antiqua" w:cs="Times New Roman"/>
          <w:sz w:val="24"/>
          <w:szCs w:val="24"/>
          <w:vertAlign w:val="superscript"/>
        </w:rPr>
        <w:t>[234,236]</w:t>
      </w:r>
      <w:r w:rsidR="002F1E28" w:rsidRPr="00DB7074">
        <w:rPr>
          <w:rFonts w:ascii="Book Antiqua" w:hAnsi="Book Antiqua" w:cs="Times New Roman"/>
          <w:sz w:val="24"/>
          <w:szCs w:val="24"/>
        </w:rPr>
        <w:fldChar w:fldCharType="end"/>
      </w:r>
      <w:r w:rsidR="002F1E28" w:rsidRPr="00DB7074">
        <w:rPr>
          <w:rFonts w:ascii="Book Antiqua" w:hAnsi="Book Antiqua" w:cs="Times New Roman"/>
          <w:sz w:val="24"/>
          <w:szCs w:val="24"/>
        </w:rPr>
        <w:t xml:space="preserve"> species, </w:t>
      </w:r>
      <w:r w:rsidR="00804EDC" w:rsidRPr="00DB7074">
        <w:rPr>
          <w:rFonts w:ascii="Book Antiqua" w:hAnsi="Book Antiqua" w:cs="Times New Roman"/>
          <w:sz w:val="24"/>
          <w:szCs w:val="24"/>
        </w:rPr>
        <w:t xml:space="preserve">are </w:t>
      </w:r>
      <w:r w:rsidR="002F1E28" w:rsidRPr="00DB7074">
        <w:rPr>
          <w:rFonts w:ascii="Book Antiqua" w:hAnsi="Book Antiqua" w:cs="Times New Roman"/>
          <w:sz w:val="24"/>
          <w:szCs w:val="24"/>
        </w:rPr>
        <w:t xml:space="preserve">beneficial in this context, </w:t>
      </w:r>
      <w:r w:rsidR="00804EDC" w:rsidRPr="00DB7074">
        <w:rPr>
          <w:rFonts w:ascii="Book Antiqua" w:hAnsi="Book Antiqua" w:cs="Times New Roman"/>
          <w:sz w:val="24"/>
          <w:szCs w:val="24"/>
        </w:rPr>
        <w:t>which may lead</w:t>
      </w:r>
      <w:r w:rsidR="002F1E28" w:rsidRPr="00DB7074">
        <w:rPr>
          <w:rFonts w:ascii="Book Antiqua" w:hAnsi="Book Antiqua" w:cs="Times New Roman"/>
          <w:sz w:val="24"/>
          <w:szCs w:val="24"/>
        </w:rPr>
        <w:t xml:space="preserve"> the way to innovative “oncobiotics” strategies </w:t>
      </w:r>
      <w:r w:rsidR="00804EDC" w:rsidRPr="00DB7074">
        <w:rPr>
          <w:rFonts w:ascii="Book Antiqua" w:hAnsi="Book Antiqua" w:cs="Times New Roman"/>
          <w:sz w:val="24"/>
          <w:szCs w:val="24"/>
        </w:rPr>
        <w:t xml:space="preserve">that </w:t>
      </w:r>
      <w:r w:rsidR="002F1E28" w:rsidRPr="00DB7074">
        <w:rPr>
          <w:rFonts w:ascii="Book Antiqua" w:hAnsi="Book Antiqua" w:cs="Times New Roman"/>
          <w:sz w:val="24"/>
          <w:szCs w:val="24"/>
        </w:rPr>
        <w:t>combin</w:t>
      </w:r>
      <w:r w:rsidR="00804EDC" w:rsidRPr="00DB7074">
        <w:rPr>
          <w:rFonts w:ascii="Book Antiqua" w:hAnsi="Book Antiqua" w:cs="Times New Roman"/>
          <w:sz w:val="24"/>
          <w:szCs w:val="24"/>
        </w:rPr>
        <w:t>e</w:t>
      </w:r>
      <w:r w:rsidR="002F1E28" w:rsidRPr="00DB7074">
        <w:rPr>
          <w:rFonts w:ascii="Book Antiqua" w:hAnsi="Book Antiqua" w:cs="Times New Roman"/>
          <w:sz w:val="24"/>
          <w:szCs w:val="24"/>
        </w:rPr>
        <w:t xml:space="preserve"> </w:t>
      </w:r>
      <w:r w:rsidR="00507882" w:rsidRPr="00DB7074">
        <w:rPr>
          <w:rFonts w:ascii="Book Antiqua" w:hAnsi="Book Antiqua" w:cs="Times New Roman"/>
          <w:sz w:val="24"/>
          <w:szCs w:val="24"/>
        </w:rPr>
        <w:t>anticancer</w:t>
      </w:r>
      <w:r w:rsidR="002F1E28" w:rsidRPr="00DB7074">
        <w:rPr>
          <w:rFonts w:ascii="Book Antiqua" w:hAnsi="Book Antiqua" w:cs="Times New Roman"/>
          <w:sz w:val="24"/>
          <w:szCs w:val="24"/>
        </w:rPr>
        <w:t xml:space="preserve"> and microbiota-targeting agents.</w:t>
      </w:r>
    </w:p>
    <w:p w14:paraId="3DF576D7" w14:textId="08D76ADD" w:rsidR="001B380B" w:rsidRPr="00DB7074" w:rsidRDefault="001B380B" w:rsidP="00DB7074">
      <w:pPr>
        <w:snapToGrid w:val="0"/>
        <w:spacing w:after="0" w:line="360" w:lineRule="auto"/>
        <w:jc w:val="both"/>
        <w:rPr>
          <w:rFonts w:ascii="Book Antiqua" w:hAnsi="Book Antiqua" w:cs="Times New Roman"/>
          <w:sz w:val="24"/>
          <w:szCs w:val="24"/>
        </w:rPr>
      </w:pPr>
    </w:p>
    <w:p w14:paraId="7645C593" w14:textId="08EF370E" w:rsidR="000215FB" w:rsidRPr="00DB7074" w:rsidRDefault="006711EB" w:rsidP="00DB7074">
      <w:pPr>
        <w:pStyle w:val="Heading2"/>
        <w:snapToGrid w:val="0"/>
        <w:spacing w:before="0" w:line="360" w:lineRule="auto"/>
        <w:jc w:val="both"/>
        <w:rPr>
          <w:rFonts w:ascii="Book Antiqua" w:hAnsi="Book Antiqua" w:cs="Times New Roman"/>
          <w:b/>
          <w:color w:val="auto"/>
          <w:sz w:val="24"/>
          <w:szCs w:val="24"/>
        </w:rPr>
      </w:pPr>
      <w:r w:rsidRPr="00DB7074">
        <w:rPr>
          <w:rFonts w:ascii="Book Antiqua" w:hAnsi="Book Antiqua" w:cs="Times New Roman"/>
          <w:b/>
          <w:color w:val="auto"/>
          <w:sz w:val="24"/>
          <w:szCs w:val="24"/>
        </w:rPr>
        <w:t xml:space="preserve">CONCLUSION </w:t>
      </w:r>
    </w:p>
    <w:p w14:paraId="2ACC28B3" w14:textId="1411B6C3" w:rsidR="009C00F3" w:rsidRPr="00DB7074" w:rsidRDefault="009C00F3" w:rsidP="00D56844">
      <w:pPr>
        <w:snapToGrid w:val="0"/>
        <w:spacing w:after="0" w:line="360" w:lineRule="auto"/>
        <w:jc w:val="both"/>
        <w:rPr>
          <w:rFonts w:ascii="Book Antiqua" w:hAnsi="Book Antiqua" w:cs="Times New Roman"/>
          <w:sz w:val="24"/>
          <w:szCs w:val="24"/>
        </w:rPr>
      </w:pPr>
      <w:r w:rsidRPr="00DB7074">
        <w:rPr>
          <w:rFonts w:ascii="Book Antiqua" w:hAnsi="Book Antiqua" w:cs="Times New Roman"/>
          <w:sz w:val="24"/>
          <w:szCs w:val="24"/>
        </w:rPr>
        <w:t xml:space="preserve">In this review, we discuss both predictive and prognostic </w:t>
      </w:r>
      <w:r w:rsidR="00DA7A8F" w:rsidRPr="00DB7074">
        <w:rPr>
          <w:rFonts w:ascii="Book Antiqua" w:hAnsi="Book Antiqua" w:cs="Times New Roman"/>
          <w:sz w:val="24"/>
          <w:szCs w:val="24"/>
        </w:rPr>
        <w:t xml:space="preserve">microbial-associated </w:t>
      </w:r>
      <w:r w:rsidRPr="00DB7074">
        <w:rPr>
          <w:rFonts w:ascii="Book Antiqua" w:hAnsi="Book Antiqua" w:cs="Times New Roman"/>
          <w:sz w:val="24"/>
          <w:szCs w:val="24"/>
        </w:rPr>
        <w:t>markers identified in CRC</w:t>
      </w:r>
      <w:r w:rsidR="00DA7A8F" w:rsidRPr="00DB7074">
        <w:rPr>
          <w:rFonts w:ascii="Book Antiqua" w:hAnsi="Book Antiqua" w:cs="Times New Roman"/>
          <w:sz w:val="24"/>
          <w:szCs w:val="24"/>
        </w:rPr>
        <w:t xml:space="preserve">. </w:t>
      </w:r>
      <w:r w:rsidR="00C14851" w:rsidRPr="00DB7074">
        <w:rPr>
          <w:rFonts w:ascii="Book Antiqua" w:hAnsi="Book Antiqua" w:cs="Times New Roman"/>
          <w:sz w:val="24"/>
          <w:szCs w:val="24"/>
        </w:rPr>
        <w:t xml:space="preserve">The </w:t>
      </w:r>
      <w:r w:rsidR="00507882" w:rsidRPr="00DB7074">
        <w:rPr>
          <w:rFonts w:ascii="Book Antiqua" w:hAnsi="Book Antiqua" w:cs="Times New Roman"/>
          <w:sz w:val="24"/>
          <w:szCs w:val="24"/>
        </w:rPr>
        <w:t>faecal</w:t>
      </w:r>
      <w:r w:rsidR="00C14851" w:rsidRPr="00DB7074">
        <w:rPr>
          <w:rFonts w:ascii="Book Antiqua" w:hAnsi="Book Antiqua" w:cs="Times New Roman"/>
          <w:sz w:val="24"/>
          <w:szCs w:val="24"/>
        </w:rPr>
        <w:t xml:space="preserve">-associated microbiota </w:t>
      </w:r>
      <w:r w:rsidR="00804EDC" w:rsidRPr="00DB7074">
        <w:rPr>
          <w:rFonts w:ascii="Book Antiqua" w:hAnsi="Book Antiqua" w:cs="Times New Roman"/>
          <w:sz w:val="24"/>
          <w:szCs w:val="24"/>
        </w:rPr>
        <w:t xml:space="preserve">may </w:t>
      </w:r>
      <w:r w:rsidR="00C14851" w:rsidRPr="00DB7074">
        <w:rPr>
          <w:rFonts w:ascii="Book Antiqua" w:hAnsi="Book Antiqua" w:cs="Times New Roman"/>
          <w:sz w:val="24"/>
          <w:szCs w:val="24"/>
        </w:rPr>
        <w:t xml:space="preserve">be dynamically linked to colon cancer, which, in turn, may offer evidence for microflora-associated diagnostic, preventive, </w:t>
      </w:r>
      <w:r w:rsidR="00804EDC" w:rsidRPr="00DB7074">
        <w:rPr>
          <w:rFonts w:ascii="Book Antiqua" w:hAnsi="Book Antiqua" w:cs="Times New Roman"/>
          <w:sz w:val="24"/>
          <w:szCs w:val="24"/>
        </w:rPr>
        <w:t xml:space="preserve">and </w:t>
      </w:r>
      <w:r w:rsidR="00C14851" w:rsidRPr="00DB7074">
        <w:rPr>
          <w:rFonts w:ascii="Book Antiqua" w:hAnsi="Book Antiqua" w:cs="Times New Roman"/>
          <w:sz w:val="24"/>
          <w:szCs w:val="24"/>
        </w:rPr>
        <w:t xml:space="preserve">prognostic approaches for CRC. However, it is clear that additional </w:t>
      </w:r>
      <w:r w:rsidR="00C7566E" w:rsidRPr="00DB7074">
        <w:rPr>
          <w:rFonts w:ascii="Book Antiqua" w:hAnsi="Book Antiqua" w:cs="Times New Roman"/>
          <w:sz w:val="24"/>
          <w:szCs w:val="24"/>
        </w:rPr>
        <w:t xml:space="preserve">clinical </w:t>
      </w:r>
      <w:r w:rsidR="00C14851" w:rsidRPr="00DB7074">
        <w:rPr>
          <w:rFonts w:ascii="Book Antiqua" w:hAnsi="Book Antiqua" w:cs="Times New Roman"/>
          <w:sz w:val="24"/>
          <w:szCs w:val="24"/>
        </w:rPr>
        <w:t xml:space="preserve">studies </w:t>
      </w:r>
      <w:r w:rsidR="00804EDC" w:rsidRPr="00DB7074">
        <w:rPr>
          <w:rFonts w:ascii="Book Antiqua" w:hAnsi="Book Antiqua" w:cs="Times New Roman"/>
          <w:sz w:val="24"/>
          <w:szCs w:val="24"/>
        </w:rPr>
        <w:t xml:space="preserve">are necessary </w:t>
      </w:r>
      <w:r w:rsidR="00C7566E" w:rsidRPr="00DB7074">
        <w:rPr>
          <w:rFonts w:ascii="Book Antiqua" w:hAnsi="Book Antiqua" w:cs="Times New Roman"/>
          <w:sz w:val="24"/>
          <w:szCs w:val="24"/>
        </w:rPr>
        <w:t xml:space="preserve">to </w:t>
      </w:r>
      <w:r w:rsidR="001631C4" w:rsidRPr="00DB7074">
        <w:rPr>
          <w:rFonts w:ascii="Book Antiqua" w:hAnsi="Book Antiqua" w:cs="Times New Roman"/>
          <w:sz w:val="24"/>
          <w:szCs w:val="24"/>
        </w:rPr>
        <w:t>validate</w:t>
      </w:r>
      <w:r w:rsidR="00C7566E" w:rsidRPr="00DB7074">
        <w:rPr>
          <w:rFonts w:ascii="Book Antiqua" w:hAnsi="Book Antiqua" w:cs="Times New Roman"/>
          <w:sz w:val="24"/>
          <w:szCs w:val="24"/>
        </w:rPr>
        <w:t xml:space="preserve"> these parameters</w:t>
      </w:r>
      <w:r w:rsidR="00657F42" w:rsidRPr="00DB7074">
        <w:rPr>
          <w:rFonts w:ascii="Book Antiqua" w:hAnsi="Book Antiqua" w:cs="Times New Roman"/>
          <w:sz w:val="24"/>
          <w:szCs w:val="24"/>
        </w:rPr>
        <w:t xml:space="preserve"> to </w:t>
      </w:r>
      <w:r w:rsidR="00F64F5A" w:rsidRPr="00DB7074">
        <w:rPr>
          <w:rFonts w:ascii="Book Antiqua" w:hAnsi="Book Antiqua" w:cs="Times New Roman"/>
          <w:sz w:val="24"/>
          <w:szCs w:val="24"/>
        </w:rPr>
        <w:t xml:space="preserve">improve </w:t>
      </w:r>
      <w:r w:rsidR="00804EDC" w:rsidRPr="00DB7074">
        <w:rPr>
          <w:rFonts w:ascii="Book Antiqua" w:hAnsi="Book Antiqua" w:cs="Times New Roman"/>
          <w:sz w:val="24"/>
          <w:szCs w:val="24"/>
        </w:rPr>
        <w:t xml:space="preserve">the </w:t>
      </w:r>
      <w:r w:rsidR="00F64F5A" w:rsidRPr="00DB7074">
        <w:rPr>
          <w:rFonts w:ascii="Book Antiqua" w:hAnsi="Book Antiqua" w:cs="Times New Roman"/>
          <w:sz w:val="24"/>
          <w:szCs w:val="24"/>
        </w:rPr>
        <w:t>diagnosis and therapeutic management of CRC</w:t>
      </w:r>
      <w:r w:rsidR="00DA12FE" w:rsidRPr="00DB7074">
        <w:rPr>
          <w:rFonts w:ascii="Book Antiqua" w:hAnsi="Book Antiqua" w:cs="Times New Roman"/>
          <w:sz w:val="24"/>
          <w:szCs w:val="24"/>
        </w:rPr>
        <w:t>.</w:t>
      </w:r>
    </w:p>
    <w:p w14:paraId="24DA09A2" w14:textId="77777777" w:rsidR="00115281" w:rsidRPr="00DB7074" w:rsidRDefault="00115281" w:rsidP="00DB7074">
      <w:pPr>
        <w:snapToGrid w:val="0"/>
        <w:spacing w:after="0" w:line="360" w:lineRule="auto"/>
        <w:jc w:val="both"/>
        <w:rPr>
          <w:rFonts w:ascii="Book Antiqua" w:hAnsi="Book Antiqua" w:cs="Times New Roman"/>
          <w:sz w:val="24"/>
          <w:szCs w:val="24"/>
        </w:rPr>
      </w:pPr>
      <w:r w:rsidRPr="00DB7074">
        <w:rPr>
          <w:rFonts w:ascii="Book Antiqua" w:hAnsi="Book Antiqua" w:cs="Times New Roman"/>
          <w:sz w:val="24"/>
          <w:szCs w:val="24"/>
        </w:rPr>
        <w:br w:type="page"/>
      </w:r>
    </w:p>
    <w:p w14:paraId="0907DF57" w14:textId="5C1FBC2C" w:rsidR="00EB0590" w:rsidRPr="00DB7074" w:rsidRDefault="00E45D34" w:rsidP="00DB7074">
      <w:pPr>
        <w:widowControl w:val="0"/>
        <w:autoSpaceDE w:val="0"/>
        <w:autoSpaceDN w:val="0"/>
        <w:adjustRightInd w:val="0"/>
        <w:snapToGrid w:val="0"/>
        <w:spacing w:after="0" w:line="360" w:lineRule="auto"/>
        <w:jc w:val="both"/>
        <w:rPr>
          <w:rFonts w:ascii="Book Antiqua" w:hAnsi="Book Antiqua" w:cs="Times New Roman"/>
          <w:b/>
          <w:sz w:val="24"/>
          <w:lang w:eastAsia="zh-CN"/>
        </w:rPr>
      </w:pPr>
      <w:r w:rsidRPr="00DB7074">
        <w:rPr>
          <w:rFonts w:ascii="Book Antiqua" w:hAnsi="Book Antiqua" w:cs="Times New Roman"/>
          <w:b/>
          <w:sz w:val="24"/>
          <w:lang w:eastAsia="zh-CN"/>
        </w:rPr>
        <w:lastRenderedPageBreak/>
        <w:t xml:space="preserve"> REFERENCES</w:t>
      </w:r>
    </w:p>
    <w:p w14:paraId="36D6B855"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 </w:t>
      </w:r>
      <w:r w:rsidRPr="00F54EA8">
        <w:rPr>
          <w:rFonts w:ascii="Book Antiqua" w:eastAsia="SimSun" w:hAnsi="Book Antiqua" w:cs="Times New Roman"/>
          <w:b/>
          <w:kern w:val="2"/>
          <w:sz w:val="24"/>
          <w:szCs w:val="24"/>
          <w:lang w:val="en-US" w:eastAsia="zh-CN"/>
        </w:rPr>
        <w:t>Siegel R</w:t>
      </w:r>
      <w:r w:rsidRPr="00F54EA8">
        <w:rPr>
          <w:rFonts w:ascii="Book Antiqua" w:eastAsia="SimSun" w:hAnsi="Book Antiqua" w:cs="Times New Roman"/>
          <w:kern w:val="2"/>
          <w:sz w:val="24"/>
          <w:szCs w:val="24"/>
          <w:lang w:val="en-US" w:eastAsia="zh-CN"/>
        </w:rPr>
        <w:t xml:space="preserve">, Desantis C, Jemal A. Colorectal cancer statistics, 2014. </w:t>
      </w:r>
      <w:r w:rsidRPr="00F54EA8">
        <w:rPr>
          <w:rFonts w:ascii="Book Antiqua" w:eastAsia="SimSun" w:hAnsi="Book Antiqua" w:cs="Times New Roman"/>
          <w:i/>
          <w:kern w:val="2"/>
          <w:sz w:val="24"/>
          <w:szCs w:val="24"/>
          <w:lang w:val="en-US" w:eastAsia="zh-CN"/>
        </w:rPr>
        <w:t>CA Cancer J Clin</w:t>
      </w:r>
      <w:r w:rsidRPr="00F54EA8">
        <w:rPr>
          <w:rFonts w:ascii="Book Antiqua" w:eastAsia="SimSun" w:hAnsi="Book Antiqua" w:cs="Times New Roman"/>
          <w:kern w:val="2"/>
          <w:sz w:val="24"/>
          <w:szCs w:val="24"/>
          <w:lang w:val="en-US" w:eastAsia="zh-CN"/>
        </w:rPr>
        <w:t xml:space="preserve"> 2014; </w:t>
      </w:r>
      <w:r w:rsidRPr="00F54EA8">
        <w:rPr>
          <w:rFonts w:ascii="Book Antiqua" w:eastAsia="SimSun" w:hAnsi="Book Antiqua" w:cs="Times New Roman"/>
          <w:b/>
          <w:kern w:val="2"/>
          <w:sz w:val="24"/>
          <w:szCs w:val="24"/>
          <w:lang w:val="en-US" w:eastAsia="zh-CN"/>
        </w:rPr>
        <w:t>64</w:t>
      </w:r>
      <w:r w:rsidRPr="00F54EA8">
        <w:rPr>
          <w:rFonts w:ascii="Book Antiqua" w:eastAsia="SimSun" w:hAnsi="Book Antiqua" w:cs="Times New Roman"/>
          <w:kern w:val="2"/>
          <w:sz w:val="24"/>
          <w:szCs w:val="24"/>
          <w:lang w:val="en-US" w:eastAsia="zh-CN"/>
        </w:rPr>
        <w:t>: 104-117 [PMID: 24639052 DOI: 10.3322/caac.21220]</w:t>
      </w:r>
    </w:p>
    <w:p w14:paraId="666A5C22"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 </w:t>
      </w:r>
      <w:r w:rsidRPr="00F54EA8">
        <w:rPr>
          <w:rFonts w:ascii="Book Antiqua" w:eastAsia="SimSun" w:hAnsi="Book Antiqua" w:cs="Times New Roman"/>
          <w:b/>
          <w:kern w:val="2"/>
          <w:sz w:val="24"/>
          <w:szCs w:val="24"/>
          <w:lang w:val="en-US" w:eastAsia="zh-CN"/>
        </w:rPr>
        <w:t>Rees CJ</w:t>
      </w:r>
      <w:r w:rsidRPr="00F54EA8">
        <w:rPr>
          <w:rFonts w:ascii="Book Antiqua" w:eastAsia="SimSun" w:hAnsi="Book Antiqua" w:cs="Times New Roman"/>
          <w:kern w:val="2"/>
          <w:sz w:val="24"/>
          <w:szCs w:val="24"/>
          <w:lang w:val="en-US" w:eastAsia="zh-CN"/>
        </w:rPr>
        <w:t xml:space="preserve">, Bevan R. The National Health Service Bowel Cancer Screening Program: the early years. </w:t>
      </w:r>
      <w:r w:rsidRPr="00F54EA8">
        <w:rPr>
          <w:rFonts w:ascii="Book Antiqua" w:eastAsia="SimSun" w:hAnsi="Book Antiqua" w:cs="Times New Roman"/>
          <w:i/>
          <w:kern w:val="2"/>
          <w:sz w:val="24"/>
          <w:szCs w:val="24"/>
          <w:lang w:val="en-US" w:eastAsia="zh-CN"/>
        </w:rPr>
        <w:t>Expert Rev Gastroenterol Hepatol</w:t>
      </w:r>
      <w:r w:rsidRPr="00F54EA8">
        <w:rPr>
          <w:rFonts w:ascii="Book Antiqua" w:eastAsia="SimSun" w:hAnsi="Book Antiqua" w:cs="Times New Roman"/>
          <w:kern w:val="2"/>
          <w:sz w:val="24"/>
          <w:szCs w:val="24"/>
          <w:lang w:val="en-US" w:eastAsia="zh-CN"/>
        </w:rPr>
        <w:t xml:space="preserve"> 2013; </w:t>
      </w:r>
      <w:r w:rsidRPr="00F54EA8">
        <w:rPr>
          <w:rFonts w:ascii="Book Antiqua" w:eastAsia="SimSun" w:hAnsi="Book Antiqua" w:cs="Times New Roman"/>
          <w:b/>
          <w:kern w:val="2"/>
          <w:sz w:val="24"/>
          <w:szCs w:val="24"/>
          <w:lang w:val="en-US" w:eastAsia="zh-CN"/>
        </w:rPr>
        <w:t>7</w:t>
      </w:r>
      <w:r w:rsidRPr="00F54EA8">
        <w:rPr>
          <w:rFonts w:ascii="Book Antiqua" w:eastAsia="SimSun" w:hAnsi="Book Antiqua" w:cs="Times New Roman"/>
          <w:kern w:val="2"/>
          <w:sz w:val="24"/>
          <w:szCs w:val="24"/>
          <w:lang w:val="en-US" w:eastAsia="zh-CN"/>
        </w:rPr>
        <w:t>: 421-437 [PMID: 23899282 DOI: 10.1586/17474124.2013.811045]</w:t>
      </w:r>
    </w:p>
    <w:p w14:paraId="195D7A97"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3 </w:t>
      </w:r>
      <w:r w:rsidRPr="00F54EA8">
        <w:rPr>
          <w:rFonts w:ascii="Book Antiqua" w:eastAsia="SimSun" w:hAnsi="Book Antiqua" w:cs="Times New Roman"/>
          <w:b/>
          <w:kern w:val="2"/>
          <w:sz w:val="24"/>
          <w:szCs w:val="24"/>
          <w:lang w:val="en-US" w:eastAsia="zh-CN"/>
        </w:rPr>
        <w:t>Jones RP</w:t>
      </w:r>
      <w:r w:rsidRPr="00F54EA8">
        <w:rPr>
          <w:rFonts w:ascii="Book Antiqua" w:eastAsia="SimSun" w:hAnsi="Book Antiqua" w:cs="Times New Roman"/>
          <w:kern w:val="2"/>
          <w:sz w:val="24"/>
          <w:szCs w:val="24"/>
          <w:lang w:val="en-US" w:eastAsia="zh-CN"/>
        </w:rPr>
        <w:t xml:space="preserve">, Jackson R, Dunne DF, Malik HZ, Fenwick SW, Poston GJ, Ghaneh P. Systematic review and meta-analysis of follow-up after hepatectomy for colorectal liver metastases. </w:t>
      </w:r>
      <w:r w:rsidRPr="00F54EA8">
        <w:rPr>
          <w:rFonts w:ascii="Book Antiqua" w:eastAsia="SimSun" w:hAnsi="Book Antiqua" w:cs="Times New Roman"/>
          <w:i/>
          <w:kern w:val="2"/>
          <w:sz w:val="24"/>
          <w:szCs w:val="24"/>
          <w:lang w:val="en-US" w:eastAsia="zh-CN"/>
        </w:rPr>
        <w:t>Br J Surg</w:t>
      </w:r>
      <w:r w:rsidRPr="00F54EA8">
        <w:rPr>
          <w:rFonts w:ascii="Book Antiqua" w:eastAsia="SimSun" w:hAnsi="Book Antiqua" w:cs="Times New Roman"/>
          <w:kern w:val="2"/>
          <w:sz w:val="24"/>
          <w:szCs w:val="24"/>
          <w:lang w:val="en-US" w:eastAsia="zh-CN"/>
        </w:rPr>
        <w:t xml:space="preserve"> 2012; </w:t>
      </w:r>
      <w:r w:rsidRPr="00F54EA8">
        <w:rPr>
          <w:rFonts w:ascii="Book Antiqua" w:eastAsia="SimSun" w:hAnsi="Book Antiqua" w:cs="Times New Roman"/>
          <w:b/>
          <w:kern w:val="2"/>
          <w:sz w:val="24"/>
          <w:szCs w:val="24"/>
          <w:lang w:val="en-US" w:eastAsia="zh-CN"/>
        </w:rPr>
        <w:t>99</w:t>
      </w:r>
      <w:r w:rsidRPr="00F54EA8">
        <w:rPr>
          <w:rFonts w:ascii="Book Antiqua" w:eastAsia="SimSun" w:hAnsi="Book Antiqua" w:cs="Times New Roman"/>
          <w:kern w:val="2"/>
          <w:sz w:val="24"/>
          <w:szCs w:val="24"/>
          <w:lang w:val="en-US" w:eastAsia="zh-CN"/>
        </w:rPr>
        <w:t>: 477-486 [PMID: 22261895 DOI: 10.1002/bjs.8667]</w:t>
      </w:r>
    </w:p>
    <w:p w14:paraId="3234BE76"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4 </w:t>
      </w:r>
      <w:r w:rsidRPr="00F54EA8">
        <w:rPr>
          <w:rFonts w:ascii="Book Antiqua" w:eastAsia="SimSun" w:hAnsi="Book Antiqua" w:cs="Times New Roman"/>
          <w:b/>
          <w:kern w:val="2"/>
          <w:sz w:val="24"/>
          <w:szCs w:val="24"/>
          <w:lang w:val="en-US" w:eastAsia="zh-CN"/>
        </w:rPr>
        <w:t>O'Connell JB</w:t>
      </w:r>
      <w:r w:rsidRPr="00F54EA8">
        <w:rPr>
          <w:rFonts w:ascii="Book Antiqua" w:eastAsia="SimSun" w:hAnsi="Book Antiqua" w:cs="Times New Roman"/>
          <w:kern w:val="2"/>
          <w:sz w:val="24"/>
          <w:szCs w:val="24"/>
          <w:lang w:val="en-US" w:eastAsia="zh-CN"/>
        </w:rPr>
        <w:t xml:space="preserve">, Maggard MA, </w:t>
      </w:r>
      <w:proofErr w:type="gramStart"/>
      <w:r w:rsidRPr="00F54EA8">
        <w:rPr>
          <w:rFonts w:ascii="Book Antiqua" w:eastAsia="SimSun" w:hAnsi="Book Antiqua" w:cs="Times New Roman"/>
          <w:kern w:val="2"/>
          <w:sz w:val="24"/>
          <w:szCs w:val="24"/>
          <w:lang w:val="en-US" w:eastAsia="zh-CN"/>
        </w:rPr>
        <w:t>Ko</w:t>
      </w:r>
      <w:proofErr w:type="gramEnd"/>
      <w:r w:rsidRPr="00F54EA8">
        <w:rPr>
          <w:rFonts w:ascii="Book Antiqua" w:eastAsia="SimSun" w:hAnsi="Book Antiqua" w:cs="Times New Roman"/>
          <w:kern w:val="2"/>
          <w:sz w:val="24"/>
          <w:szCs w:val="24"/>
          <w:lang w:val="en-US" w:eastAsia="zh-CN"/>
        </w:rPr>
        <w:t xml:space="preserve"> CY. Colon cancer survival rates with the new American Joint Committee on Cancer sixth edition staging. </w:t>
      </w:r>
      <w:r w:rsidRPr="00F54EA8">
        <w:rPr>
          <w:rFonts w:ascii="Book Antiqua" w:eastAsia="SimSun" w:hAnsi="Book Antiqua" w:cs="Times New Roman"/>
          <w:i/>
          <w:kern w:val="2"/>
          <w:sz w:val="24"/>
          <w:szCs w:val="24"/>
          <w:lang w:val="en-US" w:eastAsia="zh-CN"/>
        </w:rPr>
        <w:t>J Natl Cancer Inst</w:t>
      </w:r>
      <w:r w:rsidRPr="00F54EA8">
        <w:rPr>
          <w:rFonts w:ascii="Book Antiqua" w:eastAsia="SimSun" w:hAnsi="Book Antiqua" w:cs="Times New Roman"/>
          <w:kern w:val="2"/>
          <w:sz w:val="24"/>
          <w:szCs w:val="24"/>
          <w:lang w:val="en-US" w:eastAsia="zh-CN"/>
        </w:rPr>
        <w:t xml:space="preserve"> 2004; </w:t>
      </w:r>
      <w:r w:rsidRPr="00F54EA8">
        <w:rPr>
          <w:rFonts w:ascii="Book Antiqua" w:eastAsia="SimSun" w:hAnsi="Book Antiqua" w:cs="Times New Roman"/>
          <w:b/>
          <w:kern w:val="2"/>
          <w:sz w:val="24"/>
          <w:szCs w:val="24"/>
          <w:lang w:val="en-US" w:eastAsia="zh-CN"/>
        </w:rPr>
        <w:t>96</w:t>
      </w:r>
      <w:r w:rsidRPr="00F54EA8">
        <w:rPr>
          <w:rFonts w:ascii="Book Antiqua" w:eastAsia="SimSun" w:hAnsi="Book Antiqua" w:cs="Times New Roman"/>
          <w:kern w:val="2"/>
          <w:sz w:val="24"/>
          <w:szCs w:val="24"/>
          <w:lang w:val="en-US" w:eastAsia="zh-CN"/>
        </w:rPr>
        <w:t>: 1420-1425 [PMID: 15467030 DOI: 10.1093/jnci/djh275]</w:t>
      </w:r>
    </w:p>
    <w:p w14:paraId="2C7B72E9"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5 </w:t>
      </w:r>
      <w:r w:rsidRPr="00F54EA8">
        <w:rPr>
          <w:rFonts w:ascii="Book Antiqua" w:eastAsia="SimSun" w:hAnsi="Book Antiqua" w:cs="Times New Roman"/>
          <w:b/>
          <w:kern w:val="2"/>
          <w:sz w:val="24"/>
          <w:szCs w:val="24"/>
          <w:lang w:val="en-US" w:eastAsia="zh-CN"/>
        </w:rPr>
        <w:t>Winawer SJ</w:t>
      </w:r>
      <w:r w:rsidRPr="00F54EA8">
        <w:rPr>
          <w:rFonts w:ascii="Book Antiqua" w:eastAsia="SimSun" w:hAnsi="Book Antiqua" w:cs="Times New Roman"/>
          <w:kern w:val="2"/>
          <w:sz w:val="24"/>
          <w:szCs w:val="24"/>
          <w:lang w:val="en-US" w:eastAsia="zh-CN"/>
        </w:rPr>
        <w:t xml:space="preserve">. The history of colorectal cancer screening: a personal perspective. </w:t>
      </w:r>
      <w:r w:rsidRPr="00F54EA8">
        <w:rPr>
          <w:rFonts w:ascii="Book Antiqua" w:eastAsia="SimSun" w:hAnsi="Book Antiqua" w:cs="Times New Roman"/>
          <w:i/>
          <w:kern w:val="2"/>
          <w:sz w:val="24"/>
          <w:szCs w:val="24"/>
          <w:lang w:val="en-US" w:eastAsia="zh-CN"/>
        </w:rPr>
        <w:t>Dig Dis Sci</w:t>
      </w:r>
      <w:r w:rsidRPr="00F54EA8">
        <w:rPr>
          <w:rFonts w:ascii="Book Antiqua" w:eastAsia="SimSun" w:hAnsi="Book Antiqua" w:cs="Times New Roman"/>
          <w:kern w:val="2"/>
          <w:sz w:val="24"/>
          <w:szCs w:val="24"/>
          <w:lang w:val="en-US" w:eastAsia="zh-CN"/>
        </w:rPr>
        <w:t xml:space="preserve"> 2015; </w:t>
      </w:r>
      <w:r w:rsidRPr="00F54EA8">
        <w:rPr>
          <w:rFonts w:ascii="Book Antiqua" w:eastAsia="SimSun" w:hAnsi="Book Antiqua" w:cs="Times New Roman"/>
          <w:b/>
          <w:kern w:val="2"/>
          <w:sz w:val="24"/>
          <w:szCs w:val="24"/>
          <w:lang w:val="en-US" w:eastAsia="zh-CN"/>
        </w:rPr>
        <w:t>60</w:t>
      </w:r>
      <w:r w:rsidRPr="00F54EA8">
        <w:rPr>
          <w:rFonts w:ascii="Book Antiqua" w:eastAsia="SimSun" w:hAnsi="Book Antiqua" w:cs="Times New Roman"/>
          <w:kern w:val="2"/>
          <w:sz w:val="24"/>
          <w:szCs w:val="24"/>
          <w:lang w:val="en-US" w:eastAsia="zh-CN"/>
        </w:rPr>
        <w:t>: 596-608 [PMID: 25599958 DOI: 10.1007/s10620-014-3466-y]</w:t>
      </w:r>
    </w:p>
    <w:p w14:paraId="16F41769"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6 </w:t>
      </w:r>
      <w:r w:rsidRPr="00F54EA8">
        <w:rPr>
          <w:rFonts w:ascii="Book Antiqua" w:eastAsia="SimSun" w:hAnsi="Book Antiqua" w:cs="Times New Roman"/>
          <w:b/>
          <w:kern w:val="2"/>
          <w:sz w:val="24"/>
          <w:szCs w:val="24"/>
          <w:lang w:val="en-US" w:eastAsia="zh-CN"/>
        </w:rPr>
        <w:t>Sears CL</w:t>
      </w:r>
      <w:r w:rsidRPr="00F54EA8">
        <w:rPr>
          <w:rFonts w:ascii="Book Antiqua" w:eastAsia="SimSun" w:hAnsi="Book Antiqua" w:cs="Times New Roman"/>
          <w:kern w:val="2"/>
          <w:sz w:val="24"/>
          <w:szCs w:val="24"/>
          <w:lang w:val="en-US" w:eastAsia="zh-CN"/>
        </w:rPr>
        <w:t xml:space="preserve">, Garrett WS. Microbes, microbiota, and colon cancer. </w:t>
      </w:r>
      <w:r w:rsidRPr="00F54EA8">
        <w:rPr>
          <w:rFonts w:ascii="Book Antiqua" w:eastAsia="SimSun" w:hAnsi="Book Antiqua" w:cs="Times New Roman"/>
          <w:i/>
          <w:kern w:val="2"/>
          <w:sz w:val="24"/>
          <w:szCs w:val="24"/>
          <w:lang w:val="en-US" w:eastAsia="zh-CN"/>
        </w:rPr>
        <w:t>Cell Host Microbe</w:t>
      </w:r>
      <w:r w:rsidRPr="00F54EA8">
        <w:rPr>
          <w:rFonts w:ascii="Book Antiqua" w:eastAsia="SimSun" w:hAnsi="Book Antiqua" w:cs="Times New Roman"/>
          <w:kern w:val="2"/>
          <w:sz w:val="24"/>
          <w:szCs w:val="24"/>
          <w:lang w:val="en-US" w:eastAsia="zh-CN"/>
        </w:rPr>
        <w:t xml:space="preserve"> 2014; </w:t>
      </w:r>
      <w:r w:rsidRPr="00F54EA8">
        <w:rPr>
          <w:rFonts w:ascii="Book Antiqua" w:eastAsia="SimSun" w:hAnsi="Book Antiqua" w:cs="Times New Roman"/>
          <w:b/>
          <w:kern w:val="2"/>
          <w:sz w:val="24"/>
          <w:szCs w:val="24"/>
          <w:lang w:val="en-US" w:eastAsia="zh-CN"/>
        </w:rPr>
        <w:t>15</w:t>
      </w:r>
      <w:r w:rsidRPr="00F54EA8">
        <w:rPr>
          <w:rFonts w:ascii="Book Antiqua" w:eastAsia="SimSun" w:hAnsi="Book Antiqua" w:cs="Times New Roman"/>
          <w:kern w:val="2"/>
          <w:sz w:val="24"/>
          <w:szCs w:val="24"/>
          <w:lang w:val="en-US" w:eastAsia="zh-CN"/>
        </w:rPr>
        <w:t>: 317-328 [PMID: 24629338 DOI: 10.1016/j.chom.2014.02.007]</w:t>
      </w:r>
    </w:p>
    <w:p w14:paraId="2D32C48D"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7 </w:t>
      </w:r>
      <w:r w:rsidRPr="00F54EA8">
        <w:rPr>
          <w:rFonts w:ascii="Book Antiqua" w:eastAsia="SimSun" w:hAnsi="Book Antiqua" w:cs="Times New Roman"/>
          <w:b/>
          <w:kern w:val="2"/>
          <w:sz w:val="24"/>
          <w:szCs w:val="24"/>
          <w:lang w:val="en-US" w:eastAsia="zh-CN"/>
        </w:rPr>
        <w:t>Schwabe RF</w:t>
      </w:r>
      <w:r w:rsidRPr="00F54EA8">
        <w:rPr>
          <w:rFonts w:ascii="Book Antiqua" w:eastAsia="SimSun" w:hAnsi="Book Antiqua" w:cs="Times New Roman"/>
          <w:kern w:val="2"/>
          <w:sz w:val="24"/>
          <w:szCs w:val="24"/>
          <w:lang w:val="en-US" w:eastAsia="zh-CN"/>
        </w:rPr>
        <w:t xml:space="preserve">, Jobin C. The microbiome and cancer. </w:t>
      </w:r>
      <w:r w:rsidRPr="00F54EA8">
        <w:rPr>
          <w:rFonts w:ascii="Book Antiqua" w:eastAsia="SimSun" w:hAnsi="Book Antiqua" w:cs="Times New Roman"/>
          <w:i/>
          <w:kern w:val="2"/>
          <w:sz w:val="24"/>
          <w:szCs w:val="24"/>
          <w:lang w:val="en-US" w:eastAsia="zh-CN"/>
        </w:rPr>
        <w:t>Nat Rev Cancer</w:t>
      </w:r>
      <w:r w:rsidRPr="00F54EA8">
        <w:rPr>
          <w:rFonts w:ascii="Book Antiqua" w:eastAsia="SimSun" w:hAnsi="Book Antiqua" w:cs="Times New Roman"/>
          <w:kern w:val="2"/>
          <w:sz w:val="24"/>
          <w:szCs w:val="24"/>
          <w:lang w:val="en-US" w:eastAsia="zh-CN"/>
        </w:rPr>
        <w:t xml:space="preserve"> 2013; </w:t>
      </w:r>
      <w:r w:rsidRPr="00F54EA8">
        <w:rPr>
          <w:rFonts w:ascii="Book Antiqua" w:eastAsia="SimSun" w:hAnsi="Book Antiqua" w:cs="Times New Roman"/>
          <w:b/>
          <w:kern w:val="2"/>
          <w:sz w:val="24"/>
          <w:szCs w:val="24"/>
          <w:lang w:val="en-US" w:eastAsia="zh-CN"/>
        </w:rPr>
        <w:t>13</w:t>
      </w:r>
      <w:r w:rsidRPr="00F54EA8">
        <w:rPr>
          <w:rFonts w:ascii="Book Antiqua" w:eastAsia="SimSun" w:hAnsi="Book Antiqua" w:cs="Times New Roman"/>
          <w:kern w:val="2"/>
          <w:sz w:val="24"/>
          <w:szCs w:val="24"/>
          <w:lang w:val="en-US" w:eastAsia="zh-CN"/>
        </w:rPr>
        <w:t>: 800-812 [PMID: 24132111 DOI: 10.1038/nrc3610]</w:t>
      </w:r>
    </w:p>
    <w:p w14:paraId="0FAB31EA"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8 </w:t>
      </w:r>
      <w:proofErr w:type="gramStart"/>
      <w:r w:rsidRPr="00F54EA8">
        <w:rPr>
          <w:rFonts w:ascii="Book Antiqua" w:eastAsia="SimSun" w:hAnsi="Book Antiqua" w:cs="Times New Roman"/>
          <w:b/>
          <w:kern w:val="2"/>
          <w:sz w:val="24"/>
          <w:szCs w:val="24"/>
          <w:lang w:val="en-US" w:eastAsia="zh-CN"/>
        </w:rPr>
        <w:t>Gao</w:t>
      </w:r>
      <w:proofErr w:type="gramEnd"/>
      <w:r w:rsidRPr="00F54EA8">
        <w:rPr>
          <w:rFonts w:ascii="Book Antiqua" w:eastAsia="SimSun" w:hAnsi="Book Antiqua" w:cs="Times New Roman"/>
          <w:b/>
          <w:kern w:val="2"/>
          <w:sz w:val="24"/>
          <w:szCs w:val="24"/>
          <w:lang w:val="en-US" w:eastAsia="zh-CN"/>
        </w:rPr>
        <w:t xml:space="preserve"> R</w:t>
      </w:r>
      <w:r w:rsidRPr="00F54EA8">
        <w:rPr>
          <w:rFonts w:ascii="Book Antiqua" w:eastAsia="SimSun" w:hAnsi="Book Antiqua" w:cs="Times New Roman"/>
          <w:kern w:val="2"/>
          <w:sz w:val="24"/>
          <w:szCs w:val="24"/>
          <w:lang w:val="en-US" w:eastAsia="zh-CN"/>
        </w:rPr>
        <w:t xml:space="preserve">, Gao Z, Huang L, Qin H. Gut microbiota and colorectal cancer. </w:t>
      </w:r>
      <w:r w:rsidRPr="00F54EA8">
        <w:rPr>
          <w:rFonts w:ascii="Book Antiqua" w:eastAsia="SimSun" w:hAnsi="Book Antiqua" w:cs="Times New Roman"/>
          <w:i/>
          <w:kern w:val="2"/>
          <w:sz w:val="24"/>
          <w:szCs w:val="24"/>
          <w:lang w:val="en-US" w:eastAsia="zh-CN"/>
        </w:rPr>
        <w:t>Eur J Clin Microbiol Infect Dis</w:t>
      </w:r>
      <w:r w:rsidRPr="00F54EA8">
        <w:rPr>
          <w:rFonts w:ascii="Book Antiqua" w:eastAsia="SimSun" w:hAnsi="Book Antiqua" w:cs="Times New Roman"/>
          <w:kern w:val="2"/>
          <w:sz w:val="24"/>
          <w:szCs w:val="24"/>
          <w:lang w:val="en-US" w:eastAsia="zh-CN"/>
        </w:rPr>
        <w:t xml:space="preserve"> 2017; </w:t>
      </w:r>
      <w:r w:rsidRPr="00F54EA8">
        <w:rPr>
          <w:rFonts w:ascii="Book Antiqua" w:eastAsia="SimSun" w:hAnsi="Book Antiqua" w:cs="Times New Roman"/>
          <w:b/>
          <w:kern w:val="2"/>
          <w:sz w:val="24"/>
          <w:szCs w:val="24"/>
          <w:lang w:val="en-US" w:eastAsia="zh-CN"/>
        </w:rPr>
        <w:t>36</w:t>
      </w:r>
      <w:r w:rsidRPr="00F54EA8">
        <w:rPr>
          <w:rFonts w:ascii="Book Antiqua" w:eastAsia="SimSun" w:hAnsi="Book Antiqua" w:cs="Times New Roman"/>
          <w:kern w:val="2"/>
          <w:sz w:val="24"/>
          <w:szCs w:val="24"/>
          <w:lang w:val="en-US" w:eastAsia="zh-CN"/>
        </w:rPr>
        <w:t>: 757-769 [PMID: 28063002 DOI: 10.1007/s10096-016-2881-8]</w:t>
      </w:r>
    </w:p>
    <w:p w14:paraId="35A68592"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9 </w:t>
      </w:r>
      <w:r w:rsidRPr="00F54EA8">
        <w:rPr>
          <w:rFonts w:ascii="Book Antiqua" w:eastAsia="SimSun" w:hAnsi="Book Antiqua" w:cs="Times New Roman"/>
          <w:b/>
          <w:kern w:val="2"/>
          <w:sz w:val="24"/>
          <w:szCs w:val="24"/>
          <w:lang w:val="en-US" w:eastAsia="zh-CN"/>
        </w:rPr>
        <w:t>Yu YN</w:t>
      </w:r>
      <w:r w:rsidRPr="00F54EA8">
        <w:rPr>
          <w:rFonts w:ascii="Book Antiqua" w:eastAsia="SimSun" w:hAnsi="Book Antiqua" w:cs="Times New Roman"/>
          <w:kern w:val="2"/>
          <w:sz w:val="24"/>
          <w:szCs w:val="24"/>
          <w:lang w:val="en-US" w:eastAsia="zh-CN"/>
        </w:rPr>
        <w:t xml:space="preserve">, Fang JY. Gut Microbiota and Colorectal Cancer. </w:t>
      </w:r>
      <w:r w:rsidRPr="00F54EA8">
        <w:rPr>
          <w:rFonts w:ascii="Book Antiqua" w:eastAsia="SimSun" w:hAnsi="Book Antiqua" w:cs="Times New Roman"/>
          <w:i/>
          <w:kern w:val="2"/>
          <w:sz w:val="24"/>
          <w:szCs w:val="24"/>
          <w:lang w:val="en-US" w:eastAsia="zh-CN"/>
        </w:rPr>
        <w:t>Gastrointest Tumors</w:t>
      </w:r>
      <w:r w:rsidRPr="00F54EA8">
        <w:rPr>
          <w:rFonts w:ascii="Book Antiqua" w:eastAsia="SimSun" w:hAnsi="Book Antiqua" w:cs="Times New Roman"/>
          <w:kern w:val="2"/>
          <w:sz w:val="24"/>
          <w:szCs w:val="24"/>
          <w:lang w:val="en-US" w:eastAsia="zh-CN"/>
        </w:rPr>
        <w:t xml:space="preserve"> 2015; </w:t>
      </w:r>
      <w:r w:rsidRPr="00F54EA8">
        <w:rPr>
          <w:rFonts w:ascii="Book Antiqua" w:eastAsia="SimSun" w:hAnsi="Book Antiqua" w:cs="Times New Roman"/>
          <w:b/>
          <w:kern w:val="2"/>
          <w:sz w:val="24"/>
          <w:szCs w:val="24"/>
          <w:lang w:val="en-US" w:eastAsia="zh-CN"/>
        </w:rPr>
        <w:t>2</w:t>
      </w:r>
      <w:r w:rsidRPr="00F54EA8">
        <w:rPr>
          <w:rFonts w:ascii="Book Antiqua" w:eastAsia="SimSun" w:hAnsi="Book Antiqua" w:cs="Times New Roman"/>
          <w:kern w:val="2"/>
          <w:sz w:val="24"/>
          <w:szCs w:val="24"/>
          <w:lang w:val="en-US" w:eastAsia="zh-CN"/>
        </w:rPr>
        <w:t>: 26-32 [PMID: 26674881 DOI: 10.1159/000380892]</w:t>
      </w:r>
    </w:p>
    <w:p w14:paraId="505F0848"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10 </w:t>
      </w:r>
      <w:r w:rsidRPr="00F54EA8">
        <w:rPr>
          <w:rFonts w:ascii="Book Antiqua" w:eastAsia="SimSun" w:hAnsi="Book Antiqua" w:cs="Times New Roman"/>
          <w:b/>
          <w:kern w:val="2"/>
          <w:sz w:val="24"/>
          <w:szCs w:val="24"/>
          <w:lang w:val="en-US" w:eastAsia="zh-CN"/>
        </w:rPr>
        <w:t>Gagnière J</w:t>
      </w:r>
      <w:r w:rsidRPr="00F54EA8">
        <w:rPr>
          <w:rFonts w:ascii="Book Antiqua" w:eastAsia="SimSun" w:hAnsi="Book Antiqua" w:cs="Times New Roman"/>
          <w:kern w:val="2"/>
          <w:sz w:val="24"/>
          <w:szCs w:val="24"/>
          <w:lang w:val="en-US" w:eastAsia="zh-CN"/>
        </w:rPr>
        <w:t xml:space="preserve">, Raisch J, Veziant J, Barnich N, Bonnet R, Buc E, Bringer MA, Pezet D, Bonnet M. Gut microbiota imbalance and colorectal cancer. </w:t>
      </w:r>
      <w:r w:rsidRPr="00F54EA8">
        <w:rPr>
          <w:rFonts w:ascii="Book Antiqua" w:eastAsia="SimSun" w:hAnsi="Book Antiqua" w:cs="Times New Roman"/>
          <w:i/>
          <w:kern w:val="2"/>
          <w:sz w:val="24"/>
          <w:szCs w:val="24"/>
          <w:lang w:val="en-US" w:eastAsia="zh-CN"/>
        </w:rPr>
        <w:t>World J Gastroenterol</w:t>
      </w:r>
      <w:r w:rsidRPr="00F54EA8">
        <w:rPr>
          <w:rFonts w:ascii="Book Antiqua" w:eastAsia="SimSun" w:hAnsi="Book Antiqua" w:cs="Times New Roman"/>
          <w:kern w:val="2"/>
          <w:sz w:val="24"/>
          <w:szCs w:val="24"/>
          <w:lang w:val="en-US" w:eastAsia="zh-CN"/>
        </w:rPr>
        <w:t xml:space="preserve"> 2016; </w:t>
      </w:r>
      <w:r w:rsidRPr="00F54EA8">
        <w:rPr>
          <w:rFonts w:ascii="Book Antiqua" w:eastAsia="SimSun" w:hAnsi="Book Antiqua" w:cs="Times New Roman"/>
          <w:b/>
          <w:kern w:val="2"/>
          <w:sz w:val="24"/>
          <w:szCs w:val="24"/>
          <w:lang w:val="en-US" w:eastAsia="zh-CN"/>
        </w:rPr>
        <w:t>22</w:t>
      </w:r>
      <w:r w:rsidRPr="00F54EA8">
        <w:rPr>
          <w:rFonts w:ascii="Book Antiqua" w:eastAsia="SimSun" w:hAnsi="Book Antiqua" w:cs="Times New Roman"/>
          <w:kern w:val="2"/>
          <w:sz w:val="24"/>
          <w:szCs w:val="24"/>
          <w:lang w:val="en-US" w:eastAsia="zh-CN"/>
        </w:rPr>
        <w:t>: 501-518 [PMID: 26811603 DOI: 10.3748/wjg.v22.i2.501]</w:t>
      </w:r>
    </w:p>
    <w:p w14:paraId="68CD8E9E"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11 </w:t>
      </w:r>
      <w:r w:rsidRPr="00F54EA8">
        <w:rPr>
          <w:rFonts w:ascii="Book Antiqua" w:eastAsia="SimSun" w:hAnsi="Book Antiqua" w:cs="Times New Roman"/>
          <w:b/>
          <w:kern w:val="2"/>
          <w:sz w:val="24"/>
          <w:szCs w:val="24"/>
          <w:lang w:val="en-US" w:eastAsia="zh-CN"/>
        </w:rPr>
        <w:t>Hajishengallis G</w:t>
      </w:r>
      <w:r w:rsidRPr="00F54EA8">
        <w:rPr>
          <w:rFonts w:ascii="Book Antiqua" w:eastAsia="SimSun" w:hAnsi="Book Antiqua" w:cs="Times New Roman"/>
          <w:kern w:val="2"/>
          <w:sz w:val="24"/>
          <w:szCs w:val="24"/>
          <w:lang w:val="en-US" w:eastAsia="zh-CN"/>
        </w:rPr>
        <w:t xml:space="preserve">, Darveau RP, Curtis MA. The keystone-pathogen hypothesis. </w:t>
      </w:r>
      <w:r w:rsidRPr="00F54EA8">
        <w:rPr>
          <w:rFonts w:ascii="Book Antiqua" w:eastAsia="SimSun" w:hAnsi="Book Antiqua" w:cs="Times New Roman"/>
          <w:i/>
          <w:kern w:val="2"/>
          <w:sz w:val="24"/>
          <w:szCs w:val="24"/>
          <w:lang w:val="en-US" w:eastAsia="zh-CN"/>
        </w:rPr>
        <w:t>Nat Rev Microbiol</w:t>
      </w:r>
      <w:r w:rsidRPr="00F54EA8">
        <w:rPr>
          <w:rFonts w:ascii="Book Antiqua" w:eastAsia="SimSun" w:hAnsi="Book Antiqua" w:cs="Times New Roman"/>
          <w:kern w:val="2"/>
          <w:sz w:val="24"/>
          <w:szCs w:val="24"/>
          <w:lang w:val="en-US" w:eastAsia="zh-CN"/>
        </w:rPr>
        <w:t xml:space="preserve"> 2012; </w:t>
      </w:r>
      <w:r w:rsidRPr="00F54EA8">
        <w:rPr>
          <w:rFonts w:ascii="Book Antiqua" w:eastAsia="SimSun" w:hAnsi="Book Antiqua" w:cs="Times New Roman"/>
          <w:b/>
          <w:kern w:val="2"/>
          <w:sz w:val="24"/>
          <w:szCs w:val="24"/>
          <w:lang w:val="en-US" w:eastAsia="zh-CN"/>
        </w:rPr>
        <w:t>10</w:t>
      </w:r>
      <w:r w:rsidRPr="00F54EA8">
        <w:rPr>
          <w:rFonts w:ascii="Book Antiqua" w:eastAsia="SimSun" w:hAnsi="Book Antiqua" w:cs="Times New Roman"/>
          <w:kern w:val="2"/>
          <w:sz w:val="24"/>
          <w:szCs w:val="24"/>
          <w:lang w:val="en-US" w:eastAsia="zh-CN"/>
        </w:rPr>
        <w:t>: 717-725 [PMID: 22941505 DOI: 10.1038/nrmicro2873]</w:t>
      </w:r>
    </w:p>
    <w:p w14:paraId="30E522C9"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12 </w:t>
      </w:r>
      <w:r w:rsidRPr="00F54EA8">
        <w:rPr>
          <w:rFonts w:ascii="Book Antiqua" w:eastAsia="SimSun" w:hAnsi="Book Antiqua" w:cs="Times New Roman"/>
          <w:b/>
          <w:kern w:val="2"/>
          <w:sz w:val="24"/>
          <w:szCs w:val="24"/>
          <w:lang w:val="en-US" w:eastAsia="zh-CN"/>
        </w:rPr>
        <w:t>Zhang J</w:t>
      </w:r>
      <w:r w:rsidRPr="00F54EA8">
        <w:rPr>
          <w:rFonts w:ascii="Book Antiqua" w:eastAsia="SimSun" w:hAnsi="Book Antiqua" w:cs="Times New Roman"/>
          <w:kern w:val="2"/>
          <w:sz w:val="24"/>
          <w:szCs w:val="24"/>
          <w:lang w:val="en-US" w:eastAsia="zh-CN"/>
        </w:rPr>
        <w:t xml:space="preserve">, Cheng Z, Ma Y, He C, Lu Y, Zhao Y, Chang X, Zhang Y, Bai Y, Cheng N. Effectiveness of Screening Modalities in Colorectal Cancer: A Network Meta-Analysis. </w:t>
      </w:r>
      <w:r w:rsidRPr="00F54EA8">
        <w:rPr>
          <w:rFonts w:ascii="Book Antiqua" w:eastAsia="SimSun" w:hAnsi="Book Antiqua" w:cs="Times New Roman"/>
          <w:i/>
          <w:kern w:val="2"/>
          <w:sz w:val="24"/>
          <w:szCs w:val="24"/>
          <w:lang w:val="en-US" w:eastAsia="zh-CN"/>
        </w:rPr>
        <w:t>Clin Colorectal Cancer</w:t>
      </w:r>
      <w:r w:rsidRPr="00F54EA8">
        <w:rPr>
          <w:rFonts w:ascii="Book Antiqua" w:eastAsia="SimSun" w:hAnsi="Book Antiqua" w:cs="Times New Roman"/>
          <w:kern w:val="2"/>
          <w:sz w:val="24"/>
          <w:szCs w:val="24"/>
          <w:lang w:val="en-US" w:eastAsia="zh-CN"/>
        </w:rPr>
        <w:t xml:space="preserve"> 2017; </w:t>
      </w:r>
      <w:r w:rsidRPr="00F54EA8">
        <w:rPr>
          <w:rFonts w:ascii="Book Antiqua" w:eastAsia="SimSun" w:hAnsi="Book Antiqua" w:cs="Times New Roman"/>
          <w:b/>
          <w:kern w:val="2"/>
          <w:sz w:val="24"/>
          <w:szCs w:val="24"/>
          <w:lang w:val="en-US" w:eastAsia="zh-CN"/>
        </w:rPr>
        <w:t>16</w:t>
      </w:r>
      <w:r w:rsidRPr="00F54EA8">
        <w:rPr>
          <w:rFonts w:ascii="Book Antiqua" w:eastAsia="SimSun" w:hAnsi="Book Antiqua" w:cs="Times New Roman"/>
          <w:kern w:val="2"/>
          <w:sz w:val="24"/>
          <w:szCs w:val="24"/>
          <w:lang w:val="en-US" w:eastAsia="zh-CN"/>
        </w:rPr>
        <w:t xml:space="preserve">: 252-263 [PMID: 28687458 DOI: </w:t>
      </w:r>
      <w:r w:rsidRPr="00F54EA8">
        <w:rPr>
          <w:rFonts w:ascii="Book Antiqua" w:eastAsia="SimSun" w:hAnsi="Book Antiqua" w:cs="Times New Roman"/>
          <w:kern w:val="2"/>
          <w:sz w:val="24"/>
          <w:szCs w:val="24"/>
          <w:lang w:val="en-US" w:eastAsia="zh-CN"/>
        </w:rPr>
        <w:lastRenderedPageBreak/>
        <w:t>10.1016/j.clcc.2017.03.018]</w:t>
      </w:r>
    </w:p>
    <w:p w14:paraId="61743543"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13 </w:t>
      </w:r>
      <w:r w:rsidRPr="00F54EA8">
        <w:rPr>
          <w:rFonts w:ascii="Book Antiqua" w:eastAsia="SimSun" w:hAnsi="Book Antiqua" w:cs="Times New Roman"/>
          <w:b/>
          <w:kern w:val="2"/>
          <w:sz w:val="24"/>
          <w:szCs w:val="24"/>
          <w:lang w:val="en-US" w:eastAsia="zh-CN"/>
        </w:rPr>
        <w:t>Bevan R</w:t>
      </w:r>
      <w:r w:rsidRPr="00F54EA8">
        <w:rPr>
          <w:rFonts w:ascii="Book Antiqua" w:eastAsia="SimSun" w:hAnsi="Book Antiqua" w:cs="Times New Roman"/>
          <w:kern w:val="2"/>
          <w:sz w:val="24"/>
          <w:szCs w:val="24"/>
          <w:lang w:val="en-US" w:eastAsia="zh-CN"/>
        </w:rPr>
        <w:t xml:space="preserve">, Rutter MD. Colorectal Cancer Screening-Who, How, and When? </w:t>
      </w:r>
      <w:r w:rsidRPr="00F54EA8">
        <w:rPr>
          <w:rFonts w:ascii="Book Antiqua" w:eastAsia="SimSun" w:hAnsi="Book Antiqua" w:cs="Times New Roman"/>
          <w:i/>
          <w:kern w:val="2"/>
          <w:sz w:val="24"/>
          <w:szCs w:val="24"/>
          <w:lang w:val="en-US" w:eastAsia="zh-CN"/>
        </w:rPr>
        <w:t>Clin Endosc</w:t>
      </w:r>
      <w:r w:rsidRPr="00F54EA8">
        <w:rPr>
          <w:rFonts w:ascii="Book Antiqua" w:eastAsia="SimSun" w:hAnsi="Book Antiqua" w:cs="Times New Roman"/>
          <w:kern w:val="2"/>
          <w:sz w:val="24"/>
          <w:szCs w:val="24"/>
          <w:lang w:val="en-US" w:eastAsia="zh-CN"/>
        </w:rPr>
        <w:t xml:space="preserve"> 2018; </w:t>
      </w:r>
      <w:r w:rsidRPr="00F54EA8">
        <w:rPr>
          <w:rFonts w:ascii="Book Antiqua" w:eastAsia="SimSun" w:hAnsi="Book Antiqua" w:cs="Times New Roman"/>
          <w:b/>
          <w:kern w:val="2"/>
          <w:sz w:val="24"/>
          <w:szCs w:val="24"/>
          <w:lang w:val="en-US" w:eastAsia="zh-CN"/>
        </w:rPr>
        <w:t>51</w:t>
      </w:r>
      <w:r w:rsidRPr="00F54EA8">
        <w:rPr>
          <w:rFonts w:ascii="Book Antiqua" w:eastAsia="SimSun" w:hAnsi="Book Antiqua" w:cs="Times New Roman"/>
          <w:kern w:val="2"/>
          <w:sz w:val="24"/>
          <w:szCs w:val="24"/>
          <w:lang w:val="en-US" w:eastAsia="zh-CN"/>
        </w:rPr>
        <w:t>: 37-49 [PMID: 29397655 DOI: 10.5946/ce.2017.141]</w:t>
      </w:r>
    </w:p>
    <w:p w14:paraId="422C26AD"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14 </w:t>
      </w:r>
      <w:r w:rsidRPr="00F54EA8">
        <w:rPr>
          <w:rFonts w:ascii="Book Antiqua" w:eastAsia="SimSun" w:hAnsi="Book Antiqua" w:cs="Times New Roman"/>
          <w:b/>
          <w:kern w:val="2"/>
          <w:sz w:val="24"/>
          <w:szCs w:val="24"/>
          <w:lang w:val="en-US" w:eastAsia="zh-CN"/>
        </w:rPr>
        <w:t>Bray C</w:t>
      </w:r>
      <w:r w:rsidRPr="00F54EA8">
        <w:rPr>
          <w:rFonts w:ascii="Book Antiqua" w:eastAsia="SimSun" w:hAnsi="Book Antiqua" w:cs="Times New Roman"/>
          <w:kern w:val="2"/>
          <w:sz w:val="24"/>
          <w:szCs w:val="24"/>
          <w:lang w:val="en-US" w:eastAsia="zh-CN"/>
        </w:rPr>
        <w:t xml:space="preserve">, Bell LN, Liang H, Collins D, Yale SH. Colorectal Cancer Screening. </w:t>
      </w:r>
      <w:r w:rsidRPr="00F54EA8">
        <w:rPr>
          <w:rFonts w:ascii="Book Antiqua" w:eastAsia="SimSun" w:hAnsi="Book Antiqua" w:cs="Times New Roman"/>
          <w:i/>
          <w:kern w:val="2"/>
          <w:sz w:val="24"/>
          <w:szCs w:val="24"/>
          <w:lang w:val="en-US" w:eastAsia="zh-CN"/>
        </w:rPr>
        <w:t>WMJ</w:t>
      </w:r>
      <w:r w:rsidRPr="00F54EA8">
        <w:rPr>
          <w:rFonts w:ascii="Book Antiqua" w:eastAsia="SimSun" w:hAnsi="Book Antiqua" w:cs="Times New Roman"/>
          <w:kern w:val="2"/>
          <w:sz w:val="24"/>
          <w:szCs w:val="24"/>
          <w:lang w:val="en-US" w:eastAsia="zh-CN"/>
        </w:rPr>
        <w:t xml:space="preserve"> 2017; </w:t>
      </w:r>
      <w:r w:rsidRPr="00F54EA8">
        <w:rPr>
          <w:rFonts w:ascii="Book Antiqua" w:eastAsia="SimSun" w:hAnsi="Book Antiqua" w:cs="Times New Roman"/>
          <w:b/>
          <w:kern w:val="2"/>
          <w:sz w:val="24"/>
          <w:szCs w:val="24"/>
          <w:lang w:val="en-US" w:eastAsia="zh-CN"/>
        </w:rPr>
        <w:t>116</w:t>
      </w:r>
      <w:r w:rsidRPr="00F54EA8">
        <w:rPr>
          <w:rFonts w:ascii="Book Antiqua" w:eastAsia="SimSun" w:hAnsi="Book Antiqua" w:cs="Times New Roman"/>
          <w:kern w:val="2"/>
          <w:sz w:val="24"/>
          <w:szCs w:val="24"/>
          <w:lang w:val="en-US" w:eastAsia="zh-CN"/>
        </w:rPr>
        <w:t>: 27-33 [PMID: 29099566]</w:t>
      </w:r>
    </w:p>
    <w:p w14:paraId="32D4A4CC"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15 </w:t>
      </w:r>
      <w:r w:rsidRPr="00F54EA8">
        <w:rPr>
          <w:rFonts w:ascii="Book Antiqua" w:eastAsia="SimSun" w:hAnsi="Book Antiqua" w:cs="Times New Roman"/>
          <w:b/>
          <w:kern w:val="2"/>
          <w:sz w:val="24"/>
          <w:szCs w:val="24"/>
          <w:lang w:val="en-US" w:eastAsia="zh-CN"/>
        </w:rPr>
        <w:t>Hadjipetrou A</w:t>
      </w:r>
      <w:r w:rsidRPr="00F54EA8">
        <w:rPr>
          <w:rFonts w:ascii="Book Antiqua" w:eastAsia="SimSun" w:hAnsi="Book Antiqua" w:cs="Times New Roman"/>
          <w:kern w:val="2"/>
          <w:sz w:val="24"/>
          <w:szCs w:val="24"/>
          <w:lang w:val="en-US" w:eastAsia="zh-CN"/>
        </w:rPr>
        <w:t xml:space="preserve">, Anyfantakis D, Galanakis CG, Kastanakis M, Kastanakis S. Colorectal cancer, screening and primary care: A mini literature review. </w:t>
      </w:r>
      <w:r w:rsidRPr="00F54EA8">
        <w:rPr>
          <w:rFonts w:ascii="Book Antiqua" w:eastAsia="SimSun" w:hAnsi="Book Antiqua" w:cs="Times New Roman"/>
          <w:i/>
          <w:kern w:val="2"/>
          <w:sz w:val="24"/>
          <w:szCs w:val="24"/>
          <w:lang w:val="en-US" w:eastAsia="zh-CN"/>
        </w:rPr>
        <w:t>World J Gastroenterol</w:t>
      </w:r>
      <w:r w:rsidRPr="00F54EA8">
        <w:rPr>
          <w:rFonts w:ascii="Book Antiqua" w:eastAsia="SimSun" w:hAnsi="Book Antiqua" w:cs="Times New Roman"/>
          <w:kern w:val="2"/>
          <w:sz w:val="24"/>
          <w:szCs w:val="24"/>
          <w:lang w:val="en-US" w:eastAsia="zh-CN"/>
        </w:rPr>
        <w:t xml:space="preserve"> 2017; </w:t>
      </w:r>
      <w:r w:rsidRPr="00F54EA8">
        <w:rPr>
          <w:rFonts w:ascii="Book Antiqua" w:eastAsia="SimSun" w:hAnsi="Book Antiqua" w:cs="Times New Roman"/>
          <w:b/>
          <w:kern w:val="2"/>
          <w:sz w:val="24"/>
          <w:szCs w:val="24"/>
          <w:lang w:val="en-US" w:eastAsia="zh-CN"/>
        </w:rPr>
        <w:t>23</w:t>
      </w:r>
      <w:r w:rsidRPr="00F54EA8">
        <w:rPr>
          <w:rFonts w:ascii="Book Antiqua" w:eastAsia="SimSun" w:hAnsi="Book Antiqua" w:cs="Times New Roman"/>
          <w:kern w:val="2"/>
          <w:sz w:val="24"/>
          <w:szCs w:val="24"/>
          <w:lang w:val="en-US" w:eastAsia="zh-CN"/>
        </w:rPr>
        <w:t>: 6049-6058 [PMID: 28970720 DOI: 10.3748/wjg.v23.i33.6049]</w:t>
      </w:r>
    </w:p>
    <w:p w14:paraId="22C2F9CE"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16 </w:t>
      </w:r>
      <w:r w:rsidRPr="00F54EA8">
        <w:rPr>
          <w:rFonts w:ascii="Book Antiqua" w:eastAsia="SimSun" w:hAnsi="Book Antiqua" w:cs="Times New Roman"/>
          <w:b/>
          <w:kern w:val="2"/>
          <w:sz w:val="24"/>
          <w:szCs w:val="24"/>
          <w:lang w:val="en-US" w:eastAsia="zh-CN"/>
        </w:rPr>
        <w:t>Hamzehzadeh L</w:t>
      </w:r>
      <w:r w:rsidRPr="00F54EA8">
        <w:rPr>
          <w:rFonts w:ascii="Book Antiqua" w:eastAsia="SimSun" w:hAnsi="Book Antiqua" w:cs="Times New Roman"/>
          <w:kern w:val="2"/>
          <w:sz w:val="24"/>
          <w:szCs w:val="24"/>
          <w:lang w:val="en-US" w:eastAsia="zh-CN"/>
        </w:rPr>
        <w:t xml:space="preserve">, Yousefi M, Ghaffari SH. Colorectal Cancer Screening: A Comprehensive Review to Recent Non-Invasive Methods. </w:t>
      </w:r>
      <w:r w:rsidRPr="00F54EA8">
        <w:rPr>
          <w:rFonts w:ascii="Book Antiqua" w:eastAsia="SimSun" w:hAnsi="Book Antiqua" w:cs="Times New Roman"/>
          <w:i/>
          <w:kern w:val="2"/>
          <w:sz w:val="24"/>
          <w:szCs w:val="24"/>
          <w:lang w:val="en-US" w:eastAsia="zh-CN"/>
        </w:rPr>
        <w:t>Int J Hematol Oncol Stem Cell Res</w:t>
      </w:r>
      <w:r w:rsidRPr="00F54EA8">
        <w:rPr>
          <w:rFonts w:ascii="Book Antiqua" w:eastAsia="SimSun" w:hAnsi="Book Antiqua" w:cs="Times New Roman"/>
          <w:kern w:val="2"/>
          <w:sz w:val="24"/>
          <w:szCs w:val="24"/>
          <w:lang w:val="en-US" w:eastAsia="zh-CN"/>
        </w:rPr>
        <w:t xml:space="preserve"> 2017; </w:t>
      </w:r>
      <w:r w:rsidRPr="00F54EA8">
        <w:rPr>
          <w:rFonts w:ascii="Book Antiqua" w:eastAsia="SimSun" w:hAnsi="Book Antiqua" w:cs="Times New Roman"/>
          <w:b/>
          <w:kern w:val="2"/>
          <w:sz w:val="24"/>
          <w:szCs w:val="24"/>
          <w:lang w:val="en-US" w:eastAsia="zh-CN"/>
        </w:rPr>
        <w:t>11</w:t>
      </w:r>
      <w:r w:rsidRPr="00F54EA8">
        <w:rPr>
          <w:rFonts w:ascii="Book Antiqua" w:eastAsia="SimSun" w:hAnsi="Book Antiqua" w:cs="Times New Roman"/>
          <w:kern w:val="2"/>
          <w:sz w:val="24"/>
          <w:szCs w:val="24"/>
          <w:lang w:val="en-US" w:eastAsia="zh-CN"/>
        </w:rPr>
        <w:t>: 250-261 [PMID: 28989593]</w:t>
      </w:r>
    </w:p>
    <w:p w14:paraId="2CF6298E"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17 </w:t>
      </w:r>
      <w:r w:rsidRPr="00F54EA8">
        <w:rPr>
          <w:rFonts w:ascii="Book Antiqua" w:eastAsia="SimSun" w:hAnsi="Book Antiqua" w:cs="Times New Roman"/>
          <w:b/>
          <w:kern w:val="2"/>
          <w:sz w:val="24"/>
          <w:szCs w:val="24"/>
          <w:lang w:val="en-US" w:eastAsia="zh-CN"/>
        </w:rPr>
        <w:t>Issa IA</w:t>
      </w:r>
      <w:r w:rsidRPr="00F54EA8">
        <w:rPr>
          <w:rFonts w:ascii="Book Antiqua" w:eastAsia="SimSun" w:hAnsi="Book Antiqua" w:cs="Times New Roman"/>
          <w:kern w:val="2"/>
          <w:sz w:val="24"/>
          <w:szCs w:val="24"/>
          <w:lang w:val="en-US" w:eastAsia="zh-CN"/>
        </w:rPr>
        <w:t xml:space="preserve">, Noureddine M. Colorectal cancer screening: An updated review of the available options. </w:t>
      </w:r>
      <w:r w:rsidRPr="00F54EA8">
        <w:rPr>
          <w:rFonts w:ascii="Book Antiqua" w:eastAsia="SimSun" w:hAnsi="Book Antiqua" w:cs="Times New Roman"/>
          <w:i/>
          <w:kern w:val="2"/>
          <w:sz w:val="24"/>
          <w:szCs w:val="24"/>
          <w:lang w:val="en-US" w:eastAsia="zh-CN"/>
        </w:rPr>
        <w:t>World J Gastroenterol</w:t>
      </w:r>
      <w:r w:rsidRPr="00F54EA8">
        <w:rPr>
          <w:rFonts w:ascii="Book Antiqua" w:eastAsia="SimSun" w:hAnsi="Book Antiqua" w:cs="Times New Roman"/>
          <w:kern w:val="2"/>
          <w:sz w:val="24"/>
          <w:szCs w:val="24"/>
          <w:lang w:val="en-US" w:eastAsia="zh-CN"/>
        </w:rPr>
        <w:t xml:space="preserve"> 2017; </w:t>
      </w:r>
      <w:r w:rsidRPr="00F54EA8">
        <w:rPr>
          <w:rFonts w:ascii="Book Antiqua" w:eastAsia="SimSun" w:hAnsi="Book Antiqua" w:cs="Times New Roman"/>
          <w:b/>
          <w:kern w:val="2"/>
          <w:sz w:val="24"/>
          <w:szCs w:val="24"/>
          <w:lang w:val="en-US" w:eastAsia="zh-CN"/>
        </w:rPr>
        <w:t>23</w:t>
      </w:r>
      <w:r w:rsidRPr="00F54EA8">
        <w:rPr>
          <w:rFonts w:ascii="Book Antiqua" w:eastAsia="SimSun" w:hAnsi="Book Antiqua" w:cs="Times New Roman"/>
          <w:kern w:val="2"/>
          <w:sz w:val="24"/>
          <w:szCs w:val="24"/>
          <w:lang w:val="en-US" w:eastAsia="zh-CN"/>
        </w:rPr>
        <w:t>: 5086-5096 [PMID: 28811705 DOI: 10.3748/wjg.v23.i28.5086]</w:t>
      </w:r>
    </w:p>
    <w:p w14:paraId="7AA4FEA1"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18 </w:t>
      </w:r>
      <w:r w:rsidRPr="00F54EA8">
        <w:rPr>
          <w:rFonts w:ascii="Book Antiqua" w:eastAsia="SimSun" w:hAnsi="Book Antiqua" w:cs="Times New Roman"/>
          <w:b/>
          <w:kern w:val="2"/>
          <w:sz w:val="24"/>
          <w:szCs w:val="24"/>
          <w:lang w:val="en-US" w:eastAsia="zh-CN"/>
        </w:rPr>
        <w:t>Maida M</w:t>
      </w:r>
      <w:r w:rsidRPr="00F54EA8">
        <w:rPr>
          <w:rFonts w:ascii="Book Antiqua" w:eastAsia="SimSun" w:hAnsi="Book Antiqua" w:cs="Times New Roman"/>
          <w:kern w:val="2"/>
          <w:sz w:val="24"/>
          <w:szCs w:val="24"/>
          <w:lang w:val="en-US" w:eastAsia="zh-CN"/>
        </w:rPr>
        <w:t xml:space="preserve">, Macaluso FS, Ianiro G, Mangiola F, Sinagra E, Hold G, Maida C, Cammarota G, Gasbarrini A, Scarpulla G. Screening of colorectal cancer: present and future. </w:t>
      </w:r>
      <w:r w:rsidRPr="00F54EA8">
        <w:rPr>
          <w:rFonts w:ascii="Book Antiqua" w:eastAsia="SimSun" w:hAnsi="Book Antiqua" w:cs="Times New Roman"/>
          <w:i/>
          <w:kern w:val="2"/>
          <w:sz w:val="24"/>
          <w:szCs w:val="24"/>
          <w:lang w:val="en-US" w:eastAsia="zh-CN"/>
        </w:rPr>
        <w:t>Expert Rev Anticancer Ther</w:t>
      </w:r>
      <w:r w:rsidRPr="00F54EA8">
        <w:rPr>
          <w:rFonts w:ascii="Book Antiqua" w:eastAsia="SimSun" w:hAnsi="Book Antiqua" w:cs="Times New Roman"/>
          <w:kern w:val="2"/>
          <w:sz w:val="24"/>
          <w:szCs w:val="24"/>
          <w:lang w:val="en-US" w:eastAsia="zh-CN"/>
        </w:rPr>
        <w:t xml:space="preserve"> 2017; </w:t>
      </w:r>
      <w:r w:rsidRPr="00F54EA8">
        <w:rPr>
          <w:rFonts w:ascii="Book Antiqua" w:eastAsia="SimSun" w:hAnsi="Book Antiqua" w:cs="Times New Roman"/>
          <w:b/>
          <w:kern w:val="2"/>
          <w:sz w:val="24"/>
          <w:szCs w:val="24"/>
          <w:lang w:val="en-US" w:eastAsia="zh-CN"/>
        </w:rPr>
        <w:t>17</w:t>
      </w:r>
      <w:r w:rsidRPr="00F54EA8">
        <w:rPr>
          <w:rFonts w:ascii="Book Antiqua" w:eastAsia="SimSun" w:hAnsi="Book Antiqua" w:cs="Times New Roman"/>
          <w:kern w:val="2"/>
          <w:sz w:val="24"/>
          <w:szCs w:val="24"/>
          <w:lang w:val="en-US" w:eastAsia="zh-CN"/>
        </w:rPr>
        <w:t>: 1131-1146 [PMID: 29022408 DOI: 10.1080/14737140.2017.1392243]</w:t>
      </w:r>
    </w:p>
    <w:p w14:paraId="26C962B9"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19 </w:t>
      </w:r>
      <w:r w:rsidRPr="00F54EA8">
        <w:rPr>
          <w:rFonts w:ascii="Book Antiqua" w:eastAsia="SimSun" w:hAnsi="Book Antiqua" w:cs="Times New Roman"/>
          <w:b/>
          <w:kern w:val="2"/>
          <w:sz w:val="24"/>
          <w:szCs w:val="24"/>
          <w:lang w:val="en-US" w:eastAsia="zh-CN"/>
        </w:rPr>
        <w:t>Leuraud K</w:t>
      </w:r>
      <w:r w:rsidRPr="00F54EA8">
        <w:rPr>
          <w:rFonts w:ascii="Book Antiqua" w:eastAsia="SimSun" w:hAnsi="Book Antiqua" w:cs="Times New Roman"/>
          <w:kern w:val="2"/>
          <w:sz w:val="24"/>
          <w:szCs w:val="24"/>
          <w:lang w:val="en-US" w:eastAsia="zh-CN"/>
        </w:rPr>
        <w:t xml:space="preserve">, Jezewski-Serra D, Viguier J, Salines E. Colorectal cancer screening by guaiac faecal occult blood test in France: Evaluation of the programme two years after launching. </w:t>
      </w:r>
      <w:r w:rsidRPr="00F54EA8">
        <w:rPr>
          <w:rFonts w:ascii="Book Antiqua" w:eastAsia="SimSun" w:hAnsi="Book Antiqua" w:cs="Times New Roman"/>
          <w:i/>
          <w:kern w:val="2"/>
          <w:sz w:val="24"/>
          <w:szCs w:val="24"/>
          <w:lang w:val="en-US" w:eastAsia="zh-CN"/>
        </w:rPr>
        <w:t>Cancer Epidemiol</w:t>
      </w:r>
      <w:r w:rsidRPr="00F54EA8">
        <w:rPr>
          <w:rFonts w:ascii="Book Antiqua" w:eastAsia="SimSun" w:hAnsi="Book Antiqua" w:cs="Times New Roman"/>
          <w:kern w:val="2"/>
          <w:sz w:val="24"/>
          <w:szCs w:val="24"/>
          <w:lang w:val="en-US" w:eastAsia="zh-CN"/>
        </w:rPr>
        <w:t xml:space="preserve"> 2013; </w:t>
      </w:r>
      <w:r w:rsidRPr="00F54EA8">
        <w:rPr>
          <w:rFonts w:ascii="Book Antiqua" w:eastAsia="SimSun" w:hAnsi="Book Antiqua" w:cs="Times New Roman"/>
          <w:b/>
          <w:kern w:val="2"/>
          <w:sz w:val="24"/>
          <w:szCs w:val="24"/>
          <w:lang w:val="en-US" w:eastAsia="zh-CN"/>
        </w:rPr>
        <w:t>37</w:t>
      </w:r>
      <w:r w:rsidRPr="00F54EA8">
        <w:rPr>
          <w:rFonts w:ascii="Book Antiqua" w:eastAsia="SimSun" w:hAnsi="Book Antiqua" w:cs="Times New Roman"/>
          <w:kern w:val="2"/>
          <w:sz w:val="24"/>
          <w:szCs w:val="24"/>
          <w:lang w:val="en-US" w:eastAsia="zh-CN"/>
        </w:rPr>
        <w:t>: 959-967 [PMID: 24035240 DOI: 10.1016/j.canep.2013.07.008]</w:t>
      </w:r>
    </w:p>
    <w:p w14:paraId="16DD0CD4"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20 </w:t>
      </w:r>
      <w:r w:rsidRPr="00F54EA8">
        <w:rPr>
          <w:rFonts w:ascii="Book Antiqua" w:eastAsia="SimSun" w:hAnsi="Book Antiqua" w:cs="Times New Roman"/>
          <w:b/>
          <w:kern w:val="2"/>
          <w:sz w:val="24"/>
          <w:szCs w:val="24"/>
          <w:lang w:val="en-US" w:eastAsia="zh-CN"/>
        </w:rPr>
        <w:t>Rutter MD</w:t>
      </w:r>
      <w:r w:rsidRPr="00F54EA8">
        <w:rPr>
          <w:rFonts w:ascii="Book Antiqua" w:eastAsia="SimSun" w:hAnsi="Book Antiqua" w:cs="Times New Roman"/>
          <w:kern w:val="2"/>
          <w:sz w:val="24"/>
          <w:szCs w:val="24"/>
          <w:lang w:val="en-US" w:eastAsia="zh-CN"/>
        </w:rPr>
        <w:t xml:space="preserve">, Nickerson C, Rees CJ, Patnick J, Blanks RG. Risk factors for adverse events related to polypectomy in the English Bowel Cancer Screening Programme. </w:t>
      </w:r>
      <w:r w:rsidRPr="00F54EA8">
        <w:rPr>
          <w:rFonts w:ascii="Book Antiqua" w:eastAsia="SimSun" w:hAnsi="Book Antiqua" w:cs="Times New Roman"/>
          <w:i/>
          <w:kern w:val="2"/>
          <w:sz w:val="24"/>
          <w:szCs w:val="24"/>
          <w:lang w:val="en-US" w:eastAsia="zh-CN"/>
        </w:rPr>
        <w:t>Endoscopy</w:t>
      </w:r>
      <w:r w:rsidRPr="00F54EA8">
        <w:rPr>
          <w:rFonts w:ascii="Book Antiqua" w:eastAsia="SimSun" w:hAnsi="Book Antiqua" w:cs="Times New Roman"/>
          <w:kern w:val="2"/>
          <w:sz w:val="24"/>
          <w:szCs w:val="24"/>
          <w:lang w:val="en-US" w:eastAsia="zh-CN"/>
        </w:rPr>
        <w:t xml:space="preserve"> 2014; </w:t>
      </w:r>
      <w:r w:rsidRPr="00F54EA8">
        <w:rPr>
          <w:rFonts w:ascii="Book Antiqua" w:eastAsia="SimSun" w:hAnsi="Book Antiqua" w:cs="Times New Roman"/>
          <w:b/>
          <w:kern w:val="2"/>
          <w:sz w:val="24"/>
          <w:szCs w:val="24"/>
          <w:lang w:val="en-US" w:eastAsia="zh-CN"/>
        </w:rPr>
        <w:t>46</w:t>
      </w:r>
      <w:r w:rsidRPr="00F54EA8">
        <w:rPr>
          <w:rFonts w:ascii="Book Antiqua" w:eastAsia="SimSun" w:hAnsi="Book Antiqua" w:cs="Times New Roman"/>
          <w:kern w:val="2"/>
          <w:sz w:val="24"/>
          <w:szCs w:val="24"/>
          <w:lang w:val="en-US" w:eastAsia="zh-CN"/>
        </w:rPr>
        <w:t>: 90-97 [PMID: 24477363 DOI: 10.1055/s-0033-1344987]</w:t>
      </w:r>
    </w:p>
    <w:p w14:paraId="3941EEA4"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21 </w:t>
      </w:r>
      <w:r w:rsidRPr="00F54EA8">
        <w:rPr>
          <w:rFonts w:ascii="Book Antiqua" w:eastAsia="SimSun" w:hAnsi="Book Antiqua" w:cs="Times New Roman"/>
          <w:b/>
          <w:kern w:val="2"/>
          <w:sz w:val="24"/>
          <w:szCs w:val="24"/>
          <w:lang w:val="en-US" w:eastAsia="zh-CN"/>
        </w:rPr>
        <w:t>Rex DK</w:t>
      </w:r>
      <w:r w:rsidRPr="00F54EA8">
        <w:rPr>
          <w:rFonts w:ascii="Book Antiqua" w:eastAsia="SimSun" w:hAnsi="Book Antiqua" w:cs="Times New Roman"/>
          <w:kern w:val="2"/>
          <w:sz w:val="24"/>
          <w:szCs w:val="24"/>
          <w:lang w:val="en-US" w:eastAsia="zh-CN"/>
        </w:rPr>
        <w:t xml:space="preserve">, Johnson DA, Anderson JC, Schoenfeld PS, Burke CA, Inadomi JM; American College of Gastroenterology. American College of Gastroenterology guidelines for colorectal cancer screening 2009 [corrected]. </w:t>
      </w:r>
      <w:r w:rsidRPr="00F54EA8">
        <w:rPr>
          <w:rFonts w:ascii="Book Antiqua" w:eastAsia="SimSun" w:hAnsi="Book Antiqua" w:cs="Times New Roman"/>
          <w:i/>
          <w:kern w:val="2"/>
          <w:sz w:val="24"/>
          <w:szCs w:val="24"/>
          <w:lang w:val="en-US" w:eastAsia="zh-CN"/>
        </w:rPr>
        <w:t>Am J Gastroenterol</w:t>
      </w:r>
      <w:r w:rsidRPr="00F54EA8">
        <w:rPr>
          <w:rFonts w:ascii="Book Antiqua" w:eastAsia="SimSun" w:hAnsi="Book Antiqua" w:cs="Times New Roman"/>
          <w:kern w:val="2"/>
          <w:sz w:val="24"/>
          <w:szCs w:val="24"/>
          <w:lang w:val="en-US" w:eastAsia="zh-CN"/>
        </w:rPr>
        <w:t xml:space="preserve"> 2009; </w:t>
      </w:r>
      <w:r w:rsidRPr="00F54EA8">
        <w:rPr>
          <w:rFonts w:ascii="Book Antiqua" w:eastAsia="SimSun" w:hAnsi="Book Antiqua" w:cs="Times New Roman"/>
          <w:b/>
          <w:kern w:val="2"/>
          <w:sz w:val="24"/>
          <w:szCs w:val="24"/>
          <w:lang w:val="en-US" w:eastAsia="zh-CN"/>
        </w:rPr>
        <w:t>104</w:t>
      </w:r>
      <w:r w:rsidRPr="00F54EA8">
        <w:rPr>
          <w:rFonts w:ascii="Book Antiqua" w:eastAsia="SimSun" w:hAnsi="Book Antiqua" w:cs="Times New Roman"/>
          <w:kern w:val="2"/>
          <w:sz w:val="24"/>
          <w:szCs w:val="24"/>
          <w:lang w:val="en-US" w:eastAsia="zh-CN"/>
        </w:rPr>
        <w:t>: 739-750 [PMID: 19240699 DOI: 10.1038/ajg.2009.104]</w:t>
      </w:r>
    </w:p>
    <w:p w14:paraId="316CEA50"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22 </w:t>
      </w:r>
      <w:r w:rsidRPr="00F54EA8">
        <w:rPr>
          <w:rFonts w:ascii="Book Antiqua" w:eastAsia="SimSun" w:hAnsi="Book Antiqua" w:cs="Times New Roman"/>
          <w:b/>
          <w:kern w:val="2"/>
          <w:sz w:val="24"/>
          <w:szCs w:val="24"/>
          <w:lang w:val="en-US" w:eastAsia="zh-CN"/>
        </w:rPr>
        <w:t>Pox CP</w:t>
      </w:r>
      <w:r w:rsidRPr="00F54EA8">
        <w:rPr>
          <w:rFonts w:ascii="Book Antiqua" w:eastAsia="SimSun" w:hAnsi="Book Antiqua" w:cs="Times New Roman"/>
          <w:kern w:val="2"/>
          <w:sz w:val="24"/>
          <w:szCs w:val="24"/>
          <w:lang w:val="en-US" w:eastAsia="zh-CN"/>
        </w:rPr>
        <w:t xml:space="preserve">. Controversies in colorectal cancer screening. </w:t>
      </w:r>
      <w:r w:rsidRPr="00F54EA8">
        <w:rPr>
          <w:rFonts w:ascii="Book Antiqua" w:eastAsia="SimSun" w:hAnsi="Book Antiqua" w:cs="Times New Roman"/>
          <w:i/>
          <w:kern w:val="2"/>
          <w:sz w:val="24"/>
          <w:szCs w:val="24"/>
          <w:lang w:val="en-US" w:eastAsia="zh-CN"/>
        </w:rPr>
        <w:t>Digestion</w:t>
      </w:r>
      <w:r w:rsidRPr="00F54EA8">
        <w:rPr>
          <w:rFonts w:ascii="Book Antiqua" w:eastAsia="SimSun" w:hAnsi="Book Antiqua" w:cs="Times New Roman"/>
          <w:kern w:val="2"/>
          <w:sz w:val="24"/>
          <w:szCs w:val="24"/>
          <w:lang w:val="en-US" w:eastAsia="zh-CN"/>
        </w:rPr>
        <w:t xml:space="preserve"> 2014; </w:t>
      </w:r>
      <w:r w:rsidRPr="00F54EA8">
        <w:rPr>
          <w:rFonts w:ascii="Book Antiqua" w:eastAsia="SimSun" w:hAnsi="Book Antiqua" w:cs="Times New Roman"/>
          <w:b/>
          <w:kern w:val="2"/>
          <w:sz w:val="24"/>
          <w:szCs w:val="24"/>
          <w:lang w:val="en-US" w:eastAsia="zh-CN"/>
        </w:rPr>
        <w:t>89</w:t>
      </w:r>
      <w:r w:rsidRPr="00F54EA8">
        <w:rPr>
          <w:rFonts w:ascii="Book Antiqua" w:eastAsia="SimSun" w:hAnsi="Book Antiqua" w:cs="Times New Roman"/>
          <w:kern w:val="2"/>
          <w:sz w:val="24"/>
          <w:szCs w:val="24"/>
          <w:lang w:val="en-US" w:eastAsia="zh-CN"/>
        </w:rPr>
        <w:t>: 274-281 [PMID: 25034478 DOI: 10.1159/000363287]</w:t>
      </w:r>
    </w:p>
    <w:p w14:paraId="3A65C5A5"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lastRenderedPageBreak/>
        <w:t xml:space="preserve">23 </w:t>
      </w:r>
      <w:r w:rsidRPr="00F54EA8">
        <w:rPr>
          <w:rFonts w:ascii="Book Antiqua" w:eastAsia="SimSun" w:hAnsi="Book Antiqua" w:cs="Times New Roman"/>
          <w:b/>
          <w:kern w:val="2"/>
          <w:sz w:val="24"/>
          <w:szCs w:val="24"/>
          <w:lang w:val="en-US" w:eastAsia="zh-CN"/>
        </w:rPr>
        <w:t>Sali L</w:t>
      </w:r>
      <w:r w:rsidRPr="00F54EA8">
        <w:rPr>
          <w:rFonts w:ascii="Book Antiqua" w:eastAsia="SimSun" w:hAnsi="Book Antiqua" w:cs="Times New Roman"/>
          <w:kern w:val="2"/>
          <w:sz w:val="24"/>
          <w:szCs w:val="24"/>
          <w:lang w:val="en-US" w:eastAsia="zh-CN"/>
        </w:rPr>
        <w:t xml:space="preserve">, Mascalchi M, Falchini M, Ventura L, Carozzi F, Castiglione G, Delsanto S, Mallardi B, Mantellini P, Milani S, Zappa M, Grazzini G; SAVE study investigators. Reduced and Full-Preparation CT Colonography, Fecal Immunochemical Test, and Colonoscopy for Population Screening of Colorectal Cancer: A Randomized Trial. </w:t>
      </w:r>
      <w:r w:rsidRPr="00F54EA8">
        <w:rPr>
          <w:rFonts w:ascii="Book Antiqua" w:eastAsia="SimSun" w:hAnsi="Book Antiqua" w:cs="Times New Roman"/>
          <w:i/>
          <w:kern w:val="2"/>
          <w:sz w:val="24"/>
          <w:szCs w:val="24"/>
          <w:lang w:val="en-US" w:eastAsia="zh-CN"/>
        </w:rPr>
        <w:t>J Natl Cancer Inst</w:t>
      </w:r>
      <w:r w:rsidRPr="00F54EA8">
        <w:rPr>
          <w:rFonts w:ascii="Book Antiqua" w:eastAsia="SimSun" w:hAnsi="Book Antiqua" w:cs="Times New Roman"/>
          <w:kern w:val="2"/>
          <w:sz w:val="24"/>
          <w:szCs w:val="24"/>
          <w:lang w:val="en-US" w:eastAsia="zh-CN"/>
        </w:rPr>
        <w:t xml:space="preserve"> 2015; </w:t>
      </w:r>
      <w:r w:rsidRPr="00F54EA8">
        <w:rPr>
          <w:rFonts w:ascii="Book Antiqua" w:eastAsia="SimSun" w:hAnsi="Book Antiqua" w:cs="Times New Roman"/>
          <w:b/>
          <w:kern w:val="2"/>
          <w:sz w:val="24"/>
          <w:szCs w:val="24"/>
          <w:lang w:val="en-US" w:eastAsia="zh-CN"/>
        </w:rPr>
        <w:t>108</w:t>
      </w:r>
      <w:r w:rsidRPr="00F54EA8">
        <w:rPr>
          <w:rFonts w:ascii="Book Antiqua" w:eastAsia="SimSun" w:hAnsi="Book Antiqua" w:cs="Times New Roman"/>
          <w:kern w:val="2"/>
          <w:sz w:val="24"/>
          <w:szCs w:val="24"/>
          <w:lang w:val="en-US" w:eastAsia="zh-CN"/>
        </w:rPr>
        <w:t>:  [PMID: 26719225 DOI: 10.1093/jnci/djv319]</w:t>
      </w:r>
    </w:p>
    <w:p w14:paraId="6D5C28D3"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24 </w:t>
      </w:r>
      <w:r w:rsidRPr="00F54EA8">
        <w:rPr>
          <w:rFonts w:ascii="Book Antiqua" w:eastAsia="SimSun" w:hAnsi="Book Antiqua" w:cs="Times New Roman"/>
          <w:b/>
          <w:kern w:val="2"/>
          <w:sz w:val="24"/>
          <w:szCs w:val="24"/>
          <w:lang w:val="en-US" w:eastAsia="zh-CN"/>
        </w:rPr>
        <w:t>Pooler BD</w:t>
      </w:r>
      <w:r w:rsidRPr="00F54EA8">
        <w:rPr>
          <w:rFonts w:ascii="Book Antiqua" w:eastAsia="SimSun" w:hAnsi="Book Antiqua" w:cs="Times New Roman"/>
          <w:kern w:val="2"/>
          <w:sz w:val="24"/>
          <w:szCs w:val="24"/>
          <w:lang w:val="en-US" w:eastAsia="zh-CN"/>
        </w:rPr>
        <w:t xml:space="preserve">, Kim DH, Pickhardt PJ. Indeterminate but Likely Unimportant Extracolonic Findings at Screening CT Colonography (C-RADS Category E3): Incidence and Outcomes Data </w:t>
      </w:r>
      <w:proofErr w:type="gramStart"/>
      <w:r w:rsidRPr="00F54EA8">
        <w:rPr>
          <w:rFonts w:ascii="Book Antiqua" w:eastAsia="SimSun" w:hAnsi="Book Antiqua" w:cs="Times New Roman"/>
          <w:kern w:val="2"/>
          <w:sz w:val="24"/>
          <w:szCs w:val="24"/>
          <w:lang w:val="en-US" w:eastAsia="zh-CN"/>
        </w:rPr>
        <w:t>From</w:t>
      </w:r>
      <w:proofErr w:type="gramEnd"/>
      <w:r w:rsidRPr="00F54EA8">
        <w:rPr>
          <w:rFonts w:ascii="Book Antiqua" w:eastAsia="SimSun" w:hAnsi="Book Antiqua" w:cs="Times New Roman"/>
          <w:kern w:val="2"/>
          <w:sz w:val="24"/>
          <w:szCs w:val="24"/>
          <w:lang w:val="en-US" w:eastAsia="zh-CN"/>
        </w:rPr>
        <w:t xml:space="preserve"> a Clinical Screening Program. </w:t>
      </w:r>
      <w:r w:rsidRPr="00F54EA8">
        <w:rPr>
          <w:rFonts w:ascii="Book Antiqua" w:eastAsia="SimSun" w:hAnsi="Book Antiqua" w:cs="Times New Roman"/>
          <w:i/>
          <w:kern w:val="2"/>
          <w:sz w:val="24"/>
          <w:szCs w:val="24"/>
          <w:lang w:val="en-US" w:eastAsia="zh-CN"/>
        </w:rPr>
        <w:t>AJR Am J Roentgenol</w:t>
      </w:r>
      <w:r w:rsidRPr="00F54EA8">
        <w:rPr>
          <w:rFonts w:ascii="Book Antiqua" w:eastAsia="SimSun" w:hAnsi="Book Antiqua" w:cs="Times New Roman"/>
          <w:kern w:val="2"/>
          <w:sz w:val="24"/>
          <w:szCs w:val="24"/>
          <w:lang w:val="en-US" w:eastAsia="zh-CN"/>
        </w:rPr>
        <w:t xml:space="preserve"> 2016; </w:t>
      </w:r>
      <w:r w:rsidRPr="00F54EA8">
        <w:rPr>
          <w:rFonts w:ascii="Book Antiqua" w:eastAsia="SimSun" w:hAnsi="Book Antiqua" w:cs="Times New Roman"/>
          <w:b/>
          <w:kern w:val="2"/>
          <w:sz w:val="24"/>
          <w:szCs w:val="24"/>
          <w:lang w:val="en-US" w:eastAsia="zh-CN"/>
        </w:rPr>
        <w:t>207</w:t>
      </w:r>
      <w:r w:rsidRPr="00F54EA8">
        <w:rPr>
          <w:rFonts w:ascii="Book Antiqua" w:eastAsia="SimSun" w:hAnsi="Book Antiqua" w:cs="Times New Roman"/>
          <w:kern w:val="2"/>
          <w:sz w:val="24"/>
          <w:szCs w:val="24"/>
          <w:lang w:val="en-US" w:eastAsia="zh-CN"/>
        </w:rPr>
        <w:t>: 996-1001 [PMID: 27505184 DOI: 10.2214/AJR.16.16275]</w:t>
      </w:r>
    </w:p>
    <w:p w14:paraId="03971759"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25 </w:t>
      </w:r>
      <w:r w:rsidRPr="00F54EA8">
        <w:rPr>
          <w:rFonts w:ascii="Book Antiqua" w:eastAsia="SimSun" w:hAnsi="Book Antiqua" w:cs="Times New Roman"/>
          <w:b/>
          <w:kern w:val="2"/>
          <w:sz w:val="24"/>
          <w:szCs w:val="24"/>
          <w:lang w:val="en-US" w:eastAsia="zh-CN"/>
        </w:rPr>
        <w:t>Brenner H</w:t>
      </w:r>
      <w:r w:rsidRPr="00F54EA8">
        <w:rPr>
          <w:rFonts w:ascii="Book Antiqua" w:eastAsia="SimSun" w:hAnsi="Book Antiqua" w:cs="Times New Roman"/>
          <w:kern w:val="2"/>
          <w:sz w:val="24"/>
          <w:szCs w:val="24"/>
          <w:lang w:val="en-US" w:eastAsia="zh-CN"/>
        </w:rPr>
        <w:t xml:space="preserve">, Stock C, Hoffmeister M. Effect of screening sigmoidoscopy and screening colonoscopy on colorectal cancer incidence and mortality: systematic review and meta-analysis of randomised controlled trials and observational studies. </w:t>
      </w:r>
      <w:r w:rsidRPr="00F54EA8">
        <w:rPr>
          <w:rFonts w:ascii="Book Antiqua" w:eastAsia="SimSun" w:hAnsi="Book Antiqua" w:cs="Times New Roman"/>
          <w:i/>
          <w:kern w:val="2"/>
          <w:sz w:val="24"/>
          <w:szCs w:val="24"/>
          <w:lang w:val="en-US" w:eastAsia="zh-CN"/>
        </w:rPr>
        <w:t>BMJ</w:t>
      </w:r>
      <w:r w:rsidRPr="00F54EA8">
        <w:rPr>
          <w:rFonts w:ascii="Book Antiqua" w:eastAsia="SimSun" w:hAnsi="Book Antiqua" w:cs="Times New Roman"/>
          <w:kern w:val="2"/>
          <w:sz w:val="24"/>
          <w:szCs w:val="24"/>
          <w:lang w:val="en-US" w:eastAsia="zh-CN"/>
        </w:rPr>
        <w:t xml:space="preserve"> 2014; </w:t>
      </w:r>
      <w:r w:rsidRPr="00F54EA8">
        <w:rPr>
          <w:rFonts w:ascii="Book Antiqua" w:eastAsia="SimSun" w:hAnsi="Book Antiqua" w:cs="Times New Roman"/>
          <w:b/>
          <w:kern w:val="2"/>
          <w:sz w:val="24"/>
          <w:szCs w:val="24"/>
          <w:lang w:val="en-US" w:eastAsia="zh-CN"/>
        </w:rPr>
        <w:t>348</w:t>
      </w:r>
      <w:r w:rsidRPr="00F54EA8">
        <w:rPr>
          <w:rFonts w:ascii="Book Antiqua" w:eastAsia="SimSun" w:hAnsi="Book Antiqua" w:cs="Times New Roman"/>
          <w:kern w:val="2"/>
          <w:sz w:val="24"/>
          <w:szCs w:val="24"/>
          <w:lang w:val="en-US" w:eastAsia="zh-CN"/>
        </w:rPr>
        <w:t>: g2467 [PMID: 24922745]</w:t>
      </w:r>
    </w:p>
    <w:p w14:paraId="56676C00"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26 </w:t>
      </w:r>
      <w:r w:rsidRPr="00F54EA8">
        <w:rPr>
          <w:rFonts w:ascii="Book Antiqua" w:eastAsia="SimSun" w:hAnsi="Book Antiqua" w:cs="Times New Roman"/>
          <w:b/>
          <w:kern w:val="2"/>
          <w:sz w:val="24"/>
          <w:szCs w:val="24"/>
          <w:lang w:val="en-US" w:eastAsia="zh-CN"/>
        </w:rPr>
        <w:t>Vleugels JL</w:t>
      </w:r>
      <w:r w:rsidRPr="00F54EA8">
        <w:rPr>
          <w:rFonts w:ascii="Book Antiqua" w:eastAsia="SimSun" w:hAnsi="Book Antiqua" w:cs="Times New Roman"/>
          <w:kern w:val="2"/>
          <w:sz w:val="24"/>
          <w:szCs w:val="24"/>
          <w:lang w:val="en-US" w:eastAsia="zh-CN"/>
        </w:rPr>
        <w:t xml:space="preserve">, van Lanschot MC, Dekker E. Colorectal cancer screening by colonoscopy: putting it into perspective. </w:t>
      </w:r>
      <w:r w:rsidRPr="00F54EA8">
        <w:rPr>
          <w:rFonts w:ascii="Book Antiqua" w:eastAsia="SimSun" w:hAnsi="Book Antiqua" w:cs="Times New Roman"/>
          <w:i/>
          <w:kern w:val="2"/>
          <w:sz w:val="24"/>
          <w:szCs w:val="24"/>
          <w:lang w:val="en-US" w:eastAsia="zh-CN"/>
        </w:rPr>
        <w:t>Dig Endosc</w:t>
      </w:r>
      <w:r w:rsidRPr="00F54EA8">
        <w:rPr>
          <w:rFonts w:ascii="Book Antiqua" w:eastAsia="SimSun" w:hAnsi="Book Antiqua" w:cs="Times New Roman"/>
          <w:kern w:val="2"/>
          <w:sz w:val="24"/>
          <w:szCs w:val="24"/>
          <w:lang w:val="en-US" w:eastAsia="zh-CN"/>
        </w:rPr>
        <w:t xml:space="preserve"> 2016; </w:t>
      </w:r>
      <w:r w:rsidRPr="00F54EA8">
        <w:rPr>
          <w:rFonts w:ascii="Book Antiqua" w:eastAsia="SimSun" w:hAnsi="Book Antiqua" w:cs="Times New Roman"/>
          <w:b/>
          <w:kern w:val="2"/>
          <w:sz w:val="24"/>
          <w:szCs w:val="24"/>
          <w:lang w:val="en-US" w:eastAsia="zh-CN"/>
        </w:rPr>
        <w:t>28</w:t>
      </w:r>
      <w:r w:rsidRPr="00F54EA8">
        <w:rPr>
          <w:rFonts w:ascii="Book Antiqua" w:eastAsia="SimSun" w:hAnsi="Book Antiqua" w:cs="Times New Roman"/>
          <w:kern w:val="2"/>
          <w:sz w:val="24"/>
          <w:szCs w:val="24"/>
          <w:lang w:val="en-US" w:eastAsia="zh-CN"/>
        </w:rPr>
        <w:t>: 250-259 [PMID: 26257272 DOI: 10.1111/den.12533]</w:t>
      </w:r>
    </w:p>
    <w:p w14:paraId="58A71E74"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27 </w:t>
      </w:r>
      <w:r w:rsidRPr="00F54EA8">
        <w:rPr>
          <w:rFonts w:ascii="Book Antiqua" w:eastAsia="SimSun" w:hAnsi="Book Antiqua" w:cs="Times New Roman"/>
          <w:b/>
          <w:kern w:val="2"/>
          <w:sz w:val="24"/>
          <w:szCs w:val="24"/>
          <w:lang w:val="en-US" w:eastAsia="zh-CN"/>
        </w:rPr>
        <w:t>Mandel JS</w:t>
      </w:r>
      <w:r w:rsidRPr="00F54EA8">
        <w:rPr>
          <w:rFonts w:ascii="Book Antiqua" w:eastAsia="SimSun" w:hAnsi="Book Antiqua" w:cs="Times New Roman"/>
          <w:kern w:val="2"/>
          <w:sz w:val="24"/>
          <w:szCs w:val="24"/>
          <w:lang w:val="en-US" w:eastAsia="zh-CN"/>
        </w:rPr>
        <w:t xml:space="preserve">, Bond JH, Church TR, Snover DC, Bradley GM, Schuman LM, Ederer F. Reducing mortality from colorectal cancer by screening for fecal occult blood. Minnesota Colon Cancer Control Study. </w:t>
      </w:r>
      <w:r w:rsidRPr="00F54EA8">
        <w:rPr>
          <w:rFonts w:ascii="Book Antiqua" w:eastAsia="SimSun" w:hAnsi="Book Antiqua" w:cs="Times New Roman"/>
          <w:i/>
          <w:kern w:val="2"/>
          <w:sz w:val="24"/>
          <w:szCs w:val="24"/>
          <w:lang w:val="en-US" w:eastAsia="zh-CN"/>
        </w:rPr>
        <w:t>N Engl J Med</w:t>
      </w:r>
      <w:r w:rsidRPr="00F54EA8">
        <w:rPr>
          <w:rFonts w:ascii="Book Antiqua" w:eastAsia="SimSun" w:hAnsi="Book Antiqua" w:cs="Times New Roman"/>
          <w:kern w:val="2"/>
          <w:sz w:val="24"/>
          <w:szCs w:val="24"/>
          <w:lang w:val="en-US" w:eastAsia="zh-CN"/>
        </w:rPr>
        <w:t xml:space="preserve"> 1993; </w:t>
      </w:r>
      <w:r w:rsidRPr="00F54EA8">
        <w:rPr>
          <w:rFonts w:ascii="Book Antiqua" w:eastAsia="SimSun" w:hAnsi="Book Antiqua" w:cs="Times New Roman"/>
          <w:b/>
          <w:kern w:val="2"/>
          <w:sz w:val="24"/>
          <w:szCs w:val="24"/>
          <w:lang w:val="en-US" w:eastAsia="zh-CN"/>
        </w:rPr>
        <w:t>328</w:t>
      </w:r>
      <w:r w:rsidRPr="00F54EA8">
        <w:rPr>
          <w:rFonts w:ascii="Book Antiqua" w:eastAsia="SimSun" w:hAnsi="Book Antiqua" w:cs="Times New Roman"/>
          <w:kern w:val="2"/>
          <w:sz w:val="24"/>
          <w:szCs w:val="24"/>
          <w:lang w:val="en-US" w:eastAsia="zh-CN"/>
        </w:rPr>
        <w:t>: 1365-1371 [PMID: 8474513 DOI: 10.1056/NEJM199305133281901]</w:t>
      </w:r>
    </w:p>
    <w:p w14:paraId="1E483BE8"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28 </w:t>
      </w:r>
      <w:r w:rsidRPr="00F54EA8">
        <w:rPr>
          <w:rFonts w:ascii="Book Antiqua" w:eastAsia="SimSun" w:hAnsi="Book Antiqua" w:cs="Times New Roman"/>
          <w:b/>
          <w:kern w:val="2"/>
          <w:sz w:val="24"/>
          <w:szCs w:val="24"/>
          <w:lang w:val="en-US" w:eastAsia="zh-CN"/>
        </w:rPr>
        <w:t>Shaukat A</w:t>
      </w:r>
      <w:r w:rsidRPr="00F54EA8">
        <w:rPr>
          <w:rFonts w:ascii="Book Antiqua" w:eastAsia="SimSun" w:hAnsi="Book Antiqua" w:cs="Times New Roman"/>
          <w:kern w:val="2"/>
          <w:sz w:val="24"/>
          <w:szCs w:val="24"/>
          <w:lang w:val="en-US" w:eastAsia="zh-CN"/>
        </w:rPr>
        <w:t xml:space="preserve">, Mongin SJ, Geisser MS, Lederle FA, Bond JH, Mandel JS, Church TR. Long-term mortality after screening for colorectal cancer. </w:t>
      </w:r>
      <w:r w:rsidRPr="00F54EA8">
        <w:rPr>
          <w:rFonts w:ascii="Book Antiqua" w:eastAsia="SimSun" w:hAnsi="Book Antiqua" w:cs="Times New Roman"/>
          <w:i/>
          <w:kern w:val="2"/>
          <w:sz w:val="24"/>
          <w:szCs w:val="24"/>
          <w:lang w:val="en-US" w:eastAsia="zh-CN"/>
        </w:rPr>
        <w:t>N Engl J Med</w:t>
      </w:r>
      <w:r w:rsidRPr="00F54EA8">
        <w:rPr>
          <w:rFonts w:ascii="Book Antiqua" w:eastAsia="SimSun" w:hAnsi="Book Antiqua" w:cs="Times New Roman"/>
          <w:kern w:val="2"/>
          <w:sz w:val="24"/>
          <w:szCs w:val="24"/>
          <w:lang w:val="en-US" w:eastAsia="zh-CN"/>
        </w:rPr>
        <w:t xml:space="preserve"> 2013; </w:t>
      </w:r>
      <w:r w:rsidRPr="00F54EA8">
        <w:rPr>
          <w:rFonts w:ascii="Book Antiqua" w:eastAsia="SimSun" w:hAnsi="Book Antiqua" w:cs="Times New Roman"/>
          <w:b/>
          <w:kern w:val="2"/>
          <w:sz w:val="24"/>
          <w:szCs w:val="24"/>
          <w:lang w:val="en-US" w:eastAsia="zh-CN"/>
        </w:rPr>
        <w:t>369</w:t>
      </w:r>
      <w:r w:rsidRPr="00F54EA8">
        <w:rPr>
          <w:rFonts w:ascii="Book Antiqua" w:eastAsia="SimSun" w:hAnsi="Book Antiqua" w:cs="Times New Roman"/>
          <w:kern w:val="2"/>
          <w:sz w:val="24"/>
          <w:szCs w:val="24"/>
          <w:lang w:val="en-US" w:eastAsia="zh-CN"/>
        </w:rPr>
        <w:t>: 1106-1114 [PMID: 24047060 DOI: 10.1056/NEJMoa1300720]</w:t>
      </w:r>
    </w:p>
    <w:p w14:paraId="542EFF1C"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29 </w:t>
      </w:r>
      <w:r w:rsidRPr="00F54EA8">
        <w:rPr>
          <w:rFonts w:ascii="Book Antiqua" w:eastAsia="SimSun" w:hAnsi="Book Antiqua" w:cs="Times New Roman"/>
          <w:b/>
          <w:kern w:val="2"/>
          <w:sz w:val="24"/>
          <w:szCs w:val="24"/>
          <w:lang w:val="en-US" w:eastAsia="zh-CN"/>
        </w:rPr>
        <w:t>Holme Ø</w:t>
      </w:r>
      <w:r w:rsidRPr="00F54EA8">
        <w:rPr>
          <w:rFonts w:ascii="Book Antiqua" w:eastAsia="SimSun" w:hAnsi="Book Antiqua" w:cs="Times New Roman"/>
          <w:kern w:val="2"/>
          <w:sz w:val="24"/>
          <w:szCs w:val="24"/>
          <w:lang w:val="en-US" w:eastAsia="zh-CN"/>
        </w:rPr>
        <w:t xml:space="preserve">, Bretthauer M, Fretheim A, Odgaard-Jensen J, Hoff G. Flexible sigmoidoscopy versus faecal occult blood testing for colorectal cancer screening in asymptomatic individuals. </w:t>
      </w:r>
      <w:r w:rsidRPr="00F54EA8">
        <w:rPr>
          <w:rFonts w:ascii="Book Antiqua" w:eastAsia="SimSun" w:hAnsi="Book Antiqua" w:cs="Times New Roman"/>
          <w:i/>
          <w:kern w:val="2"/>
          <w:sz w:val="24"/>
          <w:szCs w:val="24"/>
          <w:lang w:val="en-US" w:eastAsia="zh-CN"/>
        </w:rPr>
        <w:t>Cochrane Database Syst Rev</w:t>
      </w:r>
      <w:r w:rsidRPr="00F54EA8">
        <w:rPr>
          <w:rFonts w:ascii="Book Antiqua" w:eastAsia="SimSun" w:hAnsi="Book Antiqua" w:cs="Times New Roman"/>
          <w:kern w:val="2"/>
          <w:sz w:val="24"/>
          <w:szCs w:val="24"/>
          <w:lang w:val="en-US" w:eastAsia="zh-CN"/>
        </w:rPr>
        <w:t xml:space="preserve"> 2013</w:t>
      </w:r>
      <w:proofErr w:type="gramStart"/>
      <w:r w:rsidRPr="00F54EA8">
        <w:rPr>
          <w:rFonts w:ascii="Book Antiqua" w:eastAsia="SimSun" w:hAnsi="Book Antiqua" w:cs="Times New Roman"/>
          <w:kern w:val="2"/>
          <w:sz w:val="24"/>
          <w:szCs w:val="24"/>
          <w:lang w:val="en-US" w:eastAsia="zh-CN"/>
        </w:rPr>
        <w:t>; :</w:t>
      </w:r>
      <w:proofErr w:type="gramEnd"/>
      <w:r w:rsidRPr="00F54EA8">
        <w:rPr>
          <w:rFonts w:ascii="Book Antiqua" w:eastAsia="SimSun" w:hAnsi="Book Antiqua" w:cs="Times New Roman"/>
          <w:kern w:val="2"/>
          <w:sz w:val="24"/>
          <w:szCs w:val="24"/>
          <w:lang w:val="en-US" w:eastAsia="zh-CN"/>
        </w:rPr>
        <w:t xml:space="preserve"> CD009259 [PMID: 24085634 DOI: 10.1002/14651858.CD009259.pub2]</w:t>
      </w:r>
    </w:p>
    <w:p w14:paraId="29FDA81F"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30 </w:t>
      </w:r>
      <w:r w:rsidRPr="00F54EA8">
        <w:rPr>
          <w:rFonts w:ascii="Book Antiqua" w:eastAsia="SimSun" w:hAnsi="Book Antiqua" w:cs="Times New Roman"/>
          <w:b/>
          <w:kern w:val="2"/>
          <w:sz w:val="24"/>
          <w:szCs w:val="24"/>
          <w:lang w:val="en-US" w:eastAsia="zh-CN"/>
        </w:rPr>
        <w:t>Heresbach D</w:t>
      </w:r>
      <w:r w:rsidRPr="00F54EA8">
        <w:rPr>
          <w:rFonts w:ascii="Book Antiqua" w:eastAsia="SimSun" w:hAnsi="Book Antiqua" w:cs="Times New Roman"/>
          <w:kern w:val="2"/>
          <w:sz w:val="24"/>
          <w:szCs w:val="24"/>
          <w:lang w:val="en-US" w:eastAsia="zh-CN"/>
        </w:rPr>
        <w:t xml:space="preserve">, Manfredi S, D'halluin PN, Bretagne JF, Branger B. Review in depth and meta-analysis of controlled trials on colorectal cancer screening by faecal occult blood test. </w:t>
      </w:r>
      <w:r w:rsidRPr="00F54EA8">
        <w:rPr>
          <w:rFonts w:ascii="Book Antiqua" w:eastAsia="SimSun" w:hAnsi="Book Antiqua" w:cs="Times New Roman"/>
          <w:i/>
          <w:kern w:val="2"/>
          <w:sz w:val="24"/>
          <w:szCs w:val="24"/>
          <w:lang w:val="en-US" w:eastAsia="zh-CN"/>
        </w:rPr>
        <w:t>Eur J Gastroenterol Hepatol</w:t>
      </w:r>
      <w:r w:rsidRPr="00F54EA8">
        <w:rPr>
          <w:rFonts w:ascii="Book Antiqua" w:eastAsia="SimSun" w:hAnsi="Book Antiqua" w:cs="Times New Roman"/>
          <w:kern w:val="2"/>
          <w:sz w:val="24"/>
          <w:szCs w:val="24"/>
          <w:lang w:val="en-US" w:eastAsia="zh-CN"/>
        </w:rPr>
        <w:t xml:space="preserve"> 2006; </w:t>
      </w:r>
      <w:r w:rsidRPr="00F54EA8">
        <w:rPr>
          <w:rFonts w:ascii="Book Antiqua" w:eastAsia="SimSun" w:hAnsi="Book Antiqua" w:cs="Times New Roman"/>
          <w:b/>
          <w:kern w:val="2"/>
          <w:sz w:val="24"/>
          <w:szCs w:val="24"/>
          <w:lang w:val="en-US" w:eastAsia="zh-CN"/>
        </w:rPr>
        <w:t>18</w:t>
      </w:r>
      <w:r w:rsidRPr="00F54EA8">
        <w:rPr>
          <w:rFonts w:ascii="Book Antiqua" w:eastAsia="SimSun" w:hAnsi="Book Antiqua" w:cs="Times New Roman"/>
          <w:kern w:val="2"/>
          <w:sz w:val="24"/>
          <w:szCs w:val="24"/>
          <w:lang w:val="en-US" w:eastAsia="zh-CN"/>
        </w:rPr>
        <w:t>: 427-433 [PMID: 16538116]</w:t>
      </w:r>
    </w:p>
    <w:p w14:paraId="032763AA"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31 </w:t>
      </w:r>
      <w:r w:rsidRPr="00F54EA8">
        <w:rPr>
          <w:rFonts w:ascii="Book Antiqua" w:eastAsia="SimSun" w:hAnsi="Book Antiqua" w:cs="Times New Roman"/>
          <w:b/>
          <w:kern w:val="2"/>
          <w:sz w:val="24"/>
          <w:szCs w:val="24"/>
          <w:lang w:val="en-US" w:eastAsia="zh-CN"/>
        </w:rPr>
        <w:t>Pitkäniemi J</w:t>
      </w:r>
      <w:r w:rsidRPr="00F54EA8">
        <w:rPr>
          <w:rFonts w:ascii="Book Antiqua" w:eastAsia="SimSun" w:hAnsi="Book Antiqua" w:cs="Times New Roman"/>
          <w:kern w:val="2"/>
          <w:sz w:val="24"/>
          <w:szCs w:val="24"/>
          <w:lang w:val="en-US" w:eastAsia="zh-CN"/>
        </w:rPr>
        <w:t xml:space="preserve">, Seppä K, Hakama M, Malminiemi O, Palva T, Vuoristo MS, Järvinen </w:t>
      </w:r>
      <w:r w:rsidRPr="00F54EA8">
        <w:rPr>
          <w:rFonts w:ascii="Book Antiqua" w:eastAsia="SimSun" w:hAnsi="Book Antiqua" w:cs="Times New Roman"/>
          <w:kern w:val="2"/>
          <w:sz w:val="24"/>
          <w:szCs w:val="24"/>
          <w:lang w:val="en-US" w:eastAsia="zh-CN"/>
        </w:rPr>
        <w:lastRenderedPageBreak/>
        <w:t xml:space="preserve">H, Paimela H, Pikkarainen P, Anttila A, Elovainio L, Hakulinen T, Karjalainen S, Pylkkänen L, Rautalahti M, Sarkeala T, Vertio H, Malila N. Effectiveness of screening for colorectal cancer with a faecal occult-blood test, in Finland. </w:t>
      </w:r>
      <w:r w:rsidRPr="00F54EA8">
        <w:rPr>
          <w:rFonts w:ascii="Book Antiqua" w:eastAsia="SimSun" w:hAnsi="Book Antiqua" w:cs="Times New Roman"/>
          <w:i/>
          <w:kern w:val="2"/>
          <w:sz w:val="24"/>
          <w:szCs w:val="24"/>
          <w:lang w:val="en-US" w:eastAsia="zh-CN"/>
        </w:rPr>
        <w:t>BMJ Open Gastroenterol</w:t>
      </w:r>
      <w:r w:rsidRPr="00F54EA8">
        <w:rPr>
          <w:rFonts w:ascii="Book Antiqua" w:eastAsia="SimSun" w:hAnsi="Book Antiqua" w:cs="Times New Roman"/>
          <w:kern w:val="2"/>
          <w:sz w:val="24"/>
          <w:szCs w:val="24"/>
          <w:lang w:val="en-US" w:eastAsia="zh-CN"/>
        </w:rPr>
        <w:t xml:space="preserve"> 2015; </w:t>
      </w:r>
      <w:r w:rsidRPr="00F54EA8">
        <w:rPr>
          <w:rFonts w:ascii="Book Antiqua" w:eastAsia="SimSun" w:hAnsi="Book Antiqua" w:cs="Times New Roman"/>
          <w:b/>
          <w:kern w:val="2"/>
          <w:sz w:val="24"/>
          <w:szCs w:val="24"/>
          <w:lang w:val="en-US" w:eastAsia="zh-CN"/>
        </w:rPr>
        <w:t>2</w:t>
      </w:r>
      <w:r w:rsidRPr="00F54EA8">
        <w:rPr>
          <w:rFonts w:ascii="Book Antiqua" w:eastAsia="SimSun" w:hAnsi="Book Antiqua" w:cs="Times New Roman"/>
          <w:kern w:val="2"/>
          <w:sz w:val="24"/>
          <w:szCs w:val="24"/>
          <w:lang w:val="en-US" w:eastAsia="zh-CN"/>
        </w:rPr>
        <w:t>: e000034 [PMID: 26462283 DOI: 10.1136/bmjgast-2015-000034]</w:t>
      </w:r>
    </w:p>
    <w:p w14:paraId="19271F4A"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32 </w:t>
      </w:r>
      <w:r w:rsidRPr="00F54EA8">
        <w:rPr>
          <w:rFonts w:ascii="Book Antiqua" w:eastAsia="SimSun" w:hAnsi="Book Antiqua" w:cs="Times New Roman"/>
          <w:b/>
          <w:kern w:val="2"/>
          <w:sz w:val="24"/>
          <w:szCs w:val="24"/>
          <w:lang w:val="en-US" w:eastAsia="zh-CN"/>
        </w:rPr>
        <w:t>Katičić M</w:t>
      </w:r>
      <w:r w:rsidRPr="00F54EA8">
        <w:rPr>
          <w:rFonts w:ascii="Book Antiqua" w:eastAsia="SimSun" w:hAnsi="Book Antiqua" w:cs="Times New Roman"/>
          <w:kern w:val="2"/>
          <w:sz w:val="24"/>
          <w:szCs w:val="24"/>
          <w:lang w:val="en-US" w:eastAsia="zh-CN"/>
        </w:rPr>
        <w:t xml:space="preserve">, Antoljak N, Kujundžić M, Stamenić V, Skoko Poljak D, Kramarić D, Stimac D, Strnad Pešikan M, Samija M, Ebling Z. Results of National Colorectal Cancer Screening Program in Croatia (2007-2011). </w:t>
      </w:r>
      <w:r w:rsidRPr="00F54EA8">
        <w:rPr>
          <w:rFonts w:ascii="Book Antiqua" w:eastAsia="SimSun" w:hAnsi="Book Antiqua" w:cs="Times New Roman"/>
          <w:i/>
          <w:kern w:val="2"/>
          <w:sz w:val="24"/>
          <w:szCs w:val="24"/>
          <w:lang w:val="en-US" w:eastAsia="zh-CN"/>
        </w:rPr>
        <w:t>World J Gastroenterol</w:t>
      </w:r>
      <w:r w:rsidRPr="00F54EA8">
        <w:rPr>
          <w:rFonts w:ascii="Book Antiqua" w:eastAsia="SimSun" w:hAnsi="Book Antiqua" w:cs="Times New Roman"/>
          <w:kern w:val="2"/>
          <w:sz w:val="24"/>
          <w:szCs w:val="24"/>
          <w:lang w:val="en-US" w:eastAsia="zh-CN"/>
        </w:rPr>
        <w:t xml:space="preserve"> 2012; </w:t>
      </w:r>
      <w:r w:rsidRPr="00F54EA8">
        <w:rPr>
          <w:rFonts w:ascii="Book Antiqua" w:eastAsia="SimSun" w:hAnsi="Book Antiqua" w:cs="Times New Roman"/>
          <w:b/>
          <w:kern w:val="2"/>
          <w:sz w:val="24"/>
          <w:szCs w:val="24"/>
          <w:lang w:val="en-US" w:eastAsia="zh-CN"/>
        </w:rPr>
        <w:t>18</w:t>
      </w:r>
      <w:r w:rsidRPr="00F54EA8">
        <w:rPr>
          <w:rFonts w:ascii="Book Antiqua" w:eastAsia="SimSun" w:hAnsi="Book Antiqua" w:cs="Times New Roman"/>
          <w:kern w:val="2"/>
          <w:sz w:val="24"/>
          <w:szCs w:val="24"/>
          <w:lang w:val="en-US" w:eastAsia="zh-CN"/>
        </w:rPr>
        <w:t>: 4300-4307 [PMID: 22969192 DOI: 10.3748/wjg.v18.i32.4300]</w:t>
      </w:r>
    </w:p>
    <w:p w14:paraId="0CE82C03"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33 </w:t>
      </w:r>
      <w:r w:rsidRPr="00F54EA8">
        <w:rPr>
          <w:rFonts w:ascii="Book Antiqua" w:eastAsia="SimSun" w:hAnsi="Book Antiqua" w:cs="Times New Roman"/>
          <w:b/>
          <w:kern w:val="2"/>
          <w:sz w:val="24"/>
          <w:szCs w:val="24"/>
          <w:lang w:val="en-US" w:eastAsia="zh-CN"/>
        </w:rPr>
        <w:t>Steele RJ</w:t>
      </w:r>
      <w:r w:rsidRPr="00F54EA8">
        <w:rPr>
          <w:rFonts w:ascii="Book Antiqua" w:eastAsia="SimSun" w:hAnsi="Book Antiqua" w:cs="Times New Roman"/>
          <w:kern w:val="2"/>
          <w:sz w:val="24"/>
          <w:szCs w:val="24"/>
          <w:lang w:val="en-US" w:eastAsia="zh-CN"/>
        </w:rPr>
        <w:t xml:space="preserve">, McClements PL, Libby G, Black R, Morton C, Birrell J, Mowat NA, Wilson JA, Kenicer M, Carey FA, Fraser CG. Results from the first three rounds of the Scottish demonstration pilot of FOBT screening for colorectal cancer. </w:t>
      </w:r>
      <w:r w:rsidRPr="00F54EA8">
        <w:rPr>
          <w:rFonts w:ascii="Book Antiqua" w:eastAsia="SimSun" w:hAnsi="Book Antiqua" w:cs="Times New Roman"/>
          <w:i/>
          <w:kern w:val="2"/>
          <w:sz w:val="24"/>
          <w:szCs w:val="24"/>
          <w:lang w:val="en-US" w:eastAsia="zh-CN"/>
        </w:rPr>
        <w:t>Gut</w:t>
      </w:r>
      <w:r w:rsidRPr="00F54EA8">
        <w:rPr>
          <w:rFonts w:ascii="Book Antiqua" w:eastAsia="SimSun" w:hAnsi="Book Antiqua" w:cs="Times New Roman"/>
          <w:kern w:val="2"/>
          <w:sz w:val="24"/>
          <w:szCs w:val="24"/>
          <w:lang w:val="en-US" w:eastAsia="zh-CN"/>
        </w:rPr>
        <w:t xml:space="preserve"> 2009; </w:t>
      </w:r>
      <w:r w:rsidRPr="00F54EA8">
        <w:rPr>
          <w:rFonts w:ascii="Book Antiqua" w:eastAsia="SimSun" w:hAnsi="Book Antiqua" w:cs="Times New Roman"/>
          <w:b/>
          <w:kern w:val="2"/>
          <w:sz w:val="24"/>
          <w:szCs w:val="24"/>
          <w:lang w:val="en-US" w:eastAsia="zh-CN"/>
        </w:rPr>
        <w:t>58</w:t>
      </w:r>
      <w:r w:rsidRPr="00F54EA8">
        <w:rPr>
          <w:rFonts w:ascii="Book Antiqua" w:eastAsia="SimSun" w:hAnsi="Book Antiqua" w:cs="Times New Roman"/>
          <w:kern w:val="2"/>
          <w:sz w:val="24"/>
          <w:szCs w:val="24"/>
          <w:lang w:val="en-US" w:eastAsia="zh-CN"/>
        </w:rPr>
        <w:t>: 530-535 [PMID: 19036949 DOI: 10.1136/gut.2008.162883]</w:t>
      </w:r>
    </w:p>
    <w:p w14:paraId="41ED1634"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34 </w:t>
      </w:r>
      <w:r w:rsidRPr="00F54EA8">
        <w:rPr>
          <w:rFonts w:ascii="Book Antiqua" w:eastAsia="SimSun" w:hAnsi="Book Antiqua" w:cs="Times New Roman"/>
          <w:b/>
          <w:kern w:val="2"/>
          <w:sz w:val="24"/>
          <w:szCs w:val="24"/>
          <w:lang w:val="en-US" w:eastAsia="zh-CN"/>
        </w:rPr>
        <w:t>Rex DK</w:t>
      </w:r>
      <w:r w:rsidRPr="00F54EA8">
        <w:rPr>
          <w:rFonts w:ascii="Book Antiqua" w:eastAsia="SimSun" w:hAnsi="Book Antiqua" w:cs="Times New Roman"/>
          <w:kern w:val="2"/>
          <w:sz w:val="24"/>
          <w:szCs w:val="24"/>
          <w:lang w:val="en-US" w:eastAsia="zh-CN"/>
        </w:rPr>
        <w:t xml:space="preserve">, Boland CR, Dominitz JA, Giardiello FM, Johnson DA, Kaltenbach T, Levin TR, Lieberman D, Robertson DJ. Colorectal Cancer Screening: Recommendations for Physicians and Patients </w:t>
      </w:r>
      <w:proofErr w:type="gramStart"/>
      <w:r w:rsidRPr="00F54EA8">
        <w:rPr>
          <w:rFonts w:ascii="Book Antiqua" w:eastAsia="SimSun" w:hAnsi="Book Antiqua" w:cs="Times New Roman"/>
          <w:kern w:val="2"/>
          <w:sz w:val="24"/>
          <w:szCs w:val="24"/>
          <w:lang w:val="en-US" w:eastAsia="zh-CN"/>
        </w:rPr>
        <w:t>From</w:t>
      </w:r>
      <w:proofErr w:type="gramEnd"/>
      <w:r w:rsidRPr="00F54EA8">
        <w:rPr>
          <w:rFonts w:ascii="Book Antiqua" w:eastAsia="SimSun" w:hAnsi="Book Antiqua" w:cs="Times New Roman"/>
          <w:kern w:val="2"/>
          <w:sz w:val="24"/>
          <w:szCs w:val="24"/>
          <w:lang w:val="en-US" w:eastAsia="zh-CN"/>
        </w:rPr>
        <w:t xml:space="preserve"> the U.S. Multi-Society Task Force on Colorectal Cancer. </w:t>
      </w:r>
      <w:r w:rsidRPr="00F54EA8">
        <w:rPr>
          <w:rFonts w:ascii="Book Antiqua" w:eastAsia="SimSun" w:hAnsi="Book Antiqua" w:cs="Times New Roman"/>
          <w:i/>
          <w:kern w:val="2"/>
          <w:sz w:val="24"/>
          <w:szCs w:val="24"/>
          <w:lang w:val="en-US" w:eastAsia="zh-CN"/>
        </w:rPr>
        <w:t>Gastroenterology</w:t>
      </w:r>
      <w:r w:rsidRPr="00F54EA8">
        <w:rPr>
          <w:rFonts w:ascii="Book Antiqua" w:eastAsia="SimSun" w:hAnsi="Book Antiqua" w:cs="Times New Roman"/>
          <w:kern w:val="2"/>
          <w:sz w:val="24"/>
          <w:szCs w:val="24"/>
          <w:lang w:val="en-US" w:eastAsia="zh-CN"/>
        </w:rPr>
        <w:t xml:space="preserve"> 2017; </w:t>
      </w:r>
      <w:r w:rsidRPr="00F54EA8">
        <w:rPr>
          <w:rFonts w:ascii="Book Antiqua" w:eastAsia="SimSun" w:hAnsi="Book Antiqua" w:cs="Times New Roman"/>
          <w:b/>
          <w:kern w:val="2"/>
          <w:sz w:val="24"/>
          <w:szCs w:val="24"/>
          <w:lang w:val="en-US" w:eastAsia="zh-CN"/>
        </w:rPr>
        <w:t>153</w:t>
      </w:r>
      <w:r w:rsidRPr="00F54EA8">
        <w:rPr>
          <w:rFonts w:ascii="Book Antiqua" w:eastAsia="SimSun" w:hAnsi="Book Antiqua" w:cs="Times New Roman"/>
          <w:kern w:val="2"/>
          <w:sz w:val="24"/>
          <w:szCs w:val="24"/>
          <w:lang w:val="en-US" w:eastAsia="zh-CN"/>
        </w:rPr>
        <w:t>: 307-323 [PMID: 28600072 DOI: 10.1053/j.gastro.2017.05.013]</w:t>
      </w:r>
    </w:p>
    <w:p w14:paraId="3F799BB0"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35 </w:t>
      </w:r>
      <w:r w:rsidRPr="00F54EA8">
        <w:rPr>
          <w:rFonts w:ascii="Book Antiqua" w:eastAsia="SimSun" w:hAnsi="Book Antiqua" w:cs="Times New Roman"/>
          <w:b/>
          <w:kern w:val="2"/>
          <w:sz w:val="24"/>
          <w:szCs w:val="24"/>
          <w:lang w:val="en-US" w:eastAsia="zh-CN"/>
        </w:rPr>
        <w:t>Navarro M</w:t>
      </w:r>
      <w:r w:rsidRPr="00F54EA8">
        <w:rPr>
          <w:rFonts w:ascii="Book Antiqua" w:eastAsia="SimSun" w:hAnsi="Book Antiqua" w:cs="Times New Roman"/>
          <w:kern w:val="2"/>
          <w:sz w:val="24"/>
          <w:szCs w:val="24"/>
          <w:lang w:val="en-US" w:eastAsia="zh-CN"/>
        </w:rPr>
        <w:t xml:space="preserve">, Nicolas A, Ferrandez A, Lanas A. Colorectal cancer population screening programs worldwide in 2016: An update. </w:t>
      </w:r>
      <w:r w:rsidRPr="00F54EA8">
        <w:rPr>
          <w:rFonts w:ascii="Book Antiqua" w:eastAsia="SimSun" w:hAnsi="Book Antiqua" w:cs="Times New Roman"/>
          <w:i/>
          <w:kern w:val="2"/>
          <w:sz w:val="24"/>
          <w:szCs w:val="24"/>
          <w:lang w:val="en-US" w:eastAsia="zh-CN"/>
        </w:rPr>
        <w:t>World J Gastroenterol</w:t>
      </w:r>
      <w:r w:rsidRPr="00F54EA8">
        <w:rPr>
          <w:rFonts w:ascii="Book Antiqua" w:eastAsia="SimSun" w:hAnsi="Book Antiqua" w:cs="Times New Roman"/>
          <w:kern w:val="2"/>
          <w:sz w:val="24"/>
          <w:szCs w:val="24"/>
          <w:lang w:val="en-US" w:eastAsia="zh-CN"/>
        </w:rPr>
        <w:t xml:space="preserve"> 2017; </w:t>
      </w:r>
      <w:r w:rsidRPr="00F54EA8">
        <w:rPr>
          <w:rFonts w:ascii="Book Antiqua" w:eastAsia="SimSun" w:hAnsi="Book Antiqua" w:cs="Times New Roman"/>
          <w:b/>
          <w:kern w:val="2"/>
          <w:sz w:val="24"/>
          <w:szCs w:val="24"/>
          <w:lang w:val="en-US" w:eastAsia="zh-CN"/>
        </w:rPr>
        <w:t>23</w:t>
      </w:r>
      <w:r w:rsidRPr="00F54EA8">
        <w:rPr>
          <w:rFonts w:ascii="Book Antiqua" w:eastAsia="SimSun" w:hAnsi="Book Antiqua" w:cs="Times New Roman"/>
          <w:kern w:val="2"/>
          <w:sz w:val="24"/>
          <w:szCs w:val="24"/>
          <w:lang w:val="en-US" w:eastAsia="zh-CN"/>
        </w:rPr>
        <w:t>: 3632-3642 [PMID: 28611516 DOI: 10.3748/wjg.v23.i20.3632]</w:t>
      </w:r>
    </w:p>
    <w:p w14:paraId="37567DC3"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36 </w:t>
      </w:r>
      <w:r w:rsidRPr="00F54EA8">
        <w:rPr>
          <w:rFonts w:ascii="Book Antiqua" w:eastAsia="SimSun" w:hAnsi="Book Antiqua" w:cs="Times New Roman"/>
          <w:b/>
          <w:kern w:val="2"/>
          <w:sz w:val="24"/>
          <w:szCs w:val="24"/>
          <w:lang w:val="en-US" w:eastAsia="zh-CN"/>
        </w:rPr>
        <w:t>Hewitson P</w:t>
      </w:r>
      <w:r w:rsidRPr="00F54EA8">
        <w:rPr>
          <w:rFonts w:ascii="Book Antiqua" w:eastAsia="SimSun" w:hAnsi="Book Antiqua" w:cs="Times New Roman"/>
          <w:kern w:val="2"/>
          <w:sz w:val="24"/>
          <w:szCs w:val="24"/>
          <w:lang w:val="en-US" w:eastAsia="zh-CN"/>
        </w:rPr>
        <w:t xml:space="preserve">, Glasziou P, Irwig L, Towler B, Watson E. Screening for colorectal cancer using the faecal occult blood test, Hemoccult. </w:t>
      </w:r>
      <w:r w:rsidRPr="00F54EA8">
        <w:rPr>
          <w:rFonts w:ascii="Book Antiqua" w:eastAsia="SimSun" w:hAnsi="Book Antiqua" w:cs="Times New Roman"/>
          <w:i/>
          <w:kern w:val="2"/>
          <w:sz w:val="24"/>
          <w:szCs w:val="24"/>
          <w:lang w:val="en-US" w:eastAsia="zh-CN"/>
        </w:rPr>
        <w:t>Cochrane Database Syst Rev</w:t>
      </w:r>
      <w:r w:rsidRPr="00F54EA8">
        <w:rPr>
          <w:rFonts w:ascii="Book Antiqua" w:eastAsia="SimSun" w:hAnsi="Book Antiqua" w:cs="Times New Roman"/>
          <w:kern w:val="2"/>
          <w:sz w:val="24"/>
          <w:szCs w:val="24"/>
          <w:lang w:val="en-US" w:eastAsia="zh-CN"/>
        </w:rPr>
        <w:t xml:space="preserve"> 2007</w:t>
      </w:r>
      <w:proofErr w:type="gramStart"/>
      <w:r w:rsidRPr="00F54EA8">
        <w:rPr>
          <w:rFonts w:ascii="Book Antiqua" w:eastAsia="SimSun" w:hAnsi="Book Antiqua" w:cs="Times New Roman"/>
          <w:kern w:val="2"/>
          <w:sz w:val="24"/>
          <w:szCs w:val="24"/>
          <w:lang w:val="en-US" w:eastAsia="zh-CN"/>
        </w:rPr>
        <w:t>; :</w:t>
      </w:r>
      <w:proofErr w:type="gramEnd"/>
      <w:r w:rsidRPr="00F54EA8">
        <w:rPr>
          <w:rFonts w:ascii="Book Antiqua" w:eastAsia="SimSun" w:hAnsi="Book Antiqua" w:cs="Times New Roman"/>
          <w:kern w:val="2"/>
          <w:sz w:val="24"/>
          <w:szCs w:val="24"/>
          <w:lang w:val="en-US" w:eastAsia="zh-CN"/>
        </w:rPr>
        <w:t xml:space="preserve"> CD001216 [PMID: 17253456 DOI: 10.1002/14651858.CD001216.pub2]</w:t>
      </w:r>
    </w:p>
    <w:p w14:paraId="0C237EFB"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37 </w:t>
      </w:r>
      <w:r w:rsidRPr="00F54EA8">
        <w:rPr>
          <w:rFonts w:ascii="Book Antiqua" w:eastAsia="SimSun" w:hAnsi="Book Antiqua" w:cs="Times New Roman"/>
          <w:b/>
          <w:kern w:val="2"/>
          <w:sz w:val="24"/>
          <w:szCs w:val="24"/>
          <w:lang w:val="en-US" w:eastAsia="zh-CN"/>
        </w:rPr>
        <w:t>Li R</w:t>
      </w:r>
      <w:r w:rsidRPr="00F54EA8">
        <w:rPr>
          <w:rFonts w:ascii="Book Antiqua" w:eastAsia="SimSun" w:hAnsi="Book Antiqua" w:cs="Times New Roman"/>
          <w:kern w:val="2"/>
          <w:sz w:val="24"/>
          <w:szCs w:val="24"/>
          <w:lang w:val="en-US" w:eastAsia="zh-CN"/>
        </w:rPr>
        <w:t xml:space="preserve">, Liu J, Xue H, Huang G. Diagnostic value of fecal tumor M2-pyruvate kinase for CRC screening: a systematic review and meta-analysis. </w:t>
      </w:r>
      <w:r w:rsidRPr="00F54EA8">
        <w:rPr>
          <w:rFonts w:ascii="Book Antiqua" w:eastAsia="SimSun" w:hAnsi="Book Antiqua" w:cs="Times New Roman"/>
          <w:i/>
          <w:kern w:val="2"/>
          <w:sz w:val="24"/>
          <w:szCs w:val="24"/>
          <w:lang w:val="en-US" w:eastAsia="zh-CN"/>
        </w:rPr>
        <w:t>Int J Cancer</w:t>
      </w:r>
      <w:r w:rsidRPr="00F54EA8">
        <w:rPr>
          <w:rFonts w:ascii="Book Antiqua" w:eastAsia="SimSun" w:hAnsi="Book Antiqua" w:cs="Times New Roman"/>
          <w:kern w:val="2"/>
          <w:sz w:val="24"/>
          <w:szCs w:val="24"/>
          <w:lang w:val="en-US" w:eastAsia="zh-CN"/>
        </w:rPr>
        <w:t xml:space="preserve"> 2012; </w:t>
      </w:r>
      <w:r w:rsidRPr="00F54EA8">
        <w:rPr>
          <w:rFonts w:ascii="Book Antiqua" w:eastAsia="SimSun" w:hAnsi="Book Antiqua" w:cs="Times New Roman"/>
          <w:b/>
          <w:kern w:val="2"/>
          <w:sz w:val="24"/>
          <w:szCs w:val="24"/>
          <w:lang w:val="en-US" w:eastAsia="zh-CN"/>
        </w:rPr>
        <w:t>131</w:t>
      </w:r>
      <w:r w:rsidRPr="00F54EA8">
        <w:rPr>
          <w:rFonts w:ascii="Book Antiqua" w:eastAsia="SimSun" w:hAnsi="Book Antiqua" w:cs="Times New Roman"/>
          <w:kern w:val="2"/>
          <w:sz w:val="24"/>
          <w:szCs w:val="24"/>
          <w:lang w:val="en-US" w:eastAsia="zh-CN"/>
        </w:rPr>
        <w:t>: 1837-1845 [PMID: 22261915 DOI: 10.1002/ijc.27442]</w:t>
      </w:r>
    </w:p>
    <w:p w14:paraId="48CB0E31"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38 </w:t>
      </w:r>
      <w:r w:rsidRPr="00F54EA8">
        <w:rPr>
          <w:rFonts w:ascii="Book Antiqua" w:eastAsia="SimSun" w:hAnsi="Book Antiqua" w:cs="Times New Roman"/>
          <w:b/>
          <w:kern w:val="2"/>
          <w:sz w:val="24"/>
          <w:szCs w:val="24"/>
          <w:lang w:val="en-US" w:eastAsia="zh-CN"/>
        </w:rPr>
        <w:t>Haug U</w:t>
      </w:r>
      <w:r w:rsidRPr="00F54EA8">
        <w:rPr>
          <w:rFonts w:ascii="Book Antiqua" w:eastAsia="SimSun" w:hAnsi="Book Antiqua" w:cs="Times New Roman"/>
          <w:kern w:val="2"/>
          <w:sz w:val="24"/>
          <w:szCs w:val="24"/>
          <w:lang w:val="en-US" w:eastAsia="zh-CN"/>
        </w:rPr>
        <w:t xml:space="preserve">, Rothenbacher D, Wente MN, Seiler CM, Stegmaier C, Brenner H. Tumour M2-PK as a stool marker for colorectal cancer: comparative analysis in a large sample of unselected older </w:t>
      </w:r>
      <w:proofErr w:type="gramStart"/>
      <w:r w:rsidRPr="00F54EA8">
        <w:rPr>
          <w:rFonts w:ascii="Book Antiqua" w:eastAsia="SimSun" w:hAnsi="Book Antiqua" w:cs="Times New Roman"/>
          <w:kern w:val="2"/>
          <w:sz w:val="24"/>
          <w:szCs w:val="24"/>
          <w:lang w:val="en-US" w:eastAsia="zh-CN"/>
        </w:rPr>
        <w:t>adults</w:t>
      </w:r>
      <w:proofErr w:type="gramEnd"/>
      <w:r w:rsidRPr="00F54EA8">
        <w:rPr>
          <w:rFonts w:ascii="Book Antiqua" w:eastAsia="SimSun" w:hAnsi="Book Antiqua" w:cs="Times New Roman"/>
          <w:kern w:val="2"/>
          <w:sz w:val="24"/>
          <w:szCs w:val="24"/>
          <w:lang w:val="en-US" w:eastAsia="zh-CN"/>
        </w:rPr>
        <w:t xml:space="preserve"> vs colorectal cancer patients. </w:t>
      </w:r>
      <w:r w:rsidRPr="00F54EA8">
        <w:rPr>
          <w:rFonts w:ascii="Book Antiqua" w:eastAsia="SimSun" w:hAnsi="Book Antiqua" w:cs="Times New Roman"/>
          <w:i/>
          <w:kern w:val="2"/>
          <w:sz w:val="24"/>
          <w:szCs w:val="24"/>
          <w:lang w:val="en-US" w:eastAsia="zh-CN"/>
        </w:rPr>
        <w:t>Br J Cancer</w:t>
      </w:r>
      <w:r w:rsidRPr="00F54EA8">
        <w:rPr>
          <w:rFonts w:ascii="Book Antiqua" w:eastAsia="SimSun" w:hAnsi="Book Antiqua" w:cs="Times New Roman"/>
          <w:kern w:val="2"/>
          <w:sz w:val="24"/>
          <w:szCs w:val="24"/>
          <w:lang w:val="en-US" w:eastAsia="zh-CN"/>
        </w:rPr>
        <w:t xml:space="preserve"> 2007; </w:t>
      </w:r>
      <w:r w:rsidRPr="00F54EA8">
        <w:rPr>
          <w:rFonts w:ascii="Book Antiqua" w:eastAsia="SimSun" w:hAnsi="Book Antiqua" w:cs="Times New Roman"/>
          <w:b/>
          <w:kern w:val="2"/>
          <w:sz w:val="24"/>
          <w:szCs w:val="24"/>
          <w:lang w:val="en-US" w:eastAsia="zh-CN"/>
        </w:rPr>
        <w:t>96</w:t>
      </w:r>
      <w:r w:rsidRPr="00F54EA8">
        <w:rPr>
          <w:rFonts w:ascii="Book Antiqua" w:eastAsia="SimSun" w:hAnsi="Book Antiqua" w:cs="Times New Roman"/>
          <w:kern w:val="2"/>
          <w:sz w:val="24"/>
          <w:szCs w:val="24"/>
          <w:lang w:val="en-US" w:eastAsia="zh-CN"/>
        </w:rPr>
        <w:t>: 1329-1334 [PMID: 17406361 DOI: 10.1038/sj.bjc.6603712]</w:t>
      </w:r>
    </w:p>
    <w:p w14:paraId="30EC51AE"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39 </w:t>
      </w:r>
      <w:r w:rsidRPr="00F54EA8">
        <w:rPr>
          <w:rFonts w:ascii="Book Antiqua" w:eastAsia="SimSun" w:hAnsi="Book Antiqua" w:cs="Times New Roman"/>
          <w:b/>
          <w:kern w:val="2"/>
          <w:sz w:val="24"/>
          <w:szCs w:val="24"/>
          <w:lang w:val="en-US" w:eastAsia="zh-CN"/>
        </w:rPr>
        <w:t>Tonus C</w:t>
      </w:r>
      <w:r w:rsidRPr="00F54EA8">
        <w:rPr>
          <w:rFonts w:ascii="Book Antiqua" w:eastAsia="SimSun" w:hAnsi="Book Antiqua" w:cs="Times New Roman"/>
          <w:kern w:val="2"/>
          <w:sz w:val="24"/>
          <w:szCs w:val="24"/>
          <w:lang w:val="en-US" w:eastAsia="zh-CN"/>
        </w:rPr>
        <w:t xml:space="preserve">, Sellinger M, Koss K, Neupert G. Faecal pyruvate kinase isoenzyme type </w:t>
      </w:r>
      <w:r w:rsidRPr="00F54EA8">
        <w:rPr>
          <w:rFonts w:ascii="Book Antiqua" w:eastAsia="SimSun" w:hAnsi="Book Antiqua" w:cs="Times New Roman"/>
          <w:kern w:val="2"/>
          <w:sz w:val="24"/>
          <w:szCs w:val="24"/>
          <w:lang w:val="en-US" w:eastAsia="zh-CN"/>
        </w:rPr>
        <w:lastRenderedPageBreak/>
        <w:t xml:space="preserve">M2 for colorectal cancer screening: a meta-analysis. </w:t>
      </w:r>
      <w:r w:rsidRPr="00F54EA8">
        <w:rPr>
          <w:rFonts w:ascii="Book Antiqua" w:eastAsia="SimSun" w:hAnsi="Book Antiqua" w:cs="Times New Roman"/>
          <w:i/>
          <w:kern w:val="2"/>
          <w:sz w:val="24"/>
          <w:szCs w:val="24"/>
          <w:lang w:val="en-US" w:eastAsia="zh-CN"/>
        </w:rPr>
        <w:t>World J Gastroenterol</w:t>
      </w:r>
      <w:r w:rsidRPr="00F54EA8">
        <w:rPr>
          <w:rFonts w:ascii="Book Antiqua" w:eastAsia="SimSun" w:hAnsi="Book Antiqua" w:cs="Times New Roman"/>
          <w:kern w:val="2"/>
          <w:sz w:val="24"/>
          <w:szCs w:val="24"/>
          <w:lang w:val="en-US" w:eastAsia="zh-CN"/>
        </w:rPr>
        <w:t xml:space="preserve"> 2012; </w:t>
      </w:r>
      <w:r w:rsidRPr="00F54EA8">
        <w:rPr>
          <w:rFonts w:ascii="Book Antiqua" w:eastAsia="SimSun" w:hAnsi="Book Antiqua" w:cs="Times New Roman"/>
          <w:b/>
          <w:kern w:val="2"/>
          <w:sz w:val="24"/>
          <w:szCs w:val="24"/>
          <w:lang w:val="en-US" w:eastAsia="zh-CN"/>
        </w:rPr>
        <w:t>18</w:t>
      </w:r>
      <w:r w:rsidRPr="00F54EA8">
        <w:rPr>
          <w:rFonts w:ascii="Book Antiqua" w:eastAsia="SimSun" w:hAnsi="Book Antiqua" w:cs="Times New Roman"/>
          <w:kern w:val="2"/>
          <w:sz w:val="24"/>
          <w:szCs w:val="24"/>
          <w:lang w:val="en-US" w:eastAsia="zh-CN"/>
        </w:rPr>
        <w:t>: 4004-4011 [PMID: 22912551 DOI: 10.3748/wjg.v18.i30.4004]</w:t>
      </w:r>
    </w:p>
    <w:p w14:paraId="75065EEB"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40 </w:t>
      </w:r>
      <w:r w:rsidRPr="00F54EA8">
        <w:rPr>
          <w:rFonts w:ascii="Book Antiqua" w:eastAsia="SimSun" w:hAnsi="Book Antiqua" w:cs="Times New Roman"/>
          <w:b/>
          <w:kern w:val="2"/>
          <w:sz w:val="24"/>
          <w:szCs w:val="24"/>
          <w:lang w:val="en-US" w:eastAsia="zh-CN"/>
        </w:rPr>
        <w:t>Imperiale TF</w:t>
      </w:r>
      <w:r w:rsidRPr="00F54EA8">
        <w:rPr>
          <w:rFonts w:ascii="Book Antiqua" w:eastAsia="SimSun" w:hAnsi="Book Antiqua" w:cs="Times New Roman"/>
          <w:kern w:val="2"/>
          <w:sz w:val="24"/>
          <w:szCs w:val="24"/>
          <w:lang w:val="en-US" w:eastAsia="zh-CN"/>
        </w:rPr>
        <w:t xml:space="preserve">, Ransohoff DF, Itzkowitz SH, Turnbull BA, Ross ME; Colorectal Cancer Study Group. Fecal DNA versus fecal occult blood for colorectal-cancer screening in an average-risk population. </w:t>
      </w:r>
      <w:r w:rsidRPr="00F54EA8">
        <w:rPr>
          <w:rFonts w:ascii="Book Antiqua" w:eastAsia="SimSun" w:hAnsi="Book Antiqua" w:cs="Times New Roman"/>
          <w:i/>
          <w:kern w:val="2"/>
          <w:sz w:val="24"/>
          <w:szCs w:val="24"/>
          <w:lang w:val="en-US" w:eastAsia="zh-CN"/>
        </w:rPr>
        <w:t>N Engl J Med</w:t>
      </w:r>
      <w:r w:rsidRPr="00F54EA8">
        <w:rPr>
          <w:rFonts w:ascii="Book Antiqua" w:eastAsia="SimSun" w:hAnsi="Book Antiqua" w:cs="Times New Roman"/>
          <w:kern w:val="2"/>
          <w:sz w:val="24"/>
          <w:szCs w:val="24"/>
          <w:lang w:val="en-US" w:eastAsia="zh-CN"/>
        </w:rPr>
        <w:t xml:space="preserve"> 2004; </w:t>
      </w:r>
      <w:r w:rsidRPr="00F54EA8">
        <w:rPr>
          <w:rFonts w:ascii="Book Antiqua" w:eastAsia="SimSun" w:hAnsi="Book Antiqua" w:cs="Times New Roman"/>
          <w:b/>
          <w:kern w:val="2"/>
          <w:sz w:val="24"/>
          <w:szCs w:val="24"/>
          <w:lang w:val="en-US" w:eastAsia="zh-CN"/>
        </w:rPr>
        <w:t>351</w:t>
      </w:r>
      <w:r w:rsidRPr="00F54EA8">
        <w:rPr>
          <w:rFonts w:ascii="Book Antiqua" w:eastAsia="SimSun" w:hAnsi="Book Antiqua" w:cs="Times New Roman"/>
          <w:kern w:val="2"/>
          <w:sz w:val="24"/>
          <w:szCs w:val="24"/>
          <w:lang w:val="en-US" w:eastAsia="zh-CN"/>
        </w:rPr>
        <w:t>: 2704-2714 [PMID: 15616205 DOI: 10.1056/NEJMoa033403]</w:t>
      </w:r>
    </w:p>
    <w:p w14:paraId="10744DFE"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41 </w:t>
      </w:r>
      <w:r w:rsidRPr="00F54EA8">
        <w:rPr>
          <w:rFonts w:ascii="Book Antiqua" w:eastAsia="SimSun" w:hAnsi="Book Antiqua" w:cs="Times New Roman"/>
          <w:b/>
          <w:kern w:val="2"/>
          <w:sz w:val="24"/>
          <w:szCs w:val="24"/>
          <w:lang w:val="en-US" w:eastAsia="zh-CN"/>
        </w:rPr>
        <w:t>Schreuders EH</w:t>
      </w:r>
      <w:r w:rsidRPr="00F54EA8">
        <w:rPr>
          <w:rFonts w:ascii="Book Antiqua" w:eastAsia="SimSun" w:hAnsi="Book Antiqua" w:cs="Times New Roman"/>
          <w:kern w:val="2"/>
          <w:sz w:val="24"/>
          <w:szCs w:val="24"/>
          <w:lang w:val="en-US" w:eastAsia="zh-CN"/>
        </w:rPr>
        <w:t xml:space="preserve">, Grobbee EJ, Spaander MC, Kuipers EJ. Advances in Fecal Tests for Colorectal Cancer Screening. </w:t>
      </w:r>
      <w:r w:rsidRPr="00F54EA8">
        <w:rPr>
          <w:rFonts w:ascii="Book Antiqua" w:eastAsia="SimSun" w:hAnsi="Book Antiqua" w:cs="Times New Roman"/>
          <w:i/>
          <w:kern w:val="2"/>
          <w:sz w:val="24"/>
          <w:szCs w:val="24"/>
          <w:lang w:val="en-US" w:eastAsia="zh-CN"/>
        </w:rPr>
        <w:t>Curr Treat Options Gastroenterol</w:t>
      </w:r>
      <w:r w:rsidRPr="00F54EA8">
        <w:rPr>
          <w:rFonts w:ascii="Book Antiqua" w:eastAsia="SimSun" w:hAnsi="Book Antiqua" w:cs="Times New Roman"/>
          <w:kern w:val="2"/>
          <w:sz w:val="24"/>
          <w:szCs w:val="24"/>
          <w:lang w:val="en-US" w:eastAsia="zh-CN"/>
        </w:rPr>
        <w:t xml:space="preserve"> 2016; </w:t>
      </w:r>
      <w:r w:rsidRPr="00F54EA8">
        <w:rPr>
          <w:rFonts w:ascii="Book Antiqua" w:eastAsia="SimSun" w:hAnsi="Book Antiqua" w:cs="Times New Roman"/>
          <w:b/>
          <w:kern w:val="2"/>
          <w:sz w:val="24"/>
          <w:szCs w:val="24"/>
          <w:lang w:val="en-US" w:eastAsia="zh-CN"/>
        </w:rPr>
        <w:t>14</w:t>
      </w:r>
      <w:r w:rsidRPr="00F54EA8">
        <w:rPr>
          <w:rFonts w:ascii="Book Antiqua" w:eastAsia="SimSun" w:hAnsi="Book Antiqua" w:cs="Times New Roman"/>
          <w:kern w:val="2"/>
          <w:sz w:val="24"/>
          <w:szCs w:val="24"/>
          <w:lang w:val="en-US" w:eastAsia="zh-CN"/>
        </w:rPr>
        <w:t>: 152-162 [PMID: 26825703 DOI: 10.1007/s11938-016-0076-0]</w:t>
      </w:r>
    </w:p>
    <w:p w14:paraId="58E0BD0C"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42 </w:t>
      </w:r>
      <w:r w:rsidRPr="00F54EA8">
        <w:rPr>
          <w:rFonts w:ascii="Book Antiqua" w:eastAsia="SimSun" w:hAnsi="Book Antiqua" w:cs="Times New Roman"/>
          <w:b/>
          <w:kern w:val="2"/>
          <w:sz w:val="24"/>
          <w:szCs w:val="24"/>
          <w:lang w:val="en-US" w:eastAsia="zh-CN"/>
        </w:rPr>
        <w:t>Ahlquist DA</w:t>
      </w:r>
      <w:r w:rsidRPr="00F54EA8">
        <w:rPr>
          <w:rFonts w:ascii="Book Antiqua" w:eastAsia="SimSun" w:hAnsi="Book Antiqua" w:cs="Times New Roman"/>
          <w:kern w:val="2"/>
          <w:sz w:val="24"/>
          <w:szCs w:val="24"/>
          <w:lang w:val="en-US" w:eastAsia="zh-CN"/>
        </w:rPr>
        <w:t xml:space="preserve">. Multi-target stool DNA test: a new high bar for noninvasive screening. </w:t>
      </w:r>
      <w:r w:rsidRPr="00F54EA8">
        <w:rPr>
          <w:rFonts w:ascii="Book Antiqua" w:eastAsia="SimSun" w:hAnsi="Book Antiqua" w:cs="Times New Roman"/>
          <w:i/>
          <w:kern w:val="2"/>
          <w:sz w:val="24"/>
          <w:szCs w:val="24"/>
          <w:lang w:val="en-US" w:eastAsia="zh-CN"/>
        </w:rPr>
        <w:t>Dig Dis Sci</w:t>
      </w:r>
      <w:r w:rsidRPr="00F54EA8">
        <w:rPr>
          <w:rFonts w:ascii="Book Antiqua" w:eastAsia="SimSun" w:hAnsi="Book Antiqua" w:cs="Times New Roman"/>
          <w:kern w:val="2"/>
          <w:sz w:val="24"/>
          <w:szCs w:val="24"/>
          <w:lang w:val="en-US" w:eastAsia="zh-CN"/>
        </w:rPr>
        <w:t xml:space="preserve"> 2015; </w:t>
      </w:r>
      <w:r w:rsidRPr="00F54EA8">
        <w:rPr>
          <w:rFonts w:ascii="Book Antiqua" w:eastAsia="SimSun" w:hAnsi="Book Antiqua" w:cs="Times New Roman"/>
          <w:b/>
          <w:kern w:val="2"/>
          <w:sz w:val="24"/>
          <w:szCs w:val="24"/>
          <w:lang w:val="en-US" w:eastAsia="zh-CN"/>
        </w:rPr>
        <w:t>60</w:t>
      </w:r>
      <w:r w:rsidRPr="00F54EA8">
        <w:rPr>
          <w:rFonts w:ascii="Book Antiqua" w:eastAsia="SimSun" w:hAnsi="Book Antiqua" w:cs="Times New Roman"/>
          <w:kern w:val="2"/>
          <w:sz w:val="24"/>
          <w:szCs w:val="24"/>
          <w:lang w:val="en-US" w:eastAsia="zh-CN"/>
        </w:rPr>
        <w:t>: 623-633 [PMID: 25492503 DOI: 10.1007/s10620-014-3451-5]</w:t>
      </w:r>
    </w:p>
    <w:p w14:paraId="40C162E8"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43 </w:t>
      </w:r>
      <w:r w:rsidRPr="00F54EA8">
        <w:rPr>
          <w:rFonts w:ascii="Book Antiqua" w:eastAsia="SimSun" w:hAnsi="Book Antiqua" w:cs="Times New Roman"/>
          <w:b/>
          <w:kern w:val="2"/>
          <w:sz w:val="24"/>
          <w:szCs w:val="24"/>
          <w:lang w:val="en-US" w:eastAsia="zh-CN"/>
        </w:rPr>
        <w:t>Dhaliwal A</w:t>
      </w:r>
      <w:r w:rsidRPr="00F54EA8">
        <w:rPr>
          <w:rFonts w:ascii="Book Antiqua" w:eastAsia="SimSun" w:hAnsi="Book Antiqua" w:cs="Times New Roman"/>
          <w:kern w:val="2"/>
          <w:sz w:val="24"/>
          <w:szCs w:val="24"/>
          <w:lang w:val="en-US" w:eastAsia="zh-CN"/>
        </w:rPr>
        <w:t xml:space="preserve">, Vlachostergios PJ, Oikonomou KG, Moshenyat Y. Fecal DNA testing for colorectal cancer screening: Molecular targets and perspectives. </w:t>
      </w:r>
      <w:r w:rsidRPr="00F54EA8">
        <w:rPr>
          <w:rFonts w:ascii="Book Antiqua" w:eastAsia="SimSun" w:hAnsi="Book Antiqua" w:cs="Times New Roman"/>
          <w:i/>
          <w:kern w:val="2"/>
          <w:sz w:val="24"/>
          <w:szCs w:val="24"/>
          <w:lang w:val="en-US" w:eastAsia="zh-CN"/>
        </w:rPr>
        <w:t>World J Gastrointest Oncol</w:t>
      </w:r>
      <w:r w:rsidRPr="00F54EA8">
        <w:rPr>
          <w:rFonts w:ascii="Book Antiqua" w:eastAsia="SimSun" w:hAnsi="Book Antiqua" w:cs="Times New Roman"/>
          <w:kern w:val="2"/>
          <w:sz w:val="24"/>
          <w:szCs w:val="24"/>
          <w:lang w:val="en-US" w:eastAsia="zh-CN"/>
        </w:rPr>
        <w:t xml:space="preserve"> 2015; </w:t>
      </w:r>
      <w:r w:rsidRPr="00F54EA8">
        <w:rPr>
          <w:rFonts w:ascii="Book Antiqua" w:eastAsia="SimSun" w:hAnsi="Book Antiqua" w:cs="Times New Roman"/>
          <w:b/>
          <w:kern w:val="2"/>
          <w:sz w:val="24"/>
          <w:szCs w:val="24"/>
          <w:lang w:val="en-US" w:eastAsia="zh-CN"/>
        </w:rPr>
        <w:t>7</w:t>
      </w:r>
      <w:r w:rsidRPr="00F54EA8">
        <w:rPr>
          <w:rFonts w:ascii="Book Antiqua" w:eastAsia="SimSun" w:hAnsi="Book Antiqua" w:cs="Times New Roman"/>
          <w:kern w:val="2"/>
          <w:sz w:val="24"/>
          <w:szCs w:val="24"/>
          <w:lang w:val="en-US" w:eastAsia="zh-CN"/>
        </w:rPr>
        <w:t>: 178-183 [PMID: 26483873 DOI: 10.4251/wjgo.v7.i10.178]</w:t>
      </w:r>
    </w:p>
    <w:p w14:paraId="55FC272F"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44 </w:t>
      </w:r>
      <w:r w:rsidRPr="00F54EA8">
        <w:rPr>
          <w:rFonts w:ascii="Book Antiqua" w:eastAsia="SimSun" w:hAnsi="Book Antiqua" w:cs="Times New Roman"/>
          <w:b/>
          <w:kern w:val="2"/>
          <w:sz w:val="24"/>
          <w:szCs w:val="24"/>
          <w:lang w:val="en-US" w:eastAsia="zh-CN"/>
        </w:rPr>
        <w:t>Imperiale TF</w:t>
      </w:r>
      <w:r w:rsidRPr="00F54EA8">
        <w:rPr>
          <w:rFonts w:ascii="Book Antiqua" w:eastAsia="SimSun" w:hAnsi="Book Antiqua" w:cs="Times New Roman"/>
          <w:kern w:val="2"/>
          <w:sz w:val="24"/>
          <w:szCs w:val="24"/>
          <w:lang w:val="en-US" w:eastAsia="zh-CN"/>
        </w:rPr>
        <w:t xml:space="preserve">, Ransohoff DF, Itzkowitz SH, Levin TR, Lavin P, Lidgard GP, Ahlquist DA, Berger BM. Multitarget stool DNA testing for colorectal-cancer screening. </w:t>
      </w:r>
      <w:r w:rsidRPr="00F54EA8">
        <w:rPr>
          <w:rFonts w:ascii="Book Antiqua" w:eastAsia="SimSun" w:hAnsi="Book Antiqua" w:cs="Times New Roman"/>
          <w:i/>
          <w:kern w:val="2"/>
          <w:sz w:val="24"/>
          <w:szCs w:val="24"/>
          <w:lang w:val="en-US" w:eastAsia="zh-CN"/>
        </w:rPr>
        <w:t>N Engl J Med</w:t>
      </w:r>
      <w:r w:rsidRPr="00F54EA8">
        <w:rPr>
          <w:rFonts w:ascii="Book Antiqua" w:eastAsia="SimSun" w:hAnsi="Book Antiqua" w:cs="Times New Roman"/>
          <w:kern w:val="2"/>
          <w:sz w:val="24"/>
          <w:szCs w:val="24"/>
          <w:lang w:val="en-US" w:eastAsia="zh-CN"/>
        </w:rPr>
        <w:t xml:space="preserve"> 2014; </w:t>
      </w:r>
      <w:r w:rsidRPr="00F54EA8">
        <w:rPr>
          <w:rFonts w:ascii="Book Antiqua" w:eastAsia="SimSun" w:hAnsi="Book Antiqua" w:cs="Times New Roman"/>
          <w:b/>
          <w:kern w:val="2"/>
          <w:sz w:val="24"/>
          <w:szCs w:val="24"/>
          <w:lang w:val="en-US" w:eastAsia="zh-CN"/>
        </w:rPr>
        <w:t>370</w:t>
      </w:r>
      <w:r w:rsidRPr="00F54EA8">
        <w:rPr>
          <w:rFonts w:ascii="Book Antiqua" w:eastAsia="SimSun" w:hAnsi="Book Antiqua" w:cs="Times New Roman"/>
          <w:kern w:val="2"/>
          <w:sz w:val="24"/>
          <w:szCs w:val="24"/>
          <w:lang w:val="en-US" w:eastAsia="zh-CN"/>
        </w:rPr>
        <w:t>: 1287-1297 [PMID: 24645800 DOI: 10.1056/NEJMoa1311194]</w:t>
      </w:r>
      <w:bookmarkStart w:id="109" w:name="_GoBack"/>
      <w:bookmarkEnd w:id="109"/>
    </w:p>
    <w:p w14:paraId="45782C29"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45 </w:t>
      </w:r>
      <w:r w:rsidRPr="00F54EA8">
        <w:rPr>
          <w:rFonts w:ascii="Book Antiqua" w:eastAsia="SimSun" w:hAnsi="Book Antiqua" w:cs="Times New Roman"/>
          <w:b/>
          <w:kern w:val="2"/>
          <w:sz w:val="24"/>
          <w:szCs w:val="24"/>
          <w:lang w:val="en-US" w:eastAsia="zh-CN"/>
        </w:rPr>
        <w:t>Knudsen AB</w:t>
      </w:r>
      <w:r w:rsidRPr="00F54EA8">
        <w:rPr>
          <w:rFonts w:ascii="Book Antiqua" w:eastAsia="SimSun" w:hAnsi="Book Antiqua" w:cs="Times New Roman"/>
          <w:kern w:val="2"/>
          <w:sz w:val="24"/>
          <w:szCs w:val="24"/>
          <w:lang w:val="en-US" w:eastAsia="zh-CN"/>
        </w:rPr>
        <w:t xml:space="preserve">, Zauber AG, Rutter CM, Naber SK, Doria-Rose VP, Pabiniak C, Johanson C, Fischer SE, Lansdorp-Vogelaar I, Kuntz KM. Estimation of Benefits, Burden, and Harms of Colorectal Cancer Screening Strategies: Modeling Study for the US Preventive Services Task Force. </w:t>
      </w:r>
      <w:r w:rsidRPr="00F54EA8">
        <w:rPr>
          <w:rFonts w:ascii="Book Antiqua" w:eastAsia="SimSun" w:hAnsi="Book Antiqua" w:cs="Times New Roman"/>
          <w:i/>
          <w:kern w:val="2"/>
          <w:sz w:val="24"/>
          <w:szCs w:val="24"/>
          <w:lang w:val="en-US" w:eastAsia="zh-CN"/>
        </w:rPr>
        <w:t>JAMA</w:t>
      </w:r>
      <w:r w:rsidRPr="00F54EA8">
        <w:rPr>
          <w:rFonts w:ascii="Book Antiqua" w:eastAsia="SimSun" w:hAnsi="Book Antiqua" w:cs="Times New Roman"/>
          <w:kern w:val="2"/>
          <w:sz w:val="24"/>
          <w:szCs w:val="24"/>
          <w:lang w:val="en-US" w:eastAsia="zh-CN"/>
        </w:rPr>
        <w:t xml:space="preserve"> 2016; </w:t>
      </w:r>
      <w:r w:rsidRPr="00F54EA8">
        <w:rPr>
          <w:rFonts w:ascii="Book Antiqua" w:eastAsia="SimSun" w:hAnsi="Book Antiqua" w:cs="Times New Roman"/>
          <w:b/>
          <w:kern w:val="2"/>
          <w:sz w:val="24"/>
          <w:szCs w:val="24"/>
          <w:lang w:val="en-US" w:eastAsia="zh-CN"/>
        </w:rPr>
        <w:t>315</w:t>
      </w:r>
      <w:r w:rsidRPr="00F54EA8">
        <w:rPr>
          <w:rFonts w:ascii="Book Antiqua" w:eastAsia="SimSun" w:hAnsi="Book Antiqua" w:cs="Times New Roman"/>
          <w:kern w:val="2"/>
          <w:sz w:val="24"/>
          <w:szCs w:val="24"/>
          <w:lang w:val="en-US" w:eastAsia="zh-CN"/>
        </w:rPr>
        <w:t>: 2595-2609 [PMID: 27305518 DOI: 10.1001/jama.2016.6828]</w:t>
      </w:r>
    </w:p>
    <w:p w14:paraId="2E4304ED"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46 </w:t>
      </w:r>
      <w:r w:rsidRPr="00F54EA8">
        <w:rPr>
          <w:rFonts w:ascii="Book Antiqua" w:eastAsia="SimSun" w:hAnsi="Book Antiqua" w:cs="Times New Roman"/>
          <w:b/>
          <w:kern w:val="2"/>
          <w:sz w:val="24"/>
          <w:szCs w:val="24"/>
          <w:lang w:val="en-US" w:eastAsia="zh-CN"/>
        </w:rPr>
        <w:t>Hauptman N</w:t>
      </w:r>
      <w:r w:rsidRPr="00F54EA8">
        <w:rPr>
          <w:rFonts w:ascii="Book Antiqua" w:eastAsia="SimSun" w:hAnsi="Book Antiqua" w:cs="Times New Roman"/>
          <w:kern w:val="2"/>
          <w:sz w:val="24"/>
          <w:szCs w:val="24"/>
          <w:lang w:val="en-US" w:eastAsia="zh-CN"/>
        </w:rPr>
        <w:t xml:space="preserve">, Glavač D. Colorectal Cancer Blood-Based Biomarkers. </w:t>
      </w:r>
      <w:r w:rsidRPr="00F54EA8">
        <w:rPr>
          <w:rFonts w:ascii="Book Antiqua" w:eastAsia="SimSun" w:hAnsi="Book Antiqua" w:cs="Times New Roman"/>
          <w:i/>
          <w:kern w:val="2"/>
          <w:sz w:val="24"/>
          <w:szCs w:val="24"/>
          <w:lang w:val="en-US" w:eastAsia="zh-CN"/>
        </w:rPr>
        <w:t>Gastroenterol Res Pract</w:t>
      </w:r>
      <w:r w:rsidRPr="00F54EA8">
        <w:rPr>
          <w:rFonts w:ascii="Book Antiqua" w:eastAsia="SimSun" w:hAnsi="Book Antiqua" w:cs="Times New Roman"/>
          <w:kern w:val="2"/>
          <w:sz w:val="24"/>
          <w:szCs w:val="24"/>
          <w:lang w:val="en-US" w:eastAsia="zh-CN"/>
        </w:rPr>
        <w:t xml:space="preserve"> 2017; </w:t>
      </w:r>
      <w:r w:rsidRPr="00F54EA8">
        <w:rPr>
          <w:rFonts w:ascii="Book Antiqua" w:eastAsia="SimSun" w:hAnsi="Book Antiqua" w:cs="Times New Roman"/>
          <w:b/>
          <w:kern w:val="2"/>
          <w:sz w:val="24"/>
          <w:szCs w:val="24"/>
          <w:lang w:val="en-US" w:eastAsia="zh-CN"/>
        </w:rPr>
        <w:t>2017</w:t>
      </w:r>
      <w:r w:rsidRPr="00F54EA8">
        <w:rPr>
          <w:rFonts w:ascii="Book Antiqua" w:eastAsia="SimSun" w:hAnsi="Book Antiqua" w:cs="Times New Roman"/>
          <w:kern w:val="2"/>
          <w:sz w:val="24"/>
          <w:szCs w:val="24"/>
          <w:lang w:val="en-US" w:eastAsia="zh-CN"/>
        </w:rPr>
        <w:t>: 2195361 [PMID: 29147109 DOI: 10.1155/2017/2195361]</w:t>
      </w:r>
    </w:p>
    <w:p w14:paraId="5C20BE61"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47 </w:t>
      </w:r>
      <w:r w:rsidRPr="00F54EA8">
        <w:rPr>
          <w:rFonts w:ascii="Book Antiqua" w:eastAsia="SimSun" w:hAnsi="Book Antiqua" w:cs="Times New Roman"/>
          <w:b/>
          <w:kern w:val="2"/>
          <w:sz w:val="24"/>
          <w:szCs w:val="24"/>
          <w:lang w:val="en-US" w:eastAsia="zh-CN"/>
        </w:rPr>
        <w:t>Hench IB</w:t>
      </w:r>
      <w:r w:rsidRPr="00F54EA8">
        <w:rPr>
          <w:rFonts w:ascii="Book Antiqua" w:eastAsia="SimSun" w:hAnsi="Book Antiqua" w:cs="Times New Roman"/>
          <w:kern w:val="2"/>
          <w:sz w:val="24"/>
          <w:szCs w:val="24"/>
          <w:lang w:val="en-US" w:eastAsia="zh-CN"/>
        </w:rPr>
        <w:t xml:space="preserve">, Hench J, Tolnay M. Liquid Biopsy in Clinical Management of Breast, Lung, and Colorectal Cancer. </w:t>
      </w:r>
      <w:r w:rsidRPr="00F54EA8">
        <w:rPr>
          <w:rFonts w:ascii="Book Antiqua" w:eastAsia="SimSun" w:hAnsi="Book Antiqua" w:cs="Times New Roman"/>
          <w:i/>
          <w:kern w:val="2"/>
          <w:sz w:val="24"/>
          <w:szCs w:val="24"/>
          <w:lang w:val="en-US" w:eastAsia="zh-CN"/>
        </w:rPr>
        <w:t>Front Med (Lausanne)</w:t>
      </w:r>
      <w:r w:rsidRPr="00F54EA8">
        <w:rPr>
          <w:rFonts w:ascii="Book Antiqua" w:eastAsia="SimSun" w:hAnsi="Book Antiqua" w:cs="Times New Roman"/>
          <w:kern w:val="2"/>
          <w:sz w:val="24"/>
          <w:szCs w:val="24"/>
          <w:lang w:val="en-US" w:eastAsia="zh-CN"/>
        </w:rPr>
        <w:t xml:space="preserve"> 2018; </w:t>
      </w:r>
      <w:r w:rsidRPr="00F54EA8">
        <w:rPr>
          <w:rFonts w:ascii="Book Antiqua" w:eastAsia="SimSun" w:hAnsi="Book Antiqua" w:cs="Times New Roman"/>
          <w:b/>
          <w:kern w:val="2"/>
          <w:sz w:val="24"/>
          <w:szCs w:val="24"/>
          <w:lang w:val="en-US" w:eastAsia="zh-CN"/>
        </w:rPr>
        <w:t>5</w:t>
      </w:r>
      <w:r w:rsidRPr="00F54EA8">
        <w:rPr>
          <w:rFonts w:ascii="Book Antiqua" w:eastAsia="SimSun" w:hAnsi="Book Antiqua" w:cs="Times New Roman"/>
          <w:kern w:val="2"/>
          <w:sz w:val="24"/>
          <w:szCs w:val="24"/>
          <w:lang w:val="en-US" w:eastAsia="zh-CN"/>
        </w:rPr>
        <w:t>: 9 [PMID: 29441349 DOI: 10.3389/fmed.2018.00009]</w:t>
      </w:r>
    </w:p>
    <w:p w14:paraId="6F34779C"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48 </w:t>
      </w:r>
      <w:r w:rsidRPr="00F54EA8">
        <w:rPr>
          <w:rFonts w:ascii="Book Antiqua" w:eastAsia="SimSun" w:hAnsi="Book Antiqua" w:cs="Times New Roman"/>
          <w:b/>
          <w:kern w:val="2"/>
          <w:sz w:val="24"/>
          <w:szCs w:val="24"/>
          <w:lang w:val="en-US" w:eastAsia="zh-CN"/>
        </w:rPr>
        <w:t>Jia S</w:t>
      </w:r>
      <w:r w:rsidRPr="00F54EA8">
        <w:rPr>
          <w:rFonts w:ascii="Book Antiqua" w:eastAsia="SimSun" w:hAnsi="Book Antiqua" w:cs="Times New Roman"/>
          <w:kern w:val="2"/>
          <w:sz w:val="24"/>
          <w:szCs w:val="24"/>
          <w:lang w:val="en-US" w:eastAsia="zh-CN"/>
        </w:rPr>
        <w:t xml:space="preserve">, Zhang R, Li Z, Li J. Clinical and biological significance of circulating tumor cells, circulating tumor DNA, and exosomes as biomarkers in colorectal cancer. </w:t>
      </w:r>
      <w:r w:rsidRPr="00F54EA8">
        <w:rPr>
          <w:rFonts w:ascii="Book Antiqua" w:eastAsia="SimSun" w:hAnsi="Book Antiqua" w:cs="Times New Roman"/>
          <w:i/>
          <w:kern w:val="2"/>
          <w:sz w:val="24"/>
          <w:szCs w:val="24"/>
          <w:lang w:val="en-US" w:eastAsia="zh-CN"/>
        </w:rPr>
        <w:lastRenderedPageBreak/>
        <w:t>Oncotarget</w:t>
      </w:r>
      <w:r w:rsidRPr="00F54EA8">
        <w:rPr>
          <w:rFonts w:ascii="Book Antiqua" w:eastAsia="SimSun" w:hAnsi="Book Antiqua" w:cs="Times New Roman"/>
          <w:kern w:val="2"/>
          <w:sz w:val="24"/>
          <w:szCs w:val="24"/>
          <w:lang w:val="en-US" w:eastAsia="zh-CN"/>
        </w:rPr>
        <w:t xml:space="preserve"> 2017; </w:t>
      </w:r>
      <w:r w:rsidRPr="00F54EA8">
        <w:rPr>
          <w:rFonts w:ascii="Book Antiqua" w:eastAsia="SimSun" w:hAnsi="Book Antiqua" w:cs="Times New Roman"/>
          <w:b/>
          <w:kern w:val="2"/>
          <w:sz w:val="24"/>
          <w:szCs w:val="24"/>
          <w:lang w:val="en-US" w:eastAsia="zh-CN"/>
        </w:rPr>
        <w:t>8</w:t>
      </w:r>
      <w:r w:rsidRPr="00F54EA8">
        <w:rPr>
          <w:rFonts w:ascii="Book Antiqua" w:eastAsia="SimSun" w:hAnsi="Book Antiqua" w:cs="Times New Roman"/>
          <w:kern w:val="2"/>
          <w:sz w:val="24"/>
          <w:szCs w:val="24"/>
          <w:lang w:val="en-US" w:eastAsia="zh-CN"/>
        </w:rPr>
        <w:t>: 55632-55645 [PMID: 28903450 DOI: 10.18632/oncotarget.17184]</w:t>
      </w:r>
    </w:p>
    <w:p w14:paraId="4ADD9CD9"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49 </w:t>
      </w:r>
      <w:r w:rsidRPr="00F54EA8">
        <w:rPr>
          <w:rFonts w:ascii="Book Antiqua" w:eastAsia="SimSun" w:hAnsi="Book Antiqua" w:cs="Times New Roman"/>
          <w:b/>
          <w:kern w:val="2"/>
          <w:sz w:val="24"/>
          <w:szCs w:val="24"/>
          <w:lang w:val="en-US" w:eastAsia="zh-CN"/>
        </w:rPr>
        <w:t>Nordgård O</w:t>
      </w:r>
      <w:r w:rsidRPr="00F54EA8">
        <w:rPr>
          <w:rFonts w:ascii="Book Antiqua" w:eastAsia="SimSun" w:hAnsi="Book Antiqua" w:cs="Times New Roman"/>
          <w:kern w:val="2"/>
          <w:sz w:val="24"/>
          <w:szCs w:val="24"/>
          <w:lang w:val="en-US" w:eastAsia="zh-CN"/>
        </w:rPr>
        <w:t xml:space="preserve">, Tjensvoll K, Gilje B, Søreide K. Circulating tumour cells and DNA as liquid biopsies in gastrointestinal cancer. </w:t>
      </w:r>
      <w:r w:rsidRPr="00F54EA8">
        <w:rPr>
          <w:rFonts w:ascii="Book Antiqua" w:eastAsia="SimSun" w:hAnsi="Book Antiqua" w:cs="Times New Roman"/>
          <w:i/>
          <w:kern w:val="2"/>
          <w:sz w:val="24"/>
          <w:szCs w:val="24"/>
          <w:lang w:val="en-US" w:eastAsia="zh-CN"/>
        </w:rPr>
        <w:t>Br J Surg</w:t>
      </w:r>
      <w:r w:rsidRPr="00F54EA8">
        <w:rPr>
          <w:rFonts w:ascii="Book Antiqua" w:eastAsia="SimSun" w:hAnsi="Book Antiqua" w:cs="Times New Roman"/>
          <w:kern w:val="2"/>
          <w:sz w:val="24"/>
          <w:szCs w:val="24"/>
          <w:lang w:val="en-US" w:eastAsia="zh-CN"/>
        </w:rPr>
        <w:t xml:space="preserve"> 2018; </w:t>
      </w:r>
      <w:r w:rsidRPr="00F54EA8">
        <w:rPr>
          <w:rFonts w:ascii="Book Antiqua" w:eastAsia="SimSun" w:hAnsi="Book Antiqua" w:cs="Times New Roman"/>
          <w:b/>
          <w:kern w:val="2"/>
          <w:sz w:val="24"/>
          <w:szCs w:val="24"/>
          <w:lang w:val="en-US" w:eastAsia="zh-CN"/>
        </w:rPr>
        <w:t>105</w:t>
      </w:r>
      <w:r w:rsidRPr="00F54EA8">
        <w:rPr>
          <w:rFonts w:ascii="Book Antiqua" w:eastAsia="SimSun" w:hAnsi="Book Antiqua" w:cs="Times New Roman"/>
          <w:kern w:val="2"/>
          <w:sz w:val="24"/>
          <w:szCs w:val="24"/>
          <w:lang w:val="en-US" w:eastAsia="zh-CN"/>
        </w:rPr>
        <w:t>: e110-e120 [PMID: 29341153 DOI: 10.1002/bjs.10782]</w:t>
      </w:r>
    </w:p>
    <w:p w14:paraId="32D7105E"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50 </w:t>
      </w:r>
      <w:r w:rsidRPr="00F54EA8">
        <w:rPr>
          <w:rFonts w:ascii="Book Antiqua" w:eastAsia="SimSun" w:hAnsi="Book Antiqua" w:cs="Times New Roman"/>
          <w:b/>
          <w:kern w:val="2"/>
          <w:sz w:val="24"/>
          <w:szCs w:val="24"/>
          <w:lang w:val="en-US" w:eastAsia="zh-CN"/>
        </w:rPr>
        <w:t>Law WL</w:t>
      </w:r>
      <w:r w:rsidRPr="00F54EA8">
        <w:rPr>
          <w:rFonts w:ascii="Book Antiqua" w:eastAsia="SimSun" w:hAnsi="Book Antiqua" w:cs="Times New Roman"/>
          <w:kern w:val="2"/>
          <w:sz w:val="24"/>
          <w:szCs w:val="24"/>
          <w:lang w:val="en-US" w:eastAsia="zh-CN"/>
        </w:rPr>
        <w:t xml:space="preserve">, Choi HK, Lee YM, Ho JW. The impact of postoperative complications on long-term outcomes following curative resection for colorectal cancer. </w:t>
      </w:r>
      <w:r w:rsidRPr="00F54EA8">
        <w:rPr>
          <w:rFonts w:ascii="Book Antiqua" w:eastAsia="SimSun" w:hAnsi="Book Antiqua" w:cs="Times New Roman"/>
          <w:i/>
          <w:kern w:val="2"/>
          <w:sz w:val="24"/>
          <w:szCs w:val="24"/>
          <w:lang w:val="en-US" w:eastAsia="zh-CN"/>
        </w:rPr>
        <w:t>Ann Surg Oncol</w:t>
      </w:r>
      <w:r w:rsidRPr="00F54EA8">
        <w:rPr>
          <w:rFonts w:ascii="Book Antiqua" w:eastAsia="SimSun" w:hAnsi="Book Antiqua" w:cs="Times New Roman"/>
          <w:kern w:val="2"/>
          <w:sz w:val="24"/>
          <w:szCs w:val="24"/>
          <w:lang w:val="en-US" w:eastAsia="zh-CN"/>
        </w:rPr>
        <w:t xml:space="preserve"> 2007; </w:t>
      </w:r>
      <w:r w:rsidRPr="00F54EA8">
        <w:rPr>
          <w:rFonts w:ascii="Book Antiqua" w:eastAsia="SimSun" w:hAnsi="Book Antiqua" w:cs="Times New Roman"/>
          <w:b/>
          <w:kern w:val="2"/>
          <w:sz w:val="24"/>
          <w:szCs w:val="24"/>
          <w:lang w:val="en-US" w:eastAsia="zh-CN"/>
        </w:rPr>
        <w:t>14</w:t>
      </w:r>
      <w:r w:rsidRPr="00F54EA8">
        <w:rPr>
          <w:rFonts w:ascii="Book Antiqua" w:eastAsia="SimSun" w:hAnsi="Book Antiqua" w:cs="Times New Roman"/>
          <w:kern w:val="2"/>
          <w:sz w:val="24"/>
          <w:szCs w:val="24"/>
          <w:lang w:val="en-US" w:eastAsia="zh-CN"/>
        </w:rPr>
        <w:t>: 2559-2566 [PMID: 17522945 DOI: 10.1245/s10434-007-9434-4]</w:t>
      </w:r>
    </w:p>
    <w:p w14:paraId="7F9BB053"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51 </w:t>
      </w:r>
      <w:r w:rsidRPr="00F54EA8">
        <w:rPr>
          <w:rFonts w:ascii="Book Antiqua" w:eastAsia="SimSun" w:hAnsi="Book Antiqua" w:cs="Times New Roman"/>
          <w:b/>
          <w:kern w:val="2"/>
          <w:sz w:val="24"/>
          <w:szCs w:val="24"/>
          <w:lang w:val="en-US" w:eastAsia="zh-CN"/>
        </w:rPr>
        <w:t>McArdle CS</w:t>
      </w:r>
      <w:r w:rsidRPr="00F54EA8">
        <w:rPr>
          <w:rFonts w:ascii="Book Antiqua" w:eastAsia="SimSun" w:hAnsi="Book Antiqua" w:cs="Times New Roman"/>
          <w:kern w:val="2"/>
          <w:sz w:val="24"/>
          <w:szCs w:val="24"/>
          <w:lang w:val="en-US" w:eastAsia="zh-CN"/>
        </w:rPr>
        <w:t xml:space="preserve">, McMillan DC, Hole DJ. Impact of anastomotic leakage on long-term survival of patients undergoing curative resection for colorectal cancer. </w:t>
      </w:r>
      <w:r w:rsidRPr="00F54EA8">
        <w:rPr>
          <w:rFonts w:ascii="Book Antiqua" w:eastAsia="SimSun" w:hAnsi="Book Antiqua" w:cs="Times New Roman"/>
          <w:i/>
          <w:kern w:val="2"/>
          <w:sz w:val="24"/>
          <w:szCs w:val="24"/>
          <w:lang w:val="en-US" w:eastAsia="zh-CN"/>
        </w:rPr>
        <w:t>Br J Surg</w:t>
      </w:r>
      <w:r w:rsidRPr="00F54EA8">
        <w:rPr>
          <w:rFonts w:ascii="Book Antiqua" w:eastAsia="SimSun" w:hAnsi="Book Antiqua" w:cs="Times New Roman"/>
          <w:kern w:val="2"/>
          <w:sz w:val="24"/>
          <w:szCs w:val="24"/>
          <w:lang w:val="en-US" w:eastAsia="zh-CN"/>
        </w:rPr>
        <w:t xml:space="preserve"> 2005; </w:t>
      </w:r>
      <w:r w:rsidRPr="00F54EA8">
        <w:rPr>
          <w:rFonts w:ascii="Book Antiqua" w:eastAsia="SimSun" w:hAnsi="Book Antiqua" w:cs="Times New Roman"/>
          <w:b/>
          <w:kern w:val="2"/>
          <w:sz w:val="24"/>
          <w:szCs w:val="24"/>
          <w:lang w:val="en-US" w:eastAsia="zh-CN"/>
        </w:rPr>
        <w:t>92</w:t>
      </w:r>
      <w:r w:rsidRPr="00F54EA8">
        <w:rPr>
          <w:rFonts w:ascii="Book Antiqua" w:eastAsia="SimSun" w:hAnsi="Book Antiqua" w:cs="Times New Roman"/>
          <w:kern w:val="2"/>
          <w:sz w:val="24"/>
          <w:szCs w:val="24"/>
          <w:lang w:val="en-US" w:eastAsia="zh-CN"/>
        </w:rPr>
        <w:t>: 1150-1154 [PMID: 16035134 DOI: 10.1002/bjs.5054]</w:t>
      </w:r>
    </w:p>
    <w:p w14:paraId="12C8599D"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52 </w:t>
      </w:r>
      <w:r w:rsidRPr="00F54EA8">
        <w:rPr>
          <w:rFonts w:ascii="Book Antiqua" w:eastAsia="SimSun" w:hAnsi="Book Antiqua" w:cs="Times New Roman"/>
          <w:b/>
          <w:kern w:val="2"/>
          <w:sz w:val="24"/>
          <w:szCs w:val="24"/>
          <w:lang w:val="en-US" w:eastAsia="zh-CN"/>
        </w:rPr>
        <w:t>Nespoli A</w:t>
      </w:r>
      <w:r w:rsidRPr="00F54EA8">
        <w:rPr>
          <w:rFonts w:ascii="Book Antiqua" w:eastAsia="SimSun" w:hAnsi="Book Antiqua" w:cs="Times New Roman"/>
          <w:kern w:val="2"/>
          <w:sz w:val="24"/>
          <w:szCs w:val="24"/>
          <w:lang w:val="en-US" w:eastAsia="zh-CN"/>
        </w:rPr>
        <w:t xml:space="preserve">, Gianotti L, Totis M, Bovo G, Nespoli L, Chiodini P, Brivio F. Correlation between postoperative infections and long-term survival after colorectal resection for cancer. </w:t>
      </w:r>
      <w:r w:rsidRPr="00F54EA8">
        <w:rPr>
          <w:rFonts w:ascii="Book Antiqua" w:eastAsia="SimSun" w:hAnsi="Book Antiqua" w:cs="Times New Roman"/>
          <w:i/>
          <w:kern w:val="2"/>
          <w:sz w:val="24"/>
          <w:szCs w:val="24"/>
          <w:lang w:val="en-US" w:eastAsia="zh-CN"/>
        </w:rPr>
        <w:t>Tumori</w:t>
      </w:r>
      <w:r w:rsidRPr="00F54EA8">
        <w:rPr>
          <w:rFonts w:ascii="Book Antiqua" w:eastAsia="SimSun" w:hAnsi="Book Antiqua" w:cs="Times New Roman"/>
          <w:kern w:val="2"/>
          <w:sz w:val="24"/>
          <w:szCs w:val="24"/>
          <w:lang w:val="en-US" w:eastAsia="zh-CN"/>
        </w:rPr>
        <w:t xml:space="preserve"> 2004; </w:t>
      </w:r>
      <w:r w:rsidRPr="00F54EA8">
        <w:rPr>
          <w:rFonts w:ascii="Book Antiqua" w:eastAsia="SimSun" w:hAnsi="Book Antiqua" w:cs="Times New Roman"/>
          <w:b/>
          <w:kern w:val="2"/>
          <w:sz w:val="24"/>
          <w:szCs w:val="24"/>
          <w:lang w:val="en-US" w:eastAsia="zh-CN"/>
        </w:rPr>
        <w:t>90</w:t>
      </w:r>
      <w:r w:rsidRPr="00F54EA8">
        <w:rPr>
          <w:rFonts w:ascii="Book Antiqua" w:eastAsia="SimSun" w:hAnsi="Book Antiqua" w:cs="Times New Roman"/>
          <w:kern w:val="2"/>
          <w:sz w:val="24"/>
          <w:szCs w:val="24"/>
          <w:lang w:val="en-US" w:eastAsia="zh-CN"/>
        </w:rPr>
        <w:t>: 485-490 [PMID: 15656334]</w:t>
      </w:r>
    </w:p>
    <w:p w14:paraId="2B22A072"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53 </w:t>
      </w:r>
      <w:r w:rsidRPr="00F54EA8">
        <w:rPr>
          <w:rFonts w:ascii="Book Antiqua" w:eastAsia="SimSun" w:hAnsi="Book Antiqua" w:cs="Times New Roman"/>
          <w:b/>
          <w:kern w:val="2"/>
          <w:sz w:val="24"/>
          <w:szCs w:val="24"/>
          <w:lang w:val="en-US" w:eastAsia="zh-CN"/>
        </w:rPr>
        <w:t>Mynster T</w:t>
      </w:r>
      <w:r w:rsidRPr="00F54EA8">
        <w:rPr>
          <w:rFonts w:ascii="Book Antiqua" w:eastAsia="SimSun" w:hAnsi="Book Antiqua" w:cs="Times New Roman"/>
          <w:kern w:val="2"/>
          <w:sz w:val="24"/>
          <w:szCs w:val="24"/>
          <w:lang w:val="en-US" w:eastAsia="zh-CN"/>
        </w:rPr>
        <w:t xml:space="preserve">, Christensen IJ, Moesgaard F, Nielsen HJ. Effects of the combination of blood transfusion and postoperative infectious complications on prognosis after surgery for colorectal cancer. Danish RANX05 Colorectal Cancer Study Group. </w:t>
      </w:r>
      <w:r w:rsidRPr="00F54EA8">
        <w:rPr>
          <w:rFonts w:ascii="Book Antiqua" w:eastAsia="SimSun" w:hAnsi="Book Antiqua" w:cs="Times New Roman"/>
          <w:i/>
          <w:kern w:val="2"/>
          <w:sz w:val="24"/>
          <w:szCs w:val="24"/>
          <w:lang w:val="en-US" w:eastAsia="zh-CN"/>
        </w:rPr>
        <w:t>Br J Surg</w:t>
      </w:r>
      <w:r w:rsidRPr="00F54EA8">
        <w:rPr>
          <w:rFonts w:ascii="Book Antiqua" w:eastAsia="SimSun" w:hAnsi="Book Antiqua" w:cs="Times New Roman"/>
          <w:kern w:val="2"/>
          <w:sz w:val="24"/>
          <w:szCs w:val="24"/>
          <w:lang w:val="en-US" w:eastAsia="zh-CN"/>
        </w:rPr>
        <w:t xml:space="preserve"> 2000; </w:t>
      </w:r>
      <w:r w:rsidRPr="00F54EA8">
        <w:rPr>
          <w:rFonts w:ascii="Book Antiqua" w:eastAsia="SimSun" w:hAnsi="Book Antiqua" w:cs="Times New Roman"/>
          <w:b/>
          <w:kern w:val="2"/>
          <w:sz w:val="24"/>
          <w:szCs w:val="24"/>
          <w:lang w:val="en-US" w:eastAsia="zh-CN"/>
        </w:rPr>
        <w:t>87</w:t>
      </w:r>
      <w:r w:rsidRPr="00F54EA8">
        <w:rPr>
          <w:rFonts w:ascii="Book Antiqua" w:eastAsia="SimSun" w:hAnsi="Book Antiqua" w:cs="Times New Roman"/>
          <w:kern w:val="2"/>
          <w:sz w:val="24"/>
          <w:szCs w:val="24"/>
          <w:lang w:val="en-US" w:eastAsia="zh-CN"/>
        </w:rPr>
        <w:t>: 1553-1562 [PMID: 11091245 DOI: 10.1046/j.1365-2168.2000.01570.x]</w:t>
      </w:r>
    </w:p>
    <w:p w14:paraId="6A720908"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54 </w:t>
      </w:r>
      <w:r w:rsidRPr="00F54EA8">
        <w:rPr>
          <w:rFonts w:ascii="Book Antiqua" w:eastAsia="SimSun" w:hAnsi="Book Antiqua" w:cs="Times New Roman"/>
          <w:b/>
          <w:kern w:val="2"/>
          <w:sz w:val="24"/>
          <w:szCs w:val="24"/>
          <w:lang w:val="en-US" w:eastAsia="zh-CN"/>
        </w:rPr>
        <w:t>Adloff M</w:t>
      </w:r>
      <w:r w:rsidRPr="00F54EA8">
        <w:rPr>
          <w:rFonts w:ascii="Book Antiqua" w:eastAsia="SimSun" w:hAnsi="Book Antiqua" w:cs="Times New Roman"/>
          <w:kern w:val="2"/>
          <w:sz w:val="24"/>
          <w:szCs w:val="24"/>
          <w:lang w:val="en-US" w:eastAsia="zh-CN"/>
        </w:rPr>
        <w:t xml:space="preserve">, Arnaud JP, Ollier JC, Schloegel M. [Can the prognosis of patients treated surgically in cancer of the rectum or colon be improved by follow-up? Prospective study of 909 patients]. </w:t>
      </w:r>
      <w:r w:rsidRPr="00F54EA8">
        <w:rPr>
          <w:rFonts w:ascii="Book Antiqua" w:eastAsia="SimSun" w:hAnsi="Book Antiqua" w:cs="Times New Roman"/>
          <w:i/>
          <w:kern w:val="2"/>
          <w:sz w:val="24"/>
          <w:szCs w:val="24"/>
          <w:lang w:val="en-US" w:eastAsia="zh-CN"/>
        </w:rPr>
        <w:t>Chirurgie</w:t>
      </w:r>
      <w:r w:rsidRPr="00F54EA8">
        <w:rPr>
          <w:rFonts w:ascii="Book Antiqua" w:eastAsia="SimSun" w:hAnsi="Book Antiqua" w:cs="Times New Roman"/>
          <w:kern w:val="2"/>
          <w:sz w:val="24"/>
          <w:szCs w:val="24"/>
          <w:lang w:val="en-US" w:eastAsia="zh-CN"/>
        </w:rPr>
        <w:t xml:space="preserve"> 1989; </w:t>
      </w:r>
      <w:r w:rsidRPr="00F54EA8">
        <w:rPr>
          <w:rFonts w:ascii="Book Antiqua" w:eastAsia="SimSun" w:hAnsi="Book Antiqua" w:cs="Times New Roman"/>
          <w:b/>
          <w:kern w:val="2"/>
          <w:sz w:val="24"/>
          <w:szCs w:val="24"/>
          <w:lang w:val="en-US" w:eastAsia="zh-CN"/>
        </w:rPr>
        <w:t>115</w:t>
      </w:r>
      <w:r w:rsidRPr="00F54EA8">
        <w:rPr>
          <w:rFonts w:ascii="Book Antiqua" w:eastAsia="SimSun" w:hAnsi="Book Antiqua" w:cs="Times New Roman"/>
          <w:kern w:val="2"/>
          <w:sz w:val="24"/>
          <w:szCs w:val="24"/>
          <w:lang w:val="en-US" w:eastAsia="zh-CN"/>
        </w:rPr>
        <w:t>: 228-36; discussion 236-7 [PMID: 2805932]</w:t>
      </w:r>
    </w:p>
    <w:p w14:paraId="33D16D05"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55 </w:t>
      </w:r>
      <w:r w:rsidRPr="00F54EA8">
        <w:rPr>
          <w:rFonts w:ascii="Book Antiqua" w:eastAsia="SimSun" w:hAnsi="Book Antiqua" w:cs="Times New Roman"/>
          <w:b/>
          <w:kern w:val="2"/>
          <w:sz w:val="24"/>
          <w:szCs w:val="24"/>
          <w:lang w:val="en-US" w:eastAsia="zh-CN"/>
        </w:rPr>
        <w:t>Moertel CG</w:t>
      </w:r>
      <w:r w:rsidRPr="00F54EA8">
        <w:rPr>
          <w:rFonts w:ascii="Book Antiqua" w:eastAsia="SimSun" w:hAnsi="Book Antiqua" w:cs="Times New Roman"/>
          <w:kern w:val="2"/>
          <w:sz w:val="24"/>
          <w:szCs w:val="24"/>
          <w:lang w:val="en-US" w:eastAsia="zh-CN"/>
        </w:rPr>
        <w:t xml:space="preserve">, Fleming TR, Macdonald JS, Haller DG, Laurie JA, Goodman PJ, Ungerleider JS, Emerson WA, Tormey DC, Glick JH. Levamisole and fluorouracil for adjuvant therapy of resected colon carcinoma. </w:t>
      </w:r>
      <w:r w:rsidRPr="00F54EA8">
        <w:rPr>
          <w:rFonts w:ascii="Book Antiqua" w:eastAsia="SimSun" w:hAnsi="Book Antiqua" w:cs="Times New Roman"/>
          <w:i/>
          <w:kern w:val="2"/>
          <w:sz w:val="24"/>
          <w:szCs w:val="24"/>
          <w:lang w:val="en-US" w:eastAsia="zh-CN"/>
        </w:rPr>
        <w:t>N Engl J Med</w:t>
      </w:r>
      <w:r w:rsidRPr="00F54EA8">
        <w:rPr>
          <w:rFonts w:ascii="Book Antiqua" w:eastAsia="SimSun" w:hAnsi="Book Antiqua" w:cs="Times New Roman"/>
          <w:kern w:val="2"/>
          <w:sz w:val="24"/>
          <w:szCs w:val="24"/>
          <w:lang w:val="en-US" w:eastAsia="zh-CN"/>
        </w:rPr>
        <w:t xml:space="preserve"> 1990; </w:t>
      </w:r>
      <w:r w:rsidRPr="00F54EA8">
        <w:rPr>
          <w:rFonts w:ascii="Book Antiqua" w:eastAsia="SimSun" w:hAnsi="Book Antiqua" w:cs="Times New Roman"/>
          <w:b/>
          <w:kern w:val="2"/>
          <w:sz w:val="24"/>
          <w:szCs w:val="24"/>
          <w:lang w:val="en-US" w:eastAsia="zh-CN"/>
        </w:rPr>
        <w:t>322</w:t>
      </w:r>
      <w:r w:rsidRPr="00F54EA8">
        <w:rPr>
          <w:rFonts w:ascii="Book Antiqua" w:eastAsia="SimSun" w:hAnsi="Book Antiqua" w:cs="Times New Roman"/>
          <w:kern w:val="2"/>
          <w:sz w:val="24"/>
          <w:szCs w:val="24"/>
          <w:lang w:val="en-US" w:eastAsia="zh-CN"/>
        </w:rPr>
        <w:t>: 352-358 [PMID: 2300087 DOI: 10.1056/NEJM199002083220602]</w:t>
      </w:r>
    </w:p>
    <w:p w14:paraId="04502EFD"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56 </w:t>
      </w:r>
      <w:r w:rsidRPr="00F54EA8">
        <w:rPr>
          <w:rFonts w:ascii="Book Antiqua" w:eastAsia="SimSun" w:hAnsi="Book Antiqua" w:cs="Times New Roman"/>
          <w:b/>
          <w:kern w:val="2"/>
          <w:sz w:val="24"/>
          <w:szCs w:val="24"/>
          <w:lang w:val="en-US" w:eastAsia="zh-CN"/>
        </w:rPr>
        <w:t>Greene FL</w:t>
      </w:r>
      <w:r w:rsidRPr="00F54EA8">
        <w:rPr>
          <w:rFonts w:ascii="Book Antiqua" w:eastAsia="SimSun" w:hAnsi="Book Antiqua" w:cs="Times New Roman"/>
          <w:kern w:val="2"/>
          <w:sz w:val="24"/>
          <w:szCs w:val="24"/>
          <w:lang w:val="en-US" w:eastAsia="zh-CN"/>
        </w:rPr>
        <w:t xml:space="preserve">, Stewart AK, Norton HJ. A new TNM staging strategy for node-positive (stage III) colon cancer: an analysis of 50,042 patients. </w:t>
      </w:r>
      <w:r w:rsidRPr="00F54EA8">
        <w:rPr>
          <w:rFonts w:ascii="Book Antiqua" w:eastAsia="SimSun" w:hAnsi="Book Antiqua" w:cs="Times New Roman"/>
          <w:i/>
          <w:kern w:val="2"/>
          <w:sz w:val="24"/>
          <w:szCs w:val="24"/>
          <w:lang w:val="en-US" w:eastAsia="zh-CN"/>
        </w:rPr>
        <w:t>Ann Surg</w:t>
      </w:r>
      <w:r w:rsidRPr="00F54EA8">
        <w:rPr>
          <w:rFonts w:ascii="Book Antiqua" w:eastAsia="SimSun" w:hAnsi="Book Antiqua" w:cs="Times New Roman"/>
          <w:kern w:val="2"/>
          <w:sz w:val="24"/>
          <w:szCs w:val="24"/>
          <w:lang w:val="en-US" w:eastAsia="zh-CN"/>
        </w:rPr>
        <w:t xml:space="preserve"> 2002; </w:t>
      </w:r>
      <w:r w:rsidRPr="00F54EA8">
        <w:rPr>
          <w:rFonts w:ascii="Book Antiqua" w:eastAsia="SimSun" w:hAnsi="Book Antiqua" w:cs="Times New Roman"/>
          <w:b/>
          <w:kern w:val="2"/>
          <w:sz w:val="24"/>
          <w:szCs w:val="24"/>
          <w:lang w:val="en-US" w:eastAsia="zh-CN"/>
        </w:rPr>
        <w:t>236</w:t>
      </w:r>
      <w:r w:rsidRPr="00F54EA8">
        <w:rPr>
          <w:rFonts w:ascii="Book Antiqua" w:eastAsia="SimSun" w:hAnsi="Book Antiqua" w:cs="Times New Roman"/>
          <w:kern w:val="2"/>
          <w:sz w:val="24"/>
          <w:szCs w:val="24"/>
          <w:lang w:val="en-US" w:eastAsia="zh-CN"/>
        </w:rPr>
        <w:t>: 416-21; discussion 421 [PMID: 12368669 DOI: 10.1097/01.SLA.0000029243.59219.7E]</w:t>
      </w:r>
    </w:p>
    <w:p w14:paraId="13274F0B"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57 </w:t>
      </w:r>
      <w:r w:rsidRPr="00F54EA8">
        <w:rPr>
          <w:rFonts w:ascii="Book Antiqua" w:eastAsia="SimSun" w:hAnsi="Book Antiqua" w:cs="Times New Roman"/>
          <w:b/>
          <w:kern w:val="2"/>
          <w:sz w:val="24"/>
          <w:szCs w:val="24"/>
          <w:lang w:val="en-US" w:eastAsia="zh-CN"/>
        </w:rPr>
        <w:t>Compton CC</w:t>
      </w:r>
      <w:r w:rsidRPr="00F54EA8">
        <w:rPr>
          <w:rFonts w:ascii="Book Antiqua" w:eastAsia="SimSun" w:hAnsi="Book Antiqua" w:cs="Times New Roman"/>
          <w:kern w:val="2"/>
          <w:sz w:val="24"/>
          <w:szCs w:val="24"/>
          <w:lang w:val="en-US" w:eastAsia="zh-CN"/>
        </w:rPr>
        <w:t xml:space="preserve">, Fielding LP, Burgart LJ, Conley B, Cooper HS, Hamilton SR, Hammond ME, Henson DE, Hutter RV, Nagle RB, Nielsen ML, Sargent DJ, Taylor CR, Welton M, Willett C. Prognostic factors in colorectal cancer. College of American </w:t>
      </w:r>
      <w:r w:rsidRPr="00F54EA8">
        <w:rPr>
          <w:rFonts w:ascii="Book Antiqua" w:eastAsia="SimSun" w:hAnsi="Book Antiqua" w:cs="Times New Roman"/>
          <w:kern w:val="2"/>
          <w:sz w:val="24"/>
          <w:szCs w:val="24"/>
          <w:lang w:val="en-US" w:eastAsia="zh-CN"/>
        </w:rPr>
        <w:lastRenderedPageBreak/>
        <w:t xml:space="preserve">Pathologists Consensus Statement 1999. </w:t>
      </w:r>
      <w:r w:rsidRPr="00F54EA8">
        <w:rPr>
          <w:rFonts w:ascii="Book Antiqua" w:eastAsia="SimSun" w:hAnsi="Book Antiqua" w:cs="Times New Roman"/>
          <w:i/>
          <w:kern w:val="2"/>
          <w:sz w:val="24"/>
          <w:szCs w:val="24"/>
          <w:lang w:val="en-US" w:eastAsia="zh-CN"/>
        </w:rPr>
        <w:t>Arch Pathol Lab Med</w:t>
      </w:r>
      <w:r w:rsidRPr="00F54EA8">
        <w:rPr>
          <w:rFonts w:ascii="Book Antiqua" w:eastAsia="SimSun" w:hAnsi="Book Antiqua" w:cs="Times New Roman"/>
          <w:kern w:val="2"/>
          <w:sz w:val="24"/>
          <w:szCs w:val="24"/>
          <w:lang w:val="en-US" w:eastAsia="zh-CN"/>
        </w:rPr>
        <w:t xml:space="preserve"> 2000; </w:t>
      </w:r>
      <w:r w:rsidRPr="00F54EA8">
        <w:rPr>
          <w:rFonts w:ascii="Book Antiqua" w:eastAsia="SimSun" w:hAnsi="Book Antiqua" w:cs="Times New Roman"/>
          <w:b/>
          <w:kern w:val="2"/>
          <w:sz w:val="24"/>
          <w:szCs w:val="24"/>
          <w:lang w:val="en-US" w:eastAsia="zh-CN"/>
        </w:rPr>
        <w:t>124</w:t>
      </w:r>
      <w:r w:rsidRPr="00F54EA8">
        <w:rPr>
          <w:rFonts w:ascii="Book Antiqua" w:eastAsia="SimSun" w:hAnsi="Book Antiqua" w:cs="Times New Roman"/>
          <w:kern w:val="2"/>
          <w:sz w:val="24"/>
          <w:szCs w:val="24"/>
          <w:lang w:val="en-US" w:eastAsia="zh-CN"/>
        </w:rPr>
        <w:t>: 979-994 [PMID: 10888773 DOI: 10.1043/0003-9985(2000)1242.0.CO</w:t>
      </w:r>
      <w:proofErr w:type="gramStart"/>
      <w:r w:rsidRPr="00F54EA8">
        <w:rPr>
          <w:rFonts w:ascii="Book Antiqua" w:eastAsia="SimSun" w:hAnsi="Book Antiqua" w:cs="Times New Roman"/>
          <w:kern w:val="2"/>
          <w:sz w:val="24"/>
          <w:szCs w:val="24"/>
          <w:lang w:val="en-US" w:eastAsia="zh-CN"/>
        </w:rPr>
        <w:t>;2</w:t>
      </w:r>
      <w:proofErr w:type="gramEnd"/>
      <w:r w:rsidRPr="00F54EA8">
        <w:rPr>
          <w:rFonts w:ascii="Book Antiqua" w:eastAsia="SimSun" w:hAnsi="Book Antiqua" w:cs="Times New Roman"/>
          <w:kern w:val="2"/>
          <w:sz w:val="24"/>
          <w:szCs w:val="24"/>
          <w:lang w:val="en-US" w:eastAsia="zh-CN"/>
        </w:rPr>
        <w:t>]</w:t>
      </w:r>
    </w:p>
    <w:p w14:paraId="66101623"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58 </w:t>
      </w:r>
      <w:r w:rsidRPr="00F54EA8">
        <w:rPr>
          <w:rFonts w:ascii="Book Antiqua" w:eastAsia="SimSun" w:hAnsi="Book Antiqua" w:cs="Times New Roman"/>
          <w:b/>
          <w:kern w:val="2"/>
          <w:sz w:val="24"/>
          <w:szCs w:val="24"/>
          <w:lang w:val="en-US" w:eastAsia="zh-CN"/>
        </w:rPr>
        <w:t>Compton CC</w:t>
      </w:r>
      <w:r w:rsidRPr="00F54EA8">
        <w:rPr>
          <w:rFonts w:ascii="Book Antiqua" w:eastAsia="SimSun" w:hAnsi="Book Antiqua" w:cs="Times New Roman"/>
          <w:kern w:val="2"/>
          <w:sz w:val="24"/>
          <w:szCs w:val="24"/>
          <w:lang w:val="en-US" w:eastAsia="zh-CN"/>
        </w:rPr>
        <w:t xml:space="preserve">. Colorectal carcinoma: diagnostic, prognostic, and molecular features. </w:t>
      </w:r>
      <w:r w:rsidRPr="00F54EA8">
        <w:rPr>
          <w:rFonts w:ascii="Book Antiqua" w:eastAsia="SimSun" w:hAnsi="Book Antiqua" w:cs="Times New Roman"/>
          <w:i/>
          <w:kern w:val="2"/>
          <w:sz w:val="24"/>
          <w:szCs w:val="24"/>
          <w:lang w:val="en-US" w:eastAsia="zh-CN"/>
        </w:rPr>
        <w:t>Mod Pathol</w:t>
      </w:r>
      <w:r w:rsidRPr="00F54EA8">
        <w:rPr>
          <w:rFonts w:ascii="Book Antiqua" w:eastAsia="SimSun" w:hAnsi="Book Antiqua" w:cs="Times New Roman"/>
          <w:kern w:val="2"/>
          <w:sz w:val="24"/>
          <w:szCs w:val="24"/>
          <w:lang w:val="en-US" w:eastAsia="zh-CN"/>
        </w:rPr>
        <w:t xml:space="preserve"> 2003; </w:t>
      </w:r>
      <w:r w:rsidRPr="00F54EA8">
        <w:rPr>
          <w:rFonts w:ascii="Book Antiqua" w:eastAsia="SimSun" w:hAnsi="Book Antiqua" w:cs="Times New Roman"/>
          <w:b/>
          <w:kern w:val="2"/>
          <w:sz w:val="24"/>
          <w:szCs w:val="24"/>
          <w:lang w:val="en-US" w:eastAsia="zh-CN"/>
        </w:rPr>
        <w:t>16</w:t>
      </w:r>
      <w:r w:rsidRPr="00F54EA8">
        <w:rPr>
          <w:rFonts w:ascii="Book Antiqua" w:eastAsia="SimSun" w:hAnsi="Book Antiqua" w:cs="Times New Roman"/>
          <w:kern w:val="2"/>
          <w:sz w:val="24"/>
          <w:szCs w:val="24"/>
          <w:lang w:val="en-US" w:eastAsia="zh-CN"/>
        </w:rPr>
        <w:t>: 376-388 [PMID: 12692203 DOI: 10.1097/01.MP.0000062859.46942.93]</w:t>
      </w:r>
    </w:p>
    <w:p w14:paraId="122E1EF3"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59 </w:t>
      </w:r>
      <w:r w:rsidRPr="00F54EA8">
        <w:rPr>
          <w:rFonts w:ascii="Book Antiqua" w:eastAsia="SimSun" w:hAnsi="Book Antiqua" w:cs="Times New Roman"/>
          <w:b/>
          <w:kern w:val="2"/>
          <w:sz w:val="24"/>
          <w:szCs w:val="24"/>
          <w:lang w:val="en-US" w:eastAsia="zh-CN"/>
        </w:rPr>
        <w:t>Huh JW</w:t>
      </w:r>
      <w:r w:rsidRPr="00F54EA8">
        <w:rPr>
          <w:rFonts w:ascii="Book Antiqua" w:eastAsia="SimSun" w:hAnsi="Book Antiqua" w:cs="Times New Roman"/>
          <w:kern w:val="2"/>
          <w:sz w:val="24"/>
          <w:szCs w:val="24"/>
          <w:lang w:val="en-US" w:eastAsia="zh-CN"/>
        </w:rPr>
        <w:t xml:space="preserve">, Kim HR, Kim YJ. Lymphovascular or perineural invasion may predict lymph node metastasis in patients with T1 and T2 colorectal cancer. </w:t>
      </w:r>
      <w:r w:rsidRPr="00F54EA8">
        <w:rPr>
          <w:rFonts w:ascii="Book Antiqua" w:eastAsia="SimSun" w:hAnsi="Book Antiqua" w:cs="Times New Roman"/>
          <w:i/>
          <w:kern w:val="2"/>
          <w:sz w:val="24"/>
          <w:szCs w:val="24"/>
          <w:lang w:val="en-US" w:eastAsia="zh-CN"/>
        </w:rPr>
        <w:t>J Gastrointest Surg</w:t>
      </w:r>
      <w:r w:rsidRPr="00F54EA8">
        <w:rPr>
          <w:rFonts w:ascii="Book Antiqua" w:eastAsia="SimSun" w:hAnsi="Book Antiqua" w:cs="Times New Roman"/>
          <w:kern w:val="2"/>
          <w:sz w:val="24"/>
          <w:szCs w:val="24"/>
          <w:lang w:val="en-US" w:eastAsia="zh-CN"/>
        </w:rPr>
        <w:t xml:space="preserve"> 2010; </w:t>
      </w:r>
      <w:r w:rsidRPr="00F54EA8">
        <w:rPr>
          <w:rFonts w:ascii="Book Antiqua" w:eastAsia="SimSun" w:hAnsi="Book Antiqua" w:cs="Times New Roman"/>
          <w:b/>
          <w:kern w:val="2"/>
          <w:sz w:val="24"/>
          <w:szCs w:val="24"/>
          <w:lang w:val="en-US" w:eastAsia="zh-CN"/>
        </w:rPr>
        <w:t>14</w:t>
      </w:r>
      <w:r w:rsidRPr="00F54EA8">
        <w:rPr>
          <w:rFonts w:ascii="Book Antiqua" w:eastAsia="SimSun" w:hAnsi="Book Antiqua" w:cs="Times New Roman"/>
          <w:kern w:val="2"/>
          <w:sz w:val="24"/>
          <w:szCs w:val="24"/>
          <w:lang w:val="en-US" w:eastAsia="zh-CN"/>
        </w:rPr>
        <w:t>: 1074-1080 [PMID: 20431977 DOI: 10.1007/s11605-010-1206-y]</w:t>
      </w:r>
    </w:p>
    <w:p w14:paraId="0E6608C7"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60 </w:t>
      </w:r>
      <w:r w:rsidRPr="00F54EA8">
        <w:rPr>
          <w:rFonts w:ascii="Book Antiqua" w:eastAsia="SimSun" w:hAnsi="Book Antiqua" w:cs="Times New Roman"/>
          <w:b/>
          <w:kern w:val="2"/>
          <w:sz w:val="24"/>
          <w:szCs w:val="24"/>
          <w:lang w:val="en-US" w:eastAsia="zh-CN"/>
        </w:rPr>
        <w:t>Liebig C</w:t>
      </w:r>
      <w:r w:rsidRPr="00F54EA8">
        <w:rPr>
          <w:rFonts w:ascii="Book Antiqua" w:eastAsia="SimSun" w:hAnsi="Book Antiqua" w:cs="Times New Roman"/>
          <w:kern w:val="2"/>
          <w:sz w:val="24"/>
          <w:szCs w:val="24"/>
          <w:lang w:val="en-US" w:eastAsia="zh-CN"/>
        </w:rPr>
        <w:t xml:space="preserve">, Ayala G, Wilks J, Verstovsek G, Liu H, Agarwal N, Berger DH, Albo D. Perineural invasion is an independent predictor of outcome in colorectal cancer. </w:t>
      </w:r>
      <w:r w:rsidRPr="00F54EA8">
        <w:rPr>
          <w:rFonts w:ascii="Book Antiqua" w:eastAsia="SimSun" w:hAnsi="Book Antiqua" w:cs="Times New Roman"/>
          <w:i/>
          <w:kern w:val="2"/>
          <w:sz w:val="24"/>
          <w:szCs w:val="24"/>
          <w:lang w:val="en-US" w:eastAsia="zh-CN"/>
        </w:rPr>
        <w:t>J Clin Oncol</w:t>
      </w:r>
      <w:r w:rsidRPr="00F54EA8">
        <w:rPr>
          <w:rFonts w:ascii="Book Antiqua" w:eastAsia="SimSun" w:hAnsi="Book Antiqua" w:cs="Times New Roman"/>
          <w:kern w:val="2"/>
          <w:sz w:val="24"/>
          <w:szCs w:val="24"/>
          <w:lang w:val="en-US" w:eastAsia="zh-CN"/>
        </w:rPr>
        <w:t xml:space="preserve"> 2009; </w:t>
      </w:r>
      <w:r w:rsidRPr="00F54EA8">
        <w:rPr>
          <w:rFonts w:ascii="Book Antiqua" w:eastAsia="SimSun" w:hAnsi="Book Antiqua" w:cs="Times New Roman"/>
          <w:b/>
          <w:kern w:val="2"/>
          <w:sz w:val="24"/>
          <w:szCs w:val="24"/>
          <w:lang w:val="en-US" w:eastAsia="zh-CN"/>
        </w:rPr>
        <w:t>27</w:t>
      </w:r>
      <w:r w:rsidRPr="00F54EA8">
        <w:rPr>
          <w:rFonts w:ascii="Book Antiqua" w:eastAsia="SimSun" w:hAnsi="Book Antiqua" w:cs="Times New Roman"/>
          <w:kern w:val="2"/>
          <w:sz w:val="24"/>
          <w:szCs w:val="24"/>
          <w:lang w:val="en-US" w:eastAsia="zh-CN"/>
        </w:rPr>
        <w:t>: 5131-5137 [PMID: 19738119 DOI: 10.1200/JCO.2009.22.4949]</w:t>
      </w:r>
    </w:p>
    <w:p w14:paraId="7B6B6C1E"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61 </w:t>
      </w:r>
      <w:r w:rsidRPr="00F54EA8">
        <w:rPr>
          <w:rFonts w:ascii="Book Antiqua" w:eastAsia="SimSun" w:hAnsi="Book Antiqua" w:cs="Times New Roman"/>
          <w:b/>
          <w:kern w:val="2"/>
          <w:sz w:val="24"/>
          <w:szCs w:val="24"/>
          <w:lang w:val="en-US" w:eastAsia="zh-CN"/>
        </w:rPr>
        <w:t>Nakamura T</w:t>
      </w:r>
      <w:r w:rsidRPr="00F54EA8">
        <w:rPr>
          <w:rFonts w:ascii="Book Antiqua" w:eastAsia="SimSun" w:hAnsi="Book Antiqua" w:cs="Times New Roman"/>
          <w:kern w:val="2"/>
          <w:sz w:val="24"/>
          <w:szCs w:val="24"/>
          <w:lang w:val="en-US" w:eastAsia="zh-CN"/>
        </w:rPr>
        <w:t xml:space="preserve">, Mitomi H, Kikuchi S, Ohtani Y, Sato K. Evaluation of the usefulness of tumor budding on the prediction of metastasis to the lung and liver after curative excision of colorectal cancer. </w:t>
      </w:r>
      <w:r w:rsidRPr="00F54EA8">
        <w:rPr>
          <w:rFonts w:ascii="Book Antiqua" w:eastAsia="SimSun" w:hAnsi="Book Antiqua" w:cs="Times New Roman"/>
          <w:i/>
          <w:kern w:val="2"/>
          <w:sz w:val="24"/>
          <w:szCs w:val="24"/>
          <w:lang w:val="en-US" w:eastAsia="zh-CN"/>
        </w:rPr>
        <w:t>Hepatogastroenterology</w:t>
      </w:r>
      <w:r w:rsidRPr="00F54EA8">
        <w:rPr>
          <w:rFonts w:ascii="Book Antiqua" w:eastAsia="SimSun" w:hAnsi="Book Antiqua" w:cs="Times New Roman"/>
          <w:kern w:val="2"/>
          <w:sz w:val="24"/>
          <w:szCs w:val="24"/>
          <w:lang w:val="en-US" w:eastAsia="zh-CN"/>
        </w:rPr>
        <w:t xml:space="preserve"> 2005; </w:t>
      </w:r>
      <w:r w:rsidRPr="00F54EA8">
        <w:rPr>
          <w:rFonts w:ascii="Book Antiqua" w:eastAsia="SimSun" w:hAnsi="Book Antiqua" w:cs="Times New Roman"/>
          <w:b/>
          <w:kern w:val="2"/>
          <w:sz w:val="24"/>
          <w:szCs w:val="24"/>
          <w:lang w:val="en-US" w:eastAsia="zh-CN"/>
        </w:rPr>
        <w:t>52</w:t>
      </w:r>
      <w:r w:rsidRPr="00F54EA8">
        <w:rPr>
          <w:rFonts w:ascii="Book Antiqua" w:eastAsia="SimSun" w:hAnsi="Book Antiqua" w:cs="Times New Roman"/>
          <w:kern w:val="2"/>
          <w:sz w:val="24"/>
          <w:szCs w:val="24"/>
          <w:lang w:val="en-US" w:eastAsia="zh-CN"/>
        </w:rPr>
        <w:t>: 1432-1435 [PMID: 16201089]</w:t>
      </w:r>
    </w:p>
    <w:p w14:paraId="631FB315"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62 </w:t>
      </w:r>
      <w:r w:rsidRPr="00F54EA8">
        <w:rPr>
          <w:rFonts w:ascii="Book Antiqua" w:eastAsia="SimSun" w:hAnsi="Book Antiqua" w:cs="Times New Roman"/>
          <w:b/>
          <w:kern w:val="2"/>
          <w:sz w:val="24"/>
          <w:szCs w:val="24"/>
          <w:lang w:val="en-US" w:eastAsia="zh-CN"/>
        </w:rPr>
        <w:t>Zlobec I</w:t>
      </w:r>
      <w:r w:rsidRPr="00F54EA8">
        <w:rPr>
          <w:rFonts w:ascii="Book Antiqua" w:eastAsia="SimSun" w:hAnsi="Book Antiqua" w:cs="Times New Roman"/>
          <w:kern w:val="2"/>
          <w:sz w:val="24"/>
          <w:szCs w:val="24"/>
          <w:lang w:val="en-US" w:eastAsia="zh-CN"/>
        </w:rPr>
        <w:t xml:space="preserve">, Lugli A, Baker K, Roth S, Minoo P, Hayashi S, Terracciano L, Jass JR. Role of APAF-1, E-cadherin and peritumoral lymphocytic infiltration in tumour budding in colorectal cancer. </w:t>
      </w:r>
      <w:r w:rsidRPr="00F54EA8">
        <w:rPr>
          <w:rFonts w:ascii="Book Antiqua" w:eastAsia="SimSun" w:hAnsi="Book Antiqua" w:cs="Times New Roman"/>
          <w:i/>
          <w:kern w:val="2"/>
          <w:sz w:val="24"/>
          <w:szCs w:val="24"/>
          <w:lang w:val="en-US" w:eastAsia="zh-CN"/>
        </w:rPr>
        <w:t>J Pathol</w:t>
      </w:r>
      <w:r w:rsidRPr="00F54EA8">
        <w:rPr>
          <w:rFonts w:ascii="Book Antiqua" w:eastAsia="SimSun" w:hAnsi="Book Antiqua" w:cs="Times New Roman"/>
          <w:kern w:val="2"/>
          <w:sz w:val="24"/>
          <w:szCs w:val="24"/>
          <w:lang w:val="en-US" w:eastAsia="zh-CN"/>
        </w:rPr>
        <w:t xml:space="preserve"> 2007; </w:t>
      </w:r>
      <w:r w:rsidRPr="00F54EA8">
        <w:rPr>
          <w:rFonts w:ascii="Book Antiqua" w:eastAsia="SimSun" w:hAnsi="Book Antiqua" w:cs="Times New Roman"/>
          <w:b/>
          <w:kern w:val="2"/>
          <w:sz w:val="24"/>
          <w:szCs w:val="24"/>
          <w:lang w:val="en-US" w:eastAsia="zh-CN"/>
        </w:rPr>
        <w:t>212</w:t>
      </w:r>
      <w:r w:rsidRPr="00F54EA8">
        <w:rPr>
          <w:rFonts w:ascii="Book Antiqua" w:eastAsia="SimSun" w:hAnsi="Book Antiqua" w:cs="Times New Roman"/>
          <w:kern w:val="2"/>
          <w:sz w:val="24"/>
          <w:szCs w:val="24"/>
          <w:lang w:val="en-US" w:eastAsia="zh-CN"/>
        </w:rPr>
        <w:t>: 260-268 [PMID: 17516584 DOI: 10.1002/path.2164]</w:t>
      </w:r>
    </w:p>
    <w:p w14:paraId="522613F4"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63 </w:t>
      </w:r>
      <w:r w:rsidRPr="00F54EA8">
        <w:rPr>
          <w:rFonts w:ascii="Book Antiqua" w:eastAsia="SimSun" w:hAnsi="Book Antiqua" w:cs="Times New Roman"/>
          <w:b/>
          <w:kern w:val="2"/>
          <w:sz w:val="24"/>
          <w:szCs w:val="24"/>
          <w:lang w:val="en-US" w:eastAsia="zh-CN"/>
        </w:rPr>
        <w:t>Purdie CA</w:t>
      </w:r>
      <w:r w:rsidRPr="00F54EA8">
        <w:rPr>
          <w:rFonts w:ascii="Book Antiqua" w:eastAsia="SimSun" w:hAnsi="Book Antiqua" w:cs="Times New Roman"/>
          <w:kern w:val="2"/>
          <w:sz w:val="24"/>
          <w:szCs w:val="24"/>
          <w:lang w:val="en-US" w:eastAsia="zh-CN"/>
        </w:rPr>
        <w:t xml:space="preserve">, Piris J. Histopathological grade, mucinous differentiation and DNA ploidy in relation to prognosis in colorectal carcinoma. </w:t>
      </w:r>
      <w:r w:rsidRPr="00F54EA8">
        <w:rPr>
          <w:rFonts w:ascii="Book Antiqua" w:eastAsia="SimSun" w:hAnsi="Book Antiqua" w:cs="Times New Roman"/>
          <w:i/>
          <w:kern w:val="2"/>
          <w:sz w:val="24"/>
          <w:szCs w:val="24"/>
          <w:lang w:val="en-US" w:eastAsia="zh-CN"/>
        </w:rPr>
        <w:t>Histopathology</w:t>
      </w:r>
      <w:r w:rsidRPr="00F54EA8">
        <w:rPr>
          <w:rFonts w:ascii="Book Antiqua" w:eastAsia="SimSun" w:hAnsi="Book Antiqua" w:cs="Times New Roman"/>
          <w:kern w:val="2"/>
          <w:sz w:val="24"/>
          <w:szCs w:val="24"/>
          <w:lang w:val="en-US" w:eastAsia="zh-CN"/>
        </w:rPr>
        <w:t xml:space="preserve"> 2000; </w:t>
      </w:r>
      <w:r w:rsidRPr="00F54EA8">
        <w:rPr>
          <w:rFonts w:ascii="Book Antiqua" w:eastAsia="SimSun" w:hAnsi="Book Antiqua" w:cs="Times New Roman"/>
          <w:b/>
          <w:kern w:val="2"/>
          <w:sz w:val="24"/>
          <w:szCs w:val="24"/>
          <w:lang w:val="en-US" w:eastAsia="zh-CN"/>
        </w:rPr>
        <w:t>36</w:t>
      </w:r>
      <w:r w:rsidRPr="00F54EA8">
        <w:rPr>
          <w:rFonts w:ascii="Book Antiqua" w:eastAsia="SimSun" w:hAnsi="Book Antiqua" w:cs="Times New Roman"/>
          <w:kern w:val="2"/>
          <w:sz w:val="24"/>
          <w:szCs w:val="24"/>
          <w:lang w:val="en-US" w:eastAsia="zh-CN"/>
        </w:rPr>
        <w:t>: 121-126 [PMID: 10672056]</w:t>
      </w:r>
    </w:p>
    <w:p w14:paraId="19D863FD"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64 </w:t>
      </w:r>
      <w:r w:rsidRPr="00F54EA8">
        <w:rPr>
          <w:rFonts w:ascii="Book Antiqua" w:eastAsia="SimSun" w:hAnsi="Book Antiqua" w:cs="Times New Roman"/>
          <w:b/>
          <w:kern w:val="2"/>
          <w:sz w:val="24"/>
          <w:szCs w:val="24"/>
          <w:lang w:val="en-US" w:eastAsia="zh-CN"/>
        </w:rPr>
        <w:t>Cho YB</w:t>
      </w:r>
      <w:r w:rsidRPr="00F54EA8">
        <w:rPr>
          <w:rFonts w:ascii="Book Antiqua" w:eastAsia="SimSun" w:hAnsi="Book Antiqua" w:cs="Times New Roman"/>
          <w:kern w:val="2"/>
          <w:sz w:val="24"/>
          <w:szCs w:val="24"/>
          <w:lang w:val="en-US" w:eastAsia="zh-CN"/>
        </w:rPr>
        <w:t xml:space="preserve">, Chun HK, Yun HR, Kim HC, Yun SH, Lee WY. Histological grade predicts survival time associated with recurrence after resection for colorectal cancer. </w:t>
      </w:r>
      <w:r w:rsidRPr="00F54EA8">
        <w:rPr>
          <w:rFonts w:ascii="Book Antiqua" w:eastAsia="SimSun" w:hAnsi="Book Antiqua" w:cs="Times New Roman"/>
          <w:i/>
          <w:kern w:val="2"/>
          <w:sz w:val="24"/>
          <w:szCs w:val="24"/>
          <w:lang w:val="en-US" w:eastAsia="zh-CN"/>
        </w:rPr>
        <w:t>Hepatogastroenterology</w:t>
      </w:r>
      <w:r w:rsidRPr="00F54EA8">
        <w:rPr>
          <w:rFonts w:ascii="Book Antiqua" w:eastAsia="SimSun" w:hAnsi="Book Antiqua" w:cs="Times New Roman"/>
          <w:kern w:val="2"/>
          <w:sz w:val="24"/>
          <w:szCs w:val="24"/>
          <w:lang w:val="en-US" w:eastAsia="zh-CN"/>
        </w:rPr>
        <w:t xml:space="preserve"> 2009; </w:t>
      </w:r>
      <w:r w:rsidRPr="00F54EA8">
        <w:rPr>
          <w:rFonts w:ascii="Book Antiqua" w:eastAsia="SimSun" w:hAnsi="Book Antiqua" w:cs="Times New Roman"/>
          <w:b/>
          <w:kern w:val="2"/>
          <w:sz w:val="24"/>
          <w:szCs w:val="24"/>
          <w:lang w:val="en-US" w:eastAsia="zh-CN"/>
        </w:rPr>
        <w:t>56</w:t>
      </w:r>
      <w:r w:rsidRPr="00F54EA8">
        <w:rPr>
          <w:rFonts w:ascii="Book Antiqua" w:eastAsia="SimSun" w:hAnsi="Book Antiqua" w:cs="Times New Roman"/>
          <w:kern w:val="2"/>
          <w:sz w:val="24"/>
          <w:szCs w:val="24"/>
          <w:lang w:val="en-US" w:eastAsia="zh-CN"/>
        </w:rPr>
        <w:t>: 1335-1340 [PMID: 19950787]</w:t>
      </w:r>
    </w:p>
    <w:p w14:paraId="1D80AD6A"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65 </w:t>
      </w:r>
      <w:r w:rsidRPr="00F54EA8">
        <w:rPr>
          <w:rFonts w:ascii="Book Antiqua" w:eastAsia="SimSun" w:hAnsi="Book Antiqua" w:cs="Times New Roman"/>
          <w:b/>
          <w:kern w:val="2"/>
          <w:sz w:val="24"/>
          <w:szCs w:val="24"/>
          <w:lang w:val="en-US" w:eastAsia="zh-CN"/>
        </w:rPr>
        <w:t>Zarbo RJ</w:t>
      </w:r>
      <w:r w:rsidRPr="00F54EA8">
        <w:rPr>
          <w:rFonts w:ascii="Book Antiqua" w:eastAsia="SimSun" w:hAnsi="Book Antiqua" w:cs="Times New Roman"/>
          <w:kern w:val="2"/>
          <w:sz w:val="24"/>
          <w:szCs w:val="24"/>
          <w:lang w:val="en-US" w:eastAsia="zh-CN"/>
        </w:rPr>
        <w:t xml:space="preserve">, Nakhleh RE, Brown RD, Kubus JJ, Ma CK, Mackowiak P. Prognostic significance of DNA ploidy and proliferation in 309 colorectal carcinomas as determined by two-color multiparametric DNA flow cytometry. </w:t>
      </w:r>
      <w:r w:rsidRPr="00F54EA8">
        <w:rPr>
          <w:rFonts w:ascii="Book Antiqua" w:eastAsia="SimSun" w:hAnsi="Book Antiqua" w:cs="Times New Roman"/>
          <w:i/>
          <w:kern w:val="2"/>
          <w:sz w:val="24"/>
          <w:szCs w:val="24"/>
          <w:lang w:val="en-US" w:eastAsia="zh-CN"/>
        </w:rPr>
        <w:t>Cancer</w:t>
      </w:r>
      <w:r w:rsidRPr="00F54EA8">
        <w:rPr>
          <w:rFonts w:ascii="Book Antiqua" w:eastAsia="SimSun" w:hAnsi="Book Antiqua" w:cs="Times New Roman"/>
          <w:kern w:val="2"/>
          <w:sz w:val="24"/>
          <w:szCs w:val="24"/>
          <w:lang w:val="en-US" w:eastAsia="zh-CN"/>
        </w:rPr>
        <w:t xml:space="preserve"> 1997; </w:t>
      </w:r>
      <w:r w:rsidRPr="00F54EA8">
        <w:rPr>
          <w:rFonts w:ascii="Book Antiqua" w:eastAsia="SimSun" w:hAnsi="Book Antiqua" w:cs="Times New Roman"/>
          <w:b/>
          <w:kern w:val="2"/>
          <w:sz w:val="24"/>
          <w:szCs w:val="24"/>
          <w:lang w:val="en-US" w:eastAsia="zh-CN"/>
        </w:rPr>
        <w:t>79</w:t>
      </w:r>
      <w:r w:rsidRPr="00F54EA8">
        <w:rPr>
          <w:rFonts w:ascii="Book Antiqua" w:eastAsia="SimSun" w:hAnsi="Book Antiqua" w:cs="Times New Roman"/>
          <w:kern w:val="2"/>
          <w:sz w:val="24"/>
          <w:szCs w:val="24"/>
          <w:lang w:val="en-US" w:eastAsia="zh-CN"/>
        </w:rPr>
        <w:t>: 2073-2086 [PMID: 9179053]</w:t>
      </w:r>
    </w:p>
    <w:p w14:paraId="6C898070"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66 </w:t>
      </w:r>
      <w:r w:rsidRPr="00F54EA8">
        <w:rPr>
          <w:rFonts w:ascii="Book Antiqua" w:eastAsia="SimSun" w:hAnsi="Book Antiqua" w:cs="Times New Roman"/>
          <w:b/>
          <w:kern w:val="2"/>
          <w:sz w:val="24"/>
          <w:szCs w:val="24"/>
          <w:lang w:val="en-US" w:eastAsia="zh-CN"/>
        </w:rPr>
        <w:t>Ohtani H</w:t>
      </w:r>
      <w:r w:rsidRPr="00F54EA8">
        <w:rPr>
          <w:rFonts w:ascii="Book Antiqua" w:eastAsia="SimSun" w:hAnsi="Book Antiqua" w:cs="Times New Roman"/>
          <w:kern w:val="2"/>
          <w:sz w:val="24"/>
          <w:szCs w:val="24"/>
          <w:lang w:val="en-US" w:eastAsia="zh-CN"/>
        </w:rPr>
        <w:t xml:space="preserve">. Focus on TILs: prognostic significance of tumor infiltrating lymphocytes in human colorectal cancer. </w:t>
      </w:r>
      <w:r w:rsidRPr="00F54EA8">
        <w:rPr>
          <w:rFonts w:ascii="Book Antiqua" w:eastAsia="SimSun" w:hAnsi="Book Antiqua" w:cs="Times New Roman"/>
          <w:i/>
          <w:kern w:val="2"/>
          <w:sz w:val="24"/>
          <w:szCs w:val="24"/>
          <w:lang w:val="en-US" w:eastAsia="zh-CN"/>
        </w:rPr>
        <w:t>Cancer Immun</w:t>
      </w:r>
      <w:r w:rsidRPr="00F54EA8">
        <w:rPr>
          <w:rFonts w:ascii="Book Antiqua" w:eastAsia="SimSun" w:hAnsi="Book Antiqua" w:cs="Times New Roman"/>
          <w:kern w:val="2"/>
          <w:sz w:val="24"/>
          <w:szCs w:val="24"/>
          <w:lang w:val="en-US" w:eastAsia="zh-CN"/>
        </w:rPr>
        <w:t xml:space="preserve"> 2007; </w:t>
      </w:r>
      <w:r w:rsidRPr="00F54EA8">
        <w:rPr>
          <w:rFonts w:ascii="Book Antiqua" w:eastAsia="SimSun" w:hAnsi="Book Antiqua" w:cs="Times New Roman"/>
          <w:b/>
          <w:kern w:val="2"/>
          <w:sz w:val="24"/>
          <w:szCs w:val="24"/>
          <w:lang w:val="en-US" w:eastAsia="zh-CN"/>
        </w:rPr>
        <w:t>7</w:t>
      </w:r>
      <w:r w:rsidRPr="00F54EA8">
        <w:rPr>
          <w:rFonts w:ascii="Book Antiqua" w:eastAsia="SimSun" w:hAnsi="Book Antiqua" w:cs="Times New Roman"/>
          <w:kern w:val="2"/>
          <w:sz w:val="24"/>
          <w:szCs w:val="24"/>
          <w:lang w:val="en-US" w:eastAsia="zh-CN"/>
        </w:rPr>
        <w:t>: 4 [PMID: 17311363]</w:t>
      </w:r>
    </w:p>
    <w:p w14:paraId="72114D15"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lastRenderedPageBreak/>
        <w:t xml:space="preserve">67 </w:t>
      </w:r>
      <w:r w:rsidRPr="00F54EA8">
        <w:rPr>
          <w:rFonts w:ascii="Book Antiqua" w:eastAsia="SimSun" w:hAnsi="Book Antiqua" w:cs="Times New Roman"/>
          <w:b/>
          <w:kern w:val="2"/>
          <w:sz w:val="24"/>
          <w:szCs w:val="24"/>
          <w:lang w:val="en-US" w:eastAsia="zh-CN"/>
        </w:rPr>
        <w:t>Baker K</w:t>
      </w:r>
      <w:r w:rsidRPr="00F54EA8">
        <w:rPr>
          <w:rFonts w:ascii="Book Antiqua" w:eastAsia="SimSun" w:hAnsi="Book Antiqua" w:cs="Times New Roman"/>
          <w:kern w:val="2"/>
          <w:sz w:val="24"/>
          <w:szCs w:val="24"/>
          <w:lang w:val="en-US" w:eastAsia="zh-CN"/>
        </w:rPr>
        <w:t xml:space="preserve">, Zlobec I, Tornillo L, Terracciano L, Jass JR, Lugli A. Differential significance of tumour infiltrating lymphocytes in sporadic mismatch repair deficient versus proficient colorectal cancers: a potential role for dysregulation of the transforming growth factor-beta pathway. </w:t>
      </w:r>
      <w:r w:rsidRPr="00F54EA8">
        <w:rPr>
          <w:rFonts w:ascii="Book Antiqua" w:eastAsia="SimSun" w:hAnsi="Book Antiqua" w:cs="Times New Roman"/>
          <w:i/>
          <w:kern w:val="2"/>
          <w:sz w:val="24"/>
          <w:szCs w:val="24"/>
          <w:lang w:val="en-US" w:eastAsia="zh-CN"/>
        </w:rPr>
        <w:t>Eur J Cancer</w:t>
      </w:r>
      <w:r w:rsidRPr="00F54EA8">
        <w:rPr>
          <w:rFonts w:ascii="Book Antiqua" w:eastAsia="SimSun" w:hAnsi="Book Antiqua" w:cs="Times New Roman"/>
          <w:kern w:val="2"/>
          <w:sz w:val="24"/>
          <w:szCs w:val="24"/>
          <w:lang w:val="en-US" w:eastAsia="zh-CN"/>
        </w:rPr>
        <w:t xml:space="preserve"> 2007; </w:t>
      </w:r>
      <w:r w:rsidRPr="00F54EA8">
        <w:rPr>
          <w:rFonts w:ascii="Book Antiqua" w:eastAsia="SimSun" w:hAnsi="Book Antiqua" w:cs="Times New Roman"/>
          <w:b/>
          <w:kern w:val="2"/>
          <w:sz w:val="24"/>
          <w:szCs w:val="24"/>
          <w:lang w:val="en-US" w:eastAsia="zh-CN"/>
        </w:rPr>
        <w:t>43</w:t>
      </w:r>
      <w:r w:rsidRPr="00F54EA8">
        <w:rPr>
          <w:rFonts w:ascii="Book Antiqua" w:eastAsia="SimSun" w:hAnsi="Book Antiqua" w:cs="Times New Roman"/>
          <w:kern w:val="2"/>
          <w:sz w:val="24"/>
          <w:szCs w:val="24"/>
          <w:lang w:val="en-US" w:eastAsia="zh-CN"/>
        </w:rPr>
        <w:t>: 624-631 [PMID: 17223543 DOI: 10.1016/j.ejca.2006.11.012]</w:t>
      </w:r>
    </w:p>
    <w:p w14:paraId="1CC71D56"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68 </w:t>
      </w:r>
      <w:r w:rsidRPr="00F54EA8">
        <w:rPr>
          <w:rFonts w:ascii="Book Antiqua" w:eastAsia="SimSun" w:hAnsi="Book Antiqua" w:cs="Times New Roman"/>
          <w:b/>
          <w:kern w:val="2"/>
          <w:sz w:val="24"/>
          <w:szCs w:val="24"/>
          <w:lang w:val="en-US" w:eastAsia="zh-CN"/>
        </w:rPr>
        <w:t>Jantscheff P</w:t>
      </w:r>
      <w:r w:rsidRPr="00F54EA8">
        <w:rPr>
          <w:rFonts w:ascii="Book Antiqua" w:eastAsia="SimSun" w:hAnsi="Book Antiqua" w:cs="Times New Roman"/>
          <w:kern w:val="2"/>
          <w:sz w:val="24"/>
          <w:szCs w:val="24"/>
          <w:lang w:val="en-US" w:eastAsia="zh-CN"/>
        </w:rPr>
        <w:t xml:space="preserve">, Terracciano L, Lowy A, Glatz-Krieger K, Grunert F, Micheel B, Brümmer J, Laffer U, Metzger U, Herrmann R, Rochlitz C. Expression of CEACAM6 in resectable colorectal cancer: a factor of independent prognostic significance. </w:t>
      </w:r>
      <w:r w:rsidRPr="00F54EA8">
        <w:rPr>
          <w:rFonts w:ascii="Book Antiqua" w:eastAsia="SimSun" w:hAnsi="Book Antiqua" w:cs="Times New Roman"/>
          <w:i/>
          <w:kern w:val="2"/>
          <w:sz w:val="24"/>
          <w:szCs w:val="24"/>
          <w:lang w:val="en-US" w:eastAsia="zh-CN"/>
        </w:rPr>
        <w:t>J Clin Oncol</w:t>
      </w:r>
      <w:r w:rsidRPr="00F54EA8">
        <w:rPr>
          <w:rFonts w:ascii="Book Antiqua" w:eastAsia="SimSun" w:hAnsi="Book Antiqua" w:cs="Times New Roman"/>
          <w:kern w:val="2"/>
          <w:sz w:val="24"/>
          <w:szCs w:val="24"/>
          <w:lang w:val="en-US" w:eastAsia="zh-CN"/>
        </w:rPr>
        <w:t xml:space="preserve"> 2003; </w:t>
      </w:r>
      <w:r w:rsidRPr="00F54EA8">
        <w:rPr>
          <w:rFonts w:ascii="Book Antiqua" w:eastAsia="SimSun" w:hAnsi="Book Antiqua" w:cs="Times New Roman"/>
          <w:b/>
          <w:kern w:val="2"/>
          <w:sz w:val="24"/>
          <w:szCs w:val="24"/>
          <w:lang w:val="en-US" w:eastAsia="zh-CN"/>
        </w:rPr>
        <w:t>21</w:t>
      </w:r>
      <w:r w:rsidRPr="00F54EA8">
        <w:rPr>
          <w:rFonts w:ascii="Book Antiqua" w:eastAsia="SimSun" w:hAnsi="Book Antiqua" w:cs="Times New Roman"/>
          <w:kern w:val="2"/>
          <w:sz w:val="24"/>
          <w:szCs w:val="24"/>
          <w:lang w:val="en-US" w:eastAsia="zh-CN"/>
        </w:rPr>
        <w:t>: 3638-3646 [PMID: 14512395 DOI: 10.1200/JCO.2003.55.135]</w:t>
      </w:r>
    </w:p>
    <w:p w14:paraId="1DBD25B7"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69 </w:t>
      </w:r>
      <w:r w:rsidRPr="00F54EA8">
        <w:rPr>
          <w:rFonts w:ascii="Book Antiqua" w:eastAsia="SimSun" w:hAnsi="Book Antiqua" w:cs="Times New Roman"/>
          <w:b/>
          <w:kern w:val="2"/>
          <w:sz w:val="24"/>
          <w:szCs w:val="24"/>
          <w:lang w:val="en-US" w:eastAsia="zh-CN"/>
        </w:rPr>
        <w:t>Popat S</w:t>
      </w:r>
      <w:r w:rsidRPr="00F54EA8">
        <w:rPr>
          <w:rFonts w:ascii="Book Antiqua" w:eastAsia="SimSun" w:hAnsi="Book Antiqua" w:cs="Times New Roman"/>
          <w:kern w:val="2"/>
          <w:sz w:val="24"/>
          <w:szCs w:val="24"/>
          <w:lang w:val="en-US" w:eastAsia="zh-CN"/>
        </w:rPr>
        <w:t xml:space="preserve">, Houlston RS. A systematic review and meta-analysis of the relationship between chromosome 18q genotype, DCC status and colorectal cancer prognosis. </w:t>
      </w:r>
      <w:r w:rsidRPr="00F54EA8">
        <w:rPr>
          <w:rFonts w:ascii="Book Antiqua" w:eastAsia="SimSun" w:hAnsi="Book Antiqua" w:cs="Times New Roman"/>
          <w:i/>
          <w:kern w:val="2"/>
          <w:sz w:val="24"/>
          <w:szCs w:val="24"/>
          <w:lang w:val="en-US" w:eastAsia="zh-CN"/>
        </w:rPr>
        <w:t>Eur J Cancer</w:t>
      </w:r>
      <w:r w:rsidRPr="00F54EA8">
        <w:rPr>
          <w:rFonts w:ascii="Book Antiqua" w:eastAsia="SimSun" w:hAnsi="Book Antiqua" w:cs="Times New Roman"/>
          <w:kern w:val="2"/>
          <w:sz w:val="24"/>
          <w:szCs w:val="24"/>
          <w:lang w:val="en-US" w:eastAsia="zh-CN"/>
        </w:rPr>
        <w:t xml:space="preserve"> 2005; </w:t>
      </w:r>
      <w:r w:rsidRPr="00F54EA8">
        <w:rPr>
          <w:rFonts w:ascii="Book Antiqua" w:eastAsia="SimSun" w:hAnsi="Book Antiqua" w:cs="Times New Roman"/>
          <w:b/>
          <w:kern w:val="2"/>
          <w:sz w:val="24"/>
          <w:szCs w:val="24"/>
          <w:lang w:val="en-US" w:eastAsia="zh-CN"/>
        </w:rPr>
        <w:t>41</w:t>
      </w:r>
      <w:r w:rsidRPr="00F54EA8">
        <w:rPr>
          <w:rFonts w:ascii="Book Antiqua" w:eastAsia="SimSun" w:hAnsi="Book Antiqua" w:cs="Times New Roman"/>
          <w:kern w:val="2"/>
          <w:sz w:val="24"/>
          <w:szCs w:val="24"/>
          <w:lang w:val="en-US" w:eastAsia="zh-CN"/>
        </w:rPr>
        <w:t>: 2060-2070 [PMID: 16125380 DOI: 10.1016/j.ejca.2005.04.039]</w:t>
      </w:r>
    </w:p>
    <w:p w14:paraId="7C5C9D2B"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70 </w:t>
      </w:r>
      <w:r w:rsidRPr="00F54EA8">
        <w:rPr>
          <w:rFonts w:ascii="Book Antiqua" w:eastAsia="SimSun" w:hAnsi="Book Antiqua" w:cs="Times New Roman"/>
          <w:b/>
          <w:kern w:val="2"/>
          <w:sz w:val="24"/>
          <w:szCs w:val="24"/>
          <w:lang w:val="en-US" w:eastAsia="zh-CN"/>
        </w:rPr>
        <w:t>Shibata D</w:t>
      </w:r>
      <w:r w:rsidRPr="00F54EA8">
        <w:rPr>
          <w:rFonts w:ascii="Book Antiqua" w:eastAsia="SimSun" w:hAnsi="Book Antiqua" w:cs="Times New Roman"/>
          <w:kern w:val="2"/>
          <w:sz w:val="24"/>
          <w:szCs w:val="24"/>
          <w:lang w:val="en-US" w:eastAsia="zh-CN"/>
        </w:rPr>
        <w:t xml:space="preserve">, Reale MA, Lavin P, Silverman M, Fearon ER, Steele G Jr, Jessup JM, Loda M, Summerhayes IC. The DCC protein and prognosis in colorectal cancer. </w:t>
      </w:r>
      <w:r w:rsidRPr="00F54EA8">
        <w:rPr>
          <w:rFonts w:ascii="Book Antiqua" w:eastAsia="SimSun" w:hAnsi="Book Antiqua" w:cs="Times New Roman"/>
          <w:i/>
          <w:kern w:val="2"/>
          <w:sz w:val="24"/>
          <w:szCs w:val="24"/>
          <w:lang w:val="en-US" w:eastAsia="zh-CN"/>
        </w:rPr>
        <w:t>N Engl J Med</w:t>
      </w:r>
      <w:r w:rsidRPr="00F54EA8">
        <w:rPr>
          <w:rFonts w:ascii="Book Antiqua" w:eastAsia="SimSun" w:hAnsi="Book Antiqua" w:cs="Times New Roman"/>
          <w:kern w:val="2"/>
          <w:sz w:val="24"/>
          <w:szCs w:val="24"/>
          <w:lang w:val="en-US" w:eastAsia="zh-CN"/>
        </w:rPr>
        <w:t xml:space="preserve"> 1996; </w:t>
      </w:r>
      <w:r w:rsidRPr="00F54EA8">
        <w:rPr>
          <w:rFonts w:ascii="Book Antiqua" w:eastAsia="SimSun" w:hAnsi="Book Antiqua" w:cs="Times New Roman"/>
          <w:b/>
          <w:kern w:val="2"/>
          <w:sz w:val="24"/>
          <w:szCs w:val="24"/>
          <w:lang w:val="en-US" w:eastAsia="zh-CN"/>
        </w:rPr>
        <w:t>335</w:t>
      </w:r>
      <w:r w:rsidRPr="00F54EA8">
        <w:rPr>
          <w:rFonts w:ascii="Book Antiqua" w:eastAsia="SimSun" w:hAnsi="Book Antiqua" w:cs="Times New Roman"/>
          <w:kern w:val="2"/>
          <w:sz w:val="24"/>
          <w:szCs w:val="24"/>
          <w:lang w:val="en-US" w:eastAsia="zh-CN"/>
        </w:rPr>
        <w:t>: 1727-1732 [PMID: 8929264 DOI: 10.1056/NEJM199612053352303]</w:t>
      </w:r>
    </w:p>
    <w:p w14:paraId="08066399"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71 </w:t>
      </w:r>
      <w:r w:rsidRPr="00F54EA8">
        <w:rPr>
          <w:rFonts w:ascii="Book Antiqua" w:eastAsia="SimSun" w:hAnsi="Book Antiqua" w:cs="Times New Roman"/>
          <w:b/>
          <w:kern w:val="2"/>
          <w:sz w:val="24"/>
          <w:szCs w:val="24"/>
          <w:lang w:val="en-US" w:eastAsia="zh-CN"/>
        </w:rPr>
        <w:t>Schwandner O</w:t>
      </w:r>
      <w:r w:rsidRPr="00F54EA8">
        <w:rPr>
          <w:rFonts w:ascii="Book Antiqua" w:eastAsia="SimSun" w:hAnsi="Book Antiqua" w:cs="Times New Roman"/>
          <w:kern w:val="2"/>
          <w:sz w:val="24"/>
          <w:szCs w:val="24"/>
          <w:lang w:val="en-US" w:eastAsia="zh-CN"/>
        </w:rPr>
        <w:t xml:space="preserve">, Schiedeck TH, Bruch HP, Duchrow M, Windhoevel U, Broll R. p53 and Bcl-2 as significant predictors of recurrence and survival in rectal cancer. </w:t>
      </w:r>
      <w:r w:rsidRPr="00F54EA8">
        <w:rPr>
          <w:rFonts w:ascii="Book Antiqua" w:eastAsia="SimSun" w:hAnsi="Book Antiqua" w:cs="Times New Roman"/>
          <w:i/>
          <w:kern w:val="2"/>
          <w:sz w:val="24"/>
          <w:szCs w:val="24"/>
          <w:lang w:val="en-US" w:eastAsia="zh-CN"/>
        </w:rPr>
        <w:t>Eur J Cancer</w:t>
      </w:r>
      <w:r w:rsidRPr="00F54EA8">
        <w:rPr>
          <w:rFonts w:ascii="Book Antiqua" w:eastAsia="SimSun" w:hAnsi="Book Antiqua" w:cs="Times New Roman"/>
          <w:kern w:val="2"/>
          <w:sz w:val="24"/>
          <w:szCs w:val="24"/>
          <w:lang w:val="en-US" w:eastAsia="zh-CN"/>
        </w:rPr>
        <w:t xml:space="preserve"> 2000; </w:t>
      </w:r>
      <w:r w:rsidRPr="00F54EA8">
        <w:rPr>
          <w:rFonts w:ascii="Book Antiqua" w:eastAsia="SimSun" w:hAnsi="Book Antiqua" w:cs="Times New Roman"/>
          <w:b/>
          <w:kern w:val="2"/>
          <w:sz w:val="24"/>
          <w:szCs w:val="24"/>
          <w:lang w:val="en-US" w:eastAsia="zh-CN"/>
        </w:rPr>
        <w:t>36</w:t>
      </w:r>
      <w:r w:rsidRPr="00F54EA8">
        <w:rPr>
          <w:rFonts w:ascii="Book Antiqua" w:eastAsia="SimSun" w:hAnsi="Book Antiqua" w:cs="Times New Roman"/>
          <w:kern w:val="2"/>
          <w:sz w:val="24"/>
          <w:szCs w:val="24"/>
          <w:lang w:val="en-US" w:eastAsia="zh-CN"/>
        </w:rPr>
        <w:t>: 348-356 [PMID: 10708936]</w:t>
      </w:r>
    </w:p>
    <w:p w14:paraId="7827AA7D"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72 </w:t>
      </w:r>
      <w:r w:rsidRPr="00F54EA8">
        <w:rPr>
          <w:rFonts w:ascii="Book Antiqua" w:eastAsia="SimSun" w:hAnsi="Book Antiqua" w:cs="Times New Roman"/>
          <w:b/>
          <w:kern w:val="2"/>
          <w:sz w:val="24"/>
          <w:szCs w:val="24"/>
          <w:lang w:val="en-US" w:eastAsia="zh-CN"/>
        </w:rPr>
        <w:t>Mulder JW</w:t>
      </w:r>
      <w:r w:rsidRPr="00F54EA8">
        <w:rPr>
          <w:rFonts w:ascii="Book Antiqua" w:eastAsia="SimSun" w:hAnsi="Book Antiqua" w:cs="Times New Roman"/>
          <w:kern w:val="2"/>
          <w:sz w:val="24"/>
          <w:szCs w:val="24"/>
          <w:lang w:val="en-US" w:eastAsia="zh-CN"/>
        </w:rPr>
        <w:t xml:space="preserve">, Kruyt PM, Sewnath M, Oosting J, Seldenrijk CA, Weidema WF, Offerhaus GJ, Pals ST. Colorectal cancer prognosis and expression of exon-v6-containing CD44 proteins. </w:t>
      </w:r>
      <w:r w:rsidRPr="00F54EA8">
        <w:rPr>
          <w:rFonts w:ascii="Book Antiqua" w:eastAsia="SimSun" w:hAnsi="Book Antiqua" w:cs="Times New Roman"/>
          <w:i/>
          <w:kern w:val="2"/>
          <w:sz w:val="24"/>
          <w:szCs w:val="24"/>
          <w:lang w:val="en-US" w:eastAsia="zh-CN"/>
        </w:rPr>
        <w:t>Lancet</w:t>
      </w:r>
      <w:r w:rsidRPr="00F54EA8">
        <w:rPr>
          <w:rFonts w:ascii="Book Antiqua" w:eastAsia="SimSun" w:hAnsi="Book Antiqua" w:cs="Times New Roman"/>
          <w:kern w:val="2"/>
          <w:sz w:val="24"/>
          <w:szCs w:val="24"/>
          <w:lang w:val="en-US" w:eastAsia="zh-CN"/>
        </w:rPr>
        <w:t xml:space="preserve"> 1994; </w:t>
      </w:r>
      <w:r w:rsidRPr="00F54EA8">
        <w:rPr>
          <w:rFonts w:ascii="Book Antiqua" w:eastAsia="SimSun" w:hAnsi="Book Antiqua" w:cs="Times New Roman"/>
          <w:b/>
          <w:kern w:val="2"/>
          <w:sz w:val="24"/>
          <w:szCs w:val="24"/>
          <w:lang w:val="en-US" w:eastAsia="zh-CN"/>
        </w:rPr>
        <w:t>344</w:t>
      </w:r>
      <w:r w:rsidRPr="00F54EA8">
        <w:rPr>
          <w:rFonts w:ascii="Book Antiqua" w:eastAsia="SimSun" w:hAnsi="Book Antiqua" w:cs="Times New Roman"/>
          <w:kern w:val="2"/>
          <w:sz w:val="24"/>
          <w:szCs w:val="24"/>
          <w:lang w:val="en-US" w:eastAsia="zh-CN"/>
        </w:rPr>
        <w:t>: 1470-1472 [PMID: 7526103]</w:t>
      </w:r>
    </w:p>
    <w:p w14:paraId="24C4694F"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73 </w:t>
      </w:r>
      <w:r w:rsidRPr="00F54EA8">
        <w:rPr>
          <w:rFonts w:ascii="Book Antiqua" w:eastAsia="SimSun" w:hAnsi="Book Antiqua" w:cs="Times New Roman"/>
          <w:b/>
          <w:kern w:val="2"/>
          <w:sz w:val="24"/>
          <w:szCs w:val="24"/>
          <w:lang w:val="en-US" w:eastAsia="zh-CN"/>
        </w:rPr>
        <w:t>Koopman M</w:t>
      </w:r>
      <w:r w:rsidRPr="00F54EA8">
        <w:rPr>
          <w:rFonts w:ascii="Book Antiqua" w:eastAsia="SimSun" w:hAnsi="Book Antiqua" w:cs="Times New Roman"/>
          <w:kern w:val="2"/>
          <w:sz w:val="24"/>
          <w:szCs w:val="24"/>
          <w:lang w:val="en-US" w:eastAsia="zh-CN"/>
        </w:rPr>
        <w:t xml:space="preserve">, Venderbosch S, Nagtegaal ID, van Krieken JH, Punt CJ. A review on the use of molecular markers of cytotoxic therapy for colorectal cancer, what have we learned? </w:t>
      </w:r>
      <w:r w:rsidRPr="00F54EA8">
        <w:rPr>
          <w:rFonts w:ascii="Book Antiqua" w:eastAsia="SimSun" w:hAnsi="Book Antiqua" w:cs="Times New Roman"/>
          <w:i/>
          <w:kern w:val="2"/>
          <w:sz w:val="24"/>
          <w:szCs w:val="24"/>
          <w:lang w:val="en-US" w:eastAsia="zh-CN"/>
        </w:rPr>
        <w:t>Eur J Cancer</w:t>
      </w:r>
      <w:r w:rsidRPr="00F54EA8">
        <w:rPr>
          <w:rFonts w:ascii="Book Antiqua" w:eastAsia="SimSun" w:hAnsi="Book Antiqua" w:cs="Times New Roman"/>
          <w:kern w:val="2"/>
          <w:sz w:val="24"/>
          <w:szCs w:val="24"/>
          <w:lang w:val="en-US" w:eastAsia="zh-CN"/>
        </w:rPr>
        <w:t xml:space="preserve"> 2009; </w:t>
      </w:r>
      <w:r w:rsidRPr="00F54EA8">
        <w:rPr>
          <w:rFonts w:ascii="Book Antiqua" w:eastAsia="SimSun" w:hAnsi="Book Antiqua" w:cs="Times New Roman"/>
          <w:b/>
          <w:kern w:val="2"/>
          <w:sz w:val="24"/>
          <w:szCs w:val="24"/>
          <w:lang w:val="en-US" w:eastAsia="zh-CN"/>
        </w:rPr>
        <w:t>45</w:t>
      </w:r>
      <w:r w:rsidRPr="00F54EA8">
        <w:rPr>
          <w:rFonts w:ascii="Book Antiqua" w:eastAsia="SimSun" w:hAnsi="Book Antiqua" w:cs="Times New Roman"/>
          <w:kern w:val="2"/>
          <w:sz w:val="24"/>
          <w:szCs w:val="24"/>
          <w:lang w:val="en-US" w:eastAsia="zh-CN"/>
        </w:rPr>
        <w:t>: 1935-1949 [PMID: 19473832 DOI: 10.1016/j.ejca.2009.04.023]</w:t>
      </w:r>
    </w:p>
    <w:p w14:paraId="1E08C4C2"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74 </w:t>
      </w:r>
      <w:r w:rsidRPr="00F54EA8">
        <w:rPr>
          <w:rFonts w:ascii="Book Antiqua" w:eastAsia="SimSun" w:hAnsi="Book Antiqua" w:cs="Times New Roman"/>
          <w:b/>
          <w:kern w:val="2"/>
          <w:sz w:val="24"/>
          <w:szCs w:val="24"/>
          <w:lang w:val="en-US" w:eastAsia="zh-CN"/>
        </w:rPr>
        <w:t>Gryfe R</w:t>
      </w:r>
      <w:r w:rsidRPr="00F54EA8">
        <w:rPr>
          <w:rFonts w:ascii="Book Antiqua" w:eastAsia="SimSun" w:hAnsi="Book Antiqua" w:cs="Times New Roman"/>
          <w:kern w:val="2"/>
          <w:sz w:val="24"/>
          <w:szCs w:val="24"/>
          <w:lang w:val="en-US" w:eastAsia="zh-CN"/>
        </w:rPr>
        <w:t xml:space="preserve">, Kim H, Hsieh ET, Aronson MD, Holowaty EJ, Bull SB, Redston M, Gallinger S. Tumor microsatellite instability and clinical outcome in young patients with colorectal cancer. </w:t>
      </w:r>
      <w:r w:rsidRPr="00F54EA8">
        <w:rPr>
          <w:rFonts w:ascii="Book Antiqua" w:eastAsia="SimSun" w:hAnsi="Book Antiqua" w:cs="Times New Roman"/>
          <w:i/>
          <w:kern w:val="2"/>
          <w:sz w:val="24"/>
          <w:szCs w:val="24"/>
          <w:lang w:val="en-US" w:eastAsia="zh-CN"/>
        </w:rPr>
        <w:t>N Engl J Med</w:t>
      </w:r>
      <w:r w:rsidRPr="00F54EA8">
        <w:rPr>
          <w:rFonts w:ascii="Book Antiqua" w:eastAsia="SimSun" w:hAnsi="Book Antiqua" w:cs="Times New Roman"/>
          <w:kern w:val="2"/>
          <w:sz w:val="24"/>
          <w:szCs w:val="24"/>
          <w:lang w:val="en-US" w:eastAsia="zh-CN"/>
        </w:rPr>
        <w:t xml:space="preserve"> 2000; </w:t>
      </w:r>
      <w:r w:rsidRPr="00F54EA8">
        <w:rPr>
          <w:rFonts w:ascii="Book Antiqua" w:eastAsia="SimSun" w:hAnsi="Book Antiqua" w:cs="Times New Roman"/>
          <w:b/>
          <w:kern w:val="2"/>
          <w:sz w:val="24"/>
          <w:szCs w:val="24"/>
          <w:lang w:val="en-US" w:eastAsia="zh-CN"/>
        </w:rPr>
        <w:t>342</w:t>
      </w:r>
      <w:r w:rsidRPr="00F54EA8">
        <w:rPr>
          <w:rFonts w:ascii="Book Antiqua" w:eastAsia="SimSun" w:hAnsi="Book Antiqua" w:cs="Times New Roman"/>
          <w:kern w:val="2"/>
          <w:sz w:val="24"/>
          <w:szCs w:val="24"/>
          <w:lang w:val="en-US" w:eastAsia="zh-CN"/>
        </w:rPr>
        <w:t>: 69-77 [PMID: 10631274 DOI: 10.1056/NEJM200001133420201]</w:t>
      </w:r>
    </w:p>
    <w:p w14:paraId="5170FDC6"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75 </w:t>
      </w:r>
      <w:r w:rsidRPr="00F54EA8">
        <w:rPr>
          <w:rFonts w:ascii="Book Antiqua" w:eastAsia="SimSun" w:hAnsi="Book Antiqua" w:cs="Times New Roman"/>
          <w:b/>
          <w:kern w:val="2"/>
          <w:sz w:val="24"/>
          <w:szCs w:val="24"/>
          <w:lang w:val="en-US" w:eastAsia="zh-CN"/>
        </w:rPr>
        <w:t>Frankel TL</w:t>
      </w:r>
      <w:r w:rsidRPr="00F54EA8">
        <w:rPr>
          <w:rFonts w:ascii="Book Antiqua" w:eastAsia="SimSun" w:hAnsi="Book Antiqua" w:cs="Times New Roman"/>
          <w:kern w:val="2"/>
          <w:sz w:val="24"/>
          <w:szCs w:val="24"/>
          <w:lang w:val="en-US" w:eastAsia="zh-CN"/>
        </w:rPr>
        <w:t xml:space="preserve">, Vakiani E, Nathan H, DeMatteo RP, Kingham TP, Allen PJ, Jarnagin WR, Kemeny NE, Solit DB, D'Angelica MI. Mutation location on the RAS oncogene </w:t>
      </w:r>
      <w:r w:rsidRPr="00F54EA8">
        <w:rPr>
          <w:rFonts w:ascii="Book Antiqua" w:eastAsia="SimSun" w:hAnsi="Book Antiqua" w:cs="Times New Roman"/>
          <w:kern w:val="2"/>
          <w:sz w:val="24"/>
          <w:szCs w:val="24"/>
          <w:lang w:val="en-US" w:eastAsia="zh-CN"/>
        </w:rPr>
        <w:lastRenderedPageBreak/>
        <w:t xml:space="preserve">affects pathologic features and survival after resection of colorectal liver metastases. </w:t>
      </w:r>
      <w:r w:rsidRPr="00F54EA8">
        <w:rPr>
          <w:rFonts w:ascii="Book Antiqua" w:eastAsia="SimSun" w:hAnsi="Book Antiqua" w:cs="Times New Roman"/>
          <w:i/>
          <w:kern w:val="2"/>
          <w:sz w:val="24"/>
          <w:szCs w:val="24"/>
          <w:lang w:val="en-US" w:eastAsia="zh-CN"/>
        </w:rPr>
        <w:t>Cancer</w:t>
      </w:r>
      <w:r w:rsidRPr="00F54EA8">
        <w:rPr>
          <w:rFonts w:ascii="Book Antiqua" w:eastAsia="SimSun" w:hAnsi="Book Antiqua" w:cs="Times New Roman"/>
          <w:kern w:val="2"/>
          <w:sz w:val="24"/>
          <w:szCs w:val="24"/>
          <w:lang w:val="en-US" w:eastAsia="zh-CN"/>
        </w:rPr>
        <w:t xml:space="preserve"> 2017; </w:t>
      </w:r>
      <w:r w:rsidRPr="00F54EA8">
        <w:rPr>
          <w:rFonts w:ascii="Book Antiqua" w:eastAsia="SimSun" w:hAnsi="Book Antiqua" w:cs="Times New Roman"/>
          <w:b/>
          <w:kern w:val="2"/>
          <w:sz w:val="24"/>
          <w:szCs w:val="24"/>
          <w:lang w:val="en-US" w:eastAsia="zh-CN"/>
        </w:rPr>
        <w:t>123</w:t>
      </w:r>
      <w:r w:rsidRPr="00F54EA8">
        <w:rPr>
          <w:rFonts w:ascii="Book Antiqua" w:eastAsia="SimSun" w:hAnsi="Book Antiqua" w:cs="Times New Roman"/>
          <w:kern w:val="2"/>
          <w:sz w:val="24"/>
          <w:szCs w:val="24"/>
          <w:lang w:val="en-US" w:eastAsia="zh-CN"/>
        </w:rPr>
        <w:t>: 568-575 [PMID: 27737491 DOI: 10.1002/cncr.30351]</w:t>
      </w:r>
    </w:p>
    <w:p w14:paraId="76C470B7"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76 </w:t>
      </w:r>
      <w:r w:rsidRPr="00F54EA8">
        <w:rPr>
          <w:rFonts w:ascii="Book Antiqua" w:eastAsia="SimSun" w:hAnsi="Book Antiqua" w:cs="Times New Roman"/>
          <w:b/>
          <w:kern w:val="2"/>
          <w:sz w:val="24"/>
          <w:szCs w:val="24"/>
          <w:lang w:val="en-US" w:eastAsia="zh-CN"/>
        </w:rPr>
        <w:t>Karagkounis G</w:t>
      </w:r>
      <w:r w:rsidRPr="00F54EA8">
        <w:rPr>
          <w:rFonts w:ascii="Book Antiqua" w:eastAsia="SimSun" w:hAnsi="Book Antiqua" w:cs="Times New Roman"/>
          <w:kern w:val="2"/>
          <w:sz w:val="24"/>
          <w:szCs w:val="24"/>
          <w:lang w:val="en-US" w:eastAsia="zh-CN"/>
        </w:rPr>
        <w:t xml:space="preserve">, Torbenson MS, Daniel HD, Azad NS, Diaz LA Jr, Donehower RC, Hirose K, Ahuja N, Pawlik TM, Choti MA. Incidence and prognostic impact of KRAS and BRAF mutation in patients undergoing liver surgery for colorectal metastases. </w:t>
      </w:r>
      <w:r w:rsidRPr="00F54EA8">
        <w:rPr>
          <w:rFonts w:ascii="Book Antiqua" w:eastAsia="SimSun" w:hAnsi="Book Antiqua" w:cs="Times New Roman"/>
          <w:i/>
          <w:kern w:val="2"/>
          <w:sz w:val="24"/>
          <w:szCs w:val="24"/>
          <w:lang w:val="en-US" w:eastAsia="zh-CN"/>
        </w:rPr>
        <w:t>Cancer</w:t>
      </w:r>
      <w:r w:rsidRPr="00F54EA8">
        <w:rPr>
          <w:rFonts w:ascii="Book Antiqua" w:eastAsia="SimSun" w:hAnsi="Book Antiqua" w:cs="Times New Roman"/>
          <w:kern w:val="2"/>
          <w:sz w:val="24"/>
          <w:szCs w:val="24"/>
          <w:lang w:val="en-US" w:eastAsia="zh-CN"/>
        </w:rPr>
        <w:t xml:space="preserve"> 2013; </w:t>
      </w:r>
      <w:r w:rsidRPr="00F54EA8">
        <w:rPr>
          <w:rFonts w:ascii="Book Antiqua" w:eastAsia="SimSun" w:hAnsi="Book Antiqua" w:cs="Times New Roman"/>
          <w:b/>
          <w:kern w:val="2"/>
          <w:sz w:val="24"/>
          <w:szCs w:val="24"/>
          <w:lang w:val="en-US" w:eastAsia="zh-CN"/>
        </w:rPr>
        <w:t>119</w:t>
      </w:r>
      <w:r w:rsidRPr="00F54EA8">
        <w:rPr>
          <w:rFonts w:ascii="Book Antiqua" w:eastAsia="SimSun" w:hAnsi="Book Antiqua" w:cs="Times New Roman"/>
          <w:kern w:val="2"/>
          <w:sz w:val="24"/>
          <w:szCs w:val="24"/>
          <w:lang w:val="en-US" w:eastAsia="zh-CN"/>
        </w:rPr>
        <w:t>: 4137-4144 [PMID: 24104864 DOI: 10.1002/cncr.28347]</w:t>
      </w:r>
    </w:p>
    <w:p w14:paraId="692509E0"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77 </w:t>
      </w:r>
      <w:r w:rsidRPr="00F54EA8">
        <w:rPr>
          <w:rFonts w:ascii="Book Antiqua" w:eastAsia="SimSun" w:hAnsi="Book Antiqua" w:cs="Times New Roman"/>
          <w:b/>
          <w:kern w:val="2"/>
          <w:sz w:val="24"/>
          <w:szCs w:val="24"/>
          <w:lang w:val="en-US" w:eastAsia="zh-CN"/>
        </w:rPr>
        <w:t>Stremitzer S</w:t>
      </w:r>
      <w:r w:rsidRPr="00F54EA8">
        <w:rPr>
          <w:rFonts w:ascii="Book Antiqua" w:eastAsia="SimSun" w:hAnsi="Book Antiqua" w:cs="Times New Roman"/>
          <w:kern w:val="2"/>
          <w:sz w:val="24"/>
          <w:szCs w:val="24"/>
          <w:lang w:val="en-US" w:eastAsia="zh-CN"/>
        </w:rPr>
        <w:t xml:space="preserve">, Stift J, Gruenberger B, Tamandl D, Aschacher T, Wolf B, Wrba F, Gruenberger T. KRAS status and outcome of liver resection after neoadjuvant chemotherapy including bevacizumab. </w:t>
      </w:r>
      <w:r w:rsidRPr="00F54EA8">
        <w:rPr>
          <w:rFonts w:ascii="Book Antiqua" w:eastAsia="SimSun" w:hAnsi="Book Antiqua" w:cs="Times New Roman"/>
          <w:i/>
          <w:kern w:val="2"/>
          <w:sz w:val="24"/>
          <w:szCs w:val="24"/>
          <w:lang w:val="en-US" w:eastAsia="zh-CN"/>
        </w:rPr>
        <w:t>Br J Surg</w:t>
      </w:r>
      <w:r w:rsidRPr="00F54EA8">
        <w:rPr>
          <w:rFonts w:ascii="Book Antiqua" w:eastAsia="SimSun" w:hAnsi="Book Antiqua" w:cs="Times New Roman"/>
          <w:kern w:val="2"/>
          <w:sz w:val="24"/>
          <w:szCs w:val="24"/>
          <w:lang w:val="en-US" w:eastAsia="zh-CN"/>
        </w:rPr>
        <w:t xml:space="preserve"> 2012; </w:t>
      </w:r>
      <w:r w:rsidRPr="00F54EA8">
        <w:rPr>
          <w:rFonts w:ascii="Book Antiqua" w:eastAsia="SimSun" w:hAnsi="Book Antiqua" w:cs="Times New Roman"/>
          <w:b/>
          <w:kern w:val="2"/>
          <w:sz w:val="24"/>
          <w:szCs w:val="24"/>
          <w:lang w:val="en-US" w:eastAsia="zh-CN"/>
        </w:rPr>
        <w:t>99</w:t>
      </w:r>
      <w:r w:rsidRPr="00F54EA8">
        <w:rPr>
          <w:rFonts w:ascii="Book Antiqua" w:eastAsia="SimSun" w:hAnsi="Book Antiqua" w:cs="Times New Roman"/>
          <w:kern w:val="2"/>
          <w:sz w:val="24"/>
          <w:szCs w:val="24"/>
          <w:lang w:val="en-US" w:eastAsia="zh-CN"/>
        </w:rPr>
        <w:t>: 1575-1582 [PMID: 23027075 DOI: 10.1002/bjs.8909]</w:t>
      </w:r>
    </w:p>
    <w:p w14:paraId="4CF8B7B5"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78 </w:t>
      </w:r>
      <w:r w:rsidRPr="00F54EA8">
        <w:rPr>
          <w:rFonts w:ascii="Book Antiqua" w:eastAsia="SimSun" w:hAnsi="Book Antiqua" w:cs="Times New Roman"/>
          <w:b/>
          <w:kern w:val="2"/>
          <w:sz w:val="24"/>
          <w:szCs w:val="24"/>
          <w:lang w:val="en-US" w:eastAsia="zh-CN"/>
        </w:rPr>
        <w:t>Vauthey JN</w:t>
      </w:r>
      <w:r w:rsidRPr="00F54EA8">
        <w:rPr>
          <w:rFonts w:ascii="Book Antiqua" w:eastAsia="SimSun" w:hAnsi="Book Antiqua" w:cs="Times New Roman"/>
          <w:kern w:val="2"/>
          <w:sz w:val="24"/>
          <w:szCs w:val="24"/>
          <w:lang w:val="en-US" w:eastAsia="zh-CN"/>
        </w:rPr>
        <w:t xml:space="preserve">, Zimmitti G, Kopetz SE, Shindoh J, Chen SS, Andreou A, Curley SA, Aloia TA, Maru DM. RAS mutation status predicts survival and patterns of recurrence in patients undergoing hepatectomy for colorectal liver metastases. </w:t>
      </w:r>
      <w:r w:rsidRPr="00F54EA8">
        <w:rPr>
          <w:rFonts w:ascii="Book Antiqua" w:eastAsia="SimSun" w:hAnsi="Book Antiqua" w:cs="Times New Roman"/>
          <w:i/>
          <w:kern w:val="2"/>
          <w:sz w:val="24"/>
          <w:szCs w:val="24"/>
          <w:lang w:val="en-US" w:eastAsia="zh-CN"/>
        </w:rPr>
        <w:t>Ann Surg</w:t>
      </w:r>
      <w:r w:rsidRPr="00F54EA8">
        <w:rPr>
          <w:rFonts w:ascii="Book Antiqua" w:eastAsia="SimSun" w:hAnsi="Book Antiqua" w:cs="Times New Roman"/>
          <w:kern w:val="2"/>
          <w:sz w:val="24"/>
          <w:szCs w:val="24"/>
          <w:lang w:val="en-US" w:eastAsia="zh-CN"/>
        </w:rPr>
        <w:t xml:space="preserve"> 2013; </w:t>
      </w:r>
      <w:r w:rsidRPr="00F54EA8">
        <w:rPr>
          <w:rFonts w:ascii="Book Antiqua" w:eastAsia="SimSun" w:hAnsi="Book Antiqua" w:cs="Times New Roman"/>
          <w:b/>
          <w:kern w:val="2"/>
          <w:sz w:val="24"/>
          <w:szCs w:val="24"/>
          <w:lang w:val="en-US" w:eastAsia="zh-CN"/>
        </w:rPr>
        <w:t>258</w:t>
      </w:r>
      <w:r w:rsidRPr="00F54EA8">
        <w:rPr>
          <w:rFonts w:ascii="Book Antiqua" w:eastAsia="SimSun" w:hAnsi="Book Antiqua" w:cs="Times New Roman"/>
          <w:kern w:val="2"/>
          <w:sz w:val="24"/>
          <w:szCs w:val="24"/>
          <w:lang w:val="en-US" w:eastAsia="zh-CN"/>
        </w:rPr>
        <w:t>: 619-26; discussion 626-7 [PMID: 24018645 DOI: 10.1097/SLA.0b013e3182a5025a]</w:t>
      </w:r>
    </w:p>
    <w:p w14:paraId="7CAC72B7"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79 </w:t>
      </w:r>
      <w:r w:rsidRPr="00F54EA8">
        <w:rPr>
          <w:rFonts w:ascii="Book Antiqua" w:eastAsia="SimSun" w:hAnsi="Book Antiqua" w:cs="Times New Roman"/>
          <w:b/>
          <w:kern w:val="2"/>
          <w:sz w:val="24"/>
          <w:szCs w:val="24"/>
          <w:lang w:val="en-US" w:eastAsia="zh-CN"/>
        </w:rPr>
        <w:t>Richman SD</w:t>
      </w:r>
      <w:r w:rsidRPr="00F54EA8">
        <w:rPr>
          <w:rFonts w:ascii="Book Antiqua" w:eastAsia="SimSun" w:hAnsi="Book Antiqua" w:cs="Times New Roman"/>
          <w:kern w:val="2"/>
          <w:sz w:val="24"/>
          <w:szCs w:val="24"/>
          <w:lang w:val="en-US" w:eastAsia="zh-CN"/>
        </w:rPr>
        <w:t xml:space="preserve">, Seymour MT, Chambers P, Elliott F, Daly CL, Meade AM, Taylor G, Barrett JH, Quirke P. KRAS and BRAF mutations in advanced colorectal cancer are associated with poor prognosis but do not preclude benefit from oxaliplatin or irinotecan: results from the MRC FOCUS trial. </w:t>
      </w:r>
      <w:r w:rsidRPr="00F54EA8">
        <w:rPr>
          <w:rFonts w:ascii="Book Antiqua" w:eastAsia="SimSun" w:hAnsi="Book Antiqua" w:cs="Times New Roman"/>
          <w:i/>
          <w:kern w:val="2"/>
          <w:sz w:val="24"/>
          <w:szCs w:val="24"/>
          <w:lang w:val="en-US" w:eastAsia="zh-CN"/>
        </w:rPr>
        <w:t>J Clin Oncol</w:t>
      </w:r>
      <w:r w:rsidRPr="00F54EA8">
        <w:rPr>
          <w:rFonts w:ascii="Book Antiqua" w:eastAsia="SimSun" w:hAnsi="Book Antiqua" w:cs="Times New Roman"/>
          <w:kern w:val="2"/>
          <w:sz w:val="24"/>
          <w:szCs w:val="24"/>
          <w:lang w:val="en-US" w:eastAsia="zh-CN"/>
        </w:rPr>
        <w:t xml:space="preserve"> 2009; </w:t>
      </w:r>
      <w:r w:rsidRPr="00F54EA8">
        <w:rPr>
          <w:rFonts w:ascii="Book Antiqua" w:eastAsia="SimSun" w:hAnsi="Book Antiqua" w:cs="Times New Roman"/>
          <w:b/>
          <w:kern w:val="2"/>
          <w:sz w:val="24"/>
          <w:szCs w:val="24"/>
          <w:lang w:val="en-US" w:eastAsia="zh-CN"/>
        </w:rPr>
        <w:t>27</w:t>
      </w:r>
      <w:r w:rsidRPr="00F54EA8">
        <w:rPr>
          <w:rFonts w:ascii="Book Antiqua" w:eastAsia="SimSun" w:hAnsi="Book Antiqua" w:cs="Times New Roman"/>
          <w:kern w:val="2"/>
          <w:sz w:val="24"/>
          <w:szCs w:val="24"/>
          <w:lang w:val="en-US" w:eastAsia="zh-CN"/>
        </w:rPr>
        <w:t>: 5931-5937 [PMID: 19884549 DOI: 10.1200/JCO.2009.22.4295]</w:t>
      </w:r>
    </w:p>
    <w:p w14:paraId="7EB9E01F"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80 </w:t>
      </w:r>
      <w:r w:rsidRPr="00F54EA8">
        <w:rPr>
          <w:rFonts w:ascii="Book Antiqua" w:eastAsia="SimSun" w:hAnsi="Book Antiqua" w:cs="Times New Roman"/>
          <w:b/>
          <w:kern w:val="2"/>
          <w:sz w:val="24"/>
          <w:szCs w:val="24"/>
          <w:lang w:val="en-US" w:eastAsia="zh-CN"/>
        </w:rPr>
        <w:t>Tran B</w:t>
      </w:r>
      <w:r w:rsidRPr="00F54EA8">
        <w:rPr>
          <w:rFonts w:ascii="Book Antiqua" w:eastAsia="SimSun" w:hAnsi="Book Antiqua" w:cs="Times New Roman"/>
          <w:kern w:val="2"/>
          <w:sz w:val="24"/>
          <w:szCs w:val="24"/>
          <w:lang w:val="en-US" w:eastAsia="zh-CN"/>
        </w:rPr>
        <w:t xml:space="preserve">, Kopetz S, Tie J, Gibbs P, Jiang ZQ, Lieu CH, Agarwal A, Maru DM, Sieber O, Desai J. Impact of BRAF mutation and microsatellite instability on the pattern of metastatic spread and prognosis in metastatic colorectal cancer. </w:t>
      </w:r>
      <w:r w:rsidRPr="00F54EA8">
        <w:rPr>
          <w:rFonts w:ascii="Book Antiqua" w:eastAsia="SimSun" w:hAnsi="Book Antiqua" w:cs="Times New Roman"/>
          <w:i/>
          <w:kern w:val="2"/>
          <w:sz w:val="24"/>
          <w:szCs w:val="24"/>
          <w:lang w:val="en-US" w:eastAsia="zh-CN"/>
        </w:rPr>
        <w:t>Cancer</w:t>
      </w:r>
      <w:r w:rsidRPr="00F54EA8">
        <w:rPr>
          <w:rFonts w:ascii="Book Antiqua" w:eastAsia="SimSun" w:hAnsi="Book Antiqua" w:cs="Times New Roman"/>
          <w:kern w:val="2"/>
          <w:sz w:val="24"/>
          <w:szCs w:val="24"/>
          <w:lang w:val="en-US" w:eastAsia="zh-CN"/>
        </w:rPr>
        <w:t xml:space="preserve"> 2011; </w:t>
      </w:r>
      <w:r w:rsidRPr="00F54EA8">
        <w:rPr>
          <w:rFonts w:ascii="Book Antiqua" w:eastAsia="SimSun" w:hAnsi="Book Antiqua" w:cs="Times New Roman"/>
          <w:b/>
          <w:kern w:val="2"/>
          <w:sz w:val="24"/>
          <w:szCs w:val="24"/>
          <w:lang w:val="en-US" w:eastAsia="zh-CN"/>
        </w:rPr>
        <w:t>117</w:t>
      </w:r>
      <w:r w:rsidRPr="00F54EA8">
        <w:rPr>
          <w:rFonts w:ascii="Book Antiqua" w:eastAsia="SimSun" w:hAnsi="Book Antiqua" w:cs="Times New Roman"/>
          <w:kern w:val="2"/>
          <w:sz w:val="24"/>
          <w:szCs w:val="24"/>
          <w:lang w:val="en-US" w:eastAsia="zh-CN"/>
        </w:rPr>
        <w:t>: 4623-4632 [PMID: 21456008 DOI: 10.1002/cncr.26086]</w:t>
      </w:r>
    </w:p>
    <w:p w14:paraId="3BD7F907"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81 </w:t>
      </w:r>
      <w:r w:rsidRPr="00F54EA8">
        <w:rPr>
          <w:rFonts w:ascii="Book Antiqua" w:eastAsia="SimSun" w:hAnsi="Book Antiqua" w:cs="Times New Roman"/>
          <w:b/>
          <w:kern w:val="2"/>
          <w:sz w:val="24"/>
          <w:szCs w:val="24"/>
          <w:lang w:val="en-US" w:eastAsia="zh-CN"/>
        </w:rPr>
        <w:t>Van Cutsem E</w:t>
      </w:r>
      <w:r w:rsidRPr="00F54EA8">
        <w:rPr>
          <w:rFonts w:ascii="Book Antiqua" w:eastAsia="SimSun" w:hAnsi="Book Antiqua" w:cs="Times New Roman"/>
          <w:kern w:val="2"/>
          <w:sz w:val="24"/>
          <w:szCs w:val="24"/>
          <w:lang w:val="en-US" w:eastAsia="zh-CN"/>
        </w:rPr>
        <w:t xml:space="preserve">, Köhne CH, Láng I, Folprecht G, Nowacki MP, Cascinu S, Shchepotin I, Maurel J, Cunningham D, Tejpar S, Schlichting M, Zubel A, Celik I, Rougier P, Ciardiello F. Cetuximab plus irinotecan, fluorouracil, and leucovorin as first-line treatment for metastatic colorectal cancer: updated analysis of overall survival according to tumor KRAS and BRAF mutation status. </w:t>
      </w:r>
      <w:r w:rsidRPr="00F54EA8">
        <w:rPr>
          <w:rFonts w:ascii="Book Antiqua" w:eastAsia="SimSun" w:hAnsi="Book Antiqua" w:cs="Times New Roman"/>
          <w:i/>
          <w:kern w:val="2"/>
          <w:sz w:val="24"/>
          <w:szCs w:val="24"/>
          <w:lang w:val="en-US" w:eastAsia="zh-CN"/>
        </w:rPr>
        <w:t>J Clin Oncol</w:t>
      </w:r>
      <w:r w:rsidRPr="00F54EA8">
        <w:rPr>
          <w:rFonts w:ascii="Book Antiqua" w:eastAsia="SimSun" w:hAnsi="Book Antiqua" w:cs="Times New Roman"/>
          <w:kern w:val="2"/>
          <w:sz w:val="24"/>
          <w:szCs w:val="24"/>
          <w:lang w:val="en-US" w:eastAsia="zh-CN"/>
        </w:rPr>
        <w:t xml:space="preserve"> 2011; </w:t>
      </w:r>
      <w:r w:rsidRPr="00F54EA8">
        <w:rPr>
          <w:rFonts w:ascii="Book Antiqua" w:eastAsia="SimSun" w:hAnsi="Book Antiqua" w:cs="Times New Roman"/>
          <w:b/>
          <w:kern w:val="2"/>
          <w:sz w:val="24"/>
          <w:szCs w:val="24"/>
          <w:lang w:val="en-US" w:eastAsia="zh-CN"/>
        </w:rPr>
        <w:t>29</w:t>
      </w:r>
      <w:r w:rsidRPr="00F54EA8">
        <w:rPr>
          <w:rFonts w:ascii="Book Antiqua" w:eastAsia="SimSun" w:hAnsi="Book Antiqua" w:cs="Times New Roman"/>
          <w:kern w:val="2"/>
          <w:sz w:val="24"/>
          <w:szCs w:val="24"/>
          <w:lang w:val="en-US" w:eastAsia="zh-CN"/>
        </w:rPr>
        <w:t>: 2011-2019 [PMID: 21502544 DOI: 10.1200/JCO.2010.33.5091]</w:t>
      </w:r>
    </w:p>
    <w:p w14:paraId="67794D71"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82 </w:t>
      </w:r>
      <w:r w:rsidRPr="00F54EA8">
        <w:rPr>
          <w:rFonts w:ascii="Book Antiqua" w:eastAsia="SimSun" w:hAnsi="Book Antiqua" w:cs="Times New Roman"/>
          <w:b/>
          <w:kern w:val="2"/>
          <w:sz w:val="24"/>
          <w:szCs w:val="24"/>
          <w:lang w:val="en-US" w:eastAsia="zh-CN"/>
        </w:rPr>
        <w:t>Gafà R</w:t>
      </w:r>
      <w:r w:rsidRPr="00F54EA8">
        <w:rPr>
          <w:rFonts w:ascii="Book Antiqua" w:eastAsia="SimSun" w:hAnsi="Book Antiqua" w:cs="Times New Roman"/>
          <w:kern w:val="2"/>
          <w:sz w:val="24"/>
          <w:szCs w:val="24"/>
          <w:lang w:val="en-US" w:eastAsia="zh-CN"/>
        </w:rPr>
        <w:t xml:space="preserve">, Maestri I, Matteuzzi M, Santini A, Ferretti S, Cavazzini L, Lanza G. </w:t>
      </w:r>
      <w:r w:rsidRPr="00F54EA8">
        <w:rPr>
          <w:rFonts w:ascii="Book Antiqua" w:eastAsia="SimSun" w:hAnsi="Book Antiqua" w:cs="Times New Roman"/>
          <w:kern w:val="2"/>
          <w:sz w:val="24"/>
          <w:szCs w:val="24"/>
          <w:lang w:val="en-US" w:eastAsia="zh-CN"/>
        </w:rPr>
        <w:lastRenderedPageBreak/>
        <w:t xml:space="preserve">Sporadic colorectal adenocarcinomas with high-frequency microsatellite instability. </w:t>
      </w:r>
      <w:r w:rsidRPr="00F54EA8">
        <w:rPr>
          <w:rFonts w:ascii="Book Antiqua" w:eastAsia="SimSun" w:hAnsi="Book Antiqua" w:cs="Times New Roman"/>
          <w:i/>
          <w:kern w:val="2"/>
          <w:sz w:val="24"/>
          <w:szCs w:val="24"/>
          <w:lang w:val="en-US" w:eastAsia="zh-CN"/>
        </w:rPr>
        <w:t>Cancer</w:t>
      </w:r>
      <w:r w:rsidRPr="00F54EA8">
        <w:rPr>
          <w:rFonts w:ascii="Book Antiqua" w:eastAsia="SimSun" w:hAnsi="Book Antiqua" w:cs="Times New Roman"/>
          <w:kern w:val="2"/>
          <w:sz w:val="24"/>
          <w:szCs w:val="24"/>
          <w:lang w:val="en-US" w:eastAsia="zh-CN"/>
        </w:rPr>
        <w:t xml:space="preserve"> 2000; </w:t>
      </w:r>
      <w:r w:rsidRPr="00F54EA8">
        <w:rPr>
          <w:rFonts w:ascii="Book Antiqua" w:eastAsia="SimSun" w:hAnsi="Book Antiqua" w:cs="Times New Roman"/>
          <w:b/>
          <w:kern w:val="2"/>
          <w:sz w:val="24"/>
          <w:szCs w:val="24"/>
          <w:lang w:val="en-US" w:eastAsia="zh-CN"/>
        </w:rPr>
        <w:t>89</w:t>
      </w:r>
      <w:r w:rsidRPr="00F54EA8">
        <w:rPr>
          <w:rFonts w:ascii="Book Antiqua" w:eastAsia="SimSun" w:hAnsi="Book Antiqua" w:cs="Times New Roman"/>
          <w:kern w:val="2"/>
          <w:sz w:val="24"/>
          <w:szCs w:val="24"/>
          <w:lang w:val="en-US" w:eastAsia="zh-CN"/>
        </w:rPr>
        <w:t>: 2025-2037 [PMID: 11066042]</w:t>
      </w:r>
    </w:p>
    <w:p w14:paraId="339CE854"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83 </w:t>
      </w:r>
      <w:r w:rsidRPr="00F54EA8">
        <w:rPr>
          <w:rFonts w:ascii="Book Antiqua" w:eastAsia="SimSun" w:hAnsi="Book Antiqua" w:cs="Times New Roman"/>
          <w:b/>
          <w:kern w:val="2"/>
          <w:sz w:val="24"/>
          <w:szCs w:val="24"/>
          <w:lang w:val="en-US" w:eastAsia="zh-CN"/>
        </w:rPr>
        <w:t>Benatti P</w:t>
      </w:r>
      <w:r w:rsidRPr="00F54EA8">
        <w:rPr>
          <w:rFonts w:ascii="Book Antiqua" w:eastAsia="SimSun" w:hAnsi="Book Antiqua" w:cs="Times New Roman"/>
          <w:kern w:val="2"/>
          <w:sz w:val="24"/>
          <w:szCs w:val="24"/>
          <w:lang w:val="en-US" w:eastAsia="zh-CN"/>
        </w:rPr>
        <w:t xml:space="preserve">, Gafà R, Barana D, Marino M, Scarselli A, Pedroni M, Maestri I, Guerzoni L, Roncucci L, Menigatti M, Roncari B, Maffei S, Rossi G, Ponti G, Santini A, Losi L, Di Gregorio C, Oliani C, Ponz de Leon M, Lanza G. Microsatellite instability and colorectal cancer prognosis. </w:t>
      </w:r>
      <w:r w:rsidRPr="00F54EA8">
        <w:rPr>
          <w:rFonts w:ascii="Book Antiqua" w:eastAsia="SimSun" w:hAnsi="Book Antiqua" w:cs="Times New Roman"/>
          <w:i/>
          <w:kern w:val="2"/>
          <w:sz w:val="24"/>
          <w:szCs w:val="24"/>
          <w:lang w:val="en-US" w:eastAsia="zh-CN"/>
        </w:rPr>
        <w:t>Clin Cancer Res</w:t>
      </w:r>
      <w:r w:rsidRPr="00F54EA8">
        <w:rPr>
          <w:rFonts w:ascii="Book Antiqua" w:eastAsia="SimSun" w:hAnsi="Book Antiqua" w:cs="Times New Roman"/>
          <w:kern w:val="2"/>
          <w:sz w:val="24"/>
          <w:szCs w:val="24"/>
          <w:lang w:val="en-US" w:eastAsia="zh-CN"/>
        </w:rPr>
        <w:t xml:space="preserve"> 2005; </w:t>
      </w:r>
      <w:r w:rsidRPr="00F54EA8">
        <w:rPr>
          <w:rFonts w:ascii="Book Antiqua" w:eastAsia="SimSun" w:hAnsi="Book Antiqua" w:cs="Times New Roman"/>
          <w:b/>
          <w:kern w:val="2"/>
          <w:sz w:val="24"/>
          <w:szCs w:val="24"/>
          <w:lang w:val="en-US" w:eastAsia="zh-CN"/>
        </w:rPr>
        <w:t>11</w:t>
      </w:r>
      <w:r w:rsidRPr="00F54EA8">
        <w:rPr>
          <w:rFonts w:ascii="Book Antiqua" w:eastAsia="SimSun" w:hAnsi="Book Antiqua" w:cs="Times New Roman"/>
          <w:kern w:val="2"/>
          <w:sz w:val="24"/>
          <w:szCs w:val="24"/>
          <w:lang w:val="en-US" w:eastAsia="zh-CN"/>
        </w:rPr>
        <w:t>: 8332-8340 [PMID: 16322293 DOI: 10.1158/1078-0432.CCR-05-1030]</w:t>
      </w:r>
    </w:p>
    <w:p w14:paraId="2589B728"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84 </w:t>
      </w:r>
      <w:r w:rsidRPr="00F54EA8">
        <w:rPr>
          <w:rFonts w:ascii="Book Antiqua" w:eastAsia="SimSun" w:hAnsi="Book Antiqua" w:cs="Times New Roman"/>
          <w:b/>
          <w:kern w:val="2"/>
          <w:sz w:val="24"/>
          <w:szCs w:val="24"/>
          <w:lang w:val="en-US" w:eastAsia="zh-CN"/>
        </w:rPr>
        <w:t>Bendardaf R</w:t>
      </w:r>
      <w:r w:rsidRPr="00F54EA8">
        <w:rPr>
          <w:rFonts w:ascii="Book Antiqua" w:eastAsia="SimSun" w:hAnsi="Book Antiqua" w:cs="Times New Roman"/>
          <w:kern w:val="2"/>
          <w:sz w:val="24"/>
          <w:szCs w:val="24"/>
          <w:lang w:val="en-US" w:eastAsia="zh-CN"/>
        </w:rPr>
        <w:t xml:space="preserve">, Lamlum H, Ristamäki R, Korkeila E, Syrjänen K, Pyrhönen S. Mismatch repair status is a predictive factor of tumour response to 5-fluorouracil and irinotecan chemotherapy in patients with advanced colorectal cancer. </w:t>
      </w:r>
      <w:r w:rsidRPr="00F54EA8">
        <w:rPr>
          <w:rFonts w:ascii="Book Antiqua" w:eastAsia="SimSun" w:hAnsi="Book Antiqua" w:cs="Times New Roman"/>
          <w:i/>
          <w:kern w:val="2"/>
          <w:sz w:val="24"/>
          <w:szCs w:val="24"/>
          <w:lang w:val="en-US" w:eastAsia="zh-CN"/>
        </w:rPr>
        <w:t>Tumour Biol</w:t>
      </w:r>
      <w:r w:rsidRPr="00F54EA8">
        <w:rPr>
          <w:rFonts w:ascii="Book Antiqua" w:eastAsia="SimSun" w:hAnsi="Book Antiqua" w:cs="Times New Roman"/>
          <w:kern w:val="2"/>
          <w:sz w:val="24"/>
          <w:szCs w:val="24"/>
          <w:lang w:val="en-US" w:eastAsia="zh-CN"/>
        </w:rPr>
        <w:t xml:space="preserve"> 2007; </w:t>
      </w:r>
      <w:r w:rsidRPr="00F54EA8">
        <w:rPr>
          <w:rFonts w:ascii="Book Antiqua" w:eastAsia="SimSun" w:hAnsi="Book Antiqua" w:cs="Times New Roman"/>
          <w:b/>
          <w:kern w:val="2"/>
          <w:sz w:val="24"/>
          <w:szCs w:val="24"/>
          <w:lang w:val="en-US" w:eastAsia="zh-CN"/>
        </w:rPr>
        <w:t>28</w:t>
      </w:r>
      <w:r w:rsidRPr="00F54EA8">
        <w:rPr>
          <w:rFonts w:ascii="Book Antiqua" w:eastAsia="SimSun" w:hAnsi="Book Antiqua" w:cs="Times New Roman"/>
          <w:kern w:val="2"/>
          <w:sz w:val="24"/>
          <w:szCs w:val="24"/>
          <w:lang w:val="en-US" w:eastAsia="zh-CN"/>
        </w:rPr>
        <w:t>: 212-220 [PMID: 17717427 DOI: 10.1159/000107417]</w:t>
      </w:r>
    </w:p>
    <w:p w14:paraId="2F444ECD"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85 </w:t>
      </w:r>
      <w:r w:rsidRPr="00F54EA8">
        <w:rPr>
          <w:rFonts w:ascii="Book Antiqua" w:eastAsia="SimSun" w:hAnsi="Book Antiqua" w:cs="Times New Roman"/>
          <w:b/>
          <w:kern w:val="2"/>
          <w:sz w:val="24"/>
          <w:szCs w:val="24"/>
          <w:lang w:val="en-US" w:eastAsia="zh-CN"/>
        </w:rPr>
        <w:t>Carethers JM</w:t>
      </w:r>
      <w:r w:rsidRPr="00F54EA8">
        <w:rPr>
          <w:rFonts w:ascii="Book Antiqua" w:eastAsia="SimSun" w:hAnsi="Book Antiqua" w:cs="Times New Roman"/>
          <w:kern w:val="2"/>
          <w:sz w:val="24"/>
          <w:szCs w:val="24"/>
          <w:lang w:val="en-US" w:eastAsia="zh-CN"/>
        </w:rPr>
        <w:t xml:space="preserve">, Smith EJ, Behling CA, Nguyen L, Tajima A, Doctolero RT, Cabrera BL, Goel A, Arnold CA, Miyai K, Boland CR. Use of 5-fluorouracil and survival in patients with microsatellite-unstable colorectal cancer. </w:t>
      </w:r>
      <w:r w:rsidRPr="00F54EA8">
        <w:rPr>
          <w:rFonts w:ascii="Book Antiqua" w:eastAsia="SimSun" w:hAnsi="Book Antiqua" w:cs="Times New Roman"/>
          <w:i/>
          <w:kern w:val="2"/>
          <w:sz w:val="24"/>
          <w:szCs w:val="24"/>
          <w:lang w:val="en-US" w:eastAsia="zh-CN"/>
        </w:rPr>
        <w:t>Gastroenterology</w:t>
      </w:r>
      <w:r w:rsidRPr="00F54EA8">
        <w:rPr>
          <w:rFonts w:ascii="Book Antiqua" w:eastAsia="SimSun" w:hAnsi="Book Antiqua" w:cs="Times New Roman"/>
          <w:kern w:val="2"/>
          <w:sz w:val="24"/>
          <w:szCs w:val="24"/>
          <w:lang w:val="en-US" w:eastAsia="zh-CN"/>
        </w:rPr>
        <w:t xml:space="preserve"> 2004; </w:t>
      </w:r>
      <w:r w:rsidRPr="00F54EA8">
        <w:rPr>
          <w:rFonts w:ascii="Book Antiqua" w:eastAsia="SimSun" w:hAnsi="Book Antiqua" w:cs="Times New Roman"/>
          <w:b/>
          <w:kern w:val="2"/>
          <w:sz w:val="24"/>
          <w:szCs w:val="24"/>
          <w:lang w:val="en-US" w:eastAsia="zh-CN"/>
        </w:rPr>
        <w:t>126</w:t>
      </w:r>
      <w:r w:rsidRPr="00F54EA8">
        <w:rPr>
          <w:rFonts w:ascii="Book Antiqua" w:eastAsia="SimSun" w:hAnsi="Book Antiqua" w:cs="Times New Roman"/>
          <w:kern w:val="2"/>
          <w:sz w:val="24"/>
          <w:szCs w:val="24"/>
          <w:lang w:val="en-US" w:eastAsia="zh-CN"/>
        </w:rPr>
        <w:t>: 394-401 [PMID: 14762775]</w:t>
      </w:r>
    </w:p>
    <w:p w14:paraId="6A8FDD12"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86 </w:t>
      </w:r>
      <w:r w:rsidRPr="00F54EA8">
        <w:rPr>
          <w:rFonts w:ascii="Book Antiqua" w:eastAsia="SimSun" w:hAnsi="Book Antiqua" w:cs="Times New Roman"/>
          <w:b/>
          <w:kern w:val="2"/>
          <w:sz w:val="24"/>
          <w:szCs w:val="24"/>
          <w:lang w:val="en-US" w:eastAsia="zh-CN"/>
        </w:rPr>
        <w:t>Jover R</w:t>
      </w:r>
      <w:r w:rsidRPr="00F54EA8">
        <w:rPr>
          <w:rFonts w:ascii="Book Antiqua" w:eastAsia="SimSun" w:hAnsi="Book Antiqua" w:cs="Times New Roman"/>
          <w:kern w:val="2"/>
          <w:sz w:val="24"/>
          <w:szCs w:val="24"/>
          <w:lang w:val="en-US" w:eastAsia="zh-CN"/>
        </w:rPr>
        <w:t xml:space="preserve">, Zapater P, Castells A, Llor X, Andreu M, Cubiella J, Piñol V, Xicola RM, Bujanda L, Reñé JM, Clofent J, Bessa X, Morillas JD, Nicolás-Pérez D, Payá A, Alenda C; Gastrointestinal Oncology Group of the Spanish Gastroenterological Association. Mismatch repair status in the prediction of benefit from adjuvant fluorouracil chemotherapy in colorectal cancer. </w:t>
      </w:r>
      <w:r w:rsidRPr="00F54EA8">
        <w:rPr>
          <w:rFonts w:ascii="Book Antiqua" w:eastAsia="SimSun" w:hAnsi="Book Antiqua" w:cs="Times New Roman"/>
          <w:i/>
          <w:kern w:val="2"/>
          <w:sz w:val="24"/>
          <w:szCs w:val="24"/>
          <w:lang w:val="en-US" w:eastAsia="zh-CN"/>
        </w:rPr>
        <w:t>Gut</w:t>
      </w:r>
      <w:r w:rsidRPr="00F54EA8">
        <w:rPr>
          <w:rFonts w:ascii="Book Antiqua" w:eastAsia="SimSun" w:hAnsi="Book Antiqua" w:cs="Times New Roman"/>
          <w:kern w:val="2"/>
          <w:sz w:val="24"/>
          <w:szCs w:val="24"/>
          <w:lang w:val="en-US" w:eastAsia="zh-CN"/>
        </w:rPr>
        <w:t xml:space="preserve"> 2006; </w:t>
      </w:r>
      <w:r w:rsidRPr="00F54EA8">
        <w:rPr>
          <w:rFonts w:ascii="Book Antiqua" w:eastAsia="SimSun" w:hAnsi="Book Antiqua" w:cs="Times New Roman"/>
          <w:b/>
          <w:kern w:val="2"/>
          <w:sz w:val="24"/>
          <w:szCs w:val="24"/>
          <w:lang w:val="en-US" w:eastAsia="zh-CN"/>
        </w:rPr>
        <w:t>55</w:t>
      </w:r>
      <w:r w:rsidRPr="00F54EA8">
        <w:rPr>
          <w:rFonts w:ascii="Book Antiqua" w:eastAsia="SimSun" w:hAnsi="Book Antiqua" w:cs="Times New Roman"/>
          <w:kern w:val="2"/>
          <w:sz w:val="24"/>
          <w:szCs w:val="24"/>
          <w:lang w:val="en-US" w:eastAsia="zh-CN"/>
        </w:rPr>
        <w:t>: 848-855 [PMID: 16299036 DOI: 10.1136/gut.2005.073015]</w:t>
      </w:r>
    </w:p>
    <w:p w14:paraId="2C20EA22"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87 </w:t>
      </w:r>
      <w:r w:rsidRPr="00F54EA8">
        <w:rPr>
          <w:rFonts w:ascii="Book Antiqua" w:eastAsia="SimSun" w:hAnsi="Book Antiqua" w:cs="Times New Roman"/>
          <w:b/>
          <w:kern w:val="2"/>
          <w:sz w:val="24"/>
          <w:szCs w:val="24"/>
          <w:lang w:val="en-US" w:eastAsia="zh-CN"/>
        </w:rPr>
        <w:t>Ribic CM</w:t>
      </w:r>
      <w:r w:rsidRPr="00F54EA8">
        <w:rPr>
          <w:rFonts w:ascii="Book Antiqua" w:eastAsia="SimSun" w:hAnsi="Book Antiqua" w:cs="Times New Roman"/>
          <w:kern w:val="2"/>
          <w:sz w:val="24"/>
          <w:szCs w:val="24"/>
          <w:lang w:val="en-US" w:eastAsia="zh-CN"/>
        </w:rPr>
        <w:t xml:space="preserve">, Sargent DJ, Moore MJ, Thibodeau SN, French AJ, Goldberg RM, Hamilton SR, Laurent-Puig P, Gryfe R, Shepherd LE, Tu D, Redston M, Gallinger S. Tumor microsatellite-instability status as a predictor of benefit from fluorouracil-based adjuvant chemotherapy for colon cancer. </w:t>
      </w:r>
      <w:r w:rsidRPr="00F54EA8">
        <w:rPr>
          <w:rFonts w:ascii="Book Antiqua" w:eastAsia="SimSun" w:hAnsi="Book Antiqua" w:cs="Times New Roman"/>
          <w:i/>
          <w:kern w:val="2"/>
          <w:sz w:val="24"/>
          <w:szCs w:val="24"/>
          <w:lang w:val="en-US" w:eastAsia="zh-CN"/>
        </w:rPr>
        <w:t>N Engl J Med</w:t>
      </w:r>
      <w:r w:rsidRPr="00F54EA8">
        <w:rPr>
          <w:rFonts w:ascii="Book Antiqua" w:eastAsia="SimSun" w:hAnsi="Book Antiqua" w:cs="Times New Roman"/>
          <w:kern w:val="2"/>
          <w:sz w:val="24"/>
          <w:szCs w:val="24"/>
          <w:lang w:val="en-US" w:eastAsia="zh-CN"/>
        </w:rPr>
        <w:t xml:space="preserve"> 2003; </w:t>
      </w:r>
      <w:r w:rsidRPr="00F54EA8">
        <w:rPr>
          <w:rFonts w:ascii="Book Antiqua" w:eastAsia="SimSun" w:hAnsi="Book Antiqua" w:cs="Times New Roman"/>
          <w:b/>
          <w:kern w:val="2"/>
          <w:sz w:val="24"/>
          <w:szCs w:val="24"/>
          <w:lang w:val="en-US" w:eastAsia="zh-CN"/>
        </w:rPr>
        <w:t>349</w:t>
      </w:r>
      <w:r w:rsidRPr="00F54EA8">
        <w:rPr>
          <w:rFonts w:ascii="Book Antiqua" w:eastAsia="SimSun" w:hAnsi="Book Antiqua" w:cs="Times New Roman"/>
          <w:kern w:val="2"/>
          <w:sz w:val="24"/>
          <w:szCs w:val="24"/>
          <w:lang w:val="en-US" w:eastAsia="zh-CN"/>
        </w:rPr>
        <w:t>: 247-257 [PMID: 12867608 DOI: 10.1056/NEJMoa022289]</w:t>
      </w:r>
    </w:p>
    <w:p w14:paraId="05C2F817"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88 </w:t>
      </w:r>
      <w:r w:rsidRPr="00F54EA8">
        <w:rPr>
          <w:rFonts w:ascii="Book Antiqua" w:eastAsia="SimSun" w:hAnsi="Book Antiqua" w:cs="Times New Roman"/>
          <w:b/>
          <w:kern w:val="2"/>
          <w:sz w:val="24"/>
          <w:szCs w:val="24"/>
          <w:lang w:val="en-US" w:eastAsia="zh-CN"/>
        </w:rPr>
        <w:t>Llosa NJ</w:t>
      </w:r>
      <w:r w:rsidRPr="00F54EA8">
        <w:rPr>
          <w:rFonts w:ascii="Book Antiqua" w:eastAsia="SimSun" w:hAnsi="Book Antiqua" w:cs="Times New Roman"/>
          <w:kern w:val="2"/>
          <w:sz w:val="24"/>
          <w:szCs w:val="24"/>
          <w:lang w:val="en-US" w:eastAsia="zh-CN"/>
        </w:rPr>
        <w:t xml:space="preserve">, Cruise M, Tam A, Wicks EC, Hechenbleikner EM, Taube JM, Blosser RL, Fan H, Wang H, Luber BS, Zhang M, Papadopoulos N, Kinzler KW, Vogelstein B, Sears CL, Anders RA, Pardoll DM, Housseau F. The vigorous immune microenvironment of microsatellite instable colon cancer is balanced by multiple counter-inhibitory checkpoints. </w:t>
      </w:r>
      <w:r w:rsidRPr="00F54EA8">
        <w:rPr>
          <w:rFonts w:ascii="Book Antiqua" w:eastAsia="SimSun" w:hAnsi="Book Antiqua" w:cs="Times New Roman"/>
          <w:i/>
          <w:kern w:val="2"/>
          <w:sz w:val="24"/>
          <w:szCs w:val="24"/>
          <w:lang w:val="en-US" w:eastAsia="zh-CN"/>
        </w:rPr>
        <w:t>Cancer Discov</w:t>
      </w:r>
      <w:r w:rsidRPr="00F54EA8">
        <w:rPr>
          <w:rFonts w:ascii="Book Antiqua" w:eastAsia="SimSun" w:hAnsi="Book Antiqua" w:cs="Times New Roman"/>
          <w:kern w:val="2"/>
          <w:sz w:val="24"/>
          <w:szCs w:val="24"/>
          <w:lang w:val="en-US" w:eastAsia="zh-CN"/>
        </w:rPr>
        <w:t xml:space="preserve"> 2015; </w:t>
      </w:r>
      <w:r w:rsidRPr="00F54EA8">
        <w:rPr>
          <w:rFonts w:ascii="Book Antiqua" w:eastAsia="SimSun" w:hAnsi="Book Antiqua" w:cs="Times New Roman"/>
          <w:b/>
          <w:kern w:val="2"/>
          <w:sz w:val="24"/>
          <w:szCs w:val="24"/>
          <w:lang w:val="en-US" w:eastAsia="zh-CN"/>
        </w:rPr>
        <w:t>5</w:t>
      </w:r>
      <w:r w:rsidRPr="00F54EA8">
        <w:rPr>
          <w:rFonts w:ascii="Book Antiqua" w:eastAsia="SimSun" w:hAnsi="Book Antiqua" w:cs="Times New Roman"/>
          <w:kern w:val="2"/>
          <w:sz w:val="24"/>
          <w:szCs w:val="24"/>
          <w:lang w:val="en-US" w:eastAsia="zh-CN"/>
        </w:rPr>
        <w:t xml:space="preserve">: 43-51 [PMID: 25358689 DOI: </w:t>
      </w:r>
      <w:r w:rsidRPr="00F54EA8">
        <w:rPr>
          <w:rFonts w:ascii="Book Antiqua" w:eastAsia="SimSun" w:hAnsi="Book Antiqua" w:cs="Times New Roman"/>
          <w:kern w:val="2"/>
          <w:sz w:val="24"/>
          <w:szCs w:val="24"/>
          <w:lang w:val="en-US" w:eastAsia="zh-CN"/>
        </w:rPr>
        <w:lastRenderedPageBreak/>
        <w:t>10.1158/2159-8290.CD-14-0863]</w:t>
      </w:r>
    </w:p>
    <w:p w14:paraId="23B446C0"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89 </w:t>
      </w:r>
      <w:r w:rsidRPr="00F54EA8">
        <w:rPr>
          <w:rFonts w:ascii="Book Antiqua" w:eastAsia="SimSun" w:hAnsi="Book Antiqua" w:cs="Times New Roman"/>
          <w:b/>
          <w:kern w:val="2"/>
          <w:sz w:val="24"/>
          <w:szCs w:val="24"/>
          <w:lang w:val="en-US" w:eastAsia="zh-CN"/>
        </w:rPr>
        <w:t>Amado RG</w:t>
      </w:r>
      <w:r w:rsidRPr="00F54EA8">
        <w:rPr>
          <w:rFonts w:ascii="Book Antiqua" w:eastAsia="SimSun" w:hAnsi="Book Antiqua" w:cs="Times New Roman"/>
          <w:kern w:val="2"/>
          <w:sz w:val="24"/>
          <w:szCs w:val="24"/>
          <w:lang w:val="en-US" w:eastAsia="zh-CN"/>
        </w:rPr>
        <w:t xml:space="preserve">, Wolf M, Peeters M, Van Cutsem E, Siena S, Freeman DJ, Juan T, Sikorski R, Suggs S, Radinsky R, Patterson SD, Chang DD. Wild-type KRAS is required for panitumumab efficacy in patients with metastatic colorectal cancer. </w:t>
      </w:r>
      <w:r w:rsidRPr="00F54EA8">
        <w:rPr>
          <w:rFonts w:ascii="Book Antiqua" w:eastAsia="SimSun" w:hAnsi="Book Antiqua" w:cs="Times New Roman"/>
          <w:i/>
          <w:kern w:val="2"/>
          <w:sz w:val="24"/>
          <w:szCs w:val="24"/>
          <w:lang w:val="en-US" w:eastAsia="zh-CN"/>
        </w:rPr>
        <w:t>J Clin Oncol</w:t>
      </w:r>
      <w:r w:rsidRPr="00F54EA8">
        <w:rPr>
          <w:rFonts w:ascii="Book Antiqua" w:eastAsia="SimSun" w:hAnsi="Book Antiqua" w:cs="Times New Roman"/>
          <w:kern w:val="2"/>
          <w:sz w:val="24"/>
          <w:szCs w:val="24"/>
          <w:lang w:val="en-US" w:eastAsia="zh-CN"/>
        </w:rPr>
        <w:t xml:space="preserve"> 2008; </w:t>
      </w:r>
      <w:r w:rsidRPr="00F54EA8">
        <w:rPr>
          <w:rFonts w:ascii="Book Antiqua" w:eastAsia="SimSun" w:hAnsi="Book Antiqua" w:cs="Times New Roman"/>
          <w:b/>
          <w:kern w:val="2"/>
          <w:sz w:val="24"/>
          <w:szCs w:val="24"/>
          <w:lang w:val="en-US" w:eastAsia="zh-CN"/>
        </w:rPr>
        <w:t>26</w:t>
      </w:r>
      <w:r w:rsidRPr="00F54EA8">
        <w:rPr>
          <w:rFonts w:ascii="Book Antiqua" w:eastAsia="SimSun" w:hAnsi="Book Antiqua" w:cs="Times New Roman"/>
          <w:kern w:val="2"/>
          <w:sz w:val="24"/>
          <w:szCs w:val="24"/>
          <w:lang w:val="en-US" w:eastAsia="zh-CN"/>
        </w:rPr>
        <w:t>: 1626-1634 [PMID: 18316791 DOI: 10.1200/JCO.2007.14.7116]</w:t>
      </w:r>
    </w:p>
    <w:p w14:paraId="560AF6A9"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90 </w:t>
      </w:r>
      <w:r w:rsidRPr="00F54EA8">
        <w:rPr>
          <w:rFonts w:ascii="Book Antiqua" w:eastAsia="SimSun" w:hAnsi="Book Antiqua" w:cs="Times New Roman"/>
          <w:b/>
          <w:kern w:val="2"/>
          <w:sz w:val="24"/>
          <w:szCs w:val="24"/>
          <w:lang w:val="en-US" w:eastAsia="zh-CN"/>
        </w:rPr>
        <w:t>Douillard JY</w:t>
      </w:r>
      <w:r w:rsidRPr="00F54EA8">
        <w:rPr>
          <w:rFonts w:ascii="Book Antiqua" w:eastAsia="SimSun" w:hAnsi="Book Antiqua" w:cs="Times New Roman"/>
          <w:kern w:val="2"/>
          <w:sz w:val="24"/>
          <w:szCs w:val="24"/>
          <w:lang w:val="en-US" w:eastAsia="zh-CN"/>
        </w:rPr>
        <w:t xml:space="preserve">, Oliner KS, Siena S, Tabernero J, Burkes R, Barugel M, Humblet Y, Bodoky G, Cunningham D, Jassem J, Rivera F, Kocákova I, Ruff P, Błasińska-Morawiec M, Šmakal M, Canon JL, Rother M, Williams R, Rong A, Wiezorek J, Sidhu R, Patterson SD. Panitumumab-FOLFOX4 treatment and RAS mutations in colorectal cancer. </w:t>
      </w:r>
      <w:r w:rsidRPr="00F54EA8">
        <w:rPr>
          <w:rFonts w:ascii="Book Antiqua" w:eastAsia="SimSun" w:hAnsi="Book Antiqua" w:cs="Times New Roman"/>
          <w:i/>
          <w:kern w:val="2"/>
          <w:sz w:val="24"/>
          <w:szCs w:val="24"/>
          <w:lang w:val="en-US" w:eastAsia="zh-CN"/>
        </w:rPr>
        <w:t>N Engl J Med</w:t>
      </w:r>
      <w:r w:rsidRPr="00F54EA8">
        <w:rPr>
          <w:rFonts w:ascii="Book Antiqua" w:eastAsia="SimSun" w:hAnsi="Book Antiqua" w:cs="Times New Roman"/>
          <w:kern w:val="2"/>
          <w:sz w:val="24"/>
          <w:szCs w:val="24"/>
          <w:lang w:val="en-US" w:eastAsia="zh-CN"/>
        </w:rPr>
        <w:t xml:space="preserve"> 2013; </w:t>
      </w:r>
      <w:r w:rsidRPr="00F54EA8">
        <w:rPr>
          <w:rFonts w:ascii="Book Antiqua" w:eastAsia="SimSun" w:hAnsi="Book Antiqua" w:cs="Times New Roman"/>
          <w:b/>
          <w:kern w:val="2"/>
          <w:sz w:val="24"/>
          <w:szCs w:val="24"/>
          <w:lang w:val="en-US" w:eastAsia="zh-CN"/>
        </w:rPr>
        <w:t>369</w:t>
      </w:r>
      <w:r w:rsidRPr="00F54EA8">
        <w:rPr>
          <w:rFonts w:ascii="Book Antiqua" w:eastAsia="SimSun" w:hAnsi="Book Antiqua" w:cs="Times New Roman"/>
          <w:kern w:val="2"/>
          <w:sz w:val="24"/>
          <w:szCs w:val="24"/>
          <w:lang w:val="en-US" w:eastAsia="zh-CN"/>
        </w:rPr>
        <w:t>: 1023-1034 [PMID: 24024839 DOI: 10.1056/NEJMoa1305275]</w:t>
      </w:r>
    </w:p>
    <w:p w14:paraId="7DA59319"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91 </w:t>
      </w:r>
      <w:r w:rsidRPr="00F54EA8">
        <w:rPr>
          <w:rFonts w:ascii="Book Antiqua" w:eastAsia="SimSun" w:hAnsi="Book Antiqua" w:cs="Times New Roman"/>
          <w:b/>
          <w:kern w:val="2"/>
          <w:sz w:val="24"/>
          <w:szCs w:val="24"/>
          <w:lang w:val="en-US" w:eastAsia="zh-CN"/>
        </w:rPr>
        <w:t>Van Cutsem E</w:t>
      </w:r>
      <w:r w:rsidRPr="00F54EA8">
        <w:rPr>
          <w:rFonts w:ascii="Book Antiqua" w:eastAsia="SimSun" w:hAnsi="Book Antiqua" w:cs="Times New Roman"/>
          <w:kern w:val="2"/>
          <w:sz w:val="24"/>
          <w:szCs w:val="24"/>
          <w:lang w:val="en-US" w:eastAsia="zh-CN"/>
        </w:rPr>
        <w:t xml:space="preserve">, Köhne CH, Hitre E, Zaluski J, Chang Chien CR, Makhson A, D'Haens G, Pintér T, Lim R, Bodoky G, Roh JK, Folprecht G, Ruff P, Stroh C, Tejpar S, Schlichting M, Nippgen J, Rougier P. Cetuximab and chemotherapy as initial treatment for metastatic colorectal cancer. </w:t>
      </w:r>
      <w:r w:rsidRPr="00F54EA8">
        <w:rPr>
          <w:rFonts w:ascii="Book Antiqua" w:eastAsia="SimSun" w:hAnsi="Book Antiqua" w:cs="Times New Roman"/>
          <w:i/>
          <w:kern w:val="2"/>
          <w:sz w:val="24"/>
          <w:szCs w:val="24"/>
          <w:lang w:val="en-US" w:eastAsia="zh-CN"/>
        </w:rPr>
        <w:t>N Engl J Med</w:t>
      </w:r>
      <w:r w:rsidRPr="00F54EA8">
        <w:rPr>
          <w:rFonts w:ascii="Book Antiqua" w:eastAsia="SimSun" w:hAnsi="Book Antiqua" w:cs="Times New Roman"/>
          <w:kern w:val="2"/>
          <w:sz w:val="24"/>
          <w:szCs w:val="24"/>
          <w:lang w:val="en-US" w:eastAsia="zh-CN"/>
        </w:rPr>
        <w:t xml:space="preserve"> 2009; </w:t>
      </w:r>
      <w:r w:rsidRPr="00F54EA8">
        <w:rPr>
          <w:rFonts w:ascii="Book Antiqua" w:eastAsia="SimSun" w:hAnsi="Book Antiqua" w:cs="Times New Roman"/>
          <w:b/>
          <w:kern w:val="2"/>
          <w:sz w:val="24"/>
          <w:szCs w:val="24"/>
          <w:lang w:val="en-US" w:eastAsia="zh-CN"/>
        </w:rPr>
        <w:t>360</w:t>
      </w:r>
      <w:r w:rsidRPr="00F54EA8">
        <w:rPr>
          <w:rFonts w:ascii="Book Antiqua" w:eastAsia="SimSun" w:hAnsi="Book Antiqua" w:cs="Times New Roman"/>
          <w:kern w:val="2"/>
          <w:sz w:val="24"/>
          <w:szCs w:val="24"/>
          <w:lang w:val="en-US" w:eastAsia="zh-CN"/>
        </w:rPr>
        <w:t>: 1408-1417 [PMID: 19339720 DOI: 10.1056/NEJMoa0805019]</w:t>
      </w:r>
    </w:p>
    <w:p w14:paraId="540920E3"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92 </w:t>
      </w:r>
      <w:r w:rsidRPr="00F54EA8">
        <w:rPr>
          <w:rFonts w:ascii="Book Antiqua" w:eastAsia="SimSun" w:hAnsi="Book Antiqua" w:cs="Times New Roman"/>
          <w:b/>
          <w:kern w:val="2"/>
          <w:sz w:val="24"/>
          <w:szCs w:val="24"/>
          <w:lang w:val="en-US" w:eastAsia="zh-CN"/>
        </w:rPr>
        <w:t>Pietrantonio F</w:t>
      </w:r>
      <w:r w:rsidRPr="00F54EA8">
        <w:rPr>
          <w:rFonts w:ascii="Book Antiqua" w:eastAsia="SimSun" w:hAnsi="Book Antiqua" w:cs="Times New Roman"/>
          <w:kern w:val="2"/>
          <w:sz w:val="24"/>
          <w:szCs w:val="24"/>
          <w:lang w:val="en-US" w:eastAsia="zh-CN"/>
        </w:rPr>
        <w:t xml:space="preserve">, Petrelli F, Coinu A, Di Bartolomeo M, Borgonovo K, Maggi C, Cabiddu M, Iacovelli R, Bossi I, Lonati V, Ghilardi M, de Braud F, Barni S. Predictive role of BRAF mutations in patients with advanced colorectal cancer receiving cetuximab and panitumumab: a meta-analysis. </w:t>
      </w:r>
      <w:r w:rsidRPr="00F54EA8">
        <w:rPr>
          <w:rFonts w:ascii="Book Antiqua" w:eastAsia="SimSun" w:hAnsi="Book Antiqua" w:cs="Times New Roman"/>
          <w:i/>
          <w:kern w:val="2"/>
          <w:sz w:val="24"/>
          <w:szCs w:val="24"/>
          <w:lang w:val="en-US" w:eastAsia="zh-CN"/>
        </w:rPr>
        <w:t>Eur J Cancer</w:t>
      </w:r>
      <w:r w:rsidRPr="00F54EA8">
        <w:rPr>
          <w:rFonts w:ascii="Book Antiqua" w:eastAsia="SimSun" w:hAnsi="Book Antiqua" w:cs="Times New Roman"/>
          <w:kern w:val="2"/>
          <w:sz w:val="24"/>
          <w:szCs w:val="24"/>
          <w:lang w:val="en-US" w:eastAsia="zh-CN"/>
        </w:rPr>
        <w:t xml:space="preserve"> 2015; </w:t>
      </w:r>
      <w:r w:rsidRPr="00F54EA8">
        <w:rPr>
          <w:rFonts w:ascii="Book Antiqua" w:eastAsia="SimSun" w:hAnsi="Book Antiqua" w:cs="Times New Roman"/>
          <w:b/>
          <w:kern w:val="2"/>
          <w:sz w:val="24"/>
          <w:szCs w:val="24"/>
          <w:lang w:val="en-US" w:eastAsia="zh-CN"/>
        </w:rPr>
        <w:t>51</w:t>
      </w:r>
      <w:r w:rsidRPr="00F54EA8">
        <w:rPr>
          <w:rFonts w:ascii="Book Antiqua" w:eastAsia="SimSun" w:hAnsi="Book Antiqua" w:cs="Times New Roman"/>
          <w:kern w:val="2"/>
          <w:sz w:val="24"/>
          <w:szCs w:val="24"/>
          <w:lang w:val="en-US" w:eastAsia="zh-CN"/>
        </w:rPr>
        <w:t>: 587-594 [PMID: 25673558 DOI: 10.1016/j.ejca.2015.01.054]</w:t>
      </w:r>
    </w:p>
    <w:p w14:paraId="7D3F9993"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93 </w:t>
      </w:r>
      <w:r w:rsidRPr="00F54EA8">
        <w:rPr>
          <w:rFonts w:ascii="Book Antiqua" w:eastAsia="SimSun" w:hAnsi="Book Antiqua" w:cs="Times New Roman"/>
          <w:b/>
          <w:kern w:val="2"/>
          <w:sz w:val="24"/>
          <w:szCs w:val="24"/>
          <w:lang w:val="en-US" w:eastAsia="zh-CN"/>
        </w:rPr>
        <w:t>Rowland A</w:t>
      </w:r>
      <w:r w:rsidRPr="00F54EA8">
        <w:rPr>
          <w:rFonts w:ascii="Book Antiqua" w:eastAsia="SimSun" w:hAnsi="Book Antiqua" w:cs="Times New Roman"/>
          <w:kern w:val="2"/>
          <w:sz w:val="24"/>
          <w:szCs w:val="24"/>
          <w:lang w:val="en-US" w:eastAsia="zh-CN"/>
        </w:rPr>
        <w:t xml:space="preserve">, Dias MM, Wiese MD, Kichenadasse G, McKinnon RA, Karapetis CS, Sorich MJ. Meta-analysis of BRAF mutation as a predictive biomarker of benefit from anti-EGFR monoclonal antibody therapy for RAS wild-type metastatic colorectal cancer. </w:t>
      </w:r>
      <w:r w:rsidRPr="00F54EA8">
        <w:rPr>
          <w:rFonts w:ascii="Book Antiqua" w:eastAsia="SimSun" w:hAnsi="Book Antiqua" w:cs="Times New Roman"/>
          <w:i/>
          <w:kern w:val="2"/>
          <w:sz w:val="24"/>
          <w:szCs w:val="24"/>
          <w:lang w:val="en-US" w:eastAsia="zh-CN"/>
        </w:rPr>
        <w:t>Br J Cancer</w:t>
      </w:r>
      <w:r w:rsidRPr="00F54EA8">
        <w:rPr>
          <w:rFonts w:ascii="Book Antiqua" w:eastAsia="SimSun" w:hAnsi="Book Antiqua" w:cs="Times New Roman"/>
          <w:kern w:val="2"/>
          <w:sz w:val="24"/>
          <w:szCs w:val="24"/>
          <w:lang w:val="en-US" w:eastAsia="zh-CN"/>
        </w:rPr>
        <w:t xml:space="preserve"> 2015; </w:t>
      </w:r>
      <w:r w:rsidRPr="00F54EA8">
        <w:rPr>
          <w:rFonts w:ascii="Book Antiqua" w:eastAsia="SimSun" w:hAnsi="Book Antiqua" w:cs="Times New Roman"/>
          <w:b/>
          <w:kern w:val="2"/>
          <w:sz w:val="24"/>
          <w:szCs w:val="24"/>
          <w:lang w:val="en-US" w:eastAsia="zh-CN"/>
        </w:rPr>
        <w:t>112</w:t>
      </w:r>
      <w:r w:rsidRPr="00F54EA8">
        <w:rPr>
          <w:rFonts w:ascii="Book Antiqua" w:eastAsia="SimSun" w:hAnsi="Book Antiqua" w:cs="Times New Roman"/>
          <w:kern w:val="2"/>
          <w:sz w:val="24"/>
          <w:szCs w:val="24"/>
          <w:lang w:val="en-US" w:eastAsia="zh-CN"/>
        </w:rPr>
        <w:t>: 1888-1894 [PMID: 25989278 DOI: 10.1038/bjc.2015.173]</w:t>
      </w:r>
    </w:p>
    <w:p w14:paraId="0BF398F0"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94 </w:t>
      </w:r>
      <w:r w:rsidRPr="00F54EA8">
        <w:rPr>
          <w:rFonts w:ascii="Book Antiqua" w:eastAsia="SimSun" w:hAnsi="Book Antiqua" w:cs="Times New Roman"/>
          <w:b/>
          <w:kern w:val="2"/>
          <w:sz w:val="24"/>
          <w:szCs w:val="24"/>
          <w:lang w:val="en-US" w:eastAsia="zh-CN"/>
        </w:rPr>
        <w:t>van Brummelen EMJ</w:t>
      </w:r>
      <w:r w:rsidRPr="00F54EA8">
        <w:rPr>
          <w:rFonts w:ascii="Book Antiqua" w:eastAsia="SimSun" w:hAnsi="Book Antiqua" w:cs="Times New Roman"/>
          <w:kern w:val="2"/>
          <w:sz w:val="24"/>
          <w:szCs w:val="24"/>
          <w:lang w:val="en-US" w:eastAsia="zh-CN"/>
        </w:rPr>
        <w:t xml:space="preserve">, de Boer A, Beijnen JH, Schellens JHM. &lt;i&gt;BRAF&lt;/i&gt; Mutations as Predictive Biomarker for Response to Anti-EGFR Monoclonal Antibodies. </w:t>
      </w:r>
      <w:r w:rsidRPr="00F54EA8">
        <w:rPr>
          <w:rFonts w:ascii="Book Antiqua" w:eastAsia="SimSun" w:hAnsi="Book Antiqua" w:cs="Times New Roman"/>
          <w:i/>
          <w:kern w:val="2"/>
          <w:sz w:val="24"/>
          <w:szCs w:val="24"/>
          <w:lang w:val="en-US" w:eastAsia="zh-CN"/>
        </w:rPr>
        <w:t>Oncologist</w:t>
      </w:r>
      <w:r w:rsidRPr="00F54EA8">
        <w:rPr>
          <w:rFonts w:ascii="Book Antiqua" w:eastAsia="SimSun" w:hAnsi="Book Antiqua" w:cs="Times New Roman"/>
          <w:kern w:val="2"/>
          <w:sz w:val="24"/>
          <w:szCs w:val="24"/>
          <w:lang w:val="en-US" w:eastAsia="zh-CN"/>
        </w:rPr>
        <w:t xml:space="preserve"> 2017; </w:t>
      </w:r>
      <w:r w:rsidRPr="00F54EA8">
        <w:rPr>
          <w:rFonts w:ascii="Book Antiqua" w:eastAsia="SimSun" w:hAnsi="Book Antiqua" w:cs="Times New Roman"/>
          <w:b/>
          <w:kern w:val="2"/>
          <w:sz w:val="24"/>
          <w:szCs w:val="24"/>
          <w:lang w:val="en-US" w:eastAsia="zh-CN"/>
        </w:rPr>
        <w:t>22</w:t>
      </w:r>
      <w:r w:rsidRPr="00F54EA8">
        <w:rPr>
          <w:rFonts w:ascii="Book Antiqua" w:eastAsia="SimSun" w:hAnsi="Book Antiqua" w:cs="Times New Roman"/>
          <w:kern w:val="2"/>
          <w:sz w:val="24"/>
          <w:szCs w:val="24"/>
          <w:lang w:val="en-US" w:eastAsia="zh-CN"/>
        </w:rPr>
        <w:t>: 864-872 [PMID: 28576857 DOI: 10.1634/theoncologist.2017-0031]</w:t>
      </w:r>
    </w:p>
    <w:p w14:paraId="1B3EDE52"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95 </w:t>
      </w:r>
      <w:r w:rsidRPr="00F54EA8">
        <w:rPr>
          <w:rFonts w:ascii="Book Antiqua" w:eastAsia="SimSun" w:hAnsi="Book Antiqua" w:cs="Times New Roman"/>
          <w:b/>
          <w:kern w:val="2"/>
          <w:sz w:val="24"/>
          <w:szCs w:val="24"/>
          <w:lang w:val="en-US" w:eastAsia="zh-CN"/>
        </w:rPr>
        <w:t>McMillan DC</w:t>
      </w:r>
      <w:r w:rsidRPr="00F54EA8">
        <w:rPr>
          <w:rFonts w:ascii="Book Antiqua" w:eastAsia="SimSun" w:hAnsi="Book Antiqua" w:cs="Times New Roman"/>
          <w:kern w:val="2"/>
          <w:sz w:val="24"/>
          <w:szCs w:val="24"/>
          <w:lang w:val="en-US" w:eastAsia="zh-CN"/>
        </w:rPr>
        <w:t xml:space="preserve">, Wotherspoon HA, Fearon KC, Sturgeon C, Cooke TG, McArdle CS. A prospective study of tumor recurrence and the acute-phase response after </w:t>
      </w:r>
      <w:r w:rsidRPr="00F54EA8">
        <w:rPr>
          <w:rFonts w:ascii="Book Antiqua" w:eastAsia="SimSun" w:hAnsi="Book Antiqua" w:cs="Times New Roman"/>
          <w:kern w:val="2"/>
          <w:sz w:val="24"/>
          <w:szCs w:val="24"/>
          <w:lang w:val="en-US" w:eastAsia="zh-CN"/>
        </w:rPr>
        <w:lastRenderedPageBreak/>
        <w:t xml:space="preserve">apparently curative colorectal cancer surgery. </w:t>
      </w:r>
      <w:r w:rsidRPr="00F54EA8">
        <w:rPr>
          <w:rFonts w:ascii="Book Antiqua" w:eastAsia="SimSun" w:hAnsi="Book Antiqua" w:cs="Times New Roman"/>
          <w:i/>
          <w:kern w:val="2"/>
          <w:sz w:val="24"/>
          <w:szCs w:val="24"/>
          <w:lang w:val="en-US" w:eastAsia="zh-CN"/>
        </w:rPr>
        <w:t>Am J Surg</w:t>
      </w:r>
      <w:r w:rsidRPr="00F54EA8">
        <w:rPr>
          <w:rFonts w:ascii="Book Antiqua" w:eastAsia="SimSun" w:hAnsi="Book Antiqua" w:cs="Times New Roman"/>
          <w:kern w:val="2"/>
          <w:sz w:val="24"/>
          <w:szCs w:val="24"/>
          <w:lang w:val="en-US" w:eastAsia="zh-CN"/>
        </w:rPr>
        <w:t xml:space="preserve"> 1995; </w:t>
      </w:r>
      <w:r w:rsidRPr="00F54EA8">
        <w:rPr>
          <w:rFonts w:ascii="Book Antiqua" w:eastAsia="SimSun" w:hAnsi="Book Antiqua" w:cs="Times New Roman"/>
          <w:b/>
          <w:kern w:val="2"/>
          <w:sz w:val="24"/>
          <w:szCs w:val="24"/>
          <w:lang w:val="en-US" w:eastAsia="zh-CN"/>
        </w:rPr>
        <w:t>170</w:t>
      </w:r>
      <w:r w:rsidRPr="00F54EA8">
        <w:rPr>
          <w:rFonts w:ascii="Book Antiqua" w:eastAsia="SimSun" w:hAnsi="Book Antiqua" w:cs="Times New Roman"/>
          <w:kern w:val="2"/>
          <w:sz w:val="24"/>
          <w:szCs w:val="24"/>
          <w:lang w:val="en-US" w:eastAsia="zh-CN"/>
        </w:rPr>
        <w:t>: 319-322 [PMID: 7573721]</w:t>
      </w:r>
    </w:p>
    <w:p w14:paraId="55E3ACEE"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96 </w:t>
      </w:r>
      <w:r w:rsidRPr="00F54EA8">
        <w:rPr>
          <w:rFonts w:ascii="Book Antiqua" w:eastAsia="SimSun" w:hAnsi="Book Antiqua" w:cs="Times New Roman"/>
          <w:b/>
          <w:kern w:val="2"/>
          <w:sz w:val="24"/>
          <w:szCs w:val="24"/>
          <w:lang w:val="en-US" w:eastAsia="zh-CN"/>
        </w:rPr>
        <w:t>Canna K</w:t>
      </w:r>
      <w:r w:rsidRPr="00F54EA8">
        <w:rPr>
          <w:rFonts w:ascii="Book Antiqua" w:eastAsia="SimSun" w:hAnsi="Book Antiqua" w:cs="Times New Roman"/>
          <w:kern w:val="2"/>
          <w:sz w:val="24"/>
          <w:szCs w:val="24"/>
          <w:lang w:val="en-US" w:eastAsia="zh-CN"/>
        </w:rPr>
        <w:t xml:space="preserve">, McMillan DC, McKee RF, McNicol AM, Horgan PG, McArdle CS. Evaluation of a cumulative prognostic score based on the systemic inflammatory response in patients undergoing potentially curative surgery for colorectal cancer. </w:t>
      </w:r>
      <w:r w:rsidRPr="00F54EA8">
        <w:rPr>
          <w:rFonts w:ascii="Book Antiqua" w:eastAsia="SimSun" w:hAnsi="Book Antiqua" w:cs="Times New Roman"/>
          <w:i/>
          <w:kern w:val="2"/>
          <w:sz w:val="24"/>
          <w:szCs w:val="24"/>
          <w:lang w:val="en-US" w:eastAsia="zh-CN"/>
        </w:rPr>
        <w:t>Br J Cancer</w:t>
      </w:r>
      <w:r w:rsidRPr="00F54EA8">
        <w:rPr>
          <w:rFonts w:ascii="Book Antiqua" w:eastAsia="SimSun" w:hAnsi="Book Antiqua" w:cs="Times New Roman"/>
          <w:kern w:val="2"/>
          <w:sz w:val="24"/>
          <w:szCs w:val="24"/>
          <w:lang w:val="en-US" w:eastAsia="zh-CN"/>
        </w:rPr>
        <w:t xml:space="preserve"> 2004; </w:t>
      </w:r>
      <w:r w:rsidRPr="00F54EA8">
        <w:rPr>
          <w:rFonts w:ascii="Book Antiqua" w:eastAsia="SimSun" w:hAnsi="Book Antiqua" w:cs="Times New Roman"/>
          <w:b/>
          <w:kern w:val="2"/>
          <w:sz w:val="24"/>
          <w:szCs w:val="24"/>
          <w:lang w:val="en-US" w:eastAsia="zh-CN"/>
        </w:rPr>
        <w:t>90</w:t>
      </w:r>
      <w:r w:rsidRPr="00F54EA8">
        <w:rPr>
          <w:rFonts w:ascii="Book Antiqua" w:eastAsia="SimSun" w:hAnsi="Book Antiqua" w:cs="Times New Roman"/>
          <w:kern w:val="2"/>
          <w:sz w:val="24"/>
          <w:szCs w:val="24"/>
          <w:lang w:val="en-US" w:eastAsia="zh-CN"/>
        </w:rPr>
        <w:t>: 1707-1709 [PMID: 15150596 DOI: 10.1038/sj.bjc.6601757]</w:t>
      </w:r>
    </w:p>
    <w:p w14:paraId="1A6E08B2"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97 </w:t>
      </w:r>
      <w:r w:rsidRPr="00F54EA8">
        <w:rPr>
          <w:rFonts w:ascii="Book Antiqua" w:eastAsia="SimSun" w:hAnsi="Book Antiqua" w:cs="Times New Roman"/>
          <w:b/>
          <w:kern w:val="2"/>
          <w:sz w:val="24"/>
          <w:szCs w:val="24"/>
          <w:lang w:val="en-US" w:eastAsia="zh-CN"/>
        </w:rPr>
        <w:t>Crozier JE</w:t>
      </w:r>
      <w:r w:rsidRPr="00F54EA8">
        <w:rPr>
          <w:rFonts w:ascii="Book Antiqua" w:eastAsia="SimSun" w:hAnsi="Book Antiqua" w:cs="Times New Roman"/>
          <w:kern w:val="2"/>
          <w:sz w:val="24"/>
          <w:szCs w:val="24"/>
          <w:lang w:val="en-US" w:eastAsia="zh-CN"/>
        </w:rPr>
        <w:t xml:space="preserve">, McKee RF, McArdle CS, Angerson WJ, Anderson JH, Horgan PG, McMillan DC. The presence of a systemic inflammatory response predicts poorer survival in patients receiving adjuvant 5-FU chemotherapy following potentially curative resection for colorectal cancer. </w:t>
      </w:r>
      <w:r w:rsidRPr="00F54EA8">
        <w:rPr>
          <w:rFonts w:ascii="Book Antiqua" w:eastAsia="SimSun" w:hAnsi="Book Antiqua" w:cs="Times New Roman"/>
          <w:i/>
          <w:kern w:val="2"/>
          <w:sz w:val="24"/>
          <w:szCs w:val="24"/>
          <w:lang w:val="en-US" w:eastAsia="zh-CN"/>
        </w:rPr>
        <w:t>Br J Cancer</w:t>
      </w:r>
      <w:r w:rsidRPr="00F54EA8">
        <w:rPr>
          <w:rFonts w:ascii="Book Antiqua" w:eastAsia="SimSun" w:hAnsi="Book Antiqua" w:cs="Times New Roman"/>
          <w:kern w:val="2"/>
          <w:sz w:val="24"/>
          <w:szCs w:val="24"/>
          <w:lang w:val="en-US" w:eastAsia="zh-CN"/>
        </w:rPr>
        <w:t xml:space="preserve"> 2006; </w:t>
      </w:r>
      <w:r w:rsidRPr="00F54EA8">
        <w:rPr>
          <w:rFonts w:ascii="Book Antiqua" w:eastAsia="SimSun" w:hAnsi="Book Antiqua" w:cs="Times New Roman"/>
          <w:b/>
          <w:kern w:val="2"/>
          <w:sz w:val="24"/>
          <w:szCs w:val="24"/>
          <w:lang w:val="en-US" w:eastAsia="zh-CN"/>
        </w:rPr>
        <w:t>94</w:t>
      </w:r>
      <w:r w:rsidRPr="00F54EA8">
        <w:rPr>
          <w:rFonts w:ascii="Book Antiqua" w:eastAsia="SimSun" w:hAnsi="Book Antiqua" w:cs="Times New Roman"/>
          <w:kern w:val="2"/>
          <w:sz w:val="24"/>
          <w:szCs w:val="24"/>
          <w:lang w:val="en-US" w:eastAsia="zh-CN"/>
        </w:rPr>
        <w:t>: 1833-1836 [PMID: 16721360 DOI: 10.1038/sj.bjc.6603185]</w:t>
      </w:r>
    </w:p>
    <w:p w14:paraId="0A504D2A"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98 </w:t>
      </w:r>
      <w:r w:rsidRPr="00F54EA8">
        <w:rPr>
          <w:rFonts w:ascii="Book Antiqua" w:eastAsia="SimSun" w:hAnsi="Book Antiqua" w:cs="Times New Roman"/>
          <w:b/>
          <w:kern w:val="2"/>
          <w:sz w:val="24"/>
          <w:szCs w:val="24"/>
          <w:lang w:val="en-US" w:eastAsia="zh-CN"/>
        </w:rPr>
        <w:t>Al-Shaiba R</w:t>
      </w:r>
      <w:r w:rsidRPr="00F54EA8">
        <w:rPr>
          <w:rFonts w:ascii="Book Antiqua" w:eastAsia="SimSun" w:hAnsi="Book Antiqua" w:cs="Times New Roman"/>
          <w:kern w:val="2"/>
          <w:sz w:val="24"/>
          <w:szCs w:val="24"/>
          <w:lang w:val="en-US" w:eastAsia="zh-CN"/>
        </w:rPr>
        <w:t xml:space="preserve">, McMillan DC, Angerson WJ, Leen E, McArdle CS, Horgan P. The relationship between hypoalbuminaemia, tumour volume and the systemic inflammatory response in patients with colorectal liver metastases. </w:t>
      </w:r>
      <w:r w:rsidRPr="00F54EA8">
        <w:rPr>
          <w:rFonts w:ascii="Book Antiqua" w:eastAsia="SimSun" w:hAnsi="Book Antiqua" w:cs="Times New Roman"/>
          <w:i/>
          <w:kern w:val="2"/>
          <w:sz w:val="24"/>
          <w:szCs w:val="24"/>
          <w:lang w:val="en-US" w:eastAsia="zh-CN"/>
        </w:rPr>
        <w:t>Br J Cancer</w:t>
      </w:r>
      <w:r w:rsidRPr="00F54EA8">
        <w:rPr>
          <w:rFonts w:ascii="Book Antiqua" w:eastAsia="SimSun" w:hAnsi="Book Antiqua" w:cs="Times New Roman"/>
          <w:kern w:val="2"/>
          <w:sz w:val="24"/>
          <w:szCs w:val="24"/>
          <w:lang w:val="en-US" w:eastAsia="zh-CN"/>
        </w:rPr>
        <w:t xml:space="preserve"> 2004; </w:t>
      </w:r>
      <w:r w:rsidRPr="00F54EA8">
        <w:rPr>
          <w:rFonts w:ascii="Book Antiqua" w:eastAsia="SimSun" w:hAnsi="Book Antiqua" w:cs="Times New Roman"/>
          <w:b/>
          <w:kern w:val="2"/>
          <w:sz w:val="24"/>
          <w:szCs w:val="24"/>
          <w:lang w:val="en-US" w:eastAsia="zh-CN"/>
        </w:rPr>
        <w:t>91</w:t>
      </w:r>
      <w:r w:rsidRPr="00F54EA8">
        <w:rPr>
          <w:rFonts w:ascii="Book Antiqua" w:eastAsia="SimSun" w:hAnsi="Book Antiqua" w:cs="Times New Roman"/>
          <w:kern w:val="2"/>
          <w:sz w:val="24"/>
          <w:szCs w:val="24"/>
          <w:lang w:val="en-US" w:eastAsia="zh-CN"/>
        </w:rPr>
        <w:t>: 205-207 [PMID: 15213726 DOI: 10.1038/sj.bjc.6601886]</w:t>
      </w:r>
    </w:p>
    <w:p w14:paraId="45ACF616"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99 </w:t>
      </w:r>
      <w:r w:rsidRPr="00F54EA8">
        <w:rPr>
          <w:rFonts w:ascii="Book Antiqua" w:eastAsia="SimSun" w:hAnsi="Book Antiqua" w:cs="Times New Roman"/>
          <w:b/>
          <w:kern w:val="2"/>
          <w:sz w:val="24"/>
          <w:szCs w:val="24"/>
          <w:lang w:val="en-US" w:eastAsia="zh-CN"/>
        </w:rPr>
        <w:t>McMillan DC</w:t>
      </w:r>
      <w:r w:rsidRPr="00F54EA8">
        <w:rPr>
          <w:rFonts w:ascii="Book Antiqua" w:eastAsia="SimSun" w:hAnsi="Book Antiqua" w:cs="Times New Roman"/>
          <w:kern w:val="2"/>
          <w:sz w:val="24"/>
          <w:szCs w:val="24"/>
          <w:lang w:val="en-US" w:eastAsia="zh-CN"/>
        </w:rPr>
        <w:t xml:space="preserve">, Watson WS, O'Gorman P, Preston T, Scott HR, McArdle CS. Albumin concentrations are primarily determined by the body cell mass and the systemic inflammatory response in cancer patients with weight loss. </w:t>
      </w:r>
      <w:r w:rsidRPr="00F54EA8">
        <w:rPr>
          <w:rFonts w:ascii="Book Antiqua" w:eastAsia="SimSun" w:hAnsi="Book Antiqua" w:cs="Times New Roman"/>
          <w:i/>
          <w:kern w:val="2"/>
          <w:sz w:val="24"/>
          <w:szCs w:val="24"/>
          <w:lang w:val="en-US" w:eastAsia="zh-CN"/>
        </w:rPr>
        <w:t>Nutr Cancer</w:t>
      </w:r>
      <w:r w:rsidRPr="00F54EA8">
        <w:rPr>
          <w:rFonts w:ascii="Book Antiqua" w:eastAsia="SimSun" w:hAnsi="Book Antiqua" w:cs="Times New Roman"/>
          <w:kern w:val="2"/>
          <w:sz w:val="24"/>
          <w:szCs w:val="24"/>
          <w:lang w:val="en-US" w:eastAsia="zh-CN"/>
        </w:rPr>
        <w:t xml:space="preserve"> 2001; </w:t>
      </w:r>
      <w:r w:rsidRPr="00F54EA8">
        <w:rPr>
          <w:rFonts w:ascii="Book Antiqua" w:eastAsia="SimSun" w:hAnsi="Book Antiqua" w:cs="Times New Roman"/>
          <w:b/>
          <w:kern w:val="2"/>
          <w:sz w:val="24"/>
          <w:szCs w:val="24"/>
          <w:lang w:val="en-US" w:eastAsia="zh-CN"/>
        </w:rPr>
        <w:t>39</w:t>
      </w:r>
      <w:r w:rsidRPr="00F54EA8">
        <w:rPr>
          <w:rFonts w:ascii="Book Antiqua" w:eastAsia="SimSun" w:hAnsi="Book Antiqua" w:cs="Times New Roman"/>
          <w:kern w:val="2"/>
          <w:sz w:val="24"/>
          <w:szCs w:val="24"/>
          <w:lang w:val="en-US" w:eastAsia="zh-CN"/>
        </w:rPr>
        <w:t>: 210-213 [PMID: 11759282 DOI: 10.1207/S15327914nc392_8]</w:t>
      </w:r>
    </w:p>
    <w:p w14:paraId="17697BD1"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100 </w:t>
      </w:r>
      <w:r w:rsidRPr="00F54EA8">
        <w:rPr>
          <w:rFonts w:ascii="Book Antiqua" w:eastAsia="SimSun" w:hAnsi="Book Antiqua" w:cs="Times New Roman"/>
          <w:b/>
          <w:kern w:val="2"/>
          <w:sz w:val="24"/>
          <w:szCs w:val="24"/>
          <w:lang w:val="en-US" w:eastAsia="zh-CN"/>
        </w:rPr>
        <w:t>Cengiz O</w:t>
      </w:r>
      <w:r w:rsidRPr="00F54EA8">
        <w:rPr>
          <w:rFonts w:ascii="Book Antiqua" w:eastAsia="SimSun" w:hAnsi="Book Antiqua" w:cs="Times New Roman"/>
          <w:kern w:val="2"/>
          <w:sz w:val="24"/>
          <w:szCs w:val="24"/>
          <w:lang w:val="en-US" w:eastAsia="zh-CN"/>
        </w:rPr>
        <w:t xml:space="preserve">, Kocer B, Sürmeli S, Santicky MJ, Soran A. Are pretreatment serum albumin and cholesterol levels prognostic tools in patients with colorectal carcinoma? </w:t>
      </w:r>
      <w:r w:rsidRPr="00F54EA8">
        <w:rPr>
          <w:rFonts w:ascii="Book Antiqua" w:eastAsia="SimSun" w:hAnsi="Book Antiqua" w:cs="Times New Roman"/>
          <w:i/>
          <w:kern w:val="2"/>
          <w:sz w:val="24"/>
          <w:szCs w:val="24"/>
          <w:lang w:val="en-US" w:eastAsia="zh-CN"/>
        </w:rPr>
        <w:t>Med Sci Monit</w:t>
      </w:r>
      <w:r w:rsidRPr="00F54EA8">
        <w:rPr>
          <w:rFonts w:ascii="Book Antiqua" w:eastAsia="SimSun" w:hAnsi="Book Antiqua" w:cs="Times New Roman"/>
          <w:kern w:val="2"/>
          <w:sz w:val="24"/>
          <w:szCs w:val="24"/>
          <w:lang w:val="en-US" w:eastAsia="zh-CN"/>
        </w:rPr>
        <w:t xml:space="preserve"> 2006; </w:t>
      </w:r>
      <w:r w:rsidRPr="00F54EA8">
        <w:rPr>
          <w:rFonts w:ascii="Book Antiqua" w:eastAsia="SimSun" w:hAnsi="Book Antiqua" w:cs="Times New Roman"/>
          <w:b/>
          <w:kern w:val="2"/>
          <w:sz w:val="24"/>
          <w:szCs w:val="24"/>
          <w:lang w:val="en-US" w:eastAsia="zh-CN"/>
        </w:rPr>
        <w:t>12</w:t>
      </w:r>
      <w:r w:rsidRPr="00F54EA8">
        <w:rPr>
          <w:rFonts w:ascii="Book Antiqua" w:eastAsia="SimSun" w:hAnsi="Book Antiqua" w:cs="Times New Roman"/>
          <w:kern w:val="2"/>
          <w:sz w:val="24"/>
          <w:szCs w:val="24"/>
          <w:lang w:val="en-US" w:eastAsia="zh-CN"/>
        </w:rPr>
        <w:t>: CR240-CR247 [PMID: 16733481]</w:t>
      </w:r>
    </w:p>
    <w:p w14:paraId="44BFC1E3"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101 </w:t>
      </w:r>
      <w:r w:rsidRPr="00F54EA8">
        <w:rPr>
          <w:rFonts w:ascii="Book Antiqua" w:eastAsia="SimSun" w:hAnsi="Book Antiqua" w:cs="Times New Roman"/>
          <w:b/>
          <w:kern w:val="2"/>
          <w:sz w:val="24"/>
          <w:szCs w:val="24"/>
          <w:lang w:val="en-US" w:eastAsia="zh-CN"/>
        </w:rPr>
        <w:t>McMillan DC</w:t>
      </w:r>
      <w:r w:rsidRPr="00F54EA8">
        <w:rPr>
          <w:rFonts w:ascii="Book Antiqua" w:eastAsia="SimSun" w:hAnsi="Book Antiqua" w:cs="Times New Roman"/>
          <w:kern w:val="2"/>
          <w:sz w:val="24"/>
          <w:szCs w:val="24"/>
          <w:lang w:val="en-US" w:eastAsia="zh-CN"/>
        </w:rPr>
        <w:t xml:space="preserve">, Canna K, McArdle CS. Systemic inflammatory response predicts survival following curative resection of colorectal cancer. </w:t>
      </w:r>
      <w:r w:rsidRPr="00F54EA8">
        <w:rPr>
          <w:rFonts w:ascii="Book Antiqua" w:eastAsia="SimSun" w:hAnsi="Book Antiqua" w:cs="Times New Roman"/>
          <w:i/>
          <w:kern w:val="2"/>
          <w:sz w:val="24"/>
          <w:szCs w:val="24"/>
          <w:lang w:val="en-US" w:eastAsia="zh-CN"/>
        </w:rPr>
        <w:t>Br J Surg</w:t>
      </w:r>
      <w:r w:rsidRPr="00F54EA8">
        <w:rPr>
          <w:rFonts w:ascii="Book Antiqua" w:eastAsia="SimSun" w:hAnsi="Book Antiqua" w:cs="Times New Roman"/>
          <w:kern w:val="2"/>
          <w:sz w:val="24"/>
          <w:szCs w:val="24"/>
          <w:lang w:val="en-US" w:eastAsia="zh-CN"/>
        </w:rPr>
        <w:t xml:space="preserve"> 2003; </w:t>
      </w:r>
      <w:r w:rsidRPr="00F54EA8">
        <w:rPr>
          <w:rFonts w:ascii="Book Antiqua" w:eastAsia="SimSun" w:hAnsi="Book Antiqua" w:cs="Times New Roman"/>
          <w:b/>
          <w:kern w:val="2"/>
          <w:sz w:val="24"/>
          <w:szCs w:val="24"/>
          <w:lang w:val="en-US" w:eastAsia="zh-CN"/>
        </w:rPr>
        <w:t>90</w:t>
      </w:r>
      <w:r w:rsidRPr="00F54EA8">
        <w:rPr>
          <w:rFonts w:ascii="Book Antiqua" w:eastAsia="SimSun" w:hAnsi="Book Antiqua" w:cs="Times New Roman"/>
          <w:kern w:val="2"/>
          <w:sz w:val="24"/>
          <w:szCs w:val="24"/>
          <w:lang w:val="en-US" w:eastAsia="zh-CN"/>
        </w:rPr>
        <w:t>: 215-219 [PMID: 12555298 DOI: 10.1002/bjs.4038]</w:t>
      </w:r>
    </w:p>
    <w:p w14:paraId="0B7E0DD1"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102 </w:t>
      </w:r>
      <w:r w:rsidRPr="00F54EA8">
        <w:rPr>
          <w:rFonts w:ascii="Book Antiqua" w:eastAsia="SimSun" w:hAnsi="Book Antiqua" w:cs="Times New Roman"/>
          <w:b/>
          <w:kern w:val="2"/>
          <w:sz w:val="24"/>
          <w:szCs w:val="24"/>
          <w:lang w:val="en-US" w:eastAsia="zh-CN"/>
        </w:rPr>
        <w:t>Takada S</w:t>
      </w:r>
      <w:r w:rsidRPr="00F54EA8">
        <w:rPr>
          <w:rFonts w:ascii="Book Antiqua" w:eastAsia="SimSun" w:hAnsi="Book Antiqua" w:cs="Times New Roman"/>
          <w:kern w:val="2"/>
          <w:sz w:val="24"/>
          <w:szCs w:val="24"/>
          <w:lang w:val="en-US" w:eastAsia="zh-CN"/>
        </w:rPr>
        <w:t xml:space="preserve">, Namiki M, Takahara S, Matsumiya K, Kondoh N, Kokado Y, Matsumoto K, Nakamura T, Okuyama A. Serum HGF levels in acute renal rejection after living related renal transplantation. </w:t>
      </w:r>
      <w:r w:rsidRPr="00F54EA8">
        <w:rPr>
          <w:rFonts w:ascii="Book Antiqua" w:eastAsia="SimSun" w:hAnsi="Book Antiqua" w:cs="Times New Roman"/>
          <w:i/>
          <w:kern w:val="2"/>
          <w:sz w:val="24"/>
          <w:szCs w:val="24"/>
          <w:lang w:val="en-US" w:eastAsia="zh-CN"/>
        </w:rPr>
        <w:t>Transpl Int</w:t>
      </w:r>
      <w:r w:rsidRPr="00F54EA8">
        <w:rPr>
          <w:rFonts w:ascii="Book Antiqua" w:eastAsia="SimSun" w:hAnsi="Book Antiqua" w:cs="Times New Roman"/>
          <w:kern w:val="2"/>
          <w:sz w:val="24"/>
          <w:szCs w:val="24"/>
          <w:lang w:val="en-US" w:eastAsia="zh-CN"/>
        </w:rPr>
        <w:t xml:space="preserve"> 1996; </w:t>
      </w:r>
      <w:r w:rsidRPr="00F54EA8">
        <w:rPr>
          <w:rFonts w:ascii="Book Antiqua" w:eastAsia="SimSun" w:hAnsi="Book Antiqua" w:cs="Times New Roman"/>
          <w:b/>
          <w:kern w:val="2"/>
          <w:sz w:val="24"/>
          <w:szCs w:val="24"/>
          <w:lang w:val="en-US" w:eastAsia="zh-CN"/>
        </w:rPr>
        <w:t>9</w:t>
      </w:r>
      <w:r w:rsidRPr="00F54EA8">
        <w:rPr>
          <w:rFonts w:ascii="Book Antiqua" w:eastAsia="SimSun" w:hAnsi="Book Antiqua" w:cs="Times New Roman"/>
          <w:kern w:val="2"/>
          <w:sz w:val="24"/>
          <w:szCs w:val="24"/>
          <w:lang w:val="en-US" w:eastAsia="zh-CN"/>
        </w:rPr>
        <w:t>: 151-154 [PMID: 8639257]</w:t>
      </w:r>
    </w:p>
    <w:p w14:paraId="7DE4B110"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103 </w:t>
      </w:r>
      <w:r w:rsidRPr="00F54EA8">
        <w:rPr>
          <w:rFonts w:ascii="Book Antiqua" w:eastAsia="SimSun" w:hAnsi="Book Antiqua" w:cs="Times New Roman"/>
          <w:b/>
          <w:kern w:val="2"/>
          <w:sz w:val="24"/>
          <w:szCs w:val="24"/>
          <w:lang w:val="en-US" w:eastAsia="zh-CN"/>
        </w:rPr>
        <w:t>Harrison LE</w:t>
      </w:r>
      <w:r w:rsidRPr="00F54EA8">
        <w:rPr>
          <w:rFonts w:ascii="Book Antiqua" w:eastAsia="SimSun" w:hAnsi="Book Antiqua" w:cs="Times New Roman"/>
          <w:kern w:val="2"/>
          <w:sz w:val="24"/>
          <w:szCs w:val="24"/>
          <w:lang w:val="en-US" w:eastAsia="zh-CN"/>
        </w:rPr>
        <w:t xml:space="preserve">, Guillem JG, Paty P, Cohen AM. Preoperative carcinoembryonic antigen predicts outcomes in node-negative colon cancer patients: a multivariate analysis of 572 patients. </w:t>
      </w:r>
      <w:r w:rsidRPr="00F54EA8">
        <w:rPr>
          <w:rFonts w:ascii="Book Antiqua" w:eastAsia="SimSun" w:hAnsi="Book Antiqua" w:cs="Times New Roman"/>
          <w:i/>
          <w:kern w:val="2"/>
          <w:sz w:val="24"/>
          <w:szCs w:val="24"/>
          <w:lang w:val="en-US" w:eastAsia="zh-CN"/>
        </w:rPr>
        <w:t>J Am Coll Surg</w:t>
      </w:r>
      <w:r w:rsidRPr="00F54EA8">
        <w:rPr>
          <w:rFonts w:ascii="Book Antiqua" w:eastAsia="SimSun" w:hAnsi="Book Antiqua" w:cs="Times New Roman"/>
          <w:kern w:val="2"/>
          <w:sz w:val="24"/>
          <w:szCs w:val="24"/>
          <w:lang w:val="en-US" w:eastAsia="zh-CN"/>
        </w:rPr>
        <w:t xml:space="preserve"> 1997; </w:t>
      </w:r>
      <w:r w:rsidRPr="00F54EA8">
        <w:rPr>
          <w:rFonts w:ascii="Book Antiqua" w:eastAsia="SimSun" w:hAnsi="Book Antiqua" w:cs="Times New Roman"/>
          <w:b/>
          <w:kern w:val="2"/>
          <w:sz w:val="24"/>
          <w:szCs w:val="24"/>
          <w:lang w:val="en-US" w:eastAsia="zh-CN"/>
        </w:rPr>
        <w:t>185</w:t>
      </w:r>
      <w:r w:rsidRPr="00F54EA8">
        <w:rPr>
          <w:rFonts w:ascii="Book Antiqua" w:eastAsia="SimSun" w:hAnsi="Book Antiqua" w:cs="Times New Roman"/>
          <w:kern w:val="2"/>
          <w:sz w:val="24"/>
          <w:szCs w:val="24"/>
          <w:lang w:val="en-US" w:eastAsia="zh-CN"/>
        </w:rPr>
        <w:t>: 55-59 [PMID: 9208961]</w:t>
      </w:r>
    </w:p>
    <w:p w14:paraId="49699E1C"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lastRenderedPageBreak/>
        <w:t xml:space="preserve">104 </w:t>
      </w:r>
      <w:r w:rsidRPr="00F54EA8">
        <w:rPr>
          <w:rFonts w:ascii="Book Antiqua" w:eastAsia="SimSun" w:hAnsi="Book Antiqua" w:cs="Times New Roman"/>
          <w:b/>
          <w:kern w:val="2"/>
          <w:sz w:val="24"/>
          <w:szCs w:val="24"/>
          <w:lang w:val="en-US" w:eastAsia="zh-CN"/>
        </w:rPr>
        <w:t>Hohenberger P</w:t>
      </w:r>
      <w:r w:rsidRPr="00F54EA8">
        <w:rPr>
          <w:rFonts w:ascii="Book Antiqua" w:eastAsia="SimSun" w:hAnsi="Book Antiqua" w:cs="Times New Roman"/>
          <w:kern w:val="2"/>
          <w:sz w:val="24"/>
          <w:szCs w:val="24"/>
          <w:lang w:val="en-US" w:eastAsia="zh-CN"/>
        </w:rPr>
        <w:t xml:space="preserve">, Schlag PM, Gerneth T, Herfarth C. Pre- and postoperative carcinoembryonic antigen determinations in hepatic resection for colorectal metastases. Predictive value and implications for adjuvant treatment based on multivariate analysis. </w:t>
      </w:r>
      <w:r w:rsidRPr="00F54EA8">
        <w:rPr>
          <w:rFonts w:ascii="Book Antiqua" w:eastAsia="SimSun" w:hAnsi="Book Antiqua" w:cs="Times New Roman"/>
          <w:i/>
          <w:kern w:val="2"/>
          <w:sz w:val="24"/>
          <w:szCs w:val="24"/>
          <w:lang w:val="en-US" w:eastAsia="zh-CN"/>
        </w:rPr>
        <w:t>Ann Surg</w:t>
      </w:r>
      <w:r w:rsidRPr="00F54EA8">
        <w:rPr>
          <w:rFonts w:ascii="Book Antiqua" w:eastAsia="SimSun" w:hAnsi="Book Antiqua" w:cs="Times New Roman"/>
          <w:kern w:val="2"/>
          <w:sz w:val="24"/>
          <w:szCs w:val="24"/>
          <w:lang w:val="en-US" w:eastAsia="zh-CN"/>
        </w:rPr>
        <w:t xml:space="preserve"> 1994; </w:t>
      </w:r>
      <w:r w:rsidRPr="00F54EA8">
        <w:rPr>
          <w:rFonts w:ascii="Book Antiqua" w:eastAsia="SimSun" w:hAnsi="Book Antiqua" w:cs="Times New Roman"/>
          <w:b/>
          <w:kern w:val="2"/>
          <w:sz w:val="24"/>
          <w:szCs w:val="24"/>
          <w:lang w:val="en-US" w:eastAsia="zh-CN"/>
        </w:rPr>
        <w:t>219</w:t>
      </w:r>
      <w:r w:rsidRPr="00F54EA8">
        <w:rPr>
          <w:rFonts w:ascii="Book Antiqua" w:eastAsia="SimSun" w:hAnsi="Book Antiqua" w:cs="Times New Roman"/>
          <w:kern w:val="2"/>
          <w:sz w:val="24"/>
          <w:szCs w:val="24"/>
          <w:lang w:val="en-US" w:eastAsia="zh-CN"/>
        </w:rPr>
        <w:t>: 135-143 [PMID: 8129484]</w:t>
      </w:r>
    </w:p>
    <w:p w14:paraId="73E37634"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105 </w:t>
      </w:r>
      <w:r w:rsidRPr="00F54EA8">
        <w:rPr>
          <w:rFonts w:ascii="Book Antiqua" w:eastAsia="SimSun" w:hAnsi="Book Antiqua" w:cs="Times New Roman"/>
          <w:b/>
          <w:kern w:val="2"/>
          <w:sz w:val="24"/>
          <w:szCs w:val="24"/>
          <w:lang w:val="en-US" w:eastAsia="zh-CN"/>
        </w:rPr>
        <w:t>Malapelle U</w:t>
      </w:r>
      <w:r w:rsidRPr="00F54EA8">
        <w:rPr>
          <w:rFonts w:ascii="Book Antiqua" w:eastAsia="SimSun" w:hAnsi="Book Antiqua" w:cs="Times New Roman"/>
          <w:kern w:val="2"/>
          <w:sz w:val="24"/>
          <w:szCs w:val="24"/>
          <w:lang w:val="en-US" w:eastAsia="zh-CN"/>
        </w:rPr>
        <w:t xml:space="preserve">, Mayo de-Las-Casas C, Rocco D, Garzon M, Pisapia P, Jordana-Ariza N, Russo M, Sgariglia R, De Luca C, Pepe F, Martinez-Bueno A, Morales-Espinosa D, González-Cao M, Karachaliou N, Viteri Ramirez S, Bellevicine C, Molina-Vila MA, Rosell R, Troncone G. Development of a gene panel for next-generation sequencing of clinically relevant mutations in cell-free DNA from cancer patients. </w:t>
      </w:r>
      <w:r w:rsidRPr="00F54EA8">
        <w:rPr>
          <w:rFonts w:ascii="Book Antiqua" w:eastAsia="SimSun" w:hAnsi="Book Antiqua" w:cs="Times New Roman"/>
          <w:i/>
          <w:kern w:val="2"/>
          <w:sz w:val="24"/>
          <w:szCs w:val="24"/>
          <w:lang w:val="en-US" w:eastAsia="zh-CN"/>
        </w:rPr>
        <w:t>Br J Cancer</w:t>
      </w:r>
      <w:r w:rsidRPr="00F54EA8">
        <w:rPr>
          <w:rFonts w:ascii="Book Antiqua" w:eastAsia="SimSun" w:hAnsi="Book Antiqua" w:cs="Times New Roman"/>
          <w:kern w:val="2"/>
          <w:sz w:val="24"/>
          <w:szCs w:val="24"/>
          <w:lang w:val="en-US" w:eastAsia="zh-CN"/>
        </w:rPr>
        <w:t xml:space="preserve"> 2017; </w:t>
      </w:r>
      <w:r w:rsidRPr="00F54EA8">
        <w:rPr>
          <w:rFonts w:ascii="Book Antiqua" w:eastAsia="SimSun" w:hAnsi="Book Antiqua" w:cs="Times New Roman"/>
          <w:b/>
          <w:kern w:val="2"/>
          <w:sz w:val="24"/>
          <w:szCs w:val="24"/>
          <w:lang w:val="en-US" w:eastAsia="zh-CN"/>
        </w:rPr>
        <w:t>116</w:t>
      </w:r>
      <w:r w:rsidRPr="00F54EA8">
        <w:rPr>
          <w:rFonts w:ascii="Book Antiqua" w:eastAsia="SimSun" w:hAnsi="Book Antiqua" w:cs="Times New Roman"/>
          <w:kern w:val="2"/>
          <w:sz w:val="24"/>
          <w:szCs w:val="24"/>
          <w:lang w:val="en-US" w:eastAsia="zh-CN"/>
        </w:rPr>
        <w:t>: 802-810 [PMID: 28170370 DOI: 10.1038/bjc.2017.8]</w:t>
      </w:r>
    </w:p>
    <w:p w14:paraId="783AA784"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106 </w:t>
      </w:r>
      <w:r w:rsidRPr="00F54EA8">
        <w:rPr>
          <w:rFonts w:ascii="Book Antiqua" w:eastAsia="SimSun" w:hAnsi="Book Antiqua" w:cs="Times New Roman"/>
          <w:b/>
          <w:kern w:val="2"/>
          <w:sz w:val="24"/>
          <w:szCs w:val="24"/>
          <w:lang w:val="en-US" w:eastAsia="zh-CN"/>
        </w:rPr>
        <w:t>Ng JM</w:t>
      </w:r>
      <w:r w:rsidRPr="00F54EA8">
        <w:rPr>
          <w:rFonts w:ascii="Book Antiqua" w:eastAsia="SimSun" w:hAnsi="Book Antiqua" w:cs="Times New Roman"/>
          <w:kern w:val="2"/>
          <w:sz w:val="24"/>
          <w:szCs w:val="24"/>
          <w:lang w:val="en-US" w:eastAsia="zh-CN"/>
        </w:rPr>
        <w:t xml:space="preserve">, Yu J. Promoter hypermethylation of tumour suppressor genes as potential biomarkers in colorectal cancer. </w:t>
      </w:r>
      <w:r w:rsidRPr="00F54EA8">
        <w:rPr>
          <w:rFonts w:ascii="Book Antiqua" w:eastAsia="SimSun" w:hAnsi="Book Antiqua" w:cs="Times New Roman"/>
          <w:i/>
          <w:kern w:val="2"/>
          <w:sz w:val="24"/>
          <w:szCs w:val="24"/>
          <w:lang w:val="en-US" w:eastAsia="zh-CN"/>
        </w:rPr>
        <w:t>Int J Mol Sci</w:t>
      </w:r>
      <w:r w:rsidRPr="00F54EA8">
        <w:rPr>
          <w:rFonts w:ascii="Book Antiqua" w:eastAsia="SimSun" w:hAnsi="Book Antiqua" w:cs="Times New Roman"/>
          <w:kern w:val="2"/>
          <w:sz w:val="24"/>
          <w:szCs w:val="24"/>
          <w:lang w:val="en-US" w:eastAsia="zh-CN"/>
        </w:rPr>
        <w:t xml:space="preserve"> 2015; </w:t>
      </w:r>
      <w:r w:rsidRPr="00F54EA8">
        <w:rPr>
          <w:rFonts w:ascii="Book Antiqua" w:eastAsia="SimSun" w:hAnsi="Book Antiqua" w:cs="Times New Roman"/>
          <w:b/>
          <w:kern w:val="2"/>
          <w:sz w:val="24"/>
          <w:szCs w:val="24"/>
          <w:lang w:val="en-US" w:eastAsia="zh-CN"/>
        </w:rPr>
        <w:t>16</w:t>
      </w:r>
      <w:r w:rsidRPr="00F54EA8">
        <w:rPr>
          <w:rFonts w:ascii="Book Antiqua" w:eastAsia="SimSun" w:hAnsi="Book Antiqua" w:cs="Times New Roman"/>
          <w:kern w:val="2"/>
          <w:sz w:val="24"/>
          <w:szCs w:val="24"/>
          <w:lang w:val="en-US" w:eastAsia="zh-CN"/>
        </w:rPr>
        <w:t>: 2472-2496 [PMID: 25622259 DOI: 10.3390/ijms16022472]</w:t>
      </w:r>
    </w:p>
    <w:p w14:paraId="7D39721A"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107 </w:t>
      </w:r>
      <w:r w:rsidRPr="00F54EA8">
        <w:rPr>
          <w:rFonts w:ascii="Book Antiqua" w:eastAsia="SimSun" w:hAnsi="Book Antiqua" w:cs="Times New Roman"/>
          <w:b/>
          <w:kern w:val="2"/>
          <w:sz w:val="24"/>
          <w:szCs w:val="24"/>
          <w:lang w:val="en-US" w:eastAsia="zh-CN"/>
        </w:rPr>
        <w:t>Basnet S</w:t>
      </w:r>
      <w:r w:rsidRPr="00F54EA8">
        <w:rPr>
          <w:rFonts w:ascii="Book Antiqua" w:eastAsia="SimSun" w:hAnsi="Book Antiqua" w:cs="Times New Roman"/>
          <w:kern w:val="2"/>
          <w:sz w:val="24"/>
          <w:szCs w:val="24"/>
          <w:lang w:val="en-US" w:eastAsia="zh-CN"/>
        </w:rPr>
        <w:t xml:space="preserve">, Zhang ZY, Liao WQ, Li SH, Li PS, Ge HY. The Prognostic Value of Circulating Cell-Free DNA in Colorectal Cancer: A Meta-Analysis. </w:t>
      </w:r>
      <w:r w:rsidRPr="00F54EA8">
        <w:rPr>
          <w:rFonts w:ascii="Book Antiqua" w:eastAsia="SimSun" w:hAnsi="Book Antiqua" w:cs="Times New Roman"/>
          <w:i/>
          <w:kern w:val="2"/>
          <w:sz w:val="24"/>
          <w:szCs w:val="24"/>
          <w:lang w:val="en-US" w:eastAsia="zh-CN"/>
        </w:rPr>
        <w:t>J Cancer</w:t>
      </w:r>
      <w:r w:rsidRPr="00F54EA8">
        <w:rPr>
          <w:rFonts w:ascii="Book Antiqua" w:eastAsia="SimSun" w:hAnsi="Book Antiqua" w:cs="Times New Roman"/>
          <w:kern w:val="2"/>
          <w:sz w:val="24"/>
          <w:szCs w:val="24"/>
          <w:lang w:val="en-US" w:eastAsia="zh-CN"/>
        </w:rPr>
        <w:t xml:space="preserve"> 2016; </w:t>
      </w:r>
      <w:r w:rsidRPr="00F54EA8">
        <w:rPr>
          <w:rFonts w:ascii="Book Antiqua" w:eastAsia="SimSun" w:hAnsi="Book Antiqua" w:cs="Times New Roman"/>
          <w:b/>
          <w:kern w:val="2"/>
          <w:sz w:val="24"/>
          <w:szCs w:val="24"/>
          <w:lang w:val="en-US" w:eastAsia="zh-CN"/>
        </w:rPr>
        <w:t>7</w:t>
      </w:r>
      <w:r w:rsidRPr="00F54EA8">
        <w:rPr>
          <w:rFonts w:ascii="Book Antiqua" w:eastAsia="SimSun" w:hAnsi="Book Antiqua" w:cs="Times New Roman"/>
          <w:kern w:val="2"/>
          <w:sz w:val="24"/>
          <w:szCs w:val="24"/>
          <w:lang w:val="en-US" w:eastAsia="zh-CN"/>
        </w:rPr>
        <w:t>: 1105-1113 [PMID: 27326254 DOI: 10.7150/jca.14801]</w:t>
      </w:r>
    </w:p>
    <w:p w14:paraId="1FDB5917"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108 </w:t>
      </w:r>
      <w:r w:rsidRPr="00F54EA8">
        <w:rPr>
          <w:rFonts w:ascii="Book Antiqua" w:eastAsia="SimSun" w:hAnsi="Book Antiqua" w:cs="Times New Roman"/>
          <w:b/>
          <w:kern w:val="2"/>
          <w:sz w:val="24"/>
          <w:szCs w:val="24"/>
          <w:lang w:val="en-US" w:eastAsia="zh-CN"/>
        </w:rPr>
        <w:t>El Messaoudi S</w:t>
      </w:r>
      <w:r w:rsidRPr="00F54EA8">
        <w:rPr>
          <w:rFonts w:ascii="Book Antiqua" w:eastAsia="SimSun" w:hAnsi="Book Antiqua" w:cs="Times New Roman"/>
          <w:kern w:val="2"/>
          <w:sz w:val="24"/>
          <w:szCs w:val="24"/>
          <w:lang w:val="en-US" w:eastAsia="zh-CN"/>
        </w:rPr>
        <w:t xml:space="preserve">, Mouliere F, Du Manoir S, Bascoul-Mollevi C, Gillet B, Nouaille M, Fiess C, Crapez E, Bibeau F, Theillet C, Mazard T, Pezet D, Mathonnet M, Ychou M, Thierry AR. Circulating DNA as a Strong Multimarker Prognostic Tool for Metastatic Colorectal Cancer Patient Management Care. </w:t>
      </w:r>
      <w:r w:rsidRPr="00F54EA8">
        <w:rPr>
          <w:rFonts w:ascii="Book Antiqua" w:eastAsia="SimSun" w:hAnsi="Book Antiqua" w:cs="Times New Roman"/>
          <w:i/>
          <w:kern w:val="2"/>
          <w:sz w:val="24"/>
          <w:szCs w:val="24"/>
          <w:lang w:val="en-US" w:eastAsia="zh-CN"/>
        </w:rPr>
        <w:t>Clin Cancer Res</w:t>
      </w:r>
      <w:r w:rsidRPr="00F54EA8">
        <w:rPr>
          <w:rFonts w:ascii="Book Antiqua" w:eastAsia="SimSun" w:hAnsi="Book Antiqua" w:cs="Times New Roman"/>
          <w:kern w:val="2"/>
          <w:sz w:val="24"/>
          <w:szCs w:val="24"/>
          <w:lang w:val="en-US" w:eastAsia="zh-CN"/>
        </w:rPr>
        <w:t xml:space="preserve"> 2016; </w:t>
      </w:r>
      <w:r w:rsidRPr="00F54EA8">
        <w:rPr>
          <w:rFonts w:ascii="Book Antiqua" w:eastAsia="SimSun" w:hAnsi="Book Antiqua" w:cs="Times New Roman"/>
          <w:b/>
          <w:kern w:val="2"/>
          <w:sz w:val="24"/>
          <w:szCs w:val="24"/>
          <w:lang w:val="en-US" w:eastAsia="zh-CN"/>
        </w:rPr>
        <w:t>22</w:t>
      </w:r>
      <w:r w:rsidRPr="00F54EA8">
        <w:rPr>
          <w:rFonts w:ascii="Book Antiqua" w:eastAsia="SimSun" w:hAnsi="Book Antiqua" w:cs="Times New Roman"/>
          <w:kern w:val="2"/>
          <w:sz w:val="24"/>
          <w:szCs w:val="24"/>
          <w:lang w:val="en-US" w:eastAsia="zh-CN"/>
        </w:rPr>
        <w:t>: 3067-3077 [PMID: 26847055 DOI: 10.1158/1078-0432.CCR-15-0297]</w:t>
      </w:r>
    </w:p>
    <w:p w14:paraId="3CF594C2"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109 </w:t>
      </w:r>
      <w:r w:rsidRPr="00F54EA8">
        <w:rPr>
          <w:rFonts w:ascii="Book Antiqua" w:eastAsia="SimSun" w:hAnsi="Book Antiqua" w:cs="Times New Roman"/>
          <w:b/>
          <w:kern w:val="2"/>
          <w:sz w:val="24"/>
          <w:szCs w:val="24"/>
          <w:lang w:val="en-US" w:eastAsia="zh-CN"/>
        </w:rPr>
        <w:t>Kitahara M</w:t>
      </w:r>
      <w:r w:rsidRPr="00F54EA8">
        <w:rPr>
          <w:rFonts w:ascii="Book Antiqua" w:eastAsia="SimSun" w:hAnsi="Book Antiqua" w:cs="Times New Roman"/>
          <w:kern w:val="2"/>
          <w:sz w:val="24"/>
          <w:szCs w:val="24"/>
          <w:lang w:val="en-US" w:eastAsia="zh-CN"/>
        </w:rPr>
        <w:t xml:space="preserve">, Hazama S, Tsunedomi R, Takenouchi H, Kanekiyo S, Inoue Y, Nakajima M, Tomochika S, Tokuhisa Y, Iida M, Sakamoto K, Suzuki N, Takeda S, Ueno T, Yamamoto S, Yoshino S, Nagano H. Prediction of the efficacy of immunotherapy by measuring the integrity of cell-free DNA in plasma in colorectal cancer. </w:t>
      </w:r>
      <w:r w:rsidRPr="00F54EA8">
        <w:rPr>
          <w:rFonts w:ascii="Book Antiqua" w:eastAsia="SimSun" w:hAnsi="Book Antiqua" w:cs="Times New Roman"/>
          <w:i/>
          <w:kern w:val="2"/>
          <w:sz w:val="24"/>
          <w:szCs w:val="24"/>
          <w:lang w:val="en-US" w:eastAsia="zh-CN"/>
        </w:rPr>
        <w:t>Cancer Sci</w:t>
      </w:r>
      <w:r w:rsidRPr="00F54EA8">
        <w:rPr>
          <w:rFonts w:ascii="Book Antiqua" w:eastAsia="SimSun" w:hAnsi="Book Antiqua" w:cs="Times New Roman"/>
          <w:kern w:val="2"/>
          <w:sz w:val="24"/>
          <w:szCs w:val="24"/>
          <w:lang w:val="en-US" w:eastAsia="zh-CN"/>
        </w:rPr>
        <w:t xml:space="preserve"> 2016; </w:t>
      </w:r>
      <w:r w:rsidRPr="00F54EA8">
        <w:rPr>
          <w:rFonts w:ascii="Book Antiqua" w:eastAsia="SimSun" w:hAnsi="Book Antiqua" w:cs="Times New Roman"/>
          <w:b/>
          <w:kern w:val="2"/>
          <w:sz w:val="24"/>
          <w:szCs w:val="24"/>
          <w:lang w:val="en-US" w:eastAsia="zh-CN"/>
        </w:rPr>
        <w:t>107</w:t>
      </w:r>
      <w:r w:rsidRPr="00F54EA8">
        <w:rPr>
          <w:rFonts w:ascii="Book Antiqua" w:eastAsia="SimSun" w:hAnsi="Book Antiqua" w:cs="Times New Roman"/>
          <w:kern w:val="2"/>
          <w:sz w:val="24"/>
          <w:szCs w:val="24"/>
          <w:lang w:val="en-US" w:eastAsia="zh-CN"/>
        </w:rPr>
        <w:t>: 1825-1829 [PMID: 27663862 DOI: 10.1111/cas.13085]</w:t>
      </w:r>
    </w:p>
    <w:p w14:paraId="3458A24E"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110 </w:t>
      </w:r>
      <w:r w:rsidRPr="00F54EA8">
        <w:rPr>
          <w:rFonts w:ascii="Book Antiqua" w:eastAsia="SimSun" w:hAnsi="Book Antiqua" w:cs="Times New Roman"/>
          <w:b/>
          <w:kern w:val="2"/>
          <w:sz w:val="24"/>
          <w:szCs w:val="24"/>
          <w:lang w:val="en-US" w:eastAsia="zh-CN"/>
        </w:rPr>
        <w:t>Toledo RA</w:t>
      </w:r>
      <w:r w:rsidRPr="00F54EA8">
        <w:rPr>
          <w:rFonts w:ascii="Book Antiqua" w:eastAsia="SimSun" w:hAnsi="Book Antiqua" w:cs="Times New Roman"/>
          <w:kern w:val="2"/>
          <w:sz w:val="24"/>
          <w:szCs w:val="24"/>
          <w:lang w:val="en-US" w:eastAsia="zh-CN"/>
        </w:rPr>
        <w:t xml:space="preserve">, Cubillo A, Vega E, Garralda E, Alvarez R, de la Varga LU, Pascual JR, Sánchez G, Sarno F, Prieto SH, Perea S, Lopéz-Casas PP, López-Ríos F, Hidalgo M. Clinical validation of prospective liquid biopsy monitoring in patients with wild-type RAS metastatic colorectal cancer treated with FOLFIRI-cetuximab. </w:t>
      </w:r>
      <w:r w:rsidRPr="00F54EA8">
        <w:rPr>
          <w:rFonts w:ascii="Book Antiqua" w:eastAsia="SimSun" w:hAnsi="Book Antiqua" w:cs="Times New Roman"/>
          <w:i/>
          <w:kern w:val="2"/>
          <w:sz w:val="24"/>
          <w:szCs w:val="24"/>
          <w:lang w:val="en-US" w:eastAsia="zh-CN"/>
        </w:rPr>
        <w:t>Oncotarget</w:t>
      </w:r>
      <w:r w:rsidRPr="00F54EA8">
        <w:rPr>
          <w:rFonts w:ascii="Book Antiqua" w:eastAsia="SimSun" w:hAnsi="Book Antiqua" w:cs="Times New Roman"/>
          <w:kern w:val="2"/>
          <w:sz w:val="24"/>
          <w:szCs w:val="24"/>
          <w:lang w:val="en-US" w:eastAsia="zh-CN"/>
        </w:rPr>
        <w:t xml:space="preserve"> 2017; </w:t>
      </w:r>
      <w:r w:rsidRPr="00F54EA8">
        <w:rPr>
          <w:rFonts w:ascii="Book Antiqua" w:eastAsia="SimSun" w:hAnsi="Book Antiqua" w:cs="Times New Roman"/>
          <w:b/>
          <w:kern w:val="2"/>
          <w:sz w:val="24"/>
          <w:szCs w:val="24"/>
          <w:lang w:val="en-US" w:eastAsia="zh-CN"/>
        </w:rPr>
        <w:t>8</w:t>
      </w:r>
      <w:r w:rsidRPr="00F54EA8">
        <w:rPr>
          <w:rFonts w:ascii="Book Antiqua" w:eastAsia="SimSun" w:hAnsi="Book Antiqua" w:cs="Times New Roman"/>
          <w:kern w:val="2"/>
          <w:sz w:val="24"/>
          <w:szCs w:val="24"/>
          <w:lang w:val="en-US" w:eastAsia="zh-CN"/>
        </w:rPr>
        <w:t>: 35289-35300 [PMID: 27852040 DOI: 10.18632/oncotarget.13311]</w:t>
      </w:r>
    </w:p>
    <w:p w14:paraId="47575D48"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lastRenderedPageBreak/>
        <w:t xml:space="preserve">111 </w:t>
      </w:r>
      <w:r w:rsidRPr="00F54EA8">
        <w:rPr>
          <w:rFonts w:ascii="Book Antiqua" w:eastAsia="SimSun" w:hAnsi="Book Antiqua" w:cs="Times New Roman"/>
          <w:b/>
          <w:kern w:val="2"/>
          <w:sz w:val="24"/>
          <w:szCs w:val="24"/>
          <w:lang w:val="en-US" w:eastAsia="zh-CN"/>
        </w:rPr>
        <w:t>LeBlanc JG</w:t>
      </w:r>
      <w:r w:rsidRPr="00F54EA8">
        <w:rPr>
          <w:rFonts w:ascii="Book Antiqua" w:eastAsia="SimSun" w:hAnsi="Book Antiqua" w:cs="Times New Roman"/>
          <w:kern w:val="2"/>
          <w:sz w:val="24"/>
          <w:szCs w:val="24"/>
          <w:lang w:val="en-US" w:eastAsia="zh-CN"/>
        </w:rPr>
        <w:t xml:space="preserve">, Milani C, de Giori GS, Sesma F, van Sinderen D, Ventura M. Bacteria as vitamin suppliers to their host: a gut microbiota perspective. </w:t>
      </w:r>
      <w:r w:rsidRPr="00F54EA8">
        <w:rPr>
          <w:rFonts w:ascii="Book Antiqua" w:eastAsia="SimSun" w:hAnsi="Book Antiqua" w:cs="Times New Roman"/>
          <w:i/>
          <w:kern w:val="2"/>
          <w:sz w:val="24"/>
          <w:szCs w:val="24"/>
          <w:lang w:val="en-US" w:eastAsia="zh-CN"/>
        </w:rPr>
        <w:t>Curr Opin Biotechnol</w:t>
      </w:r>
      <w:r w:rsidRPr="00F54EA8">
        <w:rPr>
          <w:rFonts w:ascii="Book Antiqua" w:eastAsia="SimSun" w:hAnsi="Book Antiqua" w:cs="Times New Roman"/>
          <w:kern w:val="2"/>
          <w:sz w:val="24"/>
          <w:szCs w:val="24"/>
          <w:lang w:val="en-US" w:eastAsia="zh-CN"/>
        </w:rPr>
        <w:t xml:space="preserve"> 2013; </w:t>
      </w:r>
      <w:r w:rsidRPr="00F54EA8">
        <w:rPr>
          <w:rFonts w:ascii="Book Antiqua" w:eastAsia="SimSun" w:hAnsi="Book Antiqua" w:cs="Times New Roman"/>
          <w:b/>
          <w:kern w:val="2"/>
          <w:sz w:val="24"/>
          <w:szCs w:val="24"/>
          <w:lang w:val="en-US" w:eastAsia="zh-CN"/>
        </w:rPr>
        <w:t>24</w:t>
      </w:r>
      <w:r w:rsidRPr="00F54EA8">
        <w:rPr>
          <w:rFonts w:ascii="Book Antiqua" w:eastAsia="SimSun" w:hAnsi="Book Antiqua" w:cs="Times New Roman"/>
          <w:kern w:val="2"/>
          <w:sz w:val="24"/>
          <w:szCs w:val="24"/>
          <w:lang w:val="en-US" w:eastAsia="zh-CN"/>
        </w:rPr>
        <w:t>: 160-168 [PMID: 22940212 DOI: 10.1016/j.copbio.2012.08.005]</w:t>
      </w:r>
    </w:p>
    <w:p w14:paraId="7DA26FEA"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112 </w:t>
      </w:r>
      <w:r w:rsidRPr="00F54EA8">
        <w:rPr>
          <w:rFonts w:ascii="Book Antiqua" w:eastAsia="SimSun" w:hAnsi="Book Antiqua" w:cs="Times New Roman"/>
          <w:b/>
          <w:kern w:val="2"/>
          <w:sz w:val="24"/>
          <w:szCs w:val="24"/>
          <w:lang w:val="en-US" w:eastAsia="zh-CN"/>
        </w:rPr>
        <w:t>Corrêa-Oliveira R</w:t>
      </w:r>
      <w:r w:rsidRPr="00F54EA8">
        <w:rPr>
          <w:rFonts w:ascii="Book Antiqua" w:eastAsia="SimSun" w:hAnsi="Book Antiqua" w:cs="Times New Roman"/>
          <w:kern w:val="2"/>
          <w:sz w:val="24"/>
          <w:szCs w:val="24"/>
          <w:lang w:val="en-US" w:eastAsia="zh-CN"/>
        </w:rPr>
        <w:t xml:space="preserve">, Fachi JL, Vieira A, Sato FT, Vinolo MA. Regulation of immune cell function by short-chain fatty acids. </w:t>
      </w:r>
      <w:r w:rsidRPr="00F54EA8">
        <w:rPr>
          <w:rFonts w:ascii="Book Antiqua" w:eastAsia="SimSun" w:hAnsi="Book Antiqua" w:cs="Times New Roman"/>
          <w:i/>
          <w:kern w:val="2"/>
          <w:sz w:val="24"/>
          <w:szCs w:val="24"/>
          <w:lang w:val="en-US" w:eastAsia="zh-CN"/>
        </w:rPr>
        <w:t>Clin Transl Immunology</w:t>
      </w:r>
      <w:r w:rsidRPr="00F54EA8">
        <w:rPr>
          <w:rFonts w:ascii="Book Antiqua" w:eastAsia="SimSun" w:hAnsi="Book Antiqua" w:cs="Times New Roman"/>
          <w:kern w:val="2"/>
          <w:sz w:val="24"/>
          <w:szCs w:val="24"/>
          <w:lang w:val="en-US" w:eastAsia="zh-CN"/>
        </w:rPr>
        <w:t xml:space="preserve"> 2016; </w:t>
      </w:r>
      <w:r w:rsidRPr="00F54EA8">
        <w:rPr>
          <w:rFonts w:ascii="Book Antiqua" w:eastAsia="SimSun" w:hAnsi="Book Antiqua" w:cs="Times New Roman"/>
          <w:b/>
          <w:kern w:val="2"/>
          <w:sz w:val="24"/>
          <w:szCs w:val="24"/>
          <w:lang w:val="en-US" w:eastAsia="zh-CN"/>
        </w:rPr>
        <w:t>5</w:t>
      </w:r>
      <w:r w:rsidRPr="00F54EA8">
        <w:rPr>
          <w:rFonts w:ascii="Book Antiqua" w:eastAsia="SimSun" w:hAnsi="Book Antiqua" w:cs="Times New Roman"/>
          <w:kern w:val="2"/>
          <w:sz w:val="24"/>
          <w:szCs w:val="24"/>
          <w:lang w:val="en-US" w:eastAsia="zh-CN"/>
        </w:rPr>
        <w:t>: e73 [PMID: 27195116 DOI: 10.1038/cti.2016.17]</w:t>
      </w:r>
    </w:p>
    <w:p w14:paraId="5BAC5F43"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113 </w:t>
      </w:r>
      <w:r w:rsidRPr="00F54EA8">
        <w:rPr>
          <w:rFonts w:ascii="Book Antiqua" w:eastAsia="SimSun" w:hAnsi="Book Antiqua" w:cs="Times New Roman"/>
          <w:b/>
          <w:kern w:val="2"/>
          <w:sz w:val="24"/>
          <w:szCs w:val="24"/>
          <w:lang w:val="en-US" w:eastAsia="zh-CN"/>
        </w:rPr>
        <w:t>Morrison DJ</w:t>
      </w:r>
      <w:r w:rsidRPr="00F54EA8">
        <w:rPr>
          <w:rFonts w:ascii="Book Antiqua" w:eastAsia="SimSun" w:hAnsi="Book Antiqua" w:cs="Times New Roman"/>
          <w:kern w:val="2"/>
          <w:sz w:val="24"/>
          <w:szCs w:val="24"/>
          <w:lang w:val="en-US" w:eastAsia="zh-CN"/>
        </w:rPr>
        <w:t xml:space="preserve">, Preston T. Formation of short chain fatty acids by the gut microbiota and their impact on human metabolism. </w:t>
      </w:r>
      <w:r w:rsidRPr="00F54EA8">
        <w:rPr>
          <w:rFonts w:ascii="Book Antiqua" w:eastAsia="SimSun" w:hAnsi="Book Antiqua" w:cs="Times New Roman"/>
          <w:i/>
          <w:kern w:val="2"/>
          <w:sz w:val="24"/>
          <w:szCs w:val="24"/>
          <w:lang w:val="en-US" w:eastAsia="zh-CN"/>
        </w:rPr>
        <w:t>Gut Microbes</w:t>
      </w:r>
      <w:r w:rsidRPr="00F54EA8">
        <w:rPr>
          <w:rFonts w:ascii="Book Antiqua" w:eastAsia="SimSun" w:hAnsi="Book Antiqua" w:cs="Times New Roman"/>
          <w:kern w:val="2"/>
          <w:sz w:val="24"/>
          <w:szCs w:val="24"/>
          <w:lang w:val="en-US" w:eastAsia="zh-CN"/>
        </w:rPr>
        <w:t xml:space="preserve"> 2016; </w:t>
      </w:r>
      <w:r w:rsidRPr="00F54EA8">
        <w:rPr>
          <w:rFonts w:ascii="Book Antiqua" w:eastAsia="SimSun" w:hAnsi="Book Antiqua" w:cs="Times New Roman"/>
          <w:b/>
          <w:kern w:val="2"/>
          <w:sz w:val="24"/>
          <w:szCs w:val="24"/>
          <w:lang w:val="en-US" w:eastAsia="zh-CN"/>
        </w:rPr>
        <w:t>7</w:t>
      </w:r>
      <w:r w:rsidRPr="00F54EA8">
        <w:rPr>
          <w:rFonts w:ascii="Book Antiqua" w:eastAsia="SimSun" w:hAnsi="Book Antiqua" w:cs="Times New Roman"/>
          <w:kern w:val="2"/>
          <w:sz w:val="24"/>
          <w:szCs w:val="24"/>
          <w:lang w:val="en-US" w:eastAsia="zh-CN"/>
        </w:rPr>
        <w:t>: 189-200 [PMID: 26963409 DOI: 10.1080/19490976.2015.1134082]</w:t>
      </w:r>
    </w:p>
    <w:p w14:paraId="7ECF85E5"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114 </w:t>
      </w:r>
      <w:r w:rsidRPr="00F54EA8">
        <w:rPr>
          <w:rFonts w:ascii="Book Antiqua" w:eastAsia="SimSun" w:hAnsi="Book Antiqua" w:cs="Times New Roman"/>
          <w:b/>
          <w:kern w:val="2"/>
          <w:sz w:val="24"/>
          <w:szCs w:val="24"/>
          <w:lang w:val="en-US" w:eastAsia="zh-CN"/>
        </w:rPr>
        <w:t>Natividad JM</w:t>
      </w:r>
      <w:r w:rsidRPr="00F54EA8">
        <w:rPr>
          <w:rFonts w:ascii="Book Antiqua" w:eastAsia="SimSun" w:hAnsi="Book Antiqua" w:cs="Times New Roman"/>
          <w:kern w:val="2"/>
          <w:sz w:val="24"/>
          <w:szCs w:val="24"/>
          <w:lang w:val="en-US" w:eastAsia="zh-CN"/>
        </w:rPr>
        <w:t xml:space="preserve">, Verdu EF. Modulation of intestinal barrier by intestinal microbiota: pathological and therapeutic implications. </w:t>
      </w:r>
      <w:r w:rsidRPr="00F54EA8">
        <w:rPr>
          <w:rFonts w:ascii="Book Antiqua" w:eastAsia="SimSun" w:hAnsi="Book Antiqua" w:cs="Times New Roman"/>
          <w:i/>
          <w:kern w:val="2"/>
          <w:sz w:val="24"/>
          <w:szCs w:val="24"/>
          <w:lang w:val="en-US" w:eastAsia="zh-CN"/>
        </w:rPr>
        <w:t>Pharmacol Res</w:t>
      </w:r>
      <w:r w:rsidRPr="00F54EA8">
        <w:rPr>
          <w:rFonts w:ascii="Book Antiqua" w:eastAsia="SimSun" w:hAnsi="Book Antiqua" w:cs="Times New Roman"/>
          <w:kern w:val="2"/>
          <w:sz w:val="24"/>
          <w:szCs w:val="24"/>
          <w:lang w:val="en-US" w:eastAsia="zh-CN"/>
        </w:rPr>
        <w:t xml:space="preserve"> 2013; </w:t>
      </w:r>
      <w:r w:rsidRPr="00F54EA8">
        <w:rPr>
          <w:rFonts w:ascii="Book Antiqua" w:eastAsia="SimSun" w:hAnsi="Book Antiqua" w:cs="Times New Roman"/>
          <w:b/>
          <w:kern w:val="2"/>
          <w:sz w:val="24"/>
          <w:szCs w:val="24"/>
          <w:lang w:val="en-US" w:eastAsia="zh-CN"/>
        </w:rPr>
        <w:t>69</w:t>
      </w:r>
      <w:r w:rsidRPr="00F54EA8">
        <w:rPr>
          <w:rFonts w:ascii="Book Antiqua" w:eastAsia="SimSun" w:hAnsi="Book Antiqua" w:cs="Times New Roman"/>
          <w:kern w:val="2"/>
          <w:sz w:val="24"/>
          <w:szCs w:val="24"/>
          <w:lang w:val="en-US" w:eastAsia="zh-CN"/>
        </w:rPr>
        <w:t>: 42-51 [PMID: 23089410 DOI: 10.1016/j.phrs.2012.10.007]</w:t>
      </w:r>
    </w:p>
    <w:p w14:paraId="7A50AC5B"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115 </w:t>
      </w:r>
      <w:r w:rsidRPr="00F54EA8">
        <w:rPr>
          <w:rFonts w:ascii="Book Antiqua" w:eastAsia="SimSun" w:hAnsi="Book Antiqua" w:cs="Times New Roman"/>
          <w:b/>
          <w:kern w:val="2"/>
          <w:sz w:val="24"/>
          <w:szCs w:val="24"/>
          <w:lang w:val="en-US" w:eastAsia="zh-CN"/>
        </w:rPr>
        <w:t>Sommer F</w:t>
      </w:r>
      <w:r w:rsidRPr="00F54EA8">
        <w:rPr>
          <w:rFonts w:ascii="Book Antiqua" w:eastAsia="SimSun" w:hAnsi="Book Antiqua" w:cs="Times New Roman"/>
          <w:kern w:val="2"/>
          <w:sz w:val="24"/>
          <w:szCs w:val="24"/>
          <w:lang w:val="en-US" w:eastAsia="zh-CN"/>
        </w:rPr>
        <w:t xml:space="preserve">, Bäckhed F. The gut microbiota--masters of host development and physiology. </w:t>
      </w:r>
      <w:r w:rsidRPr="00F54EA8">
        <w:rPr>
          <w:rFonts w:ascii="Book Antiqua" w:eastAsia="SimSun" w:hAnsi="Book Antiqua" w:cs="Times New Roman"/>
          <w:i/>
          <w:kern w:val="2"/>
          <w:sz w:val="24"/>
          <w:szCs w:val="24"/>
          <w:lang w:val="en-US" w:eastAsia="zh-CN"/>
        </w:rPr>
        <w:t>Nat Rev Microbiol</w:t>
      </w:r>
      <w:r w:rsidRPr="00F54EA8">
        <w:rPr>
          <w:rFonts w:ascii="Book Antiqua" w:eastAsia="SimSun" w:hAnsi="Book Antiqua" w:cs="Times New Roman"/>
          <w:kern w:val="2"/>
          <w:sz w:val="24"/>
          <w:szCs w:val="24"/>
          <w:lang w:val="en-US" w:eastAsia="zh-CN"/>
        </w:rPr>
        <w:t xml:space="preserve"> 2013; </w:t>
      </w:r>
      <w:r w:rsidRPr="00F54EA8">
        <w:rPr>
          <w:rFonts w:ascii="Book Antiqua" w:eastAsia="SimSun" w:hAnsi="Book Antiqua" w:cs="Times New Roman"/>
          <w:b/>
          <w:kern w:val="2"/>
          <w:sz w:val="24"/>
          <w:szCs w:val="24"/>
          <w:lang w:val="en-US" w:eastAsia="zh-CN"/>
        </w:rPr>
        <w:t>11</w:t>
      </w:r>
      <w:r w:rsidRPr="00F54EA8">
        <w:rPr>
          <w:rFonts w:ascii="Book Antiqua" w:eastAsia="SimSun" w:hAnsi="Book Antiqua" w:cs="Times New Roman"/>
          <w:kern w:val="2"/>
          <w:sz w:val="24"/>
          <w:szCs w:val="24"/>
          <w:lang w:val="en-US" w:eastAsia="zh-CN"/>
        </w:rPr>
        <w:t>: 227-238 [PMID: 23435359 DOI: 10.1038/nrmicro2974]</w:t>
      </w:r>
    </w:p>
    <w:p w14:paraId="03F11D2B"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116 </w:t>
      </w:r>
      <w:r w:rsidRPr="00F54EA8">
        <w:rPr>
          <w:rFonts w:ascii="Book Antiqua" w:eastAsia="SimSun" w:hAnsi="Book Antiqua" w:cs="Times New Roman"/>
          <w:b/>
          <w:kern w:val="2"/>
          <w:sz w:val="24"/>
          <w:szCs w:val="24"/>
          <w:lang w:val="en-US" w:eastAsia="zh-CN"/>
        </w:rPr>
        <w:t>Round JL</w:t>
      </w:r>
      <w:r w:rsidRPr="00F54EA8">
        <w:rPr>
          <w:rFonts w:ascii="Book Antiqua" w:eastAsia="SimSun" w:hAnsi="Book Antiqua" w:cs="Times New Roman"/>
          <w:kern w:val="2"/>
          <w:sz w:val="24"/>
          <w:szCs w:val="24"/>
          <w:lang w:val="en-US" w:eastAsia="zh-CN"/>
        </w:rPr>
        <w:t xml:space="preserve">, Lee SM, Li J, Tran G, Jabri B, Chatila TA, Mazmanian SK. The Toll-like receptor 2 pathway establishes colonization by a commensal of the human microbiota. </w:t>
      </w:r>
      <w:r w:rsidRPr="00F54EA8">
        <w:rPr>
          <w:rFonts w:ascii="Book Antiqua" w:eastAsia="SimSun" w:hAnsi="Book Antiqua" w:cs="Times New Roman"/>
          <w:i/>
          <w:kern w:val="2"/>
          <w:sz w:val="24"/>
          <w:szCs w:val="24"/>
          <w:lang w:val="en-US" w:eastAsia="zh-CN"/>
        </w:rPr>
        <w:t>Science</w:t>
      </w:r>
      <w:r w:rsidRPr="00F54EA8">
        <w:rPr>
          <w:rFonts w:ascii="Book Antiqua" w:eastAsia="SimSun" w:hAnsi="Book Antiqua" w:cs="Times New Roman"/>
          <w:kern w:val="2"/>
          <w:sz w:val="24"/>
          <w:szCs w:val="24"/>
          <w:lang w:val="en-US" w:eastAsia="zh-CN"/>
        </w:rPr>
        <w:t xml:space="preserve"> 2011; </w:t>
      </w:r>
      <w:r w:rsidRPr="00F54EA8">
        <w:rPr>
          <w:rFonts w:ascii="Book Antiqua" w:eastAsia="SimSun" w:hAnsi="Book Antiqua" w:cs="Times New Roman"/>
          <w:b/>
          <w:kern w:val="2"/>
          <w:sz w:val="24"/>
          <w:szCs w:val="24"/>
          <w:lang w:val="en-US" w:eastAsia="zh-CN"/>
        </w:rPr>
        <w:t>332</w:t>
      </w:r>
      <w:r w:rsidRPr="00F54EA8">
        <w:rPr>
          <w:rFonts w:ascii="Book Antiqua" w:eastAsia="SimSun" w:hAnsi="Book Antiqua" w:cs="Times New Roman"/>
          <w:kern w:val="2"/>
          <w:sz w:val="24"/>
          <w:szCs w:val="24"/>
          <w:lang w:val="en-US" w:eastAsia="zh-CN"/>
        </w:rPr>
        <w:t>: 974-977 [PMID: 21512004 DOI: 10.1126/science.1206095]</w:t>
      </w:r>
    </w:p>
    <w:p w14:paraId="53F8A2B5"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117 </w:t>
      </w:r>
      <w:r w:rsidRPr="00F54EA8">
        <w:rPr>
          <w:rFonts w:ascii="Book Antiqua" w:eastAsia="SimSun" w:hAnsi="Book Antiqua" w:cs="Times New Roman"/>
          <w:b/>
          <w:kern w:val="2"/>
          <w:sz w:val="24"/>
          <w:szCs w:val="24"/>
          <w:lang w:val="en-US" w:eastAsia="zh-CN"/>
        </w:rPr>
        <w:t>Bäumler AJ</w:t>
      </w:r>
      <w:r w:rsidRPr="00F54EA8">
        <w:rPr>
          <w:rFonts w:ascii="Book Antiqua" w:eastAsia="SimSun" w:hAnsi="Book Antiqua" w:cs="Times New Roman"/>
          <w:kern w:val="2"/>
          <w:sz w:val="24"/>
          <w:szCs w:val="24"/>
          <w:lang w:val="en-US" w:eastAsia="zh-CN"/>
        </w:rPr>
        <w:t xml:space="preserve">, Sperandio V. Interactions between the microbiota and pathogenic bacteria in the gut. </w:t>
      </w:r>
      <w:r w:rsidRPr="00F54EA8">
        <w:rPr>
          <w:rFonts w:ascii="Book Antiqua" w:eastAsia="SimSun" w:hAnsi="Book Antiqua" w:cs="Times New Roman"/>
          <w:i/>
          <w:kern w:val="2"/>
          <w:sz w:val="24"/>
          <w:szCs w:val="24"/>
          <w:lang w:val="en-US" w:eastAsia="zh-CN"/>
        </w:rPr>
        <w:t>Nature</w:t>
      </w:r>
      <w:r w:rsidRPr="00F54EA8">
        <w:rPr>
          <w:rFonts w:ascii="Book Antiqua" w:eastAsia="SimSun" w:hAnsi="Book Antiqua" w:cs="Times New Roman"/>
          <w:kern w:val="2"/>
          <w:sz w:val="24"/>
          <w:szCs w:val="24"/>
          <w:lang w:val="en-US" w:eastAsia="zh-CN"/>
        </w:rPr>
        <w:t xml:space="preserve"> 2016; </w:t>
      </w:r>
      <w:r w:rsidRPr="00F54EA8">
        <w:rPr>
          <w:rFonts w:ascii="Book Antiqua" w:eastAsia="SimSun" w:hAnsi="Book Antiqua" w:cs="Times New Roman"/>
          <w:b/>
          <w:kern w:val="2"/>
          <w:sz w:val="24"/>
          <w:szCs w:val="24"/>
          <w:lang w:val="en-US" w:eastAsia="zh-CN"/>
        </w:rPr>
        <w:t>535</w:t>
      </w:r>
      <w:r w:rsidRPr="00F54EA8">
        <w:rPr>
          <w:rFonts w:ascii="Book Antiqua" w:eastAsia="SimSun" w:hAnsi="Book Antiqua" w:cs="Times New Roman"/>
          <w:kern w:val="2"/>
          <w:sz w:val="24"/>
          <w:szCs w:val="24"/>
          <w:lang w:val="en-US" w:eastAsia="zh-CN"/>
        </w:rPr>
        <w:t>: 85-93 [PMID: 27383983 DOI: 10.1038/nature18849]</w:t>
      </w:r>
    </w:p>
    <w:p w14:paraId="0486DA6A"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118 </w:t>
      </w:r>
      <w:r w:rsidRPr="00F54EA8">
        <w:rPr>
          <w:rFonts w:ascii="Book Antiqua" w:eastAsia="SimSun" w:hAnsi="Book Antiqua" w:cs="Times New Roman"/>
          <w:b/>
          <w:kern w:val="2"/>
          <w:sz w:val="24"/>
          <w:szCs w:val="24"/>
          <w:lang w:val="en-US" w:eastAsia="zh-CN"/>
        </w:rPr>
        <w:t>Hayashi H</w:t>
      </w:r>
      <w:r w:rsidRPr="00F54EA8">
        <w:rPr>
          <w:rFonts w:ascii="Book Antiqua" w:eastAsia="SimSun" w:hAnsi="Book Antiqua" w:cs="Times New Roman"/>
          <w:kern w:val="2"/>
          <w:sz w:val="24"/>
          <w:szCs w:val="24"/>
          <w:lang w:val="en-US" w:eastAsia="zh-CN"/>
        </w:rPr>
        <w:t xml:space="preserve">, Sakamoto M, Benno Y. Phylogenetic analysis of the human gut microbiota using 16S rDNA clone libraries and strictly anaerobic culture-based methods. </w:t>
      </w:r>
      <w:r w:rsidRPr="00F54EA8">
        <w:rPr>
          <w:rFonts w:ascii="Book Antiqua" w:eastAsia="SimSun" w:hAnsi="Book Antiqua" w:cs="Times New Roman"/>
          <w:i/>
          <w:kern w:val="2"/>
          <w:sz w:val="24"/>
          <w:szCs w:val="24"/>
          <w:lang w:val="en-US" w:eastAsia="zh-CN"/>
        </w:rPr>
        <w:t>Microbiol Immunol</w:t>
      </w:r>
      <w:r w:rsidRPr="00F54EA8">
        <w:rPr>
          <w:rFonts w:ascii="Book Antiqua" w:eastAsia="SimSun" w:hAnsi="Book Antiqua" w:cs="Times New Roman"/>
          <w:kern w:val="2"/>
          <w:sz w:val="24"/>
          <w:szCs w:val="24"/>
          <w:lang w:val="en-US" w:eastAsia="zh-CN"/>
        </w:rPr>
        <w:t xml:space="preserve"> 2002; </w:t>
      </w:r>
      <w:r w:rsidRPr="00F54EA8">
        <w:rPr>
          <w:rFonts w:ascii="Book Antiqua" w:eastAsia="SimSun" w:hAnsi="Book Antiqua" w:cs="Times New Roman"/>
          <w:b/>
          <w:kern w:val="2"/>
          <w:sz w:val="24"/>
          <w:szCs w:val="24"/>
          <w:lang w:val="en-US" w:eastAsia="zh-CN"/>
        </w:rPr>
        <w:t>46</w:t>
      </w:r>
      <w:r w:rsidRPr="00F54EA8">
        <w:rPr>
          <w:rFonts w:ascii="Book Antiqua" w:eastAsia="SimSun" w:hAnsi="Book Antiqua" w:cs="Times New Roman"/>
          <w:kern w:val="2"/>
          <w:sz w:val="24"/>
          <w:szCs w:val="24"/>
          <w:lang w:val="en-US" w:eastAsia="zh-CN"/>
        </w:rPr>
        <w:t>: 535-548 [PMID: 12363017]</w:t>
      </w:r>
    </w:p>
    <w:p w14:paraId="4475D41F"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119 </w:t>
      </w:r>
      <w:r w:rsidRPr="00F54EA8">
        <w:rPr>
          <w:rFonts w:ascii="Book Antiqua" w:eastAsia="SimSun" w:hAnsi="Book Antiqua" w:cs="Times New Roman"/>
          <w:b/>
          <w:kern w:val="2"/>
          <w:sz w:val="24"/>
          <w:szCs w:val="24"/>
          <w:lang w:val="en-US" w:eastAsia="zh-CN"/>
        </w:rPr>
        <w:t>Matsumoto M</w:t>
      </w:r>
      <w:r w:rsidRPr="00F54EA8">
        <w:rPr>
          <w:rFonts w:ascii="Book Antiqua" w:eastAsia="SimSun" w:hAnsi="Book Antiqua" w:cs="Times New Roman"/>
          <w:kern w:val="2"/>
          <w:sz w:val="24"/>
          <w:szCs w:val="24"/>
          <w:lang w:val="en-US" w:eastAsia="zh-CN"/>
        </w:rPr>
        <w:t xml:space="preserve">, Sakamoto M, Hayashi H, Benno Y. Novel phylogenetic assignment database for terminal-restriction fragment length polymorphism analysis of human colonic microbiota. </w:t>
      </w:r>
      <w:r w:rsidRPr="00F54EA8">
        <w:rPr>
          <w:rFonts w:ascii="Book Antiqua" w:eastAsia="SimSun" w:hAnsi="Book Antiqua" w:cs="Times New Roman"/>
          <w:i/>
          <w:kern w:val="2"/>
          <w:sz w:val="24"/>
          <w:szCs w:val="24"/>
          <w:lang w:val="en-US" w:eastAsia="zh-CN"/>
        </w:rPr>
        <w:t>J Microbiol Methods</w:t>
      </w:r>
      <w:r w:rsidRPr="00F54EA8">
        <w:rPr>
          <w:rFonts w:ascii="Book Antiqua" w:eastAsia="SimSun" w:hAnsi="Book Antiqua" w:cs="Times New Roman"/>
          <w:kern w:val="2"/>
          <w:sz w:val="24"/>
          <w:szCs w:val="24"/>
          <w:lang w:val="en-US" w:eastAsia="zh-CN"/>
        </w:rPr>
        <w:t xml:space="preserve"> 2005; </w:t>
      </w:r>
      <w:r w:rsidRPr="00F54EA8">
        <w:rPr>
          <w:rFonts w:ascii="Book Antiqua" w:eastAsia="SimSun" w:hAnsi="Book Antiqua" w:cs="Times New Roman"/>
          <w:b/>
          <w:kern w:val="2"/>
          <w:sz w:val="24"/>
          <w:szCs w:val="24"/>
          <w:lang w:val="en-US" w:eastAsia="zh-CN"/>
        </w:rPr>
        <w:t>61</w:t>
      </w:r>
      <w:r w:rsidRPr="00F54EA8">
        <w:rPr>
          <w:rFonts w:ascii="Book Antiqua" w:eastAsia="SimSun" w:hAnsi="Book Antiqua" w:cs="Times New Roman"/>
          <w:kern w:val="2"/>
          <w:sz w:val="24"/>
          <w:szCs w:val="24"/>
          <w:lang w:val="en-US" w:eastAsia="zh-CN"/>
        </w:rPr>
        <w:t>: 305-319 [PMID: 15767007 DOI: 10.1016/j.mimet.2004.12.009]</w:t>
      </w:r>
    </w:p>
    <w:p w14:paraId="77578B44"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120 </w:t>
      </w:r>
      <w:r w:rsidRPr="00F54EA8">
        <w:rPr>
          <w:rFonts w:ascii="Book Antiqua" w:eastAsia="SimSun" w:hAnsi="Book Antiqua" w:cs="Times New Roman"/>
          <w:b/>
          <w:kern w:val="2"/>
          <w:sz w:val="24"/>
          <w:szCs w:val="24"/>
          <w:lang w:val="en-US" w:eastAsia="zh-CN"/>
        </w:rPr>
        <w:t>Dehingia M</w:t>
      </w:r>
      <w:r w:rsidRPr="00F54EA8">
        <w:rPr>
          <w:rFonts w:ascii="Book Antiqua" w:eastAsia="SimSun" w:hAnsi="Book Antiqua" w:cs="Times New Roman"/>
          <w:kern w:val="2"/>
          <w:sz w:val="24"/>
          <w:szCs w:val="24"/>
          <w:lang w:val="en-US" w:eastAsia="zh-CN"/>
        </w:rPr>
        <w:t xml:space="preserve">, Devi KT, Talukdar NC, Talukdar R, Reddy N, Mande SS, Deka M, Khan MR. Gut bacterial diversity of the tribes of India and comparison with the worldwide data. </w:t>
      </w:r>
      <w:r w:rsidRPr="00F54EA8">
        <w:rPr>
          <w:rFonts w:ascii="Book Antiqua" w:eastAsia="SimSun" w:hAnsi="Book Antiqua" w:cs="Times New Roman"/>
          <w:i/>
          <w:kern w:val="2"/>
          <w:sz w:val="24"/>
          <w:szCs w:val="24"/>
          <w:lang w:val="en-US" w:eastAsia="zh-CN"/>
        </w:rPr>
        <w:t>Sci Rep</w:t>
      </w:r>
      <w:r w:rsidRPr="00F54EA8">
        <w:rPr>
          <w:rFonts w:ascii="Book Antiqua" w:eastAsia="SimSun" w:hAnsi="Book Antiqua" w:cs="Times New Roman"/>
          <w:kern w:val="2"/>
          <w:sz w:val="24"/>
          <w:szCs w:val="24"/>
          <w:lang w:val="en-US" w:eastAsia="zh-CN"/>
        </w:rPr>
        <w:t xml:space="preserve"> 2015; </w:t>
      </w:r>
      <w:r w:rsidRPr="00F54EA8">
        <w:rPr>
          <w:rFonts w:ascii="Book Antiqua" w:eastAsia="SimSun" w:hAnsi="Book Antiqua" w:cs="Times New Roman"/>
          <w:b/>
          <w:kern w:val="2"/>
          <w:sz w:val="24"/>
          <w:szCs w:val="24"/>
          <w:lang w:val="en-US" w:eastAsia="zh-CN"/>
        </w:rPr>
        <w:t>5</w:t>
      </w:r>
      <w:r w:rsidRPr="00F54EA8">
        <w:rPr>
          <w:rFonts w:ascii="Book Antiqua" w:eastAsia="SimSun" w:hAnsi="Book Antiqua" w:cs="Times New Roman"/>
          <w:kern w:val="2"/>
          <w:sz w:val="24"/>
          <w:szCs w:val="24"/>
          <w:lang w:val="en-US" w:eastAsia="zh-CN"/>
        </w:rPr>
        <w:t>: 18563 [PMID: 26689136 DOI: 10.1038/srep18563]</w:t>
      </w:r>
    </w:p>
    <w:p w14:paraId="7486A005"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lastRenderedPageBreak/>
        <w:t xml:space="preserve">121 </w:t>
      </w:r>
      <w:r w:rsidRPr="00F54EA8">
        <w:rPr>
          <w:rFonts w:ascii="Book Antiqua" w:eastAsia="SimSun" w:hAnsi="Book Antiqua" w:cs="Times New Roman"/>
          <w:b/>
          <w:kern w:val="2"/>
          <w:sz w:val="24"/>
          <w:szCs w:val="24"/>
          <w:lang w:val="en-US" w:eastAsia="zh-CN"/>
        </w:rPr>
        <w:t>Sagheddu V</w:t>
      </w:r>
      <w:r w:rsidRPr="00F54EA8">
        <w:rPr>
          <w:rFonts w:ascii="Book Antiqua" w:eastAsia="SimSun" w:hAnsi="Book Antiqua" w:cs="Times New Roman"/>
          <w:kern w:val="2"/>
          <w:sz w:val="24"/>
          <w:szCs w:val="24"/>
          <w:lang w:val="en-US" w:eastAsia="zh-CN"/>
        </w:rPr>
        <w:t xml:space="preserve">, Patrone V, Miragoli F, Morelli L. Abundance and Diversity of Hydrogenotrophic Microorganisms in the Infant Gut before the Weaning Period Assessed by Denaturing Gradient Gel Electrophoresis and Quantitative PCR. </w:t>
      </w:r>
      <w:r w:rsidRPr="00F54EA8">
        <w:rPr>
          <w:rFonts w:ascii="Book Antiqua" w:eastAsia="SimSun" w:hAnsi="Book Antiqua" w:cs="Times New Roman"/>
          <w:i/>
          <w:kern w:val="2"/>
          <w:sz w:val="24"/>
          <w:szCs w:val="24"/>
          <w:lang w:val="en-US" w:eastAsia="zh-CN"/>
        </w:rPr>
        <w:t>Front Nutr</w:t>
      </w:r>
      <w:r w:rsidRPr="00F54EA8">
        <w:rPr>
          <w:rFonts w:ascii="Book Antiqua" w:eastAsia="SimSun" w:hAnsi="Book Antiqua" w:cs="Times New Roman"/>
          <w:kern w:val="2"/>
          <w:sz w:val="24"/>
          <w:szCs w:val="24"/>
          <w:lang w:val="en-US" w:eastAsia="zh-CN"/>
        </w:rPr>
        <w:t xml:space="preserve"> 2017; </w:t>
      </w:r>
      <w:r w:rsidRPr="00F54EA8">
        <w:rPr>
          <w:rFonts w:ascii="Book Antiqua" w:eastAsia="SimSun" w:hAnsi="Book Antiqua" w:cs="Times New Roman"/>
          <w:b/>
          <w:kern w:val="2"/>
          <w:sz w:val="24"/>
          <w:szCs w:val="24"/>
          <w:lang w:val="en-US" w:eastAsia="zh-CN"/>
        </w:rPr>
        <w:t>4</w:t>
      </w:r>
      <w:r w:rsidRPr="00F54EA8">
        <w:rPr>
          <w:rFonts w:ascii="Book Antiqua" w:eastAsia="SimSun" w:hAnsi="Book Antiqua" w:cs="Times New Roman"/>
          <w:kern w:val="2"/>
          <w:sz w:val="24"/>
          <w:szCs w:val="24"/>
          <w:lang w:val="en-US" w:eastAsia="zh-CN"/>
        </w:rPr>
        <w:t>: 29 [PMID: 28695121 DOI: 10.3389/fnut.2017.00029]</w:t>
      </w:r>
    </w:p>
    <w:p w14:paraId="6BB5C471"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122 </w:t>
      </w:r>
      <w:r w:rsidRPr="00F54EA8">
        <w:rPr>
          <w:rFonts w:ascii="Book Antiqua" w:eastAsia="SimSun" w:hAnsi="Book Antiqua" w:cs="Times New Roman"/>
          <w:b/>
          <w:kern w:val="2"/>
          <w:sz w:val="24"/>
          <w:szCs w:val="24"/>
          <w:lang w:val="en-US" w:eastAsia="zh-CN"/>
        </w:rPr>
        <w:t>Swidsinski A</w:t>
      </w:r>
      <w:r w:rsidRPr="00F54EA8">
        <w:rPr>
          <w:rFonts w:ascii="Book Antiqua" w:eastAsia="SimSun" w:hAnsi="Book Antiqua" w:cs="Times New Roman"/>
          <w:kern w:val="2"/>
          <w:sz w:val="24"/>
          <w:szCs w:val="24"/>
          <w:lang w:val="en-US" w:eastAsia="zh-CN"/>
        </w:rPr>
        <w:t xml:space="preserve">, Dörffel Y, Loening-Baucke V, Gille C, Reißhauer A, Göktas O, Krüger M, Neuhaus J, Schrödl W. Impact of humic acids on the colonic microbiome in healthy volunteers. </w:t>
      </w:r>
      <w:r w:rsidRPr="00F54EA8">
        <w:rPr>
          <w:rFonts w:ascii="Book Antiqua" w:eastAsia="SimSun" w:hAnsi="Book Antiqua" w:cs="Times New Roman"/>
          <w:i/>
          <w:kern w:val="2"/>
          <w:sz w:val="24"/>
          <w:szCs w:val="24"/>
          <w:lang w:val="en-US" w:eastAsia="zh-CN"/>
        </w:rPr>
        <w:t>World J Gastroenterol</w:t>
      </w:r>
      <w:r w:rsidRPr="00F54EA8">
        <w:rPr>
          <w:rFonts w:ascii="Book Antiqua" w:eastAsia="SimSun" w:hAnsi="Book Antiqua" w:cs="Times New Roman"/>
          <w:kern w:val="2"/>
          <w:sz w:val="24"/>
          <w:szCs w:val="24"/>
          <w:lang w:val="en-US" w:eastAsia="zh-CN"/>
        </w:rPr>
        <w:t xml:space="preserve"> 2017; </w:t>
      </w:r>
      <w:r w:rsidRPr="00F54EA8">
        <w:rPr>
          <w:rFonts w:ascii="Book Antiqua" w:eastAsia="SimSun" w:hAnsi="Book Antiqua" w:cs="Times New Roman"/>
          <w:b/>
          <w:kern w:val="2"/>
          <w:sz w:val="24"/>
          <w:szCs w:val="24"/>
          <w:lang w:val="en-US" w:eastAsia="zh-CN"/>
        </w:rPr>
        <w:t>23</w:t>
      </w:r>
      <w:r w:rsidRPr="00F54EA8">
        <w:rPr>
          <w:rFonts w:ascii="Book Antiqua" w:eastAsia="SimSun" w:hAnsi="Book Antiqua" w:cs="Times New Roman"/>
          <w:kern w:val="2"/>
          <w:sz w:val="24"/>
          <w:szCs w:val="24"/>
          <w:lang w:val="en-US" w:eastAsia="zh-CN"/>
        </w:rPr>
        <w:t>: 885-890 [PMID: 28223733 DOI: 10.3748/wjg.v23.i5.885]</w:t>
      </w:r>
    </w:p>
    <w:p w14:paraId="373E2128"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123 </w:t>
      </w:r>
      <w:r w:rsidRPr="00F54EA8">
        <w:rPr>
          <w:rFonts w:ascii="Book Antiqua" w:eastAsia="SimSun" w:hAnsi="Book Antiqua" w:cs="Times New Roman"/>
          <w:b/>
          <w:kern w:val="2"/>
          <w:sz w:val="24"/>
          <w:szCs w:val="24"/>
          <w:lang w:val="en-US" w:eastAsia="zh-CN"/>
        </w:rPr>
        <w:t>Balamurugan R</w:t>
      </w:r>
      <w:r w:rsidRPr="00F54EA8">
        <w:rPr>
          <w:rFonts w:ascii="Book Antiqua" w:eastAsia="SimSun" w:hAnsi="Book Antiqua" w:cs="Times New Roman"/>
          <w:kern w:val="2"/>
          <w:sz w:val="24"/>
          <w:szCs w:val="24"/>
          <w:lang w:val="en-US" w:eastAsia="zh-CN"/>
        </w:rPr>
        <w:t xml:space="preserve">, Janardhan HP, George S, Chittaranjan SP, Ramakrishna BS. Bacterial succession in the colon during childhood and adolescence: molecular studies in a southern Indian village. </w:t>
      </w:r>
      <w:r w:rsidRPr="00F54EA8">
        <w:rPr>
          <w:rFonts w:ascii="Book Antiqua" w:eastAsia="SimSun" w:hAnsi="Book Antiqua" w:cs="Times New Roman"/>
          <w:i/>
          <w:kern w:val="2"/>
          <w:sz w:val="24"/>
          <w:szCs w:val="24"/>
          <w:lang w:val="en-US" w:eastAsia="zh-CN"/>
        </w:rPr>
        <w:t>Am J Clin Nutr</w:t>
      </w:r>
      <w:r w:rsidRPr="00F54EA8">
        <w:rPr>
          <w:rFonts w:ascii="Book Antiqua" w:eastAsia="SimSun" w:hAnsi="Book Antiqua" w:cs="Times New Roman"/>
          <w:kern w:val="2"/>
          <w:sz w:val="24"/>
          <w:szCs w:val="24"/>
          <w:lang w:val="en-US" w:eastAsia="zh-CN"/>
        </w:rPr>
        <w:t xml:space="preserve"> 2008; </w:t>
      </w:r>
      <w:r w:rsidRPr="00F54EA8">
        <w:rPr>
          <w:rFonts w:ascii="Book Antiqua" w:eastAsia="SimSun" w:hAnsi="Book Antiqua" w:cs="Times New Roman"/>
          <w:b/>
          <w:kern w:val="2"/>
          <w:sz w:val="24"/>
          <w:szCs w:val="24"/>
          <w:lang w:val="en-US" w:eastAsia="zh-CN"/>
        </w:rPr>
        <w:t>88</w:t>
      </w:r>
      <w:r w:rsidRPr="00F54EA8">
        <w:rPr>
          <w:rFonts w:ascii="Book Antiqua" w:eastAsia="SimSun" w:hAnsi="Book Antiqua" w:cs="Times New Roman"/>
          <w:kern w:val="2"/>
          <w:sz w:val="24"/>
          <w:szCs w:val="24"/>
          <w:lang w:val="en-US" w:eastAsia="zh-CN"/>
        </w:rPr>
        <w:t>: 1643-1647 [PMID: 19064526 DOI: 10.3945/ajcn.2008.26511]</w:t>
      </w:r>
    </w:p>
    <w:p w14:paraId="658AC9FB"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124 </w:t>
      </w:r>
      <w:r w:rsidRPr="00F54EA8">
        <w:rPr>
          <w:rFonts w:ascii="Book Antiqua" w:eastAsia="SimSun" w:hAnsi="Book Antiqua" w:cs="Times New Roman"/>
          <w:b/>
          <w:kern w:val="2"/>
          <w:sz w:val="24"/>
          <w:szCs w:val="24"/>
          <w:lang w:val="en-US" w:eastAsia="zh-CN"/>
        </w:rPr>
        <w:t>Sobhani I</w:t>
      </w:r>
      <w:r w:rsidRPr="00F54EA8">
        <w:rPr>
          <w:rFonts w:ascii="Book Antiqua" w:eastAsia="SimSun" w:hAnsi="Book Antiqua" w:cs="Times New Roman"/>
          <w:kern w:val="2"/>
          <w:sz w:val="24"/>
          <w:szCs w:val="24"/>
          <w:lang w:val="en-US" w:eastAsia="zh-CN"/>
        </w:rPr>
        <w:t xml:space="preserve">, Tap J, Roudot-Thoraval F, Roperch JP, Letulle S, Langella P, Corthier G, Tran Van Nhieu J, Furet JP. Microbial dysbiosis in colorectal cancer (CRC) patients. </w:t>
      </w:r>
      <w:r w:rsidRPr="00F54EA8">
        <w:rPr>
          <w:rFonts w:ascii="Book Antiqua" w:eastAsia="SimSun" w:hAnsi="Book Antiqua" w:cs="Times New Roman"/>
          <w:i/>
          <w:kern w:val="2"/>
          <w:sz w:val="24"/>
          <w:szCs w:val="24"/>
          <w:lang w:val="en-US" w:eastAsia="zh-CN"/>
        </w:rPr>
        <w:t>PLoS One</w:t>
      </w:r>
      <w:r w:rsidRPr="00F54EA8">
        <w:rPr>
          <w:rFonts w:ascii="Book Antiqua" w:eastAsia="SimSun" w:hAnsi="Book Antiqua" w:cs="Times New Roman"/>
          <w:kern w:val="2"/>
          <w:sz w:val="24"/>
          <w:szCs w:val="24"/>
          <w:lang w:val="en-US" w:eastAsia="zh-CN"/>
        </w:rPr>
        <w:t xml:space="preserve"> 2011; </w:t>
      </w:r>
      <w:r w:rsidRPr="00F54EA8">
        <w:rPr>
          <w:rFonts w:ascii="Book Antiqua" w:eastAsia="SimSun" w:hAnsi="Book Antiqua" w:cs="Times New Roman"/>
          <w:b/>
          <w:kern w:val="2"/>
          <w:sz w:val="24"/>
          <w:szCs w:val="24"/>
          <w:lang w:val="en-US" w:eastAsia="zh-CN"/>
        </w:rPr>
        <w:t>6</w:t>
      </w:r>
      <w:r w:rsidRPr="00F54EA8">
        <w:rPr>
          <w:rFonts w:ascii="Book Antiqua" w:eastAsia="SimSun" w:hAnsi="Book Antiqua" w:cs="Times New Roman"/>
          <w:kern w:val="2"/>
          <w:sz w:val="24"/>
          <w:szCs w:val="24"/>
          <w:lang w:val="en-US" w:eastAsia="zh-CN"/>
        </w:rPr>
        <w:t>: e16393 [PMID: 21297998 DOI: 10.1371/journal.pone.0016393]</w:t>
      </w:r>
    </w:p>
    <w:p w14:paraId="187382D8"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125 </w:t>
      </w:r>
      <w:r w:rsidRPr="00F54EA8">
        <w:rPr>
          <w:rFonts w:ascii="Book Antiqua" w:eastAsia="SimSun" w:hAnsi="Book Antiqua" w:cs="Times New Roman"/>
          <w:b/>
          <w:kern w:val="2"/>
          <w:sz w:val="24"/>
          <w:szCs w:val="24"/>
          <w:lang w:val="en-US" w:eastAsia="zh-CN"/>
        </w:rPr>
        <w:t>Feng Q</w:t>
      </w:r>
      <w:r w:rsidRPr="00F54EA8">
        <w:rPr>
          <w:rFonts w:ascii="Book Antiqua" w:eastAsia="SimSun" w:hAnsi="Book Antiqua" w:cs="Times New Roman"/>
          <w:kern w:val="2"/>
          <w:sz w:val="24"/>
          <w:szCs w:val="24"/>
          <w:lang w:val="en-US" w:eastAsia="zh-CN"/>
        </w:rPr>
        <w:t xml:space="preserve">, Liang S, Jia H, Stadlmayr A, Tang L, Lan Z, Zhang D, Xia H, Xu X, Jie Z, Su L, Li X, Li X, Li J, Xiao L, Huber-Schönauer U, Niederseer D, Xu X, Al-Aama JY, Yang H, Wang J, Kristiansen K, Arumugam M, Tilg H, Datz C, Wang J. Gut microbiome development along the colorectal adenoma-carcinoma sequence. </w:t>
      </w:r>
      <w:r w:rsidRPr="00F54EA8">
        <w:rPr>
          <w:rFonts w:ascii="Book Antiqua" w:eastAsia="SimSun" w:hAnsi="Book Antiqua" w:cs="Times New Roman"/>
          <w:i/>
          <w:kern w:val="2"/>
          <w:sz w:val="24"/>
          <w:szCs w:val="24"/>
          <w:lang w:val="en-US" w:eastAsia="zh-CN"/>
        </w:rPr>
        <w:t>Nat Commun</w:t>
      </w:r>
      <w:r w:rsidRPr="00F54EA8">
        <w:rPr>
          <w:rFonts w:ascii="Book Antiqua" w:eastAsia="SimSun" w:hAnsi="Book Antiqua" w:cs="Times New Roman"/>
          <w:kern w:val="2"/>
          <w:sz w:val="24"/>
          <w:szCs w:val="24"/>
          <w:lang w:val="en-US" w:eastAsia="zh-CN"/>
        </w:rPr>
        <w:t xml:space="preserve"> 2015; </w:t>
      </w:r>
      <w:r w:rsidRPr="00F54EA8">
        <w:rPr>
          <w:rFonts w:ascii="Book Antiqua" w:eastAsia="SimSun" w:hAnsi="Book Antiqua" w:cs="Times New Roman"/>
          <w:b/>
          <w:kern w:val="2"/>
          <w:sz w:val="24"/>
          <w:szCs w:val="24"/>
          <w:lang w:val="en-US" w:eastAsia="zh-CN"/>
        </w:rPr>
        <w:t>6</w:t>
      </w:r>
      <w:r w:rsidRPr="00F54EA8">
        <w:rPr>
          <w:rFonts w:ascii="Book Antiqua" w:eastAsia="SimSun" w:hAnsi="Book Antiqua" w:cs="Times New Roman"/>
          <w:kern w:val="2"/>
          <w:sz w:val="24"/>
          <w:szCs w:val="24"/>
          <w:lang w:val="en-US" w:eastAsia="zh-CN"/>
        </w:rPr>
        <w:t>: 6528 [PMID: 25758642 DOI: 10.1038/ncomms7528]</w:t>
      </w:r>
    </w:p>
    <w:p w14:paraId="226F5816"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126 </w:t>
      </w:r>
      <w:r w:rsidRPr="00F54EA8">
        <w:rPr>
          <w:rFonts w:ascii="Book Antiqua" w:eastAsia="SimSun" w:hAnsi="Book Antiqua" w:cs="Times New Roman"/>
          <w:b/>
          <w:kern w:val="2"/>
          <w:sz w:val="24"/>
          <w:szCs w:val="24"/>
          <w:lang w:val="en-US" w:eastAsia="zh-CN"/>
        </w:rPr>
        <w:t>Yu J</w:t>
      </w:r>
      <w:r w:rsidRPr="00F54EA8">
        <w:rPr>
          <w:rFonts w:ascii="Book Antiqua" w:eastAsia="SimSun" w:hAnsi="Book Antiqua" w:cs="Times New Roman"/>
          <w:kern w:val="2"/>
          <w:sz w:val="24"/>
          <w:szCs w:val="24"/>
          <w:lang w:val="en-US" w:eastAsia="zh-CN"/>
        </w:rPr>
        <w:t xml:space="preserve">, Feng Q, Wong SH, Zhang D, Liang QY, Qin Y, Tang L, Zhao H, Stenvang J, Li Y, Wang X, Xu X, Chen N, Wu WK, Al-Aama J, Nielsen HJ, Kiilerich P, Jensen BA, Yau TO, Lan Z, Jia H, Li J, Xiao L, Lam TY, Ng SC, Cheng AS, Wong VW, Chan FK, Xu X, Yang H, Madsen L, Datz C, Tilg H, Wang J, Brünner N, Kristiansen K, Arumugam M, Sung JJ, Wang J. Metagenomic analysis of faecal microbiome as a tool towards targeted non-invasive biomarkers for colorectal cancer. </w:t>
      </w:r>
      <w:r w:rsidRPr="00F54EA8">
        <w:rPr>
          <w:rFonts w:ascii="Book Antiqua" w:eastAsia="SimSun" w:hAnsi="Book Antiqua" w:cs="Times New Roman"/>
          <w:i/>
          <w:kern w:val="2"/>
          <w:sz w:val="24"/>
          <w:szCs w:val="24"/>
          <w:lang w:val="en-US" w:eastAsia="zh-CN"/>
        </w:rPr>
        <w:t>Gut</w:t>
      </w:r>
      <w:r w:rsidRPr="00F54EA8">
        <w:rPr>
          <w:rFonts w:ascii="Book Antiqua" w:eastAsia="SimSun" w:hAnsi="Book Antiqua" w:cs="Times New Roman"/>
          <w:kern w:val="2"/>
          <w:sz w:val="24"/>
          <w:szCs w:val="24"/>
          <w:lang w:val="en-US" w:eastAsia="zh-CN"/>
        </w:rPr>
        <w:t xml:space="preserve"> 2017; </w:t>
      </w:r>
      <w:r w:rsidRPr="00F54EA8">
        <w:rPr>
          <w:rFonts w:ascii="Book Antiqua" w:eastAsia="SimSun" w:hAnsi="Book Antiqua" w:cs="Times New Roman"/>
          <w:b/>
          <w:kern w:val="2"/>
          <w:sz w:val="24"/>
          <w:szCs w:val="24"/>
          <w:lang w:val="en-US" w:eastAsia="zh-CN"/>
        </w:rPr>
        <w:t>66</w:t>
      </w:r>
      <w:r w:rsidRPr="00F54EA8">
        <w:rPr>
          <w:rFonts w:ascii="Book Antiqua" w:eastAsia="SimSun" w:hAnsi="Book Antiqua" w:cs="Times New Roman"/>
          <w:kern w:val="2"/>
          <w:sz w:val="24"/>
          <w:szCs w:val="24"/>
          <w:lang w:val="en-US" w:eastAsia="zh-CN"/>
        </w:rPr>
        <w:t>: 70-78 [PMID: 26408641 DOI: 10.1136/gutjnl-2015-309800]</w:t>
      </w:r>
    </w:p>
    <w:p w14:paraId="2492FFA3"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127 </w:t>
      </w:r>
      <w:r w:rsidRPr="00F54EA8">
        <w:rPr>
          <w:rFonts w:ascii="Book Antiqua" w:eastAsia="SimSun" w:hAnsi="Book Antiqua" w:cs="Times New Roman"/>
          <w:b/>
          <w:kern w:val="2"/>
          <w:sz w:val="24"/>
          <w:szCs w:val="24"/>
          <w:lang w:val="en-US" w:eastAsia="zh-CN"/>
        </w:rPr>
        <w:t>Amitay EL</w:t>
      </w:r>
      <w:r w:rsidRPr="00F54EA8">
        <w:rPr>
          <w:rFonts w:ascii="Book Antiqua" w:eastAsia="SimSun" w:hAnsi="Book Antiqua" w:cs="Times New Roman"/>
          <w:kern w:val="2"/>
          <w:sz w:val="24"/>
          <w:szCs w:val="24"/>
          <w:lang w:val="en-US" w:eastAsia="zh-CN"/>
        </w:rPr>
        <w:t xml:space="preserve">, Werner S, Vital M, Pieper DH, Höfler D, Gierse IJ, Butt J, Balavarca Y, Cuk K, Brenner H. Fusobacterium and colorectal cancer: causal factor or passenger? Results from a large colorectal cancer screening study. </w:t>
      </w:r>
      <w:r w:rsidRPr="00F54EA8">
        <w:rPr>
          <w:rFonts w:ascii="Book Antiqua" w:eastAsia="SimSun" w:hAnsi="Book Antiqua" w:cs="Times New Roman"/>
          <w:i/>
          <w:kern w:val="2"/>
          <w:sz w:val="24"/>
          <w:szCs w:val="24"/>
          <w:lang w:val="en-US" w:eastAsia="zh-CN"/>
        </w:rPr>
        <w:t>Carcinogenesis</w:t>
      </w:r>
      <w:r w:rsidRPr="00F54EA8">
        <w:rPr>
          <w:rFonts w:ascii="Book Antiqua" w:eastAsia="SimSun" w:hAnsi="Book Antiqua" w:cs="Times New Roman"/>
          <w:kern w:val="2"/>
          <w:sz w:val="24"/>
          <w:szCs w:val="24"/>
          <w:lang w:val="en-US" w:eastAsia="zh-CN"/>
        </w:rPr>
        <w:t xml:space="preserve"> 2017; </w:t>
      </w:r>
      <w:r w:rsidRPr="00F54EA8">
        <w:rPr>
          <w:rFonts w:ascii="Book Antiqua" w:eastAsia="SimSun" w:hAnsi="Book Antiqua" w:cs="Times New Roman"/>
          <w:b/>
          <w:kern w:val="2"/>
          <w:sz w:val="24"/>
          <w:szCs w:val="24"/>
          <w:lang w:val="en-US" w:eastAsia="zh-CN"/>
        </w:rPr>
        <w:t>38</w:t>
      </w:r>
      <w:r w:rsidRPr="00F54EA8">
        <w:rPr>
          <w:rFonts w:ascii="Book Antiqua" w:eastAsia="SimSun" w:hAnsi="Book Antiqua" w:cs="Times New Roman"/>
          <w:kern w:val="2"/>
          <w:sz w:val="24"/>
          <w:szCs w:val="24"/>
          <w:lang w:val="en-US" w:eastAsia="zh-CN"/>
        </w:rPr>
        <w:t>: 781-788 [PMID: 28582482 DOI: 10.1093/carcin/bgx053]</w:t>
      </w:r>
    </w:p>
    <w:p w14:paraId="3665DA2C"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lastRenderedPageBreak/>
        <w:t xml:space="preserve">128 </w:t>
      </w:r>
      <w:r w:rsidRPr="00F54EA8">
        <w:rPr>
          <w:rFonts w:ascii="Book Antiqua" w:eastAsia="SimSun" w:hAnsi="Book Antiqua" w:cs="Times New Roman"/>
          <w:b/>
          <w:kern w:val="2"/>
          <w:sz w:val="24"/>
          <w:szCs w:val="24"/>
          <w:lang w:val="en-US" w:eastAsia="zh-CN"/>
        </w:rPr>
        <w:t>Martin HM</w:t>
      </w:r>
      <w:r w:rsidRPr="00F54EA8">
        <w:rPr>
          <w:rFonts w:ascii="Book Antiqua" w:eastAsia="SimSun" w:hAnsi="Book Antiqua" w:cs="Times New Roman"/>
          <w:kern w:val="2"/>
          <w:sz w:val="24"/>
          <w:szCs w:val="24"/>
          <w:lang w:val="en-US" w:eastAsia="zh-CN"/>
        </w:rPr>
        <w:t xml:space="preserve">, Campbell BJ, Hart CA, Mpofu C, Nayar M, Singh R, Englyst H, Williams HF, Rhodes JM. Enhanced Escherichia coli adherence and invasion in Crohn's disease and colon cancer. </w:t>
      </w:r>
      <w:r w:rsidRPr="00F54EA8">
        <w:rPr>
          <w:rFonts w:ascii="Book Antiqua" w:eastAsia="SimSun" w:hAnsi="Book Antiqua" w:cs="Times New Roman"/>
          <w:i/>
          <w:kern w:val="2"/>
          <w:sz w:val="24"/>
          <w:szCs w:val="24"/>
          <w:lang w:val="en-US" w:eastAsia="zh-CN"/>
        </w:rPr>
        <w:t>Gastroenterology</w:t>
      </w:r>
      <w:r w:rsidRPr="00F54EA8">
        <w:rPr>
          <w:rFonts w:ascii="Book Antiqua" w:eastAsia="SimSun" w:hAnsi="Book Antiqua" w:cs="Times New Roman"/>
          <w:kern w:val="2"/>
          <w:sz w:val="24"/>
          <w:szCs w:val="24"/>
          <w:lang w:val="en-US" w:eastAsia="zh-CN"/>
        </w:rPr>
        <w:t xml:space="preserve"> 2004; </w:t>
      </w:r>
      <w:r w:rsidRPr="00F54EA8">
        <w:rPr>
          <w:rFonts w:ascii="Book Antiqua" w:eastAsia="SimSun" w:hAnsi="Book Antiqua" w:cs="Times New Roman"/>
          <w:b/>
          <w:kern w:val="2"/>
          <w:sz w:val="24"/>
          <w:szCs w:val="24"/>
          <w:lang w:val="en-US" w:eastAsia="zh-CN"/>
        </w:rPr>
        <w:t>127</w:t>
      </w:r>
      <w:r w:rsidRPr="00F54EA8">
        <w:rPr>
          <w:rFonts w:ascii="Book Antiqua" w:eastAsia="SimSun" w:hAnsi="Book Antiqua" w:cs="Times New Roman"/>
          <w:kern w:val="2"/>
          <w:sz w:val="24"/>
          <w:szCs w:val="24"/>
          <w:lang w:val="en-US" w:eastAsia="zh-CN"/>
        </w:rPr>
        <w:t>: 80-93 [PMID: 15236175]</w:t>
      </w:r>
    </w:p>
    <w:p w14:paraId="7C6F882C"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129 </w:t>
      </w:r>
      <w:r w:rsidRPr="00F54EA8">
        <w:rPr>
          <w:rFonts w:ascii="Book Antiqua" w:eastAsia="SimSun" w:hAnsi="Book Antiqua" w:cs="Times New Roman"/>
          <w:b/>
          <w:kern w:val="2"/>
          <w:sz w:val="24"/>
          <w:szCs w:val="24"/>
          <w:lang w:val="en-US" w:eastAsia="zh-CN"/>
        </w:rPr>
        <w:t>Abdulamir AS</w:t>
      </w:r>
      <w:r w:rsidRPr="00F54EA8">
        <w:rPr>
          <w:rFonts w:ascii="Book Antiqua" w:eastAsia="SimSun" w:hAnsi="Book Antiqua" w:cs="Times New Roman"/>
          <w:kern w:val="2"/>
          <w:sz w:val="24"/>
          <w:szCs w:val="24"/>
          <w:lang w:val="en-US" w:eastAsia="zh-CN"/>
        </w:rPr>
        <w:t xml:space="preserve">, Hafidh RR, Bakar FA. Molecular detection, quantification, and isolation of Streptococcus gallolyticus bacteria colonizing colorectal tumors: inflammation-driven potential of carcinogenesis via IL-1, COX-2, and IL-8. </w:t>
      </w:r>
      <w:r w:rsidRPr="00F54EA8">
        <w:rPr>
          <w:rFonts w:ascii="Book Antiqua" w:eastAsia="SimSun" w:hAnsi="Book Antiqua" w:cs="Times New Roman"/>
          <w:i/>
          <w:kern w:val="2"/>
          <w:sz w:val="24"/>
          <w:szCs w:val="24"/>
          <w:lang w:val="en-US" w:eastAsia="zh-CN"/>
        </w:rPr>
        <w:t>Mol Cancer</w:t>
      </w:r>
      <w:r w:rsidRPr="00F54EA8">
        <w:rPr>
          <w:rFonts w:ascii="Book Antiqua" w:eastAsia="SimSun" w:hAnsi="Book Antiqua" w:cs="Times New Roman"/>
          <w:kern w:val="2"/>
          <w:sz w:val="24"/>
          <w:szCs w:val="24"/>
          <w:lang w:val="en-US" w:eastAsia="zh-CN"/>
        </w:rPr>
        <w:t xml:space="preserve"> 2010; </w:t>
      </w:r>
      <w:r w:rsidRPr="00F54EA8">
        <w:rPr>
          <w:rFonts w:ascii="Book Antiqua" w:eastAsia="SimSun" w:hAnsi="Book Antiqua" w:cs="Times New Roman"/>
          <w:b/>
          <w:kern w:val="2"/>
          <w:sz w:val="24"/>
          <w:szCs w:val="24"/>
          <w:lang w:val="en-US" w:eastAsia="zh-CN"/>
        </w:rPr>
        <w:t>9</w:t>
      </w:r>
      <w:r w:rsidRPr="00F54EA8">
        <w:rPr>
          <w:rFonts w:ascii="Book Antiqua" w:eastAsia="SimSun" w:hAnsi="Book Antiqua" w:cs="Times New Roman"/>
          <w:kern w:val="2"/>
          <w:sz w:val="24"/>
          <w:szCs w:val="24"/>
          <w:lang w:val="en-US" w:eastAsia="zh-CN"/>
        </w:rPr>
        <w:t>: 249 [PMID: 20846456 DOI: 10.1186/1476-4598-9-249]</w:t>
      </w:r>
    </w:p>
    <w:p w14:paraId="5DC7F70B"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130 </w:t>
      </w:r>
      <w:r w:rsidRPr="00F54EA8">
        <w:rPr>
          <w:rFonts w:ascii="Book Antiqua" w:eastAsia="SimSun" w:hAnsi="Book Antiqua" w:cs="Times New Roman"/>
          <w:b/>
          <w:kern w:val="2"/>
          <w:sz w:val="24"/>
          <w:szCs w:val="24"/>
          <w:lang w:val="en-US" w:eastAsia="zh-CN"/>
        </w:rPr>
        <w:t>Boleij A</w:t>
      </w:r>
      <w:r w:rsidRPr="00F54EA8">
        <w:rPr>
          <w:rFonts w:ascii="Book Antiqua" w:eastAsia="SimSun" w:hAnsi="Book Antiqua" w:cs="Times New Roman"/>
          <w:kern w:val="2"/>
          <w:sz w:val="24"/>
          <w:szCs w:val="24"/>
          <w:lang w:val="en-US" w:eastAsia="zh-CN"/>
        </w:rPr>
        <w:t xml:space="preserve">, Hechenbleikner EM, Goodwin AC, Badani R, Stein EM, Lazarev MG, Ellis B, Carroll KC, Albesiano E, Wick EC, Platz EA, Pardoll DM, Sears CL. The Bacteroides fragilis toxin gene is prevalent in the colon mucosa of colorectal cancer patients. </w:t>
      </w:r>
      <w:r w:rsidRPr="00F54EA8">
        <w:rPr>
          <w:rFonts w:ascii="Book Antiqua" w:eastAsia="SimSun" w:hAnsi="Book Antiqua" w:cs="Times New Roman"/>
          <w:i/>
          <w:kern w:val="2"/>
          <w:sz w:val="24"/>
          <w:szCs w:val="24"/>
          <w:lang w:val="en-US" w:eastAsia="zh-CN"/>
        </w:rPr>
        <w:t>Clin Infect Dis</w:t>
      </w:r>
      <w:r w:rsidRPr="00F54EA8">
        <w:rPr>
          <w:rFonts w:ascii="Book Antiqua" w:eastAsia="SimSun" w:hAnsi="Book Antiqua" w:cs="Times New Roman"/>
          <w:kern w:val="2"/>
          <w:sz w:val="24"/>
          <w:szCs w:val="24"/>
          <w:lang w:val="en-US" w:eastAsia="zh-CN"/>
        </w:rPr>
        <w:t xml:space="preserve"> 2015; </w:t>
      </w:r>
      <w:r w:rsidRPr="00F54EA8">
        <w:rPr>
          <w:rFonts w:ascii="Book Antiqua" w:eastAsia="SimSun" w:hAnsi="Book Antiqua" w:cs="Times New Roman"/>
          <w:b/>
          <w:kern w:val="2"/>
          <w:sz w:val="24"/>
          <w:szCs w:val="24"/>
          <w:lang w:val="en-US" w:eastAsia="zh-CN"/>
        </w:rPr>
        <w:t>60</w:t>
      </w:r>
      <w:r w:rsidRPr="00F54EA8">
        <w:rPr>
          <w:rFonts w:ascii="Book Antiqua" w:eastAsia="SimSun" w:hAnsi="Book Antiqua" w:cs="Times New Roman"/>
          <w:kern w:val="2"/>
          <w:sz w:val="24"/>
          <w:szCs w:val="24"/>
          <w:lang w:val="en-US" w:eastAsia="zh-CN"/>
        </w:rPr>
        <w:t>: 208-215 [PMID: 25305284 DOI: 10.1093/cid/ciu787]</w:t>
      </w:r>
    </w:p>
    <w:p w14:paraId="5B5D52F6"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131 </w:t>
      </w:r>
      <w:r w:rsidRPr="00F54EA8">
        <w:rPr>
          <w:rFonts w:ascii="Book Antiqua" w:eastAsia="SimSun" w:hAnsi="Book Antiqua" w:cs="Times New Roman"/>
          <w:b/>
          <w:kern w:val="2"/>
          <w:sz w:val="24"/>
          <w:szCs w:val="24"/>
          <w:lang w:val="en-US" w:eastAsia="zh-CN"/>
        </w:rPr>
        <w:t>Zeller G</w:t>
      </w:r>
      <w:r w:rsidRPr="00F54EA8">
        <w:rPr>
          <w:rFonts w:ascii="Book Antiqua" w:eastAsia="SimSun" w:hAnsi="Book Antiqua" w:cs="Times New Roman"/>
          <w:kern w:val="2"/>
          <w:sz w:val="24"/>
          <w:szCs w:val="24"/>
          <w:lang w:val="en-US" w:eastAsia="zh-CN"/>
        </w:rPr>
        <w:t xml:space="preserve">, Tap J, Voigt AY, Sunagawa S, Kultima JR, Costea PI, Amiot A, Böhm J, Brunetti F, Habermann N, Hercog R, Koch M, Luciani A, Mende DR, Schneider MA, Schrotz-King P, Tournigand C, Tran Van Nhieu J, Yamada T, Zimmermann J, Benes V, Kloor M, Ulrich CM, von Knebel Doeberitz M, Sobhani I, Bork P. Potential of fecal microbiota for early-stage detection of colorectal cancer. </w:t>
      </w:r>
      <w:r w:rsidRPr="00F54EA8">
        <w:rPr>
          <w:rFonts w:ascii="Book Antiqua" w:eastAsia="SimSun" w:hAnsi="Book Antiqua" w:cs="Times New Roman"/>
          <w:i/>
          <w:kern w:val="2"/>
          <w:sz w:val="24"/>
          <w:szCs w:val="24"/>
          <w:lang w:val="en-US" w:eastAsia="zh-CN"/>
        </w:rPr>
        <w:t>Mol Syst Biol</w:t>
      </w:r>
      <w:r w:rsidRPr="00F54EA8">
        <w:rPr>
          <w:rFonts w:ascii="Book Antiqua" w:eastAsia="SimSun" w:hAnsi="Book Antiqua" w:cs="Times New Roman"/>
          <w:kern w:val="2"/>
          <w:sz w:val="24"/>
          <w:szCs w:val="24"/>
          <w:lang w:val="en-US" w:eastAsia="zh-CN"/>
        </w:rPr>
        <w:t xml:space="preserve"> 2014; </w:t>
      </w:r>
      <w:r w:rsidRPr="00F54EA8">
        <w:rPr>
          <w:rFonts w:ascii="Book Antiqua" w:eastAsia="SimSun" w:hAnsi="Book Antiqua" w:cs="Times New Roman"/>
          <w:b/>
          <w:kern w:val="2"/>
          <w:sz w:val="24"/>
          <w:szCs w:val="24"/>
          <w:lang w:val="en-US" w:eastAsia="zh-CN"/>
        </w:rPr>
        <w:t>10</w:t>
      </w:r>
      <w:r w:rsidRPr="00F54EA8">
        <w:rPr>
          <w:rFonts w:ascii="Book Antiqua" w:eastAsia="SimSun" w:hAnsi="Book Antiqua" w:cs="Times New Roman"/>
          <w:kern w:val="2"/>
          <w:sz w:val="24"/>
          <w:szCs w:val="24"/>
          <w:lang w:val="en-US" w:eastAsia="zh-CN"/>
        </w:rPr>
        <w:t>: 766 [PMID: 25432777 DOI: 10.15252/msb.20145645]</w:t>
      </w:r>
    </w:p>
    <w:p w14:paraId="26448BC6"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132 </w:t>
      </w:r>
      <w:r w:rsidRPr="00F54EA8">
        <w:rPr>
          <w:rFonts w:ascii="Book Antiqua" w:eastAsia="SimSun" w:hAnsi="Book Antiqua" w:cs="Times New Roman"/>
          <w:b/>
          <w:kern w:val="2"/>
          <w:sz w:val="24"/>
          <w:szCs w:val="24"/>
          <w:lang w:val="en-US" w:eastAsia="zh-CN"/>
        </w:rPr>
        <w:t>Burns MB</w:t>
      </w:r>
      <w:r w:rsidRPr="00F54EA8">
        <w:rPr>
          <w:rFonts w:ascii="Book Antiqua" w:eastAsia="SimSun" w:hAnsi="Book Antiqua" w:cs="Times New Roman"/>
          <w:kern w:val="2"/>
          <w:sz w:val="24"/>
          <w:szCs w:val="24"/>
          <w:lang w:val="en-US" w:eastAsia="zh-CN"/>
        </w:rPr>
        <w:t xml:space="preserve">, Lynch J, Starr TK, Knights D, Blekhman R. Virulence genes are a signature of the microbiome in the colorectal tumor microenvironment. </w:t>
      </w:r>
      <w:r w:rsidRPr="00F54EA8">
        <w:rPr>
          <w:rFonts w:ascii="Book Antiqua" w:eastAsia="SimSun" w:hAnsi="Book Antiqua" w:cs="Times New Roman"/>
          <w:i/>
          <w:kern w:val="2"/>
          <w:sz w:val="24"/>
          <w:szCs w:val="24"/>
          <w:lang w:val="en-US" w:eastAsia="zh-CN"/>
        </w:rPr>
        <w:t>Genome Med</w:t>
      </w:r>
      <w:r w:rsidRPr="00F54EA8">
        <w:rPr>
          <w:rFonts w:ascii="Book Antiqua" w:eastAsia="SimSun" w:hAnsi="Book Antiqua" w:cs="Times New Roman"/>
          <w:kern w:val="2"/>
          <w:sz w:val="24"/>
          <w:szCs w:val="24"/>
          <w:lang w:val="en-US" w:eastAsia="zh-CN"/>
        </w:rPr>
        <w:t xml:space="preserve"> 2015; </w:t>
      </w:r>
      <w:r w:rsidRPr="00F54EA8">
        <w:rPr>
          <w:rFonts w:ascii="Book Antiqua" w:eastAsia="SimSun" w:hAnsi="Book Antiqua" w:cs="Times New Roman"/>
          <w:b/>
          <w:kern w:val="2"/>
          <w:sz w:val="24"/>
          <w:szCs w:val="24"/>
          <w:lang w:val="en-US" w:eastAsia="zh-CN"/>
        </w:rPr>
        <w:t>7</w:t>
      </w:r>
      <w:r w:rsidRPr="00F54EA8">
        <w:rPr>
          <w:rFonts w:ascii="Book Antiqua" w:eastAsia="SimSun" w:hAnsi="Book Antiqua" w:cs="Times New Roman"/>
          <w:kern w:val="2"/>
          <w:sz w:val="24"/>
          <w:szCs w:val="24"/>
          <w:lang w:val="en-US" w:eastAsia="zh-CN"/>
        </w:rPr>
        <w:t>: 55 [PMID: 26170900 DOI: 10.1186/s13073-015-0177-8]</w:t>
      </w:r>
    </w:p>
    <w:p w14:paraId="2EB2EDB1"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133 </w:t>
      </w:r>
      <w:r w:rsidRPr="00F54EA8">
        <w:rPr>
          <w:rFonts w:ascii="Book Antiqua" w:eastAsia="SimSun" w:hAnsi="Book Antiqua" w:cs="Times New Roman"/>
          <w:b/>
          <w:kern w:val="2"/>
          <w:sz w:val="24"/>
          <w:szCs w:val="24"/>
          <w:lang w:val="en-US" w:eastAsia="zh-CN"/>
        </w:rPr>
        <w:t>Arumugam M</w:t>
      </w:r>
      <w:r w:rsidRPr="00F54EA8">
        <w:rPr>
          <w:rFonts w:ascii="Book Antiqua" w:eastAsia="SimSun" w:hAnsi="Book Antiqua" w:cs="Times New Roman"/>
          <w:kern w:val="2"/>
          <w:sz w:val="24"/>
          <w:szCs w:val="24"/>
          <w:lang w:val="en-US" w:eastAsia="zh-CN"/>
        </w:rPr>
        <w:t xml:space="preserve">, Raes J, Pelletier E, Le Paslier D, Yamada T, Mende DR, Fernandes GR, Tap J, Bruls T, Batto JM, Bertalan M, Borruel N, Casellas F, Fernandez L, Gautier L, Hansen T, Hattori M, Hayashi T, Kleerebezem M, Kurokawa K, Leclerc M, Levenez F, Manichanh C, Nielsen HB, Nielsen T, Pons N, Poulain J, Qin J, Sicheritz-Ponten T, Tims S, Torrents D, Ugarte E, Zoetendal EG, Wang J, Guarner F, Pedersen O, de Vos WM, Brunak S, Doré J; MetaHIT Consortium, Antolín M, Artiguenave F, Blottiere HM, Almeida M, Brechot C, Cara C, Chervaux C, Cultrone A, Delorme C, Denariaz G, Dervyn R, Foerstner KU, Friss C, van de Guchte M, Guedon E, Haimet F, Huber W, van Hylckama-Vlieg J, Jamet A, Juste C, Kaci G, Knol J, Lakhdari O, Layec S, Le Roux K, Maguin E, Mérieux A, Melo Minardi R, M'rini C, Muller J, Oozeer R, Parkhill J, Renault P, Rescigno M, Sanchez N, Sunagawa S, Torrejon A, Turner K, </w:t>
      </w:r>
      <w:r w:rsidRPr="00F54EA8">
        <w:rPr>
          <w:rFonts w:ascii="Book Antiqua" w:eastAsia="SimSun" w:hAnsi="Book Antiqua" w:cs="Times New Roman"/>
          <w:kern w:val="2"/>
          <w:sz w:val="24"/>
          <w:szCs w:val="24"/>
          <w:lang w:val="en-US" w:eastAsia="zh-CN"/>
        </w:rPr>
        <w:lastRenderedPageBreak/>
        <w:t xml:space="preserve">Vandemeulebrouck G, Varela E, Winogradsky Y, Zeller G, Weissenbach J, Ehrlich SD, Bork P. Enterotypes of the human gut microbiome. </w:t>
      </w:r>
      <w:r w:rsidRPr="00F54EA8">
        <w:rPr>
          <w:rFonts w:ascii="Book Antiqua" w:eastAsia="SimSun" w:hAnsi="Book Antiqua" w:cs="Times New Roman"/>
          <w:i/>
          <w:kern w:val="2"/>
          <w:sz w:val="24"/>
          <w:szCs w:val="24"/>
          <w:lang w:val="en-US" w:eastAsia="zh-CN"/>
        </w:rPr>
        <w:t>Nature</w:t>
      </w:r>
      <w:r w:rsidRPr="00F54EA8">
        <w:rPr>
          <w:rFonts w:ascii="Book Antiqua" w:eastAsia="SimSun" w:hAnsi="Book Antiqua" w:cs="Times New Roman"/>
          <w:kern w:val="2"/>
          <w:sz w:val="24"/>
          <w:szCs w:val="24"/>
          <w:lang w:val="en-US" w:eastAsia="zh-CN"/>
        </w:rPr>
        <w:t xml:space="preserve"> 2011; </w:t>
      </w:r>
      <w:r w:rsidRPr="00F54EA8">
        <w:rPr>
          <w:rFonts w:ascii="Book Antiqua" w:eastAsia="SimSun" w:hAnsi="Book Antiqua" w:cs="Times New Roman"/>
          <w:b/>
          <w:kern w:val="2"/>
          <w:sz w:val="24"/>
          <w:szCs w:val="24"/>
          <w:lang w:val="en-US" w:eastAsia="zh-CN"/>
        </w:rPr>
        <w:t>473</w:t>
      </w:r>
      <w:r w:rsidRPr="00F54EA8">
        <w:rPr>
          <w:rFonts w:ascii="Book Antiqua" w:eastAsia="SimSun" w:hAnsi="Book Antiqua" w:cs="Times New Roman"/>
          <w:kern w:val="2"/>
          <w:sz w:val="24"/>
          <w:szCs w:val="24"/>
          <w:lang w:val="en-US" w:eastAsia="zh-CN"/>
        </w:rPr>
        <w:t>: 174-180 [PMID: 21508958 DOI: 10.1038/nature09944]</w:t>
      </w:r>
    </w:p>
    <w:p w14:paraId="21557313"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134 </w:t>
      </w:r>
      <w:r w:rsidRPr="00F54EA8">
        <w:rPr>
          <w:rFonts w:ascii="Book Antiqua" w:eastAsia="SimSun" w:hAnsi="Book Antiqua" w:cs="Times New Roman"/>
          <w:b/>
          <w:kern w:val="2"/>
          <w:sz w:val="24"/>
          <w:szCs w:val="24"/>
          <w:lang w:val="en-US" w:eastAsia="zh-CN"/>
        </w:rPr>
        <w:t>Mira-Pascual L</w:t>
      </w:r>
      <w:r w:rsidRPr="00F54EA8">
        <w:rPr>
          <w:rFonts w:ascii="Book Antiqua" w:eastAsia="SimSun" w:hAnsi="Book Antiqua" w:cs="Times New Roman"/>
          <w:kern w:val="2"/>
          <w:sz w:val="24"/>
          <w:szCs w:val="24"/>
          <w:lang w:val="en-US" w:eastAsia="zh-CN"/>
        </w:rPr>
        <w:t xml:space="preserve">, Cabrera-Rubio R, Ocon S, Costales P, Parra A, Suarez A, Moris F, Rodrigo L, Mira A, Collado MC. Microbial mucosal colonic shifts associated with the development of colorectal cancer reveal the presence of different bacterial and archaeal biomarkers. </w:t>
      </w:r>
      <w:r w:rsidRPr="00F54EA8">
        <w:rPr>
          <w:rFonts w:ascii="Book Antiqua" w:eastAsia="SimSun" w:hAnsi="Book Antiqua" w:cs="Times New Roman"/>
          <w:i/>
          <w:kern w:val="2"/>
          <w:sz w:val="24"/>
          <w:szCs w:val="24"/>
          <w:lang w:val="en-US" w:eastAsia="zh-CN"/>
        </w:rPr>
        <w:t>J Gastroenterol</w:t>
      </w:r>
      <w:r w:rsidRPr="00F54EA8">
        <w:rPr>
          <w:rFonts w:ascii="Book Antiqua" w:eastAsia="SimSun" w:hAnsi="Book Antiqua" w:cs="Times New Roman"/>
          <w:kern w:val="2"/>
          <w:sz w:val="24"/>
          <w:szCs w:val="24"/>
          <w:lang w:val="en-US" w:eastAsia="zh-CN"/>
        </w:rPr>
        <w:t xml:space="preserve"> 2015; </w:t>
      </w:r>
      <w:r w:rsidRPr="00F54EA8">
        <w:rPr>
          <w:rFonts w:ascii="Book Antiqua" w:eastAsia="SimSun" w:hAnsi="Book Antiqua" w:cs="Times New Roman"/>
          <w:b/>
          <w:kern w:val="2"/>
          <w:sz w:val="24"/>
          <w:szCs w:val="24"/>
          <w:lang w:val="en-US" w:eastAsia="zh-CN"/>
        </w:rPr>
        <w:t>50</w:t>
      </w:r>
      <w:r w:rsidRPr="00F54EA8">
        <w:rPr>
          <w:rFonts w:ascii="Book Antiqua" w:eastAsia="SimSun" w:hAnsi="Book Antiqua" w:cs="Times New Roman"/>
          <w:kern w:val="2"/>
          <w:sz w:val="24"/>
          <w:szCs w:val="24"/>
          <w:lang w:val="en-US" w:eastAsia="zh-CN"/>
        </w:rPr>
        <w:t>: 167-179 [PMID: 24811328 DOI: 10.1007/s00535-014-0963-x]</w:t>
      </w:r>
    </w:p>
    <w:p w14:paraId="662C5639"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135 </w:t>
      </w:r>
      <w:r w:rsidRPr="00F54EA8">
        <w:rPr>
          <w:rFonts w:ascii="Book Antiqua" w:eastAsia="SimSun" w:hAnsi="Book Antiqua" w:cs="Times New Roman"/>
          <w:b/>
          <w:kern w:val="2"/>
          <w:sz w:val="24"/>
          <w:szCs w:val="24"/>
          <w:lang w:val="en-US" w:eastAsia="zh-CN"/>
        </w:rPr>
        <w:t>Lu Y</w:t>
      </w:r>
      <w:r w:rsidRPr="00F54EA8">
        <w:rPr>
          <w:rFonts w:ascii="Book Antiqua" w:eastAsia="SimSun" w:hAnsi="Book Antiqua" w:cs="Times New Roman"/>
          <w:kern w:val="2"/>
          <w:sz w:val="24"/>
          <w:szCs w:val="24"/>
          <w:lang w:val="en-US" w:eastAsia="zh-CN"/>
        </w:rPr>
        <w:t xml:space="preserve">, Chen J, Zheng J, Hu G, Wang J, Huang C, Lou L, Wang X, Zeng Y. Mucosal adherent bacterial dysbiosis in patients with colorectal adenomas. </w:t>
      </w:r>
      <w:r w:rsidRPr="00F54EA8">
        <w:rPr>
          <w:rFonts w:ascii="Book Antiqua" w:eastAsia="SimSun" w:hAnsi="Book Antiqua" w:cs="Times New Roman"/>
          <w:i/>
          <w:kern w:val="2"/>
          <w:sz w:val="24"/>
          <w:szCs w:val="24"/>
          <w:lang w:val="en-US" w:eastAsia="zh-CN"/>
        </w:rPr>
        <w:t>Sci Rep</w:t>
      </w:r>
      <w:r w:rsidRPr="00F54EA8">
        <w:rPr>
          <w:rFonts w:ascii="Book Antiqua" w:eastAsia="SimSun" w:hAnsi="Book Antiqua" w:cs="Times New Roman"/>
          <w:kern w:val="2"/>
          <w:sz w:val="24"/>
          <w:szCs w:val="24"/>
          <w:lang w:val="en-US" w:eastAsia="zh-CN"/>
        </w:rPr>
        <w:t xml:space="preserve"> 2016; </w:t>
      </w:r>
      <w:r w:rsidRPr="00F54EA8">
        <w:rPr>
          <w:rFonts w:ascii="Book Antiqua" w:eastAsia="SimSun" w:hAnsi="Book Antiqua" w:cs="Times New Roman"/>
          <w:b/>
          <w:kern w:val="2"/>
          <w:sz w:val="24"/>
          <w:szCs w:val="24"/>
          <w:lang w:val="en-US" w:eastAsia="zh-CN"/>
        </w:rPr>
        <w:t>6</w:t>
      </w:r>
      <w:r w:rsidRPr="00F54EA8">
        <w:rPr>
          <w:rFonts w:ascii="Book Antiqua" w:eastAsia="SimSun" w:hAnsi="Book Antiqua" w:cs="Times New Roman"/>
          <w:kern w:val="2"/>
          <w:sz w:val="24"/>
          <w:szCs w:val="24"/>
          <w:lang w:val="en-US" w:eastAsia="zh-CN"/>
        </w:rPr>
        <w:t>: 26337 [PMID: 27194068 DOI: 10.1038/srep26337]</w:t>
      </w:r>
    </w:p>
    <w:p w14:paraId="4DF4BCFF"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136 </w:t>
      </w:r>
      <w:r w:rsidRPr="00F54EA8">
        <w:rPr>
          <w:rFonts w:ascii="Book Antiqua" w:eastAsia="SimSun" w:hAnsi="Book Antiqua" w:cs="Times New Roman"/>
          <w:b/>
          <w:kern w:val="2"/>
          <w:sz w:val="24"/>
          <w:szCs w:val="24"/>
          <w:lang w:val="en-US" w:eastAsia="zh-CN"/>
        </w:rPr>
        <w:t>Hibberd AA</w:t>
      </w:r>
      <w:r w:rsidRPr="00F54EA8">
        <w:rPr>
          <w:rFonts w:ascii="Book Antiqua" w:eastAsia="SimSun" w:hAnsi="Book Antiqua" w:cs="Times New Roman"/>
          <w:kern w:val="2"/>
          <w:sz w:val="24"/>
          <w:szCs w:val="24"/>
          <w:lang w:val="en-US" w:eastAsia="zh-CN"/>
        </w:rPr>
        <w:t xml:space="preserve">, Lyra A, Ouwehand AC, Rolny P, Lindegren H, Cedgård L, Wettergren Y. Intestinal microbiota is altered in patients with colon cancer and modified by probiotic intervention. </w:t>
      </w:r>
      <w:r w:rsidRPr="00F54EA8">
        <w:rPr>
          <w:rFonts w:ascii="Book Antiqua" w:eastAsia="SimSun" w:hAnsi="Book Antiqua" w:cs="Times New Roman"/>
          <w:i/>
          <w:kern w:val="2"/>
          <w:sz w:val="24"/>
          <w:szCs w:val="24"/>
          <w:lang w:val="en-US" w:eastAsia="zh-CN"/>
        </w:rPr>
        <w:t>BMJ Open Gastroenterol</w:t>
      </w:r>
      <w:r w:rsidRPr="00F54EA8">
        <w:rPr>
          <w:rFonts w:ascii="Book Antiqua" w:eastAsia="SimSun" w:hAnsi="Book Antiqua" w:cs="Times New Roman"/>
          <w:kern w:val="2"/>
          <w:sz w:val="24"/>
          <w:szCs w:val="24"/>
          <w:lang w:val="en-US" w:eastAsia="zh-CN"/>
        </w:rPr>
        <w:t xml:space="preserve"> 2017; </w:t>
      </w:r>
      <w:r w:rsidRPr="00F54EA8">
        <w:rPr>
          <w:rFonts w:ascii="Book Antiqua" w:eastAsia="SimSun" w:hAnsi="Book Antiqua" w:cs="Times New Roman"/>
          <w:b/>
          <w:kern w:val="2"/>
          <w:sz w:val="24"/>
          <w:szCs w:val="24"/>
          <w:lang w:val="en-US" w:eastAsia="zh-CN"/>
        </w:rPr>
        <w:t>4</w:t>
      </w:r>
      <w:r w:rsidRPr="00F54EA8">
        <w:rPr>
          <w:rFonts w:ascii="Book Antiqua" w:eastAsia="SimSun" w:hAnsi="Book Antiqua" w:cs="Times New Roman"/>
          <w:kern w:val="2"/>
          <w:sz w:val="24"/>
          <w:szCs w:val="24"/>
          <w:lang w:val="en-US" w:eastAsia="zh-CN"/>
        </w:rPr>
        <w:t>: e000145 [PMID: 28944067 DOI: 10.1136/bmjgast-2017-000145]</w:t>
      </w:r>
    </w:p>
    <w:p w14:paraId="410358E1"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137 </w:t>
      </w:r>
      <w:r w:rsidRPr="00F54EA8">
        <w:rPr>
          <w:rFonts w:ascii="Book Antiqua" w:eastAsia="SimSun" w:hAnsi="Book Antiqua" w:cs="Times New Roman"/>
          <w:b/>
          <w:kern w:val="2"/>
          <w:sz w:val="24"/>
          <w:szCs w:val="24"/>
          <w:lang w:val="en-US" w:eastAsia="zh-CN"/>
        </w:rPr>
        <w:t>Sanapareddy N</w:t>
      </w:r>
      <w:r w:rsidRPr="00F54EA8">
        <w:rPr>
          <w:rFonts w:ascii="Book Antiqua" w:eastAsia="SimSun" w:hAnsi="Book Antiqua" w:cs="Times New Roman"/>
          <w:kern w:val="2"/>
          <w:sz w:val="24"/>
          <w:szCs w:val="24"/>
          <w:lang w:val="en-US" w:eastAsia="zh-CN"/>
        </w:rPr>
        <w:t xml:space="preserve">, Legge RM, Jovov B, McCoy A, Burcal L, Araujo-Perez F, Randall TA, Galanko J, Benson A, Sandler RS, Rawls JF, Abdo Z, Fodor AA, Keku TO. Increased rectal microbial richness is associated with the presence of colorectal adenomas in humans. </w:t>
      </w:r>
      <w:r w:rsidRPr="00F54EA8">
        <w:rPr>
          <w:rFonts w:ascii="Book Antiqua" w:eastAsia="SimSun" w:hAnsi="Book Antiqua" w:cs="Times New Roman"/>
          <w:i/>
          <w:kern w:val="2"/>
          <w:sz w:val="24"/>
          <w:szCs w:val="24"/>
          <w:lang w:val="en-US" w:eastAsia="zh-CN"/>
        </w:rPr>
        <w:t>ISME J</w:t>
      </w:r>
      <w:r w:rsidRPr="00F54EA8">
        <w:rPr>
          <w:rFonts w:ascii="Book Antiqua" w:eastAsia="SimSun" w:hAnsi="Book Antiqua" w:cs="Times New Roman"/>
          <w:kern w:val="2"/>
          <w:sz w:val="24"/>
          <w:szCs w:val="24"/>
          <w:lang w:val="en-US" w:eastAsia="zh-CN"/>
        </w:rPr>
        <w:t xml:space="preserve"> 2012; </w:t>
      </w:r>
      <w:r w:rsidRPr="00F54EA8">
        <w:rPr>
          <w:rFonts w:ascii="Book Antiqua" w:eastAsia="SimSun" w:hAnsi="Book Antiqua" w:cs="Times New Roman"/>
          <w:b/>
          <w:kern w:val="2"/>
          <w:sz w:val="24"/>
          <w:szCs w:val="24"/>
          <w:lang w:val="en-US" w:eastAsia="zh-CN"/>
        </w:rPr>
        <w:t>6</w:t>
      </w:r>
      <w:r w:rsidRPr="00F54EA8">
        <w:rPr>
          <w:rFonts w:ascii="Book Antiqua" w:eastAsia="SimSun" w:hAnsi="Book Antiqua" w:cs="Times New Roman"/>
          <w:kern w:val="2"/>
          <w:sz w:val="24"/>
          <w:szCs w:val="24"/>
          <w:lang w:val="en-US" w:eastAsia="zh-CN"/>
        </w:rPr>
        <w:t>: 1858-1868 [PMID: 22622349 DOI: 10.1038/ismej.2012.43]</w:t>
      </w:r>
    </w:p>
    <w:p w14:paraId="38758C33"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138 </w:t>
      </w:r>
      <w:r w:rsidRPr="00F54EA8">
        <w:rPr>
          <w:rFonts w:ascii="Book Antiqua" w:eastAsia="SimSun" w:hAnsi="Book Antiqua" w:cs="Times New Roman"/>
          <w:b/>
          <w:kern w:val="2"/>
          <w:sz w:val="24"/>
          <w:szCs w:val="24"/>
          <w:lang w:val="en-US" w:eastAsia="zh-CN"/>
        </w:rPr>
        <w:t>Goedert JJ</w:t>
      </w:r>
      <w:r w:rsidRPr="00F54EA8">
        <w:rPr>
          <w:rFonts w:ascii="Book Antiqua" w:eastAsia="SimSun" w:hAnsi="Book Antiqua" w:cs="Times New Roman"/>
          <w:kern w:val="2"/>
          <w:sz w:val="24"/>
          <w:szCs w:val="24"/>
          <w:lang w:val="en-US" w:eastAsia="zh-CN"/>
        </w:rPr>
        <w:t xml:space="preserve">, Gong Y, Hua X, Zhong H, He Y, Peng P, Yu G, Wang W, Ravel J, Shi J, Zheng Y. Fecal Microbiota Characteristics of Patients with Colorectal Adenoma Detected by Screening: A Population-based Study. </w:t>
      </w:r>
      <w:r w:rsidRPr="00F54EA8">
        <w:rPr>
          <w:rFonts w:ascii="Book Antiqua" w:eastAsia="SimSun" w:hAnsi="Book Antiqua" w:cs="Times New Roman"/>
          <w:i/>
          <w:kern w:val="2"/>
          <w:sz w:val="24"/>
          <w:szCs w:val="24"/>
          <w:lang w:val="en-US" w:eastAsia="zh-CN"/>
        </w:rPr>
        <w:t>EBioMedicine</w:t>
      </w:r>
      <w:r w:rsidRPr="00F54EA8">
        <w:rPr>
          <w:rFonts w:ascii="Book Antiqua" w:eastAsia="SimSun" w:hAnsi="Book Antiqua" w:cs="Times New Roman"/>
          <w:kern w:val="2"/>
          <w:sz w:val="24"/>
          <w:szCs w:val="24"/>
          <w:lang w:val="en-US" w:eastAsia="zh-CN"/>
        </w:rPr>
        <w:t xml:space="preserve"> 2015; </w:t>
      </w:r>
      <w:r w:rsidRPr="00F54EA8">
        <w:rPr>
          <w:rFonts w:ascii="Book Antiqua" w:eastAsia="SimSun" w:hAnsi="Book Antiqua" w:cs="Times New Roman"/>
          <w:b/>
          <w:kern w:val="2"/>
          <w:sz w:val="24"/>
          <w:szCs w:val="24"/>
          <w:lang w:val="en-US" w:eastAsia="zh-CN"/>
        </w:rPr>
        <w:t>2</w:t>
      </w:r>
      <w:r w:rsidRPr="00F54EA8">
        <w:rPr>
          <w:rFonts w:ascii="Book Antiqua" w:eastAsia="SimSun" w:hAnsi="Book Antiqua" w:cs="Times New Roman"/>
          <w:kern w:val="2"/>
          <w:sz w:val="24"/>
          <w:szCs w:val="24"/>
          <w:lang w:val="en-US" w:eastAsia="zh-CN"/>
        </w:rPr>
        <w:t>: 597-603 [PMID: 26288821 DOI: 10.1016/j.ebiom.2015.04.010]</w:t>
      </w:r>
    </w:p>
    <w:p w14:paraId="10905FEA"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139 </w:t>
      </w:r>
      <w:r w:rsidRPr="00F54EA8">
        <w:rPr>
          <w:rFonts w:ascii="Book Antiqua" w:eastAsia="SimSun" w:hAnsi="Book Antiqua" w:cs="Times New Roman"/>
          <w:b/>
          <w:kern w:val="2"/>
          <w:sz w:val="24"/>
          <w:szCs w:val="24"/>
          <w:lang w:val="en-US" w:eastAsia="zh-CN"/>
        </w:rPr>
        <w:t>Lucas C</w:t>
      </w:r>
      <w:r w:rsidRPr="00F54EA8">
        <w:rPr>
          <w:rFonts w:ascii="Book Antiqua" w:eastAsia="SimSun" w:hAnsi="Book Antiqua" w:cs="Times New Roman"/>
          <w:kern w:val="2"/>
          <w:sz w:val="24"/>
          <w:szCs w:val="24"/>
          <w:lang w:val="en-US" w:eastAsia="zh-CN"/>
        </w:rPr>
        <w:t xml:space="preserve">, Barnich N, Nguyen HTT. Microbiota, Inflammation and Colorectal Cancer. </w:t>
      </w:r>
      <w:r w:rsidRPr="00F54EA8">
        <w:rPr>
          <w:rFonts w:ascii="Book Antiqua" w:eastAsia="SimSun" w:hAnsi="Book Antiqua" w:cs="Times New Roman"/>
          <w:i/>
          <w:kern w:val="2"/>
          <w:sz w:val="24"/>
          <w:szCs w:val="24"/>
          <w:lang w:val="en-US" w:eastAsia="zh-CN"/>
        </w:rPr>
        <w:t>Int J Mol Sci</w:t>
      </w:r>
      <w:r w:rsidRPr="00F54EA8">
        <w:rPr>
          <w:rFonts w:ascii="Book Antiqua" w:eastAsia="SimSun" w:hAnsi="Book Antiqua" w:cs="Times New Roman"/>
          <w:kern w:val="2"/>
          <w:sz w:val="24"/>
          <w:szCs w:val="24"/>
          <w:lang w:val="en-US" w:eastAsia="zh-CN"/>
        </w:rPr>
        <w:t xml:space="preserve"> 2017; </w:t>
      </w:r>
      <w:r w:rsidRPr="00F54EA8">
        <w:rPr>
          <w:rFonts w:ascii="Book Antiqua" w:eastAsia="SimSun" w:hAnsi="Book Antiqua" w:cs="Times New Roman"/>
          <w:b/>
          <w:kern w:val="2"/>
          <w:sz w:val="24"/>
          <w:szCs w:val="24"/>
          <w:lang w:val="en-US" w:eastAsia="zh-CN"/>
        </w:rPr>
        <w:t>18</w:t>
      </w:r>
      <w:r w:rsidRPr="00F54EA8">
        <w:rPr>
          <w:rFonts w:ascii="Book Antiqua" w:eastAsia="SimSun" w:hAnsi="Book Antiqua" w:cs="Times New Roman"/>
          <w:kern w:val="2"/>
          <w:sz w:val="24"/>
          <w:szCs w:val="24"/>
          <w:lang w:val="en-US" w:eastAsia="zh-CN"/>
        </w:rPr>
        <w:t>:</w:t>
      </w:r>
      <w:r w:rsidRPr="00F54EA8">
        <w:rPr>
          <w:rFonts w:ascii="Calibri" w:eastAsia="SimSun" w:hAnsi="Calibri" w:cs="Times New Roman"/>
          <w:kern w:val="2"/>
          <w:sz w:val="21"/>
          <w:lang w:val="en-US" w:eastAsia="zh-CN"/>
        </w:rPr>
        <w:t xml:space="preserve"> </w:t>
      </w:r>
      <w:r w:rsidRPr="00F54EA8">
        <w:rPr>
          <w:rFonts w:ascii="Book Antiqua" w:eastAsia="SimSun" w:hAnsi="Book Antiqua" w:cs="Times New Roman"/>
          <w:kern w:val="2"/>
          <w:sz w:val="24"/>
          <w:szCs w:val="24"/>
          <w:lang w:val="en-US" w:eastAsia="zh-CN"/>
        </w:rPr>
        <w:t>pii: E1310</w:t>
      </w:r>
      <w:r w:rsidRPr="00F54EA8">
        <w:rPr>
          <w:rFonts w:ascii="Book Antiqua" w:eastAsia="SimSun" w:hAnsi="Book Antiqua" w:cs="Times New Roman" w:hint="eastAsia"/>
          <w:kern w:val="2"/>
          <w:sz w:val="24"/>
          <w:szCs w:val="24"/>
          <w:lang w:val="en-US" w:eastAsia="zh-CN"/>
        </w:rPr>
        <w:t xml:space="preserve"> </w:t>
      </w:r>
      <w:r w:rsidRPr="00F54EA8">
        <w:rPr>
          <w:rFonts w:ascii="Book Antiqua" w:eastAsia="SimSun" w:hAnsi="Book Antiqua" w:cs="Times New Roman"/>
          <w:kern w:val="2"/>
          <w:sz w:val="24"/>
          <w:szCs w:val="24"/>
          <w:lang w:val="en-US" w:eastAsia="zh-CN"/>
        </w:rPr>
        <w:t>[PMID: 28632155 DOI: 10.3390/ijms18061310]</w:t>
      </w:r>
    </w:p>
    <w:p w14:paraId="0DBC5041"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140 </w:t>
      </w:r>
      <w:r w:rsidRPr="00F54EA8">
        <w:rPr>
          <w:rFonts w:ascii="Book Antiqua" w:eastAsia="SimSun" w:hAnsi="Book Antiqua" w:cs="Times New Roman"/>
          <w:b/>
          <w:kern w:val="2"/>
          <w:sz w:val="24"/>
          <w:szCs w:val="24"/>
          <w:lang w:val="en-US" w:eastAsia="zh-CN"/>
        </w:rPr>
        <w:t>Zackular JP</w:t>
      </w:r>
      <w:r w:rsidRPr="00F54EA8">
        <w:rPr>
          <w:rFonts w:ascii="Book Antiqua" w:eastAsia="SimSun" w:hAnsi="Book Antiqua" w:cs="Times New Roman"/>
          <w:kern w:val="2"/>
          <w:sz w:val="24"/>
          <w:szCs w:val="24"/>
          <w:lang w:val="en-US" w:eastAsia="zh-CN"/>
        </w:rPr>
        <w:t xml:space="preserve">, Rogers MA, Ruffin MT 4th, Schloss PD. The human gut microbiome as a screening tool for colorectal cancer. </w:t>
      </w:r>
      <w:r w:rsidRPr="00F54EA8">
        <w:rPr>
          <w:rFonts w:ascii="Book Antiqua" w:eastAsia="SimSun" w:hAnsi="Book Antiqua" w:cs="Times New Roman"/>
          <w:i/>
          <w:kern w:val="2"/>
          <w:sz w:val="24"/>
          <w:szCs w:val="24"/>
          <w:lang w:val="en-US" w:eastAsia="zh-CN"/>
        </w:rPr>
        <w:t>Cancer Prev Res (Phila)</w:t>
      </w:r>
      <w:r w:rsidRPr="00F54EA8">
        <w:rPr>
          <w:rFonts w:ascii="Book Antiqua" w:eastAsia="SimSun" w:hAnsi="Book Antiqua" w:cs="Times New Roman"/>
          <w:kern w:val="2"/>
          <w:sz w:val="24"/>
          <w:szCs w:val="24"/>
          <w:lang w:val="en-US" w:eastAsia="zh-CN"/>
        </w:rPr>
        <w:t xml:space="preserve"> 2014; </w:t>
      </w:r>
      <w:r w:rsidRPr="00F54EA8">
        <w:rPr>
          <w:rFonts w:ascii="Book Antiqua" w:eastAsia="SimSun" w:hAnsi="Book Antiqua" w:cs="Times New Roman"/>
          <w:b/>
          <w:kern w:val="2"/>
          <w:sz w:val="24"/>
          <w:szCs w:val="24"/>
          <w:lang w:val="en-US" w:eastAsia="zh-CN"/>
        </w:rPr>
        <w:t>7</w:t>
      </w:r>
      <w:r w:rsidRPr="00F54EA8">
        <w:rPr>
          <w:rFonts w:ascii="Book Antiqua" w:eastAsia="SimSun" w:hAnsi="Book Antiqua" w:cs="Times New Roman"/>
          <w:kern w:val="2"/>
          <w:sz w:val="24"/>
          <w:szCs w:val="24"/>
          <w:lang w:val="en-US" w:eastAsia="zh-CN"/>
        </w:rPr>
        <w:t>: 1112-1121 [PMID: 25104642 DOI: 10.1158/1940-6207.CAPR-14-0129]</w:t>
      </w:r>
    </w:p>
    <w:p w14:paraId="0C5F8297"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141 </w:t>
      </w:r>
      <w:r w:rsidRPr="00F54EA8">
        <w:rPr>
          <w:rFonts w:ascii="Book Antiqua" w:eastAsia="SimSun" w:hAnsi="Book Antiqua" w:cs="Times New Roman"/>
          <w:b/>
          <w:kern w:val="2"/>
          <w:sz w:val="24"/>
          <w:szCs w:val="24"/>
          <w:lang w:val="en-US" w:eastAsia="zh-CN"/>
        </w:rPr>
        <w:t>Arthur JC</w:t>
      </w:r>
      <w:r w:rsidRPr="00F54EA8">
        <w:rPr>
          <w:rFonts w:ascii="Book Antiqua" w:eastAsia="SimSun" w:hAnsi="Book Antiqua" w:cs="Times New Roman"/>
          <w:kern w:val="2"/>
          <w:sz w:val="24"/>
          <w:szCs w:val="24"/>
          <w:lang w:val="en-US" w:eastAsia="zh-CN"/>
        </w:rPr>
        <w:t xml:space="preserve">, Gharaibeh RZ, Mühlbauer M, Perez-Chanona E, Uronis JM, McCafferty J, Fodor AA, Jobin C. Microbial genomic analysis reveals the essential </w:t>
      </w:r>
      <w:r w:rsidRPr="00F54EA8">
        <w:rPr>
          <w:rFonts w:ascii="Book Antiqua" w:eastAsia="SimSun" w:hAnsi="Book Antiqua" w:cs="Times New Roman"/>
          <w:kern w:val="2"/>
          <w:sz w:val="24"/>
          <w:szCs w:val="24"/>
          <w:lang w:val="en-US" w:eastAsia="zh-CN"/>
        </w:rPr>
        <w:lastRenderedPageBreak/>
        <w:t xml:space="preserve">role of inflammation in bacteria-induced colorectal cancer. </w:t>
      </w:r>
      <w:r w:rsidRPr="00F54EA8">
        <w:rPr>
          <w:rFonts w:ascii="Book Antiqua" w:eastAsia="SimSun" w:hAnsi="Book Antiqua" w:cs="Times New Roman"/>
          <w:i/>
          <w:kern w:val="2"/>
          <w:sz w:val="24"/>
          <w:szCs w:val="24"/>
          <w:lang w:val="en-US" w:eastAsia="zh-CN"/>
        </w:rPr>
        <w:t>Nat Commun</w:t>
      </w:r>
      <w:r w:rsidRPr="00F54EA8">
        <w:rPr>
          <w:rFonts w:ascii="Book Antiqua" w:eastAsia="SimSun" w:hAnsi="Book Antiqua" w:cs="Times New Roman"/>
          <w:kern w:val="2"/>
          <w:sz w:val="24"/>
          <w:szCs w:val="24"/>
          <w:lang w:val="en-US" w:eastAsia="zh-CN"/>
        </w:rPr>
        <w:t xml:space="preserve"> 2014; </w:t>
      </w:r>
      <w:r w:rsidRPr="00F54EA8">
        <w:rPr>
          <w:rFonts w:ascii="Book Antiqua" w:eastAsia="SimSun" w:hAnsi="Book Antiqua" w:cs="Times New Roman"/>
          <w:b/>
          <w:kern w:val="2"/>
          <w:sz w:val="24"/>
          <w:szCs w:val="24"/>
          <w:lang w:val="en-US" w:eastAsia="zh-CN"/>
        </w:rPr>
        <w:t>5</w:t>
      </w:r>
      <w:r w:rsidRPr="00F54EA8">
        <w:rPr>
          <w:rFonts w:ascii="Book Antiqua" w:eastAsia="SimSun" w:hAnsi="Book Antiqua" w:cs="Times New Roman"/>
          <w:kern w:val="2"/>
          <w:sz w:val="24"/>
          <w:szCs w:val="24"/>
          <w:lang w:val="en-US" w:eastAsia="zh-CN"/>
        </w:rPr>
        <w:t>: 4724 [PMID: 25182170 DOI: 10.1038/ncomms5724]</w:t>
      </w:r>
    </w:p>
    <w:p w14:paraId="47219E71"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142 </w:t>
      </w:r>
      <w:r w:rsidRPr="00F54EA8">
        <w:rPr>
          <w:rFonts w:ascii="Book Antiqua" w:eastAsia="SimSun" w:hAnsi="Book Antiqua" w:cs="Times New Roman"/>
          <w:b/>
          <w:kern w:val="2"/>
          <w:sz w:val="24"/>
          <w:szCs w:val="24"/>
          <w:lang w:val="en-US" w:eastAsia="zh-CN"/>
        </w:rPr>
        <w:t>Ahn J</w:t>
      </w:r>
      <w:r w:rsidRPr="00F54EA8">
        <w:rPr>
          <w:rFonts w:ascii="Book Antiqua" w:eastAsia="SimSun" w:hAnsi="Book Antiqua" w:cs="Times New Roman"/>
          <w:kern w:val="2"/>
          <w:sz w:val="24"/>
          <w:szCs w:val="24"/>
          <w:lang w:val="en-US" w:eastAsia="zh-CN"/>
        </w:rPr>
        <w:t xml:space="preserve">, Sinha R, Pei Z, Dominianni C, Wu J, Shi J, Goedert JJ, Hayes RB, Yang L. Human gut microbiome and risk for colorectal cancer. </w:t>
      </w:r>
      <w:r w:rsidRPr="00F54EA8">
        <w:rPr>
          <w:rFonts w:ascii="Book Antiqua" w:eastAsia="SimSun" w:hAnsi="Book Antiqua" w:cs="Times New Roman"/>
          <w:i/>
          <w:kern w:val="2"/>
          <w:sz w:val="24"/>
          <w:szCs w:val="24"/>
          <w:lang w:val="en-US" w:eastAsia="zh-CN"/>
        </w:rPr>
        <w:t>J Natl Cancer Inst</w:t>
      </w:r>
      <w:r w:rsidRPr="00F54EA8">
        <w:rPr>
          <w:rFonts w:ascii="Book Antiqua" w:eastAsia="SimSun" w:hAnsi="Book Antiqua" w:cs="Times New Roman"/>
          <w:kern w:val="2"/>
          <w:sz w:val="24"/>
          <w:szCs w:val="24"/>
          <w:lang w:val="en-US" w:eastAsia="zh-CN"/>
        </w:rPr>
        <w:t xml:space="preserve"> 2013; </w:t>
      </w:r>
      <w:r w:rsidRPr="00F54EA8">
        <w:rPr>
          <w:rFonts w:ascii="Book Antiqua" w:eastAsia="SimSun" w:hAnsi="Book Antiqua" w:cs="Times New Roman"/>
          <w:b/>
          <w:kern w:val="2"/>
          <w:sz w:val="24"/>
          <w:szCs w:val="24"/>
          <w:lang w:val="en-US" w:eastAsia="zh-CN"/>
        </w:rPr>
        <w:t>105</w:t>
      </w:r>
      <w:r w:rsidRPr="00F54EA8">
        <w:rPr>
          <w:rFonts w:ascii="Book Antiqua" w:eastAsia="SimSun" w:hAnsi="Book Antiqua" w:cs="Times New Roman"/>
          <w:kern w:val="2"/>
          <w:sz w:val="24"/>
          <w:szCs w:val="24"/>
          <w:lang w:val="en-US" w:eastAsia="zh-CN"/>
        </w:rPr>
        <w:t>: 1907-1911 [PMID: 24316595 DOI: 10.1093/jnci/djt300]</w:t>
      </w:r>
    </w:p>
    <w:p w14:paraId="6FC828BE"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143 </w:t>
      </w:r>
      <w:r w:rsidRPr="00F54EA8">
        <w:rPr>
          <w:rFonts w:ascii="Book Antiqua" w:eastAsia="SimSun" w:hAnsi="Book Antiqua" w:cs="Times New Roman"/>
          <w:b/>
          <w:kern w:val="2"/>
          <w:sz w:val="24"/>
          <w:szCs w:val="24"/>
          <w:lang w:val="en-US" w:eastAsia="zh-CN"/>
        </w:rPr>
        <w:t>Chen W</w:t>
      </w:r>
      <w:r w:rsidRPr="00F54EA8">
        <w:rPr>
          <w:rFonts w:ascii="Book Antiqua" w:eastAsia="SimSun" w:hAnsi="Book Antiqua" w:cs="Times New Roman"/>
          <w:kern w:val="2"/>
          <w:sz w:val="24"/>
          <w:szCs w:val="24"/>
          <w:lang w:val="en-US" w:eastAsia="zh-CN"/>
        </w:rPr>
        <w:t xml:space="preserve">, Liu F, Ling Z, Tong X, Xiang C. Human intestinal lumen and mucosa-associated microbiota in patients with colorectal cancer. </w:t>
      </w:r>
      <w:r w:rsidRPr="00F54EA8">
        <w:rPr>
          <w:rFonts w:ascii="Book Antiqua" w:eastAsia="SimSun" w:hAnsi="Book Antiqua" w:cs="Times New Roman"/>
          <w:i/>
          <w:kern w:val="2"/>
          <w:sz w:val="24"/>
          <w:szCs w:val="24"/>
          <w:lang w:val="en-US" w:eastAsia="zh-CN"/>
        </w:rPr>
        <w:t>PLoS One</w:t>
      </w:r>
      <w:r w:rsidRPr="00F54EA8">
        <w:rPr>
          <w:rFonts w:ascii="Book Antiqua" w:eastAsia="SimSun" w:hAnsi="Book Antiqua" w:cs="Times New Roman"/>
          <w:kern w:val="2"/>
          <w:sz w:val="24"/>
          <w:szCs w:val="24"/>
          <w:lang w:val="en-US" w:eastAsia="zh-CN"/>
        </w:rPr>
        <w:t xml:space="preserve"> 2012; </w:t>
      </w:r>
      <w:r w:rsidRPr="00F54EA8">
        <w:rPr>
          <w:rFonts w:ascii="Book Antiqua" w:eastAsia="SimSun" w:hAnsi="Book Antiqua" w:cs="Times New Roman"/>
          <w:b/>
          <w:kern w:val="2"/>
          <w:sz w:val="24"/>
          <w:szCs w:val="24"/>
          <w:lang w:val="en-US" w:eastAsia="zh-CN"/>
        </w:rPr>
        <w:t>7</w:t>
      </w:r>
      <w:r w:rsidRPr="00F54EA8">
        <w:rPr>
          <w:rFonts w:ascii="Book Antiqua" w:eastAsia="SimSun" w:hAnsi="Book Antiqua" w:cs="Times New Roman"/>
          <w:kern w:val="2"/>
          <w:sz w:val="24"/>
          <w:szCs w:val="24"/>
          <w:lang w:val="en-US" w:eastAsia="zh-CN"/>
        </w:rPr>
        <w:t>: e39743 [PMID: 22761885 DOI: 10.1371/journal.pone.0039743]</w:t>
      </w:r>
    </w:p>
    <w:p w14:paraId="6CCFFD1A"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144 </w:t>
      </w:r>
      <w:r w:rsidRPr="00F54EA8">
        <w:rPr>
          <w:rFonts w:ascii="Book Antiqua" w:eastAsia="SimSun" w:hAnsi="Book Antiqua" w:cs="Times New Roman"/>
          <w:b/>
          <w:kern w:val="2"/>
          <w:sz w:val="24"/>
          <w:szCs w:val="24"/>
          <w:lang w:val="en-US" w:eastAsia="zh-CN"/>
        </w:rPr>
        <w:t>Wu N</w:t>
      </w:r>
      <w:r w:rsidRPr="00F54EA8">
        <w:rPr>
          <w:rFonts w:ascii="Book Antiqua" w:eastAsia="SimSun" w:hAnsi="Book Antiqua" w:cs="Times New Roman"/>
          <w:kern w:val="2"/>
          <w:sz w:val="24"/>
          <w:szCs w:val="24"/>
          <w:lang w:val="en-US" w:eastAsia="zh-CN"/>
        </w:rPr>
        <w:t xml:space="preserve">, Yang X, Zhang R, Li J, Xiao X, Hu Y, Chen Y, Yang F, Lu N, Wang Z, Luan C, Liu Y, Wang B, Xiang C, Wang Y, Zhao F, Gao GF, Wang S, Li L, Zhang H, Zhu B. Dysbiosis signature of fecal microbiota in colorectal cancer patients. </w:t>
      </w:r>
      <w:r w:rsidRPr="00F54EA8">
        <w:rPr>
          <w:rFonts w:ascii="Book Antiqua" w:eastAsia="SimSun" w:hAnsi="Book Antiqua" w:cs="Times New Roman"/>
          <w:i/>
          <w:kern w:val="2"/>
          <w:sz w:val="24"/>
          <w:szCs w:val="24"/>
          <w:lang w:val="en-US" w:eastAsia="zh-CN"/>
        </w:rPr>
        <w:t>Microb Ecol</w:t>
      </w:r>
      <w:r w:rsidRPr="00F54EA8">
        <w:rPr>
          <w:rFonts w:ascii="Book Antiqua" w:eastAsia="SimSun" w:hAnsi="Book Antiqua" w:cs="Times New Roman"/>
          <w:kern w:val="2"/>
          <w:sz w:val="24"/>
          <w:szCs w:val="24"/>
          <w:lang w:val="en-US" w:eastAsia="zh-CN"/>
        </w:rPr>
        <w:t xml:space="preserve"> 2013; </w:t>
      </w:r>
      <w:r w:rsidRPr="00F54EA8">
        <w:rPr>
          <w:rFonts w:ascii="Book Antiqua" w:eastAsia="SimSun" w:hAnsi="Book Antiqua" w:cs="Times New Roman"/>
          <w:b/>
          <w:kern w:val="2"/>
          <w:sz w:val="24"/>
          <w:szCs w:val="24"/>
          <w:lang w:val="en-US" w:eastAsia="zh-CN"/>
        </w:rPr>
        <w:t>66</w:t>
      </w:r>
      <w:r w:rsidRPr="00F54EA8">
        <w:rPr>
          <w:rFonts w:ascii="Book Antiqua" w:eastAsia="SimSun" w:hAnsi="Book Antiqua" w:cs="Times New Roman"/>
          <w:kern w:val="2"/>
          <w:sz w:val="24"/>
          <w:szCs w:val="24"/>
          <w:lang w:val="en-US" w:eastAsia="zh-CN"/>
        </w:rPr>
        <w:t>: 462-470 [PMID: 23733170 DOI: 10.1007/s00248-013-0245-9]</w:t>
      </w:r>
    </w:p>
    <w:p w14:paraId="022DC6DC"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145 </w:t>
      </w:r>
      <w:r w:rsidRPr="00F54EA8">
        <w:rPr>
          <w:rFonts w:ascii="Book Antiqua" w:eastAsia="SimSun" w:hAnsi="Book Antiqua" w:cs="Times New Roman"/>
          <w:b/>
          <w:kern w:val="2"/>
          <w:sz w:val="24"/>
          <w:szCs w:val="24"/>
          <w:lang w:val="en-US" w:eastAsia="zh-CN"/>
        </w:rPr>
        <w:t>Bonnet M</w:t>
      </w:r>
      <w:r w:rsidRPr="00F54EA8">
        <w:rPr>
          <w:rFonts w:ascii="Book Antiqua" w:eastAsia="SimSun" w:hAnsi="Book Antiqua" w:cs="Times New Roman"/>
          <w:kern w:val="2"/>
          <w:sz w:val="24"/>
          <w:szCs w:val="24"/>
          <w:lang w:val="en-US" w:eastAsia="zh-CN"/>
        </w:rPr>
        <w:t xml:space="preserve">, Buc E, Sauvanet P, Darcha C, Dubois D, Pereira B, Déchelotte P, Bonnet R, Pezet D, Darfeuille-Michaud A. Colonization of the human gut by E. coli and colorectal cancer risk. </w:t>
      </w:r>
      <w:r w:rsidRPr="00F54EA8">
        <w:rPr>
          <w:rFonts w:ascii="Book Antiqua" w:eastAsia="SimSun" w:hAnsi="Book Antiqua" w:cs="Times New Roman"/>
          <w:i/>
          <w:kern w:val="2"/>
          <w:sz w:val="24"/>
          <w:szCs w:val="24"/>
          <w:lang w:val="en-US" w:eastAsia="zh-CN"/>
        </w:rPr>
        <w:t>Clin Cancer Res</w:t>
      </w:r>
      <w:r w:rsidRPr="00F54EA8">
        <w:rPr>
          <w:rFonts w:ascii="Book Antiqua" w:eastAsia="SimSun" w:hAnsi="Book Antiqua" w:cs="Times New Roman"/>
          <w:kern w:val="2"/>
          <w:sz w:val="24"/>
          <w:szCs w:val="24"/>
          <w:lang w:val="en-US" w:eastAsia="zh-CN"/>
        </w:rPr>
        <w:t xml:space="preserve"> 2014; </w:t>
      </w:r>
      <w:r w:rsidRPr="00F54EA8">
        <w:rPr>
          <w:rFonts w:ascii="Book Antiqua" w:eastAsia="SimSun" w:hAnsi="Book Antiqua" w:cs="Times New Roman"/>
          <w:b/>
          <w:kern w:val="2"/>
          <w:sz w:val="24"/>
          <w:szCs w:val="24"/>
          <w:lang w:val="en-US" w:eastAsia="zh-CN"/>
        </w:rPr>
        <w:t>20</w:t>
      </w:r>
      <w:r w:rsidRPr="00F54EA8">
        <w:rPr>
          <w:rFonts w:ascii="Book Antiqua" w:eastAsia="SimSun" w:hAnsi="Book Antiqua" w:cs="Times New Roman"/>
          <w:kern w:val="2"/>
          <w:sz w:val="24"/>
          <w:szCs w:val="24"/>
          <w:lang w:val="en-US" w:eastAsia="zh-CN"/>
        </w:rPr>
        <w:t>: 859-867 [PMID: 24334760 DOI: 10.1158/1078-0432.CCR-13-1343]</w:t>
      </w:r>
    </w:p>
    <w:p w14:paraId="31329581"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146 </w:t>
      </w:r>
      <w:r w:rsidRPr="00F54EA8">
        <w:rPr>
          <w:rFonts w:ascii="Book Antiqua" w:eastAsia="SimSun" w:hAnsi="Book Antiqua" w:cs="Times New Roman"/>
          <w:b/>
          <w:kern w:val="2"/>
          <w:sz w:val="24"/>
          <w:szCs w:val="24"/>
          <w:lang w:val="en-US" w:eastAsia="zh-CN"/>
        </w:rPr>
        <w:t>Arthur JC</w:t>
      </w:r>
      <w:r w:rsidRPr="00F54EA8">
        <w:rPr>
          <w:rFonts w:ascii="Book Antiqua" w:eastAsia="SimSun" w:hAnsi="Book Antiqua" w:cs="Times New Roman"/>
          <w:kern w:val="2"/>
          <w:sz w:val="24"/>
          <w:szCs w:val="24"/>
          <w:lang w:val="en-US" w:eastAsia="zh-CN"/>
        </w:rPr>
        <w:t xml:space="preserve">, Perez-Chanona E, Mühlbauer M, Tomkovich S, Uronis JM, Fan TJ, Campbell BJ, Abujamel T, Dogan B, Rogers AB, Rhodes JM, Stintzi A, Simpson KW, Hansen JJ, Keku TO, Fodor AA, Jobin C. Intestinal inflammation targets cancer-inducing activity of the microbiota. </w:t>
      </w:r>
      <w:r w:rsidRPr="00F54EA8">
        <w:rPr>
          <w:rFonts w:ascii="Book Antiqua" w:eastAsia="SimSun" w:hAnsi="Book Antiqua" w:cs="Times New Roman"/>
          <w:i/>
          <w:kern w:val="2"/>
          <w:sz w:val="24"/>
          <w:szCs w:val="24"/>
          <w:lang w:val="en-US" w:eastAsia="zh-CN"/>
        </w:rPr>
        <w:t>Science</w:t>
      </w:r>
      <w:r w:rsidRPr="00F54EA8">
        <w:rPr>
          <w:rFonts w:ascii="Book Antiqua" w:eastAsia="SimSun" w:hAnsi="Book Antiqua" w:cs="Times New Roman"/>
          <w:kern w:val="2"/>
          <w:sz w:val="24"/>
          <w:szCs w:val="24"/>
          <w:lang w:val="en-US" w:eastAsia="zh-CN"/>
        </w:rPr>
        <w:t xml:space="preserve"> 2012; </w:t>
      </w:r>
      <w:r w:rsidRPr="00F54EA8">
        <w:rPr>
          <w:rFonts w:ascii="Book Antiqua" w:eastAsia="SimSun" w:hAnsi="Book Antiqua" w:cs="Times New Roman"/>
          <w:b/>
          <w:kern w:val="2"/>
          <w:sz w:val="24"/>
          <w:szCs w:val="24"/>
          <w:lang w:val="en-US" w:eastAsia="zh-CN"/>
        </w:rPr>
        <w:t>338</w:t>
      </w:r>
      <w:r w:rsidRPr="00F54EA8">
        <w:rPr>
          <w:rFonts w:ascii="Book Antiqua" w:eastAsia="SimSun" w:hAnsi="Book Antiqua" w:cs="Times New Roman"/>
          <w:kern w:val="2"/>
          <w:sz w:val="24"/>
          <w:szCs w:val="24"/>
          <w:lang w:val="en-US" w:eastAsia="zh-CN"/>
        </w:rPr>
        <w:t>: 120-123 [PMID: 22903521 DOI: 10.1126/science.1224820]</w:t>
      </w:r>
    </w:p>
    <w:p w14:paraId="7C9E3673"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147 </w:t>
      </w:r>
      <w:r w:rsidRPr="00F54EA8">
        <w:rPr>
          <w:rFonts w:ascii="Book Antiqua" w:eastAsia="SimSun" w:hAnsi="Book Antiqua" w:cs="Times New Roman"/>
          <w:b/>
          <w:kern w:val="2"/>
          <w:sz w:val="24"/>
          <w:szCs w:val="24"/>
          <w:lang w:val="en-US" w:eastAsia="zh-CN"/>
        </w:rPr>
        <w:t>Kostic AD</w:t>
      </w:r>
      <w:r w:rsidRPr="00F54EA8">
        <w:rPr>
          <w:rFonts w:ascii="Book Antiqua" w:eastAsia="SimSun" w:hAnsi="Book Antiqua" w:cs="Times New Roman"/>
          <w:kern w:val="2"/>
          <w:sz w:val="24"/>
          <w:szCs w:val="24"/>
          <w:lang w:val="en-US" w:eastAsia="zh-CN"/>
        </w:rPr>
        <w:t xml:space="preserve">, Gevers D, Pedamallu CS, Michaud M, Duke F, Earl AM, Ojesina AI, Jung J, Bass AJ, Tabernero J, Baselga J, Liu C, Shivdasani RA, Ogino S, Birren BW, Huttenhower C, Garrett WS, Meyerson M. Genomic analysis identifies association of Fusobacterium with colorectal carcinoma. </w:t>
      </w:r>
      <w:r w:rsidRPr="00F54EA8">
        <w:rPr>
          <w:rFonts w:ascii="Book Antiqua" w:eastAsia="SimSun" w:hAnsi="Book Antiqua" w:cs="Times New Roman"/>
          <w:i/>
          <w:kern w:val="2"/>
          <w:sz w:val="24"/>
          <w:szCs w:val="24"/>
          <w:lang w:val="en-US" w:eastAsia="zh-CN"/>
        </w:rPr>
        <w:t>Genome Res</w:t>
      </w:r>
      <w:r w:rsidRPr="00F54EA8">
        <w:rPr>
          <w:rFonts w:ascii="Book Antiqua" w:eastAsia="SimSun" w:hAnsi="Book Antiqua" w:cs="Times New Roman"/>
          <w:kern w:val="2"/>
          <w:sz w:val="24"/>
          <w:szCs w:val="24"/>
          <w:lang w:val="en-US" w:eastAsia="zh-CN"/>
        </w:rPr>
        <w:t xml:space="preserve"> 2012; </w:t>
      </w:r>
      <w:r w:rsidRPr="00F54EA8">
        <w:rPr>
          <w:rFonts w:ascii="Book Antiqua" w:eastAsia="SimSun" w:hAnsi="Book Antiqua" w:cs="Times New Roman"/>
          <w:b/>
          <w:kern w:val="2"/>
          <w:sz w:val="24"/>
          <w:szCs w:val="24"/>
          <w:lang w:val="en-US" w:eastAsia="zh-CN"/>
        </w:rPr>
        <w:t>22</w:t>
      </w:r>
      <w:r w:rsidRPr="00F54EA8">
        <w:rPr>
          <w:rFonts w:ascii="Book Antiqua" w:eastAsia="SimSun" w:hAnsi="Book Antiqua" w:cs="Times New Roman"/>
          <w:kern w:val="2"/>
          <w:sz w:val="24"/>
          <w:szCs w:val="24"/>
          <w:lang w:val="en-US" w:eastAsia="zh-CN"/>
        </w:rPr>
        <w:t>: 292-298 [PMID: 22009990 DOI: 10.1101/gr.126573.111]</w:t>
      </w:r>
    </w:p>
    <w:p w14:paraId="5C9BE0A6"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148 </w:t>
      </w:r>
      <w:r w:rsidRPr="00F54EA8">
        <w:rPr>
          <w:rFonts w:ascii="Book Antiqua" w:eastAsia="SimSun" w:hAnsi="Book Antiqua" w:cs="Times New Roman"/>
          <w:b/>
          <w:kern w:val="2"/>
          <w:sz w:val="24"/>
          <w:szCs w:val="24"/>
          <w:lang w:val="en-US" w:eastAsia="zh-CN"/>
        </w:rPr>
        <w:t>Marchesi JR</w:t>
      </w:r>
      <w:r w:rsidRPr="00F54EA8">
        <w:rPr>
          <w:rFonts w:ascii="Book Antiqua" w:eastAsia="SimSun" w:hAnsi="Book Antiqua" w:cs="Times New Roman"/>
          <w:kern w:val="2"/>
          <w:sz w:val="24"/>
          <w:szCs w:val="24"/>
          <w:lang w:val="en-US" w:eastAsia="zh-CN"/>
        </w:rPr>
        <w:t xml:space="preserve">, Dutilh BE, Hall N, Peters WH, Roelofs R, Boleij A, Tjalsma H. Towards the human colorectal cancer microbiome. </w:t>
      </w:r>
      <w:r w:rsidRPr="00F54EA8">
        <w:rPr>
          <w:rFonts w:ascii="Book Antiqua" w:eastAsia="SimSun" w:hAnsi="Book Antiqua" w:cs="Times New Roman"/>
          <w:i/>
          <w:kern w:val="2"/>
          <w:sz w:val="24"/>
          <w:szCs w:val="24"/>
          <w:lang w:val="en-US" w:eastAsia="zh-CN"/>
        </w:rPr>
        <w:t>PLoS One</w:t>
      </w:r>
      <w:r w:rsidRPr="00F54EA8">
        <w:rPr>
          <w:rFonts w:ascii="Book Antiqua" w:eastAsia="SimSun" w:hAnsi="Book Antiqua" w:cs="Times New Roman"/>
          <w:kern w:val="2"/>
          <w:sz w:val="24"/>
          <w:szCs w:val="24"/>
          <w:lang w:val="en-US" w:eastAsia="zh-CN"/>
        </w:rPr>
        <w:t xml:space="preserve"> 2011; </w:t>
      </w:r>
      <w:r w:rsidRPr="00F54EA8">
        <w:rPr>
          <w:rFonts w:ascii="Book Antiqua" w:eastAsia="SimSun" w:hAnsi="Book Antiqua" w:cs="Times New Roman"/>
          <w:b/>
          <w:kern w:val="2"/>
          <w:sz w:val="24"/>
          <w:szCs w:val="24"/>
          <w:lang w:val="en-US" w:eastAsia="zh-CN"/>
        </w:rPr>
        <w:t>6</w:t>
      </w:r>
      <w:r w:rsidRPr="00F54EA8">
        <w:rPr>
          <w:rFonts w:ascii="Book Antiqua" w:eastAsia="SimSun" w:hAnsi="Book Antiqua" w:cs="Times New Roman"/>
          <w:kern w:val="2"/>
          <w:sz w:val="24"/>
          <w:szCs w:val="24"/>
          <w:lang w:val="en-US" w:eastAsia="zh-CN"/>
        </w:rPr>
        <w:t>: e20447 [PMID: 21647227 DOI: 10.1371/journal.pone.0020447]</w:t>
      </w:r>
    </w:p>
    <w:p w14:paraId="63061858"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149 </w:t>
      </w:r>
      <w:r w:rsidRPr="00F54EA8">
        <w:rPr>
          <w:rFonts w:ascii="Book Antiqua" w:eastAsia="SimSun" w:hAnsi="Book Antiqua" w:cs="Times New Roman"/>
          <w:b/>
          <w:kern w:val="2"/>
          <w:sz w:val="24"/>
          <w:szCs w:val="24"/>
          <w:lang w:val="en-US" w:eastAsia="zh-CN"/>
        </w:rPr>
        <w:t>Viljoen KS</w:t>
      </w:r>
      <w:r w:rsidRPr="00F54EA8">
        <w:rPr>
          <w:rFonts w:ascii="Book Antiqua" w:eastAsia="SimSun" w:hAnsi="Book Antiqua" w:cs="Times New Roman"/>
          <w:kern w:val="2"/>
          <w:sz w:val="24"/>
          <w:szCs w:val="24"/>
          <w:lang w:val="en-US" w:eastAsia="zh-CN"/>
        </w:rPr>
        <w:t xml:space="preserve">, Dakshinamurthy A, Goldberg P, Blackburn JM. Quantitative profiling of colorectal cancer-associated bacteria reveals associations between </w:t>
      </w:r>
      <w:r w:rsidRPr="00F54EA8">
        <w:rPr>
          <w:rFonts w:ascii="Book Antiqua" w:eastAsia="SimSun" w:hAnsi="Book Antiqua" w:cs="Times New Roman"/>
          <w:kern w:val="2"/>
          <w:sz w:val="24"/>
          <w:szCs w:val="24"/>
          <w:lang w:val="en-US" w:eastAsia="zh-CN"/>
        </w:rPr>
        <w:lastRenderedPageBreak/>
        <w:t xml:space="preserve">fusobacterium spp., enterotoxigenic Bacteroides fragilis (ETBF) and clinicopathological features of colorectal cancer. </w:t>
      </w:r>
      <w:r w:rsidRPr="00F54EA8">
        <w:rPr>
          <w:rFonts w:ascii="Book Antiqua" w:eastAsia="SimSun" w:hAnsi="Book Antiqua" w:cs="Times New Roman"/>
          <w:i/>
          <w:kern w:val="2"/>
          <w:sz w:val="24"/>
          <w:szCs w:val="24"/>
          <w:lang w:val="en-US" w:eastAsia="zh-CN"/>
        </w:rPr>
        <w:t>PLoS One</w:t>
      </w:r>
      <w:r w:rsidRPr="00F54EA8">
        <w:rPr>
          <w:rFonts w:ascii="Book Antiqua" w:eastAsia="SimSun" w:hAnsi="Book Antiqua" w:cs="Times New Roman"/>
          <w:kern w:val="2"/>
          <w:sz w:val="24"/>
          <w:szCs w:val="24"/>
          <w:lang w:val="en-US" w:eastAsia="zh-CN"/>
        </w:rPr>
        <w:t xml:space="preserve"> 2015; </w:t>
      </w:r>
      <w:r w:rsidRPr="00F54EA8">
        <w:rPr>
          <w:rFonts w:ascii="Book Antiqua" w:eastAsia="SimSun" w:hAnsi="Book Antiqua" w:cs="Times New Roman"/>
          <w:b/>
          <w:kern w:val="2"/>
          <w:sz w:val="24"/>
          <w:szCs w:val="24"/>
          <w:lang w:val="en-US" w:eastAsia="zh-CN"/>
        </w:rPr>
        <w:t>10</w:t>
      </w:r>
      <w:r w:rsidRPr="00F54EA8">
        <w:rPr>
          <w:rFonts w:ascii="Book Antiqua" w:eastAsia="SimSun" w:hAnsi="Book Antiqua" w:cs="Times New Roman"/>
          <w:kern w:val="2"/>
          <w:sz w:val="24"/>
          <w:szCs w:val="24"/>
          <w:lang w:val="en-US" w:eastAsia="zh-CN"/>
        </w:rPr>
        <w:t>: e0119462 [PMID: 25751261 DOI: 10.1371/journal.pone.0119462]</w:t>
      </w:r>
    </w:p>
    <w:p w14:paraId="7BE0D237"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150 </w:t>
      </w:r>
      <w:r w:rsidRPr="00F54EA8">
        <w:rPr>
          <w:rFonts w:ascii="Book Antiqua" w:eastAsia="SimSun" w:hAnsi="Book Antiqua" w:cs="Times New Roman"/>
          <w:b/>
          <w:kern w:val="2"/>
          <w:sz w:val="24"/>
          <w:szCs w:val="24"/>
          <w:lang w:val="en-US" w:eastAsia="zh-CN"/>
        </w:rPr>
        <w:t>Keenan JI</w:t>
      </w:r>
      <w:r w:rsidRPr="00F54EA8">
        <w:rPr>
          <w:rFonts w:ascii="Book Antiqua" w:eastAsia="SimSun" w:hAnsi="Book Antiqua" w:cs="Times New Roman"/>
          <w:kern w:val="2"/>
          <w:sz w:val="24"/>
          <w:szCs w:val="24"/>
          <w:lang w:val="en-US" w:eastAsia="zh-CN"/>
        </w:rPr>
        <w:t xml:space="preserve">, Aitchison A, Purcell RV, Greenlees R, Pearson JF, Frizelle FA. Screening for enterotoxigenic Bacteroides fragilis in stool samples. </w:t>
      </w:r>
      <w:r w:rsidRPr="00F54EA8">
        <w:rPr>
          <w:rFonts w:ascii="Book Antiqua" w:eastAsia="SimSun" w:hAnsi="Book Antiqua" w:cs="Times New Roman"/>
          <w:i/>
          <w:kern w:val="2"/>
          <w:sz w:val="24"/>
          <w:szCs w:val="24"/>
          <w:lang w:val="en-US" w:eastAsia="zh-CN"/>
        </w:rPr>
        <w:t>Anaerobe</w:t>
      </w:r>
      <w:r w:rsidRPr="00F54EA8">
        <w:rPr>
          <w:rFonts w:ascii="Book Antiqua" w:eastAsia="SimSun" w:hAnsi="Book Antiqua" w:cs="Times New Roman"/>
          <w:kern w:val="2"/>
          <w:sz w:val="24"/>
          <w:szCs w:val="24"/>
          <w:lang w:val="en-US" w:eastAsia="zh-CN"/>
        </w:rPr>
        <w:t xml:space="preserve"> 2016; </w:t>
      </w:r>
      <w:r w:rsidRPr="00F54EA8">
        <w:rPr>
          <w:rFonts w:ascii="Book Antiqua" w:eastAsia="SimSun" w:hAnsi="Book Antiqua" w:cs="Times New Roman"/>
          <w:b/>
          <w:kern w:val="2"/>
          <w:sz w:val="24"/>
          <w:szCs w:val="24"/>
          <w:lang w:val="en-US" w:eastAsia="zh-CN"/>
        </w:rPr>
        <w:t>40</w:t>
      </w:r>
      <w:r w:rsidRPr="00F54EA8">
        <w:rPr>
          <w:rFonts w:ascii="Book Antiqua" w:eastAsia="SimSun" w:hAnsi="Book Antiqua" w:cs="Times New Roman"/>
          <w:kern w:val="2"/>
          <w:sz w:val="24"/>
          <w:szCs w:val="24"/>
          <w:lang w:val="en-US" w:eastAsia="zh-CN"/>
        </w:rPr>
        <w:t>: 50-53 [PMID: 27166180 DOI: 10.1016/j.anaerobe.2016.05.004]</w:t>
      </w:r>
    </w:p>
    <w:p w14:paraId="7AED778C"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151 </w:t>
      </w:r>
      <w:r w:rsidRPr="00F54EA8">
        <w:rPr>
          <w:rFonts w:ascii="Book Antiqua" w:eastAsia="SimSun" w:hAnsi="Book Antiqua" w:cs="Times New Roman"/>
          <w:b/>
          <w:kern w:val="2"/>
          <w:sz w:val="24"/>
          <w:szCs w:val="24"/>
          <w:lang w:val="en-US" w:eastAsia="zh-CN"/>
        </w:rPr>
        <w:t>Eklöf V</w:t>
      </w:r>
      <w:r w:rsidRPr="00F54EA8">
        <w:rPr>
          <w:rFonts w:ascii="Book Antiqua" w:eastAsia="SimSun" w:hAnsi="Book Antiqua" w:cs="Times New Roman"/>
          <w:kern w:val="2"/>
          <w:sz w:val="24"/>
          <w:szCs w:val="24"/>
          <w:lang w:val="en-US" w:eastAsia="zh-CN"/>
        </w:rPr>
        <w:t xml:space="preserve">, Löfgren-Burström A, Zingmark C, Edin S, Larsson P, Karling P, Alexeyev O, Rutegård J, Wikberg ML, Palmqvist R. Cancer-associated fecal microbial markers in colorectal cancer detection. </w:t>
      </w:r>
      <w:r w:rsidRPr="00F54EA8">
        <w:rPr>
          <w:rFonts w:ascii="Book Antiqua" w:eastAsia="SimSun" w:hAnsi="Book Antiqua" w:cs="Times New Roman"/>
          <w:i/>
          <w:kern w:val="2"/>
          <w:sz w:val="24"/>
          <w:szCs w:val="24"/>
          <w:lang w:val="en-US" w:eastAsia="zh-CN"/>
        </w:rPr>
        <w:t>Int J Cancer</w:t>
      </w:r>
      <w:r w:rsidRPr="00F54EA8">
        <w:rPr>
          <w:rFonts w:ascii="Book Antiqua" w:eastAsia="SimSun" w:hAnsi="Book Antiqua" w:cs="Times New Roman"/>
          <w:kern w:val="2"/>
          <w:sz w:val="24"/>
          <w:szCs w:val="24"/>
          <w:lang w:val="en-US" w:eastAsia="zh-CN"/>
        </w:rPr>
        <w:t xml:space="preserve"> 2017; </w:t>
      </w:r>
      <w:r w:rsidRPr="00F54EA8">
        <w:rPr>
          <w:rFonts w:ascii="Book Antiqua" w:eastAsia="SimSun" w:hAnsi="Book Antiqua" w:cs="Times New Roman"/>
          <w:b/>
          <w:kern w:val="2"/>
          <w:sz w:val="24"/>
          <w:szCs w:val="24"/>
          <w:lang w:val="en-US" w:eastAsia="zh-CN"/>
        </w:rPr>
        <w:t>141</w:t>
      </w:r>
      <w:r w:rsidRPr="00F54EA8">
        <w:rPr>
          <w:rFonts w:ascii="Book Antiqua" w:eastAsia="SimSun" w:hAnsi="Book Antiqua" w:cs="Times New Roman"/>
          <w:kern w:val="2"/>
          <w:sz w:val="24"/>
          <w:szCs w:val="24"/>
          <w:lang w:val="en-US" w:eastAsia="zh-CN"/>
        </w:rPr>
        <w:t>: 2528-2536 [PMID: 28833079 DOI: 10.1002/ijc.31011]</w:t>
      </w:r>
    </w:p>
    <w:p w14:paraId="03102189"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152 </w:t>
      </w:r>
      <w:r w:rsidRPr="00F54EA8">
        <w:rPr>
          <w:rFonts w:ascii="Book Antiqua" w:eastAsia="SimSun" w:hAnsi="Book Antiqua" w:cs="Times New Roman"/>
          <w:b/>
          <w:kern w:val="2"/>
          <w:sz w:val="24"/>
          <w:szCs w:val="24"/>
          <w:lang w:val="en-US" w:eastAsia="zh-CN"/>
        </w:rPr>
        <w:t>Prorok-Hamon M</w:t>
      </w:r>
      <w:r w:rsidRPr="00F54EA8">
        <w:rPr>
          <w:rFonts w:ascii="Book Antiqua" w:eastAsia="SimSun" w:hAnsi="Book Antiqua" w:cs="Times New Roman"/>
          <w:kern w:val="2"/>
          <w:sz w:val="24"/>
          <w:szCs w:val="24"/>
          <w:lang w:val="en-US" w:eastAsia="zh-CN"/>
        </w:rPr>
        <w:t xml:space="preserve">, Friswell MK, Alswied A, Roberts CL, Song F, Flanagan PK, Knight P, Codling C, Marchesi JR, Winstanley C, Hall N, Rhodes JM, Campbell BJ. Colonic mucosa-associated diffusely adherent afaC+ Escherichia coli expressing lpfA and pks are increased in inflammatory bowel disease and colon cancer. </w:t>
      </w:r>
      <w:r w:rsidRPr="00F54EA8">
        <w:rPr>
          <w:rFonts w:ascii="Book Antiqua" w:eastAsia="SimSun" w:hAnsi="Book Antiqua" w:cs="Times New Roman"/>
          <w:i/>
          <w:kern w:val="2"/>
          <w:sz w:val="24"/>
          <w:szCs w:val="24"/>
          <w:lang w:val="en-US" w:eastAsia="zh-CN"/>
        </w:rPr>
        <w:t>Gut</w:t>
      </w:r>
      <w:r w:rsidRPr="00F54EA8">
        <w:rPr>
          <w:rFonts w:ascii="Book Antiqua" w:eastAsia="SimSun" w:hAnsi="Book Antiqua" w:cs="Times New Roman"/>
          <w:kern w:val="2"/>
          <w:sz w:val="24"/>
          <w:szCs w:val="24"/>
          <w:lang w:val="en-US" w:eastAsia="zh-CN"/>
        </w:rPr>
        <w:t xml:space="preserve"> 2014; </w:t>
      </w:r>
      <w:r w:rsidRPr="00F54EA8">
        <w:rPr>
          <w:rFonts w:ascii="Book Antiqua" w:eastAsia="SimSun" w:hAnsi="Book Antiqua" w:cs="Times New Roman"/>
          <w:b/>
          <w:kern w:val="2"/>
          <w:sz w:val="24"/>
          <w:szCs w:val="24"/>
          <w:lang w:val="en-US" w:eastAsia="zh-CN"/>
        </w:rPr>
        <w:t>63</w:t>
      </w:r>
      <w:r w:rsidRPr="00F54EA8">
        <w:rPr>
          <w:rFonts w:ascii="Book Antiqua" w:eastAsia="SimSun" w:hAnsi="Book Antiqua" w:cs="Times New Roman"/>
          <w:kern w:val="2"/>
          <w:sz w:val="24"/>
          <w:szCs w:val="24"/>
          <w:lang w:val="en-US" w:eastAsia="zh-CN"/>
        </w:rPr>
        <w:t>: 761-770 [PMID: 23846483 DOI: 10.1136/gutjnl-2013-304739]</w:t>
      </w:r>
    </w:p>
    <w:p w14:paraId="1CE338FF"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153 </w:t>
      </w:r>
      <w:r w:rsidRPr="00F54EA8">
        <w:rPr>
          <w:rFonts w:ascii="Book Antiqua" w:eastAsia="SimSun" w:hAnsi="Book Antiqua" w:cs="Times New Roman"/>
          <w:b/>
          <w:kern w:val="2"/>
          <w:sz w:val="24"/>
          <w:szCs w:val="24"/>
          <w:lang w:val="en-US" w:eastAsia="zh-CN"/>
        </w:rPr>
        <w:t>Nakatsu G</w:t>
      </w:r>
      <w:r w:rsidRPr="00F54EA8">
        <w:rPr>
          <w:rFonts w:ascii="Book Antiqua" w:eastAsia="SimSun" w:hAnsi="Book Antiqua" w:cs="Times New Roman"/>
          <w:kern w:val="2"/>
          <w:sz w:val="24"/>
          <w:szCs w:val="24"/>
          <w:lang w:val="en-US" w:eastAsia="zh-CN"/>
        </w:rPr>
        <w:t xml:space="preserve">, Li X, Zhou H, Sheng J, Wong SH, Wu WK, Ng SC, Tsoi H, Dong Y, Zhang N, He Y, Kang Q, Cao L, Wang K, Zhang J, Liang Q, Yu J, Sung JJ. Gut mucosal microbiome across stages of colorectal carcinogenesis. </w:t>
      </w:r>
      <w:r w:rsidRPr="00F54EA8">
        <w:rPr>
          <w:rFonts w:ascii="Book Antiqua" w:eastAsia="SimSun" w:hAnsi="Book Antiqua" w:cs="Times New Roman"/>
          <w:i/>
          <w:kern w:val="2"/>
          <w:sz w:val="24"/>
          <w:szCs w:val="24"/>
          <w:lang w:val="en-US" w:eastAsia="zh-CN"/>
        </w:rPr>
        <w:t>Nat Commun</w:t>
      </w:r>
      <w:r w:rsidRPr="00F54EA8">
        <w:rPr>
          <w:rFonts w:ascii="Book Antiqua" w:eastAsia="SimSun" w:hAnsi="Book Antiqua" w:cs="Times New Roman"/>
          <w:kern w:val="2"/>
          <w:sz w:val="24"/>
          <w:szCs w:val="24"/>
          <w:lang w:val="en-US" w:eastAsia="zh-CN"/>
        </w:rPr>
        <w:t xml:space="preserve"> 2015; </w:t>
      </w:r>
      <w:r w:rsidRPr="00F54EA8">
        <w:rPr>
          <w:rFonts w:ascii="Book Antiqua" w:eastAsia="SimSun" w:hAnsi="Book Antiqua" w:cs="Times New Roman"/>
          <w:b/>
          <w:kern w:val="2"/>
          <w:sz w:val="24"/>
          <w:szCs w:val="24"/>
          <w:lang w:val="en-US" w:eastAsia="zh-CN"/>
        </w:rPr>
        <w:t>6</w:t>
      </w:r>
      <w:r w:rsidRPr="00F54EA8">
        <w:rPr>
          <w:rFonts w:ascii="Book Antiqua" w:eastAsia="SimSun" w:hAnsi="Book Antiqua" w:cs="Times New Roman"/>
          <w:kern w:val="2"/>
          <w:sz w:val="24"/>
          <w:szCs w:val="24"/>
          <w:lang w:val="en-US" w:eastAsia="zh-CN"/>
        </w:rPr>
        <w:t>: 8727 [PMID: 26515465 DOI: 10.1038/ncomms9727]</w:t>
      </w:r>
    </w:p>
    <w:p w14:paraId="540E5944"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154 </w:t>
      </w:r>
      <w:r w:rsidRPr="00F54EA8">
        <w:rPr>
          <w:rFonts w:ascii="Book Antiqua" w:eastAsia="SimSun" w:hAnsi="Book Antiqua" w:cs="Times New Roman"/>
          <w:b/>
          <w:kern w:val="2"/>
          <w:sz w:val="24"/>
          <w:szCs w:val="24"/>
          <w:lang w:val="en-US" w:eastAsia="zh-CN"/>
        </w:rPr>
        <w:t>Dejea CM</w:t>
      </w:r>
      <w:r w:rsidRPr="00F54EA8">
        <w:rPr>
          <w:rFonts w:ascii="Book Antiqua" w:eastAsia="SimSun" w:hAnsi="Book Antiqua" w:cs="Times New Roman"/>
          <w:kern w:val="2"/>
          <w:sz w:val="24"/>
          <w:szCs w:val="24"/>
          <w:lang w:val="en-US" w:eastAsia="zh-CN"/>
        </w:rPr>
        <w:t xml:space="preserve">, Fathi P, Craig JM, Boleij A, Taddese R, Geis AL, Wu X, DeStefano Shields CE, Hechenbleikner EM, Huso DL, Anders RA, Giardiello FM, Wick EC, Wang H, Wu S, Pardoll DM, Housseau F, Sears CL. Patients with familial adenomatous polyposis harbor colonic biofilms containing tumorigenic bacteria. </w:t>
      </w:r>
      <w:r w:rsidRPr="00F54EA8">
        <w:rPr>
          <w:rFonts w:ascii="Book Antiqua" w:eastAsia="SimSun" w:hAnsi="Book Antiqua" w:cs="Times New Roman"/>
          <w:i/>
          <w:kern w:val="2"/>
          <w:sz w:val="24"/>
          <w:szCs w:val="24"/>
          <w:lang w:val="en-US" w:eastAsia="zh-CN"/>
        </w:rPr>
        <w:t>Science</w:t>
      </w:r>
      <w:r w:rsidRPr="00F54EA8">
        <w:rPr>
          <w:rFonts w:ascii="Book Antiqua" w:eastAsia="SimSun" w:hAnsi="Book Antiqua" w:cs="Times New Roman"/>
          <w:kern w:val="2"/>
          <w:sz w:val="24"/>
          <w:szCs w:val="24"/>
          <w:lang w:val="en-US" w:eastAsia="zh-CN"/>
        </w:rPr>
        <w:t xml:space="preserve"> 2018; </w:t>
      </w:r>
      <w:r w:rsidRPr="00F54EA8">
        <w:rPr>
          <w:rFonts w:ascii="Book Antiqua" w:eastAsia="SimSun" w:hAnsi="Book Antiqua" w:cs="Times New Roman"/>
          <w:b/>
          <w:kern w:val="2"/>
          <w:sz w:val="24"/>
          <w:szCs w:val="24"/>
          <w:lang w:val="en-US" w:eastAsia="zh-CN"/>
        </w:rPr>
        <w:t>359</w:t>
      </w:r>
      <w:r w:rsidRPr="00F54EA8">
        <w:rPr>
          <w:rFonts w:ascii="Book Antiqua" w:eastAsia="SimSun" w:hAnsi="Book Antiqua" w:cs="Times New Roman"/>
          <w:kern w:val="2"/>
          <w:sz w:val="24"/>
          <w:szCs w:val="24"/>
          <w:lang w:val="en-US" w:eastAsia="zh-CN"/>
        </w:rPr>
        <w:t>: 592-597 [PMID: 29420293 DOI: 10.1126/science.aah3648]</w:t>
      </w:r>
    </w:p>
    <w:p w14:paraId="45837340"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155 </w:t>
      </w:r>
      <w:r w:rsidRPr="00F54EA8">
        <w:rPr>
          <w:rFonts w:ascii="Book Antiqua" w:eastAsia="SimSun" w:hAnsi="Book Antiqua" w:cs="Times New Roman"/>
          <w:b/>
          <w:kern w:val="2"/>
          <w:sz w:val="24"/>
          <w:szCs w:val="24"/>
          <w:lang w:val="en-US" w:eastAsia="zh-CN"/>
        </w:rPr>
        <w:t>Flemer B</w:t>
      </w:r>
      <w:r w:rsidRPr="00F54EA8">
        <w:rPr>
          <w:rFonts w:ascii="Book Antiqua" w:eastAsia="SimSun" w:hAnsi="Book Antiqua" w:cs="Times New Roman"/>
          <w:kern w:val="2"/>
          <w:sz w:val="24"/>
          <w:szCs w:val="24"/>
          <w:lang w:val="en-US" w:eastAsia="zh-CN"/>
        </w:rPr>
        <w:t xml:space="preserve">, Lynch DB, Brown JM, Jeffery IB, Ryan FJ, Claesson MJ, O'Riordain M, Shanahan F, O'Toole PW. Tumour-associated and non-tumour-associated microbiota in colorectal cancer. </w:t>
      </w:r>
      <w:r w:rsidRPr="00F54EA8">
        <w:rPr>
          <w:rFonts w:ascii="Book Antiqua" w:eastAsia="SimSun" w:hAnsi="Book Antiqua" w:cs="Times New Roman"/>
          <w:i/>
          <w:kern w:val="2"/>
          <w:sz w:val="24"/>
          <w:szCs w:val="24"/>
          <w:lang w:val="en-US" w:eastAsia="zh-CN"/>
        </w:rPr>
        <w:t>Gut</w:t>
      </w:r>
      <w:r w:rsidRPr="00F54EA8">
        <w:rPr>
          <w:rFonts w:ascii="Book Antiqua" w:eastAsia="SimSun" w:hAnsi="Book Antiqua" w:cs="Times New Roman"/>
          <w:kern w:val="2"/>
          <w:sz w:val="24"/>
          <w:szCs w:val="24"/>
          <w:lang w:val="en-US" w:eastAsia="zh-CN"/>
        </w:rPr>
        <w:t xml:space="preserve"> 2017; </w:t>
      </w:r>
      <w:r w:rsidRPr="00F54EA8">
        <w:rPr>
          <w:rFonts w:ascii="Book Antiqua" w:eastAsia="SimSun" w:hAnsi="Book Antiqua" w:cs="Times New Roman"/>
          <w:b/>
          <w:kern w:val="2"/>
          <w:sz w:val="24"/>
          <w:szCs w:val="24"/>
          <w:lang w:val="en-US" w:eastAsia="zh-CN"/>
        </w:rPr>
        <w:t>66</w:t>
      </w:r>
      <w:r w:rsidRPr="00F54EA8">
        <w:rPr>
          <w:rFonts w:ascii="Book Antiqua" w:eastAsia="SimSun" w:hAnsi="Book Antiqua" w:cs="Times New Roman"/>
          <w:kern w:val="2"/>
          <w:sz w:val="24"/>
          <w:szCs w:val="24"/>
          <w:lang w:val="en-US" w:eastAsia="zh-CN"/>
        </w:rPr>
        <w:t>: 633-643 [PMID: 26992426 DOI: 10.1136/gutjnl-2015-309595]</w:t>
      </w:r>
    </w:p>
    <w:p w14:paraId="5EE92727"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156 </w:t>
      </w:r>
      <w:r w:rsidRPr="00F54EA8">
        <w:rPr>
          <w:rFonts w:ascii="Book Antiqua" w:eastAsia="SimSun" w:hAnsi="Book Antiqua" w:cs="Times New Roman"/>
          <w:b/>
          <w:kern w:val="2"/>
          <w:sz w:val="24"/>
          <w:szCs w:val="24"/>
          <w:lang w:val="en-US" w:eastAsia="zh-CN"/>
        </w:rPr>
        <w:t>Richard ML</w:t>
      </w:r>
      <w:r w:rsidRPr="00F54EA8">
        <w:rPr>
          <w:rFonts w:ascii="Book Antiqua" w:eastAsia="SimSun" w:hAnsi="Book Antiqua" w:cs="Times New Roman"/>
          <w:kern w:val="2"/>
          <w:sz w:val="24"/>
          <w:szCs w:val="24"/>
          <w:lang w:val="en-US" w:eastAsia="zh-CN"/>
        </w:rPr>
        <w:t xml:space="preserve">, Liguori G, Lamas B, Brandi G, da Costa G, Hoffmann TW, Pierluigi Di Simone M, Calabrese C, Poggioli G, Langella P, Campieri M, Sokol H. Mucosa-associated microbiota dysbiosis in colitis associated cancer. </w:t>
      </w:r>
      <w:r w:rsidRPr="00F54EA8">
        <w:rPr>
          <w:rFonts w:ascii="Book Antiqua" w:eastAsia="SimSun" w:hAnsi="Book Antiqua" w:cs="Times New Roman"/>
          <w:i/>
          <w:kern w:val="2"/>
          <w:sz w:val="24"/>
          <w:szCs w:val="24"/>
          <w:lang w:val="en-US" w:eastAsia="zh-CN"/>
        </w:rPr>
        <w:t>Gut Microbes</w:t>
      </w:r>
      <w:r w:rsidRPr="00F54EA8">
        <w:rPr>
          <w:rFonts w:ascii="Book Antiqua" w:eastAsia="SimSun" w:hAnsi="Book Antiqua" w:cs="Times New Roman"/>
          <w:kern w:val="2"/>
          <w:sz w:val="24"/>
          <w:szCs w:val="24"/>
          <w:lang w:val="en-US" w:eastAsia="zh-CN"/>
        </w:rPr>
        <w:t xml:space="preserve"> 2017;</w:t>
      </w:r>
      <w:r w:rsidRPr="00F54EA8">
        <w:rPr>
          <w:rFonts w:ascii="Calibri" w:eastAsia="SimSun" w:hAnsi="Calibri" w:cs="Times New Roman"/>
          <w:kern w:val="2"/>
          <w:sz w:val="21"/>
          <w:lang w:val="en-US" w:eastAsia="zh-CN"/>
        </w:rPr>
        <w:t xml:space="preserve"> </w:t>
      </w:r>
      <w:r w:rsidRPr="00F54EA8">
        <w:rPr>
          <w:rFonts w:ascii="Book Antiqua" w:eastAsia="SimSun" w:hAnsi="Book Antiqua" w:cs="Times New Roman"/>
          <w:kern w:val="2"/>
          <w:sz w:val="24"/>
          <w:szCs w:val="24"/>
          <w:lang w:val="en-US" w:eastAsia="zh-CN"/>
        </w:rPr>
        <w:t xml:space="preserve">Epub </w:t>
      </w:r>
      <w:r w:rsidRPr="00F54EA8">
        <w:rPr>
          <w:rFonts w:ascii="Book Antiqua" w:eastAsia="SimSun" w:hAnsi="Book Antiqua" w:cs="Times New Roman"/>
          <w:kern w:val="2"/>
          <w:sz w:val="24"/>
          <w:szCs w:val="24"/>
          <w:lang w:val="en-US" w:eastAsia="zh-CN"/>
        </w:rPr>
        <w:lastRenderedPageBreak/>
        <w:t>ahead of print</w:t>
      </w:r>
      <w:r w:rsidRPr="00F54EA8">
        <w:rPr>
          <w:rFonts w:ascii="Book Antiqua" w:eastAsia="SimSun" w:hAnsi="Book Antiqua" w:cs="Times New Roman" w:hint="eastAsia"/>
          <w:kern w:val="2"/>
          <w:sz w:val="24"/>
          <w:szCs w:val="24"/>
          <w:lang w:val="en-US" w:eastAsia="zh-CN"/>
        </w:rPr>
        <w:t xml:space="preserve"> </w:t>
      </w:r>
      <w:r w:rsidRPr="00F54EA8">
        <w:rPr>
          <w:rFonts w:ascii="Book Antiqua" w:eastAsia="SimSun" w:hAnsi="Book Antiqua" w:cs="Times New Roman"/>
          <w:kern w:val="2"/>
          <w:sz w:val="24"/>
          <w:szCs w:val="24"/>
          <w:lang w:val="en-US" w:eastAsia="zh-CN"/>
        </w:rPr>
        <w:t>[PMID: 28914591 DOI: 10.1080/19490976.2017.1379637]</w:t>
      </w:r>
    </w:p>
    <w:p w14:paraId="318FF942"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157 </w:t>
      </w:r>
      <w:r w:rsidRPr="00F54EA8">
        <w:rPr>
          <w:rFonts w:ascii="Book Antiqua" w:eastAsia="SimSun" w:hAnsi="Book Antiqua" w:cs="Times New Roman"/>
          <w:b/>
          <w:kern w:val="2"/>
          <w:sz w:val="24"/>
          <w:szCs w:val="24"/>
          <w:lang w:val="en-US" w:eastAsia="zh-CN"/>
        </w:rPr>
        <w:t>Gagnière J</w:t>
      </w:r>
      <w:r w:rsidRPr="00F54EA8">
        <w:rPr>
          <w:rFonts w:ascii="Book Antiqua" w:eastAsia="SimSun" w:hAnsi="Book Antiqua" w:cs="Times New Roman"/>
          <w:kern w:val="2"/>
          <w:sz w:val="24"/>
          <w:szCs w:val="24"/>
          <w:lang w:val="en-US" w:eastAsia="zh-CN"/>
        </w:rPr>
        <w:t>, Bonnin V, Jarrousse AS, Cardamone E, Agus A, Uhrhammer N, Sauvanet P, Déchelotte P, Barnich N, Bonnet R, Pezet D, Bonnet M. Interactions between microsatellite instability and human gut colonization by</w:t>
      </w:r>
      <w:r w:rsidRPr="00F54EA8">
        <w:rPr>
          <w:rFonts w:ascii="Book Antiqua" w:eastAsia="SimSun" w:hAnsi="Book Antiqua" w:cs="Times New Roman" w:hint="eastAsia"/>
          <w:kern w:val="2"/>
          <w:sz w:val="24"/>
          <w:szCs w:val="24"/>
          <w:lang w:val="en-US" w:eastAsia="zh-CN"/>
        </w:rPr>
        <w:t xml:space="preserve"> </w:t>
      </w:r>
      <w:r w:rsidRPr="00F54EA8">
        <w:rPr>
          <w:rFonts w:ascii="Book Antiqua" w:eastAsia="SimSun" w:hAnsi="Book Antiqua" w:cs="Times New Roman"/>
          <w:i/>
          <w:kern w:val="2"/>
          <w:sz w:val="24"/>
          <w:szCs w:val="24"/>
          <w:lang w:val="en-US" w:eastAsia="zh-CN"/>
        </w:rPr>
        <w:t>Escherichia coli</w:t>
      </w:r>
      <w:r w:rsidRPr="00F54EA8">
        <w:rPr>
          <w:rFonts w:ascii="Book Antiqua" w:eastAsia="SimSun" w:hAnsi="Book Antiqua" w:cs="Times New Roman" w:hint="eastAsia"/>
          <w:kern w:val="2"/>
          <w:sz w:val="24"/>
          <w:szCs w:val="24"/>
          <w:lang w:val="en-US" w:eastAsia="zh-CN"/>
        </w:rPr>
        <w:t xml:space="preserve"> </w:t>
      </w:r>
      <w:r w:rsidRPr="00F54EA8">
        <w:rPr>
          <w:rFonts w:ascii="Book Antiqua" w:eastAsia="SimSun" w:hAnsi="Book Antiqua" w:cs="Times New Roman"/>
          <w:kern w:val="2"/>
          <w:sz w:val="24"/>
          <w:szCs w:val="24"/>
          <w:lang w:val="en-US" w:eastAsia="zh-CN"/>
        </w:rPr>
        <w:t xml:space="preserve">in colorectal cancer. </w:t>
      </w:r>
      <w:r w:rsidRPr="00F54EA8">
        <w:rPr>
          <w:rFonts w:ascii="Book Antiqua" w:eastAsia="SimSun" w:hAnsi="Book Antiqua" w:cs="Times New Roman"/>
          <w:i/>
          <w:kern w:val="2"/>
          <w:sz w:val="24"/>
          <w:szCs w:val="24"/>
          <w:lang w:val="en-US" w:eastAsia="zh-CN"/>
        </w:rPr>
        <w:t>Clin Sci (Lond)</w:t>
      </w:r>
      <w:r w:rsidRPr="00F54EA8">
        <w:rPr>
          <w:rFonts w:ascii="Book Antiqua" w:eastAsia="SimSun" w:hAnsi="Book Antiqua" w:cs="Times New Roman"/>
          <w:kern w:val="2"/>
          <w:sz w:val="24"/>
          <w:szCs w:val="24"/>
          <w:lang w:val="en-US" w:eastAsia="zh-CN"/>
        </w:rPr>
        <w:t xml:space="preserve"> 2017; </w:t>
      </w:r>
      <w:r w:rsidRPr="00F54EA8">
        <w:rPr>
          <w:rFonts w:ascii="Book Antiqua" w:eastAsia="SimSun" w:hAnsi="Book Antiqua" w:cs="Times New Roman"/>
          <w:b/>
          <w:kern w:val="2"/>
          <w:sz w:val="24"/>
          <w:szCs w:val="24"/>
          <w:lang w:val="en-US" w:eastAsia="zh-CN"/>
        </w:rPr>
        <w:t>131</w:t>
      </w:r>
      <w:r w:rsidRPr="00F54EA8">
        <w:rPr>
          <w:rFonts w:ascii="Book Antiqua" w:eastAsia="SimSun" w:hAnsi="Book Antiqua" w:cs="Times New Roman"/>
          <w:kern w:val="2"/>
          <w:sz w:val="24"/>
          <w:szCs w:val="24"/>
          <w:lang w:val="en-US" w:eastAsia="zh-CN"/>
        </w:rPr>
        <w:t>: 471-485 [PMID: 28093453 DOI: 10.1042/CS20160876]</w:t>
      </w:r>
    </w:p>
    <w:p w14:paraId="7B5A16A4"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158 </w:t>
      </w:r>
      <w:r w:rsidRPr="00F54EA8">
        <w:rPr>
          <w:rFonts w:ascii="Book Antiqua" w:eastAsia="SimSun" w:hAnsi="Book Antiqua" w:cs="Times New Roman"/>
          <w:b/>
          <w:kern w:val="2"/>
          <w:sz w:val="24"/>
          <w:szCs w:val="24"/>
          <w:lang w:val="en-US" w:eastAsia="zh-CN"/>
        </w:rPr>
        <w:t>Mima K</w:t>
      </w:r>
      <w:r w:rsidRPr="00F54EA8">
        <w:rPr>
          <w:rFonts w:ascii="Book Antiqua" w:eastAsia="SimSun" w:hAnsi="Book Antiqua" w:cs="Times New Roman"/>
          <w:kern w:val="2"/>
          <w:sz w:val="24"/>
          <w:szCs w:val="24"/>
          <w:lang w:val="en-US" w:eastAsia="zh-CN"/>
        </w:rPr>
        <w:t xml:space="preserve">, Nishihara R, Qian ZR, Cao Y, Sukawa Y, Nowak JA, Yang J, Dou R, Masugi Y, Song M, Kostic AD, Giannakis M, Bullman S, Milner DA, Baba H, Giovannucci EL, Garraway LA, Freeman GJ, Dranoff G, Garrett WS, Huttenhower C, Meyerson M, Meyerhardt JA, Chan AT, Fuchs CS, Ogino S. Fusobacterium nucleatum in colorectal carcinoma tissue and patient prognosis. </w:t>
      </w:r>
      <w:r w:rsidRPr="00F54EA8">
        <w:rPr>
          <w:rFonts w:ascii="Book Antiqua" w:eastAsia="SimSun" w:hAnsi="Book Antiqua" w:cs="Times New Roman"/>
          <w:i/>
          <w:kern w:val="2"/>
          <w:sz w:val="24"/>
          <w:szCs w:val="24"/>
          <w:lang w:val="en-US" w:eastAsia="zh-CN"/>
        </w:rPr>
        <w:t>Gut</w:t>
      </w:r>
      <w:r w:rsidRPr="00F54EA8">
        <w:rPr>
          <w:rFonts w:ascii="Book Antiqua" w:eastAsia="SimSun" w:hAnsi="Book Antiqua" w:cs="Times New Roman"/>
          <w:kern w:val="2"/>
          <w:sz w:val="24"/>
          <w:szCs w:val="24"/>
          <w:lang w:val="en-US" w:eastAsia="zh-CN"/>
        </w:rPr>
        <w:t xml:space="preserve"> 2016; </w:t>
      </w:r>
      <w:r w:rsidRPr="00F54EA8">
        <w:rPr>
          <w:rFonts w:ascii="Book Antiqua" w:eastAsia="SimSun" w:hAnsi="Book Antiqua" w:cs="Times New Roman"/>
          <w:b/>
          <w:kern w:val="2"/>
          <w:sz w:val="24"/>
          <w:szCs w:val="24"/>
          <w:lang w:val="en-US" w:eastAsia="zh-CN"/>
        </w:rPr>
        <w:t>65</w:t>
      </w:r>
      <w:r w:rsidRPr="00F54EA8">
        <w:rPr>
          <w:rFonts w:ascii="Book Antiqua" w:eastAsia="SimSun" w:hAnsi="Book Antiqua" w:cs="Times New Roman"/>
          <w:kern w:val="2"/>
          <w:sz w:val="24"/>
          <w:szCs w:val="24"/>
          <w:lang w:val="en-US" w:eastAsia="zh-CN"/>
        </w:rPr>
        <w:t>: 1973-1980 [PMID: 26311717 DOI: 10.1136/gutjnl-2015-310101]</w:t>
      </w:r>
    </w:p>
    <w:p w14:paraId="4A237E39"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159 </w:t>
      </w:r>
      <w:r w:rsidRPr="00F54EA8">
        <w:rPr>
          <w:rFonts w:ascii="Book Antiqua" w:eastAsia="SimSun" w:hAnsi="Book Antiqua" w:cs="Times New Roman"/>
          <w:b/>
          <w:kern w:val="2"/>
          <w:sz w:val="24"/>
          <w:szCs w:val="24"/>
          <w:lang w:val="en-US" w:eastAsia="zh-CN"/>
        </w:rPr>
        <w:t>Wishart DS</w:t>
      </w:r>
      <w:r w:rsidRPr="00F54EA8">
        <w:rPr>
          <w:rFonts w:ascii="Book Antiqua" w:eastAsia="SimSun" w:hAnsi="Book Antiqua" w:cs="Times New Roman"/>
          <w:kern w:val="2"/>
          <w:sz w:val="24"/>
          <w:szCs w:val="24"/>
          <w:lang w:val="en-US" w:eastAsia="zh-CN"/>
        </w:rPr>
        <w:t xml:space="preserve">. Current progress in computational metabolomics. </w:t>
      </w:r>
      <w:r w:rsidRPr="00F54EA8">
        <w:rPr>
          <w:rFonts w:ascii="Book Antiqua" w:eastAsia="SimSun" w:hAnsi="Book Antiqua" w:cs="Times New Roman"/>
          <w:i/>
          <w:kern w:val="2"/>
          <w:sz w:val="24"/>
          <w:szCs w:val="24"/>
          <w:lang w:val="en-US" w:eastAsia="zh-CN"/>
        </w:rPr>
        <w:t>Brief Bioinform</w:t>
      </w:r>
      <w:r w:rsidRPr="00F54EA8">
        <w:rPr>
          <w:rFonts w:ascii="Book Antiqua" w:eastAsia="SimSun" w:hAnsi="Book Antiqua" w:cs="Times New Roman"/>
          <w:kern w:val="2"/>
          <w:sz w:val="24"/>
          <w:szCs w:val="24"/>
          <w:lang w:val="en-US" w:eastAsia="zh-CN"/>
        </w:rPr>
        <w:t xml:space="preserve"> 2007; </w:t>
      </w:r>
      <w:r w:rsidRPr="00F54EA8">
        <w:rPr>
          <w:rFonts w:ascii="Book Antiqua" w:eastAsia="SimSun" w:hAnsi="Book Antiqua" w:cs="Times New Roman"/>
          <w:b/>
          <w:kern w:val="2"/>
          <w:sz w:val="24"/>
          <w:szCs w:val="24"/>
          <w:lang w:val="en-US" w:eastAsia="zh-CN"/>
        </w:rPr>
        <w:t>8</w:t>
      </w:r>
      <w:r w:rsidRPr="00F54EA8">
        <w:rPr>
          <w:rFonts w:ascii="Book Antiqua" w:eastAsia="SimSun" w:hAnsi="Book Antiqua" w:cs="Times New Roman"/>
          <w:kern w:val="2"/>
          <w:sz w:val="24"/>
          <w:szCs w:val="24"/>
          <w:lang w:val="en-US" w:eastAsia="zh-CN"/>
        </w:rPr>
        <w:t>: 279-293 [PMID: 17626065 DOI: 10.1093/bib/bbm030]</w:t>
      </w:r>
    </w:p>
    <w:p w14:paraId="4EAE3915"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160 </w:t>
      </w:r>
      <w:r w:rsidRPr="00F54EA8">
        <w:rPr>
          <w:rFonts w:ascii="Book Antiqua" w:eastAsia="SimSun" w:hAnsi="Book Antiqua" w:cs="Times New Roman"/>
          <w:b/>
          <w:kern w:val="2"/>
          <w:sz w:val="24"/>
          <w:szCs w:val="24"/>
          <w:lang w:val="en-US" w:eastAsia="zh-CN"/>
        </w:rPr>
        <w:t>Holmes E</w:t>
      </w:r>
      <w:r w:rsidRPr="00F54EA8">
        <w:rPr>
          <w:rFonts w:ascii="Book Antiqua" w:eastAsia="SimSun" w:hAnsi="Book Antiqua" w:cs="Times New Roman"/>
          <w:kern w:val="2"/>
          <w:sz w:val="24"/>
          <w:szCs w:val="24"/>
          <w:lang w:val="en-US" w:eastAsia="zh-CN"/>
        </w:rPr>
        <w:t xml:space="preserve">, Wilson ID, Nicholson JK. Metabolic phenotyping in health and disease. </w:t>
      </w:r>
      <w:r w:rsidRPr="00F54EA8">
        <w:rPr>
          <w:rFonts w:ascii="Book Antiqua" w:eastAsia="SimSun" w:hAnsi="Book Antiqua" w:cs="Times New Roman"/>
          <w:i/>
          <w:kern w:val="2"/>
          <w:sz w:val="24"/>
          <w:szCs w:val="24"/>
          <w:lang w:val="en-US" w:eastAsia="zh-CN"/>
        </w:rPr>
        <w:t>Cell</w:t>
      </w:r>
      <w:r w:rsidRPr="00F54EA8">
        <w:rPr>
          <w:rFonts w:ascii="Book Antiqua" w:eastAsia="SimSun" w:hAnsi="Book Antiqua" w:cs="Times New Roman"/>
          <w:kern w:val="2"/>
          <w:sz w:val="24"/>
          <w:szCs w:val="24"/>
          <w:lang w:val="en-US" w:eastAsia="zh-CN"/>
        </w:rPr>
        <w:t xml:space="preserve"> 2008; </w:t>
      </w:r>
      <w:r w:rsidRPr="00F54EA8">
        <w:rPr>
          <w:rFonts w:ascii="Book Antiqua" w:eastAsia="SimSun" w:hAnsi="Book Antiqua" w:cs="Times New Roman"/>
          <w:b/>
          <w:kern w:val="2"/>
          <w:sz w:val="24"/>
          <w:szCs w:val="24"/>
          <w:lang w:val="en-US" w:eastAsia="zh-CN"/>
        </w:rPr>
        <w:t>134</w:t>
      </w:r>
      <w:r w:rsidRPr="00F54EA8">
        <w:rPr>
          <w:rFonts w:ascii="Book Antiqua" w:eastAsia="SimSun" w:hAnsi="Book Antiqua" w:cs="Times New Roman"/>
          <w:kern w:val="2"/>
          <w:sz w:val="24"/>
          <w:szCs w:val="24"/>
          <w:lang w:val="en-US" w:eastAsia="zh-CN"/>
        </w:rPr>
        <w:t>: 714-717 [PMID: 18775301 DOI: 10.1016/j.cell.2008.08.026]</w:t>
      </w:r>
    </w:p>
    <w:p w14:paraId="0CD0B572"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161 </w:t>
      </w:r>
      <w:r w:rsidRPr="00F54EA8">
        <w:rPr>
          <w:rFonts w:ascii="Book Antiqua" w:eastAsia="SimSun" w:hAnsi="Book Antiqua" w:cs="Times New Roman"/>
          <w:b/>
          <w:kern w:val="2"/>
          <w:sz w:val="24"/>
          <w:szCs w:val="24"/>
          <w:lang w:val="en-US" w:eastAsia="zh-CN"/>
        </w:rPr>
        <w:t>Holmes E</w:t>
      </w:r>
      <w:r w:rsidRPr="00F54EA8">
        <w:rPr>
          <w:rFonts w:ascii="Book Antiqua" w:eastAsia="SimSun" w:hAnsi="Book Antiqua" w:cs="Times New Roman"/>
          <w:kern w:val="2"/>
          <w:sz w:val="24"/>
          <w:szCs w:val="24"/>
          <w:lang w:val="en-US" w:eastAsia="zh-CN"/>
        </w:rPr>
        <w:t xml:space="preserve">, Loo RL, Stamler J, Bictash M, Yap IK, Chan Q, Ebbels T, De Iorio M, Brown IJ, Veselkov KA, Daviglus ML, Kesteloot H, Ueshima H, Zhao L, Nicholson JK, Elliott P. Human metabolic phenotype diversity and its association with diet and blood pressure. </w:t>
      </w:r>
      <w:r w:rsidRPr="00F54EA8">
        <w:rPr>
          <w:rFonts w:ascii="Book Antiqua" w:eastAsia="SimSun" w:hAnsi="Book Antiqua" w:cs="Times New Roman"/>
          <w:i/>
          <w:kern w:val="2"/>
          <w:sz w:val="24"/>
          <w:szCs w:val="24"/>
          <w:lang w:val="en-US" w:eastAsia="zh-CN"/>
        </w:rPr>
        <w:t>Nature</w:t>
      </w:r>
      <w:r w:rsidRPr="00F54EA8">
        <w:rPr>
          <w:rFonts w:ascii="Book Antiqua" w:eastAsia="SimSun" w:hAnsi="Book Antiqua" w:cs="Times New Roman"/>
          <w:kern w:val="2"/>
          <w:sz w:val="24"/>
          <w:szCs w:val="24"/>
          <w:lang w:val="en-US" w:eastAsia="zh-CN"/>
        </w:rPr>
        <w:t xml:space="preserve"> 2008; </w:t>
      </w:r>
      <w:r w:rsidRPr="00F54EA8">
        <w:rPr>
          <w:rFonts w:ascii="Book Antiqua" w:eastAsia="SimSun" w:hAnsi="Book Antiqua" w:cs="Times New Roman"/>
          <w:b/>
          <w:kern w:val="2"/>
          <w:sz w:val="24"/>
          <w:szCs w:val="24"/>
          <w:lang w:val="en-US" w:eastAsia="zh-CN"/>
        </w:rPr>
        <w:t>453</w:t>
      </w:r>
      <w:r w:rsidRPr="00F54EA8">
        <w:rPr>
          <w:rFonts w:ascii="Book Antiqua" w:eastAsia="SimSun" w:hAnsi="Book Antiqua" w:cs="Times New Roman"/>
          <w:kern w:val="2"/>
          <w:sz w:val="24"/>
          <w:szCs w:val="24"/>
          <w:lang w:val="en-US" w:eastAsia="zh-CN"/>
        </w:rPr>
        <w:t>: 396-400 [PMID: 18425110 DOI: 10.1038/nature06882]</w:t>
      </w:r>
    </w:p>
    <w:p w14:paraId="3DCD8F96"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162 </w:t>
      </w:r>
      <w:r w:rsidRPr="00F54EA8">
        <w:rPr>
          <w:rFonts w:ascii="Book Antiqua" w:eastAsia="SimSun" w:hAnsi="Book Antiqua" w:cs="Times New Roman"/>
          <w:b/>
          <w:kern w:val="2"/>
          <w:sz w:val="24"/>
          <w:szCs w:val="24"/>
          <w:lang w:val="en-US" w:eastAsia="zh-CN"/>
        </w:rPr>
        <w:t>Dumas ME</w:t>
      </w:r>
      <w:r w:rsidRPr="00F54EA8">
        <w:rPr>
          <w:rFonts w:ascii="Book Antiqua" w:eastAsia="SimSun" w:hAnsi="Book Antiqua" w:cs="Times New Roman"/>
          <w:kern w:val="2"/>
          <w:sz w:val="24"/>
          <w:szCs w:val="24"/>
          <w:lang w:val="en-US" w:eastAsia="zh-CN"/>
        </w:rPr>
        <w:t xml:space="preserve">, Maibaum EC, Teague C, Ueshima H, Zhou B, Lindon JC, Nicholson JK, Stamler J, Elliott P, Chan Q, Holmes E. Assessment of analytical reproducibility of 1H NMR spectroscopy based metabonomics for large-scale epidemiological research: the INTERMAP Study. </w:t>
      </w:r>
      <w:r w:rsidRPr="00F54EA8">
        <w:rPr>
          <w:rFonts w:ascii="Book Antiqua" w:eastAsia="SimSun" w:hAnsi="Book Antiqua" w:cs="Times New Roman"/>
          <w:i/>
          <w:kern w:val="2"/>
          <w:sz w:val="24"/>
          <w:szCs w:val="24"/>
          <w:lang w:val="en-US" w:eastAsia="zh-CN"/>
        </w:rPr>
        <w:t>Anal Chem</w:t>
      </w:r>
      <w:r w:rsidRPr="00F54EA8">
        <w:rPr>
          <w:rFonts w:ascii="Book Antiqua" w:eastAsia="SimSun" w:hAnsi="Book Antiqua" w:cs="Times New Roman"/>
          <w:kern w:val="2"/>
          <w:sz w:val="24"/>
          <w:szCs w:val="24"/>
          <w:lang w:val="en-US" w:eastAsia="zh-CN"/>
        </w:rPr>
        <w:t xml:space="preserve"> 2006; </w:t>
      </w:r>
      <w:r w:rsidRPr="00F54EA8">
        <w:rPr>
          <w:rFonts w:ascii="Book Antiqua" w:eastAsia="SimSun" w:hAnsi="Book Antiqua" w:cs="Times New Roman"/>
          <w:b/>
          <w:kern w:val="2"/>
          <w:sz w:val="24"/>
          <w:szCs w:val="24"/>
          <w:lang w:val="en-US" w:eastAsia="zh-CN"/>
        </w:rPr>
        <w:t>78</w:t>
      </w:r>
      <w:r w:rsidRPr="00F54EA8">
        <w:rPr>
          <w:rFonts w:ascii="Book Antiqua" w:eastAsia="SimSun" w:hAnsi="Book Antiqua" w:cs="Times New Roman"/>
          <w:kern w:val="2"/>
          <w:sz w:val="24"/>
          <w:szCs w:val="24"/>
          <w:lang w:val="en-US" w:eastAsia="zh-CN"/>
        </w:rPr>
        <w:t>: 2199-2208 [PMID: 16579598 DOI: 10.1021/ac0517085]</w:t>
      </w:r>
    </w:p>
    <w:p w14:paraId="120A37AD"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163 </w:t>
      </w:r>
      <w:r w:rsidRPr="00F54EA8">
        <w:rPr>
          <w:rFonts w:ascii="Book Antiqua" w:eastAsia="SimSun" w:hAnsi="Book Antiqua" w:cs="Times New Roman"/>
          <w:b/>
          <w:kern w:val="2"/>
          <w:sz w:val="24"/>
          <w:szCs w:val="24"/>
          <w:lang w:val="en-US" w:eastAsia="zh-CN"/>
        </w:rPr>
        <w:t>Armitage EG</w:t>
      </w:r>
      <w:r w:rsidRPr="00F54EA8">
        <w:rPr>
          <w:rFonts w:ascii="Book Antiqua" w:eastAsia="SimSun" w:hAnsi="Book Antiqua" w:cs="Times New Roman"/>
          <w:kern w:val="2"/>
          <w:sz w:val="24"/>
          <w:szCs w:val="24"/>
          <w:lang w:val="en-US" w:eastAsia="zh-CN"/>
        </w:rPr>
        <w:t xml:space="preserve">, Barbas C. Metabolomics in cancer biomarker discovery: current trends and future perspectives. </w:t>
      </w:r>
      <w:r w:rsidRPr="00F54EA8">
        <w:rPr>
          <w:rFonts w:ascii="Book Antiqua" w:eastAsia="SimSun" w:hAnsi="Book Antiqua" w:cs="Times New Roman"/>
          <w:i/>
          <w:kern w:val="2"/>
          <w:sz w:val="24"/>
          <w:szCs w:val="24"/>
          <w:lang w:val="en-US" w:eastAsia="zh-CN"/>
        </w:rPr>
        <w:t>J Pharm Biomed Anal</w:t>
      </w:r>
      <w:r w:rsidRPr="00F54EA8">
        <w:rPr>
          <w:rFonts w:ascii="Book Antiqua" w:eastAsia="SimSun" w:hAnsi="Book Antiqua" w:cs="Times New Roman"/>
          <w:kern w:val="2"/>
          <w:sz w:val="24"/>
          <w:szCs w:val="24"/>
          <w:lang w:val="en-US" w:eastAsia="zh-CN"/>
        </w:rPr>
        <w:t xml:space="preserve"> 2014; </w:t>
      </w:r>
      <w:r w:rsidRPr="00F54EA8">
        <w:rPr>
          <w:rFonts w:ascii="Book Antiqua" w:eastAsia="SimSun" w:hAnsi="Book Antiqua" w:cs="Times New Roman"/>
          <w:b/>
          <w:kern w:val="2"/>
          <w:sz w:val="24"/>
          <w:szCs w:val="24"/>
          <w:lang w:val="en-US" w:eastAsia="zh-CN"/>
        </w:rPr>
        <w:t>87</w:t>
      </w:r>
      <w:r w:rsidRPr="00F54EA8">
        <w:rPr>
          <w:rFonts w:ascii="Book Antiqua" w:eastAsia="SimSun" w:hAnsi="Book Antiqua" w:cs="Times New Roman"/>
          <w:kern w:val="2"/>
          <w:sz w:val="24"/>
          <w:szCs w:val="24"/>
          <w:lang w:val="en-US" w:eastAsia="zh-CN"/>
        </w:rPr>
        <w:t>: 1-11 [PMID: 24091079 DOI: 10.1016/j.jpba.2013.08.041]</w:t>
      </w:r>
    </w:p>
    <w:p w14:paraId="2D069495"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164 </w:t>
      </w:r>
      <w:r w:rsidRPr="00F54EA8">
        <w:rPr>
          <w:rFonts w:ascii="Book Antiqua" w:eastAsia="SimSun" w:hAnsi="Book Antiqua" w:cs="Times New Roman"/>
          <w:b/>
          <w:kern w:val="2"/>
          <w:sz w:val="24"/>
          <w:szCs w:val="24"/>
          <w:lang w:val="en-US" w:eastAsia="zh-CN"/>
        </w:rPr>
        <w:t>Chan EC</w:t>
      </w:r>
      <w:r w:rsidRPr="00F54EA8">
        <w:rPr>
          <w:rFonts w:ascii="Book Antiqua" w:eastAsia="SimSun" w:hAnsi="Book Antiqua" w:cs="Times New Roman"/>
          <w:kern w:val="2"/>
          <w:sz w:val="24"/>
          <w:szCs w:val="24"/>
          <w:lang w:val="en-US" w:eastAsia="zh-CN"/>
        </w:rPr>
        <w:t xml:space="preserve">, Koh PK, Mal M, Cheah PY, Eu KW, Backshall A, Cavill R, Nicholson JK, Keun HC. Metabolic profiling of human colorectal cancer using high-resolution magic angle spinning nuclear magnetic resonance (HR-MAS NMR) spectroscopy and </w:t>
      </w:r>
      <w:r w:rsidRPr="00F54EA8">
        <w:rPr>
          <w:rFonts w:ascii="Book Antiqua" w:eastAsia="SimSun" w:hAnsi="Book Antiqua" w:cs="Times New Roman"/>
          <w:kern w:val="2"/>
          <w:sz w:val="24"/>
          <w:szCs w:val="24"/>
          <w:lang w:val="en-US" w:eastAsia="zh-CN"/>
        </w:rPr>
        <w:lastRenderedPageBreak/>
        <w:t xml:space="preserve">gas chromatography mass spectrometry (GC/MS). </w:t>
      </w:r>
      <w:r w:rsidRPr="00F54EA8">
        <w:rPr>
          <w:rFonts w:ascii="Book Antiqua" w:eastAsia="SimSun" w:hAnsi="Book Antiqua" w:cs="Times New Roman"/>
          <w:i/>
          <w:kern w:val="2"/>
          <w:sz w:val="24"/>
          <w:szCs w:val="24"/>
          <w:lang w:val="en-US" w:eastAsia="zh-CN"/>
        </w:rPr>
        <w:t>J Proteome Res</w:t>
      </w:r>
      <w:r w:rsidRPr="00F54EA8">
        <w:rPr>
          <w:rFonts w:ascii="Book Antiqua" w:eastAsia="SimSun" w:hAnsi="Book Antiqua" w:cs="Times New Roman"/>
          <w:kern w:val="2"/>
          <w:sz w:val="24"/>
          <w:szCs w:val="24"/>
          <w:lang w:val="en-US" w:eastAsia="zh-CN"/>
        </w:rPr>
        <w:t xml:space="preserve"> 2009; </w:t>
      </w:r>
      <w:r w:rsidRPr="00F54EA8">
        <w:rPr>
          <w:rFonts w:ascii="Book Antiqua" w:eastAsia="SimSun" w:hAnsi="Book Antiqua" w:cs="Times New Roman"/>
          <w:b/>
          <w:kern w:val="2"/>
          <w:sz w:val="24"/>
          <w:szCs w:val="24"/>
          <w:lang w:val="en-US" w:eastAsia="zh-CN"/>
        </w:rPr>
        <w:t>8</w:t>
      </w:r>
      <w:r w:rsidRPr="00F54EA8">
        <w:rPr>
          <w:rFonts w:ascii="Book Antiqua" w:eastAsia="SimSun" w:hAnsi="Book Antiqua" w:cs="Times New Roman"/>
          <w:kern w:val="2"/>
          <w:sz w:val="24"/>
          <w:szCs w:val="24"/>
          <w:lang w:val="en-US" w:eastAsia="zh-CN"/>
        </w:rPr>
        <w:t>: 352-361 [PMID: 19063642 DOI: 10.1021/pr8006232]</w:t>
      </w:r>
    </w:p>
    <w:p w14:paraId="707EDC76"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165 </w:t>
      </w:r>
      <w:r w:rsidRPr="00F54EA8">
        <w:rPr>
          <w:rFonts w:ascii="Book Antiqua" w:eastAsia="SimSun" w:hAnsi="Book Antiqua" w:cs="Times New Roman"/>
          <w:b/>
          <w:kern w:val="2"/>
          <w:sz w:val="24"/>
          <w:szCs w:val="24"/>
          <w:lang w:val="en-US" w:eastAsia="zh-CN"/>
        </w:rPr>
        <w:t>Brown DG</w:t>
      </w:r>
      <w:r w:rsidRPr="00F54EA8">
        <w:rPr>
          <w:rFonts w:ascii="Book Antiqua" w:eastAsia="SimSun" w:hAnsi="Book Antiqua" w:cs="Times New Roman"/>
          <w:kern w:val="2"/>
          <w:sz w:val="24"/>
          <w:szCs w:val="24"/>
          <w:lang w:val="en-US" w:eastAsia="zh-CN"/>
        </w:rPr>
        <w:t xml:space="preserve">, Rao S, Weir TL, O'Malia J, Bazan M, Brown RJ, Ryan EP. Metabolomics and metabolic pathway networks from human colorectal cancers, adjacent mucosa, and stool. </w:t>
      </w:r>
      <w:r w:rsidRPr="00F54EA8">
        <w:rPr>
          <w:rFonts w:ascii="Book Antiqua" w:eastAsia="SimSun" w:hAnsi="Book Antiqua" w:cs="Times New Roman"/>
          <w:i/>
          <w:kern w:val="2"/>
          <w:sz w:val="24"/>
          <w:szCs w:val="24"/>
          <w:lang w:val="en-US" w:eastAsia="zh-CN"/>
        </w:rPr>
        <w:t>Cancer Metab</w:t>
      </w:r>
      <w:r w:rsidRPr="00F54EA8">
        <w:rPr>
          <w:rFonts w:ascii="Book Antiqua" w:eastAsia="SimSun" w:hAnsi="Book Antiqua" w:cs="Times New Roman"/>
          <w:kern w:val="2"/>
          <w:sz w:val="24"/>
          <w:szCs w:val="24"/>
          <w:lang w:val="en-US" w:eastAsia="zh-CN"/>
        </w:rPr>
        <w:t xml:space="preserve"> 2016; </w:t>
      </w:r>
      <w:r w:rsidRPr="00F54EA8">
        <w:rPr>
          <w:rFonts w:ascii="Book Antiqua" w:eastAsia="SimSun" w:hAnsi="Book Antiqua" w:cs="Times New Roman"/>
          <w:b/>
          <w:kern w:val="2"/>
          <w:sz w:val="24"/>
          <w:szCs w:val="24"/>
          <w:lang w:val="en-US" w:eastAsia="zh-CN"/>
        </w:rPr>
        <w:t>4</w:t>
      </w:r>
      <w:r w:rsidRPr="00F54EA8">
        <w:rPr>
          <w:rFonts w:ascii="Book Antiqua" w:eastAsia="SimSun" w:hAnsi="Book Antiqua" w:cs="Times New Roman"/>
          <w:kern w:val="2"/>
          <w:sz w:val="24"/>
          <w:szCs w:val="24"/>
          <w:lang w:val="en-US" w:eastAsia="zh-CN"/>
        </w:rPr>
        <w:t>: 11 [PMID: 27275383 DOI: 10.1186/s40170-016-0151-y]</w:t>
      </w:r>
    </w:p>
    <w:p w14:paraId="4DDC8DE2"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166 </w:t>
      </w:r>
      <w:r w:rsidRPr="00F54EA8">
        <w:rPr>
          <w:rFonts w:ascii="Book Antiqua" w:eastAsia="SimSun" w:hAnsi="Book Antiqua" w:cs="Times New Roman"/>
          <w:b/>
          <w:kern w:val="2"/>
          <w:sz w:val="24"/>
          <w:szCs w:val="24"/>
          <w:lang w:val="en-US" w:eastAsia="zh-CN"/>
        </w:rPr>
        <w:t>Farshidfar F</w:t>
      </w:r>
      <w:r w:rsidRPr="00F54EA8">
        <w:rPr>
          <w:rFonts w:ascii="Book Antiqua" w:eastAsia="SimSun" w:hAnsi="Book Antiqua" w:cs="Times New Roman"/>
          <w:kern w:val="2"/>
          <w:sz w:val="24"/>
          <w:szCs w:val="24"/>
          <w:lang w:val="en-US" w:eastAsia="zh-CN"/>
        </w:rPr>
        <w:t xml:space="preserve">, Weljie AM, Kopciuk KA, Hilsden R, McGregor SE, Buie WD, MacLean A, Vogel HJ, Bathe OF. A validated metabolomic signature for colorectal cancer: exploration of the clinical value of metabolomics. </w:t>
      </w:r>
      <w:r w:rsidRPr="00F54EA8">
        <w:rPr>
          <w:rFonts w:ascii="Book Antiqua" w:eastAsia="SimSun" w:hAnsi="Book Antiqua" w:cs="Times New Roman"/>
          <w:i/>
          <w:kern w:val="2"/>
          <w:sz w:val="24"/>
          <w:szCs w:val="24"/>
          <w:lang w:val="en-US" w:eastAsia="zh-CN"/>
        </w:rPr>
        <w:t>Br J Cancer</w:t>
      </w:r>
      <w:r w:rsidRPr="00F54EA8">
        <w:rPr>
          <w:rFonts w:ascii="Book Antiqua" w:eastAsia="SimSun" w:hAnsi="Book Antiqua" w:cs="Times New Roman"/>
          <w:kern w:val="2"/>
          <w:sz w:val="24"/>
          <w:szCs w:val="24"/>
          <w:lang w:val="en-US" w:eastAsia="zh-CN"/>
        </w:rPr>
        <w:t xml:space="preserve"> 2016; </w:t>
      </w:r>
      <w:r w:rsidRPr="00F54EA8">
        <w:rPr>
          <w:rFonts w:ascii="Book Antiqua" w:eastAsia="SimSun" w:hAnsi="Book Antiqua" w:cs="Times New Roman"/>
          <w:b/>
          <w:kern w:val="2"/>
          <w:sz w:val="24"/>
          <w:szCs w:val="24"/>
          <w:lang w:val="en-US" w:eastAsia="zh-CN"/>
        </w:rPr>
        <w:t>115</w:t>
      </w:r>
      <w:r w:rsidRPr="00F54EA8">
        <w:rPr>
          <w:rFonts w:ascii="Book Antiqua" w:eastAsia="SimSun" w:hAnsi="Book Antiqua" w:cs="Times New Roman"/>
          <w:kern w:val="2"/>
          <w:sz w:val="24"/>
          <w:szCs w:val="24"/>
          <w:lang w:val="en-US" w:eastAsia="zh-CN"/>
        </w:rPr>
        <w:t>: 848-857 [PMID: 27560555 DOI: 10.1038/bjc.2016.243]</w:t>
      </w:r>
    </w:p>
    <w:p w14:paraId="213BEA0D"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167 </w:t>
      </w:r>
      <w:r w:rsidRPr="00F54EA8">
        <w:rPr>
          <w:rFonts w:ascii="Book Antiqua" w:eastAsia="SimSun" w:hAnsi="Book Antiqua" w:cs="Times New Roman"/>
          <w:b/>
          <w:kern w:val="2"/>
          <w:sz w:val="24"/>
          <w:szCs w:val="24"/>
          <w:lang w:val="en-US" w:eastAsia="zh-CN"/>
        </w:rPr>
        <w:t>Farshidfar F</w:t>
      </w:r>
      <w:r w:rsidRPr="00F54EA8">
        <w:rPr>
          <w:rFonts w:ascii="Book Antiqua" w:eastAsia="SimSun" w:hAnsi="Book Antiqua" w:cs="Times New Roman"/>
          <w:kern w:val="2"/>
          <w:sz w:val="24"/>
          <w:szCs w:val="24"/>
          <w:lang w:val="en-US" w:eastAsia="zh-CN"/>
        </w:rPr>
        <w:t xml:space="preserve">, Kopciuk KA, Hilsden R, McGregor SE, Mazurak VC, Buie WD, MacLean A, Vogel HJ, Bathe OF. A quantitative multimodal metabolomic assay for colorectal cancer. </w:t>
      </w:r>
      <w:r w:rsidRPr="00F54EA8">
        <w:rPr>
          <w:rFonts w:ascii="Book Antiqua" w:eastAsia="SimSun" w:hAnsi="Book Antiqua" w:cs="Times New Roman"/>
          <w:i/>
          <w:kern w:val="2"/>
          <w:sz w:val="24"/>
          <w:szCs w:val="24"/>
          <w:lang w:val="en-US" w:eastAsia="zh-CN"/>
        </w:rPr>
        <w:t>BMC Cancer</w:t>
      </w:r>
      <w:r w:rsidRPr="00F54EA8">
        <w:rPr>
          <w:rFonts w:ascii="Book Antiqua" w:eastAsia="SimSun" w:hAnsi="Book Antiqua" w:cs="Times New Roman"/>
          <w:kern w:val="2"/>
          <w:sz w:val="24"/>
          <w:szCs w:val="24"/>
          <w:lang w:val="en-US" w:eastAsia="zh-CN"/>
        </w:rPr>
        <w:t xml:space="preserve"> 2018; </w:t>
      </w:r>
      <w:r w:rsidRPr="00F54EA8">
        <w:rPr>
          <w:rFonts w:ascii="Book Antiqua" w:eastAsia="SimSun" w:hAnsi="Book Antiqua" w:cs="Times New Roman"/>
          <w:b/>
          <w:kern w:val="2"/>
          <w:sz w:val="24"/>
          <w:szCs w:val="24"/>
          <w:lang w:val="en-US" w:eastAsia="zh-CN"/>
        </w:rPr>
        <w:t>18</w:t>
      </w:r>
      <w:r w:rsidRPr="00F54EA8">
        <w:rPr>
          <w:rFonts w:ascii="Book Antiqua" w:eastAsia="SimSun" w:hAnsi="Book Antiqua" w:cs="Times New Roman"/>
          <w:kern w:val="2"/>
          <w:sz w:val="24"/>
          <w:szCs w:val="24"/>
          <w:lang w:val="en-US" w:eastAsia="zh-CN"/>
        </w:rPr>
        <w:t>: 26 [PMID: 29301511 DOI: 10.1186/s12885-017-3923-z]</w:t>
      </w:r>
    </w:p>
    <w:p w14:paraId="128EAB20"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168 </w:t>
      </w:r>
      <w:r w:rsidRPr="00F54EA8">
        <w:rPr>
          <w:rFonts w:ascii="Book Antiqua" w:eastAsia="SimSun" w:hAnsi="Book Antiqua" w:cs="Times New Roman"/>
          <w:b/>
          <w:kern w:val="2"/>
          <w:sz w:val="24"/>
          <w:szCs w:val="24"/>
          <w:lang w:val="en-US" w:eastAsia="zh-CN"/>
        </w:rPr>
        <w:t>Uchiyama K</w:t>
      </w:r>
      <w:r w:rsidRPr="00F54EA8">
        <w:rPr>
          <w:rFonts w:ascii="Book Antiqua" w:eastAsia="SimSun" w:hAnsi="Book Antiqua" w:cs="Times New Roman"/>
          <w:kern w:val="2"/>
          <w:sz w:val="24"/>
          <w:szCs w:val="24"/>
          <w:lang w:val="en-US" w:eastAsia="zh-CN"/>
        </w:rPr>
        <w:t xml:space="preserve">, Yagi N, Mizushima K, Higashimura Y, Hirai Y, Okayama T, Yoshida N, Katada K, Kamada K, Handa O, Ishikawa T, Takagi T, Konishi H, Kuriu Y, Nakanishi M, Otsuji E, Itoh Y, Naito Y. Serum metabolomics analysis for early detection of colorectal cancer. </w:t>
      </w:r>
      <w:r w:rsidRPr="00F54EA8">
        <w:rPr>
          <w:rFonts w:ascii="Book Antiqua" w:eastAsia="SimSun" w:hAnsi="Book Antiqua" w:cs="Times New Roman"/>
          <w:i/>
          <w:kern w:val="2"/>
          <w:sz w:val="24"/>
          <w:szCs w:val="24"/>
          <w:lang w:val="en-US" w:eastAsia="zh-CN"/>
        </w:rPr>
        <w:t>J Gastroenterol</w:t>
      </w:r>
      <w:r w:rsidRPr="00F54EA8">
        <w:rPr>
          <w:rFonts w:ascii="Book Antiqua" w:eastAsia="SimSun" w:hAnsi="Book Antiqua" w:cs="Times New Roman"/>
          <w:kern w:val="2"/>
          <w:sz w:val="24"/>
          <w:szCs w:val="24"/>
          <w:lang w:val="en-US" w:eastAsia="zh-CN"/>
        </w:rPr>
        <w:t xml:space="preserve"> 2017; </w:t>
      </w:r>
      <w:r w:rsidRPr="00F54EA8">
        <w:rPr>
          <w:rFonts w:ascii="Book Antiqua" w:eastAsia="SimSun" w:hAnsi="Book Antiqua" w:cs="Times New Roman"/>
          <w:b/>
          <w:kern w:val="2"/>
          <w:sz w:val="24"/>
          <w:szCs w:val="24"/>
          <w:lang w:val="en-US" w:eastAsia="zh-CN"/>
        </w:rPr>
        <w:t>52</w:t>
      </w:r>
      <w:r w:rsidRPr="00F54EA8">
        <w:rPr>
          <w:rFonts w:ascii="Book Antiqua" w:eastAsia="SimSun" w:hAnsi="Book Antiqua" w:cs="Times New Roman"/>
          <w:kern w:val="2"/>
          <w:sz w:val="24"/>
          <w:szCs w:val="24"/>
          <w:lang w:val="en-US" w:eastAsia="zh-CN"/>
        </w:rPr>
        <w:t>: 677-694 [PMID: 27650200 DOI: 10.1007/s00535-016-1261-6]</w:t>
      </w:r>
    </w:p>
    <w:p w14:paraId="06479929"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169 </w:t>
      </w:r>
      <w:r w:rsidRPr="00F54EA8">
        <w:rPr>
          <w:rFonts w:ascii="Book Antiqua" w:eastAsia="SimSun" w:hAnsi="Book Antiqua" w:cs="Times New Roman"/>
          <w:b/>
          <w:kern w:val="2"/>
          <w:sz w:val="24"/>
          <w:szCs w:val="24"/>
          <w:lang w:val="en-US" w:eastAsia="zh-CN"/>
        </w:rPr>
        <w:t>Mal M</w:t>
      </w:r>
      <w:r w:rsidRPr="00F54EA8">
        <w:rPr>
          <w:rFonts w:ascii="Book Antiqua" w:eastAsia="SimSun" w:hAnsi="Book Antiqua" w:cs="Times New Roman"/>
          <w:kern w:val="2"/>
          <w:sz w:val="24"/>
          <w:szCs w:val="24"/>
          <w:lang w:val="en-US" w:eastAsia="zh-CN"/>
        </w:rPr>
        <w:t xml:space="preserve">. Noninvasive metabolic profiling for painless diagnosis of human diseases and disorders. </w:t>
      </w:r>
      <w:r w:rsidRPr="00F54EA8">
        <w:rPr>
          <w:rFonts w:ascii="Book Antiqua" w:eastAsia="SimSun" w:hAnsi="Book Antiqua" w:cs="Times New Roman"/>
          <w:i/>
          <w:kern w:val="2"/>
          <w:sz w:val="24"/>
          <w:szCs w:val="24"/>
          <w:lang w:val="en-US" w:eastAsia="zh-CN"/>
        </w:rPr>
        <w:t>Future Sci OA</w:t>
      </w:r>
      <w:r w:rsidRPr="00F54EA8">
        <w:rPr>
          <w:rFonts w:ascii="Book Antiqua" w:eastAsia="SimSun" w:hAnsi="Book Antiqua" w:cs="Times New Roman"/>
          <w:kern w:val="2"/>
          <w:sz w:val="24"/>
          <w:szCs w:val="24"/>
          <w:lang w:val="en-US" w:eastAsia="zh-CN"/>
        </w:rPr>
        <w:t xml:space="preserve"> 2016; </w:t>
      </w:r>
      <w:r w:rsidRPr="00F54EA8">
        <w:rPr>
          <w:rFonts w:ascii="Book Antiqua" w:eastAsia="SimSun" w:hAnsi="Book Antiqua" w:cs="Times New Roman"/>
          <w:b/>
          <w:kern w:val="2"/>
          <w:sz w:val="24"/>
          <w:szCs w:val="24"/>
          <w:lang w:val="en-US" w:eastAsia="zh-CN"/>
        </w:rPr>
        <w:t>2</w:t>
      </w:r>
      <w:r w:rsidRPr="00F54EA8">
        <w:rPr>
          <w:rFonts w:ascii="Book Antiqua" w:eastAsia="SimSun" w:hAnsi="Book Antiqua" w:cs="Times New Roman"/>
          <w:kern w:val="2"/>
          <w:sz w:val="24"/>
          <w:szCs w:val="24"/>
          <w:lang w:val="en-US" w:eastAsia="zh-CN"/>
        </w:rPr>
        <w:t>: FSO106 [PMID: 28031956 DOI: 10.4155/fsoa-2015-0014]</w:t>
      </w:r>
    </w:p>
    <w:p w14:paraId="03CB65A8"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170 </w:t>
      </w:r>
      <w:r w:rsidRPr="00F54EA8">
        <w:rPr>
          <w:rFonts w:ascii="Book Antiqua" w:eastAsia="SimSun" w:hAnsi="Book Antiqua" w:cs="Times New Roman"/>
          <w:b/>
          <w:kern w:val="2"/>
          <w:sz w:val="24"/>
          <w:szCs w:val="24"/>
          <w:lang w:val="en-US" w:eastAsia="zh-CN"/>
        </w:rPr>
        <w:t>O'Keefe SJ</w:t>
      </w:r>
      <w:r w:rsidRPr="00F54EA8">
        <w:rPr>
          <w:rFonts w:ascii="Book Antiqua" w:eastAsia="SimSun" w:hAnsi="Book Antiqua" w:cs="Times New Roman"/>
          <w:kern w:val="2"/>
          <w:sz w:val="24"/>
          <w:szCs w:val="24"/>
          <w:lang w:val="en-US" w:eastAsia="zh-CN"/>
        </w:rPr>
        <w:t xml:space="preserve">. Diet, microorganisms and their metabolites, and colon cancer. </w:t>
      </w:r>
      <w:r w:rsidRPr="00F54EA8">
        <w:rPr>
          <w:rFonts w:ascii="Book Antiqua" w:eastAsia="SimSun" w:hAnsi="Book Antiqua" w:cs="Times New Roman"/>
          <w:i/>
          <w:kern w:val="2"/>
          <w:sz w:val="24"/>
          <w:szCs w:val="24"/>
          <w:lang w:val="en-US" w:eastAsia="zh-CN"/>
        </w:rPr>
        <w:t>Nat Rev Gastroenterol Hepatol</w:t>
      </w:r>
      <w:r w:rsidRPr="00F54EA8">
        <w:rPr>
          <w:rFonts w:ascii="Book Antiqua" w:eastAsia="SimSun" w:hAnsi="Book Antiqua" w:cs="Times New Roman"/>
          <w:kern w:val="2"/>
          <w:sz w:val="24"/>
          <w:szCs w:val="24"/>
          <w:lang w:val="en-US" w:eastAsia="zh-CN"/>
        </w:rPr>
        <w:t xml:space="preserve"> 2016; </w:t>
      </w:r>
      <w:r w:rsidRPr="00F54EA8">
        <w:rPr>
          <w:rFonts w:ascii="Book Antiqua" w:eastAsia="SimSun" w:hAnsi="Book Antiqua" w:cs="Times New Roman"/>
          <w:b/>
          <w:kern w:val="2"/>
          <w:sz w:val="24"/>
          <w:szCs w:val="24"/>
          <w:lang w:val="en-US" w:eastAsia="zh-CN"/>
        </w:rPr>
        <w:t>13</w:t>
      </w:r>
      <w:r w:rsidRPr="00F54EA8">
        <w:rPr>
          <w:rFonts w:ascii="Book Antiqua" w:eastAsia="SimSun" w:hAnsi="Book Antiqua" w:cs="Times New Roman"/>
          <w:kern w:val="2"/>
          <w:sz w:val="24"/>
          <w:szCs w:val="24"/>
          <w:lang w:val="en-US" w:eastAsia="zh-CN"/>
        </w:rPr>
        <w:t>: 691-706 [PMID: 27848961 DOI: 10.1038/nrgastro.2016.165]</w:t>
      </w:r>
    </w:p>
    <w:p w14:paraId="2D079481"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171 </w:t>
      </w:r>
      <w:r w:rsidRPr="00F54EA8">
        <w:rPr>
          <w:rFonts w:ascii="Book Antiqua" w:eastAsia="SimSun" w:hAnsi="Book Antiqua" w:cs="Times New Roman"/>
          <w:b/>
          <w:kern w:val="2"/>
          <w:sz w:val="24"/>
          <w:szCs w:val="24"/>
          <w:lang w:val="en-US" w:eastAsia="zh-CN"/>
        </w:rPr>
        <w:t>Flint HJ</w:t>
      </w:r>
      <w:r w:rsidRPr="00F54EA8">
        <w:rPr>
          <w:rFonts w:ascii="Book Antiqua" w:eastAsia="SimSun" w:hAnsi="Book Antiqua" w:cs="Times New Roman"/>
          <w:kern w:val="2"/>
          <w:sz w:val="24"/>
          <w:szCs w:val="24"/>
          <w:lang w:val="en-US" w:eastAsia="zh-CN"/>
        </w:rPr>
        <w:t xml:space="preserve">, Scott KP, Louis P, Duncan SH. The role of the gut microbiota in nutrition and health. </w:t>
      </w:r>
      <w:r w:rsidRPr="00F54EA8">
        <w:rPr>
          <w:rFonts w:ascii="Book Antiqua" w:eastAsia="SimSun" w:hAnsi="Book Antiqua" w:cs="Times New Roman"/>
          <w:i/>
          <w:kern w:val="2"/>
          <w:sz w:val="24"/>
          <w:szCs w:val="24"/>
          <w:lang w:val="en-US" w:eastAsia="zh-CN"/>
        </w:rPr>
        <w:t>Nat Rev Gastroenterol Hepatol</w:t>
      </w:r>
      <w:r w:rsidRPr="00F54EA8">
        <w:rPr>
          <w:rFonts w:ascii="Book Antiqua" w:eastAsia="SimSun" w:hAnsi="Book Antiqua" w:cs="Times New Roman"/>
          <w:kern w:val="2"/>
          <w:sz w:val="24"/>
          <w:szCs w:val="24"/>
          <w:lang w:val="en-US" w:eastAsia="zh-CN"/>
        </w:rPr>
        <w:t xml:space="preserve"> 2012; </w:t>
      </w:r>
      <w:r w:rsidRPr="00F54EA8">
        <w:rPr>
          <w:rFonts w:ascii="Book Antiqua" w:eastAsia="SimSun" w:hAnsi="Book Antiqua" w:cs="Times New Roman"/>
          <w:b/>
          <w:kern w:val="2"/>
          <w:sz w:val="24"/>
          <w:szCs w:val="24"/>
          <w:lang w:val="en-US" w:eastAsia="zh-CN"/>
        </w:rPr>
        <w:t>9</w:t>
      </w:r>
      <w:r w:rsidRPr="00F54EA8">
        <w:rPr>
          <w:rFonts w:ascii="Book Antiqua" w:eastAsia="SimSun" w:hAnsi="Book Antiqua" w:cs="Times New Roman"/>
          <w:kern w:val="2"/>
          <w:sz w:val="24"/>
          <w:szCs w:val="24"/>
          <w:lang w:val="en-US" w:eastAsia="zh-CN"/>
        </w:rPr>
        <w:t>: 577-589 [PMID: 22945443 DOI: 10.1038/nrgastro.2012.156]</w:t>
      </w:r>
    </w:p>
    <w:p w14:paraId="16D8F4BA"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172 </w:t>
      </w:r>
      <w:r w:rsidRPr="00F54EA8">
        <w:rPr>
          <w:rFonts w:ascii="Book Antiqua" w:eastAsia="SimSun" w:hAnsi="Book Antiqua" w:cs="Times New Roman"/>
          <w:b/>
          <w:kern w:val="2"/>
          <w:sz w:val="24"/>
          <w:szCs w:val="24"/>
          <w:lang w:val="en-US" w:eastAsia="zh-CN"/>
        </w:rPr>
        <w:t>Rowland I</w:t>
      </w:r>
      <w:r w:rsidRPr="00F54EA8">
        <w:rPr>
          <w:rFonts w:ascii="Book Antiqua" w:eastAsia="SimSun" w:hAnsi="Book Antiqua" w:cs="Times New Roman"/>
          <w:kern w:val="2"/>
          <w:sz w:val="24"/>
          <w:szCs w:val="24"/>
          <w:lang w:val="en-US" w:eastAsia="zh-CN"/>
        </w:rPr>
        <w:t xml:space="preserve">, Gibson G, Heinken A, Scott K, Swann J, Thiele I, Tuohy K. Gut microbiota functions: metabolism of nutrients and other food components. </w:t>
      </w:r>
      <w:r w:rsidRPr="00F54EA8">
        <w:rPr>
          <w:rFonts w:ascii="Book Antiqua" w:eastAsia="SimSun" w:hAnsi="Book Antiqua" w:cs="Times New Roman"/>
          <w:i/>
          <w:kern w:val="2"/>
          <w:sz w:val="24"/>
          <w:szCs w:val="24"/>
          <w:lang w:val="en-US" w:eastAsia="zh-CN"/>
        </w:rPr>
        <w:t>Eur J Nutr</w:t>
      </w:r>
      <w:r w:rsidRPr="00F54EA8">
        <w:rPr>
          <w:rFonts w:ascii="Book Antiqua" w:eastAsia="SimSun" w:hAnsi="Book Antiqua" w:cs="Times New Roman"/>
          <w:kern w:val="2"/>
          <w:sz w:val="24"/>
          <w:szCs w:val="24"/>
          <w:lang w:val="en-US" w:eastAsia="zh-CN"/>
        </w:rPr>
        <w:t xml:space="preserve"> 2018; </w:t>
      </w:r>
      <w:r w:rsidRPr="00F54EA8">
        <w:rPr>
          <w:rFonts w:ascii="Book Antiqua" w:eastAsia="SimSun" w:hAnsi="Book Antiqua" w:cs="Times New Roman"/>
          <w:b/>
          <w:kern w:val="2"/>
          <w:sz w:val="24"/>
          <w:szCs w:val="24"/>
          <w:lang w:val="en-US" w:eastAsia="zh-CN"/>
        </w:rPr>
        <w:t>57</w:t>
      </w:r>
      <w:r w:rsidRPr="00F54EA8">
        <w:rPr>
          <w:rFonts w:ascii="Book Antiqua" w:eastAsia="SimSun" w:hAnsi="Book Antiqua" w:cs="Times New Roman"/>
          <w:kern w:val="2"/>
          <w:sz w:val="24"/>
          <w:szCs w:val="24"/>
          <w:lang w:val="en-US" w:eastAsia="zh-CN"/>
        </w:rPr>
        <w:t>: 1-24 [PMID: 28393285 DOI: 10.1007/s00394-017-1445-8]</w:t>
      </w:r>
    </w:p>
    <w:p w14:paraId="1C315193"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lastRenderedPageBreak/>
        <w:t xml:space="preserve">173 </w:t>
      </w:r>
      <w:r w:rsidRPr="00F54EA8">
        <w:rPr>
          <w:rFonts w:ascii="Book Antiqua" w:eastAsia="SimSun" w:hAnsi="Book Antiqua" w:cs="Times New Roman"/>
          <w:b/>
          <w:kern w:val="2"/>
          <w:sz w:val="24"/>
          <w:szCs w:val="24"/>
          <w:lang w:val="en-US" w:eastAsia="zh-CN"/>
        </w:rPr>
        <w:t>Ouwehand AC</w:t>
      </w:r>
      <w:r w:rsidRPr="00F54EA8">
        <w:rPr>
          <w:rFonts w:ascii="Book Antiqua" w:eastAsia="SimSun" w:hAnsi="Book Antiqua" w:cs="Times New Roman"/>
          <w:kern w:val="2"/>
          <w:sz w:val="24"/>
          <w:szCs w:val="24"/>
          <w:lang w:val="en-US" w:eastAsia="zh-CN"/>
        </w:rPr>
        <w:t xml:space="preserve">, Derrien M, de Vos W, Tiihonen K, Rautonen N. Prebiotics and other microbial substrates for gut functionality. </w:t>
      </w:r>
      <w:r w:rsidRPr="00F54EA8">
        <w:rPr>
          <w:rFonts w:ascii="Book Antiqua" w:eastAsia="SimSun" w:hAnsi="Book Antiqua" w:cs="Times New Roman"/>
          <w:i/>
          <w:kern w:val="2"/>
          <w:sz w:val="24"/>
          <w:szCs w:val="24"/>
          <w:lang w:val="en-US" w:eastAsia="zh-CN"/>
        </w:rPr>
        <w:t>Curr Opin Biotechnol</w:t>
      </w:r>
      <w:r w:rsidRPr="00F54EA8">
        <w:rPr>
          <w:rFonts w:ascii="Book Antiqua" w:eastAsia="SimSun" w:hAnsi="Book Antiqua" w:cs="Times New Roman"/>
          <w:kern w:val="2"/>
          <w:sz w:val="24"/>
          <w:szCs w:val="24"/>
          <w:lang w:val="en-US" w:eastAsia="zh-CN"/>
        </w:rPr>
        <w:t xml:space="preserve"> 2005; </w:t>
      </w:r>
      <w:r w:rsidRPr="00F54EA8">
        <w:rPr>
          <w:rFonts w:ascii="Book Antiqua" w:eastAsia="SimSun" w:hAnsi="Book Antiqua" w:cs="Times New Roman"/>
          <w:b/>
          <w:kern w:val="2"/>
          <w:sz w:val="24"/>
          <w:szCs w:val="24"/>
          <w:lang w:val="en-US" w:eastAsia="zh-CN"/>
        </w:rPr>
        <w:t>16</w:t>
      </w:r>
      <w:r w:rsidRPr="00F54EA8">
        <w:rPr>
          <w:rFonts w:ascii="Book Antiqua" w:eastAsia="SimSun" w:hAnsi="Book Antiqua" w:cs="Times New Roman"/>
          <w:kern w:val="2"/>
          <w:sz w:val="24"/>
          <w:szCs w:val="24"/>
          <w:lang w:val="en-US" w:eastAsia="zh-CN"/>
        </w:rPr>
        <w:t>: 212-217 [PMID: 15831389 DOI: 10.1016/j.copbio.2005.01.007]</w:t>
      </w:r>
    </w:p>
    <w:p w14:paraId="2B132B40"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174 </w:t>
      </w:r>
      <w:r w:rsidRPr="00F54EA8">
        <w:rPr>
          <w:rFonts w:ascii="Book Antiqua" w:eastAsia="SimSun" w:hAnsi="Book Antiqua" w:cs="Times New Roman"/>
          <w:b/>
          <w:kern w:val="2"/>
          <w:sz w:val="24"/>
          <w:szCs w:val="24"/>
          <w:lang w:val="en-US" w:eastAsia="zh-CN"/>
        </w:rPr>
        <w:t>Miller TL</w:t>
      </w:r>
      <w:r w:rsidRPr="00F54EA8">
        <w:rPr>
          <w:rFonts w:ascii="Book Antiqua" w:eastAsia="SimSun" w:hAnsi="Book Antiqua" w:cs="Times New Roman"/>
          <w:kern w:val="2"/>
          <w:sz w:val="24"/>
          <w:szCs w:val="24"/>
          <w:lang w:val="en-US" w:eastAsia="zh-CN"/>
        </w:rPr>
        <w:t xml:space="preserve">, Wolin MJ. Pathways of acetate, propionate, and butyrate formation by the human fecal microbial flora. </w:t>
      </w:r>
      <w:r w:rsidRPr="00F54EA8">
        <w:rPr>
          <w:rFonts w:ascii="Book Antiqua" w:eastAsia="SimSun" w:hAnsi="Book Antiqua" w:cs="Times New Roman"/>
          <w:i/>
          <w:kern w:val="2"/>
          <w:sz w:val="24"/>
          <w:szCs w:val="24"/>
          <w:lang w:val="en-US" w:eastAsia="zh-CN"/>
        </w:rPr>
        <w:t>Appl Environ Microbiol</w:t>
      </w:r>
      <w:r w:rsidRPr="00F54EA8">
        <w:rPr>
          <w:rFonts w:ascii="Book Antiqua" w:eastAsia="SimSun" w:hAnsi="Book Antiqua" w:cs="Times New Roman"/>
          <w:kern w:val="2"/>
          <w:sz w:val="24"/>
          <w:szCs w:val="24"/>
          <w:lang w:val="en-US" w:eastAsia="zh-CN"/>
        </w:rPr>
        <w:t xml:space="preserve"> 1996; </w:t>
      </w:r>
      <w:r w:rsidRPr="00F54EA8">
        <w:rPr>
          <w:rFonts w:ascii="Book Antiqua" w:eastAsia="SimSun" w:hAnsi="Book Antiqua" w:cs="Times New Roman"/>
          <w:b/>
          <w:kern w:val="2"/>
          <w:sz w:val="24"/>
          <w:szCs w:val="24"/>
          <w:lang w:val="en-US" w:eastAsia="zh-CN"/>
        </w:rPr>
        <w:t>62</w:t>
      </w:r>
      <w:r w:rsidRPr="00F54EA8">
        <w:rPr>
          <w:rFonts w:ascii="Book Antiqua" w:eastAsia="SimSun" w:hAnsi="Book Antiqua" w:cs="Times New Roman"/>
          <w:kern w:val="2"/>
          <w:sz w:val="24"/>
          <w:szCs w:val="24"/>
          <w:lang w:val="en-US" w:eastAsia="zh-CN"/>
        </w:rPr>
        <w:t>: 1589-1592 [PMID: 8633856]</w:t>
      </w:r>
    </w:p>
    <w:p w14:paraId="196F0E98"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175 </w:t>
      </w:r>
      <w:r w:rsidRPr="00F54EA8">
        <w:rPr>
          <w:rFonts w:ascii="Book Antiqua" w:eastAsia="SimSun" w:hAnsi="Book Antiqua" w:cs="Times New Roman"/>
          <w:b/>
          <w:kern w:val="2"/>
          <w:sz w:val="24"/>
          <w:szCs w:val="24"/>
          <w:lang w:val="en-US" w:eastAsia="zh-CN"/>
        </w:rPr>
        <w:t>van der Beek CM</w:t>
      </w:r>
      <w:r w:rsidRPr="00F54EA8">
        <w:rPr>
          <w:rFonts w:ascii="Book Antiqua" w:eastAsia="SimSun" w:hAnsi="Book Antiqua" w:cs="Times New Roman"/>
          <w:kern w:val="2"/>
          <w:sz w:val="24"/>
          <w:szCs w:val="24"/>
          <w:lang w:val="en-US" w:eastAsia="zh-CN"/>
        </w:rPr>
        <w:t xml:space="preserve">, Dejong CHC, Troost FJ, Masclee AAM, Lenaerts K. Role of short-chain fatty acids in colonic inflammation, carcinogenesis, and mucosal protection and healing. </w:t>
      </w:r>
      <w:r w:rsidRPr="00F54EA8">
        <w:rPr>
          <w:rFonts w:ascii="Book Antiqua" w:eastAsia="SimSun" w:hAnsi="Book Antiqua" w:cs="Times New Roman"/>
          <w:i/>
          <w:kern w:val="2"/>
          <w:sz w:val="24"/>
          <w:szCs w:val="24"/>
          <w:lang w:val="en-US" w:eastAsia="zh-CN"/>
        </w:rPr>
        <w:t>Nutr Rev</w:t>
      </w:r>
      <w:r w:rsidRPr="00F54EA8">
        <w:rPr>
          <w:rFonts w:ascii="Book Antiqua" w:eastAsia="SimSun" w:hAnsi="Book Antiqua" w:cs="Times New Roman"/>
          <w:kern w:val="2"/>
          <w:sz w:val="24"/>
          <w:szCs w:val="24"/>
          <w:lang w:val="en-US" w:eastAsia="zh-CN"/>
        </w:rPr>
        <w:t xml:space="preserve"> 2017; </w:t>
      </w:r>
      <w:r w:rsidRPr="00F54EA8">
        <w:rPr>
          <w:rFonts w:ascii="Book Antiqua" w:eastAsia="SimSun" w:hAnsi="Book Antiqua" w:cs="Times New Roman"/>
          <w:b/>
          <w:kern w:val="2"/>
          <w:sz w:val="24"/>
          <w:szCs w:val="24"/>
          <w:lang w:val="en-US" w:eastAsia="zh-CN"/>
        </w:rPr>
        <w:t>75</w:t>
      </w:r>
      <w:r w:rsidRPr="00F54EA8">
        <w:rPr>
          <w:rFonts w:ascii="Book Antiqua" w:eastAsia="SimSun" w:hAnsi="Book Antiqua" w:cs="Times New Roman"/>
          <w:kern w:val="2"/>
          <w:sz w:val="24"/>
          <w:szCs w:val="24"/>
          <w:lang w:val="en-US" w:eastAsia="zh-CN"/>
        </w:rPr>
        <w:t>: 286-305 [PMID: 28402523 DOI: 10.1093/nutrit/nuw067]</w:t>
      </w:r>
    </w:p>
    <w:p w14:paraId="548F969D"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176 </w:t>
      </w:r>
      <w:r w:rsidRPr="00F54EA8">
        <w:rPr>
          <w:rFonts w:ascii="Book Antiqua" w:eastAsia="SimSun" w:hAnsi="Book Antiqua" w:cs="Times New Roman"/>
          <w:b/>
          <w:kern w:val="2"/>
          <w:sz w:val="24"/>
          <w:szCs w:val="24"/>
          <w:lang w:val="en-US" w:eastAsia="zh-CN"/>
        </w:rPr>
        <w:t>Barrasa JI</w:t>
      </w:r>
      <w:r w:rsidRPr="00F54EA8">
        <w:rPr>
          <w:rFonts w:ascii="Book Antiqua" w:eastAsia="SimSun" w:hAnsi="Book Antiqua" w:cs="Times New Roman"/>
          <w:kern w:val="2"/>
          <w:sz w:val="24"/>
          <w:szCs w:val="24"/>
          <w:lang w:val="en-US" w:eastAsia="zh-CN"/>
        </w:rPr>
        <w:t xml:space="preserve">, Olmo N, Lizarbe MA, Turnay J. Bile acids in the colon, from healthy to cytotoxic molecules. </w:t>
      </w:r>
      <w:r w:rsidRPr="00F54EA8">
        <w:rPr>
          <w:rFonts w:ascii="Book Antiqua" w:eastAsia="SimSun" w:hAnsi="Book Antiqua" w:cs="Times New Roman"/>
          <w:i/>
          <w:kern w:val="2"/>
          <w:sz w:val="24"/>
          <w:szCs w:val="24"/>
          <w:lang w:val="en-US" w:eastAsia="zh-CN"/>
        </w:rPr>
        <w:t xml:space="preserve">Toxicol </w:t>
      </w:r>
      <w:proofErr w:type="gramStart"/>
      <w:r w:rsidRPr="00F54EA8">
        <w:rPr>
          <w:rFonts w:ascii="Book Antiqua" w:eastAsia="SimSun" w:hAnsi="Book Antiqua" w:cs="Times New Roman"/>
          <w:i/>
          <w:kern w:val="2"/>
          <w:sz w:val="24"/>
          <w:szCs w:val="24"/>
          <w:lang w:val="en-US" w:eastAsia="zh-CN"/>
        </w:rPr>
        <w:t>In</w:t>
      </w:r>
      <w:proofErr w:type="gramEnd"/>
      <w:r w:rsidRPr="00F54EA8">
        <w:rPr>
          <w:rFonts w:ascii="Book Antiqua" w:eastAsia="SimSun" w:hAnsi="Book Antiqua" w:cs="Times New Roman"/>
          <w:i/>
          <w:kern w:val="2"/>
          <w:sz w:val="24"/>
          <w:szCs w:val="24"/>
          <w:lang w:val="en-US" w:eastAsia="zh-CN"/>
        </w:rPr>
        <w:t xml:space="preserve"> Vitro</w:t>
      </w:r>
      <w:r w:rsidRPr="00F54EA8">
        <w:rPr>
          <w:rFonts w:ascii="Book Antiqua" w:eastAsia="SimSun" w:hAnsi="Book Antiqua" w:cs="Times New Roman"/>
          <w:kern w:val="2"/>
          <w:sz w:val="24"/>
          <w:szCs w:val="24"/>
          <w:lang w:val="en-US" w:eastAsia="zh-CN"/>
        </w:rPr>
        <w:t xml:space="preserve"> 2013; </w:t>
      </w:r>
      <w:r w:rsidRPr="00F54EA8">
        <w:rPr>
          <w:rFonts w:ascii="Book Antiqua" w:eastAsia="SimSun" w:hAnsi="Book Antiqua" w:cs="Times New Roman"/>
          <w:b/>
          <w:kern w:val="2"/>
          <w:sz w:val="24"/>
          <w:szCs w:val="24"/>
          <w:lang w:val="en-US" w:eastAsia="zh-CN"/>
        </w:rPr>
        <w:t>27</w:t>
      </w:r>
      <w:r w:rsidRPr="00F54EA8">
        <w:rPr>
          <w:rFonts w:ascii="Book Antiqua" w:eastAsia="SimSun" w:hAnsi="Book Antiqua" w:cs="Times New Roman"/>
          <w:kern w:val="2"/>
          <w:sz w:val="24"/>
          <w:szCs w:val="24"/>
          <w:lang w:val="en-US" w:eastAsia="zh-CN"/>
        </w:rPr>
        <w:t>: 964-977 [PMID: 23274766 DOI: 10.1016/j.tiv.2012.12.020]</w:t>
      </w:r>
    </w:p>
    <w:p w14:paraId="2391E41F"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177 </w:t>
      </w:r>
      <w:r w:rsidRPr="00F54EA8">
        <w:rPr>
          <w:rFonts w:ascii="Book Antiqua" w:eastAsia="SimSun" w:hAnsi="Book Antiqua" w:cs="Times New Roman"/>
          <w:b/>
          <w:kern w:val="2"/>
          <w:sz w:val="24"/>
          <w:szCs w:val="24"/>
          <w:lang w:val="en-US" w:eastAsia="zh-CN"/>
        </w:rPr>
        <w:t>Ridlon JM</w:t>
      </w:r>
      <w:r w:rsidRPr="00F54EA8">
        <w:rPr>
          <w:rFonts w:ascii="Book Antiqua" w:eastAsia="SimSun" w:hAnsi="Book Antiqua" w:cs="Times New Roman"/>
          <w:kern w:val="2"/>
          <w:sz w:val="24"/>
          <w:szCs w:val="24"/>
          <w:lang w:val="en-US" w:eastAsia="zh-CN"/>
        </w:rPr>
        <w:t xml:space="preserve">, Kang DJ, Hylemon PB. Bile salt biotransformations by human intestinal bacteria. </w:t>
      </w:r>
      <w:r w:rsidRPr="00F54EA8">
        <w:rPr>
          <w:rFonts w:ascii="Book Antiqua" w:eastAsia="SimSun" w:hAnsi="Book Antiqua" w:cs="Times New Roman"/>
          <w:i/>
          <w:kern w:val="2"/>
          <w:sz w:val="24"/>
          <w:szCs w:val="24"/>
          <w:lang w:val="en-US" w:eastAsia="zh-CN"/>
        </w:rPr>
        <w:t>J Lipid Res</w:t>
      </w:r>
      <w:r w:rsidRPr="00F54EA8">
        <w:rPr>
          <w:rFonts w:ascii="Book Antiqua" w:eastAsia="SimSun" w:hAnsi="Book Antiqua" w:cs="Times New Roman"/>
          <w:kern w:val="2"/>
          <w:sz w:val="24"/>
          <w:szCs w:val="24"/>
          <w:lang w:val="en-US" w:eastAsia="zh-CN"/>
        </w:rPr>
        <w:t xml:space="preserve"> 2006; </w:t>
      </w:r>
      <w:r w:rsidRPr="00F54EA8">
        <w:rPr>
          <w:rFonts w:ascii="Book Antiqua" w:eastAsia="SimSun" w:hAnsi="Book Antiqua" w:cs="Times New Roman"/>
          <w:b/>
          <w:kern w:val="2"/>
          <w:sz w:val="24"/>
          <w:szCs w:val="24"/>
          <w:lang w:val="en-US" w:eastAsia="zh-CN"/>
        </w:rPr>
        <w:t>47</w:t>
      </w:r>
      <w:r w:rsidRPr="00F54EA8">
        <w:rPr>
          <w:rFonts w:ascii="Book Antiqua" w:eastAsia="SimSun" w:hAnsi="Book Antiqua" w:cs="Times New Roman"/>
          <w:kern w:val="2"/>
          <w:sz w:val="24"/>
          <w:szCs w:val="24"/>
          <w:lang w:val="en-US" w:eastAsia="zh-CN"/>
        </w:rPr>
        <w:t>: 241-259 [PMID: 16299351 DOI: 10.1194/jlr.R500013-JLR200]</w:t>
      </w:r>
    </w:p>
    <w:p w14:paraId="2EE93FFF"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178 </w:t>
      </w:r>
      <w:r w:rsidRPr="00F54EA8">
        <w:rPr>
          <w:rFonts w:ascii="Book Antiqua" w:eastAsia="SimSun" w:hAnsi="Book Antiqua" w:cs="Times New Roman"/>
          <w:b/>
          <w:kern w:val="2"/>
          <w:sz w:val="24"/>
          <w:szCs w:val="24"/>
          <w:lang w:val="en-US" w:eastAsia="zh-CN"/>
        </w:rPr>
        <w:t>Jones BV</w:t>
      </w:r>
      <w:r w:rsidRPr="00F54EA8">
        <w:rPr>
          <w:rFonts w:ascii="Book Antiqua" w:eastAsia="SimSun" w:hAnsi="Book Antiqua" w:cs="Times New Roman"/>
          <w:kern w:val="2"/>
          <w:sz w:val="24"/>
          <w:szCs w:val="24"/>
          <w:lang w:val="en-US" w:eastAsia="zh-CN"/>
        </w:rPr>
        <w:t xml:space="preserve">, Begley M, Hill C, Gahan CG, Marchesi JR. Functional and comparative metagenomic analysis of bile salt hydrolase activity in the human gut microbiome. </w:t>
      </w:r>
      <w:r w:rsidRPr="00F54EA8">
        <w:rPr>
          <w:rFonts w:ascii="Book Antiqua" w:eastAsia="SimSun" w:hAnsi="Book Antiqua" w:cs="Times New Roman"/>
          <w:i/>
          <w:kern w:val="2"/>
          <w:sz w:val="24"/>
          <w:szCs w:val="24"/>
          <w:lang w:val="en-US" w:eastAsia="zh-CN"/>
        </w:rPr>
        <w:t xml:space="preserve">Proc Natl Acad Sci U S </w:t>
      </w:r>
      <w:proofErr w:type="gramStart"/>
      <w:r w:rsidRPr="00F54EA8">
        <w:rPr>
          <w:rFonts w:ascii="Book Antiqua" w:eastAsia="SimSun" w:hAnsi="Book Antiqua" w:cs="Times New Roman"/>
          <w:i/>
          <w:kern w:val="2"/>
          <w:sz w:val="24"/>
          <w:szCs w:val="24"/>
          <w:lang w:val="en-US" w:eastAsia="zh-CN"/>
        </w:rPr>
        <w:t>A</w:t>
      </w:r>
      <w:proofErr w:type="gramEnd"/>
      <w:r w:rsidRPr="00F54EA8">
        <w:rPr>
          <w:rFonts w:ascii="Book Antiqua" w:eastAsia="SimSun" w:hAnsi="Book Antiqua" w:cs="Times New Roman"/>
          <w:kern w:val="2"/>
          <w:sz w:val="24"/>
          <w:szCs w:val="24"/>
          <w:lang w:val="en-US" w:eastAsia="zh-CN"/>
        </w:rPr>
        <w:t xml:space="preserve"> 2008; </w:t>
      </w:r>
      <w:r w:rsidRPr="00F54EA8">
        <w:rPr>
          <w:rFonts w:ascii="Book Antiqua" w:eastAsia="SimSun" w:hAnsi="Book Antiqua" w:cs="Times New Roman"/>
          <w:b/>
          <w:kern w:val="2"/>
          <w:sz w:val="24"/>
          <w:szCs w:val="24"/>
          <w:lang w:val="en-US" w:eastAsia="zh-CN"/>
        </w:rPr>
        <w:t>105</w:t>
      </w:r>
      <w:r w:rsidRPr="00F54EA8">
        <w:rPr>
          <w:rFonts w:ascii="Book Antiqua" w:eastAsia="SimSun" w:hAnsi="Book Antiqua" w:cs="Times New Roman"/>
          <w:kern w:val="2"/>
          <w:sz w:val="24"/>
          <w:szCs w:val="24"/>
          <w:lang w:val="en-US" w:eastAsia="zh-CN"/>
        </w:rPr>
        <w:t>: 13580-13585 [PMID: 18757757 DOI: 10.1073/pnas.0804437105]</w:t>
      </w:r>
    </w:p>
    <w:p w14:paraId="4548DF18"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179 </w:t>
      </w:r>
      <w:r w:rsidRPr="00F54EA8">
        <w:rPr>
          <w:rFonts w:ascii="Book Antiqua" w:eastAsia="SimSun" w:hAnsi="Book Antiqua" w:cs="Times New Roman"/>
          <w:b/>
          <w:kern w:val="2"/>
          <w:sz w:val="24"/>
          <w:szCs w:val="24"/>
          <w:lang w:val="en-US" w:eastAsia="zh-CN"/>
        </w:rPr>
        <w:t>Ocvirk S</w:t>
      </w:r>
      <w:r w:rsidRPr="00F54EA8">
        <w:rPr>
          <w:rFonts w:ascii="Book Antiqua" w:eastAsia="SimSun" w:hAnsi="Book Antiqua" w:cs="Times New Roman"/>
          <w:kern w:val="2"/>
          <w:sz w:val="24"/>
          <w:szCs w:val="24"/>
          <w:lang w:val="en-US" w:eastAsia="zh-CN"/>
        </w:rPr>
        <w:t xml:space="preserve">, O'Keefe SJ. Influence of Bile Acids on Colorectal Cancer Risk: Potential Mechanisms Mediated by Diet - Gut Microbiota Interactions. </w:t>
      </w:r>
      <w:r w:rsidRPr="00F54EA8">
        <w:rPr>
          <w:rFonts w:ascii="Book Antiqua" w:eastAsia="SimSun" w:hAnsi="Book Antiqua" w:cs="Times New Roman"/>
          <w:i/>
          <w:kern w:val="2"/>
          <w:sz w:val="24"/>
          <w:szCs w:val="24"/>
          <w:lang w:val="en-US" w:eastAsia="zh-CN"/>
        </w:rPr>
        <w:t>Curr Nutr Rep</w:t>
      </w:r>
      <w:r w:rsidRPr="00F54EA8">
        <w:rPr>
          <w:rFonts w:ascii="Book Antiqua" w:eastAsia="SimSun" w:hAnsi="Book Antiqua" w:cs="Times New Roman"/>
          <w:kern w:val="2"/>
          <w:sz w:val="24"/>
          <w:szCs w:val="24"/>
          <w:lang w:val="en-US" w:eastAsia="zh-CN"/>
        </w:rPr>
        <w:t xml:space="preserve"> 2017; </w:t>
      </w:r>
      <w:r w:rsidRPr="00F54EA8">
        <w:rPr>
          <w:rFonts w:ascii="Book Antiqua" w:eastAsia="SimSun" w:hAnsi="Book Antiqua" w:cs="Times New Roman"/>
          <w:b/>
          <w:kern w:val="2"/>
          <w:sz w:val="24"/>
          <w:szCs w:val="24"/>
          <w:lang w:val="en-US" w:eastAsia="zh-CN"/>
        </w:rPr>
        <w:t>6</w:t>
      </w:r>
      <w:r w:rsidRPr="00F54EA8">
        <w:rPr>
          <w:rFonts w:ascii="Book Antiqua" w:eastAsia="SimSun" w:hAnsi="Book Antiqua" w:cs="Times New Roman"/>
          <w:kern w:val="2"/>
          <w:sz w:val="24"/>
          <w:szCs w:val="24"/>
          <w:lang w:val="en-US" w:eastAsia="zh-CN"/>
        </w:rPr>
        <w:t>: 315-322 [PMID: 29430336 DOI: 10.1007/s13668-017-0219-5]</w:t>
      </w:r>
    </w:p>
    <w:p w14:paraId="17A3842C"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180 </w:t>
      </w:r>
      <w:r w:rsidRPr="00F54EA8">
        <w:rPr>
          <w:rFonts w:ascii="Book Antiqua" w:eastAsia="SimSun" w:hAnsi="Book Antiqua" w:cs="Times New Roman"/>
          <w:b/>
          <w:kern w:val="2"/>
          <w:sz w:val="24"/>
          <w:szCs w:val="24"/>
          <w:lang w:val="en-US" w:eastAsia="zh-CN"/>
        </w:rPr>
        <w:t>Manach C</w:t>
      </w:r>
      <w:r w:rsidRPr="00F54EA8">
        <w:rPr>
          <w:rFonts w:ascii="Book Antiqua" w:eastAsia="SimSun" w:hAnsi="Book Antiqua" w:cs="Times New Roman"/>
          <w:kern w:val="2"/>
          <w:sz w:val="24"/>
          <w:szCs w:val="24"/>
          <w:lang w:val="en-US" w:eastAsia="zh-CN"/>
        </w:rPr>
        <w:t xml:space="preserve">, Scalbert A, Morand C, Rémésy C, Jiménez L. Polyphenols: food sources and bioavailability. </w:t>
      </w:r>
      <w:r w:rsidRPr="00F54EA8">
        <w:rPr>
          <w:rFonts w:ascii="Book Antiqua" w:eastAsia="SimSun" w:hAnsi="Book Antiqua" w:cs="Times New Roman"/>
          <w:i/>
          <w:kern w:val="2"/>
          <w:sz w:val="24"/>
          <w:szCs w:val="24"/>
          <w:lang w:val="en-US" w:eastAsia="zh-CN"/>
        </w:rPr>
        <w:t>Am J Clin Nutr</w:t>
      </w:r>
      <w:r w:rsidRPr="00F54EA8">
        <w:rPr>
          <w:rFonts w:ascii="Book Antiqua" w:eastAsia="SimSun" w:hAnsi="Book Antiqua" w:cs="Times New Roman"/>
          <w:kern w:val="2"/>
          <w:sz w:val="24"/>
          <w:szCs w:val="24"/>
          <w:lang w:val="en-US" w:eastAsia="zh-CN"/>
        </w:rPr>
        <w:t xml:space="preserve"> 2004; </w:t>
      </w:r>
      <w:r w:rsidRPr="00F54EA8">
        <w:rPr>
          <w:rFonts w:ascii="Book Antiqua" w:eastAsia="SimSun" w:hAnsi="Book Antiqua" w:cs="Times New Roman"/>
          <w:b/>
          <w:kern w:val="2"/>
          <w:sz w:val="24"/>
          <w:szCs w:val="24"/>
          <w:lang w:val="en-US" w:eastAsia="zh-CN"/>
        </w:rPr>
        <w:t>79</w:t>
      </w:r>
      <w:r w:rsidRPr="00F54EA8">
        <w:rPr>
          <w:rFonts w:ascii="Book Antiqua" w:eastAsia="SimSun" w:hAnsi="Book Antiqua" w:cs="Times New Roman"/>
          <w:kern w:val="2"/>
          <w:sz w:val="24"/>
          <w:szCs w:val="24"/>
          <w:lang w:val="en-US" w:eastAsia="zh-CN"/>
        </w:rPr>
        <w:t>: 727-747 [PMID: 15113710]</w:t>
      </w:r>
    </w:p>
    <w:p w14:paraId="77124766"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181 </w:t>
      </w:r>
      <w:r w:rsidRPr="00F54EA8">
        <w:rPr>
          <w:rFonts w:ascii="Book Antiqua" w:eastAsia="SimSun" w:hAnsi="Book Antiqua" w:cs="Times New Roman"/>
          <w:b/>
          <w:kern w:val="2"/>
          <w:sz w:val="24"/>
          <w:szCs w:val="24"/>
          <w:lang w:val="en-US" w:eastAsia="zh-CN"/>
        </w:rPr>
        <w:t>Marín L</w:t>
      </w:r>
      <w:r w:rsidRPr="00F54EA8">
        <w:rPr>
          <w:rFonts w:ascii="Book Antiqua" w:eastAsia="SimSun" w:hAnsi="Book Antiqua" w:cs="Times New Roman"/>
          <w:kern w:val="2"/>
          <w:sz w:val="24"/>
          <w:szCs w:val="24"/>
          <w:lang w:val="en-US" w:eastAsia="zh-CN"/>
        </w:rPr>
        <w:t xml:space="preserve">, Miguélez EM, Villar CJ, Lombó F. Bioavailability of dietary polyphenols and gut microbiota metabolism: antimicrobial properties. </w:t>
      </w:r>
      <w:r w:rsidRPr="00F54EA8">
        <w:rPr>
          <w:rFonts w:ascii="Book Antiqua" w:eastAsia="SimSun" w:hAnsi="Book Antiqua" w:cs="Times New Roman"/>
          <w:i/>
          <w:kern w:val="2"/>
          <w:sz w:val="24"/>
          <w:szCs w:val="24"/>
          <w:lang w:val="en-US" w:eastAsia="zh-CN"/>
        </w:rPr>
        <w:t>Biomed Res Int</w:t>
      </w:r>
      <w:r w:rsidRPr="00F54EA8">
        <w:rPr>
          <w:rFonts w:ascii="Book Antiqua" w:eastAsia="SimSun" w:hAnsi="Book Antiqua" w:cs="Times New Roman"/>
          <w:kern w:val="2"/>
          <w:sz w:val="24"/>
          <w:szCs w:val="24"/>
          <w:lang w:val="en-US" w:eastAsia="zh-CN"/>
        </w:rPr>
        <w:t xml:space="preserve"> 2015; </w:t>
      </w:r>
      <w:r w:rsidRPr="00F54EA8">
        <w:rPr>
          <w:rFonts w:ascii="Book Antiqua" w:eastAsia="SimSun" w:hAnsi="Book Antiqua" w:cs="Times New Roman"/>
          <w:b/>
          <w:kern w:val="2"/>
          <w:sz w:val="24"/>
          <w:szCs w:val="24"/>
          <w:lang w:val="en-US" w:eastAsia="zh-CN"/>
        </w:rPr>
        <w:t>2015</w:t>
      </w:r>
      <w:r w:rsidRPr="00F54EA8">
        <w:rPr>
          <w:rFonts w:ascii="Book Antiqua" w:eastAsia="SimSun" w:hAnsi="Book Antiqua" w:cs="Times New Roman"/>
          <w:kern w:val="2"/>
          <w:sz w:val="24"/>
          <w:szCs w:val="24"/>
          <w:lang w:val="en-US" w:eastAsia="zh-CN"/>
        </w:rPr>
        <w:t>: 905215 [PMID: 25802870 DOI: 10.1155/2015/905215]</w:t>
      </w:r>
    </w:p>
    <w:p w14:paraId="134A15D5"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182 </w:t>
      </w:r>
      <w:r w:rsidRPr="00F54EA8">
        <w:rPr>
          <w:rFonts w:ascii="Book Antiqua" w:eastAsia="SimSun" w:hAnsi="Book Antiqua" w:cs="Times New Roman"/>
          <w:b/>
          <w:kern w:val="2"/>
          <w:sz w:val="24"/>
          <w:szCs w:val="24"/>
          <w:lang w:val="en-US" w:eastAsia="zh-CN"/>
        </w:rPr>
        <w:t>Russell W</w:t>
      </w:r>
      <w:r w:rsidRPr="00F54EA8">
        <w:rPr>
          <w:rFonts w:ascii="Book Antiqua" w:eastAsia="SimSun" w:hAnsi="Book Antiqua" w:cs="Times New Roman"/>
          <w:kern w:val="2"/>
          <w:sz w:val="24"/>
          <w:szCs w:val="24"/>
          <w:lang w:val="en-US" w:eastAsia="zh-CN"/>
        </w:rPr>
        <w:t xml:space="preserve">, Duthie G. Plant secondary metabolites and gut health: the case for phenolic acids. </w:t>
      </w:r>
      <w:r w:rsidRPr="00F54EA8">
        <w:rPr>
          <w:rFonts w:ascii="Book Antiqua" w:eastAsia="SimSun" w:hAnsi="Book Antiqua" w:cs="Times New Roman"/>
          <w:i/>
          <w:kern w:val="2"/>
          <w:sz w:val="24"/>
          <w:szCs w:val="24"/>
          <w:lang w:val="en-US" w:eastAsia="zh-CN"/>
        </w:rPr>
        <w:t>Proc Nutr Soc</w:t>
      </w:r>
      <w:r w:rsidRPr="00F54EA8">
        <w:rPr>
          <w:rFonts w:ascii="Book Antiqua" w:eastAsia="SimSun" w:hAnsi="Book Antiqua" w:cs="Times New Roman"/>
          <w:kern w:val="2"/>
          <w:sz w:val="24"/>
          <w:szCs w:val="24"/>
          <w:lang w:val="en-US" w:eastAsia="zh-CN"/>
        </w:rPr>
        <w:t xml:space="preserve"> 2011; </w:t>
      </w:r>
      <w:r w:rsidRPr="00F54EA8">
        <w:rPr>
          <w:rFonts w:ascii="Book Antiqua" w:eastAsia="SimSun" w:hAnsi="Book Antiqua" w:cs="Times New Roman"/>
          <w:b/>
          <w:kern w:val="2"/>
          <w:sz w:val="24"/>
          <w:szCs w:val="24"/>
          <w:lang w:val="en-US" w:eastAsia="zh-CN"/>
        </w:rPr>
        <w:t>70</w:t>
      </w:r>
      <w:r w:rsidRPr="00F54EA8">
        <w:rPr>
          <w:rFonts w:ascii="Book Antiqua" w:eastAsia="SimSun" w:hAnsi="Book Antiqua" w:cs="Times New Roman"/>
          <w:kern w:val="2"/>
          <w:sz w:val="24"/>
          <w:szCs w:val="24"/>
          <w:lang w:val="en-US" w:eastAsia="zh-CN"/>
        </w:rPr>
        <w:t>: 389-396 [PMID: 21781364 DOI: 10.1017/S0029665111000152]</w:t>
      </w:r>
    </w:p>
    <w:p w14:paraId="1C3456EF"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lastRenderedPageBreak/>
        <w:t xml:space="preserve">183 </w:t>
      </w:r>
      <w:r w:rsidRPr="00F54EA8">
        <w:rPr>
          <w:rFonts w:ascii="Book Antiqua" w:eastAsia="SimSun" w:hAnsi="Book Antiqua" w:cs="Times New Roman"/>
          <w:b/>
          <w:kern w:val="2"/>
          <w:sz w:val="24"/>
          <w:szCs w:val="24"/>
          <w:lang w:val="en-US" w:eastAsia="zh-CN"/>
        </w:rPr>
        <w:t>Cardona F</w:t>
      </w:r>
      <w:r w:rsidRPr="00F54EA8">
        <w:rPr>
          <w:rFonts w:ascii="Book Antiqua" w:eastAsia="SimSun" w:hAnsi="Book Antiqua" w:cs="Times New Roman"/>
          <w:kern w:val="2"/>
          <w:sz w:val="24"/>
          <w:szCs w:val="24"/>
          <w:lang w:val="en-US" w:eastAsia="zh-CN"/>
        </w:rPr>
        <w:t xml:space="preserve">, Andrés-Lacueva C, Tulipani S, Tinahones FJ, Queipo-Ortuño MI. Benefits of polyphenols on gut microbiota and implications in human health. </w:t>
      </w:r>
      <w:r w:rsidRPr="00F54EA8">
        <w:rPr>
          <w:rFonts w:ascii="Book Antiqua" w:eastAsia="SimSun" w:hAnsi="Book Antiqua" w:cs="Times New Roman"/>
          <w:i/>
          <w:kern w:val="2"/>
          <w:sz w:val="24"/>
          <w:szCs w:val="24"/>
          <w:lang w:val="en-US" w:eastAsia="zh-CN"/>
        </w:rPr>
        <w:t>J Nutr Biochem</w:t>
      </w:r>
      <w:r w:rsidRPr="00F54EA8">
        <w:rPr>
          <w:rFonts w:ascii="Book Antiqua" w:eastAsia="SimSun" w:hAnsi="Book Antiqua" w:cs="Times New Roman"/>
          <w:kern w:val="2"/>
          <w:sz w:val="24"/>
          <w:szCs w:val="24"/>
          <w:lang w:val="en-US" w:eastAsia="zh-CN"/>
        </w:rPr>
        <w:t xml:space="preserve"> 2013; </w:t>
      </w:r>
      <w:r w:rsidRPr="00F54EA8">
        <w:rPr>
          <w:rFonts w:ascii="Book Antiqua" w:eastAsia="SimSun" w:hAnsi="Book Antiqua" w:cs="Times New Roman"/>
          <w:b/>
          <w:kern w:val="2"/>
          <w:sz w:val="24"/>
          <w:szCs w:val="24"/>
          <w:lang w:val="en-US" w:eastAsia="zh-CN"/>
        </w:rPr>
        <w:t>24</w:t>
      </w:r>
      <w:r w:rsidRPr="00F54EA8">
        <w:rPr>
          <w:rFonts w:ascii="Book Antiqua" w:eastAsia="SimSun" w:hAnsi="Book Antiqua" w:cs="Times New Roman"/>
          <w:kern w:val="2"/>
          <w:sz w:val="24"/>
          <w:szCs w:val="24"/>
          <w:lang w:val="en-US" w:eastAsia="zh-CN"/>
        </w:rPr>
        <w:t>: 1415-1422 [PMID: 23849454 DOI: 10.1016/j.jnutbio.2013.05.001]</w:t>
      </w:r>
    </w:p>
    <w:p w14:paraId="1EF7DE67"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184 </w:t>
      </w:r>
      <w:r w:rsidRPr="00F54EA8">
        <w:rPr>
          <w:rFonts w:ascii="Book Antiqua" w:eastAsia="SimSun" w:hAnsi="Book Antiqua" w:cs="Times New Roman"/>
          <w:b/>
          <w:kern w:val="2"/>
          <w:sz w:val="24"/>
          <w:szCs w:val="24"/>
          <w:lang w:val="en-US" w:eastAsia="zh-CN"/>
        </w:rPr>
        <w:t>Russell WR</w:t>
      </w:r>
      <w:r w:rsidRPr="00F54EA8">
        <w:rPr>
          <w:rFonts w:ascii="Book Antiqua" w:eastAsia="SimSun" w:hAnsi="Book Antiqua" w:cs="Times New Roman"/>
          <w:kern w:val="2"/>
          <w:sz w:val="24"/>
          <w:szCs w:val="24"/>
          <w:lang w:val="en-US" w:eastAsia="zh-CN"/>
        </w:rPr>
        <w:t xml:space="preserve">, Duncan SH, Scobbie L, Duncan G, Cantlay L, Calder AG, Anderson SE, Flint HJ. Major phenylpropanoid-derived metabolites in the human gut can arise from microbial fermentation of protein. </w:t>
      </w:r>
      <w:r w:rsidRPr="00F54EA8">
        <w:rPr>
          <w:rFonts w:ascii="Book Antiqua" w:eastAsia="SimSun" w:hAnsi="Book Antiqua" w:cs="Times New Roman"/>
          <w:i/>
          <w:kern w:val="2"/>
          <w:sz w:val="24"/>
          <w:szCs w:val="24"/>
          <w:lang w:val="en-US" w:eastAsia="zh-CN"/>
        </w:rPr>
        <w:t>Mol Nutr Food Res</w:t>
      </w:r>
      <w:r w:rsidRPr="00F54EA8">
        <w:rPr>
          <w:rFonts w:ascii="Book Antiqua" w:eastAsia="SimSun" w:hAnsi="Book Antiqua" w:cs="Times New Roman"/>
          <w:kern w:val="2"/>
          <w:sz w:val="24"/>
          <w:szCs w:val="24"/>
          <w:lang w:val="en-US" w:eastAsia="zh-CN"/>
        </w:rPr>
        <w:t xml:space="preserve"> 2013; </w:t>
      </w:r>
      <w:r w:rsidRPr="00F54EA8">
        <w:rPr>
          <w:rFonts w:ascii="Book Antiqua" w:eastAsia="SimSun" w:hAnsi="Book Antiqua" w:cs="Times New Roman"/>
          <w:b/>
          <w:kern w:val="2"/>
          <w:sz w:val="24"/>
          <w:szCs w:val="24"/>
          <w:lang w:val="en-US" w:eastAsia="zh-CN"/>
        </w:rPr>
        <w:t>57</w:t>
      </w:r>
      <w:r w:rsidRPr="00F54EA8">
        <w:rPr>
          <w:rFonts w:ascii="Book Antiqua" w:eastAsia="SimSun" w:hAnsi="Book Antiqua" w:cs="Times New Roman"/>
          <w:kern w:val="2"/>
          <w:sz w:val="24"/>
          <w:szCs w:val="24"/>
          <w:lang w:val="en-US" w:eastAsia="zh-CN"/>
        </w:rPr>
        <w:t>: 523-535 [PMID: 23349065 DOI: 10.1002/mnfr.201200594]</w:t>
      </w:r>
    </w:p>
    <w:p w14:paraId="261BC526"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185 </w:t>
      </w:r>
      <w:r w:rsidRPr="00F54EA8">
        <w:rPr>
          <w:rFonts w:ascii="Book Antiqua" w:eastAsia="SimSun" w:hAnsi="Book Antiqua" w:cs="Times New Roman"/>
          <w:b/>
          <w:kern w:val="2"/>
          <w:sz w:val="24"/>
          <w:szCs w:val="24"/>
          <w:lang w:val="en-US" w:eastAsia="zh-CN"/>
        </w:rPr>
        <w:t>Loh YH</w:t>
      </w:r>
      <w:r w:rsidRPr="00F54EA8">
        <w:rPr>
          <w:rFonts w:ascii="Book Antiqua" w:eastAsia="SimSun" w:hAnsi="Book Antiqua" w:cs="Times New Roman"/>
          <w:kern w:val="2"/>
          <w:sz w:val="24"/>
          <w:szCs w:val="24"/>
          <w:lang w:val="en-US" w:eastAsia="zh-CN"/>
        </w:rPr>
        <w:t xml:space="preserve">, Jakszyn P, Luben RN, Mulligan AA, Mitrou PN, Khaw KT. N-Nitroso compounds and cancer incidence: the European Prospective Investigation into Cancer and Nutrition (EPIC)-Norfolk Study. </w:t>
      </w:r>
      <w:r w:rsidRPr="00F54EA8">
        <w:rPr>
          <w:rFonts w:ascii="Book Antiqua" w:eastAsia="SimSun" w:hAnsi="Book Antiqua" w:cs="Times New Roman"/>
          <w:i/>
          <w:kern w:val="2"/>
          <w:sz w:val="24"/>
          <w:szCs w:val="24"/>
          <w:lang w:val="en-US" w:eastAsia="zh-CN"/>
        </w:rPr>
        <w:t>Am J Clin Nutr</w:t>
      </w:r>
      <w:r w:rsidRPr="00F54EA8">
        <w:rPr>
          <w:rFonts w:ascii="Book Antiqua" w:eastAsia="SimSun" w:hAnsi="Book Antiqua" w:cs="Times New Roman"/>
          <w:kern w:val="2"/>
          <w:sz w:val="24"/>
          <w:szCs w:val="24"/>
          <w:lang w:val="en-US" w:eastAsia="zh-CN"/>
        </w:rPr>
        <w:t xml:space="preserve"> 2011; </w:t>
      </w:r>
      <w:r w:rsidRPr="00F54EA8">
        <w:rPr>
          <w:rFonts w:ascii="Book Antiqua" w:eastAsia="SimSun" w:hAnsi="Book Antiqua" w:cs="Times New Roman"/>
          <w:b/>
          <w:kern w:val="2"/>
          <w:sz w:val="24"/>
          <w:szCs w:val="24"/>
          <w:lang w:val="en-US" w:eastAsia="zh-CN"/>
        </w:rPr>
        <w:t>93</w:t>
      </w:r>
      <w:r w:rsidRPr="00F54EA8">
        <w:rPr>
          <w:rFonts w:ascii="Book Antiqua" w:eastAsia="SimSun" w:hAnsi="Book Antiqua" w:cs="Times New Roman"/>
          <w:kern w:val="2"/>
          <w:sz w:val="24"/>
          <w:szCs w:val="24"/>
          <w:lang w:val="en-US" w:eastAsia="zh-CN"/>
        </w:rPr>
        <w:t>: 1053-1061 [PMID: 21430112 DOI: 10.3945/ajcn.111.012377]</w:t>
      </w:r>
    </w:p>
    <w:p w14:paraId="12671155"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186 </w:t>
      </w:r>
      <w:r w:rsidRPr="00F54EA8">
        <w:rPr>
          <w:rFonts w:ascii="Book Antiqua" w:eastAsia="SimSun" w:hAnsi="Book Antiqua" w:cs="Times New Roman"/>
          <w:b/>
          <w:kern w:val="2"/>
          <w:sz w:val="24"/>
          <w:szCs w:val="24"/>
          <w:lang w:val="en-US" w:eastAsia="zh-CN"/>
        </w:rPr>
        <w:t>Gill CI</w:t>
      </w:r>
      <w:r w:rsidRPr="00F54EA8">
        <w:rPr>
          <w:rFonts w:ascii="Book Antiqua" w:eastAsia="SimSun" w:hAnsi="Book Antiqua" w:cs="Times New Roman"/>
          <w:kern w:val="2"/>
          <w:sz w:val="24"/>
          <w:szCs w:val="24"/>
          <w:lang w:val="en-US" w:eastAsia="zh-CN"/>
        </w:rPr>
        <w:t xml:space="preserve">, Rowland IR. Diet and cancer: assessing the risk. </w:t>
      </w:r>
      <w:r w:rsidRPr="00F54EA8">
        <w:rPr>
          <w:rFonts w:ascii="Book Antiqua" w:eastAsia="SimSun" w:hAnsi="Book Antiqua" w:cs="Times New Roman"/>
          <w:i/>
          <w:kern w:val="2"/>
          <w:sz w:val="24"/>
          <w:szCs w:val="24"/>
          <w:lang w:val="en-US" w:eastAsia="zh-CN"/>
        </w:rPr>
        <w:t>Br J Nutr</w:t>
      </w:r>
      <w:r w:rsidRPr="00F54EA8">
        <w:rPr>
          <w:rFonts w:ascii="Book Antiqua" w:eastAsia="SimSun" w:hAnsi="Book Antiqua" w:cs="Times New Roman"/>
          <w:kern w:val="2"/>
          <w:sz w:val="24"/>
          <w:szCs w:val="24"/>
          <w:lang w:val="en-US" w:eastAsia="zh-CN"/>
        </w:rPr>
        <w:t xml:space="preserve"> 2002; </w:t>
      </w:r>
      <w:r w:rsidRPr="00F54EA8">
        <w:rPr>
          <w:rFonts w:ascii="Book Antiqua" w:eastAsia="SimSun" w:hAnsi="Book Antiqua" w:cs="Times New Roman"/>
          <w:b/>
          <w:kern w:val="2"/>
          <w:sz w:val="24"/>
          <w:szCs w:val="24"/>
          <w:lang w:val="en-US" w:eastAsia="zh-CN"/>
        </w:rPr>
        <w:t>88 Suppl 1</w:t>
      </w:r>
      <w:r w:rsidRPr="00F54EA8">
        <w:rPr>
          <w:rFonts w:ascii="Book Antiqua" w:eastAsia="SimSun" w:hAnsi="Book Antiqua" w:cs="Times New Roman"/>
          <w:kern w:val="2"/>
          <w:sz w:val="24"/>
          <w:szCs w:val="24"/>
          <w:lang w:val="en-US" w:eastAsia="zh-CN"/>
        </w:rPr>
        <w:t>: S73-S87 [PMID: 12215186 DOI: 10.1079/BJN2002632]</w:t>
      </w:r>
    </w:p>
    <w:p w14:paraId="1710AB25"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187 </w:t>
      </w:r>
      <w:r w:rsidRPr="00F54EA8">
        <w:rPr>
          <w:rFonts w:ascii="Book Antiqua" w:eastAsia="SimSun" w:hAnsi="Book Antiqua" w:cs="Times New Roman"/>
          <w:b/>
          <w:kern w:val="2"/>
          <w:sz w:val="24"/>
          <w:szCs w:val="24"/>
          <w:lang w:val="en-US" w:eastAsia="zh-CN"/>
        </w:rPr>
        <w:t>Roediger WE</w:t>
      </w:r>
      <w:r w:rsidRPr="00F54EA8">
        <w:rPr>
          <w:rFonts w:ascii="Book Antiqua" w:eastAsia="SimSun" w:hAnsi="Book Antiqua" w:cs="Times New Roman"/>
          <w:kern w:val="2"/>
          <w:sz w:val="24"/>
          <w:szCs w:val="24"/>
          <w:lang w:val="en-US" w:eastAsia="zh-CN"/>
        </w:rPr>
        <w:t xml:space="preserve">, Moore J, Babidge W. Colonic sulfide in pathogenesis and treatment of ulcerative colitis. </w:t>
      </w:r>
      <w:r w:rsidRPr="00F54EA8">
        <w:rPr>
          <w:rFonts w:ascii="Book Antiqua" w:eastAsia="SimSun" w:hAnsi="Book Antiqua" w:cs="Times New Roman"/>
          <w:i/>
          <w:kern w:val="2"/>
          <w:sz w:val="24"/>
          <w:szCs w:val="24"/>
          <w:lang w:val="en-US" w:eastAsia="zh-CN"/>
        </w:rPr>
        <w:t>Dig Dis Sci</w:t>
      </w:r>
      <w:r w:rsidRPr="00F54EA8">
        <w:rPr>
          <w:rFonts w:ascii="Book Antiqua" w:eastAsia="SimSun" w:hAnsi="Book Antiqua" w:cs="Times New Roman"/>
          <w:kern w:val="2"/>
          <w:sz w:val="24"/>
          <w:szCs w:val="24"/>
          <w:lang w:val="en-US" w:eastAsia="zh-CN"/>
        </w:rPr>
        <w:t xml:space="preserve"> 1997; </w:t>
      </w:r>
      <w:r w:rsidRPr="00F54EA8">
        <w:rPr>
          <w:rFonts w:ascii="Book Antiqua" w:eastAsia="SimSun" w:hAnsi="Book Antiqua" w:cs="Times New Roman"/>
          <w:b/>
          <w:kern w:val="2"/>
          <w:sz w:val="24"/>
          <w:szCs w:val="24"/>
          <w:lang w:val="en-US" w:eastAsia="zh-CN"/>
        </w:rPr>
        <w:t>42</w:t>
      </w:r>
      <w:r w:rsidRPr="00F54EA8">
        <w:rPr>
          <w:rFonts w:ascii="Book Antiqua" w:eastAsia="SimSun" w:hAnsi="Book Antiqua" w:cs="Times New Roman"/>
          <w:kern w:val="2"/>
          <w:sz w:val="24"/>
          <w:szCs w:val="24"/>
          <w:lang w:val="en-US" w:eastAsia="zh-CN"/>
        </w:rPr>
        <w:t>: 1571-1579 [PMID: 9286219]</w:t>
      </w:r>
    </w:p>
    <w:p w14:paraId="758265EE"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188 </w:t>
      </w:r>
      <w:r w:rsidRPr="00F54EA8">
        <w:rPr>
          <w:rFonts w:ascii="Book Antiqua" w:eastAsia="SimSun" w:hAnsi="Book Antiqua" w:cs="Times New Roman"/>
          <w:b/>
          <w:kern w:val="2"/>
          <w:sz w:val="24"/>
          <w:szCs w:val="24"/>
          <w:lang w:val="en-US" w:eastAsia="zh-CN"/>
        </w:rPr>
        <w:t>Homann N</w:t>
      </w:r>
      <w:r w:rsidRPr="00F54EA8">
        <w:rPr>
          <w:rFonts w:ascii="Book Antiqua" w:eastAsia="SimSun" w:hAnsi="Book Antiqua" w:cs="Times New Roman"/>
          <w:kern w:val="2"/>
          <w:sz w:val="24"/>
          <w:szCs w:val="24"/>
          <w:lang w:val="en-US" w:eastAsia="zh-CN"/>
        </w:rPr>
        <w:t xml:space="preserve">. Alcohol and upper gastrointestinal tract cancer: the role of local acetaldehyde production. </w:t>
      </w:r>
      <w:r w:rsidRPr="00F54EA8">
        <w:rPr>
          <w:rFonts w:ascii="Book Antiqua" w:eastAsia="SimSun" w:hAnsi="Book Antiqua" w:cs="Times New Roman"/>
          <w:i/>
          <w:kern w:val="2"/>
          <w:sz w:val="24"/>
          <w:szCs w:val="24"/>
          <w:lang w:val="en-US" w:eastAsia="zh-CN"/>
        </w:rPr>
        <w:t>Addict Biol</w:t>
      </w:r>
      <w:r w:rsidRPr="00F54EA8">
        <w:rPr>
          <w:rFonts w:ascii="Book Antiqua" w:eastAsia="SimSun" w:hAnsi="Book Antiqua" w:cs="Times New Roman"/>
          <w:kern w:val="2"/>
          <w:sz w:val="24"/>
          <w:szCs w:val="24"/>
          <w:lang w:val="en-US" w:eastAsia="zh-CN"/>
        </w:rPr>
        <w:t xml:space="preserve"> 2001; </w:t>
      </w:r>
      <w:r w:rsidRPr="00F54EA8">
        <w:rPr>
          <w:rFonts w:ascii="Book Antiqua" w:eastAsia="SimSun" w:hAnsi="Book Antiqua" w:cs="Times New Roman"/>
          <w:b/>
          <w:kern w:val="2"/>
          <w:sz w:val="24"/>
          <w:szCs w:val="24"/>
          <w:lang w:val="en-US" w:eastAsia="zh-CN"/>
        </w:rPr>
        <w:t>6</w:t>
      </w:r>
      <w:r w:rsidRPr="00F54EA8">
        <w:rPr>
          <w:rFonts w:ascii="Book Antiqua" w:eastAsia="SimSun" w:hAnsi="Book Antiqua" w:cs="Times New Roman"/>
          <w:kern w:val="2"/>
          <w:sz w:val="24"/>
          <w:szCs w:val="24"/>
          <w:lang w:val="en-US" w:eastAsia="zh-CN"/>
        </w:rPr>
        <w:t>: 309-323 [PMID: 11900609 DOI: 10.1080/13556210020077028]</w:t>
      </w:r>
    </w:p>
    <w:p w14:paraId="268D6435"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189 </w:t>
      </w:r>
      <w:r w:rsidRPr="00F54EA8">
        <w:rPr>
          <w:rFonts w:ascii="Book Antiqua" w:eastAsia="SimSun" w:hAnsi="Book Antiqua" w:cs="Times New Roman"/>
          <w:b/>
          <w:kern w:val="2"/>
          <w:sz w:val="24"/>
          <w:szCs w:val="24"/>
          <w:lang w:val="en-US" w:eastAsia="zh-CN"/>
        </w:rPr>
        <w:t>Johnson CH</w:t>
      </w:r>
      <w:r w:rsidRPr="00F54EA8">
        <w:rPr>
          <w:rFonts w:ascii="Book Antiqua" w:eastAsia="SimSun" w:hAnsi="Book Antiqua" w:cs="Times New Roman"/>
          <w:kern w:val="2"/>
          <w:sz w:val="24"/>
          <w:szCs w:val="24"/>
          <w:lang w:val="en-US" w:eastAsia="zh-CN"/>
        </w:rPr>
        <w:t xml:space="preserve">, Dejea CM, Edler D, Hoang LT, Santidrian AF, Felding BH, Ivanisevic J, Cho K, Wick EC, Hechenbleikner EM, Uritboonthai W, Goetz L, Casero RA Jr, Pardoll DM, White JR, Patti GJ, Sears CL, Siuzdak G. Metabolism links bacterial biofilms and colon carcinogenesis. </w:t>
      </w:r>
      <w:r w:rsidRPr="00F54EA8">
        <w:rPr>
          <w:rFonts w:ascii="Book Antiqua" w:eastAsia="SimSun" w:hAnsi="Book Antiqua" w:cs="Times New Roman"/>
          <w:i/>
          <w:kern w:val="2"/>
          <w:sz w:val="24"/>
          <w:szCs w:val="24"/>
          <w:lang w:val="en-US" w:eastAsia="zh-CN"/>
        </w:rPr>
        <w:t>Cell Metab</w:t>
      </w:r>
      <w:r w:rsidRPr="00F54EA8">
        <w:rPr>
          <w:rFonts w:ascii="Book Antiqua" w:eastAsia="SimSun" w:hAnsi="Book Antiqua" w:cs="Times New Roman"/>
          <w:kern w:val="2"/>
          <w:sz w:val="24"/>
          <w:szCs w:val="24"/>
          <w:lang w:val="en-US" w:eastAsia="zh-CN"/>
        </w:rPr>
        <w:t xml:space="preserve"> 2015; </w:t>
      </w:r>
      <w:r w:rsidRPr="00F54EA8">
        <w:rPr>
          <w:rFonts w:ascii="Book Antiqua" w:eastAsia="SimSun" w:hAnsi="Book Antiqua" w:cs="Times New Roman"/>
          <w:b/>
          <w:kern w:val="2"/>
          <w:sz w:val="24"/>
          <w:szCs w:val="24"/>
          <w:lang w:val="en-US" w:eastAsia="zh-CN"/>
        </w:rPr>
        <w:t>21</w:t>
      </w:r>
      <w:r w:rsidRPr="00F54EA8">
        <w:rPr>
          <w:rFonts w:ascii="Book Antiqua" w:eastAsia="SimSun" w:hAnsi="Book Antiqua" w:cs="Times New Roman"/>
          <w:kern w:val="2"/>
          <w:sz w:val="24"/>
          <w:szCs w:val="24"/>
          <w:lang w:val="en-US" w:eastAsia="zh-CN"/>
        </w:rPr>
        <w:t>: 891-897 [PMID: 25959674 DOI: 10.1016/j.cmet.2015.04.011]</w:t>
      </w:r>
    </w:p>
    <w:p w14:paraId="194A0BC4"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190 </w:t>
      </w:r>
      <w:r w:rsidRPr="00F54EA8">
        <w:rPr>
          <w:rFonts w:ascii="Book Antiqua" w:eastAsia="SimSun" w:hAnsi="Book Antiqua" w:cs="Times New Roman"/>
          <w:b/>
          <w:kern w:val="2"/>
          <w:sz w:val="24"/>
          <w:szCs w:val="24"/>
          <w:lang w:val="en-US" w:eastAsia="zh-CN"/>
        </w:rPr>
        <w:t>Cummings JH</w:t>
      </w:r>
      <w:r w:rsidRPr="00F54EA8">
        <w:rPr>
          <w:rFonts w:ascii="Book Antiqua" w:eastAsia="SimSun" w:hAnsi="Book Antiqua" w:cs="Times New Roman"/>
          <w:kern w:val="2"/>
          <w:sz w:val="24"/>
          <w:szCs w:val="24"/>
          <w:lang w:val="en-US" w:eastAsia="zh-CN"/>
        </w:rPr>
        <w:t xml:space="preserve">, Macfarlane GT. The control and consequences of bacterial fermentation in the human colon. </w:t>
      </w:r>
      <w:r w:rsidRPr="00F54EA8">
        <w:rPr>
          <w:rFonts w:ascii="Book Antiqua" w:eastAsia="SimSun" w:hAnsi="Book Antiqua" w:cs="Times New Roman"/>
          <w:i/>
          <w:kern w:val="2"/>
          <w:sz w:val="24"/>
          <w:szCs w:val="24"/>
          <w:lang w:val="en-US" w:eastAsia="zh-CN"/>
        </w:rPr>
        <w:t>J Appl Bacteriol</w:t>
      </w:r>
      <w:r w:rsidRPr="00F54EA8">
        <w:rPr>
          <w:rFonts w:ascii="Book Antiqua" w:eastAsia="SimSun" w:hAnsi="Book Antiqua" w:cs="Times New Roman"/>
          <w:kern w:val="2"/>
          <w:sz w:val="24"/>
          <w:szCs w:val="24"/>
          <w:lang w:val="en-US" w:eastAsia="zh-CN"/>
        </w:rPr>
        <w:t xml:space="preserve"> 1991; </w:t>
      </w:r>
      <w:r w:rsidRPr="00F54EA8">
        <w:rPr>
          <w:rFonts w:ascii="Book Antiqua" w:eastAsia="SimSun" w:hAnsi="Book Antiqua" w:cs="Times New Roman"/>
          <w:b/>
          <w:kern w:val="2"/>
          <w:sz w:val="24"/>
          <w:szCs w:val="24"/>
          <w:lang w:val="en-US" w:eastAsia="zh-CN"/>
        </w:rPr>
        <w:t>70</w:t>
      </w:r>
      <w:r w:rsidRPr="00F54EA8">
        <w:rPr>
          <w:rFonts w:ascii="Book Antiqua" w:eastAsia="SimSun" w:hAnsi="Book Antiqua" w:cs="Times New Roman"/>
          <w:kern w:val="2"/>
          <w:sz w:val="24"/>
          <w:szCs w:val="24"/>
          <w:lang w:val="en-US" w:eastAsia="zh-CN"/>
        </w:rPr>
        <w:t>: 443-459 [PMID: 1938669]</w:t>
      </w:r>
    </w:p>
    <w:p w14:paraId="48B20EC2"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191 </w:t>
      </w:r>
      <w:r w:rsidRPr="00F54EA8">
        <w:rPr>
          <w:rFonts w:ascii="Book Antiqua" w:eastAsia="SimSun" w:hAnsi="Book Antiqua" w:cs="Times New Roman"/>
          <w:b/>
          <w:kern w:val="2"/>
          <w:sz w:val="24"/>
          <w:szCs w:val="24"/>
          <w:lang w:val="en-US" w:eastAsia="zh-CN"/>
        </w:rPr>
        <w:t>Suarez F</w:t>
      </w:r>
      <w:r w:rsidRPr="00F54EA8">
        <w:rPr>
          <w:rFonts w:ascii="Book Antiqua" w:eastAsia="SimSun" w:hAnsi="Book Antiqua" w:cs="Times New Roman"/>
          <w:kern w:val="2"/>
          <w:sz w:val="24"/>
          <w:szCs w:val="24"/>
          <w:lang w:val="en-US" w:eastAsia="zh-CN"/>
        </w:rPr>
        <w:t xml:space="preserve">, Furne J, Springfield J, Levitt M. Insights into human colonic physiology obtained from the study of flatus composition. </w:t>
      </w:r>
      <w:r w:rsidRPr="00F54EA8">
        <w:rPr>
          <w:rFonts w:ascii="Book Antiqua" w:eastAsia="SimSun" w:hAnsi="Book Antiqua" w:cs="Times New Roman"/>
          <w:i/>
          <w:kern w:val="2"/>
          <w:sz w:val="24"/>
          <w:szCs w:val="24"/>
          <w:lang w:val="en-US" w:eastAsia="zh-CN"/>
        </w:rPr>
        <w:t>Am J Physiol</w:t>
      </w:r>
      <w:r w:rsidRPr="00F54EA8">
        <w:rPr>
          <w:rFonts w:ascii="Book Antiqua" w:eastAsia="SimSun" w:hAnsi="Book Antiqua" w:cs="Times New Roman"/>
          <w:kern w:val="2"/>
          <w:sz w:val="24"/>
          <w:szCs w:val="24"/>
          <w:lang w:val="en-US" w:eastAsia="zh-CN"/>
        </w:rPr>
        <w:t xml:space="preserve"> 1997; </w:t>
      </w:r>
      <w:r w:rsidRPr="00F54EA8">
        <w:rPr>
          <w:rFonts w:ascii="Book Antiqua" w:eastAsia="SimSun" w:hAnsi="Book Antiqua" w:cs="Times New Roman"/>
          <w:b/>
          <w:kern w:val="2"/>
          <w:sz w:val="24"/>
          <w:szCs w:val="24"/>
          <w:lang w:val="en-US" w:eastAsia="zh-CN"/>
        </w:rPr>
        <w:t>272</w:t>
      </w:r>
      <w:r w:rsidRPr="00F54EA8">
        <w:rPr>
          <w:rFonts w:ascii="Book Antiqua" w:eastAsia="SimSun" w:hAnsi="Book Antiqua" w:cs="Times New Roman"/>
          <w:kern w:val="2"/>
          <w:sz w:val="24"/>
          <w:szCs w:val="24"/>
          <w:lang w:val="en-US" w:eastAsia="zh-CN"/>
        </w:rPr>
        <w:t>: G1028-G1033 [PMID: 9176210 DOI: 10.1152/ajpgi.1997.272.5.G1028]</w:t>
      </w:r>
    </w:p>
    <w:p w14:paraId="71ECF6EC"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192 </w:t>
      </w:r>
      <w:r w:rsidRPr="00F54EA8">
        <w:rPr>
          <w:rFonts w:ascii="Book Antiqua" w:eastAsia="SimSun" w:hAnsi="Book Antiqua" w:cs="Times New Roman"/>
          <w:b/>
          <w:kern w:val="2"/>
          <w:sz w:val="24"/>
          <w:szCs w:val="24"/>
          <w:lang w:val="en-US" w:eastAsia="zh-CN"/>
        </w:rPr>
        <w:t>Williams MD</w:t>
      </w:r>
      <w:r w:rsidRPr="00F54EA8">
        <w:rPr>
          <w:rFonts w:ascii="Book Antiqua" w:eastAsia="SimSun" w:hAnsi="Book Antiqua" w:cs="Times New Roman"/>
          <w:kern w:val="2"/>
          <w:sz w:val="24"/>
          <w:szCs w:val="24"/>
          <w:lang w:val="en-US" w:eastAsia="zh-CN"/>
        </w:rPr>
        <w:t xml:space="preserve">, Xian L, Huso T, Park JJ, Huso D, Cope LM, Gang DR, Siems WF, Resar L, Reeves R, Hill HH Jr. Fecal Metabolome in Hmga1 Transgenic Mice with Polyposis: Evidence for Potential Screen for Early Detection of Precursor Lesions in </w:t>
      </w:r>
      <w:r w:rsidRPr="00F54EA8">
        <w:rPr>
          <w:rFonts w:ascii="Book Antiqua" w:eastAsia="SimSun" w:hAnsi="Book Antiqua" w:cs="Times New Roman"/>
          <w:kern w:val="2"/>
          <w:sz w:val="24"/>
          <w:szCs w:val="24"/>
          <w:lang w:val="en-US" w:eastAsia="zh-CN"/>
        </w:rPr>
        <w:lastRenderedPageBreak/>
        <w:t xml:space="preserve">Colorectal Cancer. </w:t>
      </w:r>
      <w:r w:rsidRPr="00F54EA8">
        <w:rPr>
          <w:rFonts w:ascii="Book Antiqua" w:eastAsia="SimSun" w:hAnsi="Book Antiqua" w:cs="Times New Roman"/>
          <w:i/>
          <w:kern w:val="2"/>
          <w:sz w:val="24"/>
          <w:szCs w:val="24"/>
          <w:lang w:val="en-US" w:eastAsia="zh-CN"/>
        </w:rPr>
        <w:t>J Proteome Res</w:t>
      </w:r>
      <w:r w:rsidRPr="00F54EA8">
        <w:rPr>
          <w:rFonts w:ascii="Book Antiqua" w:eastAsia="SimSun" w:hAnsi="Book Antiqua" w:cs="Times New Roman"/>
          <w:kern w:val="2"/>
          <w:sz w:val="24"/>
          <w:szCs w:val="24"/>
          <w:lang w:val="en-US" w:eastAsia="zh-CN"/>
        </w:rPr>
        <w:t xml:space="preserve"> 2016; </w:t>
      </w:r>
      <w:r w:rsidRPr="00F54EA8">
        <w:rPr>
          <w:rFonts w:ascii="Book Antiqua" w:eastAsia="SimSun" w:hAnsi="Book Antiqua" w:cs="Times New Roman"/>
          <w:b/>
          <w:kern w:val="2"/>
          <w:sz w:val="24"/>
          <w:szCs w:val="24"/>
          <w:lang w:val="en-US" w:eastAsia="zh-CN"/>
        </w:rPr>
        <w:t>15</w:t>
      </w:r>
      <w:r w:rsidRPr="00F54EA8">
        <w:rPr>
          <w:rFonts w:ascii="Book Antiqua" w:eastAsia="SimSun" w:hAnsi="Book Antiqua" w:cs="Times New Roman"/>
          <w:kern w:val="2"/>
          <w:sz w:val="24"/>
          <w:szCs w:val="24"/>
          <w:lang w:val="en-US" w:eastAsia="zh-CN"/>
        </w:rPr>
        <w:t>: 4176-4187 [PMID: 27696867 DOI: 10.1021/acs.jproteome.6b00035]</w:t>
      </w:r>
    </w:p>
    <w:p w14:paraId="2AC9C2C2"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193 </w:t>
      </w:r>
      <w:r w:rsidRPr="00F54EA8">
        <w:rPr>
          <w:rFonts w:ascii="Book Antiqua" w:eastAsia="SimSun" w:hAnsi="Book Antiqua" w:cs="Times New Roman"/>
          <w:b/>
          <w:kern w:val="2"/>
          <w:sz w:val="24"/>
          <w:szCs w:val="24"/>
          <w:lang w:val="en-US" w:eastAsia="zh-CN"/>
        </w:rPr>
        <w:t>Weir TL</w:t>
      </w:r>
      <w:r w:rsidRPr="00F54EA8">
        <w:rPr>
          <w:rFonts w:ascii="Book Antiqua" w:eastAsia="SimSun" w:hAnsi="Book Antiqua" w:cs="Times New Roman"/>
          <w:kern w:val="2"/>
          <w:sz w:val="24"/>
          <w:szCs w:val="24"/>
          <w:lang w:val="en-US" w:eastAsia="zh-CN"/>
        </w:rPr>
        <w:t xml:space="preserve">, Manter DK, Sheflin AM, Barnett BA, Heuberger AL, Ryan EP. Stool microbiome and metabolome differences between colorectal cancer patients and healthy adults. </w:t>
      </w:r>
      <w:r w:rsidRPr="00F54EA8">
        <w:rPr>
          <w:rFonts w:ascii="Book Antiqua" w:eastAsia="SimSun" w:hAnsi="Book Antiqua" w:cs="Times New Roman"/>
          <w:i/>
          <w:kern w:val="2"/>
          <w:sz w:val="24"/>
          <w:szCs w:val="24"/>
          <w:lang w:val="en-US" w:eastAsia="zh-CN"/>
        </w:rPr>
        <w:t>PLoS One</w:t>
      </w:r>
      <w:r w:rsidRPr="00F54EA8">
        <w:rPr>
          <w:rFonts w:ascii="Book Antiqua" w:eastAsia="SimSun" w:hAnsi="Book Antiqua" w:cs="Times New Roman"/>
          <w:kern w:val="2"/>
          <w:sz w:val="24"/>
          <w:szCs w:val="24"/>
          <w:lang w:val="en-US" w:eastAsia="zh-CN"/>
        </w:rPr>
        <w:t xml:space="preserve"> 2013; </w:t>
      </w:r>
      <w:r w:rsidRPr="00F54EA8">
        <w:rPr>
          <w:rFonts w:ascii="Book Antiqua" w:eastAsia="SimSun" w:hAnsi="Book Antiqua" w:cs="Times New Roman"/>
          <w:b/>
          <w:kern w:val="2"/>
          <w:sz w:val="24"/>
          <w:szCs w:val="24"/>
          <w:lang w:val="en-US" w:eastAsia="zh-CN"/>
        </w:rPr>
        <w:t>8</w:t>
      </w:r>
      <w:r w:rsidRPr="00F54EA8">
        <w:rPr>
          <w:rFonts w:ascii="Book Antiqua" w:eastAsia="SimSun" w:hAnsi="Book Antiqua" w:cs="Times New Roman"/>
          <w:kern w:val="2"/>
          <w:sz w:val="24"/>
          <w:szCs w:val="24"/>
          <w:lang w:val="en-US" w:eastAsia="zh-CN"/>
        </w:rPr>
        <w:t>: e70803 [PMID: 23940645 DOI: 10.1371/journal.pone.0070803]</w:t>
      </w:r>
    </w:p>
    <w:p w14:paraId="19414C18"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194 </w:t>
      </w:r>
      <w:r w:rsidRPr="00F54EA8">
        <w:rPr>
          <w:rFonts w:ascii="Book Antiqua" w:eastAsia="SimSun" w:hAnsi="Book Antiqua" w:cs="Times New Roman"/>
          <w:b/>
          <w:kern w:val="2"/>
          <w:sz w:val="24"/>
          <w:szCs w:val="24"/>
          <w:lang w:val="en-US" w:eastAsia="zh-CN"/>
        </w:rPr>
        <w:t>Weaver GA</w:t>
      </w:r>
      <w:r w:rsidRPr="00F54EA8">
        <w:rPr>
          <w:rFonts w:ascii="Book Antiqua" w:eastAsia="SimSun" w:hAnsi="Book Antiqua" w:cs="Times New Roman"/>
          <w:kern w:val="2"/>
          <w:sz w:val="24"/>
          <w:szCs w:val="24"/>
          <w:lang w:val="en-US" w:eastAsia="zh-CN"/>
        </w:rPr>
        <w:t xml:space="preserve">, Krause JA, Miller TL, Wolin MJ. Short chain fatty acid distributions of enema samples from a sigmoidoscopy population: an association of high acetate and low butyrate ratios with adenomatous polyps and colon cancer. </w:t>
      </w:r>
      <w:r w:rsidRPr="00F54EA8">
        <w:rPr>
          <w:rFonts w:ascii="Book Antiqua" w:eastAsia="SimSun" w:hAnsi="Book Antiqua" w:cs="Times New Roman"/>
          <w:i/>
          <w:kern w:val="2"/>
          <w:sz w:val="24"/>
          <w:szCs w:val="24"/>
          <w:lang w:val="en-US" w:eastAsia="zh-CN"/>
        </w:rPr>
        <w:t>Gut</w:t>
      </w:r>
      <w:r w:rsidRPr="00F54EA8">
        <w:rPr>
          <w:rFonts w:ascii="Book Antiqua" w:eastAsia="SimSun" w:hAnsi="Book Antiqua" w:cs="Times New Roman"/>
          <w:kern w:val="2"/>
          <w:sz w:val="24"/>
          <w:szCs w:val="24"/>
          <w:lang w:val="en-US" w:eastAsia="zh-CN"/>
        </w:rPr>
        <w:t xml:space="preserve"> 1988; </w:t>
      </w:r>
      <w:r w:rsidRPr="00F54EA8">
        <w:rPr>
          <w:rFonts w:ascii="Book Antiqua" w:eastAsia="SimSun" w:hAnsi="Book Antiqua" w:cs="Times New Roman"/>
          <w:b/>
          <w:kern w:val="2"/>
          <w:sz w:val="24"/>
          <w:szCs w:val="24"/>
          <w:lang w:val="en-US" w:eastAsia="zh-CN"/>
        </w:rPr>
        <w:t>29</w:t>
      </w:r>
      <w:r w:rsidRPr="00F54EA8">
        <w:rPr>
          <w:rFonts w:ascii="Book Antiqua" w:eastAsia="SimSun" w:hAnsi="Book Antiqua" w:cs="Times New Roman"/>
          <w:kern w:val="2"/>
          <w:sz w:val="24"/>
          <w:szCs w:val="24"/>
          <w:lang w:val="en-US" w:eastAsia="zh-CN"/>
        </w:rPr>
        <w:t>: 1539-1543 [PMID: 3209110]</w:t>
      </w:r>
    </w:p>
    <w:p w14:paraId="7910F05C"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195 </w:t>
      </w:r>
      <w:r w:rsidRPr="00F54EA8">
        <w:rPr>
          <w:rFonts w:ascii="Book Antiqua" w:eastAsia="SimSun" w:hAnsi="Book Antiqua" w:cs="Times New Roman"/>
          <w:b/>
          <w:kern w:val="2"/>
          <w:sz w:val="24"/>
          <w:szCs w:val="24"/>
          <w:lang w:val="en-US" w:eastAsia="zh-CN"/>
        </w:rPr>
        <w:t>Kim DH</w:t>
      </w:r>
      <w:r w:rsidRPr="00F54EA8">
        <w:rPr>
          <w:rFonts w:ascii="Book Antiqua" w:eastAsia="SimSun" w:hAnsi="Book Antiqua" w:cs="Times New Roman"/>
          <w:kern w:val="2"/>
          <w:sz w:val="24"/>
          <w:szCs w:val="24"/>
          <w:lang w:val="en-US" w:eastAsia="zh-CN"/>
        </w:rPr>
        <w:t xml:space="preserve">, Jin YH. Intestinal bacterial beta-glucuronidase activity of patients with colon cancer. </w:t>
      </w:r>
      <w:r w:rsidRPr="00F54EA8">
        <w:rPr>
          <w:rFonts w:ascii="Book Antiqua" w:eastAsia="SimSun" w:hAnsi="Book Antiqua" w:cs="Times New Roman"/>
          <w:i/>
          <w:kern w:val="2"/>
          <w:sz w:val="24"/>
          <w:szCs w:val="24"/>
          <w:lang w:val="en-US" w:eastAsia="zh-CN"/>
        </w:rPr>
        <w:t>Arch Pharm Res</w:t>
      </w:r>
      <w:r w:rsidRPr="00F54EA8">
        <w:rPr>
          <w:rFonts w:ascii="Book Antiqua" w:eastAsia="SimSun" w:hAnsi="Book Antiqua" w:cs="Times New Roman"/>
          <w:kern w:val="2"/>
          <w:sz w:val="24"/>
          <w:szCs w:val="24"/>
          <w:lang w:val="en-US" w:eastAsia="zh-CN"/>
        </w:rPr>
        <w:t xml:space="preserve"> 2001; </w:t>
      </w:r>
      <w:r w:rsidRPr="00F54EA8">
        <w:rPr>
          <w:rFonts w:ascii="Book Antiqua" w:eastAsia="SimSun" w:hAnsi="Book Antiqua" w:cs="Times New Roman"/>
          <w:b/>
          <w:kern w:val="2"/>
          <w:sz w:val="24"/>
          <w:szCs w:val="24"/>
          <w:lang w:val="en-US" w:eastAsia="zh-CN"/>
        </w:rPr>
        <w:t>24</w:t>
      </w:r>
      <w:r w:rsidRPr="00F54EA8">
        <w:rPr>
          <w:rFonts w:ascii="Book Antiqua" w:eastAsia="SimSun" w:hAnsi="Book Antiqua" w:cs="Times New Roman"/>
          <w:kern w:val="2"/>
          <w:sz w:val="24"/>
          <w:szCs w:val="24"/>
          <w:lang w:val="en-US" w:eastAsia="zh-CN"/>
        </w:rPr>
        <w:t>: 564-567 [PMID: 11794536]</w:t>
      </w:r>
    </w:p>
    <w:p w14:paraId="19E1E9BE"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196 </w:t>
      </w:r>
      <w:r w:rsidRPr="00F54EA8">
        <w:rPr>
          <w:rFonts w:ascii="Book Antiqua" w:eastAsia="SimSun" w:hAnsi="Book Antiqua" w:cs="Times New Roman"/>
          <w:b/>
          <w:kern w:val="2"/>
          <w:sz w:val="24"/>
          <w:szCs w:val="24"/>
          <w:lang w:val="en-US" w:eastAsia="zh-CN"/>
        </w:rPr>
        <w:t>Ou J</w:t>
      </w:r>
      <w:r w:rsidRPr="00F54EA8">
        <w:rPr>
          <w:rFonts w:ascii="Book Antiqua" w:eastAsia="SimSun" w:hAnsi="Book Antiqua" w:cs="Times New Roman"/>
          <w:kern w:val="2"/>
          <w:sz w:val="24"/>
          <w:szCs w:val="24"/>
          <w:lang w:val="en-US" w:eastAsia="zh-CN"/>
        </w:rPr>
        <w:t xml:space="preserve">, DeLany JP, Zhang M, Sharma S, O'Keefe SJ. Association between low colonic short-chain fatty acids and high bile acids in high colon cancer risk populations. </w:t>
      </w:r>
      <w:r w:rsidRPr="00F54EA8">
        <w:rPr>
          <w:rFonts w:ascii="Book Antiqua" w:eastAsia="SimSun" w:hAnsi="Book Antiqua" w:cs="Times New Roman"/>
          <w:i/>
          <w:kern w:val="2"/>
          <w:sz w:val="24"/>
          <w:szCs w:val="24"/>
          <w:lang w:val="en-US" w:eastAsia="zh-CN"/>
        </w:rPr>
        <w:t>Nutr Cancer</w:t>
      </w:r>
      <w:r w:rsidRPr="00F54EA8">
        <w:rPr>
          <w:rFonts w:ascii="Book Antiqua" w:eastAsia="SimSun" w:hAnsi="Book Antiqua" w:cs="Times New Roman"/>
          <w:kern w:val="2"/>
          <w:sz w:val="24"/>
          <w:szCs w:val="24"/>
          <w:lang w:val="en-US" w:eastAsia="zh-CN"/>
        </w:rPr>
        <w:t xml:space="preserve"> 2012; </w:t>
      </w:r>
      <w:r w:rsidRPr="00F54EA8">
        <w:rPr>
          <w:rFonts w:ascii="Book Antiqua" w:eastAsia="SimSun" w:hAnsi="Book Antiqua" w:cs="Times New Roman"/>
          <w:b/>
          <w:kern w:val="2"/>
          <w:sz w:val="24"/>
          <w:szCs w:val="24"/>
          <w:lang w:val="en-US" w:eastAsia="zh-CN"/>
        </w:rPr>
        <w:t>64</w:t>
      </w:r>
      <w:r w:rsidRPr="00F54EA8">
        <w:rPr>
          <w:rFonts w:ascii="Book Antiqua" w:eastAsia="SimSun" w:hAnsi="Book Antiqua" w:cs="Times New Roman"/>
          <w:kern w:val="2"/>
          <w:sz w:val="24"/>
          <w:szCs w:val="24"/>
          <w:lang w:val="en-US" w:eastAsia="zh-CN"/>
        </w:rPr>
        <w:t>: 34-40 [PMID: 22136517 DOI: 10.1080/01635581.2012.630164]</w:t>
      </w:r>
    </w:p>
    <w:p w14:paraId="0AD0DC4B"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197 </w:t>
      </w:r>
      <w:r w:rsidRPr="00F54EA8">
        <w:rPr>
          <w:rFonts w:ascii="Book Antiqua" w:eastAsia="SimSun" w:hAnsi="Book Antiqua" w:cs="Times New Roman"/>
          <w:b/>
          <w:kern w:val="2"/>
          <w:sz w:val="24"/>
          <w:szCs w:val="24"/>
          <w:lang w:val="en-US" w:eastAsia="zh-CN"/>
        </w:rPr>
        <w:t>Yoshimoto S</w:t>
      </w:r>
      <w:r w:rsidRPr="00F54EA8">
        <w:rPr>
          <w:rFonts w:ascii="Book Antiqua" w:eastAsia="SimSun" w:hAnsi="Book Antiqua" w:cs="Times New Roman"/>
          <w:kern w:val="2"/>
          <w:sz w:val="24"/>
          <w:szCs w:val="24"/>
          <w:lang w:val="en-US" w:eastAsia="zh-CN"/>
        </w:rPr>
        <w:t xml:space="preserve">, Loo TM, Atarashi K, Kanda H, Sato S, Oyadomari S, Iwakura Y, Oshima K, Morita H, Hattori M, Honda K, Ishikawa Y, Hara E, Ohtani N. Obesity-induced gut microbial metabolite promotes liver cancer through senescence secretome. </w:t>
      </w:r>
      <w:r w:rsidRPr="00F54EA8">
        <w:rPr>
          <w:rFonts w:ascii="Book Antiqua" w:eastAsia="SimSun" w:hAnsi="Book Antiqua" w:cs="Times New Roman"/>
          <w:i/>
          <w:kern w:val="2"/>
          <w:sz w:val="24"/>
          <w:szCs w:val="24"/>
          <w:lang w:val="en-US" w:eastAsia="zh-CN"/>
        </w:rPr>
        <w:t>Nature</w:t>
      </w:r>
      <w:r w:rsidRPr="00F54EA8">
        <w:rPr>
          <w:rFonts w:ascii="Book Antiqua" w:eastAsia="SimSun" w:hAnsi="Book Antiqua" w:cs="Times New Roman"/>
          <w:kern w:val="2"/>
          <w:sz w:val="24"/>
          <w:szCs w:val="24"/>
          <w:lang w:val="en-US" w:eastAsia="zh-CN"/>
        </w:rPr>
        <w:t xml:space="preserve"> 2013; </w:t>
      </w:r>
      <w:r w:rsidRPr="00F54EA8">
        <w:rPr>
          <w:rFonts w:ascii="Book Antiqua" w:eastAsia="SimSun" w:hAnsi="Book Antiqua" w:cs="Times New Roman"/>
          <w:b/>
          <w:kern w:val="2"/>
          <w:sz w:val="24"/>
          <w:szCs w:val="24"/>
          <w:lang w:val="en-US" w:eastAsia="zh-CN"/>
        </w:rPr>
        <w:t>499</w:t>
      </w:r>
      <w:r w:rsidRPr="00F54EA8">
        <w:rPr>
          <w:rFonts w:ascii="Book Antiqua" w:eastAsia="SimSun" w:hAnsi="Book Antiqua" w:cs="Times New Roman"/>
          <w:kern w:val="2"/>
          <w:sz w:val="24"/>
          <w:szCs w:val="24"/>
          <w:lang w:val="en-US" w:eastAsia="zh-CN"/>
        </w:rPr>
        <w:t>: 97-101 [PMID: 23803760 DOI: 10.1038/nature12347]</w:t>
      </w:r>
    </w:p>
    <w:p w14:paraId="099FDA8D"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198</w:t>
      </w:r>
      <w:r w:rsidRPr="00F54EA8">
        <w:rPr>
          <w:rFonts w:ascii="Book Antiqua" w:eastAsia="SimSun" w:hAnsi="Book Antiqua" w:cs="Times New Roman" w:hint="eastAsia"/>
          <w:kern w:val="2"/>
          <w:sz w:val="24"/>
          <w:szCs w:val="24"/>
          <w:lang w:val="en-US" w:eastAsia="zh-CN"/>
        </w:rPr>
        <w:t xml:space="preserve"> </w:t>
      </w:r>
      <w:r w:rsidRPr="00F54EA8">
        <w:rPr>
          <w:rFonts w:ascii="Book Antiqua" w:eastAsia="SimSun" w:hAnsi="Book Antiqua" w:cs="Times New Roman"/>
          <w:b/>
          <w:kern w:val="2"/>
          <w:sz w:val="24"/>
          <w:szCs w:val="24"/>
          <w:lang w:val="en-US" w:eastAsia="zh-CN"/>
        </w:rPr>
        <w:t>Roisin Hughes IR</w:t>
      </w:r>
      <w:r w:rsidRPr="00F54EA8">
        <w:rPr>
          <w:rFonts w:ascii="Book Antiqua" w:eastAsia="SimSun" w:hAnsi="Book Antiqua" w:cs="Times New Roman"/>
          <w:kern w:val="2"/>
          <w:sz w:val="24"/>
          <w:szCs w:val="24"/>
          <w:lang w:val="en-US" w:eastAsia="zh-CN"/>
        </w:rPr>
        <w:t xml:space="preserve">. Metabolic Activities of the Gut Microflora in Relation to Cancer. </w:t>
      </w:r>
      <w:r w:rsidRPr="00F54EA8">
        <w:rPr>
          <w:rFonts w:ascii="Book Antiqua" w:eastAsia="SimSun" w:hAnsi="Book Antiqua" w:cs="Times New Roman"/>
          <w:i/>
          <w:kern w:val="2"/>
          <w:sz w:val="24"/>
          <w:szCs w:val="24"/>
          <w:lang w:val="en-US" w:eastAsia="zh-CN"/>
        </w:rPr>
        <w:t>Microb Ecol Health Dis</w:t>
      </w:r>
      <w:r w:rsidRPr="00F54EA8">
        <w:rPr>
          <w:rFonts w:ascii="Book Antiqua" w:eastAsia="SimSun" w:hAnsi="Book Antiqua" w:cs="Times New Roman"/>
          <w:kern w:val="2"/>
          <w:sz w:val="24"/>
          <w:szCs w:val="24"/>
          <w:lang w:val="en-US" w:eastAsia="zh-CN"/>
        </w:rPr>
        <w:t xml:space="preserve"> 2000;</w:t>
      </w:r>
      <w:r w:rsidRPr="00F54EA8">
        <w:rPr>
          <w:rFonts w:ascii="Book Antiqua" w:eastAsia="SimSun" w:hAnsi="Book Antiqua" w:cs="Times New Roman" w:hint="eastAsia"/>
          <w:kern w:val="2"/>
          <w:sz w:val="24"/>
          <w:szCs w:val="24"/>
          <w:lang w:val="en-US" w:eastAsia="zh-CN"/>
        </w:rPr>
        <w:t xml:space="preserve"> </w:t>
      </w:r>
      <w:r w:rsidRPr="00F54EA8">
        <w:rPr>
          <w:rFonts w:ascii="Book Antiqua" w:eastAsia="SimSun" w:hAnsi="Book Antiqua" w:cs="Times New Roman"/>
          <w:b/>
          <w:kern w:val="2"/>
          <w:sz w:val="24"/>
          <w:szCs w:val="24"/>
          <w:lang w:val="en-US" w:eastAsia="zh-CN"/>
        </w:rPr>
        <w:t>12</w:t>
      </w:r>
      <w:r w:rsidRPr="00F54EA8">
        <w:rPr>
          <w:rFonts w:ascii="Book Antiqua" w:eastAsia="SimSun" w:hAnsi="Book Antiqua" w:cs="Times New Roman"/>
          <w:kern w:val="2"/>
          <w:sz w:val="24"/>
          <w:szCs w:val="24"/>
          <w:lang w:val="en-US" w:eastAsia="zh-CN"/>
        </w:rPr>
        <w:t>:</w:t>
      </w:r>
      <w:r w:rsidRPr="00F54EA8">
        <w:rPr>
          <w:rFonts w:ascii="Book Antiqua" w:eastAsia="SimSun" w:hAnsi="Book Antiqua" w:cs="Times New Roman" w:hint="eastAsia"/>
          <w:kern w:val="2"/>
          <w:sz w:val="24"/>
          <w:szCs w:val="24"/>
          <w:lang w:val="en-US" w:eastAsia="zh-CN"/>
        </w:rPr>
        <w:t xml:space="preserve"> </w:t>
      </w:r>
      <w:r w:rsidRPr="00F54EA8">
        <w:rPr>
          <w:rFonts w:ascii="Book Antiqua" w:eastAsia="SimSun" w:hAnsi="Book Antiqua" w:cs="Times New Roman"/>
          <w:kern w:val="2"/>
          <w:sz w:val="24"/>
          <w:szCs w:val="24"/>
          <w:lang w:val="en-US" w:eastAsia="zh-CN"/>
        </w:rPr>
        <w:t>179–</w:t>
      </w:r>
      <w:r w:rsidRPr="00F54EA8">
        <w:rPr>
          <w:rFonts w:ascii="Book Antiqua" w:eastAsia="SimSun" w:hAnsi="Book Antiqua" w:cs="Times New Roman" w:hint="eastAsia"/>
          <w:kern w:val="2"/>
          <w:sz w:val="24"/>
          <w:szCs w:val="24"/>
          <w:lang w:val="en-US" w:eastAsia="zh-CN"/>
        </w:rPr>
        <w:t>1</w:t>
      </w:r>
      <w:r w:rsidRPr="00F54EA8">
        <w:rPr>
          <w:rFonts w:ascii="Book Antiqua" w:eastAsia="SimSun" w:hAnsi="Book Antiqua" w:cs="Times New Roman"/>
          <w:kern w:val="2"/>
          <w:sz w:val="24"/>
          <w:szCs w:val="24"/>
          <w:lang w:val="en-US" w:eastAsia="zh-CN"/>
        </w:rPr>
        <w:t>85</w:t>
      </w:r>
      <w:r w:rsidRPr="00F54EA8">
        <w:rPr>
          <w:rFonts w:ascii="Book Antiqua" w:eastAsia="SimSun" w:hAnsi="Book Antiqua" w:cs="Times New Roman" w:hint="eastAsia"/>
          <w:kern w:val="2"/>
          <w:sz w:val="24"/>
          <w:szCs w:val="24"/>
          <w:lang w:val="en-US" w:eastAsia="zh-CN"/>
        </w:rPr>
        <w:t xml:space="preserve"> </w:t>
      </w:r>
      <w:r w:rsidRPr="00F54EA8">
        <w:rPr>
          <w:rFonts w:ascii="Book Antiqua" w:eastAsia="SimSun" w:hAnsi="Book Antiqua" w:cs="Times New Roman"/>
          <w:kern w:val="2"/>
          <w:sz w:val="24"/>
          <w:szCs w:val="24"/>
          <w:lang w:val="en-US" w:eastAsia="zh-CN"/>
        </w:rPr>
        <w:t>[DOI: 10.1080/089106000750060431]</w:t>
      </w:r>
    </w:p>
    <w:p w14:paraId="54901AA1"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199 </w:t>
      </w:r>
      <w:r w:rsidRPr="00F54EA8">
        <w:rPr>
          <w:rFonts w:ascii="Book Antiqua" w:eastAsia="SimSun" w:hAnsi="Book Antiqua" w:cs="Times New Roman"/>
          <w:b/>
          <w:kern w:val="2"/>
          <w:sz w:val="24"/>
          <w:szCs w:val="24"/>
          <w:lang w:val="en-US" w:eastAsia="zh-CN"/>
        </w:rPr>
        <w:t>Carbonero F</w:t>
      </w:r>
      <w:r w:rsidRPr="00F54EA8">
        <w:rPr>
          <w:rFonts w:ascii="Book Antiqua" w:eastAsia="SimSun" w:hAnsi="Book Antiqua" w:cs="Times New Roman"/>
          <w:kern w:val="2"/>
          <w:sz w:val="24"/>
          <w:szCs w:val="24"/>
          <w:lang w:val="en-US" w:eastAsia="zh-CN"/>
        </w:rPr>
        <w:t xml:space="preserve">, Benefiel AC, Gaskins HR. Contributions of the microbial hydrogen economy to colonic homeostasis. </w:t>
      </w:r>
      <w:r w:rsidRPr="00F54EA8">
        <w:rPr>
          <w:rFonts w:ascii="Book Antiqua" w:eastAsia="SimSun" w:hAnsi="Book Antiqua" w:cs="Times New Roman"/>
          <w:i/>
          <w:kern w:val="2"/>
          <w:sz w:val="24"/>
          <w:szCs w:val="24"/>
          <w:lang w:val="en-US" w:eastAsia="zh-CN"/>
        </w:rPr>
        <w:t>Nat Rev Gastroenterol Hepatol</w:t>
      </w:r>
      <w:r w:rsidRPr="00F54EA8">
        <w:rPr>
          <w:rFonts w:ascii="Book Antiqua" w:eastAsia="SimSun" w:hAnsi="Book Antiqua" w:cs="Times New Roman"/>
          <w:kern w:val="2"/>
          <w:sz w:val="24"/>
          <w:szCs w:val="24"/>
          <w:lang w:val="en-US" w:eastAsia="zh-CN"/>
        </w:rPr>
        <w:t xml:space="preserve"> 2012; </w:t>
      </w:r>
      <w:r w:rsidRPr="00F54EA8">
        <w:rPr>
          <w:rFonts w:ascii="Book Antiqua" w:eastAsia="SimSun" w:hAnsi="Book Antiqua" w:cs="Times New Roman"/>
          <w:b/>
          <w:kern w:val="2"/>
          <w:sz w:val="24"/>
          <w:szCs w:val="24"/>
          <w:lang w:val="en-US" w:eastAsia="zh-CN"/>
        </w:rPr>
        <w:t>9</w:t>
      </w:r>
      <w:r w:rsidRPr="00F54EA8">
        <w:rPr>
          <w:rFonts w:ascii="Book Antiqua" w:eastAsia="SimSun" w:hAnsi="Book Antiqua" w:cs="Times New Roman"/>
          <w:kern w:val="2"/>
          <w:sz w:val="24"/>
          <w:szCs w:val="24"/>
          <w:lang w:val="en-US" w:eastAsia="zh-CN"/>
        </w:rPr>
        <w:t>: 504-518 [PMID: 22585131 DOI: 10.1038/nrgastro.2012.85]</w:t>
      </w:r>
    </w:p>
    <w:p w14:paraId="375A704D"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200 </w:t>
      </w:r>
      <w:r w:rsidRPr="00F54EA8">
        <w:rPr>
          <w:rFonts w:ascii="Book Antiqua" w:eastAsia="SimSun" w:hAnsi="Book Antiqua" w:cs="Times New Roman"/>
          <w:b/>
          <w:kern w:val="2"/>
          <w:sz w:val="24"/>
          <w:szCs w:val="24"/>
          <w:lang w:val="en-US" w:eastAsia="zh-CN"/>
        </w:rPr>
        <w:t>Ai L</w:t>
      </w:r>
      <w:r w:rsidRPr="00F54EA8">
        <w:rPr>
          <w:rFonts w:ascii="Book Antiqua" w:eastAsia="SimSun" w:hAnsi="Book Antiqua" w:cs="Times New Roman"/>
          <w:kern w:val="2"/>
          <w:sz w:val="24"/>
          <w:szCs w:val="24"/>
          <w:lang w:val="en-US" w:eastAsia="zh-CN"/>
        </w:rPr>
        <w:t xml:space="preserve">, Tian H, Chen Z, Chen H, Xu J, Fang JY. Systematic evaluation of supervised classifiers for fecal microbiota-based prediction of colorectal cancer. </w:t>
      </w:r>
      <w:r w:rsidRPr="00F54EA8">
        <w:rPr>
          <w:rFonts w:ascii="Book Antiqua" w:eastAsia="SimSun" w:hAnsi="Book Antiqua" w:cs="Times New Roman"/>
          <w:i/>
          <w:kern w:val="2"/>
          <w:sz w:val="24"/>
          <w:szCs w:val="24"/>
          <w:lang w:val="en-US" w:eastAsia="zh-CN"/>
        </w:rPr>
        <w:t>Oncotarget</w:t>
      </w:r>
      <w:r w:rsidRPr="00F54EA8">
        <w:rPr>
          <w:rFonts w:ascii="Book Antiqua" w:eastAsia="SimSun" w:hAnsi="Book Antiqua" w:cs="Times New Roman"/>
          <w:kern w:val="2"/>
          <w:sz w:val="24"/>
          <w:szCs w:val="24"/>
          <w:lang w:val="en-US" w:eastAsia="zh-CN"/>
        </w:rPr>
        <w:t xml:space="preserve"> 2017; </w:t>
      </w:r>
      <w:r w:rsidRPr="00F54EA8">
        <w:rPr>
          <w:rFonts w:ascii="Book Antiqua" w:eastAsia="SimSun" w:hAnsi="Book Antiqua" w:cs="Times New Roman"/>
          <w:b/>
          <w:kern w:val="2"/>
          <w:sz w:val="24"/>
          <w:szCs w:val="24"/>
          <w:lang w:val="en-US" w:eastAsia="zh-CN"/>
        </w:rPr>
        <w:t>8</w:t>
      </w:r>
      <w:r w:rsidRPr="00F54EA8">
        <w:rPr>
          <w:rFonts w:ascii="Book Antiqua" w:eastAsia="SimSun" w:hAnsi="Book Antiqua" w:cs="Times New Roman"/>
          <w:kern w:val="2"/>
          <w:sz w:val="24"/>
          <w:szCs w:val="24"/>
          <w:lang w:val="en-US" w:eastAsia="zh-CN"/>
        </w:rPr>
        <w:t>: 9546-9556 [PMID: 28061434 DOI: 10.18632/oncotarget.14488]</w:t>
      </w:r>
    </w:p>
    <w:p w14:paraId="2392FD56"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201 </w:t>
      </w:r>
      <w:r w:rsidRPr="00F54EA8">
        <w:rPr>
          <w:rFonts w:ascii="Book Antiqua" w:eastAsia="SimSun" w:hAnsi="Book Antiqua" w:cs="Times New Roman"/>
          <w:b/>
          <w:kern w:val="2"/>
          <w:sz w:val="24"/>
          <w:szCs w:val="24"/>
          <w:lang w:val="en-US" w:eastAsia="zh-CN"/>
        </w:rPr>
        <w:t>Shah MS</w:t>
      </w:r>
      <w:r w:rsidRPr="00F54EA8">
        <w:rPr>
          <w:rFonts w:ascii="Book Antiqua" w:eastAsia="SimSun" w:hAnsi="Book Antiqua" w:cs="Times New Roman"/>
          <w:kern w:val="2"/>
          <w:sz w:val="24"/>
          <w:szCs w:val="24"/>
          <w:lang w:val="en-US" w:eastAsia="zh-CN"/>
        </w:rPr>
        <w:t xml:space="preserve">, DeSantis TZ, Weinmaier T, McMurdie PJ, Cope JL, Altrichter A, Yamal JM, Hollister EB. Leveraging sequence-based faecal microbial community survey data to identify a composite biomarker for colorectal cancer. </w:t>
      </w:r>
      <w:r w:rsidRPr="00F54EA8">
        <w:rPr>
          <w:rFonts w:ascii="Book Antiqua" w:eastAsia="SimSun" w:hAnsi="Book Antiqua" w:cs="Times New Roman"/>
          <w:i/>
          <w:kern w:val="2"/>
          <w:sz w:val="24"/>
          <w:szCs w:val="24"/>
          <w:lang w:val="en-US" w:eastAsia="zh-CN"/>
        </w:rPr>
        <w:t>Gut</w:t>
      </w:r>
      <w:r w:rsidRPr="00F54EA8">
        <w:rPr>
          <w:rFonts w:ascii="Book Antiqua" w:eastAsia="SimSun" w:hAnsi="Book Antiqua" w:cs="Times New Roman"/>
          <w:kern w:val="2"/>
          <w:sz w:val="24"/>
          <w:szCs w:val="24"/>
          <w:lang w:val="en-US" w:eastAsia="zh-CN"/>
        </w:rPr>
        <w:t xml:space="preserve"> 2018; </w:t>
      </w:r>
      <w:r w:rsidRPr="00F54EA8">
        <w:rPr>
          <w:rFonts w:ascii="Book Antiqua" w:eastAsia="SimSun" w:hAnsi="Book Antiqua" w:cs="Times New Roman"/>
          <w:b/>
          <w:kern w:val="2"/>
          <w:sz w:val="24"/>
          <w:szCs w:val="24"/>
          <w:lang w:val="en-US" w:eastAsia="zh-CN"/>
        </w:rPr>
        <w:t>67</w:t>
      </w:r>
      <w:r w:rsidRPr="00F54EA8">
        <w:rPr>
          <w:rFonts w:ascii="Book Antiqua" w:eastAsia="SimSun" w:hAnsi="Book Antiqua" w:cs="Times New Roman"/>
          <w:kern w:val="2"/>
          <w:sz w:val="24"/>
          <w:szCs w:val="24"/>
          <w:lang w:val="en-US" w:eastAsia="zh-CN"/>
        </w:rPr>
        <w:t xml:space="preserve">: 882-891 </w:t>
      </w:r>
      <w:r w:rsidRPr="00F54EA8">
        <w:rPr>
          <w:rFonts w:ascii="Book Antiqua" w:eastAsia="SimSun" w:hAnsi="Book Antiqua" w:cs="Times New Roman"/>
          <w:kern w:val="2"/>
          <w:sz w:val="24"/>
          <w:szCs w:val="24"/>
          <w:lang w:val="en-US" w:eastAsia="zh-CN"/>
        </w:rPr>
        <w:lastRenderedPageBreak/>
        <w:t>[PMID: 28341746 DOI: 10.1136/gutjnl-2016-313189]</w:t>
      </w:r>
    </w:p>
    <w:p w14:paraId="590D8B08"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202 </w:t>
      </w:r>
      <w:r w:rsidRPr="00F54EA8">
        <w:rPr>
          <w:rFonts w:ascii="Book Antiqua" w:eastAsia="SimSun" w:hAnsi="Book Antiqua" w:cs="Times New Roman"/>
          <w:b/>
          <w:kern w:val="2"/>
          <w:sz w:val="24"/>
          <w:szCs w:val="24"/>
          <w:lang w:val="en-US" w:eastAsia="zh-CN"/>
        </w:rPr>
        <w:t>Amitay EL</w:t>
      </w:r>
      <w:r w:rsidRPr="00F54EA8">
        <w:rPr>
          <w:rFonts w:ascii="Book Antiqua" w:eastAsia="SimSun" w:hAnsi="Book Antiqua" w:cs="Times New Roman"/>
          <w:kern w:val="2"/>
          <w:sz w:val="24"/>
          <w:szCs w:val="24"/>
          <w:lang w:val="en-US" w:eastAsia="zh-CN"/>
        </w:rPr>
        <w:t xml:space="preserve">, Krilaviciute A, Brenner H. Systematic Review: Gut Microbiota in Fecal Samples and Detection of Colorectal Neoplasms. </w:t>
      </w:r>
      <w:r w:rsidRPr="00F54EA8">
        <w:rPr>
          <w:rFonts w:ascii="Book Antiqua" w:eastAsia="SimSun" w:hAnsi="Book Antiqua" w:cs="Times New Roman"/>
          <w:i/>
          <w:kern w:val="2"/>
          <w:sz w:val="24"/>
          <w:szCs w:val="24"/>
          <w:lang w:val="en-US" w:eastAsia="zh-CN"/>
        </w:rPr>
        <w:t>Gut Microbes</w:t>
      </w:r>
      <w:r w:rsidRPr="00F54EA8">
        <w:rPr>
          <w:rFonts w:ascii="Book Antiqua" w:eastAsia="SimSun" w:hAnsi="Book Antiqua" w:cs="Times New Roman"/>
          <w:kern w:val="2"/>
          <w:sz w:val="24"/>
          <w:szCs w:val="24"/>
          <w:lang w:val="en-US" w:eastAsia="zh-CN"/>
        </w:rPr>
        <w:t xml:space="preserve"> 2018</w:t>
      </w:r>
      <w:proofErr w:type="gramStart"/>
      <w:r w:rsidRPr="00F54EA8">
        <w:rPr>
          <w:rFonts w:ascii="Book Antiqua" w:eastAsia="SimSun" w:hAnsi="Book Antiqua" w:cs="Times New Roman"/>
          <w:kern w:val="2"/>
          <w:sz w:val="24"/>
          <w:szCs w:val="24"/>
          <w:lang w:val="en-US" w:eastAsia="zh-CN"/>
        </w:rPr>
        <w:t>; :</w:t>
      </w:r>
      <w:proofErr w:type="gramEnd"/>
      <w:r w:rsidRPr="00F54EA8">
        <w:rPr>
          <w:rFonts w:ascii="Book Antiqua" w:eastAsia="SimSun" w:hAnsi="Book Antiqua" w:cs="Times New Roman"/>
          <w:kern w:val="2"/>
          <w:sz w:val="24"/>
          <w:szCs w:val="24"/>
          <w:lang w:val="en-US" w:eastAsia="zh-CN"/>
        </w:rPr>
        <w:t xml:space="preserve"> 1-25 [PMID: 29543545 DOI: 10.1080/19490976.2018.1445957]</w:t>
      </w:r>
    </w:p>
    <w:p w14:paraId="779B93FC"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203 </w:t>
      </w:r>
      <w:r w:rsidRPr="00F54EA8">
        <w:rPr>
          <w:rFonts w:ascii="Book Antiqua" w:eastAsia="SimSun" w:hAnsi="Book Antiqua" w:cs="Times New Roman"/>
          <w:b/>
          <w:kern w:val="2"/>
          <w:sz w:val="24"/>
          <w:szCs w:val="24"/>
          <w:lang w:val="en-US" w:eastAsia="zh-CN"/>
        </w:rPr>
        <w:t>Wei Z</w:t>
      </w:r>
      <w:r w:rsidRPr="00F54EA8">
        <w:rPr>
          <w:rFonts w:ascii="Book Antiqua" w:eastAsia="SimSun" w:hAnsi="Book Antiqua" w:cs="Times New Roman"/>
          <w:kern w:val="2"/>
          <w:sz w:val="24"/>
          <w:szCs w:val="24"/>
          <w:lang w:val="en-US" w:eastAsia="zh-CN"/>
        </w:rPr>
        <w:t xml:space="preserve">, Cao S, Liu S, Yao Z, Sun T, Li Y, Li J, Zhang D, Zhou Y. Could gut microbiota serve as prognostic biomarker associated with colorectal cancer patients' survival? A pilot study on relevant mechanism. </w:t>
      </w:r>
      <w:r w:rsidRPr="00F54EA8">
        <w:rPr>
          <w:rFonts w:ascii="Book Antiqua" w:eastAsia="SimSun" w:hAnsi="Book Antiqua" w:cs="Times New Roman"/>
          <w:i/>
          <w:kern w:val="2"/>
          <w:sz w:val="24"/>
          <w:szCs w:val="24"/>
          <w:lang w:val="en-US" w:eastAsia="zh-CN"/>
        </w:rPr>
        <w:t>Oncotarget</w:t>
      </w:r>
      <w:r w:rsidRPr="00F54EA8">
        <w:rPr>
          <w:rFonts w:ascii="Book Antiqua" w:eastAsia="SimSun" w:hAnsi="Book Antiqua" w:cs="Times New Roman"/>
          <w:kern w:val="2"/>
          <w:sz w:val="24"/>
          <w:szCs w:val="24"/>
          <w:lang w:val="en-US" w:eastAsia="zh-CN"/>
        </w:rPr>
        <w:t xml:space="preserve"> 2016; </w:t>
      </w:r>
      <w:r w:rsidRPr="00F54EA8">
        <w:rPr>
          <w:rFonts w:ascii="Book Antiqua" w:eastAsia="SimSun" w:hAnsi="Book Antiqua" w:cs="Times New Roman"/>
          <w:b/>
          <w:kern w:val="2"/>
          <w:sz w:val="24"/>
          <w:szCs w:val="24"/>
          <w:lang w:val="en-US" w:eastAsia="zh-CN"/>
        </w:rPr>
        <w:t>7</w:t>
      </w:r>
      <w:r w:rsidRPr="00F54EA8">
        <w:rPr>
          <w:rFonts w:ascii="Book Antiqua" w:eastAsia="SimSun" w:hAnsi="Book Antiqua" w:cs="Times New Roman"/>
          <w:kern w:val="2"/>
          <w:sz w:val="24"/>
          <w:szCs w:val="24"/>
          <w:lang w:val="en-US" w:eastAsia="zh-CN"/>
        </w:rPr>
        <w:t>: 46158-46172 [PMID: 27323816 DOI: 10.18632/oncotarget.10064]</w:t>
      </w:r>
    </w:p>
    <w:p w14:paraId="268921D6"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204 </w:t>
      </w:r>
      <w:r w:rsidRPr="00F54EA8">
        <w:rPr>
          <w:rFonts w:ascii="Book Antiqua" w:eastAsia="SimSun" w:hAnsi="Book Antiqua" w:cs="Times New Roman"/>
          <w:b/>
          <w:kern w:val="2"/>
          <w:sz w:val="24"/>
          <w:szCs w:val="24"/>
          <w:lang w:val="en-US" w:eastAsia="zh-CN"/>
        </w:rPr>
        <w:t>Wong SH</w:t>
      </w:r>
      <w:r w:rsidRPr="00F54EA8">
        <w:rPr>
          <w:rFonts w:ascii="Book Antiqua" w:eastAsia="SimSun" w:hAnsi="Book Antiqua" w:cs="Times New Roman"/>
          <w:kern w:val="2"/>
          <w:sz w:val="24"/>
          <w:szCs w:val="24"/>
          <w:lang w:val="en-US" w:eastAsia="zh-CN"/>
        </w:rPr>
        <w:t>, Kwong TNY, Chow TC, Luk AKC, Dai RZW, Nakatsu G, Lam TYT, Zhang L, Wu JCY, Chan FKL, Ng SSM, Wong MCS, Ng SC, Wu WKK, Yu J, Sung JJY. Quantitation of faecal</w:t>
      </w:r>
      <w:r w:rsidRPr="00F54EA8">
        <w:rPr>
          <w:rFonts w:ascii="Book Antiqua" w:eastAsia="SimSun" w:hAnsi="Book Antiqua" w:cs="Times New Roman" w:hint="eastAsia"/>
          <w:kern w:val="2"/>
          <w:sz w:val="24"/>
          <w:szCs w:val="24"/>
          <w:lang w:val="en-US" w:eastAsia="zh-CN"/>
        </w:rPr>
        <w:t xml:space="preserve"> </w:t>
      </w:r>
      <w:r w:rsidRPr="00F54EA8">
        <w:rPr>
          <w:rFonts w:ascii="Book Antiqua" w:eastAsia="SimSun" w:hAnsi="Book Antiqua" w:cs="Times New Roman"/>
          <w:i/>
          <w:kern w:val="2"/>
          <w:sz w:val="24"/>
          <w:szCs w:val="24"/>
          <w:lang w:val="en-US" w:eastAsia="zh-CN"/>
        </w:rPr>
        <w:t>Fusobacterium</w:t>
      </w:r>
      <w:r w:rsidRPr="00F54EA8">
        <w:rPr>
          <w:rFonts w:ascii="Book Antiqua" w:eastAsia="SimSun" w:hAnsi="Book Antiqua" w:cs="Times New Roman" w:hint="eastAsia"/>
          <w:kern w:val="2"/>
          <w:sz w:val="24"/>
          <w:szCs w:val="24"/>
          <w:lang w:val="en-US" w:eastAsia="zh-CN"/>
        </w:rPr>
        <w:t xml:space="preserve"> </w:t>
      </w:r>
      <w:r w:rsidRPr="00F54EA8">
        <w:rPr>
          <w:rFonts w:ascii="Book Antiqua" w:eastAsia="SimSun" w:hAnsi="Book Antiqua" w:cs="Times New Roman"/>
          <w:kern w:val="2"/>
          <w:sz w:val="24"/>
          <w:szCs w:val="24"/>
          <w:lang w:val="en-US" w:eastAsia="zh-CN"/>
        </w:rPr>
        <w:t xml:space="preserve">improves faecal immunochemical test in detecting advanced colorectal neoplasia. </w:t>
      </w:r>
      <w:r w:rsidRPr="00F54EA8">
        <w:rPr>
          <w:rFonts w:ascii="Book Antiqua" w:eastAsia="SimSun" w:hAnsi="Book Antiqua" w:cs="Times New Roman"/>
          <w:i/>
          <w:kern w:val="2"/>
          <w:sz w:val="24"/>
          <w:szCs w:val="24"/>
          <w:lang w:val="en-US" w:eastAsia="zh-CN"/>
        </w:rPr>
        <w:t>Gut</w:t>
      </w:r>
      <w:r w:rsidRPr="00F54EA8">
        <w:rPr>
          <w:rFonts w:ascii="Book Antiqua" w:eastAsia="SimSun" w:hAnsi="Book Antiqua" w:cs="Times New Roman"/>
          <w:kern w:val="2"/>
          <w:sz w:val="24"/>
          <w:szCs w:val="24"/>
          <w:lang w:val="en-US" w:eastAsia="zh-CN"/>
        </w:rPr>
        <w:t xml:space="preserve"> 2017; </w:t>
      </w:r>
      <w:r w:rsidRPr="00F54EA8">
        <w:rPr>
          <w:rFonts w:ascii="Book Antiqua" w:eastAsia="SimSun" w:hAnsi="Book Antiqua" w:cs="Times New Roman"/>
          <w:b/>
          <w:kern w:val="2"/>
          <w:sz w:val="24"/>
          <w:szCs w:val="24"/>
          <w:lang w:val="en-US" w:eastAsia="zh-CN"/>
        </w:rPr>
        <w:t>66</w:t>
      </w:r>
      <w:r w:rsidRPr="00F54EA8">
        <w:rPr>
          <w:rFonts w:ascii="Book Antiqua" w:eastAsia="SimSun" w:hAnsi="Book Antiqua" w:cs="Times New Roman"/>
          <w:kern w:val="2"/>
          <w:sz w:val="24"/>
          <w:szCs w:val="24"/>
          <w:lang w:val="en-US" w:eastAsia="zh-CN"/>
        </w:rPr>
        <w:t>: 1441-1448 [PMID: 27797940 DOI: 10.1136/gutjnl-2016-312766]</w:t>
      </w:r>
    </w:p>
    <w:p w14:paraId="75E3C8CF"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205 </w:t>
      </w:r>
      <w:r w:rsidRPr="00F54EA8">
        <w:rPr>
          <w:rFonts w:ascii="Book Antiqua" w:eastAsia="SimSun" w:hAnsi="Book Antiqua" w:cs="Times New Roman"/>
          <w:b/>
          <w:kern w:val="2"/>
          <w:sz w:val="24"/>
          <w:szCs w:val="24"/>
          <w:lang w:val="en-US" w:eastAsia="zh-CN"/>
        </w:rPr>
        <w:t>Bezabeh T</w:t>
      </w:r>
      <w:r w:rsidRPr="00F54EA8">
        <w:rPr>
          <w:rFonts w:ascii="Book Antiqua" w:eastAsia="SimSun" w:hAnsi="Book Antiqua" w:cs="Times New Roman"/>
          <w:kern w:val="2"/>
          <w:sz w:val="24"/>
          <w:szCs w:val="24"/>
          <w:lang w:val="en-US" w:eastAsia="zh-CN"/>
        </w:rPr>
        <w:t xml:space="preserve">, Somorjai R, Dolenko B, Bryskina N, Levin B, Bernstein CN, Jeyarajah E, Steinhart AH, Rubin DT, Smith IC. Detecting colorectal cancer by 1H magnetic resonance spectroscopy of fecal extracts. </w:t>
      </w:r>
      <w:r w:rsidRPr="00F54EA8">
        <w:rPr>
          <w:rFonts w:ascii="Book Antiqua" w:eastAsia="SimSun" w:hAnsi="Book Antiqua" w:cs="Times New Roman"/>
          <w:i/>
          <w:kern w:val="2"/>
          <w:sz w:val="24"/>
          <w:szCs w:val="24"/>
          <w:lang w:val="en-US" w:eastAsia="zh-CN"/>
        </w:rPr>
        <w:t>NMR Biomed</w:t>
      </w:r>
      <w:r w:rsidRPr="00F54EA8">
        <w:rPr>
          <w:rFonts w:ascii="Book Antiqua" w:eastAsia="SimSun" w:hAnsi="Book Antiqua" w:cs="Times New Roman"/>
          <w:kern w:val="2"/>
          <w:sz w:val="24"/>
          <w:szCs w:val="24"/>
          <w:lang w:val="en-US" w:eastAsia="zh-CN"/>
        </w:rPr>
        <w:t xml:space="preserve"> 2009; </w:t>
      </w:r>
      <w:r w:rsidRPr="00F54EA8">
        <w:rPr>
          <w:rFonts w:ascii="Book Antiqua" w:eastAsia="SimSun" w:hAnsi="Book Antiqua" w:cs="Times New Roman"/>
          <w:b/>
          <w:kern w:val="2"/>
          <w:sz w:val="24"/>
          <w:szCs w:val="24"/>
          <w:lang w:val="en-US" w:eastAsia="zh-CN"/>
        </w:rPr>
        <w:t>22</w:t>
      </w:r>
      <w:r w:rsidRPr="00F54EA8">
        <w:rPr>
          <w:rFonts w:ascii="Book Antiqua" w:eastAsia="SimSun" w:hAnsi="Book Antiqua" w:cs="Times New Roman"/>
          <w:kern w:val="2"/>
          <w:sz w:val="24"/>
          <w:szCs w:val="24"/>
          <w:lang w:val="en-US" w:eastAsia="zh-CN"/>
        </w:rPr>
        <w:t>: 593-600 [PMID: 19259992 DOI: 10.1002/nbm.1372]</w:t>
      </w:r>
    </w:p>
    <w:p w14:paraId="3E9BA4A3"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206 </w:t>
      </w:r>
      <w:r w:rsidRPr="00F54EA8">
        <w:rPr>
          <w:rFonts w:ascii="Book Antiqua" w:eastAsia="SimSun" w:hAnsi="Book Antiqua" w:cs="Times New Roman"/>
          <w:b/>
          <w:kern w:val="2"/>
          <w:sz w:val="24"/>
          <w:szCs w:val="24"/>
          <w:lang w:val="en-US" w:eastAsia="zh-CN"/>
        </w:rPr>
        <w:t>Monleón D</w:t>
      </w:r>
      <w:r w:rsidRPr="00F54EA8">
        <w:rPr>
          <w:rFonts w:ascii="Book Antiqua" w:eastAsia="SimSun" w:hAnsi="Book Antiqua" w:cs="Times New Roman"/>
          <w:kern w:val="2"/>
          <w:sz w:val="24"/>
          <w:szCs w:val="24"/>
          <w:lang w:val="en-US" w:eastAsia="zh-CN"/>
        </w:rPr>
        <w:t xml:space="preserve">, Morales JM, Barrasa A, López JA, Vázquez C, Celda B. Metabolite profiling of fecal water extracts from human colorectal cancer. </w:t>
      </w:r>
      <w:r w:rsidRPr="00F54EA8">
        <w:rPr>
          <w:rFonts w:ascii="Book Antiqua" w:eastAsia="SimSun" w:hAnsi="Book Antiqua" w:cs="Times New Roman"/>
          <w:i/>
          <w:kern w:val="2"/>
          <w:sz w:val="24"/>
          <w:szCs w:val="24"/>
          <w:lang w:val="en-US" w:eastAsia="zh-CN"/>
        </w:rPr>
        <w:t>NMR Biomed</w:t>
      </w:r>
      <w:r w:rsidRPr="00F54EA8">
        <w:rPr>
          <w:rFonts w:ascii="Book Antiqua" w:eastAsia="SimSun" w:hAnsi="Book Antiqua" w:cs="Times New Roman"/>
          <w:kern w:val="2"/>
          <w:sz w:val="24"/>
          <w:szCs w:val="24"/>
          <w:lang w:val="en-US" w:eastAsia="zh-CN"/>
        </w:rPr>
        <w:t xml:space="preserve"> 2009; </w:t>
      </w:r>
      <w:r w:rsidRPr="00F54EA8">
        <w:rPr>
          <w:rFonts w:ascii="Book Antiqua" w:eastAsia="SimSun" w:hAnsi="Book Antiqua" w:cs="Times New Roman"/>
          <w:b/>
          <w:kern w:val="2"/>
          <w:sz w:val="24"/>
          <w:szCs w:val="24"/>
          <w:lang w:val="en-US" w:eastAsia="zh-CN"/>
        </w:rPr>
        <w:t>22</w:t>
      </w:r>
      <w:r w:rsidRPr="00F54EA8">
        <w:rPr>
          <w:rFonts w:ascii="Book Antiqua" w:eastAsia="SimSun" w:hAnsi="Book Antiqua" w:cs="Times New Roman"/>
          <w:kern w:val="2"/>
          <w:sz w:val="24"/>
          <w:szCs w:val="24"/>
          <w:lang w:val="en-US" w:eastAsia="zh-CN"/>
        </w:rPr>
        <w:t>: 342-348 [PMID: 19006102 DOI: 10.1002/nbm.1345]</w:t>
      </w:r>
    </w:p>
    <w:p w14:paraId="7407C938"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207 </w:t>
      </w:r>
      <w:r w:rsidRPr="00F54EA8">
        <w:rPr>
          <w:rFonts w:ascii="Book Antiqua" w:eastAsia="SimSun" w:hAnsi="Book Antiqua" w:cs="Times New Roman"/>
          <w:b/>
          <w:kern w:val="2"/>
          <w:sz w:val="24"/>
          <w:szCs w:val="24"/>
          <w:lang w:val="en-US" w:eastAsia="zh-CN"/>
        </w:rPr>
        <w:t>Goedert JJ</w:t>
      </w:r>
      <w:r w:rsidRPr="00F54EA8">
        <w:rPr>
          <w:rFonts w:ascii="Book Antiqua" w:eastAsia="SimSun" w:hAnsi="Book Antiqua" w:cs="Times New Roman"/>
          <w:kern w:val="2"/>
          <w:sz w:val="24"/>
          <w:szCs w:val="24"/>
          <w:lang w:val="en-US" w:eastAsia="zh-CN"/>
        </w:rPr>
        <w:t>, Sampson JN, Moore SC, Xiao Q, Xiong X, Hayes RB, Ahn J, Shi J, Sinha R. Fecal metabolomics: assay performance and association with colorectal cancer.</w:t>
      </w:r>
      <w:r w:rsidRPr="00F54EA8">
        <w:rPr>
          <w:rFonts w:ascii="Book Antiqua" w:eastAsia="SimSun" w:hAnsi="Book Antiqua" w:cs="Times New Roman" w:hint="eastAsia"/>
          <w:kern w:val="2"/>
          <w:sz w:val="24"/>
          <w:szCs w:val="24"/>
          <w:lang w:val="en-US" w:eastAsia="zh-CN"/>
        </w:rPr>
        <w:t xml:space="preserve"> </w:t>
      </w:r>
      <w:r w:rsidRPr="00F54EA8">
        <w:rPr>
          <w:rFonts w:ascii="Book Antiqua" w:eastAsia="SimSun" w:hAnsi="Book Antiqua" w:cs="Times New Roman"/>
          <w:i/>
          <w:kern w:val="2"/>
          <w:sz w:val="24"/>
          <w:szCs w:val="24"/>
          <w:lang w:val="en-US" w:eastAsia="zh-CN"/>
        </w:rPr>
        <w:t>Carcinogenesis</w:t>
      </w:r>
      <w:r w:rsidRPr="00F54EA8">
        <w:rPr>
          <w:rFonts w:ascii="Book Antiqua" w:eastAsia="SimSun" w:hAnsi="Book Antiqua" w:cs="Times New Roman"/>
          <w:kern w:val="2"/>
          <w:sz w:val="24"/>
          <w:szCs w:val="24"/>
          <w:lang w:val="en-US" w:eastAsia="zh-CN"/>
        </w:rPr>
        <w:t xml:space="preserve"> 2014; </w:t>
      </w:r>
      <w:r w:rsidRPr="00F54EA8">
        <w:rPr>
          <w:rFonts w:ascii="Book Antiqua" w:eastAsia="SimSun" w:hAnsi="Book Antiqua" w:cs="Times New Roman"/>
          <w:b/>
          <w:kern w:val="2"/>
          <w:sz w:val="24"/>
          <w:szCs w:val="24"/>
          <w:lang w:val="en-US" w:eastAsia="zh-CN"/>
        </w:rPr>
        <w:t>35</w:t>
      </w:r>
      <w:r w:rsidRPr="00F54EA8">
        <w:rPr>
          <w:rFonts w:ascii="Book Antiqua" w:eastAsia="SimSun" w:hAnsi="Book Antiqua" w:cs="Times New Roman"/>
          <w:kern w:val="2"/>
          <w:sz w:val="24"/>
          <w:szCs w:val="24"/>
          <w:lang w:val="en-US" w:eastAsia="zh-CN"/>
        </w:rPr>
        <w:t>: 2089-2096 [PMID: 25037050 DOI: 10.1093/carcin/bgu131]</w:t>
      </w:r>
    </w:p>
    <w:p w14:paraId="69BF5889"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208 </w:t>
      </w:r>
      <w:r w:rsidRPr="00F54EA8">
        <w:rPr>
          <w:rFonts w:ascii="Book Antiqua" w:eastAsia="SimSun" w:hAnsi="Book Antiqua" w:cs="Times New Roman"/>
          <w:b/>
          <w:kern w:val="2"/>
          <w:sz w:val="24"/>
          <w:szCs w:val="24"/>
          <w:lang w:val="en-US" w:eastAsia="zh-CN"/>
        </w:rPr>
        <w:t>Phua LC</w:t>
      </w:r>
      <w:r w:rsidRPr="00F54EA8">
        <w:rPr>
          <w:rFonts w:ascii="Book Antiqua" w:eastAsia="SimSun" w:hAnsi="Book Antiqua" w:cs="Times New Roman"/>
          <w:kern w:val="2"/>
          <w:sz w:val="24"/>
          <w:szCs w:val="24"/>
          <w:lang w:val="en-US" w:eastAsia="zh-CN"/>
        </w:rPr>
        <w:t xml:space="preserve">, Chue XP, Koh PK, Cheah PY, Ho HK, Chan EC. Non-invasive fecal metabonomic detection of colorectal cancer. </w:t>
      </w:r>
      <w:r w:rsidRPr="00F54EA8">
        <w:rPr>
          <w:rFonts w:ascii="Book Antiqua" w:eastAsia="SimSun" w:hAnsi="Book Antiqua" w:cs="Times New Roman"/>
          <w:i/>
          <w:kern w:val="2"/>
          <w:sz w:val="24"/>
          <w:szCs w:val="24"/>
          <w:lang w:val="en-US" w:eastAsia="zh-CN"/>
        </w:rPr>
        <w:t>Cancer Biol Ther</w:t>
      </w:r>
      <w:r w:rsidRPr="00F54EA8">
        <w:rPr>
          <w:rFonts w:ascii="Book Antiqua" w:eastAsia="SimSun" w:hAnsi="Book Antiqua" w:cs="Times New Roman"/>
          <w:kern w:val="2"/>
          <w:sz w:val="24"/>
          <w:szCs w:val="24"/>
          <w:lang w:val="en-US" w:eastAsia="zh-CN"/>
        </w:rPr>
        <w:t xml:space="preserve"> 2014; </w:t>
      </w:r>
      <w:r w:rsidRPr="00F54EA8">
        <w:rPr>
          <w:rFonts w:ascii="Book Antiqua" w:eastAsia="SimSun" w:hAnsi="Book Antiqua" w:cs="Times New Roman"/>
          <w:b/>
          <w:kern w:val="2"/>
          <w:sz w:val="24"/>
          <w:szCs w:val="24"/>
          <w:lang w:val="en-US" w:eastAsia="zh-CN"/>
        </w:rPr>
        <w:t>15</w:t>
      </w:r>
      <w:r w:rsidRPr="00F54EA8">
        <w:rPr>
          <w:rFonts w:ascii="Book Antiqua" w:eastAsia="SimSun" w:hAnsi="Book Antiqua" w:cs="Times New Roman"/>
          <w:kern w:val="2"/>
          <w:sz w:val="24"/>
          <w:szCs w:val="24"/>
          <w:lang w:val="en-US" w:eastAsia="zh-CN"/>
        </w:rPr>
        <w:t>: 389-397 [PMID: 24424155 DOI: 10.4161/cbt.27625]</w:t>
      </w:r>
    </w:p>
    <w:p w14:paraId="6CB46EE3"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209 </w:t>
      </w:r>
      <w:r w:rsidRPr="00F54EA8">
        <w:rPr>
          <w:rFonts w:ascii="Book Antiqua" w:eastAsia="SimSun" w:hAnsi="Book Antiqua" w:cs="Times New Roman"/>
          <w:b/>
          <w:kern w:val="2"/>
          <w:sz w:val="24"/>
          <w:szCs w:val="24"/>
          <w:lang w:val="en-US" w:eastAsia="zh-CN"/>
        </w:rPr>
        <w:t>de Meij TG</w:t>
      </w:r>
      <w:r w:rsidRPr="00F54EA8">
        <w:rPr>
          <w:rFonts w:ascii="Book Antiqua" w:eastAsia="SimSun" w:hAnsi="Book Antiqua" w:cs="Times New Roman"/>
          <w:kern w:val="2"/>
          <w:sz w:val="24"/>
          <w:szCs w:val="24"/>
          <w:lang w:val="en-US" w:eastAsia="zh-CN"/>
        </w:rPr>
        <w:t xml:space="preserve">, Larbi IB, van der Schee MP, Lentferink YE, Paff T, Terhaar Sive Droste JS, Mulder CJ, van Bodegraven AA, de Boer NK. Electronic nose can discriminate colorectal carcinoma and advanced adenomas by fecal volatile biomarker analysis: proof of principle study. </w:t>
      </w:r>
      <w:r w:rsidRPr="00F54EA8">
        <w:rPr>
          <w:rFonts w:ascii="Book Antiqua" w:eastAsia="SimSun" w:hAnsi="Book Antiqua" w:cs="Times New Roman"/>
          <w:i/>
          <w:kern w:val="2"/>
          <w:sz w:val="24"/>
          <w:szCs w:val="24"/>
          <w:lang w:val="en-US" w:eastAsia="zh-CN"/>
        </w:rPr>
        <w:t>Int J Cancer</w:t>
      </w:r>
      <w:r w:rsidRPr="00F54EA8">
        <w:rPr>
          <w:rFonts w:ascii="Book Antiqua" w:eastAsia="SimSun" w:hAnsi="Book Antiqua" w:cs="Times New Roman"/>
          <w:kern w:val="2"/>
          <w:sz w:val="24"/>
          <w:szCs w:val="24"/>
          <w:lang w:val="en-US" w:eastAsia="zh-CN"/>
        </w:rPr>
        <w:t xml:space="preserve"> 2014; </w:t>
      </w:r>
      <w:r w:rsidRPr="00F54EA8">
        <w:rPr>
          <w:rFonts w:ascii="Book Antiqua" w:eastAsia="SimSun" w:hAnsi="Book Antiqua" w:cs="Times New Roman"/>
          <w:b/>
          <w:kern w:val="2"/>
          <w:sz w:val="24"/>
          <w:szCs w:val="24"/>
          <w:lang w:val="en-US" w:eastAsia="zh-CN"/>
        </w:rPr>
        <w:t>134</w:t>
      </w:r>
      <w:r w:rsidRPr="00F54EA8">
        <w:rPr>
          <w:rFonts w:ascii="Book Antiqua" w:eastAsia="SimSun" w:hAnsi="Book Antiqua" w:cs="Times New Roman"/>
          <w:kern w:val="2"/>
          <w:sz w:val="24"/>
          <w:szCs w:val="24"/>
          <w:lang w:val="en-US" w:eastAsia="zh-CN"/>
        </w:rPr>
        <w:t xml:space="preserve">: 1132-1138 [PMID: </w:t>
      </w:r>
      <w:r w:rsidRPr="00F54EA8">
        <w:rPr>
          <w:rFonts w:ascii="Book Antiqua" w:eastAsia="SimSun" w:hAnsi="Book Antiqua" w:cs="Times New Roman"/>
          <w:kern w:val="2"/>
          <w:sz w:val="24"/>
          <w:szCs w:val="24"/>
          <w:lang w:val="en-US" w:eastAsia="zh-CN"/>
        </w:rPr>
        <w:lastRenderedPageBreak/>
        <w:t>23959518 DOI: 10.1002/ijc.28446]</w:t>
      </w:r>
    </w:p>
    <w:p w14:paraId="610EE29D"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210 </w:t>
      </w:r>
      <w:r w:rsidRPr="00F54EA8">
        <w:rPr>
          <w:rFonts w:ascii="Book Antiqua" w:eastAsia="SimSun" w:hAnsi="Book Antiqua" w:cs="Times New Roman"/>
          <w:b/>
          <w:kern w:val="2"/>
          <w:sz w:val="24"/>
          <w:szCs w:val="24"/>
          <w:lang w:val="en-US" w:eastAsia="zh-CN"/>
        </w:rPr>
        <w:t>Batty CA</w:t>
      </w:r>
      <w:r w:rsidRPr="00F54EA8">
        <w:rPr>
          <w:rFonts w:ascii="Book Antiqua" w:eastAsia="SimSun" w:hAnsi="Book Antiqua" w:cs="Times New Roman"/>
          <w:kern w:val="2"/>
          <w:sz w:val="24"/>
          <w:szCs w:val="24"/>
          <w:lang w:val="en-US" w:eastAsia="zh-CN"/>
        </w:rPr>
        <w:t xml:space="preserve">, Cauchi M, Lourenço C, Hunter JO, Turner C. Use of the Analysis of the Volatile Faecal Metabolome in Screening for Colorectal Cancer. </w:t>
      </w:r>
      <w:r w:rsidRPr="00F54EA8">
        <w:rPr>
          <w:rFonts w:ascii="Book Antiqua" w:eastAsia="SimSun" w:hAnsi="Book Antiqua" w:cs="Times New Roman"/>
          <w:i/>
          <w:kern w:val="2"/>
          <w:sz w:val="24"/>
          <w:szCs w:val="24"/>
          <w:lang w:val="en-US" w:eastAsia="zh-CN"/>
        </w:rPr>
        <w:t>PLoS One</w:t>
      </w:r>
      <w:r w:rsidRPr="00F54EA8">
        <w:rPr>
          <w:rFonts w:ascii="Book Antiqua" w:eastAsia="SimSun" w:hAnsi="Book Antiqua" w:cs="Times New Roman"/>
          <w:kern w:val="2"/>
          <w:sz w:val="24"/>
          <w:szCs w:val="24"/>
          <w:lang w:val="en-US" w:eastAsia="zh-CN"/>
        </w:rPr>
        <w:t xml:space="preserve"> 2015; </w:t>
      </w:r>
      <w:r w:rsidRPr="00F54EA8">
        <w:rPr>
          <w:rFonts w:ascii="Book Antiqua" w:eastAsia="SimSun" w:hAnsi="Book Antiqua" w:cs="Times New Roman"/>
          <w:b/>
          <w:kern w:val="2"/>
          <w:sz w:val="24"/>
          <w:szCs w:val="24"/>
          <w:lang w:val="en-US" w:eastAsia="zh-CN"/>
        </w:rPr>
        <w:t>10</w:t>
      </w:r>
      <w:r w:rsidRPr="00F54EA8">
        <w:rPr>
          <w:rFonts w:ascii="Book Antiqua" w:eastAsia="SimSun" w:hAnsi="Book Antiqua" w:cs="Times New Roman"/>
          <w:kern w:val="2"/>
          <w:sz w:val="24"/>
          <w:szCs w:val="24"/>
          <w:lang w:val="en-US" w:eastAsia="zh-CN"/>
        </w:rPr>
        <w:t>: e0130301 [PMID: 26086914 DOI: 10.1371/journal.pone.0130301]</w:t>
      </w:r>
    </w:p>
    <w:p w14:paraId="13188D4F"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211 </w:t>
      </w:r>
      <w:r w:rsidRPr="00F54EA8">
        <w:rPr>
          <w:rFonts w:ascii="Book Antiqua" w:eastAsia="SimSun" w:hAnsi="Book Antiqua" w:cs="Times New Roman"/>
          <w:b/>
          <w:kern w:val="2"/>
          <w:sz w:val="24"/>
          <w:szCs w:val="24"/>
          <w:lang w:val="en-US" w:eastAsia="zh-CN"/>
        </w:rPr>
        <w:t>Sinha R</w:t>
      </w:r>
      <w:r w:rsidRPr="00F54EA8">
        <w:rPr>
          <w:rFonts w:ascii="Book Antiqua" w:eastAsia="SimSun" w:hAnsi="Book Antiqua" w:cs="Times New Roman"/>
          <w:kern w:val="2"/>
          <w:sz w:val="24"/>
          <w:szCs w:val="24"/>
          <w:lang w:val="en-US" w:eastAsia="zh-CN"/>
        </w:rPr>
        <w:t xml:space="preserve">, Ahn J, Sampson JN, Shi J, Yu G, Xiong X, Hayes RB, Goedert JJ. Fecal Microbiota, Fecal Metabolome, and Colorectal Cancer Interrelations. </w:t>
      </w:r>
      <w:r w:rsidRPr="00F54EA8">
        <w:rPr>
          <w:rFonts w:ascii="Book Antiqua" w:eastAsia="SimSun" w:hAnsi="Book Antiqua" w:cs="Times New Roman"/>
          <w:i/>
          <w:kern w:val="2"/>
          <w:sz w:val="24"/>
          <w:szCs w:val="24"/>
          <w:lang w:val="en-US" w:eastAsia="zh-CN"/>
        </w:rPr>
        <w:t>PLoS One</w:t>
      </w:r>
      <w:r w:rsidRPr="00F54EA8">
        <w:rPr>
          <w:rFonts w:ascii="Book Antiqua" w:eastAsia="SimSun" w:hAnsi="Book Antiqua" w:cs="Times New Roman"/>
          <w:kern w:val="2"/>
          <w:sz w:val="24"/>
          <w:szCs w:val="24"/>
          <w:lang w:val="en-US" w:eastAsia="zh-CN"/>
        </w:rPr>
        <w:t xml:space="preserve"> 2016; </w:t>
      </w:r>
      <w:r w:rsidRPr="00F54EA8">
        <w:rPr>
          <w:rFonts w:ascii="Book Antiqua" w:eastAsia="SimSun" w:hAnsi="Book Antiqua" w:cs="Times New Roman"/>
          <w:b/>
          <w:kern w:val="2"/>
          <w:sz w:val="24"/>
          <w:szCs w:val="24"/>
          <w:lang w:val="en-US" w:eastAsia="zh-CN"/>
        </w:rPr>
        <w:t>11</w:t>
      </w:r>
      <w:r w:rsidRPr="00F54EA8">
        <w:rPr>
          <w:rFonts w:ascii="Book Antiqua" w:eastAsia="SimSun" w:hAnsi="Book Antiqua" w:cs="Times New Roman"/>
          <w:kern w:val="2"/>
          <w:sz w:val="24"/>
          <w:szCs w:val="24"/>
          <w:lang w:val="en-US" w:eastAsia="zh-CN"/>
        </w:rPr>
        <w:t>: e0152126 [PMID: 27015276 DOI: 10.1371/journal.pone.0152126]</w:t>
      </w:r>
    </w:p>
    <w:p w14:paraId="2FF1D53C"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212 </w:t>
      </w:r>
      <w:r w:rsidRPr="00F54EA8">
        <w:rPr>
          <w:rFonts w:ascii="Book Antiqua" w:eastAsia="SimSun" w:hAnsi="Book Antiqua" w:cs="Times New Roman"/>
          <w:b/>
          <w:kern w:val="2"/>
          <w:sz w:val="24"/>
          <w:szCs w:val="24"/>
          <w:lang w:val="en-US" w:eastAsia="zh-CN"/>
        </w:rPr>
        <w:t>Bronckaers A</w:t>
      </w:r>
      <w:r w:rsidRPr="00F54EA8">
        <w:rPr>
          <w:rFonts w:ascii="Book Antiqua" w:eastAsia="SimSun" w:hAnsi="Book Antiqua" w:cs="Times New Roman"/>
          <w:kern w:val="2"/>
          <w:sz w:val="24"/>
          <w:szCs w:val="24"/>
          <w:lang w:val="en-US" w:eastAsia="zh-CN"/>
        </w:rPr>
        <w:t xml:space="preserve">, Balzarini J, Liekens S. The cytostatic activity of pyrimidine nucleosides is strongly modulated by Mycoplasma hyorhinis infection: Implications for cancer therapy. </w:t>
      </w:r>
      <w:r w:rsidRPr="00F54EA8">
        <w:rPr>
          <w:rFonts w:ascii="Book Antiqua" w:eastAsia="SimSun" w:hAnsi="Book Antiqua" w:cs="Times New Roman"/>
          <w:i/>
          <w:kern w:val="2"/>
          <w:sz w:val="24"/>
          <w:szCs w:val="24"/>
          <w:lang w:val="en-US" w:eastAsia="zh-CN"/>
        </w:rPr>
        <w:t>Biochem Pharmacol</w:t>
      </w:r>
      <w:r w:rsidRPr="00F54EA8">
        <w:rPr>
          <w:rFonts w:ascii="Book Antiqua" w:eastAsia="SimSun" w:hAnsi="Book Antiqua" w:cs="Times New Roman"/>
          <w:kern w:val="2"/>
          <w:sz w:val="24"/>
          <w:szCs w:val="24"/>
          <w:lang w:val="en-US" w:eastAsia="zh-CN"/>
        </w:rPr>
        <w:t xml:space="preserve"> 2008; </w:t>
      </w:r>
      <w:r w:rsidRPr="00F54EA8">
        <w:rPr>
          <w:rFonts w:ascii="Book Antiqua" w:eastAsia="SimSun" w:hAnsi="Book Antiqua" w:cs="Times New Roman"/>
          <w:b/>
          <w:kern w:val="2"/>
          <w:sz w:val="24"/>
          <w:szCs w:val="24"/>
          <w:lang w:val="en-US" w:eastAsia="zh-CN"/>
        </w:rPr>
        <w:t>76</w:t>
      </w:r>
      <w:r w:rsidRPr="00F54EA8">
        <w:rPr>
          <w:rFonts w:ascii="Book Antiqua" w:eastAsia="SimSun" w:hAnsi="Book Antiqua" w:cs="Times New Roman"/>
          <w:kern w:val="2"/>
          <w:sz w:val="24"/>
          <w:szCs w:val="24"/>
          <w:lang w:val="en-US" w:eastAsia="zh-CN"/>
        </w:rPr>
        <w:t>: 188-197 [PMID: 18555978 DOI: 10.1016/j.bcp.2008.04.019]</w:t>
      </w:r>
    </w:p>
    <w:p w14:paraId="6B8E27DA"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213 </w:t>
      </w:r>
      <w:r w:rsidRPr="00F54EA8">
        <w:rPr>
          <w:rFonts w:ascii="Book Antiqua" w:eastAsia="SimSun" w:hAnsi="Book Antiqua" w:cs="Times New Roman"/>
          <w:b/>
          <w:kern w:val="2"/>
          <w:sz w:val="24"/>
          <w:szCs w:val="24"/>
          <w:lang w:val="en-US" w:eastAsia="zh-CN"/>
        </w:rPr>
        <w:t>Espín JC</w:t>
      </w:r>
      <w:r w:rsidRPr="00F54EA8">
        <w:rPr>
          <w:rFonts w:ascii="Book Antiqua" w:eastAsia="SimSun" w:hAnsi="Book Antiqua" w:cs="Times New Roman"/>
          <w:kern w:val="2"/>
          <w:sz w:val="24"/>
          <w:szCs w:val="24"/>
          <w:lang w:val="en-US" w:eastAsia="zh-CN"/>
        </w:rPr>
        <w:t>, González-Sarrías A, Tomás-Barberán FA. The gut microbiota: A key factor in the therapeutic effects of (poly</w:t>
      </w:r>
      <w:proofErr w:type="gramStart"/>
      <w:r w:rsidRPr="00F54EA8">
        <w:rPr>
          <w:rFonts w:ascii="Book Antiqua" w:eastAsia="SimSun" w:hAnsi="Book Antiqua" w:cs="Times New Roman"/>
          <w:kern w:val="2"/>
          <w:sz w:val="24"/>
          <w:szCs w:val="24"/>
          <w:lang w:val="en-US" w:eastAsia="zh-CN"/>
        </w:rPr>
        <w:t>)phenols</w:t>
      </w:r>
      <w:proofErr w:type="gramEnd"/>
      <w:r w:rsidRPr="00F54EA8">
        <w:rPr>
          <w:rFonts w:ascii="Book Antiqua" w:eastAsia="SimSun" w:hAnsi="Book Antiqua" w:cs="Times New Roman"/>
          <w:kern w:val="2"/>
          <w:sz w:val="24"/>
          <w:szCs w:val="24"/>
          <w:lang w:val="en-US" w:eastAsia="zh-CN"/>
        </w:rPr>
        <w:t xml:space="preserve">. </w:t>
      </w:r>
      <w:r w:rsidRPr="00F54EA8">
        <w:rPr>
          <w:rFonts w:ascii="Book Antiqua" w:eastAsia="SimSun" w:hAnsi="Book Antiqua" w:cs="Times New Roman"/>
          <w:i/>
          <w:kern w:val="2"/>
          <w:sz w:val="24"/>
          <w:szCs w:val="24"/>
          <w:lang w:val="en-US" w:eastAsia="zh-CN"/>
        </w:rPr>
        <w:t>Biochem Pharmacol</w:t>
      </w:r>
      <w:r w:rsidRPr="00F54EA8">
        <w:rPr>
          <w:rFonts w:ascii="Book Antiqua" w:eastAsia="SimSun" w:hAnsi="Book Antiqua" w:cs="Times New Roman"/>
          <w:kern w:val="2"/>
          <w:sz w:val="24"/>
          <w:szCs w:val="24"/>
          <w:lang w:val="en-US" w:eastAsia="zh-CN"/>
        </w:rPr>
        <w:t xml:space="preserve"> 2017; </w:t>
      </w:r>
      <w:r w:rsidRPr="00F54EA8">
        <w:rPr>
          <w:rFonts w:ascii="Book Antiqua" w:eastAsia="SimSun" w:hAnsi="Book Antiqua" w:cs="Times New Roman"/>
          <w:b/>
          <w:kern w:val="2"/>
          <w:sz w:val="24"/>
          <w:szCs w:val="24"/>
          <w:lang w:val="en-US" w:eastAsia="zh-CN"/>
        </w:rPr>
        <w:t>139</w:t>
      </w:r>
      <w:r w:rsidRPr="00F54EA8">
        <w:rPr>
          <w:rFonts w:ascii="Book Antiqua" w:eastAsia="SimSun" w:hAnsi="Book Antiqua" w:cs="Times New Roman"/>
          <w:kern w:val="2"/>
          <w:sz w:val="24"/>
          <w:szCs w:val="24"/>
          <w:lang w:val="en-US" w:eastAsia="zh-CN"/>
        </w:rPr>
        <w:t>: 82-93 [PMID: 28483461 DOI: 10.1016/j.bcp.2017.04.033]</w:t>
      </w:r>
    </w:p>
    <w:p w14:paraId="479BB3DB"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214 </w:t>
      </w:r>
      <w:r w:rsidRPr="00F54EA8">
        <w:rPr>
          <w:rFonts w:ascii="Book Antiqua" w:eastAsia="SimSun" w:hAnsi="Book Antiqua" w:cs="Times New Roman"/>
          <w:b/>
          <w:kern w:val="2"/>
          <w:sz w:val="24"/>
          <w:szCs w:val="24"/>
          <w:lang w:val="en-US" w:eastAsia="zh-CN"/>
        </w:rPr>
        <w:t>Guthrie L</w:t>
      </w:r>
      <w:r w:rsidRPr="00F54EA8">
        <w:rPr>
          <w:rFonts w:ascii="Book Antiqua" w:eastAsia="SimSun" w:hAnsi="Book Antiqua" w:cs="Times New Roman"/>
          <w:kern w:val="2"/>
          <w:sz w:val="24"/>
          <w:szCs w:val="24"/>
          <w:lang w:val="en-US" w:eastAsia="zh-CN"/>
        </w:rPr>
        <w:t xml:space="preserve">, Gupta S, Daily J, Kelly L. Human microbiome signatures of differential colorectal cancer drug metabolism. </w:t>
      </w:r>
      <w:r w:rsidRPr="00F54EA8">
        <w:rPr>
          <w:rFonts w:ascii="Book Antiqua" w:eastAsia="SimSun" w:hAnsi="Book Antiqua" w:cs="Times New Roman"/>
          <w:i/>
          <w:kern w:val="2"/>
          <w:sz w:val="24"/>
          <w:szCs w:val="24"/>
          <w:lang w:val="en-US" w:eastAsia="zh-CN"/>
        </w:rPr>
        <w:t>NPJ Biofilms Microbiomes</w:t>
      </w:r>
      <w:r w:rsidRPr="00F54EA8">
        <w:rPr>
          <w:rFonts w:ascii="Book Antiqua" w:eastAsia="SimSun" w:hAnsi="Book Antiqua" w:cs="Times New Roman"/>
          <w:kern w:val="2"/>
          <w:sz w:val="24"/>
          <w:szCs w:val="24"/>
          <w:lang w:val="en-US" w:eastAsia="zh-CN"/>
        </w:rPr>
        <w:t xml:space="preserve"> 2017; </w:t>
      </w:r>
      <w:r w:rsidRPr="00F54EA8">
        <w:rPr>
          <w:rFonts w:ascii="Book Antiqua" w:eastAsia="SimSun" w:hAnsi="Book Antiqua" w:cs="Times New Roman"/>
          <w:b/>
          <w:kern w:val="2"/>
          <w:sz w:val="24"/>
          <w:szCs w:val="24"/>
          <w:lang w:val="en-US" w:eastAsia="zh-CN"/>
        </w:rPr>
        <w:t>3</w:t>
      </w:r>
      <w:r w:rsidRPr="00F54EA8">
        <w:rPr>
          <w:rFonts w:ascii="Book Antiqua" w:eastAsia="SimSun" w:hAnsi="Book Antiqua" w:cs="Times New Roman"/>
          <w:kern w:val="2"/>
          <w:sz w:val="24"/>
          <w:szCs w:val="24"/>
          <w:lang w:val="en-US" w:eastAsia="zh-CN"/>
        </w:rPr>
        <w:t>: 27 [PMID: 29104759 DOI: 10.1038/s41522-017-0034-1]</w:t>
      </w:r>
    </w:p>
    <w:p w14:paraId="3B4FB459"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215 </w:t>
      </w:r>
      <w:r w:rsidRPr="00F54EA8">
        <w:rPr>
          <w:rFonts w:ascii="Book Antiqua" w:eastAsia="SimSun" w:hAnsi="Book Antiqua" w:cs="Times New Roman"/>
          <w:b/>
          <w:kern w:val="2"/>
          <w:sz w:val="24"/>
          <w:szCs w:val="24"/>
          <w:lang w:val="en-US" w:eastAsia="zh-CN"/>
        </w:rPr>
        <w:t>Vande Voorde J</w:t>
      </w:r>
      <w:r w:rsidRPr="00F54EA8">
        <w:rPr>
          <w:rFonts w:ascii="Book Antiqua" w:eastAsia="SimSun" w:hAnsi="Book Antiqua" w:cs="Times New Roman"/>
          <w:kern w:val="2"/>
          <w:sz w:val="24"/>
          <w:szCs w:val="24"/>
          <w:lang w:val="en-US" w:eastAsia="zh-CN"/>
        </w:rPr>
        <w:t xml:space="preserve">, Sabuncuoğlu S, Noppen S, Hofer A, Ranjbarian F, Fieuws S, Balzarini J, Liekens S. Nucleoside-catabolizing enzymes in mycoplasma-infected tumor cell cultures compromise the cytostatic activity of the anticancer drug gemcitabine. </w:t>
      </w:r>
      <w:r w:rsidRPr="00F54EA8">
        <w:rPr>
          <w:rFonts w:ascii="Book Antiqua" w:eastAsia="SimSun" w:hAnsi="Book Antiqua" w:cs="Times New Roman"/>
          <w:i/>
          <w:kern w:val="2"/>
          <w:sz w:val="24"/>
          <w:szCs w:val="24"/>
          <w:lang w:val="en-US" w:eastAsia="zh-CN"/>
        </w:rPr>
        <w:t>J Biol Chem</w:t>
      </w:r>
      <w:r w:rsidRPr="00F54EA8">
        <w:rPr>
          <w:rFonts w:ascii="Book Antiqua" w:eastAsia="SimSun" w:hAnsi="Book Antiqua" w:cs="Times New Roman"/>
          <w:kern w:val="2"/>
          <w:sz w:val="24"/>
          <w:szCs w:val="24"/>
          <w:lang w:val="en-US" w:eastAsia="zh-CN"/>
        </w:rPr>
        <w:t xml:space="preserve"> 2014; </w:t>
      </w:r>
      <w:r w:rsidRPr="00F54EA8">
        <w:rPr>
          <w:rFonts w:ascii="Book Antiqua" w:eastAsia="SimSun" w:hAnsi="Book Antiqua" w:cs="Times New Roman"/>
          <w:b/>
          <w:kern w:val="2"/>
          <w:sz w:val="24"/>
          <w:szCs w:val="24"/>
          <w:lang w:val="en-US" w:eastAsia="zh-CN"/>
        </w:rPr>
        <w:t>289</w:t>
      </w:r>
      <w:r w:rsidRPr="00F54EA8">
        <w:rPr>
          <w:rFonts w:ascii="Book Antiqua" w:eastAsia="SimSun" w:hAnsi="Book Antiqua" w:cs="Times New Roman"/>
          <w:kern w:val="2"/>
          <w:sz w:val="24"/>
          <w:szCs w:val="24"/>
          <w:lang w:val="en-US" w:eastAsia="zh-CN"/>
        </w:rPr>
        <w:t>: 13054-13065 [PMID: 24668817 DOI: 10.1074/jbc.M114.558924]</w:t>
      </w:r>
    </w:p>
    <w:p w14:paraId="7BC6815C"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216 </w:t>
      </w:r>
      <w:r w:rsidRPr="00F54EA8">
        <w:rPr>
          <w:rFonts w:ascii="Book Antiqua" w:eastAsia="SimSun" w:hAnsi="Book Antiqua" w:cs="Times New Roman"/>
          <w:b/>
          <w:kern w:val="2"/>
          <w:sz w:val="24"/>
          <w:szCs w:val="24"/>
          <w:lang w:val="en-US" w:eastAsia="zh-CN"/>
        </w:rPr>
        <w:t>Geller LT</w:t>
      </w:r>
      <w:r w:rsidRPr="00F54EA8">
        <w:rPr>
          <w:rFonts w:ascii="Book Antiqua" w:eastAsia="SimSun" w:hAnsi="Book Antiqua" w:cs="Times New Roman"/>
          <w:kern w:val="2"/>
          <w:sz w:val="24"/>
          <w:szCs w:val="24"/>
          <w:lang w:val="en-US" w:eastAsia="zh-CN"/>
        </w:rPr>
        <w:t xml:space="preserve">, Barzily-Rokni M, Danino T, Jonas OH, Shental N, Nejman D, Gavert N, Zwang Y, Cooper ZA, Shee K, Thaiss CA, Reuben A, Livny J, Avraham R, Frederick DT, Ligorio M, Chatman K, Johnston SE, Mosher CM, Brandis A, Fuks G, Gurbatri C, Gopalakrishnan V, Kim M, Hurd MW, Katz M, Fleming J, Maitra A, Smith DA, Skalak M, Bu J, Michaud M, Trauger SA, Barshack I, Golan T, Sandbank J, Flaherty KT, Mandinova A, Garrett WS, Thayer SP, Ferrone CR, Huttenhower C, Bhatia SN, Gevers D, Wargo JA, Golub TR, Straussman R. Potential role of intratumor bacteria in mediating tumor resistance to the chemotherapeutic drug gemcitabine. </w:t>
      </w:r>
      <w:r w:rsidRPr="00F54EA8">
        <w:rPr>
          <w:rFonts w:ascii="Book Antiqua" w:eastAsia="SimSun" w:hAnsi="Book Antiqua" w:cs="Times New Roman"/>
          <w:i/>
          <w:kern w:val="2"/>
          <w:sz w:val="24"/>
          <w:szCs w:val="24"/>
          <w:lang w:val="en-US" w:eastAsia="zh-CN"/>
        </w:rPr>
        <w:t>Science</w:t>
      </w:r>
      <w:r w:rsidRPr="00F54EA8">
        <w:rPr>
          <w:rFonts w:ascii="Book Antiqua" w:eastAsia="SimSun" w:hAnsi="Book Antiqua" w:cs="Times New Roman"/>
          <w:kern w:val="2"/>
          <w:sz w:val="24"/>
          <w:szCs w:val="24"/>
          <w:lang w:val="en-US" w:eastAsia="zh-CN"/>
        </w:rPr>
        <w:t xml:space="preserve"> 2017; </w:t>
      </w:r>
      <w:r w:rsidRPr="00F54EA8">
        <w:rPr>
          <w:rFonts w:ascii="Book Antiqua" w:eastAsia="SimSun" w:hAnsi="Book Antiqua" w:cs="Times New Roman"/>
          <w:b/>
          <w:kern w:val="2"/>
          <w:sz w:val="24"/>
          <w:szCs w:val="24"/>
          <w:lang w:val="en-US" w:eastAsia="zh-CN"/>
        </w:rPr>
        <w:t>357</w:t>
      </w:r>
      <w:r w:rsidRPr="00F54EA8">
        <w:rPr>
          <w:rFonts w:ascii="Book Antiqua" w:eastAsia="SimSun" w:hAnsi="Book Antiqua" w:cs="Times New Roman"/>
          <w:kern w:val="2"/>
          <w:sz w:val="24"/>
          <w:szCs w:val="24"/>
          <w:lang w:val="en-US" w:eastAsia="zh-CN"/>
        </w:rPr>
        <w:t xml:space="preserve">: 1156-1160 [PMID: 28912244 DOI: </w:t>
      </w:r>
      <w:r w:rsidRPr="00F54EA8">
        <w:rPr>
          <w:rFonts w:ascii="Book Antiqua" w:eastAsia="SimSun" w:hAnsi="Book Antiqua" w:cs="Times New Roman"/>
          <w:kern w:val="2"/>
          <w:sz w:val="24"/>
          <w:szCs w:val="24"/>
          <w:lang w:val="en-US" w:eastAsia="zh-CN"/>
        </w:rPr>
        <w:lastRenderedPageBreak/>
        <w:t>10.1126/science.aah5043]</w:t>
      </w:r>
    </w:p>
    <w:p w14:paraId="095DAE1F"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217 </w:t>
      </w:r>
      <w:r w:rsidRPr="00F54EA8">
        <w:rPr>
          <w:rFonts w:ascii="Book Antiqua" w:eastAsia="SimSun" w:hAnsi="Book Antiqua" w:cs="Times New Roman"/>
          <w:b/>
          <w:kern w:val="2"/>
          <w:sz w:val="24"/>
          <w:szCs w:val="24"/>
          <w:lang w:val="en-US" w:eastAsia="zh-CN"/>
        </w:rPr>
        <w:t>Geller LT</w:t>
      </w:r>
      <w:r w:rsidRPr="00F54EA8">
        <w:rPr>
          <w:rFonts w:ascii="Book Antiqua" w:eastAsia="SimSun" w:hAnsi="Book Antiqua" w:cs="Times New Roman"/>
          <w:kern w:val="2"/>
          <w:sz w:val="24"/>
          <w:szCs w:val="24"/>
          <w:lang w:val="en-US" w:eastAsia="zh-CN"/>
        </w:rPr>
        <w:t xml:space="preserve">, Straussman R. Intratumoral bacteria may elicit chemoresistance by metabolizing anticancer agents. </w:t>
      </w:r>
      <w:r w:rsidRPr="00F54EA8">
        <w:rPr>
          <w:rFonts w:ascii="Book Antiqua" w:eastAsia="SimSun" w:hAnsi="Book Antiqua" w:cs="Times New Roman"/>
          <w:i/>
          <w:kern w:val="2"/>
          <w:sz w:val="24"/>
          <w:szCs w:val="24"/>
          <w:lang w:val="en-US" w:eastAsia="zh-CN"/>
        </w:rPr>
        <w:t>Mol Cell Oncol</w:t>
      </w:r>
      <w:r w:rsidRPr="00F54EA8">
        <w:rPr>
          <w:rFonts w:ascii="Book Antiqua" w:eastAsia="SimSun" w:hAnsi="Book Antiqua" w:cs="Times New Roman"/>
          <w:kern w:val="2"/>
          <w:sz w:val="24"/>
          <w:szCs w:val="24"/>
          <w:lang w:val="en-US" w:eastAsia="zh-CN"/>
        </w:rPr>
        <w:t xml:space="preserve"> 2017; </w:t>
      </w:r>
      <w:r w:rsidRPr="00F54EA8">
        <w:rPr>
          <w:rFonts w:ascii="Book Antiqua" w:eastAsia="SimSun" w:hAnsi="Book Antiqua" w:cs="Times New Roman"/>
          <w:b/>
          <w:kern w:val="2"/>
          <w:sz w:val="24"/>
          <w:szCs w:val="24"/>
          <w:lang w:val="en-US" w:eastAsia="zh-CN"/>
        </w:rPr>
        <w:t>5</w:t>
      </w:r>
      <w:r w:rsidRPr="00F54EA8">
        <w:rPr>
          <w:rFonts w:ascii="Book Antiqua" w:eastAsia="SimSun" w:hAnsi="Book Antiqua" w:cs="Times New Roman"/>
          <w:kern w:val="2"/>
          <w:sz w:val="24"/>
          <w:szCs w:val="24"/>
          <w:lang w:val="en-US" w:eastAsia="zh-CN"/>
        </w:rPr>
        <w:t>: e1405139 [PMID: 29404397 DOI: 10.1080/23723556.2017.1405139]</w:t>
      </w:r>
    </w:p>
    <w:p w14:paraId="69ED8CF0"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218 </w:t>
      </w:r>
      <w:r w:rsidRPr="00F54EA8">
        <w:rPr>
          <w:rFonts w:ascii="Book Antiqua" w:eastAsia="SimSun" w:hAnsi="Book Antiqua" w:cs="Times New Roman"/>
          <w:b/>
          <w:kern w:val="2"/>
          <w:sz w:val="24"/>
          <w:szCs w:val="24"/>
          <w:lang w:val="en-US" w:eastAsia="zh-CN"/>
        </w:rPr>
        <w:t>Takasuna K</w:t>
      </w:r>
      <w:r w:rsidRPr="00F54EA8">
        <w:rPr>
          <w:rFonts w:ascii="Book Antiqua" w:eastAsia="SimSun" w:hAnsi="Book Antiqua" w:cs="Times New Roman"/>
          <w:kern w:val="2"/>
          <w:sz w:val="24"/>
          <w:szCs w:val="24"/>
          <w:lang w:val="en-US" w:eastAsia="zh-CN"/>
        </w:rPr>
        <w:t xml:space="preserve">, Hagiwara T, Hirohashi M, Kato M, Nomura M, Nagai E, Yokoi T, Kamataki T. Involvement of beta-glucuronidase in intestinal microflora in the intestinal toxicity of the antitumor camptothecin derivative irinotecan hydrochloride (CPT-11) in rats. </w:t>
      </w:r>
      <w:r w:rsidRPr="00F54EA8">
        <w:rPr>
          <w:rFonts w:ascii="Book Antiqua" w:eastAsia="SimSun" w:hAnsi="Book Antiqua" w:cs="Times New Roman"/>
          <w:i/>
          <w:kern w:val="2"/>
          <w:sz w:val="24"/>
          <w:szCs w:val="24"/>
          <w:lang w:val="en-US" w:eastAsia="zh-CN"/>
        </w:rPr>
        <w:t>Cancer Res</w:t>
      </w:r>
      <w:r w:rsidRPr="00F54EA8">
        <w:rPr>
          <w:rFonts w:ascii="Book Antiqua" w:eastAsia="SimSun" w:hAnsi="Book Antiqua" w:cs="Times New Roman"/>
          <w:kern w:val="2"/>
          <w:sz w:val="24"/>
          <w:szCs w:val="24"/>
          <w:lang w:val="en-US" w:eastAsia="zh-CN"/>
        </w:rPr>
        <w:t xml:space="preserve"> 1996; </w:t>
      </w:r>
      <w:r w:rsidRPr="00F54EA8">
        <w:rPr>
          <w:rFonts w:ascii="Book Antiqua" w:eastAsia="SimSun" w:hAnsi="Book Antiqua" w:cs="Times New Roman"/>
          <w:b/>
          <w:kern w:val="2"/>
          <w:sz w:val="24"/>
          <w:szCs w:val="24"/>
          <w:lang w:val="en-US" w:eastAsia="zh-CN"/>
        </w:rPr>
        <w:t>56</w:t>
      </w:r>
      <w:r w:rsidRPr="00F54EA8">
        <w:rPr>
          <w:rFonts w:ascii="Book Antiqua" w:eastAsia="SimSun" w:hAnsi="Book Antiqua" w:cs="Times New Roman"/>
          <w:kern w:val="2"/>
          <w:sz w:val="24"/>
          <w:szCs w:val="24"/>
          <w:lang w:val="en-US" w:eastAsia="zh-CN"/>
        </w:rPr>
        <w:t>: 3752-3757 [PMID: 8706020]</w:t>
      </w:r>
    </w:p>
    <w:p w14:paraId="5944BD6F"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219 </w:t>
      </w:r>
      <w:r w:rsidRPr="00F54EA8">
        <w:rPr>
          <w:rFonts w:ascii="Book Antiqua" w:eastAsia="SimSun" w:hAnsi="Book Antiqua" w:cs="Times New Roman"/>
          <w:b/>
          <w:kern w:val="2"/>
          <w:sz w:val="24"/>
          <w:szCs w:val="24"/>
          <w:lang w:val="en-US" w:eastAsia="zh-CN"/>
        </w:rPr>
        <w:t>Wallace BD</w:t>
      </w:r>
      <w:r w:rsidRPr="00F54EA8">
        <w:rPr>
          <w:rFonts w:ascii="Book Antiqua" w:eastAsia="SimSun" w:hAnsi="Book Antiqua" w:cs="Times New Roman"/>
          <w:kern w:val="2"/>
          <w:sz w:val="24"/>
          <w:szCs w:val="24"/>
          <w:lang w:val="en-US" w:eastAsia="zh-CN"/>
        </w:rPr>
        <w:t xml:space="preserve">, Wang H, Lane KT, Scott JE, Orans J, Koo JS, Venkatesh M, Jobin C, Yeh LA, Mani S, Redinbo MR. Alleviating cancer drug toxicity by inhibiting a bacterial enzyme. </w:t>
      </w:r>
      <w:r w:rsidRPr="00F54EA8">
        <w:rPr>
          <w:rFonts w:ascii="Book Antiqua" w:eastAsia="SimSun" w:hAnsi="Book Antiqua" w:cs="Times New Roman"/>
          <w:i/>
          <w:kern w:val="2"/>
          <w:sz w:val="24"/>
          <w:szCs w:val="24"/>
          <w:lang w:val="en-US" w:eastAsia="zh-CN"/>
        </w:rPr>
        <w:t>Science</w:t>
      </w:r>
      <w:r w:rsidRPr="00F54EA8">
        <w:rPr>
          <w:rFonts w:ascii="Book Antiqua" w:eastAsia="SimSun" w:hAnsi="Book Antiqua" w:cs="Times New Roman"/>
          <w:kern w:val="2"/>
          <w:sz w:val="24"/>
          <w:szCs w:val="24"/>
          <w:lang w:val="en-US" w:eastAsia="zh-CN"/>
        </w:rPr>
        <w:t xml:space="preserve"> 2010; </w:t>
      </w:r>
      <w:r w:rsidRPr="00F54EA8">
        <w:rPr>
          <w:rFonts w:ascii="Book Antiqua" w:eastAsia="SimSun" w:hAnsi="Book Antiqua" w:cs="Times New Roman"/>
          <w:b/>
          <w:kern w:val="2"/>
          <w:sz w:val="24"/>
          <w:szCs w:val="24"/>
          <w:lang w:val="en-US" w:eastAsia="zh-CN"/>
        </w:rPr>
        <w:t>330</w:t>
      </w:r>
      <w:r w:rsidRPr="00F54EA8">
        <w:rPr>
          <w:rFonts w:ascii="Book Antiqua" w:eastAsia="SimSun" w:hAnsi="Book Antiqua" w:cs="Times New Roman"/>
          <w:kern w:val="2"/>
          <w:sz w:val="24"/>
          <w:szCs w:val="24"/>
          <w:lang w:val="en-US" w:eastAsia="zh-CN"/>
        </w:rPr>
        <w:t>: 831-835 [PMID: 21051639 DOI: 10.1126/science.1191175]</w:t>
      </w:r>
    </w:p>
    <w:p w14:paraId="3D243AE5"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220 </w:t>
      </w:r>
      <w:r w:rsidRPr="00F54EA8">
        <w:rPr>
          <w:rFonts w:ascii="Book Antiqua" w:eastAsia="SimSun" w:hAnsi="Book Antiqua" w:cs="Times New Roman"/>
          <w:b/>
          <w:kern w:val="2"/>
          <w:sz w:val="24"/>
          <w:szCs w:val="24"/>
          <w:lang w:val="en-US" w:eastAsia="zh-CN"/>
        </w:rPr>
        <w:t>Nakayama H</w:t>
      </w:r>
      <w:r w:rsidRPr="00F54EA8">
        <w:rPr>
          <w:rFonts w:ascii="Book Antiqua" w:eastAsia="SimSun" w:hAnsi="Book Antiqua" w:cs="Times New Roman"/>
          <w:kern w:val="2"/>
          <w:sz w:val="24"/>
          <w:szCs w:val="24"/>
          <w:lang w:val="en-US" w:eastAsia="zh-CN"/>
        </w:rPr>
        <w:t xml:space="preserve">, Kinouchi T, Kataoka K, Akimoto S, Matsuda Y, Ohnishi Y. Intestinal anaerobic bacteria hydrolyse sorivudine, producing the high blood concentration of 5-(E)-(2-bromovinyl)uracil that increases the level and toxicity of 5-fluorouracil. </w:t>
      </w:r>
      <w:r w:rsidRPr="00F54EA8">
        <w:rPr>
          <w:rFonts w:ascii="Book Antiqua" w:eastAsia="SimSun" w:hAnsi="Book Antiqua" w:cs="Times New Roman"/>
          <w:i/>
          <w:kern w:val="2"/>
          <w:sz w:val="24"/>
          <w:szCs w:val="24"/>
          <w:lang w:val="en-US" w:eastAsia="zh-CN"/>
        </w:rPr>
        <w:t>Pharmacogenetics</w:t>
      </w:r>
      <w:r w:rsidRPr="00F54EA8">
        <w:rPr>
          <w:rFonts w:ascii="Book Antiqua" w:eastAsia="SimSun" w:hAnsi="Book Antiqua" w:cs="Times New Roman"/>
          <w:kern w:val="2"/>
          <w:sz w:val="24"/>
          <w:szCs w:val="24"/>
          <w:lang w:val="en-US" w:eastAsia="zh-CN"/>
        </w:rPr>
        <w:t xml:space="preserve"> 1997; </w:t>
      </w:r>
      <w:r w:rsidRPr="00F54EA8">
        <w:rPr>
          <w:rFonts w:ascii="Book Antiqua" w:eastAsia="SimSun" w:hAnsi="Book Antiqua" w:cs="Times New Roman"/>
          <w:b/>
          <w:kern w:val="2"/>
          <w:sz w:val="24"/>
          <w:szCs w:val="24"/>
          <w:lang w:val="en-US" w:eastAsia="zh-CN"/>
        </w:rPr>
        <w:t>7</w:t>
      </w:r>
      <w:r w:rsidRPr="00F54EA8">
        <w:rPr>
          <w:rFonts w:ascii="Book Antiqua" w:eastAsia="SimSun" w:hAnsi="Book Antiqua" w:cs="Times New Roman"/>
          <w:kern w:val="2"/>
          <w:sz w:val="24"/>
          <w:szCs w:val="24"/>
          <w:lang w:val="en-US" w:eastAsia="zh-CN"/>
        </w:rPr>
        <w:t>: 35-43 [PMID: 9110360]</w:t>
      </w:r>
    </w:p>
    <w:p w14:paraId="31F4286D"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221 </w:t>
      </w:r>
      <w:r w:rsidRPr="00F54EA8">
        <w:rPr>
          <w:rFonts w:ascii="Book Antiqua" w:eastAsia="SimSun" w:hAnsi="Book Antiqua" w:cs="Times New Roman"/>
          <w:b/>
          <w:kern w:val="2"/>
          <w:sz w:val="24"/>
          <w:szCs w:val="24"/>
          <w:lang w:val="en-US" w:eastAsia="zh-CN"/>
        </w:rPr>
        <w:t>Yu T</w:t>
      </w:r>
      <w:r w:rsidRPr="00F54EA8">
        <w:rPr>
          <w:rFonts w:ascii="Book Antiqua" w:eastAsia="SimSun" w:hAnsi="Book Antiqua" w:cs="Times New Roman"/>
          <w:kern w:val="2"/>
          <w:sz w:val="24"/>
          <w:szCs w:val="24"/>
          <w:lang w:val="en-US" w:eastAsia="zh-CN"/>
        </w:rPr>
        <w:t xml:space="preserve">, Guo F, Yu Y, Sun T, Ma D, Han J, Qian Y, Kryczek I, Sun D, Nagarsheth N, Chen Y, Chen H, Hong J, Zou W, Fang JY. Fusobacterium nucleatum Promotes Chemoresistance to Colorectal Cancer by Modulating Autophagy. </w:t>
      </w:r>
      <w:r w:rsidRPr="00F54EA8">
        <w:rPr>
          <w:rFonts w:ascii="Book Antiqua" w:eastAsia="SimSun" w:hAnsi="Book Antiqua" w:cs="Times New Roman"/>
          <w:i/>
          <w:kern w:val="2"/>
          <w:sz w:val="24"/>
          <w:szCs w:val="24"/>
          <w:lang w:val="en-US" w:eastAsia="zh-CN"/>
        </w:rPr>
        <w:t>Cell</w:t>
      </w:r>
      <w:r w:rsidRPr="00F54EA8">
        <w:rPr>
          <w:rFonts w:ascii="Book Antiqua" w:eastAsia="SimSun" w:hAnsi="Book Antiqua" w:cs="Times New Roman"/>
          <w:kern w:val="2"/>
          <w:sz w:val="24"/>
          <w:szCs w:val="24"/>
          <w:lang w:val="en-US" w:eastAsia="zh-CN"/>
        </w:rPr>
        <w:t xml:space="preserve"> 2017; </w:t>
      </w:r>
      <w:r w:rsidRPr="00F54EA8">
        <w:rPr>
          <w:rFonts w:ascii="Book Antiqua" w:eastAsia="SimSun" w:hAnsi="Book Antiqua" w:cs="Times New Roman"/>
          <w:b/>
          <w:kern w:val="2"/>
          <w:sz w:val="24"/>
          <w:szCs w:val="24"/>
          <w:lang w:val="en-US" w:eastAsia="zh-CN"/>
        </w:rPr>
        <w:t>170</w:t>
      </w:r>
      <w:r w:rsidRPr="00F54EA8">
        <w:rPr>
          <w:rFonts w:ascii="Book Antiqua" w:eastAsia="SimSun" w:hAnsi="Book Antiqua" w:cs="Times New Roman"/>
          <w:kern w:val="2"/>
          <w:sz w:val="24"/>
          <w:szCs w:val="24"/>
          <w:lang w:val="en-US" w:eastAsia="zh-CN"/>
        </w:rPr>
        <w:t>: 548-563.e16 [PMID: 28753429 DOI: 10.1016/j.cell.2017.07.008]</w:t>
      </w:r>
    </w:p>
    <w:p w14:paraId="7EBFB124"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222 </w:t>
      </w:r>
      <w:r w:rsidRPr="00F54EA8">
        <w:rPr>
          <w:rFonts w:ascii="Book Antiqua" w:eastAsia="SimSun" w:hAnsi="Book Antiqua" w:cs="Times New Roman"/>
          <w:b/>
          <w:kern w:val="2"/>
          <w:sz w:val="24"/>
          <w:szCs w:val="24"/>
          <w:lang w:val="en-US" w:eastAsia="zh-CN"/>
        </w:rPr>
        <w:t>Lehouritis P</w:t>
      </w:r>
      <w:r w:rsidRPr="00F54EA8">
        <w:rPr>
          <w:rFonts w:ascii="Book Antiqua" w:eastAsia="SimSun" w:hAnsi="Book Antiqua" w:cs="Times New Roman"/>
          <w:kern w:val="2"/>
          <w:sz w:val="24"/>
          <w:szCs w:val="24"/>
          <w:lang w:val="en-US" w:eastAsia="zh-CN"/>
        </w:rPr>
        <w:t xml:space="preserve">, Cummins J, Stanton M, Murphy CT, McCarthy FO, Reid G, Urbaniak C, Byrne WL, Tangney M. Local bacteria affect the efficacy of chemotherapeutic drugs. </w:t>
      </w:r>
      <w:r w:rsidRPr="00F54EA8">
        <w:rPr>
          <w:rFonts w:ascii="Book Antiqua" w:eastAsia="SimSun" w:hAnsi="Book Antiqua" w:cs="Times New Roman"/>
          <w:i/>
          <w:kern w:val="2"/>
          <w:sz w:val="24"/>
          <w:szCs w:val="24"/>
          <w:lang w:val="en-US" w:eastAsia="zh-CN"/>
        </w:rPr>
        <w:t>Sci Rep</w:t>
      </w:r>
      <w:r w:rsidRPr="00F54EA8">
        <w:rPr>
          <w:rFonts w:ascii="Book Antiqua" w:eastAsia="SimSun" w:hAnsi="Book Antiqua" w:cs="Times New Roman"/>
          <w:kern w:val="2"/>
          <w:sz w:val="24"/>
          <w:szCs w:val="24"/>
          <w:lang w:val="en-US" w:eastAsia="zh-CN"/>
        </w:rPr>
        <w:t xml:space="preserve"> 2015; </w:t>
      </w:r>
      <w:r w:rsidRPr="00F54EA8">
        <w:rPr>
          <w:rFonts w:ascii="Book Antiqua" w:eastAsia="SimSun" w:hAnsi="Book Antiqua" w:cs="Times New Roman"/>
          <w:b/>
          <w:kern w:val="2"/>
          <w:sz w:val="24"/>
          <w:szCs w:val="24"/>
          <w:lang w:val="en-US" w:eastAsia="zh-CN"/>
        </w:rPr>
        <w:t>5</w:t>
      </w:r>
      <w:r w:rsidRPr="00F54EA8">
        <w:rPr>
          <w:rFonts w:ascii="Book Antiqua" w:eastAsia="SimSun" w:hAnsi="Book Antiqua" w:cs="Times New Roman"/>
          <w:kern w:val="2"/>
          <w:sz w:val="24"/>
          <w:szCs w:val="24"/>
          <w:lang w:val="en-US" w:eastAsia="zh-CN"/>
        </w:rPr>
        <w:t>: 14554 [PMID: 26416623 DOI: 10.1038/srep14554]</w:t>
      </w:r>
    </w:p>
    <w:p w14:paraId="1AFBA03A"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223 </w:t>
      </w:r>
      <w:r w:rsidRPr="00F54EA8">
        <w:rPr>
          <w:rFonts w:ascii="Book Antiqua" w:eastAsia="SimSun" w:hAnsi="Book Antiqua" w:cs="Times New Roman"/>
          <w:b/>
          <w:kern w:val="2"/>
          <w:sz w:val="24"/>
          <w:szCs w:val="24"/>
          <w:lang w:val="en-US" w:eastAsia="zh-CN"/>
        </w:rPr>
        <w:t>Daillère R</w:t>
      </w:r>
      <w:r w:rsidRPr="00F54EA8">
        <w:rPr>
          <w:rFonts w:ascii="Book Antiqua" w:eastAsia="SimSun" w:hAnsi="Book Antiqua" w:cs="Times New Roman"/>
          <w:kern w:val="2"/>
          <w:sz w:val="24"/>
          <w:szCs w:val="24"/>
          <w:lang w:val="en-US" w:eastAsia="zh-CN"/>
        </w:rPr>
        <w:t xml:space="preserve">, Vétizou M, Waldschmitt N, Yamazaki T, Isnard C, Poirier-Colame V, Duong CPM, Flament C, Lepage P, Roberti MP, Routy B, Jacquelot N, Apetoh L, Becharef S, Rusakiewicz S, Langella P, Sokol H, Kroemer G, Enot D, Roux A, Eggermont A, Tartour E, Johannes L, Woerther PL, Chachaty E, Soria JC, Golden E, Formenti S, Plebanski M, Madondo M, Rosenstiel P, Raoult D, Cattoir V, Boneca IG, Chamaillard M, Zitvogel L. Enterococcus hirae and Barnesiella intestinihominis Facilitate Cyclophosphamide-Induced Therapeutic Immunomodulatory Effects. </w:t>
      </w:r>
      <w:r w:rsidRPr="00F54EA8">
        <w:rPr>
          <w:rFonts w:ascii="Book Antiqua" w:eastAsia="SimSun" w:hAnsi="Book Antiqua" w:cs="Times New Roman"/>
          <w:i/>
          <w:kern w:val="2"/>
          <w:sz w:val="24"/>
          <w:szCs w:val="24"/>
          <w:lang w:val="en-US" w:eastAsia="zh-CN"/>
        </w:rPr>
        <w:lastRenderedPageBreak/>
        <w:t>Immunity</w:t>
      </w:r>
      <w:r w:rsidRPr="00F54EA8">
        <w:rPr>
          <w:rFonts w:ascii="Book Antiqua" w:eastAsia="SimSun" w:hAnsi="Book Antiqua" w:cs="Times New Roman"/>
          <w:kern w:val="2"/>
          <w:sz w:val="24"/>
          <w:szCs w:val="24"/>
          <w:lang w:val="en-US" w:eastAsia="zh-CN"/>
        </w:rPr>
        <w:t xml:space="preserve"> 2016; </w:t>
      </w:r>
      <w:r w:rsidRPr="00F54EA8">
        <w:rPr>
          <w:rFonts w:ascii="Book Antiqua" w:eastAsia="SimSun" w:hAnsi="Book Antiqua" w:cs="Times New Roman"/>
          <w:b/>
          <w:kern w:val="2"/>
          <w:sz w:val="24"/>
          <w:szCs w:val="24"/>
          <w:lang w:val="en-US" w:eastAsia="zh-CN"/>
        </w:rPr>
        <w:t>45</w:t>
      </w:r>
      <w:r w:rsidRPr="00F54EA8">
        <w:rPr>
          <w:rFonts w:ascii="Book Antiqua" w:eastAsia="SimSun" w:hAnsi="Book Antiqua" w:cs="Times New Roman"/>
          <w:kern w:val="2"/>
          <w:sz w:val="24"/>
          <w:szCs w:val="24"/>
          <w:lang w:val="en-US" w:eastAsia="zh-CN"/>
        </w:rPr>
        <w:t>: 931-943 [PMID: 27717798 DOI: 10.1016/j.immuni.2016.09.009]</w:t>
      </w:r>
    </w:p>
    <w:p w14:paraId="423E84FF"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224 </w:t>
      </w:r>
      <w:r w:rsidRPr="00F54EA8">
        <w:rPr>
          <w:rFonts w:ascii="Book Antiqua" w:eastAsia="SimSun" w:hAnsi="Book Antiqua" w:cs="Times New Roman"/>
          <w:b/>
          <w:kern w:val="2"/>
          <w:sz w:val="24"/>
          <w:szCs w:val="24"/>
          <w:lang w:val="en-US" w:eastAsia="zh-CN"/>
        </w:rPr>
        <w:t>Iida N</w:t>
      </w:r>
      <w:r w:rsidRPr="00F54EA8">
        <w:rPr>
          <w:rFonts w:ascii="Book Antiqua" w:eastAsia="SimSun" w:hAnsi="Book Antiqua" w:cs="Times New Roman"/>
          <w:kern w:val="2"/>
          <w:sz w:val="24"/>
          <w:szCs w:val="24"/>
          <w:lang w:val="en-US" w:eastAsia="zh-CN"/>
        </w:rPr>
        <w:t xml:space="preserve">, Dzutsev A, Stewart CA, Smith L, Bouladoux N, Weingarten RA, Molina DA, Salcedo R, Back T, Cramer S, Dai RM, Kiu H, Cardone M, Naik S, Patri AK, Wang E, Marincola FM, Frank KM, Belkaid Y, Trinchieri G, Goldszmid RS. Commensal bacteria control cancer response to therapy by modulating the tumor microenvironment. </w:t>
      </w:r>
      <w:r w:rsidRPr="00F54EA8">
        <w:rPr>
          <w:rFonts w:ascii="Book Antiqua" w:eastAsia="SimSun" w:hAnsi="Book Antiqua" w:cs="Times New Roman"/>
          <w:i/>
          <w:kern w:val="2"/>
          <w:sz w:val="24"/>
          <w:szCs w:val="24"/>
          <w:lang w:val="en-US" w:eastAsia="zh-CN"/>
        </w:rPr>
        <w:t>Science</w:t>
      </w:r>
      <w:r w:rsidRPr="00F54EA8">
        <w:rPr>
          <w:rFonts w:ascii="Book Antiqua" w:eastAsia="SimSun" w:hAnsi="Book Antiqua" w:cs="Times New Roman"/>
          <w:kern w:val="2"/>
          <w:sz w:val="24"/>
          <w:szCs w:val="24"/>
          <w:lang w:val="en-US" w:eastAsia="zh-CN"/>
        </w:rPr>
        <w:t xml:space="preserve"> 2013; </w:t>
      </w:r>
      <w:r w:rsidRPr="00F54EA8">
        <w:rPr>
          <w:rFonts w:ascii="Book Antiqua" w:eastAsia="SimSun" w:hAnsi="Book Antiqua" w:cs="Times New Roman"/>
          <w:b/>
          <w:kern w:val="2"/>
          <w:sz w:val="24"/>
          <w:szCs w:val="24"/>
          <w:lang w:val="en-US" w:eastAsia="zh-CN"/>
        </w:rPr>
        <w:t>342</w:t>
      </w:r>
      <w:r w:rsidRPr="00F54EA8">
        <w:rPr>
          <w:rFonts w:ascii="Book Antiqua" w:eastAsia="SimSun" w:hAnsi="Book Antiqua" w:cs="Times New Roman"/>
          <w:kern w:val="2"/>
          <w:sz w:val="24"/>
          <w:szCs w:val="24"/>
          <w:lang w:val="en-US" w:eastAsia="zh-CN"/>
        </w:rPr>
        <w:t>: 967-970 [PMID: 24264989 DOI: 10.1126/science.1240527]</w:t>
      </w:r>
    </w:p>
    <w:p w14:paraId="7380FFC1"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225 </w:t>
      </w:r>
      <w:r w:rsidRPr="00F54EA8">
        <w:rPr>
          <w:rFonts w:ascii="Book Antiqua" w:eastAsia="SimSun" w:hAnsi="Book Antiqua" w:cs="Times New Roman"/>
          <w:b/>
          <w:kern w:val="2"/>
          <w:sz w:val="24"/>
          <w:szCs w:val="24"/>
          <w:lang w:val="en-US" w:eastAsia="zh-CN"/>
        </w:rPr>
        <w:t>Kuczma MP</w:t>
      </w:r>
      <w:r w:rsidRPr="00F54EA8">
        <w:rPr>
          <w:rFonts w:ascii="Book Antiqua" w:eastAsia="SimSun" w:hAnsi="Book Antiqua" w:cs="Times New Roman"/>
          <w:kern w:val="2"/>
          <w:sz w:val="24"/>
          <w:szCs w:val="24"/>
          <w:lang w:val="en-US" w:eastAsia="zh-CN"/>
        </w:rPr>
        <w:t xml:space="preserve">, Ding ZC, Li T, Habtetsion T, Chen T, Hao Z, Bryan L, Singh N, Kochenderfer JN, Zhou G. The impact of antibiotic usage on the efficacy of chemoimmunotherapy is contingent on the source of tumor-reactive T cells. </w:t>
      </w:r>
      <w:r w:rsidRPr="00F54EA8">
        <w:rPr>
          <w:rFonts w:ascii="Book Antiqua" w:eastAsia="SimSun" w:hAnsi="Book Antiqua" w:cs="Times New Roman"/>
          <w:i/>
          <w:kern w:val="2"/>
          <w:sz w:val="24"/>
          <w:szCs w:val="24"/>
          <w:lang w:val="en-US" w:eastAsia="zh-CN"/>
        </w:rPr>
        <w:t>Oncotarget</w:t>
      </w:r>
      <w:r w:rsidRPr="00F54EA8">
        <w:rPr>
          <w:rFonts w:ascii="Book Antiqua" w:eastAsia="SimSun" w:hAnsi="Book Antiqua" w:cs="Times New Roman"/>
          <w:kern w:val="2"/>
          <w:sz w:val="24"/>
          <w:szCs w:val="24"/>
          <w:lang w:val="en-US" w:eastAsia="zh-CN"/>
        </w:rPr>
        <w:t xml:space="preserve"> 2017; </w:t>
      </w:r>
      <w:r w:rsidRPr="00F54EA8">
        <w:rPr>
          <w:rFonts w:ascii="Book Antiqua" w:eastAsia="SimSun" w:hAnsi="Book Antiqua" w:cs="Times New Roman"/>
          <w:b/>
          <w:kern w:val="2"/>
          <w:sz w:val="24"/>
          <w:szCs w:val="24"/>
          <w:lang w:val="en-US" w:eastAsia="zh-CN"/>
        </w:rPr>
        <w:t>8</w:t>
      </w:r>
      <w:r w:rsidRPr="00F54EA8">
        <w:rPr>
          <w:rFonts w:ascii="Book Antiqua" w:eastAsia="SimSun" w:hAnsi="Book Antiqua" w:cs="Times New Roman"/>
          <w:kern w:val="2"/>
          <w:sz w:val="24"/>
          <w:szCs w:val="24"/>
          <w:lang w:val="en-US" w:eastAsia="zh-CN"/>
        </w:rPr>
        <w:t>: 111931-111942 [PMID: 29340102 DOI: 10.18632/oncotarget.22953]</w:t>
      </w:r>
    </w:p>
    <w:p w14:paraId="36E07624"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226 </w:t>
      </w:r>
      <w:r w:rsidRPr="00F54EA8">
        <w:rPr>
          <w:rFonts w:ascii="Book Antiqua" w:eastAsia="SimSun" w:hAnsi="Book Antiqua" w:cs="Times New Roman"/>
          <w:b/>
          <w:kern w:val="2"/>
          <w:sz w:val="24"/>
          <w:szCs w:val="24"/>
          <w:lang w:val="en-US" w:eastAsia="zh-CN"/>
        </w:rPr>
        <w:t>Viaud S</w:t>
      </w:r>
      <w:r w:rsidRPr="00F54EA8">
        <w:rPr>
          <w:rFonts w:ascii="Book Antiqua" w:eastAsia="SimSun" w:hAnsi="Book Antiqua" w:cs="Times New Roman"/>
          <w:kern w:val="2"/>
          <w:sz w:val="24"/>
          <w:szCs w:val="24"/>
          <w:lang w:val="en-US" w:eastAsia="zh-CN"/>
        </w:rPr>
        <w:t xml:space="preserve">, Saccheri F, Mignot G, Yamazaki T, Daillère R, Hannani D, Enot DP, Pfirschke C, Engblom C, Pittet MJ, Schlitzer A, Ginhoux F, Apetoh L, Chachaty E, Woerther PL, Eberl G, Bérard M, Ecobichon C, Clermont D, Bizet C, Gaboriau-Routhiau V, Cerf-Bensussan N, Opolon P, Yessaad N, Vivier E, Ryffel B, Elson CO, Doré J, Kroemer G, Lepage P, Boneca IG, Ghiringhelli F, Zitvogel L. The intestinal microbiota modulates the anticancer immune effects of cyclophosphamide. </w:t>
      </w:r>
      <w:r w:rsidRPr="00F54EA8">
        <w:rPr>
          <w:rFonts w:ascii="Book Antiqua" w:eastAsia="SimSun" w:hAnsi="Book Antiqua" w:cs="Times New Roman"/>
          <w:i/>
          <w:kern w:val="2"/>
          <w:sz w:val="24"/>
          <w:szCs w:val="24"/>
          <w:lang w:val="en-US" w:eastAsia="zh-CN"/>
        </w:rPr>
        <w:t>Science</w:t>
      </w:r>
      <w:r w:rsidRPr="00F54EA8">
        <w:rPr>
          <w:rFonts w:ascii="Book Antiqua" w:eastAsia="SimSun" w:hAnsi="Book Antiqua" w:cs="Times New Roman"/>
          <w:kern w:val="2"/>
          <w:sz w:val="24"/>
          <w:szCs w:val="24"/>
          <w:lang w:val="en-US" w:eastAsia="zh-CN"/>
        </w:rPr>
        <w:t xml:space="preserve"> 2013; </w:t>
      </w:r>
      <w:r w:rsidRPr="00F54EA8">
        <w:rPr>
          <w:rFonts w:ascii="Book Antiqua" w:eastAsia="SimSun" w:hAnsi="Book Antiqua" w:cs="Times New Roman"/>
          <w:b/>
          <w:kern w:val="2"/>
          <w:sz w:val="24"/>
          <w:szCs w:val="24"/>
          <w:lang w:val="en-US" w:eastAsia="zh-CN"/>
        </w:rPr>
        <w:t>342</w:t>
      </w:r>
      <w:r w:rsidRPr="00F54EA8">
        <w:rPr>
          <w:rFonts w:ascii="Book Antiqua" w:eastAsia="SimSun" w:hAnsi="Book Antiqua" w:cs="Times New Roman"/>
          <w:kern w:val="2"/>
          <w:sz w:val="24"/>
          <w:szCs w:val="24"/>
          <w:lang w:val="en-US" w:eastAsia="zh-CN"/>
        </w:rPr>
        <w:t>: 971-976 [PMID: 24264990 DOI: 10.1126/science.1240537]</w:t>
      </w:r>
    </w:p>
    <w:p w14:paraId="5C2113A0"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227 </w:t>
      </w:r>
      <w:r w:rsidRPr="00F54EA8">
        <w:rPr>
          <w:rFonts w:ascii="Book Antiqua" w:eastAsia="SimSun" w:hAnsi="Book Antiqua" w:cs="Times New Roman"/>
          <w:b/>
          <w:kern w:val="2"/>
          <w:sz w:val="24"/>
          <w:szCs w:val="24"/>
          <w:lang w:val="en-US" w:eastAsia="zh-CN"/>
        </w:rPr>
        <w:t>Xu X</w:t>
      </w:r>
      <w:r w:rsidRPr="00F54EA8">
        <w:rPr>
          <w:rFonts w:ascii="Book Antiqua" w:eastAsia="SimSun" w:hAnsi="Book Antiqua" w:cs="Times New Roman"/>
          <w:kern w:val="2"/>
          <w:sz w:val="24"/>
          <w:szCs w:val="24"/>
          <w:lang w:val="en-US" w:eastAsia="zh-CN"/>
        </w:rPr>
        <w:t xml:space="preserve">, Zhang X. Effects of cyclophosphamide on immune system and gut microbiota in mice. </w:t>
      </w:r>
      <w:r w:rsidRPr="00F54EA8">
        <w:rPr>
          <w:rFonts w:ascii="Book Antiqua" w:eastAsia="SimSun" w:hAnsi="Book Antiqua" w:cs="Times New Roman"/>
          <w:i/>
          <w:kern w:val="2"/>
          <w:sz w:val="24"/>
          <w:szCs w:val="24"/>
          <w:lang w:val="en-US" w:eastAsia="zh-CN"/>
        </w:rPr>
        <w:t>Microbiol Res</w:t>
      </w:r>
      <w:r w:rsidRPr="00F54EA8">
        <w:rPr>
          <w:rFonts w:ascii="Book Antiqua" w:eastAsia="SimSun" w:hAnsi="Book Antiqua" w:cs="Times New Roman"/>
          <w:kern w:val="2"/>
          <w:sz w:val="24"/>
          <w:szCs w:val="24"/>
          <w:lang w:val="en-US" w:eastAsia="zh-CN"/>
        </w:rPr>
        <w:t xml:space="preserve"> 2015; </w:t>
      </w:r>
      <w:r w:rsidRPr="00F54EA8">
        <w:rPr>
          <w:rFonts w:ascii="Book Antiqua" w:eastAsia="SimSun" w:hAnsi="Book Antiqua" w:cs="Times New Roman"/>
          <w:b/>
          <w:kern w:val="2"/>
          <w:sz w:val="24"/>
          <w:szCs w:val="24"/>
          <w:lang w:val="en-US" w:eastAsia="zh-CN"/>
        </w:rPr>
        <w:t>171</w:t>
      </w:r>
      <w:r w:rsidRPr="00F54EA8">
        <w:rPr>
          <w:rFonts w:ascii="Book Antiqua" w:eastAsia="SimSun" w:hAnsi="Book Antiqua" w:cs="Times New Roman"/>
          <w:kern w:val="2"/>
          <w:sz w:val="24"/>
          <w:szCs w:val="24"/>
          <w:lang w:val="en-US" w:eastAsia="zh-CN"/>
        </w:rPr>
        <w:t>: 97-106 [PMID: 25553830 DOI: 10.1016/j.micres.2014.11.002]</w:t>
      </w:r>
    </w:p>
    <w:p w14:paraId="7BFAC513"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228 </w:t>
      </w:r>
      <w:r w:rsidRPr="00F54EA8">
        <w:rPr>
          <w:rFonts w:ascii="Book Antiqua" w:eastAsia="SimSun" w:hAnsi="Book Antiqua" w:cs="Times New Roman"/>
          <w:b/>
          <w:kern w:val="2"/>
          <w:sz w:val="24"/>
          <w:szCs w:val="24"/>
          <w:lang w:val="en-US" w:eastAsia="zh-CN"/>
        </w:rPr>
        <w:t>Paulos CM</w:t>
      </w:r>
      <w:r w:rsidRPr="00F54EA8">
        <w:rPr>
          <w:rFonts w:ascii="Book Antiqua" w:eastAsia="SimSun" w:hAnsi="Book Antiqua" w:cs="Times New Roman"/>
          <w:kern w:val="2"/>
          <w:sz w:val="24"/>
          <w:szCs w:val="24"/>
          <w:lang w:val="en-US" w:eastAsia="zh-CN"/>
        </w:rPr>
        <w:t xml:space="preserve">, Wrzesinski C, Kaiser A, Hinrichs CS, Chieppa M, Cassard L, Palmer DC, Boni A, Muranski P, Yu Z, Gattinoni L, Antony PA, Rosenberg SA, Restifo NP. Microbial translocation augments the function of adoptively transferred self/tumor-specific CD8+ T cells via TLR4 signaling. </w:t>
      </w:r>
      <w:r w:rsidRPr="00F54EA8">
        <w:rPr>
          <w:rFonts w:ascii="Book Antiqua" w:eastAsia="SimSun" w:hAnsi="Book Antiqua" w:cs="Times New Roman"/>
          <w:i/>
          <w:kern w:val="2"/>
          <w:sz w:val="24"/>
          <w:szCs w:val="24"/>
          <w:lang w:val="en-US" w:eastAsia="zh-CN"/>
        </w:rPr>
        <w:t>J Clin Invest</w:t>
      </w:r>
      <w:r w:rsidRPr="00F54EA8">
        <w:rPr>
          <w:rFonts w:ascii="Book Antiqua" w:eastAsia="SimSun" w:hAnsi="Book Antiqua" w:cs="Times New Roman"/>
          <w:kern w:val="2"/>
          <w:sz w:val="24"/>
          <w:szCs w:val="24"/>
          <w:lang w:val="en-US" w:eastAsia="zh-CN"/>
        </w:rPr>
        <w:t xml:space="preserve"> 2007; </w:t>
      </w:r>
      <w:r w:rsidRPr="00F54EA8">
        <w:rPr>
          <w:rFonts w:ascii="Book Antiqua" w:eastAsia="SimSun" w:hAnsi="Book Antiqua" w:cs="Times New Roman"/>
          <w:b/>
          <w:kern w:val="2"/>
          <w:sz w:val="24"/>
          <w:szCs w:val="24"/>
          <w:lang w:val="en-US" w:eastAsia="zh-CN"/>
        </w:rPr>
        <w:t>117</w:t>
      </w:r>
      <w:r w:rsidRPr="00F54EA8">
        <w:rPr>
          <w:rFonts w:ascii="Book Antiqua" w:eastAsia="SimSun" w:hAnsi="Book Antiqua" w:cs="Times New Roman"/>
          <w:kern w:val="2"/>
          <w:sz w:val="24"/>
          <w:szCs w:val="24"/>
          <w:lang w:val="en-US" w:eastAsia="zh-CN"/>
        </w:rPr>
        <w:t>: 2197-2204 [PMID: 17657310 DOI: 10.1172/JCI32205]</w:t>
      </w:r>
    </w:p>
    <w:p w14:paraId="5E6775F1"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229 </w:t>
      </w:r>
      <w:r w:rsidRPr="00F54EA8">
        <w:rPr>
          <w:rFonts w:ascii="Book Antiqua" w:eastAsia="SimSun" w:hAnsi="Book Antiqua" w:cs="Times New Roman"/>
          <w:b/>
          <w:kern w:val="2"/>
          <w:sz w:val="24"/>
          <w:szCs w:val="24"/>
          <w:lang w:val="en-US" w:eastAsia="zh-CN"/>
        </w:rPr>
        <w:t>Uribe-Herranz M</w:t>
      </w:r>
      <w:r w:rsidRPr="00F54EA8">
        <w:rPr>
          <w:rFonts w:ascii="Book Antiqua" w:eastAsia="SimSun" w:hAnsi="Book Antiqua" w:cs="Times New Roman"/>
          <w:kern w:val="2"/>
          <w:sz w:val="24"/>
          <w:szCs w:val="24"/>
          <w:lang w:val="en-US" w:eastAsia="zh-CN"/>
        </w:rPr>
        <w:t xml:space="preserve">, Bittinger K, Rafail S, Guedan S, Pierini S, Tanes C, Ganetsky A, Morgan MA, Gill S, Tanyi JL, Bushman FD, June CH, Facciabene A. Gut microbiota modulates adoptive cell therapy via CD8α dendritic cells and IL-12. </w:t>
      </w:r>
      <w:r w:rsidRPr="00F54EA8">
        <w:rPr>
          <w:rFonts w:ascii="Book Antiqua" w:eastAsia="SimSun" w:hAnsi="Book Antiqua" w:cs="Times New Roman"/>
          <w:i/>
          <w:kern w:val="2"/>
          <w:sz w:val="24"/>
          <w:szCs w:val="24"/>
          <w:lang w:val="en-US" w:eastAsia="zh-CN"/>
        </w:rPr>
        <w:t>JCI Insight</w:t>
      </w:r>
      <w:r w:rsidRPr="00F54EA8">
        <w:rPr>
          <w:rFonts w:ascii="Book Antiqua" w:eastAsia="SimSun" w:hAnsi="Book Antiqua" w:cs="Times New Roman"/>
          <w:kern w:val="2"/>
          <w:sz w:val="24"/>
          <w:szCs w:val="24"/>
          <w:lang w:val="en-US" w:eastAsia="zh-CN"/>
        </w:rPr>
        <w:t xml:space="preserve"> 2018; </w:t>
      </w:r>
      <w:r w:rsidRPr="00F54EA8">
        <w:rPr>
          <w:rFonts w:ascii="Book Antiqua" w:eastAsia="SimSun" w:hAnsi="Book Antiqua" w:cs="Times New Roman"/>
          <w:b/>
          <w:kern w:val="2"/>
          <w:sz w:val="24"/>
          <w:szCs w:val="24"/>
          <w:lang w:val="en-US" w:eastAsia="zh-CN"/>
        </w:rPr>
        <w:t>3</w:t>
      </w:r>
      <w:r w:rsidRPr="00F54EA8">
        <w:rPr>
          <w:rFonts w:ascii="Book Antiqua" w:eastAsia="SimSun" w:hAnsi="Book Antiqua" w:cs="Times New Roman"/>
          <w:kern w:val="2"/>
          <w:sz w:val="24"/>
          <w:szCs w:val="24"/>
          <w:lang w:val="en-US" w:eastAsia="zh-CN"/>
        </w:rPr>
        <w:t>:  [PMID: 29467322 DOI: 10.1172/jci.insight.94952]</w:t>
      </w:r>
    </w:p>
    <w:p w14:paraId="42248B1F"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230 </w:t>
      </w:r>
      <w:r w:rsidRPr="00F54EA8">
        <w:rPr>
          <w:rFonts w:ascii="Book Antiqua" w:eastAsia="SimSun" w:hAnsi="Book Antiqua" w:cs="Times New Roman"/>
          <w:b/>
          <w:kern w:val="2"/>
          <w:sz w:val="24"/>
          <w:szCs w:val="24"/>
          <w:lang w:val="en-US" w:eastAsia="zh-CN"/>
        </w:rPr>
        <w:t>Carbonnel F</w:t>
      </w:r>
      <w:r w:rsidRPr="00F54EA8">
        <w:rPr>
          <w:rFonts w:ascii="Book Antiqua" w:eastAsia="SimSun" w:hAnsi="Book Antiqua" w:cs="Times New Roman"/>
          <w:kern w:val="2"/>
          <w:sz w:val="24"/>
          <w:szCs w:val="24"/>
          <w:lang w:val="en-US" w:eastAsia="zh-CN"/>
        </w:rPr>
        <w:t xml:space="preserve">, Soularue E, Coutzac C, Chaput N, Mateus C, Lepage P, Robert C. </w:t>
      </w:r>
      <w:r w:rsidRPr="00F54EA8">
        <w:rPr>
          <w:rFonts w:ascii="Book Antiqua" w:eastAsia="SimSun" w:hAnsi="Book Antiqua" w:cs="Times New Roman"/>
          <w:kern w:val="2"/>
          <w:sz w:val="24"/>
          <w:szCs w:val="24"/>
          <w:lang w:val="en-US" w:eastAsia="zh-CN"/>
        </w:rPr>
        <w:lastRenderedPageBreak/>
        <w:t xml:space="preserve">Inflammatory bowel disease and cancer response due to anti-CTLA-4: is it in the flora? </w:t>
      </w:r>
      <w:r w:rsidRPr="00F54EA8">
        <w:rPr>
          <w:rFonts w:ascii="Book Antiqua" w:eastAsia="SimSun" w:hAnsi="Book Antiqua" w:cs="Times New Roman"/>
          <w:i/>
          <w:kern w:val="2"/>
          <w:sz w:val="24"/>
          <w:szCs w:val="24"/>
          <w:lang w:val="en-US" w:eastAsia="zh-CN"/>
        </w:rPr>
        <w:t>Semin Immunopathol</w:t>
      </w:r>
      <w:r w:rsidRPr="00F54EA8">
        <w:rPr>
          <w:rFonts w:ascii="Book Antiqua" w:eastAsia="SimSun" w:hAnsi="Book Antiqua" w:cs="Times New Roman"/>
          <w:kern w:val="2"/>
          <w:sz w:val="24"/>
          <w:szCs w:val="24"/>
          <w:lang w:val="en-US" w:eastAsia="zh-CN"/>
        </w:rPr>
        <w:t xml:space="preserve"> 2017; </w:t>
      </w:r>
      <w:r w:rsidRPr="00F54EA8">
        <w:rPr>
          <w:rFonts w:ascii="Book Antiqua" w:eastAsia="SimSun" w:hAnsi="Book Antiqua" w:cs="Times New Roman"/>
          <w:b/>
          <w:kern w:val="2"/>
          <w:sz w:val="24"/>
          <w:szCs w:val="24"/>
          <w:lang w:val="en-US" w:eastAsia="zh-CN"/>
        </w:rPr>
        <w:t>39</w:t>
      </w:r>
      <w:r w:rsidRPr="00F54EA8">
        <w:rPr>
          <w:rFonts w:ascii="Book Antiqua" w:eastAsia="SimSun" w:hAnsi="Book Antiqua" w:cs="Times New Roman"/>
          <w:kern w:val="2"/>
          <w:sz w:val="24"/>
          <w:szCs w:val="24"/>
          <w:lang w:val="en-US" w:eastAsia="zh-CN"/>
        </w:rPr>
        <w:t>: 327-331 [PMID: 28093620 DOI: 10.1007/s00281-016-0613-x]</w:t>
      </w:r>
    </w:p>
    <w:p w14:paraId="0EFA05AC"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231 </w:t>
      </w:r>
      <w:r w:rsidRPr="00F54EA8">
        <w:rPr>
          <w:rFonts w:ascii="Book Antiqua" w:eastAsia="SimSun" w:hAnsi="Book Antiqua" w:cs="Times New Roman"/>
          <w:b/>
          <w:kern w:val="2"/>
          <w:sz w:val="24"/>
          <w:szCs w:val="24"/>
          <w:lang w:val="en-US" w:eastAsia="zh-CN"/>
        </w:rPr>
        <w:t>Chaput N</w:t>
      </w:r>
      <w:r w:rsidRPr="00F54EA8">
        <w:rPr>
          <w:rFonts w:ascii="Book Antiqua" w:eastAsia="SimSun" w:hAnsi="Book Antiqua" w:cs="Times New Roman"/>
          <w:kern w:val="2"/>
          <w:sz w:val="24"/>
          <w:szCs w:val="24"/>
          <w:lang w:val="en-US" w:eastAsia="zh-CN"/>
        </w:rPr>
        <w:t xml:space="preserve">, Lepage P, Coutzac C, Soularue E, Le Roux K, Monot C, Boselli L, Routier E, Cassard L, Collins M, Vaysse T, Marthey L, Eggermont A, Asvatourian V, Lanoy E, Mateus C, Robert C, Carbonnel F. Baseline gut microbiota predicts clinical response and colitis in metastatic melanoma patients treated with ipilimumab. </w:t>
      </w:r>
      <w:r w:rsidRPr="00F54EA8">
        <w:rPr>
          <w:rFonts w:ascii="Book Antiqua" w:eastAsia="SimSun" w:hAnsi="Book Antiqua" w:cs="Times New Roman"/>
          <w:i/>
          <w:kern w:val="2"/>
          <w:sz w:val="24"/>
          <w:szCs w:val="24"/>
          <w:lang w:val="en-US" w:eastAsia="zh-CN"/>
        </w:rPr>
        <w:t>Ann Oncol</w:t>
      </w:r>
      <w:r w:rsidRPr="00F54EA8">
        <w:rPr>
          <w:rFonts w:ascii="Book Antiqua" w:eastAsia="SimSun" w:hAnsi="Book Antiqua" w:cs="Times New Roman"/>
          <w:kern w:val="2"/>
          <w:sz w:val="24"/>
          <w:szCs w:val="24"/>
          <w:lang w:val="en-US" w:eastAsia="zh-CN"/>
        </w:rPr>
        <w:t xml:space="preserve"> 2017; </w:t>
      </w:r>
      <w:r w:rsidRPr="00F54EA8">
        <w:rPr>
          <w:rFonts w:ascii="Book Antiqua" w:eastAsia="SimSun" w:hAnsi="Book Antiqua" w:cs="Times New Roman"/>
          <w:b/>
          <w:kern w:val="2"/>
          <w:sz w:val="24"/>
          <w:szCs w:val="24"/>
          <w:lang w:val="en-US" w:eastAsia="zh-CN"/>
        </w:rPr>
        <w:t>28</w:t>
      </w:r>
      <w:r w:rsidRPr="00F54EA8">
        <w:rPr>
          <w:rFonts w:ascii="Book Antiqua" w:eastAsia="SimSun" w:hAnsi="Book Antiqua" w:cs="Times New Roman"/>
          <w:kern w:val="2"/>
          <w:sz w:val="24"/>
          <w:szCs w:val="24"/>
          <w:lang w:val="en-US" w:eastAsia="zh-CN"/>
        </w:rPr>
        <w:t>: 1368-1379 [PMID: 28368458 DOI: 10.1093/annonc/mdx108]</w:t>
      </w:r>
    </w:p>
    <w:p w14:paraId="28B8500F"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232 </w:t>
      </w:r>
      <w:r w:rsidRPr="00F54EA8">
        <w:rPr>
          <w:rFonts w:ascii="Book Antiqua" w:eastAsia="SimSun" w:hAnsi="Book Antiqua" w:cs="Times New Roman"/>
          <w:b/>
          <w:kern w:val="2"/>
          <w:sz w:val="24"/>
          <w:szCs w:val="24"/>
          <w:lang w:val="en-US" w:eastAsia="zh-CN"/>
        </w:rPr>
        <w:t>Dubin K</w:t>
      </w:r>
      <w:r w:rsidRPr="00F54EA8">
        <w:rPr>
          <w:rFonts w:ascii="Book Antiqua" w:eastAsia="SimSun" w:hAnsi="Book Antiqua" w:cs="Times New Roman"/>
          <w:kern w:val="2"/>
          <w:sz w:val="24"/>
          <w:szCs w:val="24"/>
          <w:lang w:val="en-US" w:eastAsia="zh-CN"/>
        </w:rPr>
        <w:t xml:space="preserve">, Callahan MK, Ren B, Khanin R, Viale A, Ling L, No D, Gobourne A, Littmann E, Huttenhower C, Pamer EG, Wolchok JD. Intestinal microbiome analyses identify melanoma patients at risk for checkpoint-blockade-induced colitis. </w:t>
      </w:r>
      <w:r w:rsidRPr="00F54EA8">
        <w:rPr>
          <w:rFonts w:ascii="Book Antiqua" w:eastAsia="SimSun" w:hAnsi="Book Antiqua" w:cs="Times New Roman"/>
          <w:i/>
          <w:kern w:val="2"/>
          <w:sz w:val="24"/>
          <w:szCs w:val="24"/>
          <w:lang w:val="en-US" w:eastAsia="zh-CN"/>
        </w:rPr>
        <w:t>Nat Commun</w:t>
      </w:r>
      <w:r w:rsidRPr="00F54EA8">
        <w:rPr>
          <w:rFonts w:ascii="Book Antiqua" w:eastAsia="SimSun" w:hAnsi="Book Antiqua" w:cs="Times New Roman"/>
          <w:kern w:val="2"/>
          <w:sz w:val="24"/>
          <w:szCs w:val="24"/>
          <w:lang w:val="en-US" w:eastAsia="zh-CN"/>
        </w:rPr>
        <w:t xml:space="preserve"> 2016; </w:t>
      </w:r>
      <w:r w:rsidRPr="00F54EA8">
        <w:rPr>
          <w:rFonts w:ascii="Book Antiqua" w:eastAsia="SimSun" w:hAnsi="Book Antiqua" w:cs="Times New Roman"/>
          <w:b/>
          <w:kern w:val="2"/>
          <w:sz w:val="24"/>
          <w:szCs w:val="24"/>
          <w:lang w:val="en-US" w:eastAsia="zh-CN"/>
        </w:rPr>
        <w:t>7</w:t>
      </w:r>
      <w:r w:rsidRPr="00F54EA8">
        <w:rPr>
          <w:rFonts w:ascii="Book Antiqua" w:eastAsia="SimSun" w:hAnsi="Book Antiqua" w:cs="Times New Roman"/>
          <w:kern w:val="2"/>
          <w:sz w:val="24"/>
          <w:szCs w:val="24"/>
          <w:lang w:val="en-US" w:eastAsia="zh-CN"/>
        </w:rPr>
        <w:t>: 10391 [PMID: 26837003 DOI: 10.1038/ncomms10391]</w:t>
      </w:r>
    </w:p>
    <w:p w14:paraId="41E4083F"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233</w:t>
      </w:r>
      <w:r w:rsidRPr="00F54EA8">
        <w:rPr>
          <w:rFonts w:ascii="Book Antiqua" w:eastAsia="SimSun" w:hAnsi="Book Antiqua" w:cs="Times New Roman" w:hint="eastAsia"/>
          <w:kern w:val="2"/>
          <w:sz w:val="24"/>
          <w:szCs w:val="24"/>
          <w:lang w:val="en-US" w:eastAsia="zh-CN"/>
        </w:rPr>
        <w:t xml:space="preserve"> </w:t>
      </w:r>
      <w:r w:rsidRPr="00F54EA8">
        <w:rPr>
          <w:rFonts w:ascii="Book Antiqua" w:eastAsia="SimSun" w:hAnsi="Book Antiqua" w:cs="Times New Roman"/>
          <w:b/>
          <w:kern w:val="2"/>
          <w:sz w:val="24"/>
          <w:szCs w:val="24"/>
          <w:lang w:val="en-US" w:eastAsia="zh-CN"/>
        </w:rPr>
        <w:t>Vetizou M</w:t>
      </w:r>
      <w:r w:rsidRPr="00F54EA8">
        <w:rPr>
          <w:rFonts w:ascii="Book Antiqua" w:eastAsia="SimSun" w:hAnsi="Book Antiqua" w:cs="Times New Roman"/>
          <w:kern w:val="2"/>
          <w:sz w:val="24"/>
          <w:szCs w:val="24"/>
          <w:lang w:val="en-US" w:eastAsia="zh-CN"/>
        </w:rPr>
        <w:t>,</w:t>
      </w:r>
      <w:r w:rsidRPr="00F54EA8">
        <w:rPr>
          <w:rFonts w:ascii="Book Antiqua" w:eastAsia="SimSun" w:hAnsi="Book Antiqua" w:cs="Times New Roman" w:hint="eastAsia"/>
          <w:kern w:val="2"/>
          <w:sz w:val="24"/>
          <w:szCs w:val="24"/>
          <w:lang w:val="en-US" w:eastAsia="zh-CN"/>
        </w:rPr>
        <w:t xml:space="preserve"> </w:t>
      </w:r>
      <w:r w:rsidRPr="00F54EA8">
        <w:rPr>
          <w:rFonts w:ascii="Book Antiqua" w:eastAsia="SimSun" w:hAnsi="Book Antiqua" w:cs="Times New Roman"/>
          <w:kern w:val="2"/>
          <w:sz w:val="24"/>
          <w:szCs w:val="24"/>
          <w:lang w:val="en-US" w:eastAsia="zh-CN"/>
        </w:rPr>
        <w:t xml:space="preserve">Pitt JM, Daillere R, Lepage P, Waldschmitt N, Flament C, Rusakiewicz S, Routy B, Roberti MP, Duong CPM, Poirier-Colame V, Roux A, Becharef S, Formenti S, Golden E, Cording S, Eberl G, Schlitzer A, Ginhoux F, Mani S, Yamazaki T, Jacquelot N, Enot DP, Berard M, Nigou J, Opolon P, Eggermont A, Woerther P-L, Chachaty E, Chaput N, Robert C, Mateus C, Kroemer G, Raoult D, Boneca IG, Carbonnel F, Chamaillard M, Zitvogel L. Anticancer immunotherapy by CTLA-4 blockade relies on the gut microbiota. </w:t>
      </w:r>
      <w:r w:rsidRPr="00F54EA8">
        <w:rPr>
          <w:rFonts w:ascii="Book Antiqua" w:eastAsia="SimSun" w:hAnsi="Book Antiqua" w:cs="Times New Roman"/>
          <w:i/>
          <w:kern w:val="2"/>
          <w:sz w:val="24"/>
          <w:szCs w:val="24"/>
          <w:lang w:val="en-US" w:eastAsia="zh-CN"/>
        </w:rPr>
        <w:t>Science</w:t>
      </w:r>
      <w:r w:rsidRPr="00F54EA8">
        <w:rPr>
          <w:rFonts w:ascii="Book Antiqua" w:eastAsia="SimSun" w:hAnsi="Book Antiqua" w:cs="Times New Roman" w:hint="eastAsia"/>
          <w:i/>
          <w:kern w:val="2"/>
          <w:sz w:val="24"/>
          <w:szCs w:val="24"/>
          <w:lang w:val="en-US" w:eastAsia="zh-CN"/>
        </w:rPr>
        <w:t xml:space="preserve"> </w:t>
      </w:r>
      <w:r w:rsidRPr="00F54EA8">
        <w:rPr>
          <w:rFonts w:ascii="Book Antiqua" w:eastAsia="SimSun" w:hAnsi="Book Antiqua" w:cs="Times New Roman"/>
          <w:kern w:val="2"/>
          <w:sz w:val="24"/>
          <w:szCs w:val="24"/>
          <w:lang w:val="en-US" w:eastAsia="zh-CN"/>
        </w:rPr>
        <w:t>2015;</w:t>
      </w:r>
      <w:r w:rsidRPr="00F54EA8">
        <w:rPr>
          <w:rFonts w:ascii="Book Antiqua" w:eastAsia="SimSun" w:hAnsi="Book Antiqua" w:cs="Times New Roman" w:hint="eastAsia"/>
          <w:kern w:val="2"/>
          <w:sz w:val="24"/>
          <w:szCs w:val="24"/>
          <w:lang w:val="en-US" w:eastAsia="zh-CN"/>
        </w:rPr>
        <w:t xml:space="preserve"> </w:t>
      </w:r>
      <w:r w:rsidRPr="00F54EA8">
        <w:rPr>
          <w:rFonts w:ascii="Book Antiqua" w:eastAsia="SimSun" w:hAnsi="Book Antiqua" w:cs="Times New Roman"/>
          <w:b/>
          <w:kern w:val="2"/>
          <w:sz w:val="24"/>
          <w:szCs w:val="24"/>
          <w:lang w:val="en-US" w:eastAsia="zh-CN"/>
        </w:rPr>
        <w:t>350</w:t>
      </w:r>
      <w:r w:rsidRPr="00F54EA8">
        <w:rPr>
          <w:rFonts w:ascii="Book Antiqua" w:eastAsia="SimSun" w:hAnsi="Book Antiqua" w:cs="Times New Roman"/>
          <w:kern w:val="2"/>
          <w:sz w:val="24"/>
          <w:szCs w:val="24"/>
          <w:lang w:val="en-US" w:eastAsia="zh-CN"/>
        </w:rPr>
        <w:t>:</w:t>
      </w:r>
      <w:r w:rsidRPr="00F54EA8">
        <w:rPr>
          <w:rFonts w:ascii="Book Antiqua" w:eastAsia="SimSun" w:hAnsi="Book Antiqua" w:cs="Times New Roman" w:hint="eastAsia"/>
          <w:kern w:val="2"/>
          <w:sz w:val="24"/>
          <w:szCs w:val="24"/>
          <w:lang w:val="en-US" w:eastAsia="zh-CN"/>
        </w:rPr>
        <w:t xml:space="preserve"> </w:t>
      </w:r>
      <w:r w:rsidRPr="00F54EA8">
        <w:rPr>
          <w:rFonts w:ascii="Book Antiqua" w:eastAsia="SimSun" w:hAnsi="Book Antiqua" w:cs="Times New Roman"/>
          <w:kern w:val="2"/>
          <w:sz w:val="24"/>
          <w:szCs w:val="24"/>
          <w:lang w:val="en-US" w:eastAsia="zh-CN"/>
        </w:rPr>
        <w:t>1079</w:t>
      </w:r>
      <w:r w:rsidRPr="00F54EA8">
        <w:rPr>
          <w:rFonts w:ascii="Book Antiqua" w:eastAsia="SimSun" w:hAnsi="Book Antiqua" w:cs="Times New Roman" w:hint="eastAsia"/>
          <w:kern w:val="2"/>
          <w:sz w:val="24"/>
          <w:szCs w:val="24"/>
          <w:lang w:val="en-US" w:eastAsia="zh-CN"/>
        </w:rPr>
        <w:t>-10</w:t>
      </w:r>
      <w:r w:rsidRPr="00F54EA8">
        <w:rPr>
          <w:rFonts w:ascii="Book Antiqua" w:eastAsia="SimSun" w:hAnsi="Book Antiqua" w:cs="Times New Roman"/>
          <w:kern w:val="2"/>
          <w:sz w:val="24"/>
          <w:szCs w:val="24"/>
          <w:lang w:val="en-US" w:eastAsia="zh-CN"/>
        </w:rPr>
        <w:t>84 [PMID: 26541610</w:t>
      </w:r>
      <w:r w:rsidRPr="00F54EA8">
        <w:rPr>
          <w:rFonts w:ascii="Book Antiqua" w:eastAsia="SimSun" w:hAnsi="Book Antiqua" w:cs="Times New Roman" w:hint="eastAsia"/>
          <w:kern w:val="2"/>
          <w:sz w:val="24"/>
          <w:szCs w:val="24"/>
          <w:lang w:val="en-US" w:eastAsia="zh-CN"/>
        </w:rPr>
        <w:t xml:space="preserve"> </w:t>
      </w:r>
      <w:r w:rsidRPr="00F54EA8">
        <w:rPr>
          <w:rFonts w:ascii="Book Antiqua" w:eastAsia="SimSun" w:hAnsi="Book Antiqua" w:cs="Times New Roman"/>
          <w:kern w:val="2"/>
          <w:sz w:val="24"/>
          <w:szCs w:val="24"/>
          <w:lang w:val="en-US" w:eastAsia="zh-CN"/>
        </w:rPr>
        <w:t>DOI: 10.1126/science.aad1329]</w:t>
      </w:r>
    </w:p>
    <w:p w14:paraId="641D2696"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234 </w:t>
      </w:r>
      <w:r w:rsidRPr="00F54EA8">
        <w:rPr>
          <w:rFonts w:ascii="Book Antiqua" w:eastAsia="SimSun" w:hAnsi="Book Antiqua" w:cs="Times New Roman"/>
          <w:b/>
          <w:kern w:val="2"/>
          <w:sz w:val="24"/>
          <w:szCs w:val="24"/>
          <w:lang w:val="en-US" w:eastAsia="zh-CN"/>
        </w:rPr>
        <w:t>Sivan A</w:t>
      </w:r>
      <w:r w:rsidRPr="00F54EA8">
        <w:rPr>
          <w:rFonts w:ascii="Book Antiqua" w:eastAsia="SimSun" w:hAnsi="Book Antiqua" w:cs="Times New Roman"/>
          <w:kern w:val="2"/>
          <w:sz w:val="24"/>
          <w:szCs w:val="24"/>
          <w:lang w:val="en-US" w:eastAsia="zh-CN"/>
        </w:rPr>
        <w:t xml:space="preserve">, Corrales L, Hubert N, Williams JB, Aquino-Michaels K, Earley ZM, Benyamin FW, Lei YM, Jabri B, Alegre ML, Chang EB, Gajewski TF. Commensal Bifidobacterium promotes antitumor immunity and facilitates anti-PD-L1 efficacy. </w:t>
      </w:r>
      <w:r w:rsidRPr="00F54EA8">
        <w:rPr>
          <w:rFonts w:ascii="Book Antiqua" w:eastAsia="SimSun" w:hAnsi="Book Antiqua" w:cs="Times New Roman"/>
          <w:i/>
          <w:kern w:val="2"/>
          <w:sz w:val="24"/>
          <w:szCs w:val="24"/>
          <w:lang w:val="en-US" w:eastAsia="zh-CN"/>
        </w:rPr>
        <w:t>Science</w:t>
      </w:r>
      <w:r w:rsidRPr="00F54EA8">
        <w:rPr>
          <w:rFonts w:ascii="Book Antiqua" w:eastAsia="SimSun" w:hAnsi="Book Antiqua" w:cs="Times New Roman"/>
          <w:kern w:val="2"/>
          <w:sz w:val="24"/>
          <w:szCs w:val="24"/>
          <w:lang w:val="en-US" w:eastAsia="zh-CN"/>
        </w:rPr>
        <w:t xml:space="preserve"> 2015; </w:t>
      </w:r>
      <w:r w:rsidRPr="00F54EA8">
        <w:rPr>
          <w:rFonts w:ascii="Book Antiqua" w:eastAsia="SimSun" w:hAnsi="Book Antiqua" w:cs="Times New Roman"/>
          <w:b/>
          <w:kern w:val="2"/>
          <w:sz w:val="24"/>
          <w:szCs w:val="24"/>
          <w:lang w:val="en-US" w:eastAsia="zh-CN"/>
        </w:rPr>
        <w:t>350</w:t>
      </w:r>
      <w:r w:rsidRPr="00F54EA8">
        <w:rPr>
          <w:rFonts w:ascii="Book Antiqua" w:eastAsia="SimSun" w:hAnsi="Book Antiqua" w:cs="Times New Roman"/>
          <w:kern w:val="2"/>
          <w:sz w:val="24"/>
          <w:szCs w:val="24"/>
          <w:lang w:val="en-US" w:eastAsia="zh-CN"/>
        </w:rPr>
        <w:t>: 1084-1089 [PMID: 26541606 DOI: 10.1126/science.aac4255]</w:t>
      </w:r>
    </w:p>
    <w:p w14:paraId="4D5E3031"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235 </w:t>
      </w:r>
      <w:r w:rsidRPr="00F54EA8">
        <w:rPr>
          <w:rFonts w:ascii="Book Antiqua" w:eastAsia="SimSun" w:hAnsi="Book Antiqua" w:cs="Times New Roman"/>
          <w:b/>
          <w:kern w:val="2"/>
          <w:sz w:val="24"/>
          <w:szCs w:val="24"/>
          <w:lang w:val="en-US" w:eastAsia="zh-CN"/>
        </w:rPr>
        <w:t>Gopalakrishnan V</w:t>
      </w:r>
      <w:r w:rsidRPr="00F54EA8">
        <w:rPr>
          <w:rFonts w:ascii="Book Antiqua" w:eastAsia="SimSun" w:hAnsi="Book Antiqua" w:cs="Times New Roman"/>
          <w:kern w:val="2"/>
          <w:sz w:val="24"/>
          <w:szCs w:val="24"/>
          <w:lang w:val="en-US" w:eastAsia="zh-CN"/>
        </w:rPr>
        <w:t xml:space="preserve">, Spencer CN, Nezi L, Reuben A, Andrews MC, Karpinets TV, Prieto PA, Vicente D, Hoffman K, Wei SC, Cogdill AP, Zhao L, Hudgens CW, Hutchinson DS, Manzo T, Petaccia de Macedo M, Cotechini T, Kumar T, Chen WS, Reddy SM, Szczepaniak Sloane R, Galloway-Pena J, Jiang H, Chen PL, Shpall EJ, Rezvani K, Alousi AM, Chemaly RF, Shelburne S, Vence LM, Okhuysen PC, Jensen VB, Swennes AG, McAllister F, Marcelo Riquelme Sanchez E, Zhang Y, Le Chatelier E, Zitvogel L, Pons N, Austin-Breneman JL, Haydu LE, Burton EM, Gardner JM, </w:t>
      </w:r>
      <w:r w:rsidRPr="00F54EA8">
        <w:rPr>
          <w:rFonts w:ascii="Book Antiqua" w:eastAsia="SimSun" w:hAnsi="Book Antiqua" w:cs="Times New Roman"/>
          <w:kern w:val="2"/>
          <w:sz w:val="24"/>
          <w:szCs w:val="24"/>
          <w:lang w:val="en-US" w:eastAsia="zh-CN"/>
        </w:rPr>
        <w:lastRenderedPageBreak/>
        <w:t xml:space="preserve">Sirmans E, Hu J, Lazar AJ, Tsujikawa T, Diab A, Tawbi H, Glitza IC, Hwu WJ, Patel SP, Woodman SE, Amaria RN, Davies MA, Gershenwald JE, Hwu P, Lee JE, Zhang J, Coussens LM, Cooper ZA, Futreal PA, Daniel CR, Ajami NJ, Petrosino JF, Tetzlaff MT, Sharma P, Allison JP, Jenq RR, Wargo JA. Gut microbiome modulates response to anti-PD-1 immunotherapy in melanoma patients. </w:t>
      </w:r>
      <w:r w:rsidRPr="00F54EA8">
        <w:rPr>
          <w:rFonts w:ascii="Book Antiqua" w:eastAsia="SimSun" w:hAnsi="Book Antiqua" w:cs="Times New Roman"/>
          <w:i/>
          <w:kern w:val="2"/>
          <w:sz w:val="24"/>
          <w:szCs w:val="24"/>
          <w:lang w:val="en-US" w:eastAsia="zh-CN"/>
        </w:rPr>
        <w:t>Science</w:t>
      </w:r>
      <w:r w:rsidRPr="00F54EA8">
        <w:rPr>
          <w:rFonts w:ascii="Book Antiqua" w:eastAsia="SimSun" w:hAnsi="Book Antiqua" w:cs="Times New Roman"/>
          <w:kern w:val="2"/>
          <w:sz w:val="24"/>
          <w:szCs w:val="24"/>
          <w:lang w:val="en-US" w:eastAsia="zh-CN"/>
        </w:rPr>
        <w:t xml:space="preserve"> 2018; </w:t>
      </w:r>
      <w:r w:rsidRPr="00F54EA8">
        <w:rPr>
          <w:rFonts w:ascii="Book Antiqua" w:eastAsia="SimSun" w:hAnsi="Book Antiqua" w:cs="Times New Roman"/>
          <w:b/>
          <w:kern w:val="2"/>
          <w:sz w:val="24"/>
          <w:szCs w:val="24"/>
          <w:lang w:val="en-US" w:eastAsia="zh-CN"/>
        </w:rPr>
        <w:t>359</w:t>
      </w:r>
      <w:r w:rsidRPr="00F54EA8">
        <w:rPr>
          <w:rFonts w:ascii="Book Antiqua" w:eastAsia="SimSun" w:hAnsi="Book Antiqua" w:cs="Times New Roman"/>
          <w:kern w:val="2"/>
          <w:sz w:val="24"/>
          <w:szCs w:val="24"/>
          <w:lang w:val="en-US" w:eastAsia="zh-CN"/>
        </w:rPr>
        <w:t>: 97-103 [PMID: 29097493 DOI: 10.1126/science.aan4236]</w:t>
      </w:r>
    </w:p>
    <w:p w14:paraId="316BB0A0"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236 </w:t>
      </w:r>
      <w:r w:rsidRPr="00F54EA8">
        <w:rPr>
          <w:rFonts w:ascii="Book Antiqua" w:eastAsia="SimSun" w:hAnsi="Book Antiqua" w:cs="Times New Roman"/>
          <w:b/>
          <w:kern w:val="2"/>
          <w:sz w:val="24"/>
          <w:szCs w:val="24"/>
          <w:lang w:val="en-US" w:eastAsia="zh-CN"/>
        </w:rPr>
        <w:t>Matson V</w:t>
      </w:r>
      <w:r w:rsidRPr="00F54EA8">
        <w:rPr>
          <w:rFonts w:ascii="Book Antiqua" w:eastAsia="SimSun" w:hAnsi="Book Antiqua" w:cs="Times New Roman"/>
          <w:kern w:val="2"/>
          <w:sz w:val="24"/>
          <w:szCs w:val="24"/>
          <w:lang w:val="en-US" w:eastAsia="zh-CN"/>
        </w:rPr>
        <w:t xml:space="preserve">, Fessler J, Bao R, Chongsuwat T, Zha Y, Alegre ML, Luke JJ, Gajewski TF. The commensal microbiome is associated with anti-PD-1 efficacy in metastatic melanoma patients. </w:t>
      </w:r>
      <w:r w:rsidRPr="00F54EA8">
        <w:rPr>
          <w:rFonts w:ascii="Book Antiqua" w:eastAsia="SimSun" w:hAnsi="Book Antiqua" w:cs="Times New Roman"/>
          <w:i/>
          <w:kern w:val="2"/>
          <w:sz w:val="24"/>
          <w:szCs w:val="24"/>
          <w:lang w:val="en-US" w:eastAsia="zh-CN"/>
        </w:rPr>
        <w:t>Science</w:t>
      </w:r>
      <w:r w:rsidRPr="00F54EA8">
        <w:rPr>
          <w:rFonts w:ascii="Book Antiqua" w:eastAsia="SimSun" w:hAnsi="Book Antiqua" w:cs="Times New Roman"/>
          <w:kern w:val="2"/>
          <w:sz w:val="24"/>
          <w:szCs w:val="24"/>
          <w:lang w:val="en-US" w:eastAsia="zh-CN"/>
        </w:rPr>
        <w:t xml:space="preserve"> 2018; </w:t>
      </w:r>
      <w:r w:rsidRPr="00F54EA8">
        <w:rPr>
          <w:rFonts w:ascii="Book Antiqua" w:eastAsia="SimSun" w:hAnsi="Book Antiqua" w:cs="Times New Roman"/>
          <w:b/>
          <w:kern w:val="2"/>
          <w:sz w:val="24"/>
          <w:szCs w:val="24"/>
          <w:lang w:val="en-US" w:eastAsia="zh-CN"/>
        </w:rPr>
        <w:t>359</w:t>
      </w:r>
      <w:r w:rsidRPr="00F54EA8">
        <w:rPr>
          <w:rFonts w:ascii="Book Antiqua" w:eastAsia="SimSun" w:hAnsi="Book Antiqua" w:cs="Times New Roman"/>
          <w:kern w:val="2"/>
          <w:sz w:val="24"/>
          <w:szCs w:val="24"/>
          <w:lang w:val="en-US" w:eastAsia="zh-CN"/>
        </w:rPr>
        <w:t>: 104-108 [PMID: 29302014 DOI: 10.1126/science.aao3290]</w:t>
      </w:r>
    </w:p>
    <w:p w14:paraId="0B63C863"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237 </w:t>
      </w:r>
      <w:r w:rsidRPr="00F54EA8">
        <w:rPr>
          <w:rFonts w:ascii="Book Antiqua" w:eastAsia="SimSun" w:hAnsi="Book Antiqua" w:cs="Times New Roman"/>
          <w:b/>
          <w:kern w:val="2"/>
          <w:sz w:val="24"/>
          <w:szCs w:val="24"/>
          <w:lang w:val="en-US" w:eastAsia="zh-CN"/>
        </w:rPr>
        <w:t>Routy B</w:t>
      </w:r>
      <w:r w:rsidRPr="00F54EA8">
        <w:rPr>
          <w:rFonts w:ascii="Book Antiqua" w:eastAsia="SimSun" w:hAnsi="Book Antiqua" w:cs="Times New Roman"/>
          <w:kern w:val="2"/>
          <w:sz w:val="24"/>
          <w:szCs w:val="24"/>
          <w:lang w:val="en-US" w:eastAsia="zh-CN"/>
        </w:rPr>
        <w:t xml:space="preserve">, Le Chatelier E, Derosa L, Duong CPM, Alou MT, Daillère R, Fluckiger A, Messaoudene M, Rauber C, Roberti MP, Fidelle M, Flament C, Poirier-Colame V, Opolon P, Klein C, Iribarren K, Mondragón L, Jacquelot N, Qu B, Ferrere G, Clémenson C, Mezquita L, Masip JR, Naltet C, Brosseau S, Kaderbhai C, Richard C, Rizvi H, Levenez F, Galleron N, Quinquis B, Pons N, Ryffel B, Minard-Colin V, Gonin P, Soria JC, Deutsch E, Loriot Y, Ghiringhelli F, Zalcman G, Goldwasser F, Escudier B, Hellmann MD, Eggermont A, Raoult D, Albiges L, Kroemer G, Zitvogel L. Gut microbiome influences efficacy of PD-1-based immunotherapy against epithelial tumors. </w:t>
      </w:r>
      <w:r w:rsidRPr="00F54EA8">
        <w:rPr>
          <w:rFonts w:ascii="Book Antiqua" w:eastAsia="SimSun" w:hAnsi="Book Antiqua" w:cs="Times New Roman"/>
          <w:i/>
          <w:kern w:val="2"/>
          <w:sz w:val="24"/>
          <w:szCs w:val="24"/>
          <w:lang w:val="en-US" w:eastAsia="zh-CN"/>
        </w:rPr>
        <w:t>Science</w:t>
      </w:r>
      <w:r w:rsidRPr="00F54EA8">
        <w:rPr>
          <w:rFonts w:ascii="Book Antiqua" w:eastAsia="SimSun" w:hAnsi="Book Antiqua" w:cs="Times New Roman"/>
          <w:kern w:val="2"/>
          <w:sz w:val="24"/>
          <w:szCs w:val="24"/>
          <w:lang w:val="en-US" w:eastAsia="zh-CN"/>
        </w:rPr>
        <w:t xml:space="preserve"> 2018; </w:t>
      </w:r>
      <w:r w:rsidRPr="00F54EA8">
        <w:rPr>
          <w:rFonts w:ascii="Book Antiqua" w:eastAsia="SimSun" w:hAnsi="Book Antiqua" w:cs="Times New Roman"/>
          <w:b/>
          <w:kern w:val="2"/>
          <w:sz w:val="24"/>
          <w:szCs w:val="24"/>
          <w:lang w:val="en-US" w:eastAsia="zh-CN"/>
        </w:rPr>
        <w:t>359</w:t>
      </w:r>
      <w:r w:rsidRPr="00F54EA8">
        <w:rPr>
          <w:rFonts w:ascii="Book Antiqua" w:eastAsia="SimSun" w:hAnsi="Book Antiqua" w:cs="Times New Roman"/>
          <w:kern w:val="2"/>
          <w:sz w:val="24"/>
          <w:szCs w:val="24"/>
          <w:lang w:val="en-US" w:eastAsia="zh-CN"/>
        </w:rPr>
        <w:t>: 91-97 [PMID: 29097494 DOI: 10.1126/science.aan3706]</w:t>
      </w:r>
    </w:p>
    <w:p w14:paraId="0E0B44C7"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238 </w:t>
      </w:r>
      <w:r w:rsidRPr="00F54EA8">
        <w:rPr>
          <w:rFonts w:ascii="Book Antiqua" w:eastAsia="SimSun" w:hAnsi="Book Antiqua" w:cs="Times New Roman"/>
          <w:b/>
          <w:kern w:val="2"/>
          <w:sz w:val="24"/>
          <w:szCs w:val="24"/>
          <w:lang w:val="en-US" w:eastAsia="zh-CN"/>
        </w:rPr>
        <w:t>Kostic AD</w:t>
      </w:r>
      <w:r w:rsidRPr="00F54EA8">
        <w:rPr>
          <w:rFonts w:ascii="Book Antiqua" w:eastAsia="SimSun" w:hAnsi="Book Antiqua" w:cs="Times New Roman"/>
          <w:kern w:val="2"/>
          <w:sz w:val="24"/>
          <w:szCs w:val="24"/>
          <w:lang w:val="en-US" w:eastAsia="zh-CN"/>
        </w:rPr>
        <w:t xml:space="preserve">, Chun E, Robertson L, Glickman JN, Gallini CA, Michaud M, Clancy TE, Chung DC, Lochhead P, Hold GL, El-Omar EM, Brenner D, Fuchs CS, Meyerson M, Garrett WS. Fusobacterium nucleatum potentiates intestinal tumorigenesis and modulates the tumor-immune microenvironment. </w:t>
      </w:r>
      <w:r w:rsidRPr="00F54EA8">
        <w:rPr>
          <w:rFonts w:ascii="Book Antiqua" w:eastAsia="SimSun" w:hAnsi="Book Antiqua" w:cs="Times New Roman"/>
          <w:i/>
          <w:kern w:val="2"/>
          <w:sz w:val="24"/>
          <w:szCs w:val="24"/>
          <w:lang w:val="en-US" w:eastAsia="zh-CN"/>
        </w:rPr>
        <w:t>Cell Host Microbe</w:t>
      </w:r>
      <w:r w:rsidRPr="00F54EA8">
        <w:rPr>
          <w:rFonts w:ascii="Book Antiqua" w:eastAsia="SimSun" w:hAnsi="Book Antiqua" w:cs="Times New Roman"/>
          <w:kern w:val="2"/>
          <w:sz w:val="24"/>
          <w:szCs w:val="24"/>
          <w:lang w:val="en-US" w:eastAsia="zh-CN"/>
        </w:rPr>
        <w:t xml:space="preserve"> 2013; </w:t>
      </w:r>
      <w:r w:rsidRPr="00F54EA8">
        <w:rPr>
          <w:rFonts w:ascii="Book Antiqua" w:eastAsia="SimSun" w:hAnsi="Book Antiqua" w:cs="Times New Roman"/>
          <w:b/>
          <w:kern w:val="2"/>
          <w:sz w:val="24"/>
          <w:szCs w:val="24"/>
          <w:lang w:val="en-US" w:eastAsia="zh-CN"/>
        </w:rPr>
        <w:t>14</w:t>
      </w:r>
      <w:r w:rsidRPr="00F54EA8">
        <w:rPr>
          <w:rFonts w:ascii="Book Antiqua" w:eastAsia="SimSun" w:hAnsi="Book Antiqua" w:cs="Times New Roman"/>
          <w:kern w:val="2"/>
          <w:sz w:val="24"/>
          <w:szCs w:val="24"/>
          <w:lang w:val="en-US" w:eastAsia="zh-CN"/>
        </w:rPr>
        <w:t>: 207-215 [PMID: 23954159 DOI: 10.1016/j.chom.2013.07.007]</w:t>
      </w:r>
    </w:p>
    <w:p w14:paraId="615A2C5B"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239 </w:t>
      </w:r>
      <w:r w:rsidRPr="00F54EA8">
        <w:rPr>
          <w:rFonts w:ascii="Book Antiqua" w:eastAsia="SimSun" w:hAnsi="Book Antiqua" w:cs="Times New Roman"/>
          <w:b/>
          <w:kern w:val="2"/>
          <w:sz w:val="24"/>
          <w:szCs w:val="24"/>
          <w:lang w:val="en-US" w:eastAsia="zh-CN"/>
        </w:rPr>
        <w:t>Park HE</w:t>
      </w:r>
      <w:r w:rsidRPr="00F54EA8">
        <w:rPr>
          <w:rFonts w:ascii="Book Antiqua" w:eastAsia="SimSun" w:hAnsi="Book Antiqua" w:cs="Times New Roman"/>
          <w:kern w:val="2"/>
          <w:sz w:val="24"/>
          <w:szCs w:val="24"/>
          <w:lang w:val="en-US" w:eastAsia="zh-CN"/>
        </w:rPr>
        <w:t xml:space="preserve">, Kim JH, Cho NY, Lee HS, Kang GH. Intratumoral Fusobacterium nucleatum abundance correlates with macrophage infiltration and CDKN2A methylation in microsatellite-unstable colorectal carcinoma. </w:t>
      </w:r>
      <w:r w:rsidRPr="00F54EA8">
        <w:rPr>
          <w:rFonts w:ascii="Book Antiqua" w:eastAsia="SimSun" w:hAnsi="Book Antiqua" w:cs="Times New Roman"/>
          <w:i/>
          <w:kern w:val="2"/>
          <w:sz w:val="24"/>
          <w:szCs w:val="24"/>
          <w:lang w:val="en-US" w:eastAsia="zh-CN"/>
        </w:rPr>
        <w:t>Virchows Arch</w:t>
      </w:r>
      <w:r w:rsidRPr="00F54EA8">
        <w:rPr>
          <w:rFonts w:ascii="Book Antiqua" w:eastAsia="SimSun" w:hAnsi="Book Antiqua" w:cs="Times New Roman"/>
          <w:kern w:val="2"/>
          <w:sz w:val="24"/>
          <w:szCs w:val="24"/>
          <w:lang w:val="en-US" w:eastAsia="zh-CN"/>
        </w:rPr>
        <w:t xml:space="preserve"> 2017; </w:t>
      </w:r>
      <w:r w:rsidRPr="00F54EA8">
        <w:rPr>
          <w:rFonts w:ascii="Book Antiqua" w:eastAsia="SimSun" w:hAnsi="Book Antiqua" w:cs="Times New Roman"/>
          <w:b/>
          <w:kern w:val="2"/>
          <w:sz w:val="24"/>
          <w:szCs w:val="24"/>
          <w:lang w:val="en-US" w:eastAsia="zh-CN"/>
        </w:rPr>
        <w:t>471</w:t>
      </w:r>
      <w:r w:rsidRPr="00F54EA8">
        <w:rPr>
          <w:rFonts w:ascii="Book Antiqua" w:eastAsia="SimSun" w:hAnsi="Book Antiqua" w:cs="Times New Roman"/>
          <w:kern w:val="2"/>
          <w:sz w:val="24"/>
          <w:szCs w:val="24"/>
          <w:lang w:val="en-US" w:eastAsia="zh-CN"/>
        </w:rPr>
        <w:t>: 329-336 [PMID: 28597080 DOI: 10.1007/s00428-017-2171-6]</w:t>
      </w:r>
    </w:p>
    <w:p w14:paraId="5B648363"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240 </w:t>
      </w:r>
      <w:r w:rsidRPr="00F54EA8">
        <w:rPr>
          <w:rFonts w:ascii="Book Antiqua" w:eastAsia="SimSun" w:hAnsi="Book Antiqua" w:cs="Times New Roman"/>
          <w:b/>
          <w:kern w:val="2"/>
          <w:sz w:val="24"/>
          <w:szCs w:val="24"/>
          <w:lang w:val="en-US" w:eastAsia="zh-CN"/>
        </w:rPr>
        <w:t>Thiele Orberg E</w:t>
      </w:r>
      <w:r w:rsidRPr="00F54EA8">
        <w:rPr>
          <w:rFonts w:ascii="Book Antiqua" w:eastAsia="SimSun" w:hAnsi="Book Antiqua" w:cs="Times New Roman"/>
          <w:kern w:val="2"/>
          <w:sz w:val="24"/>
          <w:szCs w:val="24"/>
          <w:lang w:val="en-US" w:eastAsia="zh-CN"/>
        </w:rPr>
        <w:t xml:space="preserve">, Fan H, Tam AJ, Dejea CM, Destefano Shields CE, Wu S, Chung L, Finard BB, Wu X, Fathi P, Ganguly S, Fu J, Pardoll DM, Sears CL, Housseau F. The myeloid immune signature of enterotoxigenic Bacteroides fragilis-induced murine </w:t>
      </w:r>
      <w:r w:rsidRPr="00F54EA8">
        <w:rPr>
          <w:rFonts w:ascii="Book Antiqua" w:eastAsia="SimSun" w:hAnsi="Book Antiqua" w:cs="Times New Roman"/>
          <w:kern w:val="2"/>
          <w:sz w:val="24"/>
          <w:szCs w:val="24"/>
          <w:lang w:val="en-US" w:eastAsia="zh-CN"/>
        </w:rPr>
        <w:lastRenderedPageBreak/>
        <w:t xml:space="preserve">colon tumorigenesis. </w:t>
      </w:r>
      <w:r w:rsidRPr="00F54EA8">
        <w:rPr>
          <w:rFonts w:ascii="Book Antiqua" w:eastAsia="SimSun" w:hAnsi="Book Antiqua" w:cs="Times New Roman"/>
          <w:i/>
          <w:kern w:val="2"/>
          <w:sz w:val="24"/>
          <w:szCs w:val="24"/>
          <w:lang w:val="en-US" w:eastAsia="zh-CN"/>
        </w:rPr>
        <w:t>Mucosal Immunol</w:t>
      </w:r>
      <w:r w:rsidRPr="00F54EA8">
        <w:rPr>
          <w:rFonts w:ascii="Book Antiqua" w:eastAsia="SimSun" w:hAnsi="Book Antiqua" w:cs="Times New Roman"/>
          <w:kern w:val="2"/>
          <w:sz w:val="24"/>
          <w:szCs w:val="24"/>
          <w:lang w:val="en-US" w:eastAsia="zh-CN"/>
        </w:rPr>
        <w:t xml:space="preserve"> 2017; </w:t>
      </w:r>
      <w:r w:rsidRPr="00F54EA8">
        <w:rPr>
          <w:rFonts w:ascii="Book Antiqua" w:eastAsia="SimSun" w:hAnsi="Book Antiqua" w:cs="Times New Roman"/>
          <w:b/>
          <w:kern w:val="2"/>
          <w:sz w:val="24"/>
          <w:szCs w:val="24"/>
          <w:lang w:val="en-US" w:eastAsia="zh-CN"/>
        </w:rPr>
        <w:t>10</w:t>
      </w:r>
      <w:r w:rsidRPr="00F54EA8">
        <w:rPr>
          <w:rFonts w:ascii="Book Antiqua" w:eastAsia="SimSun" w:hAnsi="Book Antiqua" w:cs="Times New Roman"/>
          <w:kern w:val="2"/>
          <w:sz w:val="24"/>
          <w:szCs w:val="24"/>
          <w:lang w:val="en-US" w:eastAsia="zh-CN"/>
        </w:rPr>
        <w:t>: 421-433 [PMID: 27301879 DOI: 10.1038/mi.2016.53]</w:t>
      </w:r>
    </w:p>
    <w:p w14:paraId="3A114F1F"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241 </w:t>
      </w:r>
      <w:r w:rsidRPr="00F54EA8">
        <w:rPr>
          <w:rFonts w:ascii="Book Antiqua" w:eastAsia="SimSun" w:hAnsi="Book Antiqua" w:cs="Times New Roman"/>
          <w:b/>
          <w:kern w:val="2"/>
          <w:sz w:val="24"/>
          <w:szCs w:val="24"/>
          <w:lang w:val="en-US" w:eastAsia="zh-CN"/>
        </w:rPr>
        <w:t>Bhattacharya N</w:t>
      </w:r>
      <w:r w:rsidRPr="00F54EA8">
        <w:rPr>
          <w:rFonts w:ascii="Book Antiqua" w:eastAsia="SimSun" w:hAnsi="Book Antiqua" w:cs="Times New Roman"/>
          <w:kern w:val="2"/>
          <w:sz w:val="24"/>
          <w:szCs w:val="24"/>
          <w:lang w:val="en-US" w:eastAsia="zh-CN"/>
        </w:rPr>
        <w:t xml:space="preserve">, Yuan R, Prestwood TR, Penny HL, DiMaio MA, Reticker-Flynn NE, Krois CR, Kenkel JA, Pham TD, Carmi Y, Tolentino L, Choi O, Hulett R, Wang J, Winer DA, Napoli JL, Engleman EG. Normalizing Microbiota-Induced Retinoic Acid Deficiency Stimulates Protective </w:t>
      </w:r>
      <w:proofErr w:type="gramStart"/>
      <w:r w:rsidRPr="00F54EA8">
        <w:rPr>
          <w:rFonts w:ascii="Book Antiqua" w:eastAsia="SimSun" w:hAnsi="Book Antiqua" w:cs="Times New Roman"/>
          <w:kern w:val="2"/>
          <w:sz w:val="24"/>
          <w:szCs w:val="24"/>
          <w:lang w:val="en-US" w:eastAsia="zh-CN"/>
        </w:rPr>
        <w:t>CD8(</w:t>
      </w:r>
      <w:proofErr w:type="gramEnd"/>
      <w:r w:rsidRPr="00F54EA8">
        <w:rPr>
          <w:rFonts w:ascii="Book Antiqua" w:eastAsia="SimSun" w:hAnsi="Book Antiqua" w:cs="Times New Roman"/>
          <w:kern w:val="2"/>
          <w:sz w:val="24"/>
          <w:szCs w:val="24"/>
          <w:lang w:val="en-US" w:eastAsia="zh-CN"/>
        </w:rPr>
        <w:t xml:space="preserve">+) T Cell-Mediated Immunity in Colorectal Cancer. </w:t>
      </w:r>
      <w:r w:rsidRPr="00F54EA8">
        <w:rPr>
          <w:rFonts w:ascii="Book Antiqua" w:eastAsia="SimSun" w:hAnsi="Book Antiqua" w:cs="Times New Roman"/>
          <w:i/>
          <w:kern w:val="2"/>
          <w:sz w:val="24"/>
          <w:szCs w:val="24"/>
          <w:lang w:val="en-US" w:eastAsia="zh-CN"/>
        </w:rPr>
        <w:t>Immunity</w:t>
      </w:r>
      <w:r w:rsidRPr="00F54EA8">
        <w:rPr>
          <w:rFonts w:ascii="Book Antiqua" w:eastAsia="SimSun" w:hAnsi="Book Antiqua" w:cs="Times New Roman"/>
          <w:kern w:val="2"/>
          <w:sz w:val="24"/>
          <w:szCs w:val="24"/>
          <w:lang w:val="en-US" w:eastAsia="zh-CN"/>
        </w:rPr>
        <w:t xml:space="preserve"> 2016; </w:t>
      </w:r>
      <w:r w:rsidRPr="00F54EA8">
        <w:rPr>
          <w:rFonts w:ascii="Book Antiqua" w:eastAsia="SimSun" w:hAnsi="Book Antiqua" w:cs="Times New Roman"/>
          <w:b/>
          <w:kern w:val="2"/>
          <w:sz w:val="24"/>
          <w:szCs w:val="24"/>
          <w:lang w:val="en-US" w:eastAsia="zh-CN"/>
        </w:rPr>
        <w:t>45</w:t>
      </w:r>
      <w:r w:rsidRPr="00F54EA8">
        <w:rPr>
          <w:rFonts w:ascii="Book Antiqua" w:eastAsia="SimSun" w:hAnsi="Book Antiqua" w:cs="Times New Roman"/>
          <w:kern w:val="2"/>
          <w:sz w:val="24"/>
          <w:szCs w:val="24"/>
          <w:lang w:val="en-US" w:eastAsia="zh-CN"/>
        </w:rPr>
        <w:t>: 641-655 [PMID: 27590114 DOI: 10.1016/j.immuni.2016.08.008]</w:t>
      </w:r>
    </w:p>
    <w:p w14:paraId="45153027"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242 </w:t>
      </w:r>
      <w:r w:rsidRPr="00F54EA8">
        <w:rPr>
          <w:rFonts w:ascii="Book Antiqua" w:eastAsia="SimSun" w:hAnsi="Book Antiqua" w:cs="Times New Roman"/>
          <w:b/>
          <w:kern w:val="2"/>
          <w:sz w:val="24"/>
          <w:szCs w:val="24"/>
          <w:lang w:val="en-US" w:eastAsia="zh-CN"/>
        </w:rPr>
        <w:t>Cremonesi E</w:t>
      </w:r>
      <w:r w:rsidRPr="00F54EA8">
        <w:rPr>
          <w:rFonts w:ascii="Book Antiqua" w:eastAsia="SimSun" w:hAnsi="Book Antiqua" w:cs="Times New Roman"/>
          <w:kern w:val="2"/>
          <w:sz w:val="24"/>
          <w:szCs w:val="24"/>
          <w:lang w:val="en-US" w:eastAsia="zh-CN"/>
        </w:rPr>
        <w:t xml:space="preserve">, Governa V, Garzon JFG, Mele V, Amicarella F, Muraro MG, Trella E, Galati-Fournier V, Oertli D, Däster SR, Droeser RA, Weixler B, Bolli M, Rosso R, Nitsche U, Khanna N, Egli A, Keck S, Slotta-Huspenina J, Terracciano LM, Zajac P, Spagnoli GC, Eppenberger-Castori S, Janssen KP, Borsig L, Iezzi G. Gut microbiota modulate T cell trafficking into human colorectal cancer. </w:t>
      </w:r>
      <w:r w:rsidRPr="00F54EA8">
        <w:rPr>
          <w:rFonts w:ascii="Book Antiqua" w:eastAsia="SimSun" w:hAnsi="Book Antiqua" w:cs="Times New Roman"/>
          <w:i/>
          <w:kern w:val="2"/>
          <w:sz w:val="24"/>
          <w:szCs w:val="24"/>
          <w:lang w:val="en-US" w:eastAsia="zh-CN"/>
        </w:rPr>
        <w:t>Gut</w:t>
      </w:r>
      <w:r w:rsidRPr="00F54EA8">
        <w:rPr>
          <w:rFonts w:ascii="Book Antiqua" w:eastAsia="SimSun" w:hAnsi="Book Antiqua" w:cs="Times New Roman"/>
          <w:kern w:val="2"/>
          <w:sz w:val="24"/>
          <w:szCs w:val="24"/>
          <w:lang w:val="en-US" w:eastAsia="zh-CN"/>
        </w:rPr>
        <w:t xml:space="preserve"> 2018;</w:t>
      </w:r>
      <w:r w:rsidRPr="00F54EA8">
        <w:rPr>
          <w:rFonts w:ascii="Book Antiqua" w:eastAsia="SimSun" w:hAnsi="Book Antiqua" w:cs="Times New Roman" w:hint="eastAsia"/>
          <w:kern w:val="2"/>
          <w:sz w:val="24"/>
          <w:szCs w:val="24"/>
          <w:lang w:val="en-US" w:eastAsia="zh-CN"/>
        </w:rPr>
        <w:t xml:space="preserve"> </w:t>
      </w:r>
      <w:r w:rsidRPr="00F54EA8">
        <w:rPr>
          <w:rFonts w:ascii="Book Antiqua" w:eastAsia="SimSun" w:hAnsi="Book Antiqua" w:cs="Times New Roman"/>
          <w:kern w:val="2"/>
          <w:sz w:val="24"/>
          <w:szCs w:val="24"/>
          <w:lang w:val="en-US" w:eastAsia="zh-CN"/>
        </w:rPr>
        <w:t>Epub ahead of print</w:t>
      </w:r>
      <w:r w:rsidRPr="00F54EA8">
        <w:rPr>
          <w:rFonts w:ascii="Book Antiqua" w:eastAsia="SimSun" w:hAnsi="Book Antiqua" w:cs="Times New Roman" w:hint="eastAsia"/>
          <w:kern w:val="2"/>
          <w:sz w:val="24"/>
          <w:szCs w:val="24"/>
          <w:lang w:val="en-US" w:eastAsia="zh-CN"/>
        </w:rPr>
        <w:t xml:space="preserve"> </w:t>
      </w:r>
      <w:r w:rsidRPr="00F54EA8">
        <w:rPr>
          <w:rFonts w:ascii="Book Antiqua" w:eastAsia="SimSun" w:hAnsi="Book Antiqua" w:cs="Times New Roman"/>
          <w:kern w:val="2"/>
          <w:sz w:val="24"/>
          <w:szCs w:val="24"/>
          <w:lang w:val="en-US" w:eastAsia="zh-CN"/>
        </w:rPr>
        <w:t>[PMID: 29437871 DOI: 10.1136/gutjnl-2016-313498]</w:t>
      </w:r>
    </w:p>
    <w:p w14:paraId="58E5247A"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243 </w:t>
      </w:r>
      <w:r w:rsidRPr="00F54EA8">
        <w:rPr>
          <w:rFonts w:ascii="Book Antiqua" w:eastAsia="SimSun" w:hAnsi="Book Antiqua" w:cs="Times New Roman"/>
          <w:b/>
          <w:kern w:val="2"/>
          <w:sz w:val="24"/>
          <w:szCs w:val="24"/>
          <w:lang w:val="en-US" w:eastAsia="zh-CN"/>
        </w:rPr>
        <w:t>Mima K</w:t>
      </w:r>
      <w:r w:rsidRPr="00F54EA8">
        <w:rPr>
          <w:rFonts w:ascii="Book Antiqua" w:eastAsia="SimSun" w:hAnsi="Book Antiqua" w:cs="Times New Roman"/>
          <w:kern w:val="2"/>
          <w:sz w:val="24"/>
          <w:szCs w:val="24"/>
          <w:lang w:val="en-US" w:eastAsia="zh-CN"/>
        </w:rPr>
        <w:t xml:space="preserve">, Sukawa Y, Nishihara R, Qian ZR, Yamauchi M, Inamura K, Kim SA, Masuda A, Nowak JA, Nosho K, Kostic AD, Giannakis M, Watanabe H, Bullman S, Milner DA, Harris CC, Giovannucci E, Garraway LA, Freeman GJ, Dranoff G, Chan AT, Garrett WS, Huttenhower C, Fuchs CS, Ogino S. Fusobacterium nucleatum and T Cells in Colorectal Carcinoma. </w:t>
      </w:r>
      <w:r w:rsidRPr="00F54EA8">
        <w:rPr>
          <w:rFonts w:ascii="Book Antiqua" w:eastAsia="SimSun" w:hAnsi="Book Antiqua" w:cs="Times New Roman"/>
          <w:i/>
          <w:kern w:val="2"/>
          <w:sz w:val="24"/>
          <w:szCs w:val="24"/>
          <w:lang w:val="en-US" w:eastAsia="zh-CN"/>
        </w:rPr>
        <w:t>JAMA Oncol</w:t>
      </w:r>
      <w:r w:rsidRPr="00F54EA8">
        <w:rPr>
          <w:rFonts w:ascii="Book Antiqua" w:eastAsia="SimSun" w:hAnsi="Book Antiqua" w:cs="Times New Roman"/>
          <w:kern w:val="2"/>
          <w:sz w:val="24"/>
          <w:szCs w:val="24"/>
          <w:lang w:val="en-US" w:eastAsia="zh-CN"/>
        </w:rPr>
        <w:t xml:space="preserve"> 2015; </w:t>
      </w:r>
      <w:r w:rsidRPr="00F54EA8">
        <w:rPr>
          <w:rFonts w:ascii="Book Antiqua" w:eastAsia="SimSun" w:hAnsi="Book Antiqua" w:cs="Times New Roman"/>
          <w:b/>
          <w:kern w:val="2"/>
          <w:sz w:val="24"/>
          <w:szCs w:val="24"/>
          <w:lang w:val="en-US" w:eastAsia="zh-CN"/>
        </w:rPr>
        <w:t>1</w:t>
      </w:r>
      <w:r w:rsidRPr="00F54EA8">
        <w:rPr>
          <w:rFonts w:ascii="Book Antiqua" w:eastAsia="SimSun" w:hAnsi="Book Antiqua" w:cs="Times New Roman"/>
          <w:kern w:val="2"/>
          <w:sz w:val="24"/>
          <w:szCs w:val="24"/>
          <w:lang w:val="en-US" w:eastAsia="zh-CN"/>
        </w:rPr>
        <w:t>: 653-661 [PMID: 26181352 DOI: 10.1001/jamaoncol.2015.1377]</w:t>
      </w:r>
    </w:p>
    <w:p w14:paraId="69B55421"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244 </w:t>
      </w:r>
      <w:r w:rsidRPr="00F54EA8">
        <w:rPr>
          <w:rFonts w:ascii="Book Antiqua" w:eastAsia="SimSun" w:hAnsi="Book Antiqua" w:cs="Times New Roman"/>
          <w:b/>
          <w:kern w:val="2"/>
          <w:sz w:val="24"/>
          <w:szCs w:val="24"/>
          <w:lang w:val="en-US" w:eastAsia="zh-CN"/>
        </w:rPr>
        <w:t>Wu S</w:t>
      </w:r>
      <w:r w:rsidRPr="00F54EA8">
        <w:rPr>
          <w:rFonts w:ascii="Book Antiqua" w:eastAsia="SimSun" w:hAnsi="Book Antiqua" w:cs="Times New Roman"/>
          <w:kern w:val="2"/>
          <w:sz w:val="24"/>
          <w:szCs w:val="24"/>
          <w:lang w:val="en-US" w:eastAsia="zh-CN"/>
        </w:rPr>
        <w:t xml:space="preserve">, Rhee KJ, Albesiano E, Rabizadeh S, Wu X, Yen HR, Huso DL, Brancati FL, Wick E, McAllister F, Housseau F, Pardoll DM, Sears CL. A human colonic commensal promotes colon tumorigenesis via activation of T helper type 17 T cell responses. </w:t>
      </w:r>
      <w:r w:rsidRPr="00F54EA8">
        <w:rPr>
          <w:rFonts w:ascii="Book Antiqua" w:eastAsia="SimSun" w:hAnsi="Book Antiqua" w:cs="Times New Roman"/>
          <w:i/>
          <w:kern w:val="2"/>
          <w:sz w:val="24"/>
          <w:szCs w:val="24"/>
          <w:lang w:val="en-US" w:eastAsia="zh-CN"/>
        </w:rPr>
        <w:t>Nat Med</w:t>
      </w:r>
      <w:r w:rsidRPr="00F54EA8">
        <w:rPr>
          <w:rFonts w:ascii="Book Antiqua" w:eastAsia="SimSun" w:hAnsi="Book Antiqua" w:cs="Times New Roman"/>
          <w:kern w:val="2"/>
          <w:sz w:val="24"/>
          <w:szCs w:val="24"/>
          <w:lang w:val="en-US" w:eastAsia="zh-CN"/>
        </w:rPr>
        <w:t xml:space="preserve"> 2009; </w:t>
      </w:r>
      <w:r w:rsidRPr="00F54EA8">
        <w:rPr>
          <w:rFonts w:ascii="Book Antiqua" w:eastAsia="SimSun" w:hAnsi="Book Antiqua" w:cs="Times New Roman"/>
          <w:b/>
          <w:kern w:val="2"/>
          <w:sz w:val="24"/>
          <w:szCs w:val="24"/>
          <w:lang w:val="en-US" w:eastAsia="zh-CN"/>
        </w:rPr>
        <w:t>15</w:t>
      </w:r>
      <w:r w:rsidRPr="00F54EA8">
        <w:rPr>
          <w:rFonts w:ascii="Book Antiqua" w:eastAsia="SimSun" w:hAnsi="Book Antiqua" w:cs="Times New Roman"/>
          <w:kern w:val="2"/>
          <w:sz w:val="24"/>
          <w:szCs w:val="24"/>
          <w:lang w:val="en-US" w:eastAsia="zh-CN"/>
        </w:rPr>
        <w:t>: 1016-1022 [PMID: 19701202 DOI: 10.1038/nm.2015]</w:t>
      </w:r>
    </w:p>
    <w:p w14:paraId="6C6960D5"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245 </w:t>
      </w:r>
      <w:r w:rsidRPr="00F54EA8">
        <w:rPr>
          <w:rFonts w:ascii="Book Antiqua" w:eastAsia="SimSun" w:hAnsi="Book Antiqua" w:cs="Times New Roman"/>
          <w:b/>
          <w:kern w:val="2"/>
          <w:sz w:val="24"/>
          <w:szCs w:val="24"/>
          <w:lang w:val="en-US" w:eastAsia="zh-CN"/>
        </w:rPr>
        <w:t>Aarnoutse R</w:t>
      </w:r>
      <w:r w:rsidRPr="00F54EA8">
        <w:rPr>
          <w:rFonts w:ascii="Book Antiqua" w:eastAsia="SimSun" w:hAnsi="Book Antiqua" w:cs="Times New Roman"/>
          <w:kern w:val="2"/>
          <w:sz w:val="24"/>
          <w:szCs w:val="24"/>
          <w:lang w:val="en-US" w:eastAsia="zh-CN"/>
        </w:rPr>
        <w:t xml:space="preserve">, de Vos-Geelen JMPGM, Penders J, Boerma EG, Warmerdam FARM, Goorts B, Olde Damink SWM, Soons Z, Rensen SSM, Smidt ML. Study protocol on the role of intestinal microbiota in colorectal cancer treatment: a pathway to personalized medicine 2.0. </w:t>
      </w:r>
      <w:r w:rsidRPr="00F54EA8">
        <w:rPr>
          <w:rFonts w:ascii="Book Antiqua" w:eastAsia="SimSun" w:hAnsi="Book Antiqua" w:cs="Times New Roman"/>
          <w:i/>
          <w:kern w:val="2"/>
          <w:sz w:val="24"/>
          <w:szCs w:val="24"/>
          <w:lang w:val="en-US" w:eastAsia="zh-CN"/>
        </w:rPr>
        <w:t>Int J Colorectal Dis</w:t>
      </w:r>
      <w:r w:rsidRPr="00F54EA8">
        <w:rPr>
          <w:rFonts w:ascii="Book Antiqua" w:eastAsia="SimSun" w:hAnsi="Book Antiqua" w:cs="Times New Roman"/>
          <w:kern w:val="2"/>
          <w:sz w:val="24"/>
          <w:szCs w:val="24"/>
          <w:lang w:val="en-US" w:eastAsia="zh-CN"/>
        </w:rPr>
        <w:t xml:space="preserve"> 2017; </w:t>
      </w:r>
      <w:r w:rsidRPr="00F54EA8">
        <w:rPr>
          <w:rFonts w:ascii="Book Antiqua" w:eastAsia="SimSun" w:hAnsi="Book Antiqua" w:cs="Times New Roman"/>
          <w:b/>
          <w:kern w:val="2"/>
          <w:sz w:val="24"/>
          <w:szCs w:val="24"/>
          <w:lang w:val="en-US" w:eastAsia="zh-CN"/>
        </w:rPr>
        <w:t>32</w:t>
      </w:r>
      <w:r w:rsidRPr="00F54EA8">
        <w:rPr>
          <w:rFonts w:ascii="Book Antiqua" w:eastAsia="SimSun" w:hAnsi="Book Antiqua" w:cs="Times New Roman"/>
          <w:kern w:val="2"/>
          <w:sz w:val="24"/>
          <w:szCs w:val="24"/>
          <w:lang w:val="en-US" w:eastAsia="zh-CN"/>
        </w:rPr>
        <w:t>: 1077-1084 [PMID: 28444508 DOI: 10.1007/s00384-017-2819-3]</w:t>
      </w:r>
    </w:p>
    <w:p w14:paraId="21B4CC55"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246 </w:t>
      </w:r>
      <w:r w:rsidRPr="00F54EA8">
        <w:rPr>
          <w:rFonts w:ascii="Book Antiqua" w:eastAsia="SimSun" w:hAnsi="Book Antiqua" w:cs="Times New Roman"/>
          <w:b/>
          <w:kern w:val="2"/>
          <w:sz w:val="24"/>
          <w:szCs w:val="24"/>
          <w:lang w:val="en-US" w:eastAsia="zh-CN"/>
        </w:rPr>
        <w:t>Guyton K</w:t>
      </w:r>
      <w:r w:rsidRPr="00F54EA8">
        <w:rPr>
          <w:rFonts w:ascii="Book Antiqua" w:eastAsia="SimSun" w:hAnsi="Book Antiqua" w:cs="Times New Roman"/>
          <w:kern w:val="2"/>
          <w:sz w:val="24"/>
          <w:szCs w:val="24"/>
          <w:lang w:val="en-US" w:eastAsia="zh-CN"/>
        </w:rPr>
        <w:t xml:space="preserve">, Alverdy JC. The gut microbiota and gastrointestinal surgery. </w:t>
      </w:r>
      <w:r w:rsidRPr="00F54EA8">
        <w:rPr>
          <w:rFonts w:ascii="Book Antiqua" w:eastAsia="SimSun" w:hAnsi="Book Antiqua" w:cs="Times New Roman"/>
          <w:i/>
          <w:kern w:val="2"/>
          <w:sz w:val="24"/>
          <w:szCs w:val="24"/>
          <w:lang w:val="en-US" w:eastAsia="zh-CN"/>
        </w:rPr>
        <w:t>Nat Rev Gastroenterol Hepatol</w:t>
      </w:r>
      <w:r w:rsidRPr="00F54EA8">
        <w:rPr>
          <w:rFonts w:ascii="Book Antiqua" w:eastAsia="SimSun" w:hAnsi="Book Antiqua" w:cs="Times New Roman"/>
          <w:kern w:val="2"/>
          <w:sz w:val="24"/>
          <w:szCs w:val="24"/>
          <w:lang w:val="en-US" w:eastAsia="zh-CN"/>
        </w:rPr>
        <w:t xml:space="preserve"> 2017; </w:t>
      </w:r>
      <w:r w:rsidRPr="00F54EA8">
        <w:rPr>
          <w:rFonts w:ascii="Book Antiqua" w:eastAsia="SimSun" w:hAnsi="Book Antiqua" w:cs="Times New Roman"/>
          <w:b/>
          <w:kern w:val="2"/>
          <w:sz w:val="24"/>
          <w:szCs w:val="24"/>
          <w:lang w:val="en-US" w:eastAsia="zh-CN"/>
        </w:rPr>
        <w:t>14</w:t>
      </w:r>
      <w:r w:rsidRPr="00F54EA8">
        <w:rPr>
          <w:rFonts w:ascii="Book Antiqua" w:eastAsia="SimSun" w:hAnsi="Book Antiqua" w:cs="Times New Roman"/>
          <w:kern w:val="2"/>
          <w:sz w:val="24"/>
          <w:szCs w:val="24"/>
          <w:lang w:val="en-US" w:eastAsia="zh-CN"/>
        </w:rPr>
        <w:t>: 43-54 [PMID: 27729657 DOI: 10.1038/nrgastro.2016.139]</w:t>
      </w:r>
    </w:p>
    <w:p w14:paraId="300FA395"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lastRenderedPageBreak/>
        <w:t xml:space="preserve">247 </w:t>
      </w:r>
      <w:r w:rsidRPr="00F54EA8">
        <w:rPr>
          <w:rFonts w:ascii="Book Antiqua" w:eastAsia="SimSun" w:hAnsi="Book Antiqua" w:cs="Times New Roman"/>
          <w:b/>
          <w:kern w:val="2"/>
          <w:sz w:val="24"/>
          <w:szCs w:val="24"/>
          <w:lang w:val="en-US" w:eastAsia="zh-CN"/>
        </w:rPr>
        <w:t>Bachmann R</w:t>
      </w:r>
      <w:r w:rsidRPr="00F54EA8">
        <w:rPr>
          <w:rFonts w:ascii="Book Antiqua" w:eastAsia="SimSun" w:hAnsi="Book Antiqua" w:cs="Times New Roman"/>
          <w:kern w:val="2"/>
          <w:sz w:val="24"/>
          <w:szCs w:val="24"/>
          <w:lang w:val="en-US" w:eastAsia="zh-CN"/>
        </w:rPr>
        <w:t xml:space="preserve">, Leonard D, Delzenne N, Kartheuser A, Cani PD. Novel insight into the role of microbiota in colorectal surgery. </w:t>
      </w:r>
      <w:r w:rsidRPr="00F54EA8">
        <w:rPr>
          <w:rFonts w:ascii="Book Antiqua" w:eastAsia="SimSun" w:hAnsi="Book Antiqua" w:cs="Times New Roman"/>
          <w:i/>
          <w:kern w:val="2"/>
          <w:sz w:val="24"/>
          <w:szCs w:val="24"/>
          <w:lang w:val="en-US" w:eastAsia="zh-CN"/>
        </w:rPr>
        <w:t>Gut</w:t>
      </w:r>
      <w:r w:rsidRPr="00F54EA8">
        <w:rPr>
          <w:rFonts w:ascii="Book Antiqua" w:eastAsia="SimSun" w:hAnsi="Book Antiqua" w:cs="Times New Roman"/>
          <w:kern w:val="2"/>
          <w:sz w:val="24"/>
          <w:szCs w:val="24"/>
          <w:lang w:val="en-US" w:eastAsia="zh-CN"/>
        </w:rPr>
        <w:t xml:space="preserve"> 2017; </w:t>
      </w:r>
      <w:r w:rsidRPr="00F54EA8">
        <w:rPr>
          <w:rFonts w:ascii="Book Antiqua" w:eastAsia="SimSun" w:hAnsi="Book Antiqua" w:cs="Times New Roman"/>
          <w:b/>
          <w:kern w:val="2"/>
          <w:sz w:val="24"/>
          <w:szCs w:val="24"/>
          <w:lang w:val="en-US" w:eastAsia="zh-CN"/>
        </w:rPr>
        <w:t>66</w:t>
      </w:r>
      <w:r w:rsidRPr="00F54EA8">
        <w:rPr>
          <w:rFonts w:ascii="Book Antiqua" w:eastAsia="SimSun" w:hAnsi="Book Antiqua" w:cs="Times New Roman"/>
          <w:kern w:val="2"/>
          <w:sz w:val="24"/>
          <w:szCs w:val="24"/>
          <w:lang w:val="en-US" w:eastAsia="zh-CN"/>
        </w:rPr>
        <w:t>: 738-749 [PMID: 28153961 DOI: 10.1136/gutjnl-2016-312569]</w:t>
      </w:r>
    </w:p>
    <w:p w14:paraId="630368A3"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248 </w:t>
      </w:r>
      <w:r w:rsidRPr="00F54EA8">
        <w:rPr>
          <w:rFonts w:ascii="Book Antiqua" w:eastAsia="SimSun" w:hAnsi="Book Antiqua" w:cs="Times New Roman"/>
          <w:b/>
          <w:kern w:val="2"/>
          <w:sz w:val="24"/>
          <w:szCs w:val="24"/>
          <w:lang w:val="en-US" w:eastAsia="zh-CN"/>
        </w:rPr>
        <w:t>Sassone-Corsi M</w:t>
      </w:r>
      <w:r w:rsidRPr="00F54EA8">
        <w:rPr>
          <w:rFonts w:ascii="Book Antiqua" w:eastAsia="SimSun" w:hAnsi="Book Antiqua" w:cs="Times New Roman"/>
          <w:kern w:val="2"/>
          <w:sz w:val="24"/>
          <w:szCs w:val="24"/>
          <w:lang w:val="en-US" w:eastAsia="zh-CN"/>
        </w:rPr>
        <w:t xml:space="preserve">, Raffatellu M. No vacancy: how beneficial microbes cooperate with immunity to provide colonization resistance to pathogens. </w:t>
      </w:r>
      <w:r w:rsidRPr="00F54EA8">
        <w:rPr>
          <w:rFonts w:ascii="Book Antiqua" w:eastAsia="SimSun" w:hAnsi="Book Antiqua" w:cs="Times New Roman"/>
          <w:i/>
          <w:kern w:val="2"/>
          <w:sz w:val="24"/>
          <w:szCs w:val="24"/>
          <w:lang w:val="en-US" w:eastAsia="zh-CN"/>
        </w:rPr>
        <w:t>J Immunol</w:t>
      </w:r>
      <w:r w:rsidRPr="00F54EA8">
        <w:rPr>
          <w:rFonts w:ascii="Book Antiqua" w:eastAsia="SimSun" w:hAnsi="Book Antiqua" w:cs="Times New Roman"/>
          <w:kern w:val="2"/>
          <w:sz w:val="24"/>
          <w:szCs w:val="24"/>
          <w:lang w:val="en-US" w:eastAsia="zh-CN"/>
        </w:rPr>
        <w:t xml:space="preserve"> 2015; </w:t>
      </w:r>
      <w:r w:rsidRPr="00F54EA8">
        <w:rPr>
          <w:rFonts w:ascii="Book Antiqua" w:eastAsia="SimSun" w:hAnsi="Book Antiqua" w:cs="Times New Roman"/>
          <w:b/>
          <w:kern w:val="2"/>
          <w:sz w:val="24"/>
          <w:szCs w:val="24"/>
          <w:lang w:val="en-US" w:eastAsia="zh-CN"/>
        </w:rPr>
        <w:t>194</w:t>
      </w:r>
      <w:r w:rsidRPr="00F54EA8">
        <w:rPr>
          <w:rFonts w:ascii="Book Antiqua" w:eastAsia="SimSun" w:hAnsi="Book Antiqua" w:cs="Times New Roman"/>
          <w:kern w:val="2"/>
          <w:sz w:val="24"/>
          <w:szCs w:val="24"/>
          <w:lang w:val="en-US" w:eastAsia="zh-CN"/>
        </w:rPr>
        <w:t>: 4081-4087 [PMID: 25888704 DOI: 10.4049/jimmunol.1403169]</w:t>
      </w:r>
    </w:p>
    <w:p w14:paraId="14D2296E"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249 </w:t>
      </w:r>
      <w:r w:rsidRPr="00F54EA8">
        <w:rPr>
          <w:rFonts w:ascii="Book Antiqua" w:eastAsia="SimSun" w:hAnsi="Book Antiqua" w:cs="Times New Roman"/>
          <w:b/>
          <w:kern w:val="2"/>
          <w:sz w:val="24"/>
          <w:szCs w:val="24"/>
          <w:lang w:val="en-US" w:eastAsia="zh-CN"/>
        </w:rPr>
        <w:t>Karrasch T</w:t>
      </w:r>
      <w:r w:rsidRPr="00F54EA8">
        <w:rPr>
          <w:rFonts w:ascii="Book Antiqua" w:eastAsia="SimSun" w:hAnsi="Book Antiqua" w:cs="Times New Roman"/>
          <w:kern w:val="2"/>
          <w:sz w:val="24"/>
          <w:szCs w:val="24"/>
          <w:lang w:val="en-US" w:eastAsia="zh-CN"/>
        </w:rPr>
        <w:t xml:space="preserve">, Jobin C. Wound healing responses at the gastrointestinal epithelium: a close look at novel regulatory factors and investigative approaches. </w:t>
      </w:r>
      <w:r w:rsidRPr="00F54EA8">
        <w:rPr>
          <w:rFonts w:ascii="Book Antiqua" w:eastAsia="SimSun" w:hAnsi="Book Antiqua" w:cs="Times New Roman"/>
          <w:i/>
          <w:kern w:val="2"/>
          <w:sz w:val="24"/>
          <w:szCs w:val="24"/>
          <w:lang w:val="en-US" w:eastAsia="zh-CN"/>
        </w:rPr>
        <w:t>Z Gastroenterol</w:t>
      </w:r>
      <w:r w:rsidRPr="00F54EA8">
        <w:rPr>
          <w:rFonts w:ascii="Book Antiqua" w:eastAsia="SimSun" w:hAnsi="Book Antiqua" w:cs="Times New Roman"/>
          <w:kern w:val="2"/>
          <w:sz w:val="24"/>
          <w:szCs w:val="24"/>
          <w:lang w:val="en-US" w:eastAsia="zh-CN"/>
        </w:rPr>
        <w:t xml:space="preserve"> 2009; </w:t>
      </w:r>
      <w:r w:rsidRPr="00F54EA8">
        <w:rPr>
          <w:rFonts w:ascii="Book Antiqua" w:eastAsia="SimSun" w:hAnsi="Book Antiqua" w:cs="Times New Roman"/>
          <w:b/>
          <w:kern w:val="2"/>
          <w:sz w:val="24"/>
          <w:szCs w:val="24"/>
          <w:lang w:val="en-US" w:eastAsia="zh-CN"/>
        </w:rPr>
        <w:t>47</w:t>
      </w:r>
      <w:r w:rsidRPr="00F54EA8">
        <w:rPr>
          <w:rFonts w:ascii="Book Antiqua" w:eastAsia="SimSun" w:hAnsi="Book Antiqua" w:cs="Times New Roman"/>
          <w:kern w:val="2"/>
          <w:sz w:val="24"/>
          <w:szCs w:val="24"/>
          <w:lang w:val="en-US" w:eastAsia="zh-CN"/>
        </w:rPr>
        <w:t>: 1221-1229 [PMID: 19960401 DOI: 10.1055/s-0028-1109766]</w:t>
      </w:r>
    </w:p>
    <w:p w14:paraId="5D8C303C"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250 </w:t>
      </w:r>
      <w:r w:rsidRPr="00F54EA8">
        <w:rPr>
          <w:rFonts w:ascii="Book Antiqua" w:eastAsia="SimSun" w:hAnsi="Book Antiqua" w:cs="Times New Roman"/>
          <w:b/>
          <w:kern w:val="2"/>
          <w:sz w:val="24"/>
          <w:szCs w:val="24"/>
          <w:lang w:val="en-US" w:eastAsia="zh-CN"/>
        </w:rPr>
        <w:t>Lee L</w:t>
      </w:r>
      <w:r w:rsidRPr="00F54EA8">
        <w:rPr>
          <w:rFonts w:ascii="Book Antiqua" w:eastAsia="SimSun" w:hAnsi="Book Antiqua" w:cs="Times New Roman"/>
          <w:kern w:val="2"/>
          <w:sz w:val="24"/>
          <w:szCs w:val="24"/>
          <w:lang w:val="en-US" w:eastAsia="zh-CN"/>
        </w:rPr>
        <w:t xml:space="preserve">, Liberman S, Charlebois P, Stein B, Kaneva P, Carli F, Feldman LS. The impact of complications after elective colorectal resection within an enhanced recovery pathway. </w:t>
      </w:r>
      <w:r w:rsidRPr="00F54EA8">
        <w:rPr>
          <w:rFonts w:ascii="Book Antiqua" w:eastAsia="SimSun" w:hAnsi="Book Antiqua" w:cs="Times New Roman"/>
          <w:i/>
          <w:kern w:val="2"/>
          <w:sz w:val="24"/>
          <w:szCs w:val="24"/>
          <w:lang w:val="en-US" w:eastAsia="zh-CN"/>
        </w:rPr>
        <w:t>Tech Coloproctol</w:t>
      </w:r>
      <w:r w:rsidRPr="00F54EA8">
        <w:rPr>
          <w:rFonts w:ascii="Book Antiqua" w:eastAsia="SimSun" w:hAnsi="Book Antiqua" w:cs="Times New Roman"/>
          <w:kern w:val="2"/>
          <w:sz w:val="24"/>
          <w:szCs w:val="24"/>
          <w:lang w:val="en-US" w:eastAsia="zh-CN"/>
        </w:rPr>
        <w:t xml:space="preserve"> 2018; </w:t>
      </w:r>
      <w:r w:rsidRPr="00F54EA8">
        <w:rPr>
          <w:rFonts w:ascii="Book Antiqua" w:eastAsia="SimSun" w:hAnsi="Book Antiqua" w:cs="Times New Roman"/>
          <w:b/>
          <w:kern w:val="2"/>
          <w:sz w:val="24"/>
          <w:szCs w:val="24"/>
          <w:lang w:val="en-US" w:eastAsia="zh-CN"/>
        </w:rPr>
        <w:t>22</w:t>
      </w:r>
      <w:r w:rsidRPr="00F54EA8">
        <w:rPr>
          <w:rFonts w:ascii="Book Antiqua" w:eastAsia="SimSun" w:hAnsi="Book Antiqua" w:cs="Times New Roman"/>
          <w:kern w:val="2"/>
          <w:sz w:val="24"/>
          <w:szCs w:val="24"/>
          <w:lang w:val="en-US" w:eastAsia="zh-CN"/>
        </w:rPr>
        <w:t>: 191-199 [PMID: 29508102 DOI: 10.1007/s10151-018-1761-x]</w:t>
      </w:r>
    </w:p>
    <w:p w14:paraId="66234E61"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251 </w:t>
      </w:r>
      <w:r w:rsidRPr="00F54EA8">
        <w:rPr>
          <w:rFonts w:ascii="Book Antiqua" w:eastAsia="SimSun" w:hAnsi="Book Antiqua" w:cs="Times New Roman"/>
          <w:b/>
          <w:kern w:val="2"/>
          <w:sz w:val="24"/>
          <w:szCs w:val="24"/>
          <w:lang w:val="en-US" w:eastAsia="zh-CN"/>
        </w:rPr>
        <w:t>Ohigashi S</w:t>
      </w:r>
      <w:r w:rsidRPr="00F54EA8">
        <w:rPr>
          <w:rFonts w:ascii="Book Antiqua" w:eastAsia="SimSun" w:hAnsi="Book Antiqua" w:cs="Times New Roman"/>
          <w:kern w:val="2"/>
          <w:sz w:val="24"/>
          <w:szCs w:val="24"/>
          <w:lang w:val="en-US" w:eastAsia="zh-CN"/>
        </w:rPr>
        <w:t xml:space="preserve">, Sudo K, Kobayashi D, Takahashi T, Nomoto K, Onodera H. Significant changes in the intestinal environment after surgery in patients with colorectal cancer. </w:t>
      </w:r>
      <w:r w:rsidRPr="00F54EA8">
        <w:rPr>
          <w:rFonts w:ascii="Book Antiqua" w:eastAsia="SimSun" w:hAnsi="Book Antiqua" w:cs="Times New Roman"/>
          <w:i/>
          <w:kern w:val="2"/>
          <w:sz w:val="24"/>
          <w:szCs w:val="24"/>
          <w:lang w:val="en-US" w:eastAsia="zh-CN"/>
        </w:rPr>
        <w:t>J Gastrointest Surg</w:t>
      </w:r>
      <w:r w:rsidRPr="00F54EA8">
        <w:rPr>
          <w:rFonts w:ascii="Book Antiqua" w:eastAsia="SimSun" w:hAnsi="Book Antiqua" w:cs="Times New Roman"/>
          <w:kern w:val="2"/>
          <w:sz w:val="24"/>
          <w:szCs w:val="24"/>
          <w:lang w:val="en-US" w:eastAsia="zh-CN"/>
        </w:rPr>
        <w:t xml:space="preserve"> 2013; </w:t>
      </w:r>
      <w:r w:rsidRPr="00F54EA8">
        <w:rPr>
          <w:rFonts w:ascii="Book Antiqua" w:eastAsia="SimSun" w:hAnsi="Book Antiqua" w:cs="Times New Roman"/>
          <w:b/>
          <w:kern w:val="2"/>
          <w:sz w:val="24"/>
          <w:szCs w:val="24"/>
          <w:lang w:val="en-US" w:eastAsia="zh-CN"/>
        </w:rPr>
        <w:t>17</w:t>
      </w:r>
      <w:r w:rsidRPr="00F54EA8">
        <w:rPr>
          <w:rFonts w:ascii="Book Antiqua" w:eastAsia="SimSun" w:hAnsi="Book Antiqua" w:cs="Times New Roman"/>
          <w:kern w:val="2"/>
          <w:sz w:val="24"/>
          <w:szCs w:val="24"/>
          <w:lang w:val="en-US" w:eastAsia="zh-CN"/>
        </w:rPr>
        <w:t>: 1657-1664 [PMID: 23807702 DOI: 10.1007/s11605-013-2270-x]</w:t>
      </w:r>
    </w:p>
    <w:p w14:paraId="7382BE3F"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252 </w:t>
      </w:r>
      <w:r w:rsidRPr="00F54EA8">
        <w:rPr>
          <w:rFonts w:ascii="Book Antiqua" w:eastAsia="SimSun" w:hAnsi="Book Antiqua" w:cs="Times New Roman"/>
          <w:b/>
          <w:kern w:val="2"/>
          <w:sz w:val="24"/>
          <w:szCs w:val="24"/>
          <w:lang w:val="en-US" w:eastAsia="zh-CN"/>
        </w:rPr>
        <w:t>Souza DG</w:t>
      </w:r>
      <w:r w:rsidRPr="00F54EA8">
        <w:rPr>
          <w:rFonts w:ascii="Book Antiqua" w:eastAsia="SimSun" w:hAnsi="Book Antiqua" w:cs="Times New Roman"/>
          <w:kern w:val="2"/>
          <w:sz w:val="24"/>
          <w:szCs w:val="24"/>
          <w:lang w:val="en-US" w:eastAsia="zh-CN"/>
        </w:rPr>
        <w:t xml:space="preserve">, Vieira AT, Soares AC, Pinho V, Nicoli JR, Vieira LQ, Teixeira MM. The essential role of the intestinal microbiota in facilitating acute inflammatory responses. </w:t>
      </w:r>
      <w:r w:rsidRPr="00F54EA8">
        <w:rPr>
          <w:rFonts w:ascii="Book Antiqua" w:eastAsia="SimSun" w:hAnsi="Book Antiqua" w:cs="Times New Roman"/>
          <w:i/>
          <w:kern w:val="2"/>
          <w:sz w:val="24"/>
          <w:szCs w:val="24"/>
          <w:lang w:val="en-US" w:eastAsia="zh-CN"/>
        </w:rPr>
        <w:t>J Immunol</w:t>
      </w:r>
      <w:r w:rsidRPr="00F54EA8">
        <w:rPr>
          <w:rFonts w:ascii="Book Antiqua" w:eastAsia="SimSun" w:hAnsi="Book Antiqua" w:cs="Times New Roman"/>
          <w:kern w:val="2"/>
          <w:sz w:val="24"/>
          <w:szCs w:val="24"/>
          <w:lang w:val="en-US" w:eastAsia="zh-CN"/>
        </w:rPr>
        <w:t xml:space="preserve"> 2004; </w:t>
      </w:r>
      <w:r w:rsidRPr="00F54EA8">
        <w:rPr>
          <w:rFonts w:ascii="Book Antiqua" w:eastAsia="SimSun" w:hAnsi="Book Antiqua" w:cs="Times New Roman"/>
          <w:b/>
          <w:kern w:val="2"/>
          <w:sz w:val="24"/>
          <w:szCs w:val="24"/>
          <w:lang w:val="en-US" w:eastAsia="zh-CN"/>
        </w:rPr>
        <w:t>173</w:t>
      </w:r>
      <w:r w:rsidRPr="00F54EA8">
        <w:rPr>
          <w:rFonts w:ascii="Book Antiqua" w:eastAsia="SimSun" w:hAnsi="Book Antiqua" w:cs="Times New Roman"/>
          <w:kern w:val="2"/>
          <w:sz w:val="24"/>
          <w:szCs w:val="24"/>
          <w:lang w:val="en-US" w:eastAsia="zh-CN"/>
        </w:rPr>
        <w:t>: 4137-4146 [PMID: 15356164]</w:t>
      </w:r>
    </w:p>
    <w:p w14:paraId="79C95D03"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253 </w:t>
      </w:r>
      <w:r w:rsidRPr="00F54EA8">
        <w:rPr>
          <w:rFonts w:ascii="Book Antiqua" w:eastAsia="SimSun" w:hAnsi="Book Antiqua" w:cs="Times New Roman"/>
          <w:b/>
          <w:kern w:val="2"/>
          <w:sz w:val="24"/>
          <w:szCs w:val="24"/>
          <w:lang w:val="en-US" w:eastAsia="zh-CN"/>
        </w:rPr>
        <w:t>Stary L</w:t>
      </w:r>
      <w:r w:rsidRPr="00F54EA8">
        <w:rPr>
          <w:rFonts w:ascii="Book Antiqua" w:eastAsia="SimSun" w:hAnsi="Book Antiqua" w:cs="Times New Roman"/>
          <w:kern w:val="2"/>
          <w:sz w:val="24"/>
          <w:szCs w:val="24"/>
          <w:lang w:val="en-US" w:eastAsia="zh-CN"/>
        </w:rPr>
        <w:t>, Mezerova K, Skalicky P, Zboril P, Raclavsky V. Are we any closer to screening for colorectal cancer using microbial markers</w:t>
      </w:r>
      <w:proofErr w:type="gramStart"/>
      <w:r w:rsidRPr="00F54EA8">
        <w:rPr>
          <w:rFonts w:ascii="Book Antiqua" w:eastAsia="SimSun" w:hAnsi="Book Antiqua" w:cs="Times New Roman"/>
          <w:kern w:val="2"/>
          <w:sz w:val="24"/>
          <w:szCs w:val="24"/>
          <w:lang w:val="en-US" w:eastAsia="zh-CN"/>
        </w:rPr>
        <w:t>?A</w:t>
      </w:r>
      <w:proofErr w:type="gramEnd"/>
      <w:r w:rsidRPr="00F54EA8">
        <w:rPr>
          <w:rFonts w:ascii="Book Antiqua" w:eastAsia="SimSun" w:hAnsi="Book Antiqua" w:cs="Times New Roman"/>
          <w:kern w:val="2"/>
          <w:sz w:val="24"/>
          <w:szCs w:val="24"/>
          <w:lang w:val="en-US" w:eastAsia="zh-CN"/>
        </w:rPr>
        <w:t xml:space="preserve"> critical review. </w:t>
      </w:r>
      <w:r w:rsidRPr="00F54EA8">
        <w:rPr>
          <w:rFonts w:ascii="Book Antiqua" w:eastAsia="SimSun" w:hAnsi="Book Antiqua" w:cs="Times New Roman"/>
          <w:i/>
          <w:kern w:val="2"/>
          <w:sz w:val="24"/>
          <w:szCs w:val="24"/>
          <w:lang w:val="en-US" w:eastAsia="zh-CN"/>
        </w:rPr>
        <w:t>Biomed Pap Med Fac Univ Palacky Olomouc Czech Repub</w:t>
      </w:r>
      <w:r w:rsidRPr="00F54EA8">
        <w:rPr>
          <w:rFonts w:ascii="Book Antiqua" w:eastAsia="SimSun" w:hAnsi="Book Antiqua" w:cs="Times New Roman"/>
          <w:kern w:val="2"/>
          <w:sz w:val="24"/>
          <w:szCs w:val="24"/>
          <w:lang w:val="en-US" w:eastAsia="zh-CN"/>
        </w:rPr>
        <w:t xml:space="preserve"> 2017; </w:t>
      </w:r>
      <w:r w:rsidRPr="00F54EA8">
        <w:rPr>
          <w:rFonts w:ascii="Book Antiqua" w:eastAsia="SimSun" w:hAnsi="Book Antiqua" w:cs="Times New Roman"/>
          <w:b/>
          <w:kern w:val="2"/>
          <w:sz w:val="24"/>
          <w:szCs w:val="24"/>
          <w:lang w:val="en-US" w:eastAsia="zh-CN"/>
        </w:rPr>
        <w:t>161</w:t>
      </w:r>
      <w:r w:rsidRPr="00F54EA8">
        <w:rPr>
          <w:rFonts w:ascii="Book Antiqua" w:eastAsia="SimSun" w:hAnsi="Book Antiqua" w:cs="Times New Roman"/>
          <w:kern w:val="2"/>
          <w:sz w:val="24"/>
          <w:szCs w:val="24"/>
          <w:lang w:val="en-US" w:eastAsia="zh-CN"/>
        </w:rPr>
        <w:t>: 333-338 [PMID: 29235578 DOI: 10.5507/bp.2017.051]</w:t>
      </w:r>
    </w:p>
    <w:p w14:paraId="3D022C1C"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254 </w:t>
      </w:r>
      <w:r w:rsidRPr="00F54EA8">
        <w:rPr>
          <w:rFonts w:ascii="Book Antiqua" w:eastAsia="SimSun" w:hAnsi="Book Antiqua" w:cs="Times New Roman"/>
          <w:b/>
          <w:kern w:val="2"/>
          <w:sz w:val="24"/>
          <w:szCs w:val="24"/>
          <w:lang w:val="en-US" w:eastAsia="zh-CN"/>
        </w:rPr>
        <w:t>Flemer B</w:t>
      </w:r>
      <w:r w:rsidRPr="00F54EA8">
        <w:rPr>
          <w:rFonts w:ascii="Book Antiqua" w:eastAsia="SimSun" w:hAnsi="Book Antiqua" w:cs="Times New Roman"/>
          <w:kern w:val="2"/>
          <w:sz w:val="24"/>
          <w:szCs w:val="24"/>
          <w:lang w:val="en-US" w:eastAsia="zh-CN"/>
        </w:rPr>
        <w:t xml:space="preserve">, Warren RD, Barrett MP, Cisek K, Das A, Jeffery IB, Hurley E, O'Riordain M, Shanahan F, O'Toole PW. The oral microbiota in colorectal cancer is distinctive and predictive. </w:t>
      </w:r>
      <w:r w:rsidRPr="00F54EA8">
        <w:rPr>
          <w:rFonts w:ascii="Book Antiqua" w:eastAsia="SimSun" w:hAnsi="Book Antiqua" w:cs="Times New Roman"/>
          <w:i/>
          <w:kern w:val="2"/>
          <w:sz w:val="24"/>
          <w:szCs w:val="24"/>
          <w:lang w:val="en-US" w:eastAsia="zh-CN"/>
        </w:rPr>
        <w:t>Gut</w:t>
      </w:r>
      <w:r w:rsidRPr="00F54EA8">
        <w:rPr>
          <w:rFonts w:ascii="Book Antiqua" w:eastAsia="SimSun" w:hAnsi="Book Antiqua" w:cs="Times New Roman"/>
          <w:kern w:val="2"/>
          <w:sz w:val="24"/>
          <w:szCs w:val="24"/>
          <w:lang w:val="en-US" w:eastAsia="zh-CN"/>
        </w:rPr>
        <w:t xml:space="preserve"> 2017; Epub ahead of print</w:t>
      </w:r>
      <w:r w:rsidRPr="00F54EA8">
        <w:rPr>
          <w:rFonts w:ascii="Book Antiqua" w:eastAsia="SimSun" w:hAnsi="Book Antiqua" w:cs="Times New Roman" w:hint="eastAsia"/>
          <w:kern w:val="2"/>
          <w:sz w:val="24"/>
          <w:szCs w:val="24"/>
          <w:lang w:val="en-US" w:eastAsia="zh-CN"/>
        </w:rPr>
        <w:t xml:space="preserve"> </w:t>
      </w:r>
      <w:r w:rsidRPr="00F54EA8">
        <w:rPr>
          <w:rFonts w:ascii="Book Antiqua" w:eastAsia="SimSun" w:hAnsi="Book Antiqua" w:cs="Times New Roman"/>
          <w:kern w:val="2"/>
          <w:sz w:val="24"/>
          <w:szCs w:val="24"/>
          <w:lang w:val="en-US" w:eastAsia="zh-CN"/>
        </w:rPr>
        <w:t>[PMID: 28988196 DOI: 10.1136/gutjnl-2017-314814]</w:t>
      </w:r>
    </w:p>
    <w:p w14:paraId="1762F6EE" w14:textId="77777777" w:rsidR="00F54EA8" w:rsidRPr="00F54EA8" w:rsidRDefault="00F54EA8" w:rsidP="00F54EA8">
      <w:pPr>
        <w:widowControl w:val="0"/>
        <w:snapToGrid w:val="0"/>
        <w:spacing w:after="0" w:line="360" w:lineRule="auto"/>
        <w:jc w:val="both"/>
        <w:rPr>
          <w:rFonts w:ascii="Book Antiqua" w:eastAsia="SimSun" w:hAnsi="Book Antiqua" w:cs="Times New Roman"/>
          <w:kern w:val="2"/>
          <w:sz w:val="24"/>
          <w:szCs w:val="24"/>
          <w:lang w:val="en-US" w:eastAsia="zh-CN"/>
        </w:rPr>
      </w:pPr>
      <w:r w:rsidRPr="00F54EA8">
        <w:rPr>
          <w:rFonts w:ascii="Book Antiqua" w:eastAsia="SimSun" w:hAnsi="Book Antiqua" w:cs="Times New Roman"/>
          <w:kern w:val="2"/>
          <w:sz w:val="24"/>
          <w:szCs w:val="24"/>
          <w:lang w:val="en-US" w:eastAsia="zh-CN"/>
        </w:rPr>
        <w:t xml:space="preserve">255 </w:t>
      </w:r>
      <w:r w:rsidRPr="00F54EA8">
        <w:rPr>
          <w:rFonts w:ascii="Book Antiqua" w:eastAsia="SimSun" w:hAnsi="Book Antiqua" w:cs="Times New Roman"/>
          <w:b/>
          <w:kern w:val="2"/>
          <w:sz w:val="24"/>
          <w:szCs w:val="24"/>
          <w:lang w:val="en-US" w:eastAsia="zh-CN"/>
        </w:rPr>
        <w:t>Louis P</w:t>
      </w:r>
      <w:r w:rsidRPr="00F54EA8">
        <w:rPr>
          <w:rFonts w:ascii="Book Antiqua" w:eastAsia="SimSun" w:hAnsi="Book Antiqua" w:cs="Times New Roman"/>
          <w:kern w:val="2"/>
          <w:sz w:val="24"/>
          <w:szCs w:val="24"/>
          <w:lang w:val="en-US" w:eastAsia="zh-CN"/>
        </w:rPr>
        <w:t xml:space="preserve">, Hold GL, Flint HJ. The gut microbiota, bacterial metabolites and colorectal cancer. </w:t>
      </w:r>
      <w:r w:rsidRPr="00F54EA8">
        <w:rPr>
          <w:rFonts w:ascii="Book Antiqua" w:eastAsia="SimSun" w:hAnsi="Book Antiqua" w:cs="Times New Roman"/>
          <w:i/>
          <w:kern w:val="2"/>
          <w:sz w:val="24"/>
          <w:szCs w:val="24"/>
          <w:lang w:val="en-US" w:eastAsia="zh-CN"/>
        </w:rPr>
        <w:t>Nat Rev Microbiol</w:t>
      </w:r>
      <w:r w:rsidRPr="00F54EA8">
        <w:rPr>
          <w:rFonts w:ascii="Book Antiqua" w:eastAsia="SimSun" w:hAnsi="Book Antiqua" w:cs="Times New Roman"/>
          <w:kern w:val="2"/>
          <w:sz w:val="24"/>
          <w:szCs w:val="24"/>
          <w:lang w:val="en-US" w:eastAsia="zh-CN"/>
        </w:rPr>
        <w:t xml:space="preserve"> 2014; </w:t>
      </w:r>
      <w:r w:rsidRPr="00F54EA8">
        <w:rPr>
          <w:rFonts w:ascii="Book Antiqua" w:eastAsia="SimSun" w:hAnsi="Book Antiqua" w:cs="Times New Roman"/>
          <w:b/>
          <w:kern w:val="2"/>
          <w:sz w:val="24"/>
          <w:szCs w:val="24"/>
          <w:lang w:val="en-US" w:eastAsia="zh-CN"/>
        </w:rPr>
        <w:t>12</w:t>
      </w:r>
      <w:r w:rsidRPr="00F54EA8">
        <w:rPr>
          <w:rFonts w:ascii="Book Antiqua" w:eastAsia="SimSun" w:hAnsi="Book Antiqua" w:cs="Times New Roman"/>
          <w:kern w:val="2"/>
          <w:sz w:val="24"/>
          <w:szCs w:val="24"/>
          <w:lang w:val="en-US" w:eastAsia="zh-CN"/>
        </w:rPr>
        <w:t>: 661-672 [PMID: 25198138 DOI: 10.1038/nrmicro3344]</w:t>
      </w:r>
    </w:p>
    <w:p w14:paraId="4AA7CA3F" w14:textId="77777777" w:rsidR="00F54EA8" w:rsidRPr="00F54EA8" w:rsidRDefault="00F54EA8" w:rsidP="00F54EA8">
      <w:pPr>
        <w:wordWrap w:val="0"/>
        <w:snapToGrid w:val="0"/>
        <w:spacing w:after="0" w:line="360" w:lineRule="auto"/>
        <w:jc w:val="right"/>
        <w:rPr>
          <w:rFonts w:ascii="Book Antiqua" w:eastAsia="SimSun" w:hAnsi="Book Antiqua" w:cs="Times New Roman"/>
          <w:sz w:val="24"/>
          <w:szCs w:val="24"/>
          <w:lang w:val="en-US" w:eastAsia="zh-CN"/>
        </w:rPr>
      </w:pPr>
      <w:bookmarkStart w:id="110" w:name="OLE_LINK51"/>
      <w:bookmarkStart w:id="111" w:name="OLE_LINK52"/>
      <w:bookmarkStart w:id="112" w:name="OLE_LINK120"/>
      <w:bookmarkStart w:id="113" w:name="OLE_LINK148"/>
      <w:bookmarkStart w:id="114" w:name="OLE_LINK72"/>
      <w:bookmarkStart w:id="115" w:name="OLE_LINK112"/>
      <w:bookmarkStart w:id="116" w:name="OLE_LINK320"/>
      <w:bookmarkStart w:id="117" w:name="OLE_LINK387"/>
      <w:bookmarkStart w:id="118" w:name="OLE_LINK183"/>
      <w:bookmarkStart w:id="119" w:name="OLE_LINK254"/>
      <w:bookmarkStart w:id="120" w:name="OLE_LINK149"/>
      <w:bookmarkStart w:id="121" w:name="OLE_LINK225"/>
      <w:bookmarkStart w:id="122" w:name="OLE_LINK207"/>
      <w:bookmarkStart w:id="123" w:name="OLE_LINK226"/>
      <w:bookmarkStart w:id="124" w:name="OLE_LINK212"/>
      <w:bookmarkStart w:id="125" w:name="OLE_LINK250"/>
      <w:bookmarkStart w:id="126" w:name="OLE_LINK281"/>
      <w:bookmarkStart w:id="127" w:name="OLE_LINK282"/>
      <w:bookmarkStart w:id="128" w:name="OLE_LINK313"/>
      <w:bookmarkStart w:id="129" w:name="OLE_LINK304"/>
      <w:bookmarkStart w:id="130" w:name="OLE_LINK321"/>
      <w:bookmarkStart w:id="131" w:name="OLE_LINK385"/>
      <w:bookmarkStart w:id="132" w:name="OLE_LINK400"/>
      <w:bookmarkStart w:id="133" w:name="OLE_LINK346"/>
      <w:bookmarkStart w:id="134" w:name="OLE_LINK371"/>
      <w:bookmarkStart w:id="135" w:name="OLE_LINK334"/>
      <w:bookmarkStart w:id="136" w:name="OLE_LINK1830"/>
      <w:bookmarkStart w:id="137" w:name="OLE_LINK457"/>
      <w:bookmarkStart w:id="138" w:name="OLE_LINK288"/>
      <w:bookmarkStart w:id="139" w:name="OLE_LINK384"/>
      <w:bookmarkStart w:id="140" w:name="OLE_LINK379"/>
      <w:bookmarkStart w:id="141" w:name="OLE_LINK303"/>
      <w:bookmarkStart w:id="142" w:name="OLE_LINK450"/>
      <w:bookmarkStart w:id="143" w:name="OLE_LINK489"/>
      <w:bookmarkStart w:id="144" w:name="OLE_LINK535"/>
      <w:bookmarkStart w:id="145" w:name="OLE_LINK648"/>
      <w:bookmarkStart w:id="146" w:name="OLE_LINK686"/>
      <w:bookmarkStart w:id="147" w:name="OLE_LINK471"/>
      <w:bookmarkStart w:id="148" w:name="OLE_LINK462"/>
      <w:bookmarkStart w:id="149" w:name="OLE_LINK519"/>
      <w:bookmarkStart w:id="150" w:name="OLE_LINK575"/>
      <w:bookmarkStart w:id="151" w:name="OLE_LINK491"/>
      <w:bookmarkStart w:id="152" w:name="OLE_LINK532"/>
      <w:bookmarkStart w:id="153" w:name="OLE_LINK572"/>
      <w:bookmarkStart w:id="154" w:name="OLE_LINK574"/>
      <w:bookmarkStart w:id="155" w:name="OLE_LINK480"/>
      <w:bookmarkStart w:id="156" w:name="OLE_LINK567"/>
      <w:bookmarkStart w:id="157" w:name="OLE_LINK2700"/>
      <w:bookmarkStart w:id="158" w:name="OLE_LINK581"/>
      <w:bookmarkStart w:id="159" w:name="OLE_LINK639"/>
      <w:bookmarkStart w:id="160" w:name="OLE_LINK688"/>
      <w:bookmarkStart w:id="161" w:name="OLE_LINK722"/>
      <w:bookmarkStart w:id="162" w:name="OLE_LINK542"/>
      <w:bookmarkStart w:id="163" w:name="OLE_LINK589"/>
      <w:bookmarkStart w:id="164" w:name="OLE_LINK582"/>
      <w:bookmarkStart w:id="165" w:name="OLE_LINK640"/>
      <w:bookmarkStart w:id="166" w:name="OLE_LINK714"/>
      <w:bookmarkStart w:id="167" w:name="OLE_LINK593"/>
      <w:bookmarkStart w:id="168" w:name="OLE_LINK716"/>
      <w:bookmarkStart w:id="169" w:name="OLE_LINK770"/>
      <w:bookmarkStart w:id="170" w:name="OLE_LINK801"/>
      <w:bookmarkStart w:id="171" w:name="OLE_LINK660"/>
      <w:bookmarkStart w:id="172" w:name="OLE_LINK781"/>
      <w:bookmarkStart w:id="173" w:name="OLE_LINK833"/>
      <w:bookmarkStart w:id="174" w:name="OLE_LINK642"/>
      <w:bookmarkStart w:id="175" w:name="OLE_LINK700"/>
      <w:bookmarkStart w:id="176" w:name="OLE_LINK792"/>
      <w:bookmarkStart w:id="177" w:name="OLE_LINK2882"/>
      <w:bookmarkStart w:id="178" w:name="OLE_LINK836"/>
      <w:bookmarkStart w:id="179" w:name="OLE_LINK889"/>
      <w:bookmarkStart w:id="180" w:name="OLE_LINK782"/>
      <w:bookmarkStart w:id="181" w:name="OLE_LINK826"/>
      <w:bookmarkStart w:id="182" w:name="OLE_LINK865"/>
      <w:bookmarkStart w:id="183" w:name="OLE_LINK856"/>
      <w:bookmarkStart w:id="184" w:name="OLE_LINK908"/>
      <w:bookmarkStart w:id="185" w:name="OLE_LINK980"/>
      <w:bookmarkStart w:id="186" w:name="OLE_LINK1018"/>
      <w:bookmarkStart w:id="187" w:name="OLE_LINK1049"/>
      <w:bookmarkStart w:id="188" w:name="OLE_LINK1076"/>
      <w:bookmarkStart w:id="189" w:name="OLE_LINK1106"/>
      <w:bookmarkStart w:id="190" w:name="OLE_LINK891"/>
      <w:bookmarkStart w:id="191" w:name="OLE_LINK943"/>
      <w:bookmarkStart w:id="192" w:name="OLE_LINK981"/>
      <w:bookmarkStart w:id="193" w:name="OLE_LINK1030"/>
      <w:bookmarkStart w:id="194" w:name="OLE_LINK847"/>
      <w:bookmarkStart w:id="195" w:name="OLE_LINK909"/>
      <w:bookmarkStart w:id="196" w:name="OLE_LINK906"/>
      <w:bookmarkStart w:id="197" w:name="OLE_LINK992"/>
      <w:bookmarkStart w:id="198" w:name="OLE_LINK993"/>
      <w:bookmarkStart w:id="199" w:name="OLE_LINK1052"/>
      <w:bookmarkStart w:id="200" w:name="OLE_LINK946"/>
      <w:bookmarkStart w:id="201" w:name="OLE_LINK911"/>
      <w:bookmarkStart w:id="202" w:name="OLE_LINK930"/>
      <w:bookmarkStart w:id="203" w:name="OLE_LINK1059"/>
      <w:bookmarkStart w:id="204" w:name="OLE_LINK1174"/>
      <w:bookmarkStart w:id="205" w:name="OLE_LINK1137"/>
      <w:bookmarkStart w:id="206" w:name="OLE_LINK1167"/>
      <w:bookmarkStart w:id="207" w:name="OLE_LINK1200"/>
      <w:bookmarkStart w:id="208" w:name="OLE_LINK1241"/>
      <w:bookmarkStart w:id="209" w:name="OLE_LINK1288"/>
      <w:bookmarkStart w:id="210" w:name="OLE_LINK1056"/>
      <w:bookmarkStart w:id="211" w:name="OLE_LINK1158"/>
      <w:bookmarkStart w:id="212" w:name="OLE_LINK1175"/>
      <w:bookmarkStart w:id="213" w:name="OLE_LINK1074"/>
      <w:bookmarkStart w:id="214" w:name="OLE_LINK1169"/>
      <w:bookmarkStart w:id="215" w:name="OLE_LINK1053"/>
      <w:bookmarkStart w:id="216" w:name="OLE_LINK1054"/>
      <w:r w:rsidRPr="00F54EA8">
        <w:rPr>
          <w:rFonts w:ascii="Book Antiqua" w:eastAsia="SimSun" w:hAnsi="Book Antiqua" w:cs="Times New Roman"/>
          <w:b/>
          <w:bCs/>
          <w:sz w:val="24"/>
          <w:szCs w:val="24"/>
          <w:lang w:val="en-US" w:eastAsia="zh-CN"/>
        </w:rPr>
        <w:lastRenderedPageBreak/>
        <w:t>P-Reviewer:</w:t>
      </w:r>
      <w:r w:rsidRPr="00F54EA8">
        <w:rPr>
          <w:rFonts w:ascii="Book Antiqua" w:eastAsia="SimSun" w:hAnsi="Book Antiqua" w:cs="Times New Roman" w:hint="eastAsia"/>
          <w:b/>
          <w:bCs/>
          <w:sz w:val="24"/>
          <w:szCs w:val="24"/>
          <w:lang w:val="en-US" w:eastAsia="zh-CN"/>
        </w:rPr>
        <w:t xml:space="preserve"> </w:t>
      </w:r>
      <w:r w:rsidRPr="00F54EA8">
        <w:rPr>
          <w:rFonts w:ascii="Book Antiqua" w:eastAsia="SimSun" w:hAnsi="Book Antiqua" w:cs="Times New Roman"/>
          <w:bCs/>
          <w:sz w:val="24"/>
          <w:szCs w:val="24"/>
          <w:lang w:val="en-US" w:eastAsia="zh-CN"/>
        </w:rPr>
        <w:t>Lorenzo-Zúñiga</w:t>
      </w:r>
      <w:r w:rsidRPr="00F54EA8">
        <w:rPr>
          <w:rFonts w:ascii="Book Antiqua" w:eastAsia="SimSun" w:hAnsi="Book Antiqua" w:cs="Times New Roman" w:hint="eastAsia"/>
          <w:bCs/>
          <w:sz w:val="24"/>
          <w:szCs w:val="24"/>
          <w:lang w:val="en-US" w:eastAsia="zh-CN"/>
        </w:rPr>
        <w:t xml:space="preserve"> V, </w:t>
      </w:r>
      <w:r w:rsidRPr="00F54EA8">
        <w:rPr>
          <w:rFonts w:ascii="Book Antiqua" w:eastAsia="SimSun" w:hAnsi="Book Antiqua" w:cs="Times New Roman"/>
          <w:bCs/>
          <w:sz w:val="24"/>
          <w:szCs w:val="24"/>
          <w:lang w:val="en-US" w:eastAsia="zh-CN"/>
        </w:rPr>
        <w:t>Mayol</w:t>
      </w:r>
      <w:r w:rsidRPr="00F54EA8">
        <w:rPr>
          <w:rFonts w:ascii="Book Antiqua" w:eastAsia="SimSun" w:hAnsi="Book Antiqua" w:cs="Times New Roman" w:hint="eastAsia"/>
          <w:bCs/>
          <w:sz w:val="24"/>
          <w:szCs w:val="24"/>
          <w:lang w:val="en-US" w:eastAsia="zh-CN"/>
        </w:rPr>
        <w:t xml:space="preserve"> J, </w:t>
      </w:r>
      <w:r w:rsidRPr="00F54EA8">
        <w:rPr>
          <w:rFonts w:ascii="Book Antiqua" w:eastAsia="SimSun" w:hAnsi="Book Antiqua" w:cs="Times New Roman"/>
          <w:bCs/>
          <w:sz w:val="24"/>
          <w:szCs w:val="24"/>
          <w:lang w:val="en-US" w:eastAsia="zh-CN"/>
        </w:rPr>
        <w:t>Sunakawa</w:t>
      </w:r>
      <w:r w:rsidRPr="00F54EA8">
        <w:rPr>
          <w:rFonts w:ascii="Book Antiqua" w:eastAsia="SimSun" w:hAnsi="Book Antiqua" w:cs="Times New Roman" w:hint="eastAsia"/>
          <w:bCs/>
          <w:sz w:val="24"/>
          <w:szCs w:val="24"/>
          <w:lang w:val="en-US" w:eastAsia="zh-CN"/>
        </w:rPr>
        <w:t xml:space="preserve"> Y </w:t>
      </w:r>
      <w:r w:rsidRPr="00F54EA8">
        <w:rPr>
          <w:rFonts w:ascii="Book Antiqua" w:eastAsia="SimSun" w:hAnsi="Book Antiqua" w:cs="Times New Roman"/>
          <w:b/>
          <w:bCs/>
          <w:sz w:val="24"/>
          <w:szCs w:val="24"/>
          <w:lang w:val="en-US" w:eastAsia="zh-CN"/>
        </w:rPr>
        <w:t>S-Editor:</w:t>
      </w:r>
      <w:r w:rsidRPr="00F54EA8">
        <w:rPr>
          <w:rFonts w:ascii="Book Antiqua" w:eastAsia="SimSun" w:hAnsi="Book Antiqua" w:cs="Times New Roman" w:hint="eastAsia"/>
          <w:sz w:val="24"/>
          <w:szCs w:val="24"/>
          <w:lang w:val="en-US" w:eastAsia="zh-CN"/>
        </w:rPr>
        <w:t xml:space="preserve"> Gong ZM</w:t>
      </w:r>
    </w:p>
    <w:p w14:paraId="2206BF29" w14:textId="77777777" w:rsidR="00F54EA8" w:rsidRPr="00F54EA8" w:rsidRDefault="00F54EA8" w:rsidP="00F54EA8">
      <w:pPr>
        <w:snapToGrid w:val="0"/>
        <w:spacing w:after="0" w:line="360" w:lineRule="auto"/>
        <w:jc w:val="right"/>
        <w:rPr>
          <w:rFonts w:ascii="Book Antiqua" w:eastAsia="SimSun" w:hAnsi="Book Antiqua" w:cs="Times New Roman"/>
          <w:b/>
          <w:bCs/>
          <w:sz w:val="24"/>
          <w:szCs w:val="24"/>
          <w:lang w:val="en-US" w:eastAsia="zh-CN"/>
        </w:rPr>
      </w:pPr>
      <w:r w:rsidRPr="00F54EA8">
        <w:rPr>
          <w:rFonts w:ascii="Book Antiqua" w:eastAsia="SimSun" w:hAnsi="Book Antiqua" w:cs="Times New Roman"/>
          <w:b/>
          <w:bCs/>
          <w:sz w:val="24"/>
          <w:szCs w:val="24"/>
          <w:lang w:val="en-US" w:eastAsia="zh-CN"/>
        </w:rPr>
        <w:t>L-Editor:</w:t>
      </w:r>
      <w:r w:rsidRPr="00F54EA8">
        <w:rPr>
          <w:rFonts w:ascii="Book Antiqua" w:eastAsia="SimSun" w:hAnsi="Book Antiqua" w:cs="Times New Roman"/>
          <w:sz w:val="24"/>
          <w:szCs w:val="24"/>
          <w:lang w:val="en-US" w:eastAsia="zh-CN"/>
        </w:rPr>
        <w:t xml:space="preserve"> </w:t>
      </w:r>
      <w:r w:rsidRPr="00F54EA8">
        <w:rPr>
          <w:rFonts w:ascii="Book Antiqua" w:eastAsia="SimSun" w:hAnsi="Book Antiqua" w:cs="Times New Roman"/>
          <w:b/>
          <w:bCs/>
          <w:sz w:val="24"/>
          <w:szCs w:val="24"/>
          <w:lang w:val="en-US" w:eastAsia="zh-CN"/>
        </w:rPr>
        <w:t>E-Editor:</w:t>
      </w:r>
    </w:p>
    <w:p w14:paraId="77E04D6D" w14:textId="77777777" w:rsidR="00F54EA8" w:rsidRPr="00F54EA8" w:rsidRDefault="00F54EA8" w:rsidP="00F54EA8">
      <w:pPr>
        <w:shd w:val="clear" w:color="auto" w:fill="FFFFFF"/>
        <w:snapToGrid w:val="0"/>
        <w:spacing w:after="0" w:line="360" w:lineRule="auto"/>
        <w:jc w:val="both"/>
        <w:rPr>
          <w:rFonts w:ascii="Book Antiqua" w:eastAsia="SimSun" w:hAnsi="Book Antiqua" w:cs="Helvetica"/>
          <w:b/>
          <w:sz w:val="24"/>
          <w:szCs w:val="24"/>
          <w:lang w:val="en-US" w:eastAsia="zh-CN"/>
        </w:rPr>
      </w:pPr>
      <w:bookmarkStart w:id="217" w:name="OLE_LINK880"/>
      <w:bookmarkStart w:id="218" w:name="OLE_LINK881"/>
      <w:bookmarkStart w:id="219" w:name="OLE_LINK497"/>
      <w:bookmarkStart w:id="220" w:name="OLE_LINK813"/>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sidRPr="00F54EA8">
        <w:rPr>
          <w:rFonts w:ascii="Book Antiqua" w:eastAsia="SimSun" w:hAnsi="Book Antiqua" w:cs="Helvetica"/>
          <w:b/>
          <w:sz w:val="24"/>
          <w:szCs w:val="24"/>
          <w:lang w:val="en-US" w:eastAsia="zh-CN"/>
        </w:rPr>
        <w:t xml:space="preserve">Specialty type: </w:t>
      </w:r>
      <w:r w:rsidRPr="00F54EA8">
        <w:rPr>
          <w:rFonts w:ascii="Book Antiqua" w:eastAsia="SimSun" w:hAnsi="Book Antiqua" w:cs="Helvetica"/>
          <w:sz w:val="24"/>
          <w:szCs w:val="24"/>
          <w:lang w:val="en-US" w:eastAsia="zh-CN"/>
        </w:rPr>
        <w:t>Gastroenterology and</w:t>
      </w:r>
      <w:r w:rsidRPr="00F54EA8">
        <w:rPr>
          <w:rFonts w:ascii="Book Antiqua" w:eastAsia="SimSun" w:hAnsi="Book Antiqua" w:cs="Helvetica" w:hint="eastAsia"/>
          <w:sz w:val="24"/>
          <w:szCs w:val="24"/>
          <w:lang w:val="en-US" w:eastAsia="zh-CN"/>
        </w:rPr>
        <w:t xml:space="preserve"> </w:t>
      </w:r>
      <w:r w:rsidRPr="00F54EA8">
        <w:rPr>
          <w:rFonts w:ascii="Book Antiqua" w:eastAsia="SimSun" w:hAnsi="Book Antiqua" w:cs="Helvetica"/>
          <w:sz w:val="24"/>
          <w:szCs w:val="24"/>
          <w:lang w:val="en-US" w:eastAsia="zh-CN"/>
        </w:rPr>
        <w:t>hepatology</w:t>
      </w:r>
    </w:p>
    <w:p w14:paraId="73073E03" w14:textId="77777777" w:rsidR="00F54EA8" w:rsidRPr="00F54EA8" w:rsidRDefault="00F54EA8" w:rsidP="00F54EA8">
      <w:pPr>
        <w:shd w:val="clear" w:color="auto" w:fill="FFFFFF"/>
        <w:snapToGrid w:val="0"/>
        <w:spacing w:after="0" w:line="360" w:lineRule="auto"/>
        <w:jc w:val="both"/>
        <w:rPr>
          <w:rFonts w:ascii="Book Antiqua" w:eastAsia="SimSun" w:hAnsi="Book Antiqua" w:cs="Helvetica"/>
          <w:b/>
          <w:sz w:val="24"/>
          <w:szCs w:val="24"/>
          <w:lang w:val="en-US" w:eastAsia="zh-CN"/>
        </w:rPr>
      </w:pPr>
      <w:r w:rsidRPr="00F54EA8">
        <w:rPr>
          <w:rFonts w:ascii="Book Antiqua" w:eastAsia="SimSun" w:hAnsi="Book Antiqua" w:cs="Helvetica"/>
          <w:b/>
          <w:sz w:val="24"/>
          <w:szCs w:val="24"/>
          <w:lang w:val="en-US" w:eastAsia="zh-CN"/>
        </w:rPr>
        <w:t xml:space="preserve">Country of origin: </w:t>
      </w:r>
      <w:r w:rsidRPr="00F54EA8">
        <w:rPr>
          <w:rFonts w:ascii="Book Antiqua" w:eastAsia="SimSun" w:hAnsi="Book Antiqua" w:cs="Helvetica"/>
          <w:sz w:val="24"/>
          <w:szCs w:val="24"/>
          <w:lang w:val="en-CA" w:eastAsia="zh-CN"/>
        </w:rPr>
        <w:t>France</w:t>
      </w:r>
    </w:p>
    <w:p w14:paraId="77E2FD2F" w14:textId="77777777" w:rsidR="00F54EA8" w:rsidRPr="00F54EA8" w:rsidRDefault="00F54EA8" w:rsidP="00F54EA8">
      <w:pPr>
        <w:shd w:val="clear" w:color="auto" w:fill="FFFFFF"/>
        <w:snapToGrid w:val="0"/>
        <w:spacing w:after="0" w:line="360" w:lineRule="auto"/>
        <w:jc w:val="both"/>
        <w:rPr>
          <w:rFonts w:ascii="Book Antiqua" w:eastAsia="SimSun" w:hAnsi="Book Antiqua" w:cs="Helvetica"/>
          <w:b/>
          <w:sz w:val="24"/>
          <w:szCs w:val="24"/>
          <w:lang w:val="en-US" w:eastAsia="zh-CN"/>
        </w:rPr>
      </w:pPr>
      <w:r w:rsidRPr="00F54EA8">
        <w:rPr>
          <w:rFonts w:ascii="Book Antiqua" w:eastAsia="SimSun" w:hAnsi="Book Antiqua" w:cs="Helvetica"/>
          <w:b/>
          <w:sz w:val="24"/>
          <w:szCs w:val="24"/>
          <w:lang w:val="en-US" w:eastAsia="zh-CN"/>
        </w:rPr>
        <w:t>Peer-review report classification</w:t>
      </w:r>
    </w:p>
    <w:p w14:paraId="5A17FD44" w14:textId="77777777" w:rsidR="00F54EA8" w:rsidRPr="00F54EA8" w:rsidRDefault="00F54EA8" w:rsidP="00F54EA8">
      <w:pPr>
        <w:shd w:val="clear" w:color="auto" w:fill="FFFFFF"/>
        <w:snapToGrid w:val="0"/>
        <w:spacing w:after="0" w:line="360" w:lineRule="auto"/>
        <w:jc w:val="both"/>
        <w:rPr>
          <w:rFonts w:ascii="Book Antiqua" w:eastAsia="SimSun" w:hAnsi="Book Antiqua" w:cs="Helvetica"/>
          <w:sz w:val="24"/>
          <w:szCs w:val="24"/>
          <w:lang w:val="en-US" w:eastAsia="zh-CN"/>
        </w:rPr>
      </w:pPr>
      <w:r w:rsidRPr="00F54EA8">
        <w:rPr>
          <w:rFonts w:ascii="Book Antiqua" w:eastAsia="SimSun" w:hAnsi="Book Antiqua" w:cs="Helvetica"/>
          <w:sz w:val="24"/>
          <w:szCs w:val="24"/>
          <w:lang w:val="en-US" w:eastAsia="zh-CN"/>
        </w:rPr>
        <w:t xml:space="preserve">Grade </w:t>
      </w:r>
      <w:proofErr w:type="gramStart"/>
      <w:r w:rsidRPr="00F54EA8">
        <w:rPr>
          <w:rFonts w:ascii="Book Antiqua" w:eastAsia="SimSun" w:hAnsi="Book Antiqua" w:cs="Helvetica"/>
          <w:sz w:val="24"/>
          <w:szCs w:val="24"/>
          <w:lang w:val="en-US" w:eastAsia="zh-CN"/>
        </w:rPr>
        <w:t>A</w:t>
      </w:r>
      <w:proofErr w:type="gramEnd"/>
      <w:r w:rsidRPr="00F54EA8">
        <w:rPr>
          <w:rFonts w:ascii="Book Antiqua" w:eastAsia="SimSun" w:hAnsi="Book Antiqua" w:cs="Helvetica"/>
          <w:sz w:val="24"/>
          <w:szCs w:val="24"/>
          <w:lang w:val="en-US" w:eastAsia="zh-CN"/>
        </w:rPr>
        <w:t xml:space="preserve"> (Excellent): </w:t>
      </w:r>
      <w:r w:rsidRPr="00F54EA8">
        <w:rPr>
          <w:rFonts w:ascii="Book Antiqua" w:eastAsia="SimSun" w:hAnsi="Book Antiqua" w:cs="Helvetica" w:hint="eastAsia"/>
          <w:sz w:val="24"/>
          <w:szCs w:val="24"/>
          <w:lang w:val="en-US" w:eastAsia="zh-CN"/>
        </w:rPr>
        <w:t>A, A</w:t>
      </w:r>
    </w:p>
    <w:p w14:paraId="655C0A05" w14:textId="77777777" w:rsidR="00F54EA8" w:rsidRPr="00F54EA8" w:rsidRDefault="00F54EA8" w:rsidP="00F54EA8">
      <w:pPr>
        <w:shd w:val="clear" w:color="auto" w:fill="FFFFFF"/>
        <w:snapToGrid w:val="0"/>
        <w:spacing w:after="0" w:line="360" w:lineRule="auto"/>
        <w:jc w:val="both"/>
        <w:rPr>
          <w:rFonts w:ascii="Book Antiqua" w:eastAsia="SimSun" w:hAnsi="Book Antiqua" w:cs="Helvetica"/>
          <w:sz w:val="24"/>
          <w:szCs w:val="24"/>
          <w:lang w:val="en-US" w:eastAsia="zh-CN"/>
        </w:rPr>
      </w:pPr>
      <w:r w:rsidRPr="00F54EA8">
        <w:rPr>
          <w:rFonts w:ascii="Book Antiqua" w:eastAsia="SimSun" w:hAnsi="Book Antiqua" w:cs="Helvetica"/>
          <w:sz w:val="24"/>
          <w:szCs w:val="24"/>
          <w:lang w:val="en-US" w:eastAsia="zh-CN"/>
        </w:rPr>
        <w:t xml:space="preserve">Grade B (Very good): </w:t>
      </w:r>
      <w:r w:rsidRPr="00F54EA8">
        <w:rPr>
          <w:rFonts w:ascii="Book Antiqua" w:eastAsia="SimSun" w:hAnsi="Book Antiqua" w:cs="Helvetica" w:hint="eastAsia"/>
          <w:sz w:val="24"/>
          <w:szCs w:val="24"/>
          <w:lang w:val="en-US" w:eastAsia="zh-CN"/>
        </w:rPr>
        <w:t>B</w:t>
      </w:r>
    </w:p>
    <w:p w14:paraId="16F9465F" w14:textId="77777777" w:rsidR="00F54EA8" w:rsidRPr="00F54EA8" w:rsidRDefault="00F54EA8" w:rsidP="00F54EA8">
      <w:pPr>
        <w:shd w:val="clear" w:color="auto" w:fill="FFFFFF"/>
        <w:snapToGrid w:val="0"/>
        <w:spacing w:after="0" w:line="360" w:lineRule="auto"/>
        <w:jc w:val="both"/>
        <w:rPr>
          <w:rFonts w:ascii="Book Antiqua" w:eastAsia="SimSun" w:hAnsi="Book Antiqua" w:cs="Helvetica"/>
          <w:sz w:val="24"/>
          <w:szCs w:val="24"/>
          <w:lang w:val="en-US" w:eastAsia="zh-CN"/>
        </w:rPr>
      </w:pPr>
      <w:r w:rsidRPr="00F54EA8">
        <w:rPr>
          <w:rFonts w:ascii="Book Antiqua" w:eastAsia="SimSun" w:hAnsi="Book Antiqua" w:cs="Helvetica"/>
          <w:sz w:val="24"/>
          <w:szCs w:val="24"/>
          <w:lang w:val="en-US" w:eastAsia="zh-CN"/>
        </w:rPr>
        <w:t xml:space="preserve">Grade C (Good): </w:t>
      </w:r>
      <w:r w:rsidRPr="00F54EA8">
        <w:rPr>
          <w:rFonts w:ascii="Book Antiqua" w:eastAsia="SimSun" w:hAnsi="Book Antiqua" w:cs="Helvetica" w:hint="eastAsia"/>
          <w:sz w:val="24"/>
          <w:szCs w:val="24"/>
          <w:lang w:val="en-US" w:eastAsia="zh-CN"/>
        </w:rPr>
        <w:t>0</w:t>
      </w:r>
    </w:p>
    <w:p w14:paraId="740D7B35" w14:textId="77777777" w:rsidR="00F54EA8" w:rsidRPr="00F54EA8" w:rsidRDefault="00F54EA8" w:rsidP="00F54EA8">
      <w:pPr>
        <w:shd w:val="clear" w:color="auto" w:fill="FFFFFF"/>
        <w:snapToGrid w:val="0"/>
        <w:spacing w:after="0" w:line="360" w:lineRule="auto"/>
        <w:jc w:val="both"/>
        <w:rPr>
          <w:rFonts w:ascii="Book Antiqua" w:eastAsia="SimSun" w:hAnsi="Book Antiqua" w:cs="Helvetica"/>
          <w:sz w:val="24"/>
          <w:szCs w:val="24"/>
          <w:lang w:val="en-US" w:eastAsia="zh-CN"/>
        </w:rPr>
      </w:pPr>
      <w:r w:rsidRPr="00F54EA8">
        <w:rPr>
          <w:rFonts w:ascii="Book Antiqua" w:eastAsia="SimSun" w:hAnsi="Book Antiqua" w:cs="Helvetica"/>
          <w:sz w:val="24"/>
          <w:szCs w:val="24"/>
          <w:lang w:val="en-US" w:eastAsia="zh-CN"/>
        </w:rPr>
        <w:t xml:space="preserve">Grade D (Fair): </w:t>
      </w:r>
      <w:r w:rsidRPr="00F54EA8">
        <w:rPr>
          <w:rFonts w:ascii="Book Antiqua" w:eastAsia="SimSun" w:hAnsi="Book Antiqua" w:cs="Helvetica" w:hint="eastAsia"/>
          <w:sz w:val="24"/>
          <w:szCs w:val="24"/>
          <w:lang w:val="en-US" w:eastAsia="zh-CN"/>
        </w:rPr>
        <w:t>0</w:t>
      </w:r>
    </w:p>
    <w:p w14:paraId="6B4D5E08" w14:textId="65A6E89E" w:rsidR="00E0571B" w:rsidRPr="00F54EA8" w:rsidRDefault="00F54EA8" w:rsidP="00F54EA8">
      <w:pPr>
        <w:shd w:val="clear" w:color="auto" w:fill="FFFFFF"/>
        <w:snapToGrid w:val="0"/>
        <w:spacing w:after="0" w:line="360" w:lineRule="auto"/>
        <w:jc w:val="both"/>
        <w:rPr>
          <w:rFonts w:ascii="Book Antiqua" w:eastAsia="SimSun" w:hAnsi="Book Antiqua" w:cs="Helvetica"/>
          <w:sz w:val="24"/>
          <w:szCs w:val="24"/>
          <w:lang w:val="en-US" w:eastAsia="zh-CN"/>
        </w:rPr>
      </w:pPr>
      <w:r w:rsidRPr="00F54EA8">
        <w:rPr>
          <w:rFonts w:ascii="Book Antiqua" w:eastAsia="SimSun" w:hAnsi="Book Antiqua" w:cs="Helvetica"/>
          <w:sz w:val="24"/>
          <w:szCs w:val="24"/>
          <w:lang w:val="en-US" w:eastAsia="zh-CN"/>
        </w:rPr>
        <w:t xml:space="preserve">Grade E (Poor): </w:t>
      </w:r>
      <w:r w:rsidRPr="00F54EA8">
        <w:rPr>
          <w:rFonts w:ascii="Book Antiqua" w:eastAsia="SimSun" w:hAnsi="Book Antiqua" w:cs="Helvetica" w:hint="eastAsia"/>
          <w:sz w:val="24"/>
          <w:szCs w:val="24"/>
          <w:lang w:val="en-US" w:eastAsia="zh-CN"/>
        </w:rPr>
        <w:t>0</w:t>
      </w:r>
      <w:bookmarkEnd w:id="217"/>
      <w:bookmarkEnd w:id="218"/>
      <w:r w:rsidRPr="00F54EA8">
        <w:rPr>
          <w:rFonts w:ascii="Book Antiqua" w:eastAsia="SimSun" w:hAnsi="Book Antiqua" w:cs="Helvetica" w:hint="eastAsia"/>
          <w:sz w:val="24"/>
          <w:szCs w:val="24"/>
          <w:lang w:val="en-US" w:eastAsia="zh-CN"/>
        </w:rPr>
        <w:t xml:space="preserve"> </w:t>
      </w:r>
      <w:bookmarkEnd w:id="215"/>
      <w:bookmarkEnd w:id="216"/>
      <w:bookmarkEnd w:id="219"/>
      <w:bookmarkEnd w:id="220"/>
    </w:p>
    <w:p w14:paraId="121D3AB1" w14:textId="77777777" w:rsidR="00E0571B" w:rsidRPr="00DB7074" w:rsidRDefault="00E0571B" w:rsidP="00DB7074">
      <w:pPr>
        <w:snapToGrid w:val="0"/>
        <w:spacing w:after="0" w:line="360" w:lineRule="auto"/>
        <w:jc w:val="both"/>
        <w:rPr>
          <w:lang w:val="en-US"/>
        </w:rPr>
      </w:pPr>
    </w:p>
    <w:p w14:paraId="76FD37AA" w14:textId="77777777" w:rsidR="00E0571B" w:rsidRPr="00DB7074" w:rsidRDefault="00E0571B" w:rsidP="00DB7074">
      <w:pPr>
        <w:pStyle w:val="Bibliography"/>
        <w:snapToGrid w:val="0"/>
        <w:spacing w:after="0" w:line="360" w:lineRule="auto"/>
        <w:jc w:val="both"/>
        <w:rPr>
          <w:rFonts w:ascii="Book Antiqua" w:hAnsi="Book Antiqua"/>
          <w:lang w:val="en-US"/>
        </w:rPr>
        <w:sectPr w:rsidR="00E0571B" w:rsidRPr="00DB7074">
          <w:pgSz w:w="11906" w:h="16838"/>
          <w:pgMar w:top="1417" w:right="1417" w:bottom="1417" w:left="1417" w:header="708" w:footer="708" w:gutter="0"/>
          <w:cols w:space="708"/>
          <w:docGrid w:linePitch="360"/>
        </w:sectPr>
      </w:pPr>
    </w:p>
    <w:p w14:paraId="63BEC484" w14:textId="7D0EFFFB" w:rsidR="008B776C" w:rsidRPr="00DB7074" w:rsidRDefault="008B776C" w:rsidP="00DB7074">
      <w:pPr>
        <w:snapToGrid w:val="0"/>
        <w:spacing w:after="0" w:line="360" w:lineRule="auto"/>
        <w:jc w:val="both"/>
        <w:rPr>
          <w:rFonts w:ascii="Book Antiqua" w:hAnsi="Book Antiqua"/>
          <w:sz w:val="20"/>
          <w:lang w:val="en-US" w:eastAsia="zh-CN"/>
        </w:rPr>
      </w:pPr>
      <w:r w:rsidRPr="00DB7074">
        <w:rPr>
          <w:rFonts w:ascii="Book Antiqua" w:hAnsi="Book Antiqua"/>
          <w:b/>
          <w:lang w:val="en-US"/>
        </w:rPr>
        <w:lastRenderedPageBreak/>
        <w:t>Table 1</w:t>
      </w:r>
      <w:r w:rsidR="003B45EB">
        <w:rPr>
          <w:rFonts w:ascii="Book Antiqua" w:hAnsi="Book Antiqua" w:hint="eastAsia"/>
          <w:b/>
          <w:lang w:val="en-US" w:eastAsia="zh-CN"/>
        </w:rPr>
        <w:t xml:space="preserve"> </w:t>
      </w:r>
      <w:r w:rsidRPr="00DB7074">
        <w:rPr>
          <w:rFonts w:ascii="Book Antiqua" w:hAnsi="Book Antiqua"/>
          <w:b/>
          <w:lang w:val="en-US"/>
        </w:rPr>
        <w:t>Fecal metabolic profili</w:t>
      </w:r>
      <w:r w:rsidR="003B45EB">
        <w:rPr>
          <w:rFonts w:ascii="Book Antiqua" w:hAnsi="Book Antiqua"/>
          <w:b/>
          <w:lang w:val="en-US"/>
        </w:rPr>
        <w:t>ng studies in colorectal cancer</w:t>
      </w:r>
    </w:p>
    <w:tbl>
      <w:tblPr>
        <w:tblW w:w="16302" w:type="dxa"/>
        <w:tblInd w:w="-1126" w:type="dxa"/>
        <w:tblCellMar>
          <w:left w:w="0" w:type="dxa"/>
          <w:right w:w="0" w:type="dxa"/>
        </w:tblCellMar>
        <w:tblLook w:val="0600" w:firstRow="0" w:lastRow="0" w:firstColumn="0" w:lastColumn="0" w:noHBand="1" w:noVBand="1"/>
      </w:tblPr>
      <w:tblGrid>
        <w:gridCol w:w="2985"/>
        <w:gridCol w:w="2835"/>
        <w:gridCol w:w="6458"/>
        <w:gridCol w:w="2047"/>
        <w:gridCol w:w="1977"/>
      </w:tblGrid>
      <w:tr w:rsidR="00DB7074" w:rsidRPr="00A24F56" w14:paraId="212EB5A6" w14:textId="77777777" w:rsidTr="00A24F56">
        <w:trPr>
          <w:trHeight w:val="669"/>
        </w:trPr>
        <w:tc>
          <w:tcPr>
            <w:tcW w:w="2985" w:type="dxa"/>
            <w:tcBorders>
              <w:top w:val="single" w:sz="8" w:space="0" w:color="000000"/>
              <w:left w:val="nil"/>
              <w:bottom w:val="single" w:sz="8" w:space="0" w:color="000000"/>
              <w:right w:val="nil"/>
            </w:tcBorders>
            <w:shd w:val="clear" w:color="auto" w:fill="FFFFFF"/>
            <w:tcMar>
              <w:top w:w="8" w:type="dxa"/>
              <w:left w:w="8" w:type="dxa"/>
              <w:bottom w:w="0" w:type="dxa"/>
              <w:right w:w="8" w:type="dxa"/>
            </w:tcMar>
            <w:vAlign w:val="center"/>
            <w:hideMark/>
          </w:tcPr>
          <w:p w14:paraId="2885DE09" w14:textId="77777777" w:rsidR="008B776C" w:rsidRPr="00A24F56" w:rsidRDefault="008B776C" w:rsidP="00DB7074">
            <w:pPr>
              <w:snapToGrid w:val="0"/>
              <w:spacing w:after="0" w:line="360" w:lineRule="auto"/>
              <w:jc w:val="both"/>
              <w:rPr>
                <w:rFonts w:ascii="Book Antiqua" w:hAnsi="Book Antiqua"/>
                <w:sz w:val="18"/>
                <w:szCs w:val="18"/>
              </w:rPr>
            </w:pPr>
            <w:r w:rsidRPr="00A24F56">
              <w:rPr>
                <w:rFonts w:ascii="Book Antiqua" w:hAnsi="Book Antiqua"/>
                <w:b/>
                <w:bCs/>
                <w:sz w:val="18"/>
                <w:szCs w:val="18"/>
              </w:rPr>
              <w:t>Matrix</w:t>
            </w:r>
          </w:p>
        </w:tc>
        <w:tc>
          <w:tcPr>
            <w:tcW w:w="2835" w:type="dxa"/>
            <w:tcBorders>
              <w:top w:val="single" w:sz="8" w:space="0" w:color="000000"/>
              <w:left w:val="nil"/>
              <w:bottom w:val="single" w:sz="8" w:space="0" w:color="000000"/>
              <w:right w:val="nil"/>
            </w:tcBorders>
            <w:shd w:val="clear" w:color="auto" w:fill="FFFFFF"/>
            <w:tcMar>
              <w:top w:w="8" w:type="dxa"/>
              <w:left w:w="8" w:type="dxa"/>
              <w:bottom w:w="0" w:type="dxa"/>
              <w:right w:w="8" w:type="dxa"/>
            </w:tcMar>
            <w:vAlign w:val="center"/>
            <w:hideMark/>
          </w:tcPr>
          <w:p w14:paraId="32A3D031" w14:textId="77777777" w:rsidR="008B776C" w:rsidRPr="00A24F56" w:rsidRDefault="008B776C" w:rsidP="00DB7074">
            <w:pPr>
              <w:snapToGrid w:val="0"/>
              <w:spacing w:after="0" w:line="360" w:lineRule="auto"/>
              <w:jc w:val="both"/>
              <w:rPr>
                <w:rFonts w:ascii="Book Antiqua" w:hAnsi="Book Antiqua"/>
                <w:sz w:val="18"/>
                <w:szCs w:val="18"/>
              </w:rPr>
            </w:pPr>
            <w:r w:rsidRPr="00A24F56">
              <w:rPr>
                <w:rFonts w:ascii="Book Antiqua" w:hAnsi="Book Antiqua"/>
                <w:b/>
                <w:bCs/>
                <w:sz w:val="18"/>
                <w:szCs w:val="18"/>
              </w:rPr>
              <w:t>Cohort</w:t>
            </w:r>
          </w:p>
        </w:tc>
        <w:tc>
          <w:tcPr>
            <w:tcW w:w="6458" w:type="dxa"/>
            <w:tcBorders>
              <w:top w:val="single" w:sz="8" w:space="0" w:color="000000"/>
              <w:left w:val="nil"/>
              <w:bottom w:val="single" w:sz="8" w:space="0" w:color="000000"/>
              <w:right w:val="nil"/>
            </w:tcBorders>
            <w:shd w:val="clear" w:color="auto" w:fill="FFFFFF"/>
            <w:tcMar>
              <w:top w:w="8" w:type="dxa"/>
              <w:left w:w="8" w:type="dxa"/>
              <w:bottom w:w="0" w:type="dxa"/>
              <w:right w:w="8" w:type="dxa"/>
            </w:tcMar>
            <w:vAlign w:val="center"/>
            <w:hideMark/>
          </w:tcPr>
          <w:p w14:paraId="5176C83C" w14:textId="77777777" w:rsidR="008B776C" w:rsidRPr="00A24F56" w:rsidRDefault="008B776C" w:rsidP="00DB7074">
            <w:pPr>
              <w:snapToGrid w:val="0"/>
              <w:spacing w:after="0" w:line="360" w:lineRule="auto"/>
              <w:jc w:val="both"/>
              <w:rPr>
                <w:rFonts w:ascii="Book Antiqua" w:hAnsi="Book Antiqua"/>
                <w:sz w:val="18"/>
                <w:szCs w:val="18"/>
              </w:rPr>
            </w:pPr>
            <w:r w:rsidRPr="00A24F56">
              <w:rPr>
                <w:rFonts w:ascii="Book Antiqua" w:hAnsi="Book Antiqua"/>
                <w:b/>
                <w:bCs/>
                <w:sz w:val="18"/>
                <w:szCs w:val="18"/>
              </w:rPr>
              <w:t>Study observations</w:t>
            </w:r>
          </w:p>
        </w:tc>
        <w:tc>
          <w:tcPr>
            <w:tcW w:w="2047" w:type="dxa"/>
            <w:tcBorders>
              <w:top w:val="single" w:sz="8" w:space="0" w:color="000000"/>
              <w:left w:val="nil"/>
              <w:bottom w:val="single" w:sz="8" w:space="0" w:color="000000"/>
              <w:right w:val="nil"/>
            </w:tcBorders>
            <w:shd w:val="clear" w:color="auto" w:fill="FFFFFF"/>
            <w:tcMar>
              <w:top w:w="8" w:type="dxa"/>
              <w:left w:w="8" w:type="dxa"/>
              <w:bottom w:w="0" w:type="dxa"/>
              <w:right w:w="8" w:type="dxa"/>
            </w:tcMar>
            <w:vAlign w:val="center"/>
            <w:hideMark/>
          </w:tcPr>
          <w:p w14:paraId="54EC76DE" w14:textId="77777777" w:rsidR="008B776C" w:rsidRPr="00A24F56" w:rsidRDefault="008B776C" w:rsidP="00DB7074">
            <w:pPr>
              <w:snapToGrid w:val="0"/>
              <w:spacing w:after="0" w:line="360" w:lineRule="auto"/>
              <w:jc w:val="both"/>
              <w:rPr>
                <w:rFonts w:ascii="Book Antiqua" w:hAnsi="Book Antiqua"/>
                <w:sz w:val="18"/>
                <w:szCs w:val="18"/>
              </w:rPr>
            </w:pPr>
            <w:r w:rsidRPr="00A24F56">
              <w:rPr>
                <w:rFonts w:ascii="Book Antiqua" w:hAnsi="Book Antiqua"/>
                <w:b/>
                <w:bCs/>
                <w:sz w:val="18"/>
                <w:szCs w:val="18"/>
              </w:rPr>
              <w:t>Analytical method</w:t>
            </w:r>
          </w:p>
        </w:tc>
        <w:tc>
          <w:tcPr>
            <w:tcW w:w="1977" w:type="dxa"/>
            <w:tcBorders>
              <w:top w:val="single" w:sz="8" w:space="0" w:color="000000"/>
              <w:left w:val="nil"/>
              <w:bottom w:val="single" w:sz="8" w:space="0" w:color="000000"/>
              <w:right w:val="nil"/>
            </w:tcBorders>
            <w:shd w:val="clear" w:color="auto" w:fill="FFFFFF"/>
            <w:tcMar>
              <w:top w:w="8" w:type="dxa"/>
              <w:left w:w="8" w:type="dxa"/>
              <w:bottom w:w="0" w:type="dxa"/>
              <w:right w:w="8" w:type="dxa"/>
            </w:tcMar>
            <w:vAlign w:val="center"/>
            <w:hideMark/>
          </w:tcPr>
          <w:p w14:paraId="0E991105" w14:textId="05F24F67" w:rsidR="008B776C" w:rsidRPr="00A24F56" w:rsidRDefault="008B776C" w:rsidP="003B45EB">
            <w:pPr>
              <w:snapToGrid w:val="0"/>
              <w:spacing w:after="0" w:line="360" w:lineRule="auto"/>
              <w:jc w:val="both"/>
              <w:rPr>
                <w:rFonts w:ascii="Book Antiqua" w:hAnsi="Book Antiqua"/>
                <w:sz w:val="18"/>
                <w:szCs w:val="18"/>
                <w:lang w:eastAsia="zh-CN"/>
              </w:rPr>
            </w:pPr>
            <w:r w:rsidRPr="00A24F56">
              <w:rPr>
                <w:rFonts w:ascii="Book Antiqua" w:hAnsi="Book Antiqua"/>
                <w:b/>
                <w:bCs/>
                <w:sz w:val="18"/>
                <w:szCs w:val="18"/>
              </w:rPr>
              <w:t>Ref</w:t>
            </w:r>
            <w:r w:rsidR="003B45EB" w:rsidRPr="00A24F56">
              <w:rPr>
                <w:rFonts w:ascii="Book Antiqua" w:hAnsi="Book Antiqua"/>
                <w:b/>
                <w:bCs/>
                <w:sz w:val="18"/>
                <w:szCs w:val="18"/>
                <w:lang w:eastAsia="zh-CN"/>
              </w:rPr>
              <w:t>.</w:t>
            </w:r>
          </w:p>
        </w:tc>
      </w:tr>
      <w:tr w:rsidR="00DB7074" w:rsidRPr="00A24F56" w14:paraId="2F2DFBCB" w14:textId="77777777" w:rsidTr="00A24F56">
        <w:trPr>
          <w:trHeight w:val="438"/>
        </w:trPr>
        <w:tc>
          <w:tcPr>
            <w:tcW w:w="2985" w:type="dxa"/>
            <w:tcBorders>
              <w:top w:val="single" w:sz="8" w:space="0" w:color="000000"/>
              <w:left w:val="single" w:sz="8" w:space="0" w:color="FFFFFF"/>
              <w:bottom w:val="single" w:sz="8" w:space="0" w:color="FFFFFF"/>
              <w:right w:val="single" w:sz="8" w:space="0" w:color="FFFFFF"/>
            </w:tcBorders>
            <w:shd w:val="clear" w:color="auto" w:fill="FFFFFF"/>
            <w:tcMar>
              <w:top w:w="8" w:type="dxa"/>
              <w:left w:w="8" w:type="dxa"/>
              <w:bottom w:w="0" w:type="dxa"/>
              <w:right w:w="8" w:type="dxa"/>
            </w:tcMar>
            <w:vAlign w:val="center"/>
            <w:hideMark/>
          </w:tcPr>
          <w:p w14:paraId="17FB6A10" w14:textId="77777777" w:rsidR="008B776C" w:rsidRPr="00A24F56" w:rsidRDefault="008B776C" w:rsidP="00DB7074">
            <w:pPr>
              <w:snapToGrid w:val="0"/>
              <w:spacing w:after="0" w:line="360" w:lineRule="auto"/>
              <w:jc w:val="both"/>
              <w:rPr>
                <w:rFonts w:ascii="Book Antiqua" w:hAnsi="Book Antiqua"/>
                <w:sz w:val="18"/>
                <w:szCs w:val="18"/>
              </w:rPr>
            </w:pPr>
            <w:r w:rsidRPr="00A24F56">
              <w:rPr>
                <w:rFonts w:ascii="Book Antiqua" w:hAnsi="Book Antiqua"/>
                <w:sz w:val="18"/>
                <w:szCs w:val="18"/>
              </w:rPr>
              <w:t>Aqueous dispersion of stools</w:t>
            </w:r>
          </w:p>
        </w:tc>
        <w:tc>
          <w:tcPr>
            <w:tcW w:w="2835" w:type="dxa"/>
            <w:tcBorders>
              <w:top w:val="single" w:sz="8" w:space="0" w:color="000000"/>
              <w:left w:val="single" w:sz="8" w:space="0" w:color="FFFFFF"/>
              <w:bottom w:val="single" w:sz="8" w:space="0" w:color="FFFFFF"/>
              <w:right w:val="single" w:sz="8" w:space="0" w:color="FFFFFF"/>
            </w:tcBorders>
            <w:shd w:val="clear" w:color="auto" w:fill="FFFFFF"/>
            <w:tcMar>
              <w:top w:w="8" w:type="dxa"/>
              <w:left w:w="8" w:type="dxa"/>
              <w:bottom w:w="0" w:type="dxa"/>
              <w:right w:w="8" w:type="dxa"/>
            </w:tcMar>
            <w:vAlign w:val="center"/>
            <w:hideMark/>
          </w:tcPr>
          <w:p w14:paraId="2320A99A" w14:textId="77777777" w:rsidR="008B776C" w:rsidRPr="00A24F56" w:rsidRDefault="008B776C" w:rsidP="00DB7074">
            <w:pPr>
              <w:snapToGrid w:val="0"/>
              <w:spacing w:after="0" w:line="360" w:lineRule="auto"/>
              <w:jc w:val="both"/>
              <w:rPr>
                <w:rFonts w:ascii="Book Antiqua" w:hAnsi="Book Antiqua"/>
                <w:sz w:val="18"/>
                <w:szCs w:val="18"/>
              </w:rPr>
            </w:pPr>
            <w:r w:rsidRPr="00A24F56">
              <w:rPr>
                <w:rFonts w:ascii="Book Antiqua" w:hAnsi="Book Antiqua"/>
                <w:sz w:val="18"/>
                <w:szCs w:val="18"/>
                <w:lang w:val="en-US"/>
              </w:rPr>
              <w:t>111 CRC,</w:t>
            </w:r>
          </w:p>
          <w:p w14:paraId="37173EDB" w14:textId="77777777" w:rsidR="008B776C" w:rsidRPr="00A24F56" w:rsidRDefault="008B776C" w:rsidP="00DB7074">
            <w:pPr>
              <w:snapToGrid w:val="0"/>
              <w:spacing w:after="0" w:line="360" w:lineRule="auto"/>
              <w:jc w:val="both"/>
              <w:rPr>
                <w:rFonts w:ascii="Book Antiqua" w:hAnsi="Book Antiqua"/>
                <w:sz w:val="18"/>
                <w:szCs w:val="18"/>
              </w:rPr>
            </w:pPr>
            <w:r w:rsidRPr="00A24F56">
              <w:rPr>
                <w:rFonts w:ascii="Book Antiqua" w:hAnsi="Book Antiqua"/>
                <w:sz w:val="18"/>
                <w:szCs w:val="18"/>
                <w:lang w:val="en-US"/>
              </w:rPr>
              <w:t>412 healthy controls</w:t>
            </w:r>
          </w:p>
        </w:tc>
        <w:tc>
          <w:tcPr>
            <w:tcW w:w="6458" w:type="dxa"/>
            <w:tcBorders>
              <w:top w:val="single" w:sz="8" w:space="0" w:color="000000"/>
              <w:left w:val="single" w:sz="8" w:space="0" w:color="FFFFFF"/>
              <w:bottom w:val="single" w:sz="8" w:space="0" w:color="FFFFFF"/>
              <w:right w:val="single" w:sz="8" w:space="0" w:color="FFFFFF"/>
            </w:tcBorders>
            <w:shd w:val="clear" w:color="auto" w:fill="FFFFFF"/>
            <w:tcMar>
              <w:top w:w="8" w:type="dxa"/>
              <w:left w:w="8" w:type="dxa"/>
              <w:bottom w:w="0" w:type="dxa"/>
              <w:right w:w="8" w:type="dxa"/>
            </w:tcMar>
            <w:vAlign w:val="center"/>
            <w:hideMark/>
          </w:tcPr>
          <w:p w14:paraId="11D31D18" w14:textId="77777777" w:rsidR="008B776C" w:rsidRPr="00A24F56" w:rsidRDefault="008B776C" w:rsidP="00DB7074">
            <w:pPr>
              <w:snapToGrid w:val="0"/>
              <w:spacing w:after="0" w:line="360" w:lineRule="auto"/>
              <w:jc w:val="both"/>
              <w:rPr>
                <w:rFonts w:ascii="Book Antiqua" w:hAnsi="Book Antiqua"/>
                <w:sz w:val="18"/>
                <w:szCs w:val="18"/>
                <w:lang w:val="en-US"/>
              </w:rPr>
            </w:pPr>
            <w:r w:rsidRPr="00A24F56">
              <w:rPr>
                <w:rFonts w:ascii="Book Antiqua" w:hAnsi="Book Antiqua"/>
                <w:sz w:val="18"/>
                <w:szCs w:val="18"/>
                <w:lang w:val="en-US"/>
              </w:rPr>
              <w:t>Potential to detect colorectal neoplasia</w:t>
            </w:r>
          </w:p>
        </w:tc>
        <w:tc>
          <w:tcPr>
            <w:tcW w:w="2047" w:type="dxa"/>
            <w:tcBorders>
              <w:top w:val="single" w:sz="8" w:space="0" w:color="000000"/>
              <w:left w:val="single" w:sz="8" w:space="0" w:color="FFFFFF"/>
              <w:bottom w:val="single" w:sz="8" w:space="0" w:color="FFFFFF"/>
              <w:right w:val="single" w:sz="8" w:space="0" w:color="FFFFFF"/>
            </w:tcBorders>
            <w:shd w:val="clear" w:color="auto" w:fill="FFFFFF"/>
            <w:tcMar>
              <w:top w:w="8" w:type="dxa"/>
              <w:left w:w="8" w:type="dxa"/>
              <w:bottom w:w="0" w:type="dxa"/>
              <w:right w:w="8" w:type="dxa"/>
            </w:tcMar>
            <w:vAlign w:val="center"/>
            <w:hideMark/>
          </w:tcPr>
          <w:p w14:paraId="6B0FEAC6" w14:textId="77777777" w:rsidR="008B776C" w:rsidRPr="00A24F56" w:rsidRDefault="008B776C" w:rsidP="00DB7074">
            <w:pPr>
              <w:snapToGrid w:val="0"/>
              <w:spacing w:after="0" w:line="360" w:lineRule="auto"/>
              <w:jc w:val="both"/>
              <w:rPr>
                <w:rFonts w:ascii="Book Antiqua" w:hAnsi="Book Antiqua"/>
                <w:sz w:val="18"/>
                <w:szCs w:val="18"/>
                <w:lang w:val="en-US"/>
              </w:rPr>
            </w:pPr>
            <w:r w:rsidRPr="00A24F56">
              <w:rPr>
                <w:rFonts w:ascii="Book Antiqua" w:hAnsi="Book Antiqua"/>
                <w:sz w:val="18"/>
                <w:szCs w:val="18"/>
                <w:lang w:val="en-US"/>
              </w:rPr>
              <w:t xml:space="preserve">One-dimensional </w:t>
            </w:r>
            <w:r w:rsidRPr="00A24F56">
              <w:rPr>
                <w:rFonts w:ascii="Book Antiqua" w:hAnsi="Book Antiqua"/>
                <w:sz w:val="18"/>
                <w:szCs w:val="18"/>
                <w:vertAlign w:val="superscript"/>
                <w:lang w:val="en-US"/>
              </w:rPr>
              <w:t>1</w:t>
            </w:r>
            <w:r w:rsidRPr="00A24F56">
              <w:rPr>
                <w:rFonts w:ascii="Book Antiqua" w:hAnsi="Book Antiqua"/>
                <w:sz w:val="18"/>
                <w:szCs w:val="18"/>
                <w:lang w:val="en-US"/>
              </w:rPr>
              <w:t>H magnetic resonance spectroscopy</w:t>
            </w:r>
          </w:p>
        </w:tc>
        <w:tc>
          <w:tcPr>
            <w:tcW w:w="1977" w:type="dxa"/>
            <w:tcBorders>
              <w:top w:val="single" w:sz="8" w:space="0" w:color="000000"/>
              <w:left w:val="single" w:sz="8" w:space="0" w:color="FFFFFF"/>
              <w:bottom w:val="single" w:sz="8" w:space="0" w:color="FFFFFF"/>
              <w:right w:val="single" w:sz="8" w:space="0" w:color="FFFFFF"/>
            </w:tcBorders>
            <w:shd w:val="clear" w:color="auto" w:fill="FFFFFF"/>
            <w:tcMar>
              <w:top w:w="8" w:type="dxa"/>
              <w:left w:w="8" w:type="dxa"/>
              <w:bottom w:w="0" w:type="dxa"/>
              <w:right w:w="8" w:type="dxa"/>
            </w:tcMar>
            <w:vAlign w:val="center"/>
            <w:hideMark/>
          </w:tcPr>
          <w:p w14:paraId="5CAE8B97" w14:textId="77777777" w:rsidR="008B776C" w:rsidRPr="00A24F56" w:rsidRDefault="008B776C" w:rsidP="00DB7074">
            <w:pPr>
              <w:snapToGrid w:val="0"/>
              <w:spacing w:after="0" w:line="360" w:lineRule="auto"/>
              <w:jc w:val="both"/>
              <w:rPr>
                <w:rFonts w:ascii="Book Antiqua" w:hAnsi="Book Antiqua"/>
                <w:sz w:val="18"/>
                <w:szCs w:val="18"/>
              </w:rPr>
            </w:pPr>
            <w:r w:rsidRPr="00A24F56">
              <w:rPr>
                <w:rFonts w:ascii="Book Antiqua" w:hAnsi="Book Antiqua"/>
                <w:sz w:val="18"/>
                <w:szCs w:val="18"/>
                <w:lang w:val="en-US"/>
              </w:rPr>
              <w:t xml:space="preserve"> [205]</w:t>
            </w:r>
          </w:p>
        </w:tc>
      </w:tr>
      <w:tr w:rsidR="00DB7074" w:rsidRPr="00A24F56" w14:paraId="6BAE1FB5" w14:textId="77777777" w:rsidTr="00A24F56">
        <w:trPr>
          <w:trHeight w:val="657"/>
        </w:trPr>
        <w:tc>
          <w:tcPr>
            <w:tcW w:w="2985" w:type="dxa"/>
            <w:tcBorders>
              <w:top w:val="single" w:sz="8" w:space="0" w:color="FFFFFF"/>
              <w:left w:val="single" w:sz="8" w:space="0" w:color="FFFFFF"/>
              <w:bottom w:val="single" w:sz="8" w:space="0" w:color="FFFFFF"/>
              <w:right w:val="single" w:sz="8" w:space="0" w:color="FFFFFF"/>
            </w:tcBorders>
            <w:shd w:val="clear" w:color="auto" w:fill="FFFFFF"/>
            <w:tcMar>
              <w:top w:w="8" w:type="dxa"/>
              <w:left w:w="8" w:type="dxa"/>
              <w:bottom w:w="0" w:type="dxa"/>
              <w:right w:w="8" w:type="dxa"/>
            </w:tcMar>
            <w:vAlign w:val="center"/>
            <w:hideMark/>
          </w:tcPr>
          <w:p w14:paraId="12216FB8" w14:textId="77777777" w:rsidR="008B776C" w:rsidRPr="00A24F56" w:rsidRDefault="008B776C" w:rsidP="00DB7074">
            <w:pPr>
              <w:snapToGrid w:val="0"/>
              <w:spacing w:after="0" w:line="360" w:lineRule="auto"/>
              <w:jc w:val="both"/>
              <w:rPr>
                <w:rFonts w:ascii="Book Antiqua" w:hAnsi="Book Antiqua"/>
                <w:sz w:val="18"/>
                <w:szCs w:val="18"/>
              </w:rPr>
            </w:pPr>
            <w:r w:rsidRPr="00A24F56">
              <w:rPr>
                <w:rFonts w:ascii="Book Antiqua" w:hAnsi="Book Antiqua"/>
                <w:sz w:val="18"/>
                <w:szCs w:val="18"/>
              </w:rPr>
              <w:t>Fecal water extract</w:t>
            </w:r>
          </w:p>
        </w:tc>
        <w:tc>
          <w:tcPr>
            <w:tcW w:w="2835" w:type="dxa"/>
            <w:tcBorders>
              <w:top w:val="single" w:sz="8" w:space="0" w:color="FFFFFF"/>
              <w:left w:val="single" w:sz="8" w:space="0" w:color="FFFFFF"/>
              <w:bottom w:val="single" w:sz="8" w:space="0" w:color="FFFFFF"/>
              <w:right w:val="single" w:sz="8" w:space="0" w:color="FFFFFF"/>
            </w:tcBorders>
            <w:shd w:val="clear" w:color="auto" w:fill="FFFFFF"/>
            <w:tcMar>
              <w:top w:w="8" w:type="dxa"/>
              <w:left w:w="8" w:type="dxa"/>
              <w:bottom w:w="0" w:type="dxa"/>
              <w:right w:w="8" w:type="dxa"/>
            </w:tcMar>
            <w:vAlign w:val="center"/>
            <w:hideMark/>
          </w:tcPr>
          <w:p w14:paraId="27C79892" w14:textId="77777777" w:rsidR="008B776C" w:rsidRPr="00A24F56" w:rsidRDefault="008B776C" w:rsidP="00DB7074">
            <w:pPr>
              <w:snapToGrid w:val="0"/>
              <w:spacing w:after="0" w:line="360" w:lineRule="auto"/>
              <w:jc w:val="both"/>
              <w:rPr>
                <w:rFonts w:ascii="Book Antiqua" w:hAnsi="Book Antiqua"/>
                <w:sz w:val="18"/>
                <w:szCs w:val="18"/>
              </w:rPr>
            </w:pPr>
            <w:r w:rsidRPr="00A24F56">
              <w:rPr>
                <w:rFonts w:ascii="Book Antiqua" w:hAnsi="Book Antiqua"/>
                <w:sz w:val="18"/>
                <w:szCs w:val="18"/>
              </w:rPr>
              <w:t>21 CRC</w:t>
            </w:r>
          </w:p>
          <w:p w14:paraId="2F34F1C1" w14:textId="77777777" w:rsidR="008B776C" w:rsidRPr="00A24F56" w:rsidRDefault="008B776C" w:rsidP="00DB7074">
            <w:pPr>
              <w:snapToGrid w:val="0"/>
              <w:spacing w:after="0" w:line="360" w:lineRule="auto"/>
              <w:jc w:val="both"/>
              <w:rPr>
                <w:rFonts w:ascii="Book Antiqua" w:hAnsi="Book Antiqua"/>
                <w:sz w:val="18"/>
                <w:szCs w:val="18"/>
              </w:rPr>
            </w:pPr>
            <w:r w:rsidRPr="00A24F56">
              <w:rPr>
                <w:rFonts w:ascii="Book Antiqua" w:hAnsi="Book Antiqua"/>
                <w:sz w:val="18"/>
                <w:szCs w:val="18"/>
              </w:rPr>
              <w:t>11 healthy controls</w:t>
            </w:r>
          </w:p>
        </w:tc>
        <w:tc>
          <w:tcPr>
            <w:tcW w:w="6458" w:type="dxa"/>
            <w:tcBorders>
              <w:top w:val="single" w:sz="8" w:space="0" w:color="FFFFFF"/>
              <w:left w:val="single" w:sz="8" w:space="0" w:color="FFFFFF"/>
              <w:bottom w:val="single" w:sz="8" w:space="0" w:color="FFFFFF"/>
              <w:right w:val="single" w:sz="8" w:space="0" w:color="FFFFFF"/>
            </w:tcBorders>
            <w:shd w:val="clear" w:color="auto" w:fill="FFFFFF"/>
            <w:tcMar>
              <w:top w:w="8" w:type="dxa"/>
              <w:left w:w="8" w:type="dxa"/>
              <w:bottom w:w="0" w:type="dxa"/>
              <w:right w:w="8" w:type="dxa"/>
            </w:tcMar>
            <w:vAlign w:val="center"/>
            <w:hideMark/>
          </w:tcPr>
          <w:p w14:paraId="1D2B555A" w14:textId="77777777" w:rsidR="008B776C" w:rsidRPr="00A24F56" w:rsidRDefault="008B776C" w:rsidP="00DB7074">
            <w:pPr>
              <w:snapToGrid w:val="0"/>
              <w:spacing w:after="0" w:line="360" w:lineRule="auto"/>
              <w:jc w:val="both"/>
              <w:rPr>
                <w:rFonts w:ascii="Book Antiqua" w:hAnsi="Book Antiqua"/>
                <w:sz w:val="18"/>
                <w:szCs w:val="18"/>
                <w:lang w:val="en-US"/>
              </w:rPr>
            </w:pPr>
            <w:r w:rsidRPr="00A24F56">
              <w:rPr>
                <w:rFonts w:ascii="Book Antiqua" w:hAnsi="Book Antiqua"/>
                <w:sz w:val="18"/>
                <w:szCs w:val="18"/>
                <w:lang w:val="en-US"/>
              </w:rPr>
              <w:t>Reproducible and effective method for detecting colorectal cancer markers.</w:t>
            </w:r>
          </w:p>
          <w:p w14:paraId="2276282D" w14:textId="08710B24" w:rsidR="008B776C" w:rsidRPr="00A24F56" w:rsidRDefault="008B776C" w:rsidP="00DB7074">
            <w:pPr>
              <w:snapToGrid w:val="0"/>
              <w:spacing w:after="0" w:line="360" w:lineRule="auto"/>
              <w:jc w:val="both"/>
              <w:rPr>
                <w:rFonts w:ascii="Book Antiqua" w:hAnsi="Book Antiqua"/>
                <w:sz w:val="18"/>
                <w:szCs w:val="18"/>
                <w:lang w:val="en-US"/>
              </w:rPr>
            </w:pPr>
            <w:r w:rsidRPr="00A24F56">
              <w:rPr>
                <w:rFonts w:ascii="Book Antiqua" w:hAnsi="Book Antiqua"/>
                <w:sz w:val="18"/>
                <w:szCs w:val="18"/>
                <w:lang w:val="en-US"/>
              </w:rPr>
              <w:t>(</w:t>
            </w:r>
            <w:r w:rsidRPr="00A24F56">
              <w:rPr>
                <w:rFonts w:ascii="SimSun" w:eastAsia="SimSun" w:hAnsi="SimSun" w:cs="SimSun" w:hint="eastAsia"/>
                <w:sz w:val="18"/>
                <w:szCs w:val="18"/>
                <w:lang w:val="en-US"/>
              </w:rPr>
              <w:t>↘</w:t>
            </w:r>
            <w:r w:rsidRPr="00A24F56">
              <w:rPr>
                <w:rFonts w:ascii="Book Antiqua" w:hAnsi="Book Antiqua"/>
                <w:sz w:val="18"/>
                <w:szCs w:val="18"/>
                <w:lang w:val="en-US"/>
              </w:rPr>
              <w:t>) SCFA (acetate, butyrate) appears to be the most effective marker i</w:t>
            </w:r>
            <w:r w:rsidR="00A24F56">
              <w:rPr>
                <w:rFonts w:ascii="Book Antiqua" w:hAnsi="Book Antiqua"/>
                <w:sz w:val="18"/>
                <w:szCs w:val="18"/>
                <w:lang w:val="en-US"/>
              </w:rPr>
              <w:t>n CRC</w:t>
            </w:r>
            <w:r w:rsidRPr="00A24F56">
              <w:rPr>
                <w:rFonts w:ascii="Book Antiqua" w:hAnsi="Book Antiqua"/>
                <w:sz w:val="18"/>
                <w:szCs w:val="18"/>
                <w:lang w:val="en-US"/>
              </w:rPr>
              <w:t>.</w:t>
            </w:r>
          </w:p>
        </w:tc>
        <w:tc>
          <w:tcPr>
            <w:tcW w:w="2047" w:type="dxa"/>
            <w:tcBorders>
              <w:top w:val="single" w:sz="8" w:space="0" w:color="FFFFFF"/>
              <w:left w:val="single" w:sz="8" w:space="0" w:color="FFFFFF"/>
              <w:bottom w:val="single" w:sz="8" w:space="0" w:color="FFFFFF"/>
              <w:right w:val="single" w:sz="8" w:space="0" w:color="FFFFFF"/>
            </w:tcBorders>
            <w:shd w:val="clear" w:color="auto" w:fill="FFFFFF"/>
            <w:tcMar>
              <w:top w:w="8" w:type="dxa"/>
              <w:left w:w="8" w:type="dxa"/>
              <w:bottom w:w="0" w:type="dxa"/>
              <w:right w:w="8" w:type="dxa"/>
            </w:tcMar>
            <w:vAlign w:val="center"/>
            <w:hideMark/>
          </w:tcPr>
          <w:p w14:paraId="29F00EF4" w14:textId="77777777" w:rsidR="008B776C" w:rsidRPr="00A24F56" w:rsidRDefault="008B776C" w:rsidP="00DB7074">
            <w:pPr>
              <w:snapToGrid w:val="0"/>
              <w:spacing w:after="0" w:line="360" w:lineRule="auto"/>
              <w:jc w:val="both"/>
              <w:rPr>
                <w:rFonts w:ascii="Book Antiqua" w:hAnsi="Book Antiqua"/>
                <w:sz w:val="18"/>
                <w:szCs w:val="18"/>
              </w:rPr>
            </w:pPr>
            <w:r w:rsidRPr="00A24F56">
              <w:rPr>
                <w:rFonts w:ascii="Book Antiqua" w:hAnsi="Book Antiqua"/>
                <w:sz w:val="18"/>
                <w:szCs w:val="18"/>
              </w:rPr>
              <w:t>NMR</w:t>
            </w:r>
          </w:p>
        </w:tc>
        <w:tc>
          <w:tcPr>
            <w:tcW w:w="1977" w:type="dxa"/>
            <w:tcBorders>
              <w:top w:val="single" w:sz="8" w:space="0" w:color="FFFFFF"/>
              <w:left w:val="single" w:sz="8" w:space="0" w:color="FFFFFF"/>
              <w:bottom w:val="single" w:sz="8" w:space="0" w:color="FFFFFF"/>
              <w:right w:val="single" w:sz="8" w:space="0" w:color="FFFFFF"/>
            </w:tcBorders>
            <w:shd w:val="clear" w:color="auto" w:fill="FFFFFF"/>
            <w:tcMar>
              <w:top w:w="8" w:type="dxa"/>
              <w:left w:w="8" w:type="dxa"/>
              <w:bottom w:w="0" w:type="dxa"/>
              <w:right w:w="8" w:type="dxa"/>
            </w:tcMar>
            <w:vAlign w:val="center"/>
            <w:hideMark/>
          </w:tcPr>
          <w:p w14:paraId="797A80DA" w14:textId="77777777" w:rsidR="008B776C" w:rsidRPr="00A24F56" w:rsidRDefault="008B776C" w:rsidP="00DB7074">
            <w:pPr>
              <w:snapToGrid w:val="0"/>
              <w:spacing w:after="0" w:line="360" w:lineRule="auto"/>
              <w:jc w:val="both"/>
              <w:rPr>
                <w:rFonts w:ascii="Book Antiqua" w:hAnsi="Book Antiqua"/>
                <w:sz w:val="18"/>
                <w:szCs w:val="18"/>
              </w:rPr>
            </w:pPr>
            <w:r w:rsidRPr="00A24F56">
              <w:rPr>
                <w:rFonts w:ascii="Book Antiqua" w:hAnsi="Book Antiqua"/>
                <w:sz w:val="18"/>
                <w:szCs w:val="18"/>
              </w:rPr>
              <w:t>[206]</w:t>
            </w:r>
          </w:p>
        </w:tc>
      </w:tr>
      <w:tr w:rsidR="00DB7074" w:rsidRPr="00A24F56" w14:paraId="6BD243B8" w14:textId="77777777" w:rsidTr="00A24F56">
        <w:trPr>
          <w:trHeight w:val="979"/>
        </w:trPr>
        <w:tc>
          <w:tcPr>
            <w:tcW w:w="2985" w:type="dxa"/>
            <w:tcBorders>
              <w:top w:val="single" w:sz="8" w:space="0" w:color="FFFFFF"/>
              <w:left w:val="single" w:sz="8" w:space="0" w:color="FFFFFF"/>
              <w:bottom w:val="single" w:sz="8" w:space="0" w:color="FFFFFF"/>
              <w:right w:val="single" w:sz="8" w:space="0" w:color="FFFFFF"/>
            </w:tcBorders>
            <w:shd w:val="clear" w:color="auto" w:fill="FFFFFF"/>
            <w:tcMar>
              <w:top w:w="8" w:type="dxa"/>
              <w:left w:w="8" w:type="dxa"/>
              <w:bottom w:w="0" w:type="dxa"/>
              <w:right w:w="8" w:type="dxa"/>
            </w:tcMar>
            <w:vAlign w:val="center"/>
            <w:hideMark/>
          </w:tcPr>
          <w:p w14:paraId="12034DFB" w14:textId="1C000BAC" w:rsidR="008B776C" w:rsidRPr="00A24F56" w:rsidRDefault="008B776C" w:rsidP="00DB7074">
            <w:pPr>
              <w:snapToGrid w:val="0"/>
              <w:spacing w:after="0" w:line="360" w:lineRule="auto"/>
              <w:jc w:val="both"/>
              <w:rPr>
                <w:rFonts w:ascii="Book Antiqua" w:hAnsi="Book Antiqua"/>
                <w:sz w:val="18"/>
                <w:szCs w:val="18"/>
              </w:rPr>
            </w:pPr>
            <w:r w:rsidRPr="00A24F56">
              <w:rPr>
                <w:rFonts w:ascii="Book Antiqua" w:hAnsi="Book Antiqua"/>
                <w:sz w:val="18"/>
                <w:szCs w:val="18"/>
              </w:rPr>
              <w:t>Lyophilized human f</w:t>
            </w:r>
            <w:r w:rsidR="00A27C1E" w:rsidRPr="00A24F56">
              <w:rPr>
                <w:rFonts w:ascii="Book Antiqua" w:hAnsi="Book Antiqua"/>
                <w:sz w:val="18"/>
                <w:szCs w:val="18"/>
              </w:rPr>
              <w:t>a</w:t>
            </w:r>
            <w:r w:rsidRPr="00A24F56">
              <w:rPr>
                <w:rFonts w:ascii="Book Antiqua" w:hAnsi="Book Antiqua"/>
                <w:sz w:val="18"/>
                <w:szCs w:val="18"/>
              </w:rPr>
              <w:t>eces</w:t>
            </w:r>
          </w:p>
        </w:tc>
        <w:tc>
          <w:tcPr>
            <w:tcW w:w="2835" w:type="dxa"/>
            <w:tcBorders>
              <w:top w:val="single" w:sz="8" w:space="0" w:color="FFFFFF"/>
              <w:left w:val="single" w:sz="8" w:space="0" w:color="FFFFFF"/>
              <w:bottom w:val="single" w:sz="8" w:space="0" w:color="FFFFFF"/>
              <w:right w:val="single" w:sz="8" w:space="0" w:color="FFFFFF"/>
            </w:tcBorders>
            <w:shd w:val="clear" w:color="auto" w:fill="FFFFFF"/>
            <w:tcMar>
              <w:top w:w="8" w:type="dxa"/>
              <w:left w:w="8" w:type="dxa"/>
              <w:bottom w:w="0" w:type="dxa"/>
              <w:right w:w="8" w:type="dxa"/>
            </w:tcMar>
            <w:vAlign w:val="center"/>
            <w:hideMark/>
          </w:tcPr>
          <w:p w14:paraId="23D346F7" w14:textId="77777777" w:rsidR="008B776C" w:rsidRPr="00A24F56" w:rsidRDefault="008B776C" w:rsidP="00DB7074">
            <w:pPr>
              <w:snapToGrid w:val="0"/>
              <w:spacing w:after="0" w:line="360" w:lineRule="auto"/>
              <w:jc w:val="both"/>
              <w:rPr>
                <w:rFonts w:ascii="Book Antiqua" w:hAnsi="Book Antiqua"/>
                <w:sz w:val="18"/>
                <w:szCs w:val="18"/>
              </w:rPr>
            </w:pPr>
            <w:r w:rsidRPr="00A24F56">
              <w:rPr>
                <w:rFonts w:ascii="Book Antiqua" w:hAnsi="Book Antiqua"/>
                <w:sz w:val="18"/>
                <w:szCs w:val="18"/>
                <w:lang w:val="en-US"/>
              </w:rPr>
              <w:t>11 CRC</w:t>
            </w:r>
          </w:p>
          <w:p w14:paraId="7B562EB8" w14:textId="77777777" w:rsidR="008B776C" w:rsidRPr="00A24F56" w:rsidRDefault="008B776C" w:rsidP="00DB7074">
            <w:pPr>
              <w:snapToGrid w:val="0"/>
              <w:spacing w:after="0" w:line="360" w:lineRule="auto"/>
              <w:jc w:val="both"/>
              <w:rPr>
                <w:rFonts w:ascii="Book Antiqua" w:hAnsi="Book Antiqua"/>
                <w:sz w:val="18"/>
                <w:szCs w:val="18"/>
              </w:rPr>
            </w:pPr>
            <w:r w:rsidRPr="00A24F56">
              <w:rPr>
                <w:rFonts w:ascii="Book Antiqua" w:hAnsi="Book Antiqua"/>
                <w:sz w:val="18"/>
                <w:szCs w:val="18"/>
                <w:lang w:val="en-US"/>
              </w:rPr>
              <w:t>10 healthy controls</w:t>
            </w:r>
          </w:p>
        </w:tc>
        <w:tc>
          <w:tcPr>
            <w:tcW w:w="6458" w:type="dxa"/>
            <w:tcBorders>
              <w:top w:val="single" w:sz="8" w:space="0" w:color="FFFFFF"/>
              <w:left w:val="single" w:sz="8" w:space="0" w:color="FFFFFF"/>
              <w:bottom w:val="single" w:sz="8" w:space="0" w:color="FFFFFF"/>
              <w:right w:val="single" w:sz="8" w:space="0" w:color="FFFFFF"/>
            </w:tcBorders>
            <w:shd w:val="clear" w:color="auto" w:fill="FFFFFF"/>
            <w:tcMar>
              <w:top w:w="8" w:type="dxa"/>
              <w:left w:w="8" w:type="dxa"/>
              <w:bottom w:w="0" w:type="dxa"/>
              <w:right w:w="8" w:type="dxa"/>
            </w:tcMar>
            <w:vAlign w:val="center"/>
            <w:hideMark/>
          </w:tcPr>
          <w:p w14:paraId="344B4381" w14:textId="6DA87302" w:rsidR="008B776C" w:rsidRPr="00A24F56" w:rsidRDefault="008B776C" w:rsidP="00A24F56">
            <w:pPr>
              <w:snapToGrid w:val="0"/>
              <w:spacing w:after="0" w:line="360" w:lineRule="auto"/>
              <w:jc w:val="both"/>
              <w:rPr>
                <w:rFonts w:ascii="Book Antiqua" w:hAnsi="Book Antiqua"/>
                <w:sz w:val="18"/>
                <w:szCs w:val="18"/>
                <w:lang w:val="en-US"/>
              </w:rPr>
            </w:pPr>
            <w:r w:rsidRPr="00A24F56">
              <w:rPr>
                <w:rFonts w:ascii="Book Antiqua" w:hAnsi="Book Antiqua"/>
                <w:sz w:val="18"/>
                <w:szCs w:val="18"/>
                <w:lang w:val="en-US"/>
              </w:rPr>
              <w:t>(</w:t>
            </w:r>
            <w:r w:rsidRPr="00A24F56">
              <w:rPr>
                <w:rFonts w:ascii="SimSun" w:eastAsia="SimSun" w:hAnsi="SimSun" w:cs="SimSun" w:hint="eastAsia"/>
                <w:sz w:val="18"/>
                <w:szCs w:val="18"/>
                <w:lang w:val="en-US"/>
              </w:rPr>
              <w:t>↘</w:t>
            </w:r>
            <w:r w:rsidRPr="00A24F56">
              <w:rPr>
                <w:rFonts w:ascii="Book Antiqua" w:hAnsi="Book Antiqua"/>
                <w:sz w:val="18"/>
                <w:szCs w:val="18"/>
                <w:lang w:val="en-US"/>
              </w:rPr>
              <w:t>) butyric acid, linoleic acid, glycerol,</w:t>
            </w:r>
            <w:r w:rsidRPr="00A24F56">
              <w:rPr>
                <w:rFonts w:ascii="Book Antiqua" w:hAnsi="Book Antiqua"/>
                <w:sz w:val="18"/>
                <w:szCs w:val="18"/>
                <w:lang w:val="en-US"/>
              </w:rPr>
              <w:br/>
              <w:t>(</w:t>
            </w:r>
            <w:r w:rsidRPr="00A24F56">
              <w:rPr>
                <w:rFonts w:ascii="SimSun" w:eastAsia="SimSun" w:hAnsi="SimSun" w:cs="SimSun" w:hint="eastAsia"/>
                <w:sz w:val="18"/>
                <w:szCs w:val="18"/>
                <w:lang w:val="en-US"/>
              </w:rPr>
              <w:t>↘</w:t>
            </w:r>
            <w:r w:rsidRPr="00A24F56">
              <w:rPr>
                <w:rFonts w:ascii="Book Antiqua" w:hAnsi="Book Antiqua"/>
                <w:sz w:val="18"/>
                <w:szCs w:val="18"/>
                <w:lang w:val="en-US"/>
              </w:rPr>
              <w:t>)</w:t>
            </w:r>
            <w:r w:rsidR="00A24F56">
              <w:rPr>
                <w:rFonts w:ascii="Book Antiqua" w:hAnsi="Book Antiqua" w:hint="eastAsia"/>
                <w:sz w:val="18"/>
                <w:szCs w:val="18"/>
                <w:lang w:val="en-US" w:eastAsia="zh-CN"/>
              </w:rPr>
              <w:t xml:space="preserve"> </w:t>
            </w:r>
            <w:r w:rsidRPr="00A24F56">
              <w:rPr>
                <w:rFonts w:ascii="Book Antiqua" w:hAnsi="Book Antiqua"/>
                <w:sz w:val="18"/>
                <w:szCs w:val="18"/>
                <w:lang w:val="en-US"/>
              </w:rPr>
              <w:t>secondary bile acid associated with (</w:t>
            </w:r>
            <w:r w:rsidRPr="00A24F56">
              <w:rPr>
                <w:rFonts w:ascii="SimSun" w:eastAsia="SimSun" w:hAnsi="SimSun" w:cs="SimSun" w:hint="eastAsia"/>
                <w:sz w:val="18"/>
                <w:szCs w:val="18"/>
                <w:lang w:val="en-US"/>
              </w:rPr>
              <w:t>↘</w:t>
            </w:r>
            <w:r w:rsidRPr="00A24F56">
              <w:rPr>
                <w:rFonts w:ascii="Book Antiqua" w:hAnsi="Book Antiqua"/>
                <w:sz w:val="18"/>
                <w:szCs w:val="18"/>
                <w:lang w:val="en-US"/>
              </w:rPr>
              <w:t xml:space="preserve">) </w:t>
            </w:r>
            <w:r w:rsidRPr="00A24F56">
              <w:rPr>
                <w:rFonts w:ascii="Book Antiqua" w:hAnsi="Book Antiqua"/>
                <w:i/>
                <w:iCs/>
                <w:sz w:val="18"/>
                <w:szCs w:val="18"/>
                <w:lang w:val="en-US"/>
              </w:rPr>
              <w:t>Ruminococcus</w:t>
            </w:r>
            <w:r w:rsidRPr="00A24F56">
              <w:rPr>
                <w:rFonts w:ascii="Book Antiqua" w:hAnsi="Book Antiqua"/>
                <w:sz w:val="18"/>
                <w:szCs w:val="18"/>
                <w:lang w:val="en-US"/>
              </w:rPr>
              <w:t xml:space="preserve"> spp.,</w:t>
            </w:r>
            <w:r w:rsidRPr="00A24F56">
              <w:rPr>
                <w:rFonts w:ascii="Book Antiqua" w:hAnsi="Book Antiqua"/>
                <w:sz w:val="18"/>
                <w:szCs w:val="18"/>
                <w:lang w:val="en-US"/>
              </w:rPr>
              <w:br/>
              <w:t>(</w:t>
            </w:r>
            <w:r w:rsidRPr="00A24F56">
              <w:rPr>
                <w:rFonts w:ascii="SimSun" w:eastAsia="SimSun" w:hAnsi="SimSun" w:cs="SimSun" w:hint="eastAsia"/>
                <w:sz w:val="18"/>
                <w:szCs w:val="18"/>
                <w:lang w:val="en-US"/>
              </w:rPr>
              <w:t>↗</w:t>
            </w:r>
            <w:r w:rsidRPr="00A24F56">
              <w:rPr>
                <w:rFonts w:ascii="Book Antiqua" w:hAnsi="Book Antiqua"/>
                <w:sz w:val="18"/>
                <w:szCs w:val="18"/>
                <w:lang w:val="en-US"/>
              </w:rPr>
              <w:t>) leucine, valine, acetic acid, valeric acid, isobutyric acid, isovaleric acid,</w:t>
            </w:r>
            <w:r w:rsidRPr="00A24F56">
              <w:rPr>
                <w:rFonts w:ascii="Book Antiqua" w:hAnsi="Book Antiqua"/>
                <w:sz w:val="18"/>
                <w:szCs w:val="18"/>
                <w:lang w:val="en-US"/>
              </w:rPr>
              <w:br/>
              <w:t>(</w:t>
            </w:r>
            <w:r w:rsidRPr="00A24F56">
              <w:rPr>
                <w:rFonts w:ascii="SimSun" w:eastAsia="SimSun" w:hAnsi="SimSun" w:cs="SimSun" w:hint="eastAsia"/>
                <w:sz w:val="18"/>
                <w:szCs w:val="18"/>
                <w:lang w:val="en-US"/>
              </w:rPr>
              <w:t>↗</w:t>
            </w:r>
            <w:r w:rsidRPr="00A24F56">
              <w:rPr>
                <w:rFonts w:ascii="Book Antiqua" w:hAnsi="Book Antiqua"/>
                <w:sz w:val="18"/>
                <w:szCs w:val="18"/>
                <w:lang w:val="en-US"/>
              </w:rPr>
              <w:t xml:space="preserve">) </w:t>
            </w:r>
            <w:r w:rsidRPr="00A24F56">
              <w:rPr>
                <w:rFonts w:ascii="Book Antiqua" w:hAnsi="Book Antiqua"/>
                <w:i/>
                <w:iCs/>
                <w:sz w:val="18"/>
                <w:szCs w:val="18"/>
                <w:lang w:val="en-US"/>
              </w:rPr>
              <w:t xml:space="preserve">A. muciniphila </w:t>
            </w:r>
            <w:r w:rsidRPr="00A24F56">
              <w:rPr>
                <w:rFonts w:ascii="Book Antiqua" w:hAnsi="Book Antiqua"/>
                <w:sz w:val="18"/>
                <w:szCs w:val="18"/>
                <w:lang w:val="en-US"/>
              </w:rPr>
              <w:t>associated with (</w:t>
            </w:r>
            <w:r w:rsidRPr="00A24F56">
              <w:rPr>
                <w:rFonts w:ascii="SimSun" w:eastAsia="SimSun" w:hAnsi="SimSun" w:cs="SimSun" w:hint="eastAsia"/>
                <w:sz w:val="18"/>
                <w:szCs w:val="18"/>
                <w:lang w:val="en-US"/>
              </w:rPr>
              <w:t>↗</w:t>
            </w:r>
            <w:r w:rsidRPr="00A24F56">
              <w:rPr>
                <w:rFonts w:ascii="Book Antiqua" w:hAnsi="Book Antiqua"/>
                <w:sz w:val="18"/>
                <w:szCs w:val="18"/>
                <w:lang w:val="en-US"/>
              </w:rPr>
              <w:t>) proline, serine, threonine</w:t>
            </w:r>
          </w:p>
        </w:tc>
        <w:tc>
          <w:tcPr>
            <w:tcW w:w="2047" w:type="dxa"/>
            <w:tcBorders>
              <w:top w:val="single" w:sz="8" w:space="0" w:color="FFFFFF"/>
              <w:left w:val="single" w:sz="8" w:space="0" w:color="FFFFFF"/>
              <w:bottom w:val="single" w:sz="8" w:space="0" w:color="FFFFFF"/>
              <w:right w:val="single" w:sz="8" w:space="0" w:color="FFFFFF"/>
            </w:tcBorders>
            <w:shd w:val="clear" w:color="auto" w:fill="FFFFFF"/>
            <w:tcMar>
              <w:top w:w="8" w:type="dxa"/>
              <w:left w:w="8" w:type="dxa"/>
              <w:bottom w:w="0" w:type="dxa"/>
              <w:right w:w="8" w:type="dxa"/>
            </w:tcMar>
            <w:vAlign w:val="center"/>
            <w:hideMark/>
          </w:tcPr>
          <w:p w14:paraId="46696CAD" w14:textId="77777777" w:rsidR="008B776C" w:rsidRPr="00A24F56" w:rsidRDefault="008B776C" w:rsidP="00DB7074">
            <w:pPr>
              <w:snapToGrid w:val="0"/>
              <w:spacing w:after="0" w:line="360" w:lineRule="auto"/>
              <w:jc w:val="both"/>
              <w:rPr>
                <w:rFonts w:ascii="Book Antiqua" w:hAnsi="Book Antiqua"/>
                <w:sz w:val="18"/>
                <w:szCs w:val="18"/>
              </w:rPr>
            </w:pPr>
            <w:r w:rsidRPr="00A24F56">
              <w:rPr>
                <w:rFonts w:ascii="Book Antiqua" w:hAnsi="Book Antiqua"/>
                <w:sz w:val="18"/>
                <w:szCs w:val="18"/>
              </w:rPr>
              <w:t>GC-MS</w:t>
            </w:r>
          </w:p>
        </w:tc>
        <w:tc>
          <w:tcPr>
            <w:tcW w:w="1977" w:type="dxa"/>
            <w:tcBorders>
              <w:top w:val="single" w:sz="8" w:space="0" w:color="FFFFFF"/>
              <w:left w:val="single" w:sz="8" w:space="0" w:color="FFFFFF"/>
              <w:bottom w:val="single" w:sz="8" w:space="0" w:color="FFFFFF"/>
              <w:right w:val="single" w:sz="8" w:space="0" w:color="FFFFFF"/>
            </w:tcBorders>
            <w:shd w:val="clear" w:color="auto" w:fill="FFFFFF"/>
            <w:tcMar>
              <w:top w:w="8" w:type="dxa"/>
              <w:left w:w="8" w:type="dxa"/>
              <w:bottom w:w="0" w:type="dxa"/>
              <w:right w:w="8" w:type="dxa"/>
            </w:tcMar>
            <w:vAlign w:val="center"/>
            <w:hideMark/>
          </w:tcPr>
          <w:p w14:paraId="557B0742" w14:textId="77777777" w:rsidR="008B776C" w:rsidRPr="00A24F56" w:rsidRDefault="008B776C" w:rsidP="00DB7074">
            <w:pPr>
              <w:snapToGrid w:val="0"/>
              <w:spacing w:after="0" w:line="360" w:lineRule="auto"/>
              <w:jc w:val="both"/>
              <w:rPr>
                <w:rFonts w:ascii="Book Antiqua" w:hAnsi="Book Antiqua"/>
                <w:sz w:val="18"/>
                <w:szCs w:val="18"/>
              </w:rPr>
            </w:pPr>
            <w:r w:rsidRPr="00A24F56">
              <w:rPr>
                <w:rFonts w:ascii="Book Antiqua" w:hAnsi="Book Antiqua"/>
                <w:sz w:val="18"/>
                <w:szCs w:val="18"/>
              </w:rPr>
              <w:t>[193]</w:t>
            </w:r>
          </w:p>
        </w:tc>
      </w:tr>
      <w:tr w:rsidR="00DB7074" w:rsidRPr="00A24F56" w14:paraId="4E25E92B" w14:textId="77777777" w:rsidTr="00A24F56">
        <w:trPr>
          <w:trHeight w:val="398"/>
        </w:trPr>
        <w:tc>
          <w:tcPr>
            <w:tcW w:w="2985" w:type="dxa"/>
            <w:tcBorders>
              <w:top w:val="single" w:sz="8" w:space="0" w:color="FFFFFF"/>
              <w:left w:val="single" w:sz="8" w:space="0" w:color="FFFFFF"/>
              <w:bottom w:val="single" w:sz="8" w:space="0" w:color="FFFFFF"/>
              <w:right w:val="single" w:sz="8" w:space="0" w:color="FFFFFF"/>
            </w:tcBorders>
            <w:shd w:val="clear" w:color="auto" w:fill="FFFFFF"/>
            <w:tcMar>
              <w:top w:w="8" w:type="dxa"/>
              <w:left w:w="8" w:type="dxa"/>
              <w:bottom w:w="0" w:type="dxa"/>
              <w:right w:w="8" w:type="dxa"/>
            </w:tcMar>
            <w:vAlign w:val="center"/>
            <w:hideMark/>
          </w:tcPr>
          <w:p w14:paraId="7C7CD463" w14:textId="48CC8639" w:rsidR="008B776C" w:rsidRPr="00A24F56" w:rsidRDefault="008B776C" w:rsidP="00DB7074">
            <w:pPr>
              <w:snapToGrid w:val="0"/>
              <w:spacing w:after="0" w:line="360" w:lineRule="auto"/>
              <w:jc w:val="both"/>
              <w:rPr>
                <w:rFonts w:ascii="Book Antiqua" w:hAnsi="Book Antiqua"/>
                <w:sz w:val="18"/>
                <w:szCs w:val="18"/>
              </w:rPr>
            </w:pPr>
            <w:r w:rsidRPr="00A24F56">
              <w:rPr>
                <w:rFonts w:ascii="Book Antiqua" w:hAnsi="Book Antiqua"/>
                <w:sz w:val="18"/>
                <w:szCs w:val="18"/>
              </w:rPr>
              <w:t>Lyophilized human f</w:t>
            </w:r>
            <w:r w:rsidR="00A27C1E" w:rsidRPr="00A24F56">
              <w:rPr>
                <w:rFonts w:ascii="Book Antiqua" w:hAnsi="Book Antiqua"/>
                <w:sz w:val="18"/>
                <w:szCs w:val="18"/>
              </w:rPr>
              <w:t>a</w:t>
            </w:r>
            <w:r w:rsidRPr="00A24F56">
              <w:rPr>
                <w:rFonts w:ascii="Book Antiqua" w:hAnsi="Book Antiqua"/>
                <w:sz w:val="18"/>
                <w:szCs w:val="18"/>
              </w:rPr>
              <w:t>eces</w:t>
            </w:r>
          </w:p>
        </w:tc>
        <w:tc>
          <w:tcPr>
            <w:tcW w:w="2835" w:type="dxa"/>
            <w:tcBorders>
              <w:top w:val="single" w:sz="8" w:space="0" w:color="FFFFFF"/>
              <w:left w:val="single" w:sz="8" w:space="0" w:color="FFFFFF"/>
              <w:bottom w:val="single" w:sz="8" w:space="0" w:color="FFFFFF"/>
              <w:right w:val="single" w:sz="8" w:space="0" w:color="FFFFFF"/>
            </w:tcBorders>
            <w:shd w:val="clear" w:color="auto" w:fill="FFFFFF"/>
            <w:tcMar>
              <w:top w:w="8" w:type="dxa"/>
              <w:left w:w="8" w:type="dxa"/>
              <w:bottom w:w="0" w:type="dxa"/>
              <w:right w:w="8" w:type="dxa"/>
            </w:tcMar>
            <w:vAlign w:val="center"/>
            <w:hideMark/>
          </w:tcPr>
          <w:p w14:paraId="5BECE58E" w14:textId="77777777" w:rsidR="008B776C" w:rsidRPr="00A24F56" w:rsidRDefault="008B776C" w:rsidP="00DB7074">
            <w:pPr>
              <w:snapToGrid w:val="0"/>
              <w:spacing w:after="0" w:line="360" w:lineRule="auto"/>
              <w:jc w:val="both"/>
              <w:rPr>
                <w:rFonts w:ascii="Book Antiqua" w:hAnsi="Book Antiqua"/>
                <w:sz w:val="18"/>
                <w:szCs w:val="18"/>
              </w:rPr>
            </w:pPr>
            <w:r w:rsidRPr="00A24F56">
              <w:rPr>
                <w:rFonts w:ascii="Book Antiqua" w:hAnsi="Book Antiqua"/>
                <w:sz w:val="18"/>
                <w:szCs w:val="18"/>
                <w:lang w:val="en-US"/>
              </w:rPr>
              <w:t>11 CRC, 10 healthy controls</w:t>
            </w:r>
          </w:p>
        </w:tc>
        <w:tc>
          <w:tcPr>
            <w:tcW w:w="6458" w:type="dxa"/>
            <w:tcBorders>
              <w:top w:val="single" w:sz="8" w:space="0" w:color="FFFFFF"/>
              <w:left w:val="single" w:sz="8" w:space="0" w:color="FFFFFF"/>
              <w:bottom w:val="single" w:sz="8" w:space="0" w:color="FFFFFF"/>
              <w:right w:val="single" w:sz="8" w:space="0" w:color="FFFFFF"/>
            </w:tcBorders>
            <w:shd w:val="clear" w:color="auto" w:fill="FFFFFF"/>
            <w:tcMar>
              <w:top w:w="8" w:type="dxa"/>
              <w:left w:w="8" w:type="dxa"/>
              <w:bottom w:w="0" w:type="dxa"/>
              <w:right w:w="8" w:type="dxa"/>
            </w:tcMar>
            <w:vAlign w:val="center"/>
            <w:hideMark/>
          </w:tcPr>
          <w:p w14:paraId="2A2F61B6" w14:textId="77777777" w:rsidR="008B776C" w:rsidRPr="00A24F56" w:rsidRDefault="008B776C" w:rsidP="00DB7074">
            <w:pPr>
              <w:snapToGrid w:val="0"/>
              <w:spacing w:after="0" w:line="360" w:lineRule="auto"/>
              <w:jc w:val="both"/>
              <w:rPr>
                <w:rFonts w:ascii="Book Antiqua" w:hAnsi="Book Antiqua"/>
                <w:sz w:val="18"/>
                <w:szCs w:val="18"/>
                <w:lang w:val="en-US"/>
              </w:rPr>
            </w:pPr>
            <w:r w:rsidRPr="00A24F56">
              <w:rPr>
                <w:rFonts w:ascii="Book Antiqua" w:hAnsi="Book Antiqua"/>
                <w:sz w:val="18"/>
                <w:szCs w:val="18"/>
                <w:lang w:val="en-US"/>
              </w:rPr>
              <w:t>(</w:t>
            </w:r>
            <w:r w:rsidRPr="00A24F56">
              <w:rPr>
                <w:rFonts w:ascii="SimSun" w:eastAsia="SimSun" w:hAnsi="SimSun" w:cs="SimSun" w:hint="eastAsia"/>
                <w:sz w:val="18"/>
                <w:szCs w:val="18"/>
                <w:lang w:val="en-US"/>
              </w:rPr>
              <w:t>↘</w:t>
            </w:r>
            <w:r w:rsidRPr="00A24F56">
              <w:rPr>
                <w:rFonts w:ascii="Book Antiqua" w:hAnsi="Book Antiqua"/>
                <w:sz w:val="18"/>
                <w:szCs w:val="18"/>
                <w:lang w:val="en-US"/>
              </w:rPr>
              <w:t>) fructose, linoleic acid, and nicotinic acid in CRC stools.</w:t>
            </w:r>
          </w:p>
        </w:tc>
        <w:tc>
          <w:tcPr>
            <w:tcW w:w="2047" w:type="dxa"/>
            <w:tcBorders>
              <w:top w:val="single" w:sz="8" w:space="0" w:color="FFFFFF"/>
              <w:left w:val="single" w:sz="8" w:space="0" w:color="FFFFFF"/>
              <w:bottom w:val="single" w:sz="8" w:space="0" w:color="FFFFFF"/>
              <w:right w:val="single" w:sz="8" w:space="0" w:color="FFFFFF"/>
            </w:tcBorders>
            <w:shd w:val="clear" w:color="auto" w:fill="FFFFFF"/>
            <w:tcMar>
              <w:top w:w="8" w:type="dxa"/>
              <w:left w:w="8" w:type="dxa"/>
              <w:bottom w:w="0" w:type="dxa"/>
              <w:right w:w="8" w:type="dxa"/>
            </w:tcMar>
            <w:vAlign w:val="center"/>
            <w:hideMark/>
          </w:tcPr>
          <w:p w14:paraId="76C456E2" w14:textId="77777777" w:rsidR="008B776C" w:rsidRPr="00A24F56" w:rsidRDefault="008B776C" w:rsidP="00DB7074">
            <w:pPr>
              <w:snapToGrid w:val="0"/>
              <w:spacing w:after="0" w:line="360" w:lineRule="auto"/>
              <w:jc w:val="both"/>
              <w:rPr>
                <w:rFonts w:ascii="Book Antiqua" w:hAnsi="Book Antiqua"/>
                <w:sz w:val="18"/>
                <w:szCs w:val="18"/>
              </w:rPr>
            </w:pPr>
            <w:r w:rsidRPr="00A24F56">
              <w:rPr>
                <w:rFonts w:ascii="Book Antiqua" w:hAnsi="Book Antiqua"/>
                <w:sz w:val="18"/>
                <w:szCs w:val="18"/>
              </w:rPr>
              <w:t>GC/TOF-MS</w:t>
            </w:r>
          </w:p>
        </w:tc>
        <w:tc>
          <w:tcPr>
            <w:tcW w:w="1977" w:type="dxa"/>
            <w:tcBorders>
              <w:top w:val="single" w:sz="8" w:space="0" w:color="FFFFFF"/>
              <w:left w:val="single" w:sz="8" w:space="0" w:color="FFFFFF"/>
              <w:bottom w:val="single" w:sz="8" w:space="0" w:color="FFFFFF"/>
              <w:right w:val="single" w:sz="8" w:space="0" w:color="FFFFFF"/>
            </w:tcBorders>
            <w:shd w:val="clear" w:color="auto" w:fill="FFFFFF"/>
            <w:tcMar>
              <w:top w:w="8" w:type="dxa"/>
              <w:left w:w="8" w:type="dxa"/>
              <w:bottom w:w="0" w:type="dxa"/>
              <w:right w:w="8" w:type="dxa"/>
            </w:tcMar>
            <w:vAlign w:val="center"/>
            <w:hideMark/>
          </w:tcPr>
          <w:p w14:paraId="65461F26" w14:textId="77777777" w:rsidR="008B776C" w:rsidRPr="00A24F56" w:rsidRDefault="008B776C" w:rsidP="00DB7074">
            <w:pPr>
              <w:snapToGrid w:val="0"/>
              <w:spacing w:after="0" w:line="360" w:lineRule="auto"/>
              <w:jc w:val="both"/>
              <w:rPr>
                <w:rFonts w:ascii="Book Antiqua" w:hAnsi="Book Antiqua"/>
                <w:sz w:val="18"/>
                <w:szCs w:val="18"/>
              </w:rPr>
            </w:pPr>
            <w:r w:rsidRPr="00A24F56">
              <w:rPr>
                <w:rFonts w:ascii="Book Antiqua" w:hAnsi="Book Antiqua"/>
                <w:sz w:val="18"/>
                <w:szCs w:val="18"/>
              </w:rPr>
              <w:t>[208]</w:t>
            </w:r>
          </w:p>
        </w:tc>
      </w:tr>
      <w:tr w:rsidR="00DB7074" w:rsidRPr="00A24F56" w14:paraId="7F9A8AF0" w14:textId="77777777" w:rsidTr="00A24F56">
        <w:trPr>
          <w:trHeight w:val="673"/>
        </w:trPr>
        <w:tc>
          <w:tcPr>
            <w:tcW w:w="2985" w:type="dxa"/>
            <w:tcBorders>
              <w:top w:val="single" w:sz="8" w:space="0" w:color="FFFFFF"/>
              <w:left w:val="single" w:sz="8" w:space="0" w:color="FFFFFF"/>
              <w:bottom w:val="single" w:sz="8" w:space="0" w:color="FFFFFF"/>
              <w:right w:val="single" w:sz="8" w:space="0" w:color="FFFFFF"/>
            </w:tcBorders>
            <w:shd w:val="clear" w:color="auto" w:fill="FFFFFF"/>
            <w:tcMar>
              <w:top w:w="8" w:type="dxa"/>
              <w:left w:w="8" w:type="dxa"/>
              <w:bottom w:w="0" w:type="dxa"/>
              <w:right w:w="8" w:type="dxa"/>
            </w:tcMar>
            <w:vAlign w:val="center"/>
            <w:hideMark/>
          </w:tcPr>
          <w:p w14:paraId="1F6EF3D6" w14:textId="77777777" w:rsidR="008B776C" w:rsidRPr="00A24F56" w:rsidRDefault="008B776C" w:rsidP="00DB7074">
            <w:pPr>
              <w:snapToGrid w:val="0"/>
              <w:spacing w:after="0" w:line="360" w:lineRule="auto"/>
              <w:jc w:val="both"/>
              <w:rPr>
                <w:rFonts w:ascii="Book Antiqua" w:hAnsi="Book Antiqua"/>
                <w:sz w:val="18"/>
                <w:szCs w:val="18"/>
                <w:lang w:val="en-US"/>
              </w:rPr>
            </w:pPr>
            <w:r w:rsidRPr="00A24F56">
              <w:rPr>
                <w:rFonts w:ascii="Book Antiqua" w:hAnsi="Book Antiqua"/>
                <w:sz w:val="18"/>
                <w:szCs w:val="18"/>
                <w:lang w:val="en-US"/>
              </w:rPr>
              <w:t>Volatile organic compounds in the headspace of lyophilized stool samples</w:t>
            </w:r>
          </w:p>
        </w:tc>
        <w:tc>
          <w:tcPr>
            <w:tcW w:w="2835" w:type="dxa"/>
            <w:tcBorders>
              <w:top w:val="single" w:sz="8" w:space="0" w:color="FFFFFF"/>
              <w:left w:val="single" w:sz="8" w:space="0" w:color="FFFFFF"/>
              <w:bottom w:val="single" w:sz="8" w:space="0" w:color="FFFFFF"/>
              <w:right w:val="single" w:sz="8" w:space="0" w:color="FFFFFF"/>
            </w:tcBorders>
            <w:shd w:val="clear" w:color="auto" w:fill="FFFFFF"/>
            <w:tcMar>
              <w:top w:w="8" w:type="dxa"/>
              <w:left w:w="8" w:type="dxa"/>
              <w:bottom w:w="0" w:type="dxa"/>
              <w:right w:w="8" w:type="dxa"/>
            </w:tcMar>
            <w:vAlign w:val="center"/>
            <w:hideMark/>
          </w:tcPr>
          <w:p w14:paraId="7E8D0AB7" w14:textId="77777777" w:rsidR="008B776C" w:rsidRPr="00A24F56" w:rsidRDefault="008B776C" w:rsidP="00DB7074">
            <w:pPr>
              <w:snapToGrid w:val="0"/>
              <w:spacing w:after="0" w:line="360" w:lineRule="auto"/>
              <w:jc w:val="both"/>
              <w:rPr>
                <w:rFonts w:ascii="Book Antiqua" w:hAnsi="Book Antiqua"/>
                <w:sz w:val="18"/>
                <w:szCs w:val="18"/>
                <w:lang w:val="en-US"/>
              </w:rPr>
            </w:pPr>
            <w:r w:rsidRPr="00A24F56">
              <w:rPr>
                <w:rFonts w:ascii="Book Antiqua" w:hAnsi="Book Antiqua"/>
                <w:sz w:val="18"/>
                <w:szCs w:val="18"/>
                <w:lang w:val="en-US"/>
              </w:rPr>
              <w:t>40 CRC, 60 advanced adenomas,</w:t>
            </w:r>
          </w:p>
          <w:p w14:paraId="03E1149B" w14:textId="77777777" w:rsidR="008B776C" w:rsidRPr="00A24F56" w:rsidRDefault="008B776C" w:rsidP="00DB7074">
            <w:pPr>
              <w:snapToGrid w:val="0"/>
              <w:spacing w:after="0" w:line="360" w:lineRule="auto"/>
              <w:jc w:val="both"/>
              <w:rPr>
                <w:rFonts w:ascii="Book Antiqua" w:hAnsi="Book Antiqua"/>
                <w:sz w:val="18"/>
                <w:szCs w:val="18"/>
                <w:lang w:val="en-US"/>
              </w:rPr>
            </w:pPr>
            <w:r w:rsidRPr="00A24F56">
              <w:rPr>
                <w:rFonts w:ascii="Book Antiqua" w:hAnsi="Book Antiqua"/>
                <w:sz w:val="18"/>
                <w:szCs w:val="18"/>
                <w:lang w:val="en-US"/>
              </w:rPr>
              <w:t>57 healthy controls</w:t>
            </w:r>
          </w:p>
        </w:tc>
        <w:tc>
          <w:tcPr>
            <w:tcW w:w="6458" w:type="dxa"/>
            <w:tcBorders>
              <w:top w:val="single" w:sz="8" w:space="0" w:color="FFFFFF"/>
              <w:left w:val="single" w:sz="8" w:space="0" w:color="FFFFFF"/>
              <w:bottom w:val="single" w:sz="8" w:space="0" w:color="FFFFFF"/>
              <w:right w:val="single" w:sz="8" w:space="0" w:color="FFFFFF"/>
            </w:tcBorders>
            <w:shd w:val="clear" w:color="auto" w:fill="FFFFFF"/>
            <w:tcMar>
              <w:top w:w="8" w:type="dxa"/>
              <w:left w:w="8" w:type="dxa"/>
              <w:bottom w:w="0" w:type="dxa"/>
              <w:right w:w="8" w:type="dxa"/>
            </w:tcMar>
            <w:vAlign w:val="center"/>
            <w:hideMark/>
          </w:tcPr>
          <w:p w14:paraId="6CE0372D" w14:textId="77777777" w:rsidR="008B776C" w:rsidRPr="00A24F56" w:rsidRDefault="008B776C" w:rsidP="00DB7074">
            <w:pPr>
              <w:snapToGrid w:val="0"/>
              <w:spacing w:after="0" w:line="360" w:lineRule="auto"/>
              <w:jc w:val="both"/>
              <w:rPr>
                <w:rFonts w:ascii="Book Antiqua" w:hAnsi="Book Antiqua"/>
                <w:sz w:val="18"/>
                <w:szCs w:val="18"/>
                <w:lang w:val="en-US"/>
              </w:rPr>
            </w:pPr>
            <w:r w:rsidRPr="00A24F56">
              <w:rPr>
                <w:rFonts w:ascii="Book Antiqua" w:hAnsi="Book Antiqua"/>
                <w:sz w:val="18"/>
                <w:szCs w:val="18"/>
                <w:lang w:val="en-US"/>
              </w:rPr>
              <w:t>Discrimination of fecal VOC profiles of patients with adenomas and CRC.</w:t>
            </w:r>
          </w:p>
        </w:tc>
        <w:tc>
          <w:tcPr>
            <w:tcW w:w="2047" w:type="dxa"/>
            <w:tcBorders>
              <w:top w:val="single" w:sz="8" w:space="0" w:color="FFFFFF"/>
              <w:left w:val="single" w:sz="8" w:space="0" w:color="FFFFFF"/>
              <w:bottom w:val="single" w:sz="8" w:space="0" w:color="FFFFFF"/>
              <w:right w:val="single" w:sz="8" w:space="0" w:color="FFFFFF"/>
            </w:tcBorders>
            <w:shd w:val="clear" w:color="auto" w:fill="FFFFFF"/>
            <w:tcMar>
              <w:top w:w="8" w:type="dxa"/>
              <w:left w:w="8" w:type="dxa"/>
              <w:bottom w:w="0" w:type="dxa"/>
              <w:right w:w="8" w:type="dxa"/>
            </w:tcMar>
            <w:vAlign w:val="center"/>
            <w:hideMark/>
          </w:tcPr>
          <w:p w14:paraId="70B1B461" w14:textId="77777777" w:rsidR="008B776C" w:rsidRPr="00A24F56" w:rsidRDefault="008B776C" w:rsidP="00DB7074">
            <w:pPr>
              <w:snapToGrid w:val="0"/>
              <w:spacing w:after="0" w:line="360" w:lineRule="auto"/>
              <w:jc w:val="both"/>
              <w:rPr>
                <w:rFonts w:ascii="Book Antiqua" w:hAnsi="Book Antiqua"/>
                <w:sz w:val="18"/>
                <w:szCs w:val="18"/>
              </w:rPr>
            </w:pPr>
            <w:r w:rsidRPr="00A24F56">
              <w:rPr>
                <w:rFonts w:ascii="Book Antiqua" w:hAnsi="Book Antiqua"/>
                <w:sz w:val="18"/>
                <w:szCs w:val="18"/>
              </w:rPr>
              <w:t>Electronic nose</w:t>
            </w:r>
          </w:p>
        </w:tc>
        <w:tc>
          <w:tcPr>
            <w:tcW w:w="1977" w:type="dxa"/>
            <w:tcBorders>
              <w:top w:val="single" w:sz="8" w:space="0" w:color="FFFFFF"/>
              <w:left w:val="single" w:sz="8" w:space="0" w:color="FFFFFF"/>
              <w:bottom w:val="single" w:sz="8" w:space="0" w:color="FFFFFF"/>
              <w:right w:val="single" w:sz="8" w:space="0" w:color="FFFFFF"/>
            </w:tcBorders>
            <w:shd w:val="clear" w:color="auto" w:fill="FFFFFF"/>
            <w:tcMar>
              <w:top w:w="8" w:type="dxa"/>
              <w:left w:w="8" w:type="dxa"/>
              <w:bottom w:w="0" w:type="dxa"/>
              <w:right w:w="8" w:type="dxa"/>
            </w:tcMar>
            <w:vAlign w:val="center"/>
            <w:hideMark/>
          </w:tcPr>
          <w:p w14:paraId="6C61D0F7" w14:textId="77777777" w:rsidR="008B776C" w:rsidRPr="00A24F56" w:rsidRDefault="008B776C" w:rsidP="00DB7074">
            <w:pPr>
              <w:snapToGrid w:val="0"/>
              <w:spacing w:after="0" w:line="360" w:lineRule="auto"/>
              <w:jc w:val="both"/>
              <w:rPr>
                <w:rFonts w:ascii="Book Antiqua" w:hAnsi="Book Antiqua"/>
                <w:sz w:val="18"/>
                <w:szCs w:val="18"/>
              </w:rPr>
            </w:pPr>
            <w:r w:rsidRPr="00A24F56">
              <w:rPr>
                <w:rFonts w:ascii="Book Antiqua" w:hAnsi="Book Antiqua"/>
                <w:sz w:val="18"/>
                <w:szCs w:val="18"/>
              </w:rPr>
              <w:t>[209]</w:t>
            </w:r>
          </w:p>
        </w:tc>
      </w:tr>
      <w:tr w:rsidR="00DB7074" w:rsidRPr="00A24F56" w14:paraId="5E7FA5B4" w14:textId="77777777" w:rsidTr="00A24F56">
        <w:trPr>
          <w:trHeight w:val="743"/>
        </w:trPr>
        <w:tc>
          <w:tcPr>
            <w:tcW w:w="2985" w:type="dxa"/>
            <w:tcBorders>
              <w:top w:val="single" w:sz="8" w:space="0" w:color="FFFFFF"/>
              <w:left w:val="single" w:sz="8" w:space="0" w:color="FFFFFF"/>
              <w:bottom w:val="single" w:sz="8" w:space="0" w:color="FFFFFF"/>
              <w:right w:val="single" w:sz="8" w:space="0" w:color="FFFFFF"/>
            </w:tcBorders>
            <w:shd w:val="clear" w:color="auto" w:fill="FFFFFF"/>
            <w:tcMar>
              <w:top w:w="8" w:type="dxa"/>
              <w:left w:w="8" w:type="dxa"/>
              <w:bottom w:w="0" w:type="dxa"/>
              <w:right w:w="8" w:type="dxa"/>
            </w:tcMar>
            <w:vAlign w:val="center"/>
            <w:hideMark/>
          </w:tcPr>
          <w:p w14:paraId="66D11917" w14:textId="69461025" w:rsidR="008B776C" w:rsidRPr="00A24F56" w:rsidRDefault="008B776C" w:rsidP="00DB7074">
            <w:pPr>
              <w:snapToGrid w:val="0"/>
              <w:spacing w:after="0" w:line="360" w:lineRule="auto"/>
              <w:jc w:val="both"/>
              <w:rPr>
                <w:rFonts w:ascii="Book Antiqua" w:hAnsi="Book Antiqua"/>
                <w:sz w:val="18"/>
                <w:szCs w:val="18"/>
              </w:rPr>
            </w:pPr>
            <w:r w:rsidRPr="00A24F56">
              <w:rPr>
                <w:rFonts w:ascii="Book Antiqua" w:hAnsi="Book Antiqua"/>
                <w:sz w:val="18"/>
                <w:szCs w:val="18"/>
              </w:rPr>
              <w:t>Lyophilized human f</w:t>
            </w:r>
            <w:r w:rsidR="00A27C1E" w:rsidRPr="00A24F56">
              <w:rPr>
                <w:rFonts w:ascii="Book Antiqua" w:hAnsi="Book Antiqua"/>
                <w:sz w:val="18"/>
                <w:szCs w:val="18"/>
              </w:rPr>
              <w:t>a</w:t>
            </w:r>
            <w:r w:rsidRPr="00A24F56">
              <w:rPr>
                <w:rFonts w:ascii="Book Antiqua" w:hAnsi="Book Antiqua"/>
                <w:sz w:val="18"/>
                <w:szCs w:val="18"/>
              </w:rPr>
              <w:t>eces</w:t>
            </w:r>
          </w:p>
        </w:tc>
        <w:tc>
          <w:tcPr>
            <w:tcW w:w="2835" w:type="dxa"/>
            <w:tcBorders>
              <w:top w:val="single" w:sz="8" w:space="0" w:color="FFFFFF"/>
              <w:left w:val="single" w:sz="8" w:space="0" w:color="FFFFFF"/>
              <w:bottom w:val="single" w:sz="8" w:space="0" w:color="FFFFFF"/>
              <w:right w:val="single" w:sz="8" w:space="0" w:color="FFFFFF"/>
            </w:tcBorders>
            <w:shd w:val="clear" w:color="auto" w:fill="FFFFFF"/>
            <w:tcMar>
              <w:top w:w="8" w:type="dxa"/>
              <w:left w:w="8" w:type="dxa"/>
              <w:bottom w:w="0" w:type="dxa"/>
              <w:right w:w="8" w:type="dxa"/>
            </w:tcMar>
            <w:vAlign w:val="center"/>
            <w:hideMark/>
          </w:tcPr>
          <w:p w14:paraId="7EBC6397" w14:textId="77777777" w:rsidR="008B776C" w:rsidRPr="00A24F56" w:rsidRDefault="008B776C" w:rsidP="00DB7074">
            <w:pPr>
              <w:snapToGrid w:val="0"/>
              <w:spacing w:after="0" w:line="360" w:lineRule="auto"/>
              <w:jc w:val="both"/>
              <w:rPr>
                <w:rFonts w:ascii="Book Antiqua" w:hAnsi="Book Antiqua"/>
                <w:sz w:val="18"/>
                <w:szCs w:val="18"/>
              </w:rPr>
            </w:pPr>
            <w:r w:rsidRPr="00A24F56">
              <w:rPr>
                <w:rFonts w:ascii="Book Antiqua" w:hAnsi="Book Antiqua"/>
                <w:sz w:val="18"/>
                <w:szCs w:val="18"/>
                <w:lang w:val="en-US"/>
              </w:rPr>
              <w:t>48 CRC,</w:t>
            </w:r>
          </w:p>
          <w:p w14:paraId="1C4588B3" w14:textId="77777777" w:rsidR="008B776C" w:rsidRPr="00A24F56" w:rsidRDefault="008B776C" w:rsidP="00DB7074">
            <w:pPr>
              <w:snapToGrid w:val="0"/>
              <w:spacing w:after="0" w:line="360" w:lineRule="auto"/>
              <w:jc w:val="both"/>
              <w:rPr>
                <w:rFonts w:ascii="Book Antiqua" w:hAnsi="Book Antiqua"/>
                <w:sz w:val="18"/>
                <w:szCs w:val="18"/>
              </w:rPr>
            </w:pPr>
            <w:r w:rsidRPr="00A24F56">
              <w:rPr>
                <w:rFonts w:ascii="Book Antiqua" w:hAnsi="Book Antiqua"/>
                <w:sz w:val="18"/>
                <w:szCs w:val="18"/>
                <w:lang w:val="en-US"/>
              </w:rPr>
              <w:t>102 healthy controls</w:t>
            </w:r>
          </w:p>
        </w:tc>
        <w:tc>
          <w:tcPr>
            <w:tcW w:w="6458" w:type="dxa"/>
            <w:tcBorders>
              <w:top w:val="single" w:sz="8" w:space="0" w:color="FFFFFF"/>
              <w:left w:val="single" w:sz="8" w:space="0" w:color="FFFFFF"/>
              <w:bottom w:val="single" w:sz="8" w:space="0" w:color="FFFFFF"/>
              <w:right w:val="single" w:sz="8" w:space="0" w:color="FFFFFF"/>
            </w:tcBorders>
            <w:shd w:val="clear" w:color="auto" w:fill="FFFFFF"/>
            <w:tcMar>
              <w:top w:w="8" w:type="dxa"/>
              <w:left w:w="8" w:type="dxa"/>
              <w:bottom w:w="0" w:type="dxa"/>
              <w:right w:w="8" w:type="dxa"/>
            </w:tcMar>
            <w:vAlign w:val="center"/>
            <w:hideMark/>
          </w:tcPr>
          <w:p w14:paraId="329A03C9" w14:textId="287CA568" w:rsidR="008B776C" w:rsidRPr="00A24F56" w:rsidRDefault="008B776C" w:rsidP="00A24F56">
            <w:pPr>
              <w:snapToGrid w:val="0"/>
              <w:spacing w:after="0" w:line="360" w:lineRule="auto"/>
              <w:jc w:val="both"/>
              <w:rPr>
                <w:rFonts w:ascii="Book Antiqua" w:hAnsi="Book Antiqua"/>
                <w:sz w:val="18"/>
                <w:szCs w:val="18"/>
                <w:lang w:val="en-US"/>
              </w:rPr>
            </w:pPr>
            <w:r w:rsidRPr="00A24F56">
              <w:rPr>
                <w:rFonts w:ascii="Book Antiqua" w:hAnsi="Book Antiqua"/>
                <w:sz w:val="18"/>
                <w:szCs w:val="18"/>
                <w:lang w:val="en-US"/>
              </w:rPr>
              <w:t xml:space="preserve">41 metabolites significantly associated with </w:t>
            </w:r>
            <w:proofErr w:type="gramStart"/>
            <w:r w:rsidRPr="00A24F56">
              <w:rPr>
                <w:rFonts w:ascii="Book Antiqua" w:hAnsi="Book Antiqua"/>
                <w:sz w:val="18"/>
                <w:szCs w:val="18"/>
                <w:lang w:val="en-US"/>
              </w:rPr>
              <w:t>CRC</w:t>
            </w:r>
            <w:proofErr w:type="gramEnd"/>
            <w:r w:rsidRPr="00A24F56">
              <w:rPr>
                <w:rFonts w:ascii="Book Antiqua" w:hAnsi="Book Antiqua"/>
                <w:sz w:val="18"/>
                <w:szCs w:val="18"/>
                <w:lang w:val="en-US"/>
              </w:rPr>
              <w:br/>
              <w:t>(</w:t>
            </w:r>
            <w:r w:rsidRPr="00A24F56">
              <w:rPr>
                <w:rFonts w:ascii="SimSun" w:eastAsia="SimSun" w:hAnsi="SimSun" w:cs="SimSun" w:hint="eastAsia"/>
                <w:sz w:val="18"/>
                <w:szCs w:val="18"/>
                <w:lang w:val="en-US"/>
              </w:rPr>
              <w:t>↘</w:t>
            </w:r>
            <w:r w:rsidRPr="00A24F56">
              <w:rPr>
                <w:rFonts w:ascii="Book Antiqua" w:hAnsi="Book Antiqua"/>
                <w:sz w:val="18"/>
                <w:szCs w:val="18"/>
                <w:lang w:val="en-US"/>
              </w:rPr>
              <w:t>) xenobiotics</w:t>
            </w:r>
            <w:r w:rsidRPr="00A24F56">
              <w:rPr>
                <w:rFonts w:ascii="Book Antiqua" w:hAnsi="Book Antiqua"/>
                <w:sz w:val="18"/>
                <w:szCs w:val="18"/>
                <w:lang w:val="en-US"/>
              </w:rPr>
              <w:br/>
              <w:t>(</w:t>
            </w:r>
            <w:r w:rsidRPr="00A24F56">
              <w:rPr>
                <w:rFonts w:ascii="SimSun" w:eastAsia="SimSun" w:hAnsi="SimSun" w:cs="SimSun" w:hint="eastAsia"/>
                <w:sz w:val="18"/>
                <w:szCs w:val="18"/>
                <w:lang w:val="en-US"/>
              </w:rPr>
              <w:t>↗</w:t>
            </w:r>
            <w:r w:rsidRPr="00A24F56">
              <w:rPr>
                <w:rFonts w:ascii="Book Antiqua" w:hAnsi="Book Antiqua"/>
                <w:sz w:val="18"/>
                <w:szCs w:val="18"/>
                <w:lang w:val="en-US"/>
              </w:rPr>
              <w:t>)</w:t>
            </w:r>
            <w:r w:rsidR="00A24F56">
              <w:rPr>
                <w:rFonts w:ascii="Book Antiqua" w:hAnsi="Book Antiqua" w:hint="eastAsia"/>
                <w:sz w:val="18"/>
                <w:szCs w:val="18"/>
                <w:lang w:val="en-US" w:eastAsia="zh-CN"/>
              </w:rPr>
              <w:t xml:space="preserve"> </w:t>
            </w:r>
            <w:r w:rsidRPr="00A24F56">
              <w:rPr>
                <w:rFonts w:ascii="Book Antiqua" w:hAnsi="Book Antiqua"/>
                <w:sz w:val="18"/>
                <w:szCs w:val="18"/>
                <w:lang w:val="en-US"/>
              </w:rPr>
              <w:t>heme, peptides/amino acids, vitamins, co-factors,  other CRC associated molecules.</w:t>
            </w:r>
          </w:p>
        </w:tc>
        <w:tc>
          <w:tcPr>
            <w:tcW w:w="2047" w:type="dxa"/>
            <w:tcBorders>
              <w:top w:val="single" w:sz="8" w:space="0" w:color="FFFFFF"/>
              <w:left w:val="single" w:sz="8" w:space="0" w:color="FFFFFF"/>
              <w:bottom w:val="single" w:sz="8" w:space="0" w:color="FFFFFF"/>
              <w:right w:val="single" w:sz="8" w:space="0" w:color="FFFFFF"/>
            </w:tcBorders>
            <w:shd w:val="clear" w:color="auto" w:fill="FFFFFF"/>
            <w:tcMar>
              <w:top w:w="8" w:type="dxa"/>
              <w:left w:w="8" w:type="dxa"/>
              <w:bottom w:w="0" w:type="dxa"/>
              <w:right w:w="8" w:type="dxa"/>
            </w:tcMar>
            <w:vAlign w:val="center"/>
            <w:hideMark/>
          </w:tcPr>
          <w:p w14:paraId="598FF7CE" w14:textId="77777777" w:rsidR="008B776C" w:rsidRPr="00A24F56" w:rsidRDefault="008B776C" w:rsidP="00DB7074">
            <w:pPr>
              <w:snapToGrid w:val="0"/>
              <w:spacing w:after="0" w:line="360" w:lineRule="auto"/>
              <w:jc w:val="both"/>
              <w:rPr>
                <w:rFonts w:ascii="Book Antiqua" w:hAnsi="Book Antiqua"/>
                <w:sz w:val="18"/>
                <w:szCs w:val="18"/>
              </w:rPr>
            </w:pPr>
            <w:r w:rsidRPr="00A24F56">
              <w:rPr>
                <w:rFonts w:ascii="Book Antiqua" w:hAnsi="Book Antiqua"/>
                <w:sz w:val="18"/>
                <w:szCs w:val="18"/>
              </w:rPr>
              <w:t>HPLC-GC/MS-MS</w:t>
            </w:r>
          </w:p>
        </w:tc>
        <w:tc>
          <w:tcPr>
            <w:tcW w:w="1977" w:type="dxa"/>
            <w:tcBorders>
              <w:top w:val="single" w:sz="8" w:space="0" w:color="FFFFFF"/>
              <w:left w:val="single" w:sz="8" w:space="0" w:color="FFFFFF"/>
              <w:bottom w:val="single" w:sz="8" w:space="0" w:color="FFFFFF"/>
              <w:right w:val="single" w:sz="8" w:space="0" w:color="FFFFFF"/>
            </w:tcBorders>
            <w:shd w:val="clear" w:color="auto" w:fill="FFFFFF"/>
            <w:tcMar>
              <w:top w:w="8" w:type="dxa"/>
              <w:left w:w="8" w:type="dxa"/>
              <w:bottom w:w="0" w:type="dxa"/>
              <w:right w:w="8" w:type="dxa"/>
            </w:tcMar>
            <w:vAlign w:val="center"/>
            <w:hideMark/>
          </w:tcPr>
          <w:p w14:paraId="0322861D" w14:textId="77777777" w:rsidR="008B776C" w:rsidRPr="00A24F56" w:rsidRDefault="008B776C" w:rsidP="00DB7074">
            <w:pPr>
              <w:snapToGrid w:val="0"/>
              <w:spacing w:after="0" w:line="360" w:lineRule="auto"/>
              <w:jc w:val="both"/>
              <w:rPr>
                <w:rFonts w:ascii="Book Antiqua" w:hAnsi="Book Antiqua"/>
                <w:sz w:val="18"/>
                <w:szCs w:val="18"/>
              </w:rPr>
            </w:pPr>
            <w:r w:rsidRPr="00A24F56">
              <w:rPr>
                <w:rFonts w:ascii="Book Antiqua" w:hAnsi="Book Antiqua"/>
                <w:sz w:val="18"/>
                <w:szCs w:val="18"/>
              </w:rPr>
              <w:t>[207]</w:t>
            </w:r>
          </w:p>
        </w:tc>
      </w:tr>
      <w:tr w:rsidR="00DB7074" w:rsidRPr="00A24F56" w14:paraId="6A7A2E9C" w14:textId="77777777" w:rsidTr="00A24F56">
        <w:trPr>
          <w:trHeight w:val="881"/>
        </w:trPr>
        <w:tc>
          <w:tcPr>
            <w:tcW w:w="2985" w:type="dxa"/>
            <w:tcBorders>
              <w:top w:val="single" w:sz="8" w:space="0" w:color="FFFFFF"/>
              <w:left w:val="single" w:sz="8" w:space="0" w:color="FFFFFF"/>
              <w:bottom w:val="single" w:sz="8" w:space="0" w:color="FFFFFF"/>
              <w:right w:val="single" w:sz="8" w:space="0" w:color="FFFFFF"/>
            </w:tcBorders>
            <w:shd w:val="clear" w:color="auto" w:fill="FFFFFF"/>
            <w:tcMar>
              <w:top w:w="8" w:type="dxa"/>
              <w:left w:w="8" w:type="dxa"/>
              <w:bottom w:w="0" w:type="dxa"/>
              <w:right w:w="8" w:type="dxa"/>
            </w:tcMar>
            <w:vAlign w:val="center"/>
            <w:hideMark/>
          </w:tcPr>
          <w:p w14:paraId="6204D9CF" w14:textId="3FE65AAC" w:rsidR="008B776C" w:rsidRPr="00A24F56" w:rsidRDefault="008B776C" w:rsidP="00DB7074">
            <w:pPr>
              <w:snapToGrid w:val="0"/>
              <w:spacing w:after="0" w:line="360" w:lineRule="auto"/>
              <w:jc w:val="both"/>
              <w:rPr>
                <w:rFonts w:ascii="Book Antiqua" w:hAnsi="Book Antiqua"/>
                <w:sz w:val="18"/>
                <w:szCs w:val="18"/>
              </w:rPr>
            </w:pPr>
            <w:r w:rsidRPr="00A24F56">
              <w:rPr>
                <w:rFonts w:ascii="Book Antiqua" w:hAnsi="Book Antiqua"/>
                <w:sz w:val="18"/>
                <w:szCs w:val="18"/>
              </w:rPr>
              <w:t>Human f</w:t>
            </w:r>
            <w:r w:rsidR="00A27C1E" w:rsidRPr="00A24F56">
              <w:rPr>
                <w:rFonts w:ascii="Book Antiqua" w:hAnsi="Book Antiqua"/>
                <w:sz w:val="18"/>
                <w:szCs w:val="18"/>
              </w:rPr>
              <w:t>a</w:t>
            </w:r>
            <w:r w:rsidRPr="00A24F56">
              <w:rPr>
                <w:rFonts w:ascii="Book Antiqua" w:hAnsi="Book Antiqua"/>
                <w:sz w:val="18"/>
                <w:szCs w:val="18"/>
              </w:rPr>
              <w:t>eces</w:t>
            </w:r>
          </w:p>
        </w:tc>
        <w:tc>
          <w:tcPr>
            <w:tcW w:w="2835" w:type="dxa"/>
            <w:tcBorders>
              <w:top w:val="single" w:sz="8" w:space="0" w:color="FFFFFF"/>
              <w:left w:val="single" w:sz="8" w:space="0" w:color="FFFFFF"/>
              <w:bottom w:val="single" w:sz="8" w:space="0" w:color="FFFFFF"/>
              <w:right w:val="single" w:sz="8" w:space="0" w:color="FFFFFF"/>
            </w:tcBorders>
            <w:shd w:val="clear" w:color="auto" w:fill="FFFFFF"/>
            <w:tcMar>
              <w:top w:w="8" w:type="dxa"/>
              <w:left w:w="8" w:type="dxa"/>
              <w:bottom w:w="0" w:type="dxa"/>
              <w:right w:w="8" w:type="dxa"/>
            </w:tcMar>
            <w:vAlign w:val="center"/>
            <w:hideMark/>
          </w:tcPr>
          <w:p w14:paraId="6F24CEDC" w14:textId="77777777" w:rsidR="008B776C" w:rsidRPr="00A24F56" w:rsidRDefault="008B776C" w:rsidP="00DB7074">
            <w:pPr>
              <w:snapToGrid w:val="0"/>
              <w:spacing w:after="0" w:line="360" w:lineRule="auto"/>
              <w:jc w:val="both"/>
              <w:rPr>
                <w:rFonts w:ascii="Book Antiqua" w:hAnsi="Book Antiqua"/>
                <w:sz w:val="18"/>
                <w:szCs w:val="18"/>
                <w:lang w:val="en-US"/>
              </w:rPr>
            </w:pPr>
            <w:r w:rsidRPr="00A24F56">
              <w:rPr>
                <w:rFonts w:ascii="Book Antiqua" w:hAnsi="Book Antiqua"/>
                <w:sz w:val="18"/>
                <w:szCs w:val="18"/>
                <w:lang w:val="en-US"/>
              </w:rPr>
              <w:t>31 CRC,</w:t>
            </w:r>
          </w:p>
          <w:p w14:paraId="7220C701" w14:textId="77777777" w:rsidR="008B776C" w:rsidRPr="00A24F56" w:rsidRDefault="008B776C" w:rsidP="00DB7074">
            <w:pPr>
              <w:snapToGrid w:val="0"/>
              <w:spacing w:after="0" w:line="360" w:lineRule="auto"/>
              <w:jc w:val="both"/>
              <w:rPr>
                <w:rFonts w:ascii="Book Antiqua" w:hAnsi="Book Antiqua"/>
                <w:sz w:val="18"/>
                <w:szCs w:val="18"/>
                <w:lang w:val="en-US"/>
              </w:rPr>
            </w:pPr>
            <w:r w:rsidRPr="00A24F56">
              <w:rPr>
                <w:rFonts w:ascii="Book Antiqua" w:hAnsi="Book Antiqua"/>
                <w:sz w:val="18"/>
                <w:szCs w:val="18"/>
                <w:lang w:val="en-US"/>
              </w:rPr>
              <w:t>31 controls with positive FOBT</w:t>
            </w:r>
          </w:p>
        </w:tc>
        <w:tc>
          <w:tcPr>
            <w:tcW w:w="6458" w:type="dxa"/>
            <w:tcBorders>
              <w:top w:val="single" w:sz="8" w:space="0" w:color="FFFFFF"/>
              <w:left w:val="single" w:sz="8" w:space="0" w:color="FFFFFF"/>
              <w:bottom w:val="single" w:sz="8" w:space="0" w:color="FFFFFF"/>
              <w:right w:val="single" w:sz="8" w:space="0" w:color="FFFFFF"/>
            </w:tcBorders>
            <w:shd w:val="clear" w:color="auto" w:fill="FFFFFF"/>
            <w:tcMar>
              <w:top w:w="8" w:type="dxa"/>
              <w:left w:w="8" w:type="dxa"/>
              <w:bottom w:w="0" w:type="dxa"/>
              <w:right w:w="8" w:type="dxa"/>
            </w:tcMar>
            <w:vAlign w:val="center"/>
            <w:hideMark/>
          </w:tcPr>
          <w:p w14:paraId="6E7F5F95" w14:textId="77777777" w:rsidR="008B776C" w:rsidRPr="00A24F56" w:rsidRDefault="008B776C" w:rsidP="00DB7074">
            <w:pPr>
              <w:snapToGrid w:val="0"/>
              <w:spacing w:after="0" w:line="360" w:lineRule="auto"/>
              <w:jc w:val="both"/>
              <w:rPr>
                <w:rFonts w:ascii="Book Antiqua" w:hAnsi="Book Antiqua"/>
                <w:sz w:val="18"/>
                <w:szCs w:val="18"/>
                <w:lang w:val="en-US"/>
              </w:rPr>
            </w:pPr>
            <w:r w:rsidRPr="00A24F56">
              <w:rPr>
                <w:rFonts w:ascii="Book Antiqua" w:hAnsi="Book Antiqua"/>
                <w:sz w:val="18"/>
                <w:szCs w:val="18"/>
                <w:lang w:val="en-US"/>
              </w:rPr>
              <w:t>Discrimination of CRC samples with better specificity and sensitivity than FOBT.</w:t>
            </w:r>
          </w:p>
          <w:p w14:paraId="2782B876" w14:textId="77777777" w:rsidR="008B776C" w:rsidRPr="00A24F56" w:rsidRDefault="008B776C" w:rsidP="00DB7074">
            <w:pPr>
              <w:snapToGrid w:val="0"/>
              <w:spacing w:after="0" w:line="360" w:lineRule="auto"/>
              <w:jc w:val="both"/>
              <w:rPr>
                <w:rFonts w:ascii="Book Antiqua" w:hAnsi="Book Antiqua"/>
                <w:sz w:val="18"/>
                <w:szCs w:val="18"/>
              </w:rPr>
            </w:pPr>
            <w:r w:rsidRPr="00A24F56">
              <w:rPr>
                <w:rFonts w:ascii="Book Antiqua" w:hAnsi="Book Antiqua"/>
                <w:sz w:val="18"/>
                <w:szCs w:val="18"/>
              </w:rPr>
              <w:t>(</w:t>
            </w:r>
            <w:r w:rsidRPr="00A24F56">
              <w:rPr>
                <w:rFonts w:ascii="SimSun" w:eastAsia="SimSun" w:hAnsi="SimSun" w:cs="SimSun" w:hint="eastAsia"/>
                <w:sz w:val="18"/>
                <w:szCs w:val="18"/>
              </w:rPr>
              <w:t>↗</w:t>
            </w:r>
            <w:r w:rsidRPr="00A24F56">
              <w:rPr>
                <w:rFonts w:ascii="Book Antiqua" w:hAnsi="Book Antiqua"/>
                <w:sz w:val="18"/>
                <w:szCs w:val="18"/>
              </w:rPr>
              <w:t>)  ammonia, sulfides, acetaldehyde</w:t>
            </w:r>
          </w:p>
        </w:tc>
        <w:tc>
          <w:tcPr>
            <w:tcW w:w="2047" w:type="dxa"/>
            <w:tcBorders>
              <w:top w:val="single" w:sz="8" w:space="0" w:color="FFFFFF"/>
              <w:left w:val="single" w:sz="8" w:space="0" w:color="FFFFFF"/>
              <w:bottom w:val="single" w:sz="8" w:space="0" w:color="FFFFFF"/>
              <w:right w:val="single" w:sz="8" w:space="0" w:color="FFFFFF"/>
            </w:tcBorders>
            <w:shd w:val="clear" w:color="auto" w:fill="FFFFFF"/>
            <w:tcMar>
              <w:top w:w="8" w:type="dxa"/>
              <w:left w:w="8" w:type="dxa"/>
              <w:bottom w:w="0" w:type="dxa"/>
              <w:right w:w="8" w:type="dxa"/>
            </w:tcMar>
            <w:vAlign w:val="center"/>
            <w:hideMark/>
          </w:tcPr>
          <w:p w14:paraId="5CEB5EE8" w14:textId="77777777" w:rsidR="008B776C" w:rsidRPr="00A24F56" w:rsidRDefault="008B776C" w:rsidP="00DB7074">
            <w:pPr>
              <w:snapToGrid w:val="0"/>
              <w:spacing w:after="0" w:line="360" w:lineRule="auto"/>
              <w:jc w:val="both"/>
              <w:rPr>
                <w:rFonts w:ascii="Book Antiqua" w:hAnsi="Book Antiqua"/>
                <w:sz w:val="18"/>
                <w:szCs w:val="18"/>
              </w:rPr>
            </w:pPr>
            <w:r w:rsidRPr="00A24F56">
              <w:rPr>
                <w:rFonts w:ascii="Book Antiqua" w:hAnsi="Book Antiqua"/>
                <w:sz w:val="18"/>
                <w:szCs w:val="18"/>
              </w:rPr>
              <w:t>SIFT-MS</w:t>
            </w:r>
          </w:p>
        </w:tc>
        <w:tc>
          <w:tcPr>
            <w:tcW w:w="1977" w:type="dxa"/>
            <w:tcBorders>
              <w:top w:val="single" w:sz="8" w:space="0" w:color="FFFFFF"/>
              <w:left w:val="single" w:sz="8" w:space="0" w:color="FFFFFF"/>
              <w:bottom w:val="single" w:sz="8" w:space="0" w:color="FFFFFF"/>
              <w:right w:val="single" w:sz="8" w:space="0" w:color="FFFFFF"/>
            </w:tcBorders>
            <w:shd w:val="clear" w:color="auto" w:fill="FFFFFF"/>
            <w:tcMar>
              <w:top w:w="8" w:type="dxa"/>
              <w:left w:w="8" w:type="dxa"/>
              <w:bottom w:w="0" w:type="dxa"/>
              <w:right w:w="8" w:type="dxa"/>
            </w:tcMar>
            <w:vAlign w:val="center"/>
            <w:hideMark/>
          </w:tcPr>
          <w:p w14:paraId="4CA4D487" w14:textId="77777777" w:rsidR="008B776C" w:rsidRPr="00A24F56" w:rsidRDefault="008B776C" w:rsidP="00DB7074">
            <w:pPr>
              <w:snapToGrid w:val="0"/>
              <w:spacing w:after="0" w:line="360" w:lineRule="auto"/>
              <w:jc w:val="both"/>
              <w:rPr>
                <w:rFonts w:ascii="Book Antiqua" w:hAnsi="Book Antiqua"/>
                <w:sz w:val="18"/>
                <w:szCs w:val="18"/>
              </w:rPr>
            </w:pPr>
            <w:r w:rsidRPr="00A24F56">
              <w:rPr>
                <w:rFonts w:ascii="Book Antiqua" w:hAnsi="Book Antiqua"/>
                <w:sz w:val="18"/>
                <w:szCs w:val="18"/>
              </w:rPr>
              <w:t>[210]</w:t>
            </w:r>
          </w:p>
        </w:tc>
      </w:tr>
      <w:tr w:rsidR="00DB7074" w:rsidRPr="00A24F56" w14:paraId="333559FC" w14:textId="77777777" w:rsidTr="00A24F56">
        <w:trPr>
          <w:trHeight w:val="922"/>
        </w:trPr>
        <w:tc>
          <w:tcPr>
            <w:tcW w:w="2985" w:type="dxa"/>
            <w:tcBorders>
              <w:top w:val="single" w:sz="8" w:space="0" w:color="FFFFFF"/>
              <w:left w:val="single" w:sz="8" w:space="0" w:color="FFFFFF"/>
              <w:bottom w:val="single" w:sz="8" w:space="0" w:color="FFFFFF"/>
              <w:right w:val="single" w:sz="8" w:space="0" w:color="FFFFFF"/>
            </w:tcBorders>
            <w:shd w:val="clear" w:color="auto" w:fill="FFFFFF"/>
            <w:tcMar>
              <w:top w:w="8" w:type="dxa"/>
              <w:left w:w="8" w:type="dxa"/>
              <w:bottom w:w="0" w:type="dxa"/>
              <w:right w:w="8" w:type="dxa"/>
            </w:tcMar>
            <w:vAlign w:val="center"/>
            <w:hideMark/>
          </w:tcPr>
          <w:p w14:paraId="6C5B0244" w14:textId="03313C4C" w:rsidR="008B776C" w:rsidRPr="00A24F56" w:rsidRDefault="008B776C" w:rsidP="00DB7074">
            <w:pPr>
              <w:snapToGrid w:val="0"/>
              <w:spacing w:after="0" w:line="360" w:lineRule="auto"/>
              <w:jc w:val="both"/>
              <w:rPr>
                <w:rFonts w:ascii="Book Antiqua" w:hAnsi="Book Antiqua"/>
                <w:sz w:val="18"/>
                <w:szCs w:val="18"/>
              </w:rPr>
            </w:pPr>
            <w:r w:rsidRPr="00A24F56">
              <w:rPr>
                <w:rFonts w:ascii="Book Antiqua" w:hAnsi="Book Antiqua"/>
                <w:sz w:val="18"/>
                <w:szCs w:val="18"/>
              </w:rPr>
              <w:lastRenderedPageBreak/>
              <w:t>Lyophilized human f</w:t>
            </w:r>
            <w:r w:rsidR="00A27C1E" w:rsidRPr="00A24F56">
              <w:rPr>
                <w:rFonts w:ascii="Book Antiqua" w:hAnsi="Book Antiqua"/>
                <w:sz w:val="18"/>
                <w:szCs w:val="18"/>
              </w:rPr>
              <w:t>a</w:t>
            </w:r>
            <w:r w:rsidRPr="00A24F56">
              <w:rPr>
                <w:rFonts w:ascii="Book Antiqua" w:hAnsi="Book Antiqua"/>
                <w:sz w:val="18"/>
                <w:szCs w:val="18"/>
              </w:rPr>
              <w:t>eces</w:t>
            </w:r>
          </w:p>
        </w:tc>
        <w:tc>
          <w:tcPr>
            <w:tcW w:w="2835" w:type="dxa"/>
            <w:tcBorders>
              <w:top w:val="single" w:sz="8" w:space="0" w:color="FFFFFF"/>
              <w:left w:val="single" w:sz="8" w:space="0" w:color="FFFFFF"/>
              <w:bottom w:val="single" w:sz="8" w:space="0" w:color="FFFFFF"/>
              <w:right w:val="single" w:sz="8" w:space="0" w:color="FFFFFF"/>
            </w:tcBorders>
            <w:shd w:val="clear" w:color="auto" w:fill="FFFFFF"/>
            <w:tcMar>
              <w:top w:w="8" w:type="dxa"/>
              <w:left w:w="8" w:type="dxa"/>
              <w:bottom w:w="0" w:type="dxa"/>
              <w:right w:w="8" w:type="dxa"/>
            </w:tcMar>
            <w:vAlign w:val="center"/>
            <w:hideMark/>
          </w:tcPr>
          <w:p w14:paraId="7A72E49C" w14:textId="77777777" w:rsidR="008B776C" w:rsidRPr="00A24F56" w:rsidRDefault="008B776C" w:rsidP="00DB7074">
            <w:pPr>
              <w:snapToGrid w:val="0"/>
              <w:spacing w:after="0" w:line="360" w:lineRule="auto"/>
              <w:jc w:val="both"/>
              <w:rPr>
                <w:rFonts w:ascii="Book Antiqua" w:hAnsi="Book Antiqua"/>
                <w:sz w:val="18"/>
                <w:szCs w:val="18"/>
              </w:rPr>
            </w:pPr>
            <w:r w:rsidRPr="00A24F56">
              <w:rPr>
                <w:rFonts w:ascii="Book Antiqua" w:hAnsi="Book Antiqua"/>
                <w:sz w:val="18"/>
                <w:szCs w:val="18"/>
                <w:lang w:val="en-US"/>
              </w:rPr>
              <w:t>42 CRC,</w:t>
            </w:r>
          </w:p>
          <w:p w14:paraId="24B922E5" w14:textId="77777777" w:rsidR="008B776C" w:rsidRPr="00A24F56" w:rsidRDefault="008B776C" w:rsidP="00DB7074">
            <w:pPr>
              <w:snapToGrid w:val="0"/>
              <w:spacing w:after="0" w:line="360" w:lineRule="auto"/>
              <w:jc w:val="both"/>
              <w:rPr>
                <w:rFonts w:ascii="Book Antiqua" w:hAnsi="Book Antiqua"/>
                <w:sz w:val="18"/>
                <w:szCs w:val="18"/>
              </w:rPr>
            </w:pPr>
            <w:r w:rsidRPr="00A24F56">
              <w:rPr>
                <w:rFonts w:ascii="Book Antiqua" w:hAnsi="Book Antiqua"/>
                <w:sz w:val="18"/>
                <w:szCs w:val="18"/>
                <w:lang w:val="en-US"/>
              </w:rPr>
              <w:t>89 healthy controls</w:t>
            </w:r>
          </w:p>
        </w:tc>
        <w:tc>
          <w:tcPr>
            <w:tcW w:w="6458" w:type="dxa"/>
            <w:tcBorders>
              <w:top w:val="single" w:sz="8" w:space="0" w:color="FFFFFF"/>
              <w:left w:val="single" w:sz="8" w:space="0" w:color="FFFFFF"/>
              <w:bottom w:val="single" w:sz="8" w:space="0" w:color="FFFFFF"/>
              <w:right w:val="single" w:sz="8" w:space="0" w:color="FFFFFF"/>
            </w:tcBorders>
            <w:shd w:val="clear" w:color="auto" w:fill="FFFFFF"/>
            <w:tcMar>
              <w:top w:w="8" w:type="dxa"/>
              <w:left w:w="8" w:type="dxa"/>
              <w:bottom w:w="0" w:type="dxa"/>
              <w:right w:w="8" w:type="dxa"/>
            </w:tcMar>
            <w:vAlign w:val="center"/>
            <w:hideMark/>
          </w:tcPr>
          <w:p w14:paraId="6D7C6628" w14:textId="77777777" w:rsidR="008B776C" w:rsidRPr="00A24F56" w:rsidRDefault="008B776C" w:rsidP="00DB7074">
            <w:pPr>
              <w:snapToGrid w:val="0"/>
              <w:spacing w:after="0" w:line="360" w:lineRule="auto"/>
              <w:jc w:val="both"/>
              <w:rPr>
                <w:rFonts w:ascii="Book Antiqua" w:hAnsi="Book Antiqua"/>
                <w:sz w:val="18"/>
                <w:szCs w:val="18"/>
                <w:lang w:val="en-US"/>
              </w:rPr>
            </w:pPr>
            <w:r w:rsidRPr="00A24F56">
              <w:rPr>
                <w:rFonts w:ascii="Book Antiqua" w:hAnsi="Book Antiqua"/>
                <w:sz w:val="18"/>
                <w:szCs w:val="18"/>
                <w:lang w:val="en-US"/>
              </w:rPr>
              <w:t>Microbe-metabolite correlation in CRC</w:t>
            </w:r>
            <w:proofErr w:type="gramStart"/>
            <w:r w:rsidRPr="00A24F56">
              <w:rPr>
                <w:rFonts w:ascii="Book Antiqua" w:hAnsi="Book Antiqua"/>
                <w:sz w:val="18"/>
                <w:szCs w:val="18"/>
                <w:lang w:val="en-US"/>
              </w:rPr>
              <w:t>:</w:t>
            </w:r>
            <w:proofErr w:type="gramEnd"/>
            <w:r w:rsidRPr="00A24F56">
              <w:rPr>
                <w:rFonts w:ascii="Book Antiqua" w:hAnsi="Book Antiqua"/>
                <w:sz w:val="18"/>
                <w:szCs w:val="18"/>
                <w:lang w:val="en-US"/>
              </w:rPr>
              <w:br/>
              <w:t>(</w:t>
            </w:r>
            <w:r w:rsidRPr="00A24F56">
              <w:rPr>
                <w:rFonts w:ascii="SimSun" w:eastAsia="SimSun" w:hAnsi="SimSun" w:cs="SimSun" w:hint="eastAsia"/>
                <w:sz w:val="18"/>
                <w:szCs w:val="18"/>
                <w:lang w:val="en-US"/>
              </w:rPr>
              <w:t>↘</w:t>
            </w:r>
            <w:r w:rsidRPr="00A24F56">
              <w:rPr>
                <w:rFonts w:ascii="Book Antiqua" w:hAnsi="Book Antiqua"/>
                <w:sz w:val="18"/>
                <w:szCs w:val="18"/>
                <w:lang w:val="en-US"/>
              </w:rPr>
              <w:t xml:space="preserve">) </w:t>
            </w:r>
            <w:r w:rsidRPr="00A24F56">
              <w:rPr>
                <w:rFonts w:ascii="Book Antiqua" w:hAnsi="Book Antiqua"/>
                <w:i/>
                <w:iCs/>
                <w:sz w:val="18"/>
                <w:szCs w:val="18"/>
                <w:lang w:val="en-US"/>
              </w:rPr>
              <w:t>Clostridia</w:t>
            </w:r>
            <w:r w:rsidRPr="00A24F56">
              <w:rPr>
                <w:rFonts w:ascii="Book Antiqua" w:hAnsi="Book Antiqua"/>
                <w:sz w:val="18"/>
                <w:szCs w:val="18"/>
                <w:lang w:val="en-US"/>
              </w:rPr>
              <w:t xml:space="preserve">, </w:t>
            </w:r>
            <w:r w:rsidRPr="00A24F56">
              <w:rPr>
                <w:rFonts w:ascii="Book Antiqua" w:hAnsi="Book Antiqua"/>
                <w:i/>
                <w:iCs/>
                <w:sz w:val="18"/>
                <w:szCs w:val="18"/>
                <w:lang w:val="en-US"/>
              </w:rPr>
              <w:t>Lachnospiraceae</w:t>
            </w:r>
            <w:r w:rsidRPr="00A24F56">
              <w:rPr>
                <w:rFonts w:ascii="Book Antiqua" w:hAnsi="Book Antiqua"/>
                <w:sz w:val="18"/>
                <w:szCs w:val="18"/>
                <w:lang w:val="en-US"/>
              </w:rPr>
              <w:t xml:space="preserve">, </w:t>
            </w:r>
            <w:r w:rsidRPr="00A24F56">
              <w:rPr>
                <w:rFonts w:ascii="Book Antiqua" w:hAnsi="Book Antiqua"/>
                <w:i/>
                <w:iCs/>
                <w:sz w:val="18"/>
                <w:szCs w:val="18"/>
                <w:lang w:val="en-US"/>
              </w:rPr>
              <w:t>p</w:t>
            </w:r>
            <w:r w:rsidRPr="00A24F56">
              <w:rPr>
                <w:rFonts w:ascii="Book Antiqua" w:hAnsi="Book Antiqua"/>
                <w:sz w:val="18"/>
                <w:szCs w:val="18"/>
                <w:lang w:val="en-US"/>
              </w:rPr>
              <w:t>-aminobenzoate and conjugated linoleate.</w:t>
            </w:r>
          </w:p>
          <w:p w14:paraId="58680ADC" w14:textId="77777777" w:rsidR="008B776C" w:rsidRPr="00A24F56" w:rsidRDefault="008B776C" w:rsidP="00DB7074">
            <w:pPr>
              <w:snapToGrid w:val="0"/>
              <w:spacing w:after="0" w:line="360" w:lineRule="auto"/>
              <w:jc w:val="both"/>
              <w:rPr>
                <w:rFonts w:ascii="Book Antiqua" w:hAnsi="Book Antiqua"/>
                <w:sz w:val="18"/>
                <w:szCs w:val="18"/>
                <w:lang w:val="en-US"/>
              </w:rPr>
            </w:pPr>
            <w:r w:rsidRPr="00A24F56">
              <w:rPr>
                <w:rFonts w:ascii="Book Antiqua" w:hAnsi="Book Antiqua"/>
                <w:sz w:val="18"/>
                <w:szCs w:val="18"/>
                <w:lang w:val="en-US"/>
              </w:rPr>
              <w:t>(</w:t>
            </w:r>
            <w:r w:rsidRPr="00A24F56">
              <w:rPr>
                <w:rFonts w:ascii="SimSun" w:eastAsia="SimSun" w:hAnsi="SimSun" w:cs="SimSun" w:hint="eastAsia"/>
                <w:sz w:val="18"/>
                <w:szCs w:val="18"/>
                <w:lang w:val="en-US"/>
              </w:rPr>
              <w:t>↗</w:t>
            </w:r>
            <w:r w:rsidRPr="00A24F56">
              <w:rPr>
                <w:rFonts w:ascii="Book Antiqua" w:hAnsi="Book Antiqua"/>
                <w:sz w:val="18"/>
                <w:szCs w:val="18"/>
                <w:lang w:val="en-US"/>
              </w:rPr>
              <w:t xml:space="preserve">) </w:t>
            </w:r>
            <w:r w:rsidRPr="00A24F56">
              <w:rPr>
                <w:rFonts w:ascii="Book Antiqua" w:hAnsi="Book Antiqua"/>
                <w:i/>
                <w:iCs/>
                <w:sz w:val="18"/>
                <w:szCs w:val="18"/>
                <w:lang w:val="en-US"/>
              </w:rPr>
              <w:t>Fusobacterium</w:t>
            </w:r>
            <w:r w:rsidRPr="00A24F56">
              <w:rPr>
                <w:rFonts w:ascii="Book Antiqua" w:hAnsi="Book Antiqua"/>
                <w:sz w:val="18"/>
                <w:szCs w:val="18"/>
                <w:lang w:val="en-US"/>
              </w:rPr>
              <w:t xml:space="preserve">, </w:t>
            </w:r>
            <w:r w:rsidRPr="00A24F56">
              <w:rPr>
                <w:rFonts w:ascii="Book Antiqua" w:hAnsi="Book Antiqua"/>
                <w:i/>
                <w:iCs/>
                <w:sz w:val="18"/>
                <w:szCs w:val="18"/>
                <w:lang w:val="en-US"/>
              </w:rPr>
              <w:t>Porphyromonas</w:t>
            </w:r>
            <w:r w:rsidRPr="00A24F56">
              <w:rPr>
                <w:rFonts w:ascii="Book Antiqua" w:hAnsi="Book Antiqua"/>
                <w:sz w:val="18"/>
                <w:szCs w:val="18"/>
                <w:lang w:val="en-US"/>
              </w:rPr>
              <w:t xml:space="preserve">, </w:t>
            </w:r>
            <w:r w:rsidRPr="00A24F56">
              <w:rPr>
                <w:rFonts w:ascii="Book Antiqua" w:hAnsi="Book Antiqua"/>
                <w:i/>
                <w:iCs/>
                <w:sz w:val="18"/>
                <w:szCs w:val="18"/>
                <w:lang w:val="en-US"/>
              </w:rPr>
              <w:t>p</w:t>
            </w:r>
            <w:r w:rsidRPr="00A24F56">
              <w:rPr>
                <w:rFonts w:ascii="Book Antiqua" w:hAnsi="Book Antiqua"/>
                <w:sz w:val="18"/>
                <w:szCs w:val="18"/>
                <w:lang w:val="en-US"/>
              </w:rPr>
              <w:t>-hydroxy-benzaldehyde, and palmitoyl-sphingomyelin.</w:t>
            </w:r>
          </w:p>
        </w:tc>
        <w:tc>
          <w:tcPr>
            <w:tcW w:w="2047" w:type="dxa"/>
            <w:tcBorders>
              <w:top w:val="single" w:sz="8" w:space="0" w:color="FFFFFF"/>
              <w:left w:val="single" w:sz="8" w:space="0" w:color="FFFFFF"/>
              <w:bottom w:val="single" w:sz="8" w:space="0" w:color="FFFFFF"/>
              <w:right w:val="single" w:sz="8" w:space="0" w:color="FFFFFF"/>
            </w:tcBorders>
            <w:shd w:val="clear" w:color="auto" w:fill="FFFFFF"/>
            <w:tcMar>
              <w:top w:w="8" w:type="dxa"/>
              <w:left w:w="8" w:type="dxa"/>
              <w:bottom w:w="0" w:type="dxa"/>
              <w:right w:w="8" w:type="dxa"/>
            </w:tcMar>
            <w:vAlign w:val="center"/>
            <w:hideMark/>
          </w:tcPr>
          <w:p w14:paraId="2A757D5A" w14:textId="77777777" w:rsidR="008B776C" w:rsidRPr="00A24F56" w:rsidRDefault="008B776C" w:rsidP="00DB7074">
            <w:pPr>
              <w:snapToGrid w:val="0"/>
              <w:spacing w:after="0" w:line="360" w:lineRule="auto"/>
              <w:jc w:val="both"/>
              <w:rPr>
                <w:rFonts w:ascii="Book Antiqua" w:hAnsi="Book Antiqua"/>
                <w:sz w:val="18"/>
                <w:szCs w:val="18"/>
              </w:rPr>
            </w:pPr>
            <w:r w:rsidRPr="00A24F56">
              <w:rPr>
                <w:rFonts w:ascii="Book Antiqua" w:hAnsi="Book Antiqua"/>
                <w:sz w:val="18"/>
                <w:szCs w:val="18"/>
              </w:rPr>
              <w:t>HPLC-GC/MS-MS</w:t>
            </w:r>
          </w:p>
        </w:tc>
        <w:tc>
          <w:tcPr>
            <w:tcW w:w="1977" w:type="dxa"/>
            <w:tcBorders>
              <w:top w:val="single" w:sz="8" w:space="0" w:color="FFFFFF"/>
              <w:left w:val="single" w:sz="8" w:space="0" w:color="FFFFFF"/>
              <w:bottom w:val="single" w:sz="8" w:space="0" w:color="FFFFFF"/>
              <w:right w:val="single" w:sz="8" w:space="0" w:color="FFFFFF"/>
            </w:tcBorders>
            <w:shd w:val="clear" w:color="auto" w:fill="FFFFFF"/>
            <w:tcMar>
              <w:top w:w="8" w:type="dxa"/>
              <w:left w:w="8" w:type="dxa"/>
              <w:bottom w:w="0" w:type="dxa"/>
              <w:right w:w="8" w:type="dxa"/>
            </w:tcMar>
            <w:vAlign w:val="center"/>
            <w:hideMark/>
          </w:tcPr>
          <w:p w14:paraId="7856C0F4" w14:textId="77777777" w:rsidR="008B776C" w:rsidRPr="00A24F56" w:rsidRDefault="008B776C" w:rsidP="00DB7074">
            <w:pPr>
              <w:snapToGrid w:val="0"/>
              <w:spacing w:after="0" w:line="360" w:lineRule="auto"/>
              <w:jc w:val="both"/>
              <w:rPr>
                <w:rFonts w:ascii="Book Antiqua" w:hAnsi="Book Antiqua"/>
                <w:sz w:val="18"/>
                <w:szCs w:val="18"/>
              </w:rPr>
            </w:pPr>
            <w:r w:rsidRPr="00A24F56">
              <w:rPr>
                <w:rFonts w:ascii="Book Antiqua" w:hAnsi="Book Antiqua"/>
                <w:sz w:val="18"/>
                <w:szCs w:val="18"/>
              </w:rPr>
              <w:t>[211]</w:t>
            </w:r>
          </w:p>
        </w:tc>
      </w:tr>
      <w:tr w:rsidR="00DB7074" w:rsidRPr="00A24F56" w14:paraId="491BF01A" w14:textId="77777777" w:rsidTr="00A24F56">
        <w:trPr>
          <w:trHeight w:val="1314"/>
        </w:trPr>
        <w:tc>
          <w:tcPr>
            <w:tcW w:w="2985" w:type="dxa"/>
            <w:tcBorders>
              <w:top w:val="single" w:sz="8" w:space="0" w:color="FFFFFF"/>
              <w:left w:val="single" w:sz="8" w:space="0" w:color="FFFFFF"/>
              <w:bottom w:val="single" w:sz="8" w:space="0" w:color="000000"/>
              <w:right w:val="single" w:sz="8" w:space="0" w:color="FFFFFF"/>
            </w:tcBorders>
            <w:shd w:val="clear" w:color="auto" w:fill="FFFFFF"/>
            <w:tcMar>
              <w:top w:w="8" w:type="dxa"/>
              <w:left w:w="8" w:type="dxa"/>
              <w:bottom w:w="0" w:type="dxa"/>
              <w:right w:w="8" w:type="dxa"/>
            </w:tcMar>
            <w:vAlign w:val="center"/>
            <w:hideMark/>
          </w:tcPr>
          <w:p w14:paraId="20C9F071" w14:textId="12E2F1D9" w:rsidR="008B776C" w:rsidRPr="00A24F56" w:rsidRDefault="008B776C" w:rsidP="00DB7074">
            <w:pPr>
              <w:snapToGrid w:val="0"/>
              <w:spacing w:after="0" w:line="360" w:lineRule="auto"/>
              <w:jc w:val="both"/>
              <w:rPr>
                <w:rFonts w:ascii="Book Antiqua" w:hAnsi="Book Antiqua"/>
                <w:sz w:val="18"/>
                <w:szCs w:val="18"/>
              </w:rPr>
            </w:pPr>
            <w:r w:rsidRPr="00A24F56">
              <w:rPr>
                <w:rFonts w:ascii="Book Antiqua" w:hAnsi="Book Antiqua"/>
                <w:sz w:val="18"/>
                <w:szCs w:val="18"/>
              </w:rPr>
              <w:t>Human f</w:t>
            </w:r>
            <w:r w:rsidR="00A27C1E" w:rsidRPr="00A24F56">
              <w:rPr>
                <w:rFonts w:ascii="Book Antiqua" w:hAnsi="Book Antiqua"/>
                <w:sz w:val="18"/>
                <w:szCs w:val="18"/>
              </w:rPr>
              <w:t>a</w:t>
            </w:r>
            <w:r w:rsidRPr="00A24F56">
              <w:rPr>
                <w:rFonts w:ascii="Book Antiqua" w:hAnsi="Book Antiqua"/>
                <w:sz w:val="18"/>
                <w:szCs w:val="18"/>
              </w:rPr>
              <w:t>eces</w:t>
            </w:r>
          </w:p>
        </w:tc>
        <w:tc>
          <w:tcPr>
            <w:tcW w:w="2835" w:type="dxa"/>
            <w:tcBorders>
              <w:top w:val="single" w:sz="8" w:space="0" w:color="FFFFFF"/>
              <w:left w:val="single" w:sz="8" w:space="0" w:color="FFFFFF"/>
              <w:bottom w:val="single" w:sz="8" w:space="0" w:color="000000"/>
              <w:right w:val="single" w:sz="8" w:space="0" w:color="FFFFFF"/>
            </w:tcBorders>
            <w:shd w:val="clear" w:color="auto" w:fill="FFFFFF"/>
            <w:tcMar>
              <w:top w:w="8" w:type="dxa"/>
              <w:left w:w="8" w:type="dxa"/>
              <w:bottom w:w="0" w:type="dxa"/>
              <w:right w:w="8" w:type="dxa"/>
            </w:tcMar>
            <w:vAlign w:val="center"/>
            <w:hideMark/>
          </w:tcPr>
          <w:p w14:paraId="7E19D4FF" w14:textId="77777777" w:rsidR="008B776C" w:rsidRPr="00A24F56" w:rsidRDefault="008B776C" w:rsidP="00DB7074">
            <w:pPr>
              <w:snapToGrid w:val="0"/>
              <w:spacing w:after="0" w:line="360" w:lineRule="auto"/>
              <w:jc w:val="both"/>
              <w:rPr>
                <w:rFonts w:ascii="Book Antiqua" w:hAnsi="Book Antiqua"/>
                <w:sz w:val="18"/>
                <w:szCs w:val="18"/>
              </w:rPr>
            </w:pPr>
            <w:r w:rsidRPr="00A24F56">
              <w:rPr>
                <w:rFonts w:ascii="Book Antiqua" w:hAnsi="Book Antiqua"/>
                <w:sz w:val="18"/>
                <w:szCs w:val="18"/>
                <w:lang w:val="en-US"/>
              </w:rPr>
              <w:t>13 CRC</w:t>
            </w:r>
          </w:p>
        </w:tc>
        <w:tc>
          <w:tcPr>
            <w:tcW w:w="6458" w:type="dxa"/>
            <w:tcBorders>
              <w:top w:val="single" w:sz="8" w:space="0" w:color="FFFFFF"/>
              <w:left w:val="single" w:sz="8" w:space="0" w:color="FFFFFF"/>
              <w:bottom w:val="single" w:sz="8" w:space="0" w:color="000000"/>
              <w:right w:val="single" w:sz="8" w:space="0" w:color="FFFFFF"/>
            </w:tcBorders>
            <w:shd w:val="clear" w:color="auto" w:fill="FFFFFF"/>
            <w:tcMar>
              <w:top w:w="8" w:type="dxa"/>
              <w:left w:w="8" w:type="dxa"/>
              <w:bottom w:w="0" w:type="dxa"/>
              <w:right w:w="8" w:type="dxa"/>
            </w:tcMar>
            <w:vAlign w:val="center"/>
            <w:hideMark/>
          </w:tcPr>
          <w:p w14:paraId="400D3273" w14:textId="77777777" w:rsidR="008B776C" w:rsidRPr="00A24F56" w:rsidRDefault="008B776C" w:rsidP="00DB7074">
            <w:pPr>
              <w:snapToGrid w:val="0"/>
              <w:spacing w:after="0" w:line="360" w:lineRule="auto"/>
              <w:jc w:val="both"/>
              <w:rPr>
                <w:rFonts w:ascii="Book Antiqua" w:hAnsi="Book Antiqua"/>
                <w:sz w:val="18"/>
                <w:szCs w:val="18"/>
                <w:lang w:val="en-US"/>
              </w:rPr>
            </w:pPr>
            <w:r w:rsidRPr="00A24F56">
              <w:rPr>
                <w:rFonts w:ascii="Book Antiqua" w:hAnsi="Book Antiqua"/>
                <w:sz w:val="18"/>
                <w:szCs w:val="18"/>
                <w:lang w:val="en-US"/>
              </w:rPr>
              <w:t>Discrimination of CRC samples with 7 metabolites :</w:t>
            </w:r>
          </w:p>
          <w:p w14:paraId="55552A56" w14:textId="77777777" w:rsidR="008B776C" w:rsidRPr="00A24F56" w:rsidRDefault="008B776C" w:rsidP="00DB7074">
            <w:pPr>
              <w:snapToGrid w:val="0"/>
              <w:spacing w:after="0" w:line="360" w:lineRule="auto"/>
              <w:jc w:val="both"/>
              <w:rPr>
                <w:rFonts w:ascii="Book Antiqua" w:hAnsi="Book Antiqua"/>
                <w:sz w:val="18"/>
                <w:szCs w:val="18"/>
              </w:rPr>
            </w:pPr>
            <w:r w:rsidRPr="00A24F56">
              <w:rPr>
                <w:rFonts w:ascii="Book Antiqua" w:hAnsi="Book Antiqua"/>
                <w:sz w:val="18"/>
                <w:szCs w:val="18"/>
              </w:rPr>
              <w:t>alphahydroxyisovalerate, isovalerate, N1-methyl-2-pyridine-5-carboxamide, 7-ketodeoxycholate, deoxycholate, valerate, and tryptophylglycine</w:t>
            </w:r>
          </w:p>
        </w:tc>
        <w:tc>
          <w:tcPr>
            <w:tcW w:w="2047" w:type="dxa"/>
            <w:tcBorders>
              <w:top w:val="single" w:sz="8" w:space="0" w:color="FFFFFF"/>
              <w:left w:val="single" w:sz="8" w:space="0" w:color="FFFFFF"/>
              <w:bottom w:val="single" w:sz="8" w:space="0" w:color="000000"/>
              <w:right w:val="single" w:sz="8" w:space="0" w:color="FFFFFF"/>
            </w:tcBorders>
            <w:shd w:val="clear" w:color="auto" w:fill="FFFFFF"/>
            <w:tcMar>
              <w:top w:w="8" w:type="dxa"/>
              <w:left w:w="8" w:type="dxa"/>
              <w:bottom w:w="0" w:type="dxa"/>
              <w:right w:w="8" w:type="dxa"/>
            </w:tcMar>
            <w:vAlign w:val="center"/>
            <w:hideMark/>
          </w:tcPr>
          <w:p w14:paraId="3F4606CD" w14:textId="77777777" w:rsidR="008B776C" w:rsidRPr="00A24F56" w:rsidRDefault="008B776C" w:rsidP="00DB7074">
            <w:pPr>
              <w:snapToGrid w:val="0"/>
              <w:spacing w:after="0" w:line="360" w:lineRule="auto"/>
              <w:jc w:val="both"/>
              <w:rPr>
                <w:rFonts w:ascii="Book Antiqua" w:hAnsi="Book Antiqua"/>
                <w:sz w:val="18"/>
                <w:szCs w:val="18"/>
                <w:lang w:val="en-US"/>
              </w:rPr>
            </w:pPr>
            <w:r w:rsidRPr="00A24F56">
              <w:rPr>
                <w:rFonts w:ascii="Book Antiqua" w:hAnsi="Book Antiqua"/>
                <w:sz w:val="18"/>
                <w:szCs w:val="18"/>
                <w:lang w:val="en-US"/>
              </w:rPr>
              <w:t>UPLC-MS/MS; GC/MS</w:t>
            </w:r>
          </w:p>
        </w:tc>
        <w:tc>
          <w:tcPr>
            <w:tcW w:w="1977" w:type="dxa"/>
            <w:tcBorders>
              <w:top w:val="single" w:sz="8" w:space="0" w:color="FFFFFF"/>
              <w:left w:val="single" w:sz="8" w:space="0" w:color="FFFFFF"/>
              <w:bottom w:val="single" w:sz="8" w:space="0" w:color="000000"/>
              <w:right w:val="single" w:sz="8" w:space="0" w:color="FFFFFF"/>
            </w:tcBorders>
            <w:shd w:val="clear" w:color="auto" w:fill="FFFFFF"/>
            <w:tcMar>
              <w:top w:w="8" w:type="dxa"/>
              <w:left w:w="8" w:type="dxa"/>
              <w:bottom w:w="0" w:type="dxa"/>
              <w:right w:w="8" w:type="dxa"/>
            </w:tcMar>
            <w:vAlign w:val="center"/>
            <w:hideMark/>
          </w:tcPr>
          <w:p w14:paraId="7C7FACFA" w14:textId="77777777" w:rsidR="008B776C" w:rsidRPr="00A24F56" w:rsidRDefault="008B776C" w:rsidP="00DB7074">
            <w:pPr>
              <w:snapToGrid w:val="0"/>
              <w:spacing w:after="0" w:line="360" w:lineRule="auto"/>
              <w:jc w:val="both"/>
              <w:rPr>
                <w:rFonts w:ascii="Book Antiqua" w:hAnsi="Book Antiqua"/>
                <w:sz w:val="18"/>
                <w:szCs w:val="18"/>
              </w:rPr>
            </w:pPr>
            <w:r w:rsidRPr="00A24F56">
              <w:rPr>
                <w:rFonts w:ascii="Book Antiqua" w:hAnsi="Book Antiqua"/>
                <w:sz w:val="18"/>
                <w:szCs w:val="18"/>
              </w:rPr>
              <w:t>[165]</w:t>
            </w:r>
          </w:p>
        </w:tc>
      </w:tr>
    </w:tbl>
    <w:p w14:paraId="45F1A151" w14:textId="61EBEF57" w:rsidR="004363F2" w:rsidRPr="00DB7074" w:rsidRDefault="004363F2" w:rsidP="004363F2">
      <w:pPr>
        <w:snapToGrid w:val="0"/>
        <w:spacing w:after="0" w:line="360" w:lineRule="auto"/>
        <w:jc w:val="both"/>
        <w:rPr>
          <w:rFonts w:ascii="Book Antiqua" w:hAnsi="Book Antiqua"/>
          <w:sz w:val="24"/>
          <w:szCs w:val="24"/>
          <w:lang w:val="en-US" w:eastAsia="zh-CN"/>
        </w:rPr>
      </w:pPr>
      <w:r>
        <w:rPr>
          <w:rFonts w:ascii="Book Antiqua" w:hAnsi="Book Antiqua"/>
          <w:sz w:val="24"/>
          <w:szCs w:val="24"/>
          <w:lang w:val="en-US"/>
        </w:rPr>
        <w:t>CRC</w:t>
      </w:r>
      <w:r w:rsidRPr="00DB7074">
        <w:rPr>
          <w:rFonts w:ascii="Book Antiqua" w:hAnsi="Book Antiqua"/>
          <w:sz w:val="24"/>
          <w:szCs w:val="24"/>
          <w:lang w:val="en-US"/>
        </w:rPr>
        <w:t xml:space="preserve">: </w:t>
      </w:r>
      <w:r w:rsidRPr="004363F2">
        <w:rPr>
          <w:rFonts w:ascii="Book Antiqua" w:hAnsi="Book Antiqua"/>
          <w:caps/>
          <w:sz w:val="24"/>
          <w:szCs w:val="24"/>
          <w:lang w:val="en-US"/>
        </w:rPr>
        <w:t>c</w:t>
      </w:r>
      <w:r>
        <w:rPr>
          <w:rFonts w:ascii="Book Antiqua" w:hAnsi="Book Antiqua"/>
          <w:sz w:val="24"/>
          <w:szCs w:val="24"/>
          <w:lang w:val="en-US"/>
        </w:rPr>
        <w:t>olorectal cancer; CT</w:t>
      </w:r>
      <w:r w:rsidRPr="00DB7074">
        <w:rPr>
          <w:rFonts w:ascii="Book Antiqua" w:hAnsi="Book Antiqua"/>
          <w:sz w:val="24"/>
          <w:szCs w:val="24"/>
          <w:lang w:val="en-US"/>
        </w:rPr>
        <w:t xml:space="preserve">: Computed tomography; gFOBT: </w:t>
      </w:r>
      <w:r w:rsidRPr="004363F2">
        <w:rPr>
          <w:rFonts w:ascii="Book Antiqua" w:hAnsi="Book Antiqua"/>
          <w:caps/>
          <w:sz w:val="24"/>
          <w:szCs w:val="24"/>
          <w:lang w:val="en-US"/>
        </w:rPr>
        <w:t>g</w:t>
      </w:r>
      <w:r w:rsidRPr="00DB7074">
        <w:rPr>
          <w:rFonts w:ascii="Book Antiqua" w:hAnsi="Book Antiqua"/>
          <w:sz w:val="24"/>
          <w:szCs w:val="24"/>
          <w:lang w:val="en-US"/>
        </w:rPr>
        <w:t>uaiac fecal occult blood test;</w:t>
      </w:r>
      <w:r>
        <w:rPr>
          <w:rFonts w:ascii="Book Antiqua" w:hAnsi="Book Antiqua" w:hint="eastAsia"/>
          <w:sz w:val="24"/>
          <w:szCs w:val="24"/>
          <w:lang w:val="en-US" w:eastAsia="zh-CN"/>
        </w:rPr>
        <w:t xml:space="preserve"> </w:t>
      </w:r>
      <w:r w:rsidRPr="00DB7074">
        <w:rPr>
          <w:rFonts w:ascii="Book Antiqua" w:hAnsi="Book Antiqua" w:cs="Times New Roman"/>
          <w:sz w:val="24"/>
          <w:szCs w:val="24"/>
          <w:lang w:val="en-US"/>
        </w:rPr>
        <w:t xml:space="preserve">NMR: nuclear magnetic resonance; MS: </w:t>
      </w:r>
      <w:r w:rsidRPr="004363F2">
        <w:rPr>
          <w:rFonts w:ascii="Book Antiqua" w:hAnsi="Book Antiqua" w:cs="Times New Roman"/>
          <w:caps/>
          <w:sz w:val="24"/>
          <w:szCs w:val="24"/>
          <w:lang w:val="en-US"/>
        </w:rPr>
        <w:t>m</w:t>
      </w:r>
      <w:r w:rsidRPr="00DB7074">
        <w:rPr>
          <w:rFonts w:ascii="Book Antiqua" w:hAnsi="Book Antiqua" w:cs="Times New Roman"/>
          <w:sz w:val="24"/>
          <w:szCs w:val="24"/>
          <w:lang w:val="en-US"/>
        </w:rPr>
        <w:t>ass spectrometry; GC-MS: Gas chromatography coupled with MS; LC-MS: Liquid chromatography coupled with MS; UPLC: Ultra-performance liquid chromatography; HPLC: High-performance liquid chromatography; TOF: Time of flight;</w:t>
      </w:r>
      <w:r>
        <w:rPr>
          <w:rFonts w:ascii="Book Antiqua" w:hAnsi="Book Antiqua" w:cs="Times New Roman" w:hint="eastAsia"/>
          <w:sz w:val="24"/>
          <w:szCs w:val="24"/>
          <w:lang w:val="en-US" w:eastAsia="zh-CN"/>
        </w:rPr>
        <w:t xml:space="preserve"> </w:t>
      </w:r>
      <w:r w:rsidRPr="00DB7074">
        <w:rPr>
          <w:rFonts w:ascii="Book Antiqua" w:hAnsi="Book Antiqua" w:cs="Times New Roman"/>
          <w:sz w:val="24"/>
          <w:szCs w:val="24"/>
          <w:lang w:val="en-US"/>
        </w:rPr>
        <w:t>VOC:</w:t>
      </w:r>
      <w:r>
        <w:rPr>
          <w:rFonts w:ascii="Book Antiqua" w:hAnsi="Book Antiqua" w:cs="Times New Roman" w:hint="eastAsia"/>
          <w:sz w:val="24"/>
          <w:szCs w:val="24"/>
          <w:lang w:val="en-US" w:eastAsia="zh-CN"/>
        </w:rPr>
        <w:t xml:space="preserve"> </w:t>
      </w:r>
      <w:r w:rsidRPr="004363F2">
        <w:rPr>
          <w:rFonts w:ascii="Book Antiqua" w:hAnsi="Book Antiqua" w:cs="Times New Roman"/>
          <w:caps/>
          <w:sz w:val="24"/>
          <w:szCs w:val="24"/>
          <w:lang w:val="en-US"/>
        </w:rPr>
        <w:t>v</w:t>
      </w:r>
      <w:r w:rsidRPr="00DB7074">
        <w:rPr>
          <w:rFonts w:ascii="Book Antiqua" w:hAnsi="Book Antiqua" w:cs="Times New Roman"/>
          <w:sz w:val="24"/>
          <w:szCs w:val="24"/>
          <w:lang w:val="en-US"/>
        </w:rPr>
        <w:t xml:space="preserve">olatile organic compounds; SIFT-MS: </w:t>
      </w:r>
      <w:r w:rsidRPr="004363F2">
        <w:rPr>
          <w:rFonts w:ascii="Book Antiqua" w:hAnsi="Book Antiqua" w:cs="Times New Roman"/>
          <w:caps/>
          <w:sz w:val="24"/>
          <w:szCs w:val="24"/>
          <w:lang w:val="en-US"/>
        </w:rPr>
        <w:t>s</w:t>
      </w:r>
      <w:r w:rsidRPr="00DB7074">
        <w:rPr>
          <w:rFonts w:ascii="Book Antiqua" w:hAnsi="Book Antiqua" w:cs="Times New Roman"/>
          <w:sz w:val="24"/>
          <w:szCs w:val="24"/>
          <w:lang w:val="en-US"/>
        </w:rPr>
        <w:t>elected ion flow tube MS</w:t>
      </w:r>
      <w:r>
        <w:rPr>
          <w:rFonts w:ascii="Book Antiqua" w:hAnsi="Book Antiqua" w:cs="Times New Roman" w:hint="eastAsia"/>
          <w:sz w:val="24"/>
          <w:szCs w:val="24"/>
          <w:lang w:val="en-US" w:eastAsia="zh-CN"/>
        </w:rPr>
        <w:t>.</w:t>
      </w:r>
    </w:p>
    <w:p w14:paraId="78726E9F" w14:textId="227E1353" w:rsidR="004363F2" w:rsidRPr="004363F2" w:rsidRDefault="004363F2" w:rsidP="00DB7074">
      <w:pPr>
        <w:snapToGrid w:val="0"/>
        <w:spacing w:after="0" w:line="360" w:lineRule="auto"/>
        <w:jc w:val="both"/>
        <w:rPr>
          <w:rFonts w:ascii="Book Antiqua" w:hAnsi="Book Antiqua" w:cs="Times New Roman"/>
          <w:lang w:val="en-US" w:eastAsia="zh-CN"/>
        </w:rPr>
      </w:pPr>
    </w:p>
    <w:p w14:paraId="4E4E0E70" w14:textId="390ED221" w:rsidR="008B776C" w:rsidRDefault="008B776C" w:rsidP="00DB7074">
      <w:pPr>
        <w:snapToGrid w:val="0"/>
        <w:spacing w:after="0" w:line="360" w:lineRule="auto"/>
        <w:jc w:val="both"/>
        <w:rPr>
          <w:rFonts w:ascii="Book Antiqua" w:hAnsi="Book Antiqua" w:cs="Times New Roman"/>
          <w:lang w:val="en-US" w:eastAsia="zh-CN"/>
        </w:rPr>
      </w:pPr>
      <w:r w:rsidRPr="00DB7074">
        <w:rPr>
          <w:rFonts w:ascii="Book Antiqua" w:hAnsi="Book Antiqua" w:cs="Times New Roman"/>
          <w:lang w:val="en-US"/>
        </w:rPr>
        <w:br w:type="page"/>
      </w:r>
    </w:p>
    <w:p w14:paraId="2EE772D0" w14:textId="460132A3" w:rsidR="00B132B3" w:rsidRPr="00DB7074" w:rsidRDefault="008B776C" w:rsidP="00DB7074">
      <w:pPr>
        <w:snapToGrid w:val="0"/>
        <w:spacing w:after="0" w:line="360" w:lineRule="auto"/>
        <w:jc w:val="both"/>
        <w:rPr>
          <w:rFonts w:ascii="Book Antiqua" w:hAnsi="Book Antiqua" w:cs="Times New Roman"/>
          <w:lang w:val="en-US"/>
        </w:rPr>
      </w:pPr>
      <w:r w:rsidRPr="00DB7074">
        <w:rPr>
          <w:noProof/>
          <w:lang w:val="en-US" w:eastAsia="zh-CN"/>
        </w:rPr>
        <w:lastRenderedPageBreak/>
        <w:drawing>
          <wp:inline distT="0" distB="0" distL="0" distR="0" wp14:anchorId="0E985CE4" wp14:editId="5E0EDF99">
            <wp:extent cx="8065680" cy="463238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66375" cy="4632784"/>
                    </a:xfrm>
                    <a:prstGeom prst="rect">
                      <a:avLst/>
                    </a:prstGeom>
                    <a:noFill/>
                    <a:ln>
                      <a:noFill/>
                    </a:ln>
                  </pic:spPr>
                </pic:pic>
              </a:graphicData>
            </a:graphic>
          </wp:inline>
        </w:drawing>
      </w:r>
    </w:p>
    <w:p w14:paraId="7D5E7C9B" w14:textId="2360281C" w:rsidR="001842CB" w:rsidRPr="001842CB" w:rsidRDefault="001842CB" w:rsidP="001842CB">
      <w:pPr>
        <w:snapToGrid w:val="0"/>
        <w:spacing w:after="0" w:line="360" w:lineRule="auto"/>
        <w:jc w:val="both"/>
        <w:rPr>
          <w:rFonts w:ascii="Book Antiqua" w:hAnsi="Book Antiqua" w:cs="Times New Roman"/>
          <w:b/>
          <w:sz w:val="24"/>
          <w:szCs w:val="24"/>
          <w:lang w:eastAsia="zh-CN"/>
        </w:rPr>
      </w:pPr>
      <w:r w:rsidRPr="001842CB">
        <w:rPr>
          <w:rFonts w:ascii="Book Antiqua" w:hAnsi="Book Antiqua" w:cs="Times New Roman"/>
          <w:b/>
          <w:sz w:val="24"/>
          <w:szCs w:val="24"/>
        </w:rPr>
        <w:t>Figure 1</w:t>
      </w:r>
      <w:r w:rsidRPr="001842CB">
        <w:rPr>
          <w:rFonts w:ascii="Book Antiqua" w:hAnsi="Book Antiqua" w:cs="Times New Roman" w:hint="eastAsia"/>
          <w:b/>
          <w:sz w:val="24"/>
          <w:szCs w:val="24"/>
          <w:lang w:eastAsia="zh-CN"/>
        </w:rPr>
        <w:t xml:space="preserve"> </w:t>
      </w:r>
      <w:r w:rsidRPr="001842CB">
        <w:rPr>
          <w:rFonts w:ascii="Book Antiqua" w:hAnsi="Book Antiqua" w:cs="Times New Roman"/>
          <w:b/>
          <w:sz w:val="24"/>
          <w:szCs w:val="24"/>
        </w:rPr>
        <w:t>Bacterial and metabolic composition shifts during carcinogenesis.</w:t>
      </w:r>
      <w:r>
        <w:rPr>
          <w:rFonts w:ascii="Book Antiqua" w:hAnsi="Book Antiqua" w:cs="Times New Roman" w:hint="eastAsia"/>
          <w:b/>
          <w:sz w:val="24"/>
          <w:szCs w:val="24"/>
          <w:lang w:eastAsia="zh-CN"/>
        </w:rPr>
        <w:t xml:space="preserve"> </w:t>
      </w:r>
      <w:r w:rsidRPr="00DB7074">
        <w:rPr>
          <w:rFonts w:ascii="Book Antiqua" w:hAnsi="Book Antiqua" w:cs="Times New Roman"/>
          <w:iCs/>
          <w:sz w:val="24"/>
          <w:szCs w:val="24"/>
          <w:lang w:val="en-US"/>
        </w:rPr>
        <w:t xml:space="preserve">BFT: </w:t>
      </w:r>
      <w:r w:rsidRPr="00DB7074">
        <w:rPr>
          <w:rFonts w:ascii="Book Antiqua" w:hAnsi="Book Antiqua" w:cs="Times New Roman"/>
          <w:i/>
          <w:iCs/>
          <w:sz w:val="24"/>
          <w:szCs w:val="24"/>
          <w:lang w:val="en-US"/>
        </w:rPr>
        <w:t xml:space="preserve">B. fragilis </w:t>
      </w:r>
      <w:r w:rsidRPr="00DB7074">
        <w:rPr>
          <w:rFonts w:ascii="Book Antiqua" w:hAnsi="Book Antiqua" w:cs="Times New Roman"/>
          <w:sz w:val="24"/>
          <w:szCs w:val="24"/>
          <w:lang w:val="en-US"/>
        </w:rPr>
        <w:t>toxin</w:t>
      </w:r>
      <w:r>
        <w:rPr>
          <w:rFonts w:ascii="Book Antiqua" w:hAnsi="Book Antiqua" w:cs="Times New Roman" w:hint="eastAsia"/>
          <w:sz w:val="24"/>
          <w:szCs w:val="24"/>
          <w:lang w:val="en-US" w:eastAsia="zh-CN"/>
        </w:rPr>
        <w:t>.</w:t>
      </w:r>
    </w:p>
    <w:p w14:paraId="7FE2FC04" w14:textId="77777777" w:rsidR="008B776C" w:rsidRPr="001842CB" w:rsidRDefault="008B776C" w:rsidP="00DB7074">
      <w:pPr>
        <w:snapToGrid w:val="0"/>
        <w:spacing w:after="0" w:line="360" w:lineRule="auto"/>
        <w:jc w:val="both"/>
        <w:rPr>
          <w:rFonts w:ascii="Book Antiqua" w:hAnsi="Book Antiqua" w:cs="Times New Roman"/>
        </w:rPr>
      </w:pPr>
    </w:p>
    <w:p w14:paraId="0A6303FE" w14:textId="77777777" w:rsidR="008B776C" w:rsidRPr="00DB7074" w:rsidRDefault="008B776C" w:rsidP="00DB7074">
      <w:pPr>
        <w:snapToGrid w:val="0"/>
        <w:spacing w:after="0" w:line="360" w:lineRule="auto"/>
        <w:jc w:val="both"/>
        <w:rPr>
          <w:rFonts w:ascii="Book Antiqua" w:hAnsi="Book Antiqua" w:cs="Times New Roman"/>
          <w:lang w:val="en-US"/>
        </w:rPr>
      </w:pPr>
    </w:p>
    <w:p w14:paraId="139CECBC" w14:textId="7C62E335" w:rsidR="008B776C" w:rsidRDefault="008B776C" w:rsidP="00DB7074">
      <w:pPr>
        <w:snapToGrid w:val="0"/>
        <w:spacing w:after="0" w:line="360" w:lineRule="auto"/>
        <w:jc w:val="both"/>
        <w:rPr>
          <w:rFonts w:ascii="Book Antiqua" w:hAnsi="Book Antiqua" w:cs="Times New Roman"/>
          <w:lang w:val="en-US" w:eastAsia="zh-CN"/>
        </w:rPr>
      </w:pPr>
      <w:r w:rsidRPr="00DB7074">
        <w:rPr>
          <w:noProof/>
          <w:lang w:val="en-US" w:eastAsia="zh-CN"/>
        </w:rPr>
        <w:lastRenderedPageBreak/>
        <w:drawing>
          <wp:inline distT="0" distB="0" distL="0" distR="0" wp14:anchorId="37E6D686" wp14:editId="4D0F6763">
            <wp:extent cx="8892540" cy="4600179"/>
            <wp:effectExtent l="0" t="0" r="381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92540" cy="4600179"/>
                    </a:xfrm>
                    <a:prstGeom prst="rect">
                      <a:avLst/>
                    </a:prstGeom>
                    <a:noFill/>
                    <a:ln>
                      <a:noFill/>
                    </a:ln>
                  </pic:spPr>
                </pic:pic>
              </a:graphicData>
            </a:graphic>
          </wp:inline>
        </w:drawing>
      </w:r>
    </w:p>
    <w:p w14:paraId="2A9F3B35" w14:textId="28A3073B" w:rsidR="004B36C4" w:rsidRPr="00DB7074" w:rsidRDefault="004B36C4" w:rsidP="004B36C4">
      <w:pPr>
        <w:snapToGrid w:val="0"/>
        <w:spacing w:after="0" w:line="360" w:lineRule="auto"/>
        <w:jc w:val="both"/>
        <w:rPr>
          <w:rFonts w:ascii="Book Antiqua" w:hAnsi="Book Antiqua" w:cs="Times New Roman"/>
          <w:sz w:val="24"/>
          <w:szCs w:val="24"/>
          <w:lang w:val="en-US" w:eastAsia="zh-CN"/>
        </w:rPr>
      </w:pPr>
      <w:r w:rsidRPr="004B36C4">
        <w:rPr>
          <w:rFonts w:ascii="Book Antiqua" w:hAnsi="Book Antiqua" w:cs="Times New Roman"/>
          <w:b/>
          <w:sz w:val="24"/>
          <w:szCs w:val="24"/>
        </w:rPr>
        <w:t>Figure 2</w:t>
      </w:r>
      <w:r w:rsidRPr="004B36C4">
        <w:rPr>
          <w:rFonts w:ascii="Book Antiqua" w:hAnsi="Book Antiqua" w:cs="Times New Roman" w:hint="eastAsia"/>
          <w:b/>
          <w:sz w:val="24"/>
          <w:szCs w:val="24"/>
          <w:lang w:eastAsia="zh-CN"/>
        </w:rPr>
        <w:t xml:space="preserve"> </w:t>
      </w:r>
      <w:r w:rsidRPr="004B36C4">
        <w:rPr>
          <w:rFonts w:ascii="Book Antiqua" w:hAnsi="Book Antiqua" w:cs="Times New Roman"/>
          <w:b/>
          <w:sz w:val="24"/>
          <w:szCs w:val="24"/>
        </w:rPr>
        <w:t xml:space="preserve">Metabolism of food dietary components by the gut microbiota. </w:t>
      </w:r>
      <w:r w:rsidRPr="00DB7074">
        <w:rPr>
          <w:rFonts w:ascii="Book Antiqua" w:hAnsi="Book Antiqua" w:cs="Times New Roman"/>
          <w:sz w:val="24"/>
          <w:szCs w:val="24"/>
        </w:rPr>
        <w:t xml:space="preserve">Dietary residues are in blue, intermediate metabolites in green, SCFAs in red, and other metabolites in grey. </w:t>
      </w:r>
      <w:r w:rsidRPr="00DB7074">
        <w:rPr>
          <w:rFonts w:ascii="Book Antiqua" w:hAnsi="Book Antiqua" w:cs="Times New Roman"/>
          <w:sz w:val="24"/>
          <w:szCs w:val="24"/>
          <w:lang w:val="fr-FR"/>
        </w:rPr>
        <w:t xml:space="preserve">Adapted from Louis </w:t>
      </w:r>
      <w:r>
        <w:rPr>
          <w:rFonts w:ascii="Book Antiqua" w:hAnsi="Book Antiqua" w:cs="Times New Roman"/>
          <w:i/>
          <w:sz w:val="24"/>
          <w:szCs w:val="24"/>
          <w:lang w:val="fr-FR"/>
        </w:rPr>
        <w:t>et al</w:t>
      </w:r>
      <w:r w:rsidRPr="00DB7074">
        <w:rPr>
          <w:rFonts w:ascii="Book Antiqua" w:hAnsi="Book Antiqua" w:cs="Times New Roman"/>
          <w:sz w:val="24"/>
          <w:szCs w:val="24"/>
        </w:rPr>
        <w:fldChar w:fldCharType="begin"/>
      </w:r>
      <w:r w:rsidRPr="00DB7074">
        <w:rPr>
          <w:rFonts w:ascii="Book Antiqua" w:hAnsi="Book Antiqua" w:cs="Times New Roman"/>
          <w:sz w:val="24"/>
          <w:szCs w:val="24"/>
          <w:lang w:val="fr-FR"/>
        </w:rPr>
        <w:instrText xml:space="preserve"> ADDIN ZOTERO_ITEM CSL_CITATION {"citationID":"adtvvtkbdb","properties":{"formattedCitation":"\\super [255]\\nosupersub{}","plainCitation":"[255]","noteIndex":0},"citationItems":[{"id":"D1GMNV0O/JOKEP2dj","uris":["http://zotero.org/users/4804376/items/HIWQMS2A"],"uri":["http://zotero.org/users/4804376/items/HIWQMS2A"],"itemData":{"id":14,"type":"article-journal","title":"The gut microbiota, bacterial metabolites and colorectal cancer","container-title":"Nature Reviews Microbiology","page":"661-672","volume":"12","issue":"10","source":"CrossRef","abstract":"Accumulating evidence suggests that the human intestinal microbiota contributes to the aetiology of colorectal cancer (CRC), not only via the pro-carcinogenic activities of specific pathogens but also via the influence of the wider microbial community, particularly its metabolome. Recent data have shown that the short-chain fatty acids acetate, propionate and butyrate function in the suppression of inflammation and cancer, whereas other microbial metabolites, such as secondary bile acids, promote carcinogenesis. In this Review, we discuss the relationship between diet, microbial metabolism and CRC and argue that the cumulative effects of microbial metabolites should be considered in order to better predict and prevent cancer progression.","DOI":"10.1038/nrmicro3344","ISSN":"1740-1526, 1740-1534","language":"en","author":[{"family":"Louis","given":"Petra"},{"family":"Hold","given":"Georgina L."},{"family":"Flint","given":"Harry J."}],"issued":{"date-parts":[["2014",10]]}}}],"schema":"https://github.com/citation-style-language/schema/raw/master/csl-citation.json"} </w:instrText>
      </w:r>
      <w:r w:rsidRPr="00DB7074">
        <w:rPr>
          <w:rFonts w:ascii="Book Antiqua" w:hAnsi="Book Antiqua" w:cs="Times New Roman"/>
          <w:sz w:val="24"/>
          <w:szCs w:val="24"/>
        </w:rPr>
        <w:fldChar w:fldCharType="separate"/>
      </w:r>
      <w:r w:rsidRPr="00DB7074">
        <w:rPr>
          <w:rFonts w:ascii="Book Antiqua" w:hAnsi="Book Antiqua" w:cs="Times New Roman"/>
          <w:sz w:val="24"/>
          <w:szCs w:val="24"/>
          <w:vertAlign w:val="superscript"/>
          <w:lang w:val="fr-FR"/>
        </w:rPr>
        <w:t>[255]</w:t>
      </w:r>
      <w:r w:rsidRPr="00DB7074">
        <w:rPr>
          <w:rFonts w:ascii="Book Antiqua" w:hAnsi="Book Antiqua" w:cs="Times New Roman"/>
          <w:sz w:val="24"/>
          <w:szCs w:val="24"/>
        </w:rPr>
        <w:fldChar w:fldCharType="end"/>
      </w:r>
      <w:r w:rsidRPr="00DB7074">
        <w:rPr>
          <w:rFonts w:ascii="Book Antiqua" w:hAnsi="Book Antiqua" w:cs="Times New Roman"/>
          <w:sz w:val="24"/>
          <w:szCs w:val="24"/>
          <w:lang w:val="fr-FR"/>
        </w:rPr>
        <w:t xml:space="preserve">, Russel </w:t>
      </w:r>
      <w:r>
        <w:rPr>
          <w:rFonts w:ascii="Book Antiqua" w:hAnsi="Book Antiqua" w:cs="Times New Roman"/>
          <w:i/>
          <w:sz w:val="24"/>
          <w:szCs w:val="24"/>
          <w:lang w:val="fr-FR"/>
        </w:rPr>
        <w:t>et al</w:t>
      </w:r>
      <w:r w:rsidRPr="00DB7074">
        <w:rPr>
          <w:rFonts w:ascii="Book Antiqua" w:hAnsi="Book Antiqua" w:cs="Times New Roman"/>
          <w:sz w:val="24"/>
          <w:szCs w:val="24"/>
        </w:rPr>
        <w:fldChar w:fldCharType="begin"/>
      </w:r>
      <w:r w:rsidRPr="00DB7074">
        <w:rPr>
          <w:rFonts w:ascii="Book Antiqua" w:hAnsi="Book Antiqua" w:cs="Times New Roman"/>
          <w:sz w:val="24"/>
          <w:szCs w:val="24"/>
          <w:lang w:val="fr-FR"/>
        </w:rPr>
        <w:instrText xml:space="preserve"> ADDIN ZOTERO_ITEM CSL_CITATION {"citationID":"a6811hf4s3","properties":{"formattedCitation":"\\super [184]\\nosupersub{}","plainCitation":"[184]","noteIndex":0},"citationItems":[{"id":"D1GMNV0O/ioCzCb3l","uris":["http://zotero.org/users/4804376/items/9FESQX38"],"uri":["http://zotero.org/users/4804376/items/9FESQX38"],"itemData":{"id":20,"type":"article-journal","title":"Major phenylpropanoid-derived metabolites in the human gut can arise from microbial fermentation of protein","container-title":"Molecular Nutrition &amp; Food Research","page":"523-535","volume":"57","issue":"3","source":"CrossRef","DOI":"10.1002/mnfr.201200594","ISSN":"16134125","language":"en","author":[{"family":"Russell","given":"Wendy R."},{"family":"Duncan","given":"Sylvia H."},{"family":"Scobbie","given":"Lorraine"},{"family":"Duncan","given":"Gary"},{"family":"Cantlay","given":"Louise"},{"family":"Calder","given":"A. Graham"},{"family":"Anderson","given":"Susan E."},{"family":"Flint","given":"Harry J."}],"issued":{"date-parts":[["2013",3]]}}}],"schema":"https://github.com/citation-style-language/schema/raw/master/csl-citation.json"} </w:instrText>
      </w:r>
      <w:r w:rsidRPr="00DB7074">
        <w:rPr>
          <w:rFonts w:ascii="Book Antiqua" w:hAnsi="Book Antiqua" w:cs="Times New Roman"/>
          <w:sz w:val="24"/>
          <w:szCs w:val="24"/>
        </w:rPr>
        <w:fldChar w:fldCharType="separate"/>
      </w:r>
      <w:r w:rsidRPr="00DB7074">
        <w:rPr>
          <w:rFonts w:ascii="Book Antiqua" w:hAnsi="Book Antiqua" w:cs="Times New Roman"/>
          <w:sz w:val="24"/>
          <w:szCs w:val="24"/>
          <w:vertAlign w:val="superscript"/>
          <w:lang w:val="fr-FR"/>
        </w:rPr>
        <w:t>[184]</w:t>
      </w:r>
      <w:r w:rsidRPr="00DB7074">
        <w:rPr>
          <w:rFonts w:ascii="Book Antiqua" w:hAnsi="Book Antiqua" w:cs="Times New Roman"/>
          <w:sz w:val="24"/>
          <w:szCs w:val="24"/>
        </w:rPr>
        <w:fldChar w:fldCharType="end"/>
      </w:r>
      <w:r w:rsidRPr="00DB7074">
        <w:rPr>
          <w:rFonts w:ascii="Book Antiqua" w:hAnsi="Book Antiqua" w:cs="Times New Roman"/>
          <w:sz w:val="24"/>
          <w:szCs w:val="24"/>
          <w:lang w:val="fr-FR"/>
        </w:rPr>
        <w:t xml:space="preserve"> ; Rowland </w:t>
      </w:r>
      <w:r>
        <w:rPr>
          <w:rFonts w:ascii="Book Antiqua" w:hAnsi="Book Antiqua" w:cs="Times New Roman"/>
          <w:i/>
          <w:sz w:val="24"/>
          <w:szCs w:val="24"/>
          <w:lang w:val="fr-FR"/>
        </w:rPr>
        <w:t>et al</w:t>
      </w:r>
      <w:r w:rsidRPr="00DB7074">
        <w:rPr>
          <w:rFonts w:ascii="Book Antiqua" w:hAnsi="Book Antiqua" w:cs="Times New Roman"/>
          <w:sz w:val="24"/>
          <w:szCs w:val="24"/>
        </w:rPr>
        <w:fldChar w:fldCharType="begin"/>
      </w:r>
      <w:r w:rsidRPr="00DB7074">
        <w:rPr>
          <w:rFonts w:ascii="Book Antiqua" w:hAnsi="Book Antiqua" w:cs="Times New Roman"/>
          <w:sz w:val="24"/>
          <w:szCs w:val="24"/>
          <w:lang w:val="fr-FR"/>
        </w:rPr>
        <w:instrText xml:space="preserve"> ADDIN ZOTERO_ITEM CSL_CITATION {"citationID":"a1rk5v9gl46","properties":{"formattedCitation":"\\super [172]\\nosupersub{}","plainCitation":"[172]","noteIndex":0},"citationItems":[{"id":"D1GMNV0O/pzUBt3q5","uris":["http://zotero.org/users/4804376/items/DGHDVHID"],"uri":["http://zotero.org/users/4804376/items/DGHDVHID"],"itemData":{"id":19,"type":"article-journal","title":"Gut microbiota functions: metabolism of nutrients and other food components","container-title":"European Journal of Nutrition","page":"1-24","volume":"57","issue":"1","source":"CrossRef","DOI":"10.1007/s00394-017-1445-8","ISSN":"1436-6207, 1436-6215","shortTitle":"Gut microbiota functions","language":"en","author":[{"family":"Rowland","given":"Ian"},{"family":"Gibson","given":"Glenn"},{"family":"Heinken","given":"Almut"},{"family":"Scott","given":"Karen"},{"family":"Swann","given":"Jonathan"},{"family":"Thiele","given":"Ines"},{"family":"Tuohy","given":"Kieran"}],"issued":{"date-parts":[["2018",2]]}}}],"schema":"https://github.com/citation-style-language/schema/raw/master/csl-citation.json"} </w:instrText>
      </w:r>
      <w:r w:rsidRPr="00DB7074">
        <w:rPr>
          <w:rFonts w:ascii="Book Antiqua" w:hAnsi="Book Antiqua" w:cs="Times New Roman"/>
          <w:sz w:val="24"/>
          <w:szCs w:val="24"/>
        </w:rPr>
        <w:fldChar w:fldCharType="separate"/>
      </w:r>
      <w:r w:rsidRPr="00DB7074">
        <w:rPr>
          <w:rFonts w:ascii="Book Antiqua" w:hAnsi="Book Antiqua" w:cs="Times New Roman"/>
          <w:sz w:val="24"/>
          <w:szCs w:val="24"/>
          <w:vertAlign w:val="superscript"/>
        </w:rPr>
        <w:t>[172]</w:t>
      </w:r>
      <w:r w:rsidRPr="00DB7074">
        <w:rPr>
          <w:rFonts w:ascii="Book Antiqua" w:hAnsi="Book Antiqua" w:cs="Times New Roman"/>
          <w:sz w:val="24"/>
          <w:szCs w:val="24"/>
        </w:rPr>
        <w:fldChar w:fldCharType="end"/>
      </w:r>
      <w:r w:rsidRPr="00DB7074">
        <w:rPr>
          <w:rFonts w:ascii="Book Antiqua" w:hAnsi="Book Antiqua" w:cs="Times New Roman"/>
          <w:sz w:val="24"/>
          <w:szCs w:val="24"/>
        </w:rPr>
        <w:t xml:space="preserve"> ; Flint </w:t>
      </w:r>
      <w:r>
        <w:rPr>
          <w:rFonts w:ascii="Book Antiqua" w:hAnsi="Book Antiqua" w:cs="Times New Roman"/>
          <w:i/>
          <w:sz w:val="24"/>
          <w:szCs w:val="24"/>
        </w:rPr>
        <w:t>et al</w:t>
      </w:r>
      <w:r w:rsidRPr="00DB7074">
        <w:rPr>
          <w:rFonts w:ascii="Book Antiqua" w:hAnsi="Book Antiqua" w:cs="Times New Roman"/>
          <w:sz w:val="24"/>
          <w:szCs w:val="24"/>
        </w:rPr>
        <w:fldChar w:fldCharType="begin"/>
      </w:r>
      <w:r w:rsidRPr="00DB7074">
        <w:rPr>
          <w:rFonts w:ascii="Book Antiqua" w:hAnsi="Book Antiqua" w:cs="Times New Roman"/>
          <w:sz w:val="24"/>
          <w:szCs w:val="24"/>
        </w:rPr>
        <w:instrText xml:space="preserve"> ADDIN ZOTERO_ITEM CSL_CITATION {"citationID":"a10lb15aped","properties":{"formattedCitation":"\\super [171]\\nosupersub{}","plainCitation":"[171]","noteIndex":0},"citationItems":[{"id":"D1GMNV0O/ByQrCURg","uris":["http://zotero.org/users/4804376/items/TCF944NF"],"uri":["http://zotero.org/users/4804376/items/TCF944NF"],"itemData":{"id":12,"type":"article-journal","title":"The role of the gut microbiota in nutrition and health","container-title":"Nature Reviews Gastroenterology &amp; Hepatology","page":"577-589","volume":"9","issue":"10","source":"CrossRef","abstract":"The microbial communities that colonize different regions of the human gut influence many aspects of health. In the healthy state, they contribute nutrients and energy to the host via the fermentation of nondigestible dietary components in the large intestine, and a balance is maintained with the host’s metabolism and immune system. Negative consequences, however, can include acting as sources of inflammation and infection, involvement in gastrointestinal diseases, and possible contributions to diabetes mellitus and obesity. Major progress has been made in defining some of the dominant members of the microbial community in the healthy large intestine, and in identifying their roles in gut metabolism. Furthermore, it has become clear that diet can have a major influence on microbial community composition both in the short and long term, which should open up new possibilities for health manipulation via diet. Achieving better definition of those dominant commensal bacteria, community profiles and system characteristics that produce stable gut communities beneficial to health is important. The extent of interindividual variation in microbiota composition within the population has also become apparent, and probably influences individual responses to drug administration and dietary manipulation. This Review considers the complex interplay between the gut microbiota, diet and health.","DOI":"10.1038/nrgastro.2012.156","ISSN":"1759-5045, 1759-5053","language":"en","author":[{"family":"Flint","given":"Harry J."},{"family":"Scott","given":"Karen P."},{"family":"Louis","given":"Petra"},{"family":"Duncan","given":"Sylvia H."}],"issued":{"date-parts":[["2012",10]]}}}],"schema":"https://github.com/citation-style-language/schema/raw/master/csl-citation.json"} </w:instrText>
      </w:r>
      <w:r w:rsidRPr="00DB7074">
        <w:rPr>
          <w:rFonts w:ascii="Book Antiqua" w:hAnsi="Book Antiqua" w:cs="Times New Roman"/>
          <w:sz w:val="24"/>
          <w:szCs w:val="24"/>
        </w:rPr>
        <w:fldChar w:fldCharType="separate"/>
      </w:r>
      <w:r w:rsidRPr="00DB7074">
        <w:rPr>
          <w:rFonts w:ascii="Book Antiqua" w:hAnsi="Book Antiqua" w:cs="Times New Roman"/>
          <w:sz w:val="24"/>
          <w:szCs w:val="24"/>
          <w:vertAlign w:val="superscript"/>
        </w:rPr>
        <w:t>[171]</w:t>
      </w:r>
      <w:r w:rsidRPr="00DB7074">
        <w:rPr>
          <w:rFonts w:ascii="Book Antiqua" w:hAnsi="Book Antiqua" w:cs="Times New Roman"/>
          <w:sz w:val="24"/>
          <w:szCs w:val="24"/>
        </w:rPr>
        <w:fldChar w:fldCharType="end"/>
      </w:r>
      <w:r w:rsidRPr="00DB7074">
        <w:rPr>
          <w:rFonts w:ascii="Book Antiqua" w:hAnsi="Book Antiqua" w:cs="Times New Roman"/>
          <w:sz w:val="24"/>
          <w:szCs w:val="24"/>
          <w:lang w:val="en-US"/>
        </w:rPr>
        <w:t>.</w:t>
      </w:r>
      <w:r>
        <w:rPr>
          <w:rFonts w:ascii="Book Antiqua" w:hAnsi="Book Antiqua" w:cs="Times New Roman" w:hint="eastAsia"/>
          <w:sz w:val="24"/>
          <w:szCs w:val="24"/>
          <w:lang w:val="en-US" w:eastAsia="zh-CN"/>
        </w:rPr>
        <w:t xml:space="preserve"> </w:t>
      </w:r>
      <w:r w:rsidRPr="00DB7074">
        <w:rPr>
          <w:rFonts w:ascii="Book Antiqua" w:hAnsi="Book Antiqua"/>
          <w:sz w:val="24"/>
          <w:szCs w:val="24"/>
          <w:lang w:val="en-US"/>
        </w:rPr>
        <w:t>SCFAs:</w:t>
      </w:r>
      <w:r w:rsidRPr="00DB7074">
        <w:rPr>
          <w:sz w:val="24"/>
          <w:szCs w:val="24"/>
          <w:lang w:val="en-US"/>
        </w:rPr>
        <w:t xml:space="preserve"> </w:t>
      </w:r>
      <w:r w:rsidRPr="004B36C4">
        <w:rPr>
          <w:rFonts w:ascii="Book Antiqua" w:hAnsi="Book Antiqua"/>
          <w:caps/>
          <w:sz w:val="24"/>
          <w:szCs w:val="24"/>
          <w:lang w:val="en-US"/>
        </w:rPr>
        <w:t>s</w:t>
      </w:r>
      <w:r>
        <w:rPr>
          <w:rFonts w:ascii="Book Antiqua" w:hAnsi="Book Antiqua"/>
          <w:sz w:val="24"/>
          <w:szCs w:val="24"/>
          <w:lang w:val="en-US"/>
        </w:rPr>
        <w:t>hort chain fatty acids</w:t>
      </w:r>
      <w:r>
        <w:rPr>
          <w:rFonts w:ascii="Book Antiqua" w:hAnsi="Book Antiqua" w:hint="eastAsia"/>
          <w:sz w:val="24"/>
          <w:szCs w:val="24"/>
          <w:lang w:val="en-US" w:eastAsia="zh-CN"/>
        </w:rPr>
        <w:t>.</w:t>
      </w:r>
    </w:p>
    <w:p w14:paraId="5435AF9F" w14:textId="77777777" w:rsidR="004B36C4" w:rsidRPr="00DB7074" w:rsidRDefault="004B36C4" w:rsidP="00DB7074">
      <w:pPr>
        <w:snapToGrid w:val="0"/>
        <w:spacing w:after="0" w:line="360" w:lineRule="auto"/>
        <w:jc w:val="both"/>
        <w:rPr>
          <w:rFonts w:ascii="Book Antiqua" w:hAnsi="Book Antiqua" w:cs="Times New Roman"/>
          <w:lang w:val="en-US" w:eastAsia="zh-CN"/>
        </w:rPr>
      </w:pPr>
    </w:p>
    <w:sectPr w:rsidR="004B36C4" w:rsidRPr="00DB7074" w:rsidSect="008B776C">
      <w:pgSz w:w="16838" w:h="11906" w:orient="landscape"/>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C7F4D3" w16cid:durableId="1E68D468"/>
  <w16cid:commentId w16cid:paraId="7CF8FF5D" w16cid:durableId="1E68D606"/>
  <w16cid:commentId w16cid:paraId="751A665C" w16cid:durableId="1E68DAD3"/>
  <w16cid:commentId w16cid:paraId="5B51C4B6" w16cid:durableId="1E690A6E"/>
  <w16cid:commentId w16cid:paraId="13BC741D" w16cid:durableId="1E690CE7"/>
  <w16cid:commentId w16cid:paraId="296B2A6F" w16cid:durableId="1E6924FB"/>
  <w16cid:commentId w16cid:paraId="30E02045" w16cid:durableId="1E6A01CA"/>
  <w16cid:commentId w16cid:paraId="26A18EAB" w16cid:durableId="1E6A7276"/>
  <w16cid:commentId w16cid:paraId="0B41BEAA" w16cid:durableId="1E6A8246"/>
  <w16cid:commentId w16cid:paraId="3814600A" w16cid:durableId="1E6A8456"/>
  <w16cid:commentId w16cid:paraId="2EAE3194" w16cid:durableId="1E6A854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E00002FF" w:usb1="5000205A" w:usb2="00000000" w:usb3="00000000" w:csb0="0000019F" w:csb1="00000000"/>
  </w:font>
  <w:font w:name="BookAntiqua">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B4538"/>
    <w:multiLevelType w:val="hybridMultilevel"/>
    <w:tmpl w:val="7CD6BFDC"/>
    <w:lvl w:ilvl="0" w:tplc="A538C418">
      <w:start w:val="1"/>
      <w:numFmt w:val="decimal"/>
      <w:lvlText w:val="%1."/>
      <w:lvlJc w:val="left"/>
      <w:pPr>
        <w:ind w:left="720" w:hanging="360"/>
      </w:pPr>
      <w:rPr>
        <w:sz w:val="28"/>
        <w:szCs w:val="28"/>
      </w:rPr>
    </w:lvl>
    <w:lvl w:ilvl="1" w:tplc="040C0017">
      <w:start w:val="1"/>
      <w:numFmt w:val="lowerLetter"/>
      <w:lvlText w:val="%2)"/>
      <w:lvlJc w:val="left"/>
      <w:pPr>
        <w:ind w:left="1440" w:hanging="360"/>
      </w:pPr>
      <w:rPr>
        <w:i w:val="0"/>
        <w:sz w:val="22"/>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2227FB"/>
    <w:multiLevelType w:val="hybridMultilevel"/>
    <w:tmpl w:val="18C83512"/>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2" w15:restartNumberingAfterBreak="0">
    <w:nsid w:val="0BC9618E"/>
    <w:multiLevelType w:val="hybridMultilevel"/>
    <w:tmpl w:val="85523FD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7264D6C"/>
    <w:multiLevelType w:val="hybridMultilevel"/>
    <w:tmpl w:val="D0BEA78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8CE5A6C"/>
    <w:multiLevelType w:val="hybridMultilevel"/>
    <w:tmpl w:val="785244D0"/>
    <w:lvl w:ilvl="0" w:tplc="040C0001">
      <w:start w:val="1"/>
      <w:numFmt w:val="bullet"/>
      <w:lvlText w:val=""/>
      <w:lvlJc w:val="left"/>
      <w:pPr>
        <w:ind w:left="3240" w:hanging="360"/>
      </w:pPr>
      <w:rPr>
        <w:rFonts w:ascii="Symbol" w:hAnsi="Symbol" w:hint="default"/>
      </w:rPr>
    </w:lvl>
    <w:lvl w:ilvl="1" w:tplc="040C0003" w:tentative="1">
      <w:start w:val="1"/>
      <w:numFmt w:val="bullet"/>
      <w:lvlText w:val="o"/>
      <w:lvlJc w:val="left"/>
      <w:pPr>
        <w:ind w:left="3960" w:hanging="360"/>
      </w:pPr>
      <w:rPr>
        <w:rFonts w:ascii="Courier New" w:hAnsi="Courier New" w:cs="Courier New" w:hint="default"/>
      </w:rPr>
    </w:lvl>
    <w:lvl w:ilvl="2" w:tplc="040C0005" w:tentative="1">
      <w:start w:val="1"/>
      <w:numFmt w:val="bullet"/>
      <w:lvlText w:val=""/>
      <w:lvlJc w:val="left"/>
      <w:pPr>
        <w:ind w:left="4680" w:hanging="360"/>
      </w:pPr>
      <w:rPr>
        <w:rFonts w:ascii="Wingdings" w:hAnsi="Wingdings" w:hint="default"/>
      </w:rPr>
    </w:lvl>
    <w:lvl w:ilvl="3" w:tplc="040C0001" w:tentative="1">
      <w:start w:val="1"/>
      <w:numFmt w:val="bullet"/>
      <w:lvlText w:val=""/>
      <w:lvlJc w:val="left"/>
      <w:pPr>
        <w:ind w:left="5400" w:hanging="360"/>
      </w:pPr>
      <w:rPr>
        <w:rFonts w:ascii="Symbol" w:hAnsi="Symbol" w:hint="default"/>
      </w:rPr>
    </w:lvl>
    <w:lvl w:ilvl="4" w:tplc="040C0003" w:tentative="1">
      <w:start w:val="1"/>
      <w:numFmt w:val="bullet"/>
      <w:lvlText w:val="o"/>
      <w:lvlJc w:val="left"/>
      <w:pPr>
        <w:ind w:left="6120" w:hanging="360"/>
      </w:pPr>
      <w:rPr>
        <w:rFonts w:ascii="Courier New" w:hAnsi="Courier New" w:cs="Courier New" w:hint="default"/>
      </w:rPr>
    </w:lvl>
    <w:lvl w:ilvl="5" w:tplc="040C0005" w:tentative="1">
      <w:start w:val="1"/>
      <w:numFmt w:val="bullet"/>
      <w:lvlText w:val=""/>
      <w:lvlJc w:val="left"/>
      <w:pPr>
        <w:ind w:left="6840" w:hanging="360"/>
      </w:pPr>
      <w:rPr>
        <w:rFonts w:ascii="Wingdings" w:hAnsi="Wingdings" w:hint="default"/>
      </w:rPr>
    </w:lvl>
    <w:lvl w:ilvl="6" w:tplc="040C0001" w:tentative="1">
      <w:start w:val="1"/>
      <w:numFmt w:val="bullet"/>
      <w:lvlText w:val=""/>
      <w:lvlJc w:val="left"/>
      <w:pPr>
        <w:ind w:left="7560" w:hanging="360"/>
      </w:pPr>
      <w:rPr>
        <w:rFonts w:ascii="Symbol" w:hAnsi="Symbol" w:hint="default"/>
      </w:rPr>
    </w:lvl>
    <w:lvl w:ilvl="7" w:tplc="040C0003" w:tentative="1">
      <w:start w:val="1"/>
      <w:numFmt w:val="bullet"/>
      <w:lvlText w:val="o"/>
      <w:lvlJc w:val="left"/>
      <w:pPr>
        <w:ind w:left="8280" w:hanging="360"/>
      </w:pPr>
      <w:rPr>
        <w:rFonts w:ascii="Courier New" w:hAnsi="Courier New" w:cs="Courier New" w:hint="default"/>
      </w:rPr>
    </w:lvl>
    <w:lvl w:ilvl="8" w:tplc="040C0005" w:tentative="1">
      <w:start w:val="1"/>
      <w:numFmt w:val="bullet"/>
      <w:lvlText w:val=""/>
      <w:lvlJc w:val="left"/>
      <w:pPr>
        <w:ind w:left="9000" w:hanging="360"/>
      </w:pPr>
      <w:rPr>
        <w:rFonts w:ascii="Wingdings" w:hAnsi="Wingdings" w:hint="default"/>
      </w:rPr>
    </w:lvl>
  </w:abstractNum>
  <w:abstractNum w:abstractNumId="5" w15:restartNumberingAfterBreak="0">
    <w:nsid w:val="19086D9B"/>
    <w:multiLevelType w:val="hybridMultilevel"/>
    <w:tmpl w:val="60E6B9D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B746AC1"/>
    <w:multiLevelType w:val="hybridMultilevel"/>
    <w:tmpl w:val="753617AE"/>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21487D7D"/>
    <w:multiLevelType w:val="hybridMultilevel"/>
    <w:tmpl w:val="4FE43A56"/>
    <w:lvl w:ilvl="0" w:tplc="040C000F">
      <w:start w:val="1"/>
      <w:numFmt w:val="decimal"/>
      <w:lvlText w:val="%1."/>
      <w:lvlJc w:val="left"/>
      <w:pPr>
        <w:ind w:left="720" w:hanging="360"/>
      </w:pPr>
    </w:lvl>
    <w:lvl w:ilvl="1" w:tplc="7B224FEA">
      <w:start w:val="1"/>
      <w:numFmt w:val="lowerLetter"/>
      <w:lvlText w:val="%2."/>
      <w:lvlJc w:val="left"/>
      <w:pPr>
        <w:ind w:left="1440" w:hanging="360"/>
      </w:pPr>
      <w:rPr>
        <w:i w:val="0"/>
        <w:sz w:val="22"/>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39B3D50"/>
    <w:multiLevelType w:val="hybridMultilevel"/>
    <w:tmpl w:val="AB1E0F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AC7184"/>
    <w:multiLevelType w:val="hybridMultilevel"/>
    <w:tmpl w:val="025E2E62"/>
    <w:lvl w:ilvl="0" w:tplc="A538C418">
      <w:start w:val="1"/>
      <w:numFmt w:val="decimal"/>
      <w:lvlText w:val="%1."/>
      <w:lvlJc w:val="left"/>
      <w:pPr>
        <w:ind w:left="720" w:hanging="360"/>
      </w:pPr>
      <w:rPr>
        <w:sz w:val="28"/>
        <w:szCs w:val="28"/>
      </w:rPr>
    </w:lvl>
    <w:lvl w:ilvl="1" w:tplc="7B224FEA">
      <w:start w:val="1"/>
      <w:numFmt w:val="lowerLetter"/>
      <w:lvlText w:val="%2."/>
      <w:lvlJc w:val="left"/>
      <w:pPr>
        <w:ind w:left="1440" w:hanging="360"/>
      </w:pPr>
      <w:rPr>
        <w:i w:val="0"/>
        <w:sz w:val="22"/>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9FD04A5"/>
    <w:multiLevelType w:val="hybridMultilevel"/>
    <w:tmpl w:val="FE48A8BC"/>
    <w:lvl w:ilvl="0" w:tplc="2BD8635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AA37AD4"/>
    <w:multiLevelType w:val="hybridMultilevel"/>
    <w:tmpl w:val="F4D08E8C"/>
    <w:lvl w:ilvl="0" w:tplc="7B224FEA">
      <w:start w:val="1"/>
      <w:numFmt w:val="lowerLetter"/>
      <w:lvlText w:val="%1."/>
      <w:lvlJc w:val="left"/>
      <w:pPr>
        <w:ind w:left="1440" w:hanging="360"/>
      </w:pPr>
      <w:rPr>
        <w:i w:val="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17D36FB"/>
    <w:multiLevelType w:val="hybridMultilevel"/>
    <w:tmpl w:val="EDC68D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9843F56"/>
    <w:multiLevelType w:val="hybridMultilevel"/>
    <w:tmpl w:val="62746B84"/>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C171109"/>
    <w:multiLevelType w:val="hybridMultilevel"/>
    <w:tmpl w:val="834454D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EB27031"/>
    <w:multiLevelType w:val="hybridMultilevel"/>
    <w:tmpl w:val="883E39C0"/>
    <w:lvl w:ilvl="0" w:tplc="040C000F">
      <w:start w:val="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F3E51FD"/>
    <w:multiLevelType w:val="hybridMultilevel"/>
    <w:tmpl w:val="75A264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02E28B2"/>
    <w:multiLevelType w:val="hybridMultilevel"/>
    <w:tmpl w:val="FF644C6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4784FBE"/>
    <w:multiLevelType w:val="hybridMultilevel"/>
    <w:tmpl w:val="CDE67AFE"/>
    <w:lvl w:ilvl="0" w:tplc="040C0001">
      <w:start w:val="1"/>
      <w:numFmt w:val="bullet"/>
      <w:lvlText w:val=""/>
      <w:lvlJc w:val="left"/>
      <w:pPr>
        <w:ind w:left="2700" w:hanging="360"/>
      </w:pPr>
      <w:rPr>
        <w:rFonts w:ascii="Symbol" w:hAnsi="Symbol" w:hint="default"/>
      </w:rPr>
    </w:lvl>
    <w:lvl w:ilvl="1" w:tplc="040C0003" w:tentative="1">
      <w:start w:val="1"/>
      <w:numFmt w:val="bullet"/>
      <w:lvlText w:val="o"/>
      <w:lvlJc w:val="left"/>
      <w:pPr>
        <w:ind w:left="3420" w:hanging="360"/>
      </w:pPr>
      <w:rPr>
        <w:rFonts w:ascii="Courier New" w:hAnsi="Courier New" w:cs="Courier New" w:hint="default"/>
      </w:rPr>
    </w:lvl>
    <w:lvl w:ilvl="2" w:tplc="040C0005" w:tentative="1">
      <w:start w:val="1"/>
      <w:numFmt w:val="bullet"/>
      <w:lvlText w:val=""/>
      <w:lvlJc w:val="left"/>
      <w:pPr>
        <w:ind w:left="4140" w:hanging="360"/>
      </w:pPr>
      <w:rPr>
        <w:rFonts w:ascii="Wingdings" w:hAnsi="Wingdings" w:hint="default"/>
      </w:rPr>
    </w:lvl>
    <w:lvl w:ilvl="3" w:tplc="040C0001" w:tentative="1">
      <w:start w:val="1"/>
      <w:numFmt w:val="bullet"/>
      <w:lvlText w:val=""/>
      <w:lvlJc w:val="left"/>
      <w:pPr>
        <w:ind w:left="4860" w:hanging="360"/>
      </w:pPr>
      <w:rPr>
        <w:rFonts w:ascii="Symbol" w:hAnsi="Symbol" w:hint="default"/>
      </w:rPr>
    </w:lvl>
    <w:lvl w:ilvl="4" w:tplc="040C0003" w:tentative="1">
      <w:start w:val="1"/>
      <w:numFmt w:val="bullet"/>
      <w:lvlText w:val="o"/>
      <w:lvlJc w:val="left"/>
      <w:pPr>
        <w:ind w:left="5580" w:hanging="360"/>
      </w:pPr>
      <w:rPr>
        <w:rFonts w:ascii="Courier New" w:hAnsi="Courier New" w:cs="Courier New" w:hint="default"/>
      </w:rPr>
    </w:lvl>
    <w:lvl w:ilvl="5" w:tplc="040C0005" w:tentative="1">
      <w:start w:val="1"/>
      <w:numFmt w:val="bullet"/>
      <w:lvlText w:val=""/>
      <w:lvlJc w:val="left"/>
      <w:pPr>
        <w:ind w:left="6300" w:hanging="360"/>
      </w:pPr>
      <w:rPr>
        <w:rFonts w:ascii="Wingdings" w:hAnsi="Wingdings" w:hint="default"/>
      </w:rPr>
    </w:lvl>
    <w:lvl w:ilvl="6" w:tplc="040C0001" w:tentative="1">
      <w:start w:val="1"/>
      <w:numFmt w:val="bullet"/>
      <w:lvlText w:val=""/>
      <w:lvlJc w:val="left"/>
      <w:pPr>
        <w:ind w:left="7020" w:hanging="360"/>
      </w:pPr>
      <w:rPr>
        <w:rFonts w:ascii="Symbol" w:hAnsi="Symbol" w:hint="default"/>
      </w:rPr>
    </w:lvl>
    <w:lvl w:ilvl="7" w:tplc="040C0003" w:tentative="1">
      <w:start w:val="1"/>
      <w:numFmt w:val="bullet"/>
      <w:lvlText w:val="o"/>
      <w:lvlJc w:val="left"/>
      <w:pPr>
        <w:ind w:left="7740" w:hanging="360"/>
      </w:pPr>
      <w:rPr>
        <w:rFonts w:ascii="Courier New" w:hAnsi="Courier New" w:cs="Courier New" w:hint="default"/>
      </w:rPr>
    </w:lvl>
    <w:lvl w:ilvl="8" w:tplc="040C0005" w:tentative="1">
      <w:start w:val="1"/>
      <w:numFmt w:val="bullet"/>
      <w:lvlText w:val=""/>
      <w:lvlJc w:val="left"/>
      <w:pPr>
        <w:ind w:left="8460" w:hanging="360"/>
      </w:pPr>
      <w:rPr>
        <w:rFonts w:ascii="Wingdings" w:hAnsi="Wingdings" w:hint="default"/>
      </w:rPr>
    </w:lvl>
  </w:abstractNum>
  <w:abstractNum w:abstractNumId="19" w15:restartNumberingAfterBreak="0">
    <w:nsid w:val="608773E0"/>
    <w:multiLevelType w:val="hybridMultilevel"/>
    <w:tmpl w:val="F4B2E5A8"/>
    <w:lvl w:ilvl="0" w:tplc="040C0001">
      <w:start w:val="1"/>
      <w:numFmt w:val="bullet"/>
      <w:lvlText w:val=""/>
      <w:lvlJc w:val="left"/>
      <w:pPr>
        <w:ind w:left="3240" w:hanging="360"/>
      </w:pPr>
      <w:rPr>
        <w:rFonts w:ascii="Symbol" w:hAnsi="Symbol" w:hint="default"/>
      </w:rPr>
    </w:lvl>
    <w:lvl w:ilvl="1" w:tplc="040C0003" w:tentative="1">
      <w:start w:val="1"/>
      <w:numFmt w:val="bullet"/>
      <w:lvlText w:val="o"/>
      <w:lvlJc w:val="left"/>
      <w:pPr>
        <w:ind w:left="3960" w:hanging="360"/>
      </w:pPr>
      <w:rPr>
        <w:rFonts w:ascii="Courier New" w:hAnsi="Courier New" w:cs="Courier New" w:hint="default"/>
      </w:rPr>
    </w:lvl>
    <w:lvl w:ilvl="2" w:tplc="040C0005" w:tentative="1">
      <w:start w:val="1"/>
      <w:numFmt w:val="bullet"/>
      <w:lvlText w:val=""/>
      <w:lvlJc w:val="left"/>
      <w:pPr>
        <w:ind w:left="4680" w:hanging="360"/>
      </w:pPr>
      <w:rPr>
        <w:rFonts w:ascii="Wingdings" w:hAnsi="Wingdings" w:hint="default"/>
      </w:rPr>
    </w:lvl>
    <w:lvl w:ilvl="3" w:tplc="040C0001" w:tentative="1">
      <w:start w:val="1"/>
      <w:numFmt w:val="bullet"/>
      <w:lvlText w:val=""/>
      <w:lvlJc w:val="left"/>
      <w:pPr>
        <w:ind w:left="5400" w:hanging="360"/>
      </w:pPr>
      <w:rPr>
        <w:rFonts w:ascii="Symbol" w:hAnsi="Symbol" w:hint="default"/>
      </w:rPr>
    </w:lvl>
    <w:lvl w:ilvl="4" w:tplc="040C0003" w:tentative="1">
      <w:start w:val="1"/>
      <w:numFmt w:val="bullet"/>
      <w:lvlText w:val="o"/>
      <w:lvlJc w:val="left"/>
      <w:pPr>
        <w:ind w:left="6120" w:hanging="360"/>
      </w:pPr>
      <w:rPr>
        <w:rFonts w:ascii="Courier New" w:hAnsi="Courier New" w:cs="Courier New" w:hint="default"/>
      </w:rPr>
    </w:lvl>
    <w:lvl w:ilvl="5" w:tplc="040C0005" w:tentative="1">
      <w:start w:val="1"/>
      <w:numFmt w:val="bullet"/>
      <w:lvlText w:val=""/>
      <w:lvlJc w:val="left"/>
      <w:pPr>
        <w:ind w:left="6840" w:hanging="360"/>
      </w:pPr>
      <w:rPr>
        <w:rFonts w:ascii="Wingdings" w:hAnsi="Wingdings" w:hint="default"/>
      </w:rPr>
    </w:lvl>
    <w:lvl w:ilvl="6" w:tplc="040C0001" w:tentative="1">
      <w:start w:val="1"/>
      <w:numFmt w:val="bullet"/>
      <w:lvlText w:val=""/>
      <w:lvlJc w:val="left"/>
      <w:pPr>
        <w:ind w:left="7560" w:hanging="360"/>
      </w:pPr>
      <w:rPr>
        <w:rFonts w:ascii="Symbol" w:hAnsi="Symbol" w:hint="default"/>
      </w:rPr>
    </w:lvl>
    <w:lvl w:ilvl="7" w:tplc="040C0003" w:tentative="1">
      <w:start w:val="1"/>
      <w:numFmt w:val="bullet"/>
      <w:lvlText w:val="o"/>
      <w:lvlJc w:val="left"/>
      <w:pPr>
        <w:ind w:left="8280" w:hanging="360"/>
      </w:pPr>
      <w:rPr>
        <w:rFonts w:ascii="Courier New" w:hAnsi="Courier New" w:cs="Courier New" w:hint="default"/>
      </w:rPr>
    </w:lvl>
    <w:lvl w:ilvl="8" w:tplc="040C0005" w:tentative="1">
      <w:start w:val="1"/>
      <w:numFmt w:val="bullet"/>
      <w:lvlText w:val=""/>
      <w:lvlJc w:val="left"/>
      <w:pPr>
        <w:ind w:left="9000" w:hanging="360"/>
      </w:pPr>
      <w:rPr>
        <w:rFonts w:ascii="Wingdings" w:hAnsi="Wingdings" w:hint="default"/>
      </w:rPr>
    </w:lvl>
  </w:abstractNum>
  <w:abstractNum w:abstractNumId="20" w15:restartNumberingAfterBreak="0">
    <w:nsid w:val="61541AE1"/>
    <w:multiLevelType w:val="hybridMultilevel"/>
    <w:tmpl w:val="A8BCE3B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1D6261F"/>
    <w:multiLevelType w:val="hybridMultilevel"/>
    <w:tmpl w:val="3A449C5E"/>
    <w:lvl w:ilvl="0" w:tplc="A538C418">
      <w:start w:val="1"/>
      <w:numFmt w:val="decimal"/>
      <w:lvlText w:val="%1."/>
      <w:lvlJc w:val="left"/>
      <w:pPr>
        <w:ind w:left="720" w:hanging="360"/>
      </w:pPr>
      <w:rPr>
        <w:sz w:val="28"/>
        <w:szCs w:val="28"/>
      </w:rPr>
    </w:lvl>
    <w:lvl w:ilvl="1" w:tplc="7B224FEA">
      <w:start w:val="1"/>
      <w:numFmt w:val="lowerLetter"/>
      <w:lvlText w:val="%2."/>
      <w:lvlJc w:val="left"/>
      <w:pPr>
        <w:ind w:left="1440" w:hanging="360"/>
      </w:pPr>
      <w:rPr>
        <w:i w:val="0"/>
        <w:sz w:val="22"/>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74E70E2"/>
    <w:multiLevelType w:val="hybridMultilevel"/>
    <w:tmpl w:val="AA0E7B12"/>
    <w:lvl w:ilvl="0" w:tplc="C97E5C4E">
      <w:start w:val="1"/>
      <w:numFmt w:val="decimal"/>
      <w:lvlText w:val="%1."/>
      <w:lvlJc w:val="left"/>
      <w:pPr>
        <w:ind w:left="720" w:hanging="360"/>
      </w:pPr>
      <w:rPr>
        <w:sz w:val="24"/>
        <w:szCs w:val="24"/>
      </w:rPr>
    </w:lvl>
    <w:lvl w:ilvl="1" w:tplc="7B224FEA">
      <w:start w:val="1"/>
      <w:numFmt w:val="lowerLetter"/>
      <w:lvlText w:val="%2."/>
      <w:lvlJc w:val="left"/>
      <w:pPr>
        <w:ind w:left="1440" w:hanging="360"/>
      </w:pPr>
      <w:rPr>
        <w:i w:val="0"/>
        <w:sz w:val="22"/>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2DD5DED"/>
    <w:multiLevelType w:val="hybridMultilevel"/>
    <w:tmpl w:val="435CA8AE"/>
    <w:lvl w:ilvl="0" w:tplc="7B224FEA">
      <w:start w:val="1"/>
      <w:numFmt w:val="lowerLetter"/>
      <w:lvlText w:val="%1."/>
      <w:lvlJc w:val="left"/>
      <w:pPr>
        <w:ind w:left="1440" w:hanging="360"/>
      </w:pPr>
      <w:rPr>
        <w:i w:val="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9895EB4"/>
    <w:multiLevelType w:val="hybridMultilevel"/>
    <w:tmpl w:val="6CF0C5FA"/>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A723774"/>
    <w:multiLevelType w:val="hybridMultilevel"/>
    <w:tmpl w:val="28B2BE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B5E072E"/>
    <w:multiLevelType w:val="hybridMultilevel"/>
    <w:tmpl w:val="34B8FB1A"/>
    <w:lvl w:ilvl="0" w:tplc="328A5EEE">
      <w:start w:val="13"/>
      <w:numFmt w:val="bullet"/>
      <w:lvlText w:val="-"/>
      <w:lvlJc w:val="left"/>
      <w:pPr>
        <w:ind w:left="720" w:hanging="360"/>
      </w:pPr>
      <w:rPr>
        <w:rFonts w:ascii="Book Antiqua" w:eastAsiaTheme="minorHAnsi" w:hAnsi="Book Antiqu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C48287C"/>
    <w:multiLevelType w:val="hybridMultilevel"/>
    <w:tmpl w:val="F6FCC5C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E961FDE"/>
    <w:multiLevelType w:val="hybridMultilevel"/>
    <w:tmpl w:val="5026434E"/>
    <w:lvl w:ilvl="0" w:tplc="0BE81CC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0"/>
  </w:num>
  <w:num w:numId="2">
    <w:abstractNumId w:val="7"/>
  </w:num>
  <w:num w:numId="3">
    <w:abstractNumId w:val="27"/>
  </w:num>
  <w:num w:numId="4">
    <w:abstractNumId w:val="21"/>
  </w:num>
  <w:num w:numId="5">
    <w:abstractNumId w:val="22"/>
  </w:num>
  <w:num w:numId="6">
    <w:abstractNumId w:val="18"/>
  </w:num>
  <w:num w:numId="7">
    <w:abstractNumId w:val="4"/>
  </w:num>
  <w:num w:numId="8">
    <w:abstractNumId w:val="19"/>
  </w:num>
  <w:num w:numId="9">
    <w:abstractNumId w:val="16"/>
  </w:num>
  <w:num w:numId="10">
    <w:abstractNumId w:val="6"/>
  </w:num>
  <w:num w:numId="11">
    <w:abstractNumId w:val="23"/>
  </w:num>
  <w:num w:numId="12">
    <w:abstractNumId w:val="12"/>
  </w:num>
  <w:num w:numId="13">
    <w:abstractNumId w:val="8"/>
  </w:num>
  <w:num w:numId="14">
    <w:abstractNumId w:val="9"/>
  </w:num>
  <w:num w:numId="15">
    <w:abstractNumId w:val="26"/>
  </w:num>
  <w:num w:numId="16">
    <w:abstractNumId w:val="28"/>
  </w:num>
  <w:num w:numId="17">
    <w:abstractNumId w:val="13"/>
  </w:num>
  <w:num w:numId="18">
    <w:abstractNumId w:val="15"/>
  </w:num>
  <w:num w:numId="19">
    <w:abstractNumId w:val="11"/>
  </w:num>
  <w:num w:numId="20">
    <w:abstractNumId w:val="24"/>
  </w:num>
  <w:num w:numId="21">
    <w:abstractNumId w:val="2"/>
  </w:num>
  <w:num w:numId="22">
    <w:abstractNumId w:val="0"/>
  </w:num>
  <w:num w:numId="23">
    <w:abstractNumId w:val="3"/>
  </w:num>
  <w:num w:numId="24">
    <w:abstractNumId w:val="14"/>
  </w:num>
  <w:num w:numId="25">
    <w:abstractNumId w:val="17"/>
  </w:num>
  <w:num w:numId="26">
    <w:abstractNumId w:val="5"/>
  </w:num>
  <w:num w:numId="27">
    <w:abstractNumId w:val="20"/>
  </w:num>
  <w:num w:numId="28">
    <w:abstractNumId w:val="1"/>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WordTimer" w:val="10295"/>
  </w:docVars>
  <w:rsids>
    <w:rsidRoot w:val="00C84FBD"/>
    <w:rsid w:val="0000124A"/>
    <w:rsid w:val="000028B0"/>
    <w:rsid w:val="00004777"/>
    <w:rsid w:val="000066A3"/>
    <w:rsid w:val="00010044"/>
    <w:rsid w:val="00011360"/>
    <w:rsid w:val="00014878"/>
    <w:rsid w:val="0001751D"/>
    <w:rsid w:val="0002033E"/>
    <w:rsid w:val="0002051D"/>
    <w:rsid w:val="000213FD"/>
    <w:rsid w:val="000215FB"/>
    <w:rsid w:val="0002422B"/>
    <w:rsid w:val="00030031"/>
    <w:rsid w:val="00031EBA"/>
    <w:rsid w:val="0003518B"/>
    <w:rsid w:val="000353D9"/>
    <w:rsid w:val="00041DE3"/>
    <w:rsid w:val="00042A33"/>
    <w:rsid w:val="00043843"/>
    <w:rsid w:val="00045E2C"/>
    <w:rsid w:val="0004670B"/>
    <w:rsid w:val="0004730E"/>
    <w:rsid w:val="00051754"/>
    <w:rsid w:val="00052A13"/>
    <w:rsid w:val="0005394D"/>
    <w:rsid w:val="00055DF0"/>
    <w:rsid w:val="0005757B"/>
    <w:rsid w:val="000636C1"/>
    <w:rsid w:val="00064DC7"/>
    <w:rsid w:val="00065AA9"/>
    <w:rsid w:val="00070063"/>
    <w:rsid w:val="000731E9"/>
    <w:rsid w:val="00074283"/>
    <w:rsid w:val="00077B6B"/>
    <w:rsid w:val="00080D82"/>
    <w:rsid w:val="00080EBA"/>
    <w:rsid w:val="00084F66"/>
    <w:rsid w:val="00087488"/>
    <w:rsid w:val="00090C20"/>
    <w:rsid w:val="0009224E"/>
    <w:rsid w:val="00092840"/>
    <w:rsid w:val="000931DC"/>
    <w:rsid w:val="000972E4"/>
    <w:rsid w:val="000A08D3"/>
    <w:rsid w:val="000A23D9"/>
    <w:rsid w:val="000A29E4"/>
    <w:rsid w:val="000A7600"/>
    <w:rsid w:val="000B11CD"/>
    <w:rsid w:val="000B3BF6"/>
    <w:rsid w:val="000B644D"/>
    <w:rsid w:val="000B68DB"/>
    <w:rsid w:val="000C0A4D"/>
    <w:rsid w:val="000C5DD7"/>
    <w:rsid w:val="000C62D4"/>
    <w:rsid w:val="000C703A"/>
    <w:rsid w:val="000C7D13"/>
    <w:rsid w:val="000D06F7"/>
    <w:rsid w:val="000D40D7"/>
    <w:rsid w:val="000D6C9E"/>
    <w:rsid w:val="000E3013"/>
    <w:rsid w:val="000F23E4"/>
    <w:rsid w:val="000F272A"/>
    <w:rsid w:val="000F2740"/>
    <w:rsid w:val="00101A55"/>
    <w:rsid w:val="001031A4"/>
    <w:rsid w:val="00105E4B"/>
    <w:rsid w:val="00106DC6"/>
    <w:rsid w:val="0010716A"/>
    <w:rsid w:val="00111759"/>
    <w:rsid w:val="0011255F"/>
    <w:rsid w:val="00113AB1"/>
    <w:rsid w:val="00113E86"/>
    <w:rsid w:val="00114F28"/>
    <w:rsid w:val="00115281"/>
    <w:rsid w:val="00116B5A"/>
    <w:rsid w:val="00117CD2"/>
    <w:rsid w:val="001223CE"/>
    <w:rsid w:val="00123343"/>
    <w:rsid w:val="001248EB"/>
    <w:rsid w:val="001261FB"/>
    <w:rsid w:val="00130A88"/>
    <w:rsid w:val="00131089"/>
    <w:rsid w:val="00131317"/>
    <w:rsid w:val="00136A0C"/>
    <w:rsid w:val="00136D6D"/>
    <w:rsid w:val="0014072B"/>
    <w:rsid w:val="00141294"/>
    <w:rsid w:val="00143E59"/>
    <w:rsid w:val="00151315"/>
    <w:rsid w:val="00154508"/>
    <w:rsid w:val="00155874"/>
    <w:rsid w:val="0016015E"/>
    <w:rsid w:val="00161C00"/>
    <w:rsid w:val="001631C4"/>
    <w:rsid w:val="0016563A"/>
    <w:rsid w:val="00165F52"/>
    <w:rsid w:val="00167160"/>
    <w:rsid w:val="001716F5"/>
    <w:rsid w:val="00171CB8"/>
    <w:rsid w:val="00177DE1"/>
    <w:rsid w:val="001842CB"/>
    <w:rsid w:val="00187963"/>
    <w:rsid w:val="00187D5E"/>
    <w:rsid w:val="001959AF"/>
    <w:rsid w:val="00196D1C"/>
    <w:rsid w:val="001A581F"/>
    <w:rsid w:val="001A5CFE"/>
    <w:rsid w:val="001A622C"/>
    <w:rsid w:val="001A68A7"/>
    <w:rsid w:val="001A7B54"/>
    <w:rsid w:val="001A7EBD"/>
    <w:rsid w:val="001B089A"/>
    <w:rsid w:val="001B276A"/>
    <w:rsid w:val="001B380B"/>
    <w:rsid w:val="001B399F"/>
    <w:rsid w:val="001B4F0D"/>
    <w:rsid w:val="001C3C29"/>
    <w:rsid w:val="001C51C8"/>
    <w:rsid w:val="001C5D60"/>
    <w:rsid w:val="001C7B85"/>
    <w:rsid w:val="001D32EA"/>
    <w:rsid w:val="001D61D2"/>
    <w:rsid w:val="001E18FA"/>
    <w:rsid w:val="001F14C1"/>
    <w:rsid w:val="001F2A63"/>
    <w:rsid w:val="001F306C"/>
    <w:rsid w:val="001F4977"/>
    <w:rsid w:val="001F4BDA"/>
    <w:rsid w:val="001F6375"/>
    <w:rsid w:val="001F64FA"/>
    <w:rsid w:val="001F7E40"/>
    <w:rsid w:val="00200A8C"/>
    <w:rsid w:val="002021FD"/>
    <w:rsid w:val="00202B44"/>
    <w:rsid w:val="00203101"/>
    <w:rsid w:val="00205EF9"/>
    <w:rsid w:val="0020740A"/>
    <w:rsid w:val="00207BE0"/>
    <w:rsid w:val="0021158F"/>
    <w:rsid w:val="002143DF"/>
    <w:rsid w:val="00222B99"/>
    <w:rsid w:val="002239BE"/>
    <w:rsid w:val="002239C7"/>
    <w:rsid w:val="00224CF3"/>
    <w:rsid w:val="00227905"/>
    <w:rsid w:val="002309C0"/>
    <w:rsid w:val="00231607"/>
    <w:rsid w:val="00231EC1"/>
    <w:rsid w:val="00231EFA"/>
    <w:rsid w:val="00235021"/>
    <w:rsid w:val="00237F98"/>
    <w:rsid w:val="002404A7"/>
    <w:rsid w:val="00240C98"/>
    <w:rsid w:val="002421AA"/>
    <w:rsid w:val="002422B4"/>
    <w:rsid w:val="00247108"/>
    <w:rsid w:val="00251171"/>
    <w:rsid w:val="0025175C"/>
    <w:rsid w:val="00252A78"/>
    <w:rsid w:val="002546A1"/>
    <w:rsid w:val="00254EBF"/>
    <w:rsid w:val="002550D7"/>
    <w:rsid w:val="00255AF9"/>
    <w:rsid w:val="00256263"/>
    <w:rsid w:val="00256277"/>
    <w:rsid w:val="0025759F"/>
    <w:rsid w:val="002615AF"/>
    <w:rsid w:val="002638C7"/>
    <w:rsid w:val="00264A31"/>
    <w:rsid w:val="00265A7C"/>
    <w:rsid w:val="00270091"/>
    <w:rsid w:val="00275C23"/>
    <w:rsid w:val="00275D74"/>
    <w:rsid w:val="00276E16"/>
    <w:rsid w:val="00277C75"/>
    <w:rsid w:val="00280E87"/>
    <w:rsid w:val="002844D5"/>
    <w:rsid w:val="00284C7E"/>
    <w:rsid w:val="00284E8A"/>
    <w:rsid w:val="00285087"/>
    <w:rsid w:val="00285635"/>
    <w:rsid w:val="00285B1B"/>
    <w:rsid w:val="0029427D"/>
    <w:rsid w:val="00295C29"/>
    <w:rsid w:val="002A1E2E"/>
    <w:rsid w:val="002A44FE"/>
    <w:rsid w:val="002A7172"/>
    <w:rsid w:val="002A773B"/>
    <w:rsid w:val="002A7A2F"/>
    <w:rsid w:val="002C18AD"/>
    <w:rsid w:val="002C25E0"/>
    <w:rsid w:val="002C2A46"/>
    <w:rsid w:val="002C6199"/>
    <w:rsid w:val="002C70F0"/>
    <w:rsid w:val="002C7D94"/>
    <w:rsid w:val="002D0A5B"/>
    <w:rsid w:val="002D0B80"/>
    <w:rsid w:val="002D4BD9"/>
    <w:rsid w:val="002D5253"/>
    <w:rsid w:val="002E21CF"/>
    <w:rsid w:val="002E3F0D"/>
    <w:rsid w:val="002E5AAE"/>
    <w:rsid w:val="002E685D"/>
    <w:rsid w:val="002E7434"/>
    <w:rsid w:val="002F13A1"/>
    <w:rsid w:val="002F1C80"/>
    <w:rsid w:val="002F1E28"/>
    <w:rsid w:val="002F45D0"/>
    <w:rsid w:val="002F4E07"/>
    <w:rsid w:val="002F6A45"/>
    <w:rsid w:val="00303A64"/>
    <w:rsid w:val="00305156"/>
    <w:rsid w:val="003075AB"/>
    <w:rsid w:val="00312B11"/>
    <w:rsid w:val="00314102"/>
    <w:rsid w:val="003167C1"/>
    <w:rsid w:val="003176A6"/>
    <w:rsid w:val="00321209"/>
    <w:rsid w:val="00323BEF"/>
    <w:rsid w:val="00334370"/>
    <w:rsid w:val="00337794"/>
    <w:rsid w:val="00341EF8"/>
    <w:rsid w:val="0034659C"/>
    <w:rsid w:val="00350661"/>
    <w:rsid w:val="00350AE6"/>
    <w:rsid w:val="00351E13"/>
    <w:rsid w:val="00355AB0"/>
    <w:rsid w:val="00357B01"/>
    <w:rsid w:val="00361548"/>
    <w:rsid w:val="003652EB"/>
    <w:rsid w:val="003659CA"/>
    <w:rsid w:val="00366DE6"/>
    <w:rsid w:val="00367459"/>
    <w:rsid w:val="0036758F"/>
    <w:rsid w:val="003722D5"/>
    <w:rsid w:val="00372362"/>
    <w:rsid w:val="003743B7"/>
    <w:rsid w:val="00374946"/>
    <w:rsid w:val="00375225"/>
    <w:rsid w:val="0037632F"/>
    <w:rsid w:val="00377227"/>
    <w:rsid w:val="003778C2"/>
    <w:rsid w:val="00377FE0"/>
    <w:rsid w:val="00380AA2"/>
    <w:rsid w:val="00382344"/>
    <w:rsid w:val="00382E2A"/>
    <w:rsid w:val="0038425F"/>
    <w:rsid w:val="003847BE"/>
    <w:rsid w:val="0038515B"/>
    <w:rsid w:val="00386366"/>
    <w:rsid w:val="00386A80"/>
    <w:rsid w:val="003871D4"/>
    <w:rsid w:val="00387E9B"/>
    <w:rsid w:val="00395421"/>
    <w:rsid w:val="003A0E43"/>
    <w:rsid w:val="003A20C7"/>
    <w:rsid w:val="003A32E0"/>
    <w:rsid w:val="003A4286"/>
    <w:rsid w:val="003A6E86"/>
    <w:rsid w:val="003B45EB"/>
    <w:rsid w:val="003B5374"/>
    <w:rsid w:val="003B5A12"/>
    <w:rsid w:val="003B6084"/>
    <w:rsid w:val="003B68FC"/>
    <w:rsid w:val="003B7632"/>
    <w:rsid w:val="003C020A"/>
    <w:rsid w:val="003C1CA5"/>
    <w:rsid w:val="003C4267"/>
    <w:rsid w:val="003C56D1"/>
    <w:rsid w:val="003C5ECB"/>
    <w:rsid w:val="003D3765"/>
    <w:rsid w:val="003D636B"/>
    <w:rsid w:val="003D6A6E"/>
    <w:rsid w:val="003E09C3"/>
    <w:rsid w:val="003E12C8"/>
    <w:rsid w:val="003E45B2"/>
    <w:rsid w:val="003E5CA9"/>
    <w:rsid w:val="003F38C0"/>
    <w:rsid w:val="003F42E6"/>
    <w:rsid w:val="00401771"/>
    <w:rsid w:val="00402A69"/>
    <w:rsid w:val="00403911"/>
    <w:rsid w:val="0040399C"/>
    <w:rsid w:val="004052F5"/>
    <w:rsid w:val="00406999"/>
    <w:rsid w:val="004075AD"/>
    <w:rsid w:val="00407FE8"/>
    <w:rsid w:val="0041327A"/>
    <w:rsid w:val="00426EBD"/>
    <w:rsid w:val="00427090"/>
    <w:rsid w:val="00431862"/>
    <w:rsid w:val="0043452F"/>
    <w:rsid w:val="0043590D"/>
    <w:rsid w:val="004363F2"/>
    <w:rsid w:val="00440D35"/>
    <w:rsid w:val="00443CA4"/>
    <w:rsid w:val="004461C1"/>
    <w:rsid w:val="00446659"/>
    <w:rsid w:val="00446C80"/>
    <w:rsid w:val="004470C1"/>
    <w:rsid w:val="00447625"/>
    <w:rsid w:val="00451CB2"/>
    <w:rsid w:val="00452A81"/>
    <w:rsid w:val="004615C3"/>
    <w:rsid w:val="0046161A"/>
    <w:rsid w:val="00467249"/>
    <w:rsid w:val="004701CB"/>
    <w:rsid w:val="0047263A"/>
    <w:rsid w:val="004726E4"/>
    <w:rsid w:val="00475E40"/>
    <w:rsid w:val="004848ED"/>
    <w:rsid w:val="00485FDA"/>
    <w:rsid w:val="00490857"/>
    <w:rsid w:val="00494892"/>
    <w:rsid w:val="00494942"/>
    <w:rsid w:val="004965F6"/>
    <w:rsid w:val="00497038"/>
    <w:rsid w:val="004A0CA7"/>
    <w:rsid w:val="004A25AB"/>
    <w:rsid w:val="004A391E"/>
    <w:rsid w:val="004A5BDF"/>
    <w:rsid w:val="004A6A16"/>
    <w:rsid w:val="004B13A2"/>
    <w:rsid w:val="004B144C"/>
    <w:rsid w:val="004B237B"/>
    <w:rsid w:val="004B36C4"/>
    <w:rsid w:val="004B58D6"/>
    <w:rsid w:val="004B5CC3"/>
    <w:rsid w:val="004B6AE7"/>
    <w:rsid w:val="004C470F"/>
    <w:rsid w:val="004C52B5"/>
    <w:rsid w:val="004C731A"/>
    <w:rsid w:val="004D088E"/>
    <w:rsid w:val="004D1861"/>
    <w:rsid w:val="004D1FAC"/>
    <w:rsid w:val="004D3D86"/>
    <w:rsid w:val="004D406D"/>
    <w:rsid w:val="004E13C5"/>
    <w:rsid w:val="004E5769"/>
    <w:rsid w:val="004E5DF8"/>
    <w:rsid w:val="004F65B7"/>
    <w:rsid w:val="0050212B"/>
    <w:rsid w:val="00502B76"/>
    <w:rsid w:val="0050328B"/>
    <w:rsid w:val="00503B95"/>
    <w:rsid w:val="00504026"/>
    <w:rsid w:val="00504546"/>
    <w:rsid w:val="00507121"/>
    <w:rsid w:val="00507882"/>
    <w:rsid w:val="00510026"/>
    <w:rsid w:val="00510F11"/>
    <w:rsid w:val="0051139E"/>
    <w:rsid w:val="00512AE5"/>
    <w:rsid w:val="00514BB1"/>
    <w:rsid w:val="0051649F"/>
    <w:rsid w:val="00517230"/>
    <w:rsid w:val="00517431"/>
    <w:rsid w:val="005217CC"/>
    <w:rsid w:val="00523FEF"/>
    <w:rsid w:val="00524E49"/>
    <w:rsid w:val="00525415"/>
    <w:rsid w:val="005271F9"/>
    <w:rsid w:val="005302A5"/>
    <w:rsid w:val="0053268C"/>
    <w:rsid w:val="00533A72"/>
    <w:rsid w:val="00541E72"/>
    <w:rsid w:val="005433F3"/>
    <w:rsid w:val="00545D5B"/>
    <w:rsid w:val="00547512"/>
    <w:rsid w:val="00547C62"/>
    <w:rsid w:val="0055015C"/>
    <w:rsid w:val="0055482B"/>
    <w:rsid w:val="00555721"/>
    <w:rsid w:val="00556620"/>
    <w:rsid w:val="00560518"/>
    <w:rsid w:val="00562651"/>
    <w:rsid w:val="005635A5"/>
    <w:rsid w:val="005641AE"/>
    <w:rsid w:val="00574046"/>
    <w:rsid w:val="0057434C"/>
    <w:rsid w:val="00576E4C"/>
    <w:rsid w:val="00582B39"/>
    <w:rsid w:val="00583D7C"/>
    <w:rsid w:val="005858DC"/>
    <w:rsid w:val="00586DE8"/>
    <w:rsid w:val="0059013C"/>
    <w:rsid w:val="00591490"/>
    <w:rsid w:val="00592B47"/>
    <w:rsid w:val="005931FA"/>
    <w:rsid w:val="005955CC"/>
    <w:rsid w:val="005A3394"/>
    <w:rsid w:val="005A5631"/>
    <w:rsid w:val="005A60FA"/>
    <w:rsid w:val="005A6D8D"/>
    <w:rsid w:val="005A74FA"/>
    <w:rsid w:val="005B45C1"/>
    <w:rsid w:val="005B69B7"/>
    <w:rsid w:val="005B70B5"/>
    <w:rsid w:val="005B7894"/>
    <w:rsid w:val="005C049E"/>
    <w:rsid w:val="005C3DCD"/>
    <w:rsid w:val="005C4CBA"/>
    <w:rsid w:val="005C688D"/>
    <w:rsid w:val="005C6F72"/>
    <w:rsid w:val="005D06F8"/>
    <w:rsid w:val="005D5F25"/>
    <w:rsid w:val="005D6329"/>
    <w:rsid w:val="005D6E3A"/>
    <w:rsid w:val="005D7C9E"/>
    <w:rsid w:val="005D7F51"/>
    <w:rsid w:val="005E2890"/>
    <w:rsid w:val="005E3BD0"/>
    <w:rsid w:val="005E5C97"/>
    <w:rsid w:val="005E6C65"/>
    <w:rsid w:val="005E6E34"/>
    <w:rsid w:val="005F4D8C"/>
    <w:rsid w:val="00601058"/>
    <w:rsid w:val="006011DA"/>
    <w:rsid w:val="00601F97"/>
    <w:rsid w:val="0060366C"/>
    <w:rsid w:val="00603944"/>
    <w:rsid w:val="00604435"/>
    <w:rsid w:val="0061043A"/>
    <w:rsid w:val="00612C8D"/>
    <w:rsid w:val="00613B64"/>
    <w:rsid w:val="00614B06"/>
    <w:rsid w:val="00614BF7"/>
    <w:rsid w:val="00622E6C"/>
    <w:rsid w:val="00623D5A"/>
    <w:rsid w:val="00624436"/>
    <w:rsid w:val="00626D4C"/>
    <w:rsid w:val="0062707A"/>
    <w:rsid w:val="006278A5"/>
    <w:rsid w:val="00632C68"/>
    <w:rsid w:val="00634C0D"/>
    <w:rsid w:val="0063690B"/>
    <w:rsid w:val="00636D5A"/>
    <w:rsid w:val="00640D4A"/>
    <w:rsid w:val="00643827"/>
    <w:rsid w:val="006438F9"/>
    <w:rsid w:val="006463D8"/>
    <w:rsid w:val="0064650B"/>
    <w:rsid w:val="006508E5"/>
    <w:rsid w:val="006514A8"/>
    <w:rsid w:val="0065198E"/>
    <w:rsid w:val="006530EC"/>
    <w:rsid w:val="00653BDE"/>
    <w:rsid w:val="00654887"/>
    <w:rsid w:val="0065643D"/>
    <w:rsid w:val="00657F42"/>
    <w:rsid w:val="00660005"/>
    <w:rsid w:val="006711EB"/>
    <w:rsid w:val="00671439"/>
    <w:rsid w:val="00671B28"/>
    <w:rsid w:val="00672248"/>
    <w:rsid w:val="00675811"/>
    <w:rsid w:val="006772BA"/>
    <w:rsid w:val="00677AF7"/>
    <w:rsid w:val="00682CC3"/>
    <w:rsid w:val="006839B4"/>
    <w:rsid w:val="0068460D"/>
    <w:rsid w:val="00685278"/>
    <w:rsid w:val="0068614C"/>
    <w:rsid w:val="006861EA"/>
    <w:rsid w:val="00687FA9"/>
    <w:rsid w:val="006903BB"/>
    <w:rsid w:val="00696B79"/>
    <w:rsid w:val="006A2BCF"/>
    <w:rsid w:val="006A364F"/>
    <w:rsid w:val="006A3E60"/>
    <w:rsid w:val="006A4101"/>
    <w:rsid w:val="006A5F84"/>
    <w:rsid w:val="006A78D9"/>
    <w:rsid w:val="006B02EC"/>
    <w:rsid w:val="006B4E95"/>
    <w:rsid w:val="006B5767"/>
    <w:rsid w:val="006B666F"/>
    <w:rsid w:val="006B7032"/>
    <w:rsid w:val="006C43AB"/>
    <w:rsid w:val="006C4723"/>
    <w:rsid w:val="006D0D4E"/>
    <w:rsid w:val="006D1F15"/>
    <w:rsid w:val="006D2E74"/>
    <w:rsid w:val="006D4642"/>
    <w:rsid w:val="006D71D5"/>
    <w:rsid w:val="006E26E7"/>
    <w:rsid w:val="006E48CC"/>
    <w:rsid w:val="006E6A7D"/>
    <w:rsid w:val="006E77E1"/>
    <w:rsid w:val="006F0050"/>
    <w:rsid w:val="006F0137"/>
    <w:rsid w:val="006F1A55"/>
    <w:rsid w:val="006F4B48"/>
    <w:rsid w:val="006F63F1"/>
    <w:rsid w:val="007007B2"/>
    <w:rsid w:val="00700DA3"/>
    <w:rsid w:val="00702D2F"/>
    <w:rsid w:val="007033C1"/>
    <w:rsid w:val="00704AD7"/>
    <w:rsid w:val="0070544A"/>
    <w:rsid w:val="007056AF"/>
    <w:rsid w:val="0070641F"/>
    <w:rsid w:val="00707752"/>
    <w:rsid w:val="0070791B"/>
    <w:rsid w:val="00707B47"/>
    <w:rsid w:val="007118F2"/>
    <w:rsid w:val="0071584C"/>
    <w:rsid w:val="00722230"/>
    <w:rsid w:val="007227A5"/>
    <w:rsid w:val="00724E27"/>
    <w:rsid w:val="00730C76"/>
    <w:rsid w:val="0073652C"/>
    <w:rsid w:val="00736E70"/>
    <w:rsid w:val="00737C50"/>
    <w:rsid w:val="0074039B"/>
    <w:rsid w:val="00744C5F"/>
    <w:rsid w:val="007450C8"/>
    <w:rsid w:val="00745453"/>
    <w:rsid w:val="007475D9"/>
    <w:rsid w:val="007510A3"/>
    <w:rsid w:val="00751E2D"/>
    <w:rsid w:val="00752243"/>
    <w:rsid w:val="00753E5C"/>
    <w:rsid w:val="007545F3"/>
    <w:rsid w:val="00755176"/>
    <w:rsid w:val="00762C88"/>
    <w:rsid w:val="007638A5"/>
    <w:rsid w:val="0076652F"/>
    <w:rsid w:val="00772F8E"/>
    <w:rsid w:val="00785D0D"/>
    <w:rsid w:val="00786F84"/>
    <w:rsid w:val="00790F21"/>
    <w:rsid w:val="00792520"/>
    <w:rsid w:val="0079338B"/>
    <w:rsid w:val="00794414"/>
    <w:rsid w:val="0079557C"/>
    <w:rsid w:val="007959D3"/>
    <w:rsid w:val="007975E1"/>
    <w:rsid w:val="007A6530"/>
    <w:rsid w:val="007A75B8"/>
    <w:rsid w:val="007B1C93"/>
    <w:rsid w:val="007B1F07"/>
    <w:rsid w:val="007B287D"/>
    <w:rsid w:val="007B2AC9"/>
    <w:rsid w:val="007B2DBF"/>
    <w:rsid w:val="007B376D"/>
    <w:rsid w:val="007B5896"/>
    <w:rsid w:val="007B590F"/>
    <w:rsid w:val="007B6FE6"/>
    <w:rsid w:val="007C0BBB"/>
    <w:rsid w:val="007C3E4D"/>
    <w:rsid w:val="007C49EE"/>
    <w:rsid w:val="007C6BF7"/>
    <w:rsid w:val="007C7735"/>
    <w:rsid w:val="007D1B63"/>
    <w:rsid w:val="007D1CCE"/>
    <w:rsid w:val="007D2541"/>
    <w:rsid w:val="007D32B1"/>
    <w:rsid w:val="007D40E6"/>
    <w:rsid w:val="007D4E2F"/>
    <w:rsid w:val="007D5BB0"/>
    <w:rsid w:val="007D7A44"/>
    <w:rsid w:val="007D7D22"/>
    <w:rsid w:val="007E0F8B"/>
    <w:rsid w:val="007E6860"/>
    <w:rsid w:val="007E6FF6"/>
    <w:rsid w:val="007F0035"/>
    <w:rsid w:val="007F2130"/>
    <w:rsid w:val="007F424A"/>
    <w:rsid w:val="007F62B8"/>
    <w:rsid w:val="007F6B5F"/>
    <w:rsid w:val="007F7286"/>
    <w:rsid w:val="00800913"/>
    <w:rsid w:val="008011E1"/>
    <w:rsid w:val="00801BF4"/>
    <w:rsid w:val="00803F24"/>
    <w:rsid w:val="00804B10"/>
    <w:rsid w:val="00804EDC"/>
    <w:rsid w:val="00805FA4"/>
    <w:rsid w:val="00812448"/>
    <w:rsid w:val="00813815"/>
    <w:rsid w:val="0081385C"/>
    <w:rsid w:val="00816794"/>
    <w:rsid w:val="008170DC"/>
    <w:rsid w:val="008175DF"/>
    <w:rsid w:val="008177FA"/>
    <w:rsid w:val="00817F3C"/>
    <w:rsid w:val="00821B37"/>
    <w:rsid w:val="0082267E"/>
    <w:rsid w:val="00825D26"/>
    <w:rsid w:val="00826EDA"/>
    <w:rsid w:val="0083005D"/>
    <w:rsid w:val="00832F60"/>
    <w:rsid w:val="0083457A"/>
    <w:rsid w:val="00834B3A"/>
    <w:rsid w:val="00836C5E"/>
    <w:rsid w:val="0083727F"/>
    <w:rsid w:val="00840343"/>
    <w:rsid w:val="008417CC"/>
    <w:rsid w:val="00842E4E"/>
    <w:rsid w:val="008451B5"/>
    <w:rsid w:val="00850836"/>
    <w:rsid w:val="00855730"/>
    <w:rsid w:val="008565EA"/>
    <w:rsid w:val="00862F07"/>
    <w:rsid w:val="00865CA1"/>
    <w:rsid w:val="00866AD0"/>
    <w:rsid w:val="0087134D"/>
    <w:rsid w:val="00872857"/>
    <w:rsid w:val="0087312D"/>
    <w:rsid w:val="00875687"/>
    <w:rsid w:val="00876F47"/>
    <w:rsid w:val="00881C89"/>
    <w:rsid w:val="008907E9"/>
    <w:rsid w:val="008909DC"/>
    <w:rsid w:val="00890EF6"/>
    <w:rsid w:val="0089129F"/>
    <w:rsid w:val="008914FA"/>
    <w:rsid w:val="0089343F"/>
    <w:rsid w:val="00893560"/>
    <w:rsid w:val="008A5837"/>
    <w:rsid w:val="008A5CCD"/>
    <w:rsid w:val="008A6F4C"/>
    <w:rsid w:val="008B1653"/>
    <w:rsid w:val="008B3A3E"/>
    <w:rsid w:val="008B5795"/>
    <w:rsid w:val="008B776C"/>
    <w:rsid w:val="008C30EF"/>
    <w:rsid w:val="008C3A4C"/>
    <w:rsid w:val="008D1E30"/>
    <w:rsid w:val="008D217B"/>
    <w:rsid w:val="008D2C95"/>
    <w:rsid w:val="008D512D"/>
    <w:rsid w:val="008D60FF"/>
    <w:rsid w:val="008E062A"/>
    <w:rsid w:val="008E168A"/>
    <w:rsid w:val="008E1E92"/>
    <w:rsid w:val="008E2346"/>
    <w:rsid w:val="008E6A90"/>
    <w:rsid w:val="008F3865"/>
    <w:rsid w:val="008F59D5"/>
    <w:rsid w:val="008F73B0"/>
    <w:rsid w:val="0090134C"/>
    <w:rsid w:val="00901A0E"/>
    <w:rsid w:val="00903B27"/>
    <w:rsid w:val="0090634B"/>
    <w:rsid w:val="009069A3"/>
    <w:rsid w:val="00907AFD"/>
    <w:rsid w:val="009120CF"/>
    <w:rsid w:val="00912AD0"/>
    <w:rsid w:val="00913B05"/>
    <w:rsid w:val="00914DCE"/>
    <w:rsid w:val="0091644F"/>
    <w:rsid w:val="00920A1B"/>
    <w:rsid w:val="00923EF3"/>
    <w:rsid w:val="00924225"/>
    <w:rsid w:val="009305D5"/>
    <w:rsid w:val="00930CCA"/>
    <w:rsid w:val="009319C2"/>
    <w:rsid w:val="00933AD5"/>
    <w:rsid w:val="009370C6"/>
    <w:rsid w:val="009456E3"/>
    <w:rsid w:val="0094614D"/>
    <w:rsid w:val="0095745B"/>
    <w:rsid w:val="00957578"/>
    <w:rsid w:val="0096091E"/>
    <w:rsid w:val="009657D5"/>
    <w:rsid w:val="00970094"/>
    <w:rsid w:val="009703A1"/>
    <w:rsid w:val="00970D56"/>
    <w:rsid w:val="0097291B"/>
    <w:rsid w:val="00974CC3"/>
    <w:rsid w:val="00976A97"/>
    <w:rsid w:val="009812C7"/>
    <w:rsid w:val="00982F05"/>
    <w:rsid w:val="00983E6C"/>
    <w:rsid w:val="009860BC"/>
    <w:rsid w:val="0099422B"/>
    <w:rsid w:val="009944E4"/>
    <w:rsid w:val="00994D1B"/>
    <w:rsid w:val="009965C4"/>
    <w:rsid w:val="009A256F"/>
    <w:rsid w:val="009A5C56"/>
    <w:rsid w:val="009A60AF"/>
    <w:rsid w:val="009B2711"/>
    <w:rsid w:val="009B4158"/>
    <w:rsid w:val="009B44D1"/>
    <w:rsid w:val="009B4D88"/>
    <w:rsid w:val="009B5C0B"/>
    <w:rsid w:val="009B6860"/>
    <w:rsid w:val="009B7397"/>
    <w:rsid w:val="009B7C78"/>
    <w:rsid w:val="009C00F3"/>
    <w:rsid w:val="009C6722"/>
    <w:rsid w:val="009C6913"/>
    <w:rsid w:val="009C7B54"/>
    <w:rsid w:val="009D0189"/>
    <w:rsid w:val="009D201A"/>
    <w:rsid w:val="009D6AA4"/>
    <w:rsid w:val="009E046B"/>
    <w:rsid w:val="009E0870"/>
    <w:rsid w:val="009E148C"/>
    <w:rsid w:val="009E38A9"/>
    <w:rsid w:val="009E3FE6"/>
    <w:rsid w:val="009E554F"/>
    <w:rsid w:val="009E7FEB"/>
    <w:rsid w:val="009F0FDE"/>
    <w:rsid w:val="009F1CC4"/>
    <w:rsid w:val="009F1FC6"/>
    <w:rsid w:val="009F3733"/>
    <w:rsid w:val="009F4991"/>
    <w:rsid w:val="009F6348"/>
    <w:rsid w:val="00A00537"/>
    <w:rsid w:val="00A00EE3"/>
    <w:rsid w:val="00A01098"/>
    <w:rsid w:val="00A02B5B"/>
    <w:rsid w:val="00A03ABE"/>
    <w:rsid w:val="00A10556"/>
    <w:rsid w:val="00A10F30"/>
    <w:rsid w:val="00A15781"/>
    <w:rsid w:val="00A201D8"/>
    <w:rsid w:val="00A20D7C"/>
    <w:rsid w:val="00A224B4"/>
    <w:rsid w:val="00A24F56"/>
    <w:rsid w:val="00A251C0"/>
    <w:rsid w:val="00A25698"/>
    <w:rsid w:val="00A2681F"/>
    <w:rsid w:val="00A27C1E"/>
    <w:rsid w:val="00A32025"/>
    <w:rsid w:val="00A3333B"/>
    <w:rsid w:val="00A35D4A"/>
    <w:rsid w:val="00A4016B"/>
    <w:rsid w:val="00A4309B"/>
    <w:rsid w:val="00A44F18"/>
    <w:rsid w:val="00A46F36"/>
    <w:rsid w:val="00A46FEA"/>
    <w:rsid w:val="00A546D9"/>
    <w:rsid w:val="00A55236"/>
    <w:rsid w:val="00A70585"/>
    <w:rsid w:val="00A713E6"/>
    <w:rsid w:val="00A71710"/>
    <w:rsid w:val="00A718A9"/>
    <w:rsid w:val="00A73AF4"/>
    <w:rsid w:val="00A747D7"/>
    <w:rsid w:val="00A7584D"/>
    <w:rsid w:val="00A75D26"/>
    <w:rsid w:val="00A776E4"/>
    <w:rsid w:val="00A80AF5"/>
    <w:rsid w:val="00A80B5C"/>
    <w:rsid w:val="00A82521"/>
    <w:rsid w:val="00A82899"/>
    <w:rsid w:val="00A8293E"/>
    <w:rsid w:val="00A830C1"/>
    <w:rsid w:val="00A85AA7"/>
    <w:rsid w:val="00A9095E"/>
    <w:rsid w:val="00A916A9"/>
    <w:rsid w:val="00A930E0"/>
    <w:rsid w:val="00A93C0D"/>
    <w:rsid w:val="00A97510"/>
    <w:rsid w:val="00AA32DB"/>
    <w:rsid w:val="00AA79EF"/>
    <w:rsid w:val="00AB204D"/>
    <w:rsid w:val="00AB33FD"/>
    <w:rsid w:val="00AB3846"/>
    <w:rsid w:val="00AB4CC6"/>
    <w:rsid w:val="00AB5DAA"/>
    <w:rsid w:val="00AB633A"/>
    <w:rsid w:val="00AC22A2"/>
    <w:rsid w:val="00AD492D"/>
    <w:rsid w:val="00AE18FF"/>
    <w:rsid w:val="00AE730B"/>
    <w:rsid w:val="00AE79FA"/>
    <w:rsid w:val="00AF0C69"/>
    <w:rsid w:val="00B0268F"/>
    <w:rsid w:val="00B02835"/>
    <w:rsid w:val="00B02E3D"/>
    <w:rsid w:val="00B039A4"/>
    <w:rsid w:val="00B04F0E"/>
    <w:rsid w:val="00B06A6A"/>
    <w:rsid w:val="00B07E8C"/>
    <w:rsid w:val="00B122EF"/>
    <w:rsid w:val="00B132B3"/>
    <w:rsid w:val="00B14A1D"/>
    <w:rsid w:val="00B14A22"/>
    <w:rsid w:val="00B152EE"/>
    <w:rsid w:val="00B24847"/>
    <w:rsid w:val="00B25A83"/>
    <w:rsid w:val="00B308E5"/>
    <w:rsid w:val="00B35402"/>
    <w:rsid w:val="00B3564D"/>
    <w:rsid w:val="00B41EB9"/>
    <w:rsid w:val="00B42761"/>
    <w:rsid w:val="00B521ED"/>
    <w:rsid w:val="00B52CEC"/>
    <w:rsid w:val="00B534DD"/>
    <w:rsid w:val="00B5575B"/>
    <w:rsid w:val="00B60B78"/>
    <w:rsid w:val="00B6221F"/>
    <w:rsid w:val="00B640F5"/>
    <w:rsid w:val="00B64347"/>
    <w:rsid w:val="00B64E4C"/>
    <w:rsid w:val="00B662A2"/>
    <w:rsid w:val="00B67546"/>
    <w:rsid w:val="00B7042F"/>
    <w:rsid w:val="00B71809"/>
    <w:rsid w:val="00B811FD"/>
    <w:rsid w:val="00B816FA"/>
    <w:rsid w:val="00B831F6"/>
    <w:rsid w:val="00B84B3D"/>
    <w:rsid w:val="00B86209"/>
    <w:rsid w:val="00B8699C"/>
    <w:rsid w:val="00B9084A"/>
    <w:rsid w:val="00B910BA"/>
    <w:rsid w:val="00B9175E"/>
    <w:rsid w:val="00B91E18"/>
    <w:rsid w:val="00B920F1"/>
    <w:rsid w:val="00B93805"/>
    <w:rsid w:val="00B94EF5"/>
    <w:rsid w:val="00B9575C"/>
    <w:rsid w:val="00B965BE"/>
    <w:rsid w:val="00B967C6"/>
    <w:rsid w:val="00BA3947"/>
    <w:rsid w:val="00BA3E66"/>
    <w:rsid w:val="00BA74BA"/>
    <w:rsid w:val="00BA7967"/>
    <w:rsid w:val="00BB0A65"/>
    <w:rsid w:val="00BB1511"/>
    <w:rsid w:val="00BB1FFE"/>
    <w:rsid w:val="00BB3D95"/>
    <w:rsid w:val="00BB6614"/>
    <w:rsid w:val="00BB7CDE"/>
    <w:rsid w:val="00BC21D5"/>
    <w:rsid w:val="00BC4083"/>
    <w:rsid w:val="00BC4BA9"/>
    <w:rsid w:val="00BC714D"/>
    <w:rsid w:val="00BD0F61"/>
    <w:rsid w:val="00BD1067"/>
    <w:rsid w:val="00BD1556"/>
    <w:rsid w:val="00BD4E98"/>
    <w:rsid w:val="00BD7111"/>
    <w:rsid w:val="00BD7739"/>
    <w:rsid w:val="00BD780C"/>
    <w:rsid w:val="00BE4E18"/>
    <w:rsid w:val="00BE69E0"/>
    <w:rsid w:val="00BE760A"/>
    <w:rsid w:val="00BF0922"/>
    <w:rsid w:val="00BF0AEC"/>
    <w:rsid w:val="00BF10C5"/>
    <w:rsid w:val="00BF3B48"/>
    <w:rsid w:val="00BF76E4"/>
    <w:rsid w:val="00C00778"/>
    <w:rsid w:val="00C020BD"/>
    <w:rsid w:val="00C022B3"/>
    <w:rsid w:val="00C043FE"/>
    <w:rsid w:val="00C04CF1"/>
    <w:rsid w:val="00C05B50"/>
    <w:rsid w:val="00C07F13"/>
    <w:rsid w:val="00C10E1D"/>
    <w:rsid w:val="00C1160E"/>
    <w:rsid w:val="00C13B37"/>
    <w:rsid w:val="00C13B56"/>
    <w:rsid w:val="00C140B4"/>
    <w:rsid w:val="00C14851"/>
    <w:rsid w:val="00C26247"/>
    <w:rsid w:val="00C331A1"/>
    <w:rsid w:val="00C43CFB"/>
    <w:rsid w:val="00C51AC6"/>
    <w:rsid w:val="00C53E0A"/>
    <w:rsid w:val="00C55CB1"/>
    <w:rsid w:val="00C57616"/>
    <w:rsid w:val="00C6094D"/>
    <w:rsid w:val="00C64054"/>
    <w:rsid w:val="00C65594"/>
    <w:rsid w:val="00C6611D"/>
    <w:rsid w:val="00C678AA"/>
    <w:rsid w:val="00C70093"/>
    <w:rsid w:val="00C711D7"/>
    <w:rsid w:val="00C72B4B"/>
    <w:rsid w:val="00C72FA7"/>
    <w:rsid w:val="00C7420F"/>
    <w:rsid w:val="00C7566E"/>
    <w:rsid w:val="00C75932"/>
    <w:rsid w:val="00C77319"/>
    <w:rsid w:val="00C80EE3"/>
    <w:rsid w:val="00C821F1"/>
    <w:rsid w:val="00C826A4"/>
    <w:rsid w:val="00C829D6"/>
    <w:rsid w:val="00C82FE2"/>
    <w:rsid w:val="00C84327"/>
    <w:rsid w:val="00C84FBD"/>
    <w:rsid w:val="00C85947"/>
    <w:rsid w:val="00C85D6D"/>
    <w:rsid w:val="00C868E5"/>
    <w:rsid w:val="00C86F02"/>
    <w:rsid w:val="00C87F02"/>
    <w:rsid w:val="00C87FD5"/>
    <w:rsid w:val="00C906C7"/>
    <w:rsid w:val="00C90D87"/>
    <w:rsid w:val="00C94391"/>
    <w:rsid w:val="00C94D69"/>
    <w:rsid w:val="00C96382"/>
    <w:rsid w:val="00CA160A"/>
    <w:rsid w:val="00CA38F9"/>
    <w:rsid w:val="00CA3DA7"/>
    <w:rsid w:val="00CA464A"/>
    <w:rsid w:val="00CA4A20"/>
    <w:rsid w:val="00CA4AD4"/>
    <w:rsid w:val="00CB1352"/>
    <w:rsid w:val="00CB2D6F"/>
    <w:rsid w:val="00CB3F0E"/>
    <w:rsid w:val="00CB6980"/>
    <w:rsid w:val="00CB78BE"/>
    <w:rsid w:val="00CC10F2"/>
    <w:rsid w:val="00CC2AF4"/>
    <w:rsid w:val="00CC2E31"/>
    <w:rsid w:val="00CC410C"/>
    <w:rsid w:val="00CC5A92"/>
    <w:rsid w:val="00CC5A9A"/>
    <w:rsid w:val="00CD0719"/>
    <w:rsid w:val="00CD1BAB"/>
    <w:rsid w:val="00CD2879"/>
    <w:rsid w:val="00CD2EDC"/>
    <w:rsid w:val="00CD344A"/>
    <w:rsid w:val="00CE0298"/>
    <w:rsid w:val="00CE03D9"/>
    <w:rsid w:val="00CE6699"/>
    <w:rsid w:val="00CE6BBB"/>
    <w:rsid w:val="00CE771E"/>
    <w:rsid w:val="00CF1551"/>
    <w:rsid w:val="00CF23E8"/>
    <w:rsid w:val="00CF430A"/>
    <w:rsid w:val="00CF493A"/>
    <w:rsid w:val="00CF7F12"/>
    <w:rsid w:val="00D01AF0"/>
    <w:rsid w:val="00D052AA"/>
    <w:rsid w:val="00D13ED2"/>
    <w:rsid w:val="00D1409B"/>
    <w:rsid w:val="00D164DE"/>
    <w:rsid w:val="00D17E7C"/>
    <w:rsid w:val="00D20A30"/>
    <w:rsid w:val="00D214E8"/>
    <w:rsid w:val="00D21BDA"/>
    <w:rsid w:val="00D27373"/>
    <w:rsid w:val="00D2752E"/>
    <w:rsid w:val="00D32A91"/>
    <w:rsid w:val="00D36D2F"/>
    <w:rsid w:val="00D37939"/>
    <w:rsid w:val="00D432F8"/>
    <w:rsid w:val="00D50AFE"/>
    <w:rsid w:val="00D530B9"/>
    <w:rsid w:val="00D537AD"/>
    <w:rsid w:val="00D552FB"/>
    <w:rsid w:val="00D56844"/>
    <w:rsid w:val="00D56D91"/>
    <w:rsid w:val="00D60084"/>
    <w:rsid w:val="00D60E48"/>
    <w:rsid w:val="00D61C6A"/>
    <w:rsid w:val="00D67E32"/>
    <w:rsid w:val="00D71917"/>
    <w:rsid w:val="00D76390"/>
    <w:rsid w:val="00D838CF"/>
    <w:rsid w:val="00D85940"/>
    <w:rsid w:val="00D92D27"/>
    <w:rsid w:val="00D932BD"/>
    <w:rsid w:val="00D954A3"/>
    <w:rsid w:val="00DA02E7"/>
    <w:rsid w:val="00DA12FE"/>
    <w:rsid w:val="00DA3004"/>
    <w:rsid w:val="00DA7A8F"/>
    <w:rsid w:val="00DB45CA"/>
    <w:rsid w:val="00DB5D24"/>
    <w:rsid w:val="00DB7074"/>
    <w:rsid w:val="00DB7889"/>
    <w:rsid w:val="00DC3D97"/>
    <w:rsid w:val="00DC4337"/>
    <w:rsid w:val="00DC4621"/>
    <w:rsid w:val="00DD28C8"/>
    <w:rsid w:val="00DD69F9"/>
    <w:rsid w:val="00DE0227"/>
    <w:rsid w:val="00DE5878"/>
    <w:rsid w:val="00DE60E5"/>
    <w:rsid w:val="00DF3869"/>
    <w:rsid w:val="00DF3A9B"/>
    <w:rsid w:val="00DF5CF6"/>
    <w:rsid w:val="00E0053C"/>
    <w:rsid w:val="00E0121A"/>
    <w:rsid w:val="00E024F9"/>
    <w:rsid w:val="00E0571B"/>
    <w:rsid w:val="00E13D83"/>
    <w:rsid w:val="00E152A5"/>
    <w:rsid w:val="00E20BD1"/>
    <w:rsid w:val="00E2116D"/>
    <w:rsid w:val="00E22E2B"/>
    <w:rsid w:val="00E234CA"/>
    <w:rsid w:val="00E26EF6"/>
    <w:rsid w:val="00E26F6D"/>
    <w:rsid w:val="00E278CD"/>
    <w:rsid w:val="00E27DEF"/>
    <w:rsid w:val="00E308C5"/>
    <w:rsid w:val="00E3400B"/>
    <w:rsid w:val="00E42DE1"/>
    <w:rsid w:val="00E44A17"/>
    <w:rsid w:val="00E4579D"/>
    <w:rsid w:val="00E45D34"/>
    <w:rsid w:val="00E4669B"/>
    <w:rsid w:val="00E502D1"/>
    <w:rsid w:val="00E5106C"/>
    <w:rsid w:val="00E519DE"/>
    <w:rsid w:val="00E53042"/>
    <w:rsid w:val="00E54356"/>
    <w:rsid w:val="00E56347"/>
    <w:rsid w:val="00E5721A"/>
    <w:rsid w:val="00E62209"/>
    <w:rsid w:val="00E630E1"/>
    <w:rsid w:val="00E642A7"/>
    <w:rsid w:val="00E649EC"/>
    <w:rsid w:val="00E64A42"/>
    <w:rsid w:val="00E706AD"/>
    <w:rsid w:val="00E711AF"/>
    <w:rsid w:val="00E71750"/>
    <w:rsid w:val="00E7342A"/>
    <w:rsid w:val="00E743ED"/>
    <w:rsid w:val="00E75A0E"/>
    <w:rsid w:val="00E75B67"/>
    <w:rsid w:val="00E77DA4"/>
    <w:rsid w:val="00E802D8"/>
    <w:rsid w:val="00E80C38"/>
    <w:rsid w:val="00E844C9"/>
    <w:rsid w:val="00E849D9"/>
    <w:rsid w:val="00E8547F"/>
    <w:rsid w:val="00E87C63"/>
    <w:rsid w:val="00E905F2"/>
    <w:rsid w:val="00E9209F"/>
    <w:rsid w:val="00E94891"/>
    <w:rsid w:val="00E95F33"/>
    <w:rsid w:val="00EA0BD0"/>
    <w:rsid w:val="00EA3AC6"/>
    <w:rsid w:val="00EA4439"/>
    <w:rsid w:val="00EA4B5E"/>
    <w:rsid w:val="00EA6729"/>
    <w:rsid w:val="00EA780A"/>
    <w:rsid w:val="00EA783F"/>
    <w:rsid w:val="00EB0590"/>
    <w:rsid w:val="00EB1B30"/>
    <w:rsid w:val="00EB31B6"/>
    <w:rsid w:val="00EB42E2"/>
    <w:rsid w:val="00EB5405"/>
    <w:rsid w:val="00EB79A0"/>
    <w:rsid w:val="00EC70C1"/>
    <w:rsid w:val="00ED433E"/>
    <w:rsid w:val="00ED5C24"/>
    <w:rsid w:val="00ED6A06"/>
    <w:rsid w:val="00EE3156"/>
    <w:rsid w:val="00EE7763"/>
    <w:rsid w:val="00EF0E3A"/>
    <w:rsid w:val="00EF2942"/>
    <w:rsid w:val="00EF3995"/>
    <w:rsid w:val="00EF3CB3"/>
    <w:rsid w:val="00EF5047"/>
    <w:rsid w:val="00EF579D"/>
    <w:rsid w:val="00EF5E8A"/>
    <w:rsid w:val="00EF5ECD"/>
    <w:rsid w:val="00EF659F"/>
    <w:rsid w:val="00F02A24"/>
    <w:rsid w:val="00F02C68"/>
    <w:rsid w:val="00F02CD9"/>
    <w:rsid w:val="00F056A2"/>
    <w:rsid w:val="00F073B5"/>
    <w:rsid w:val="00F143FE"/>
    <w:rsid w:val="00F14A4A"/>
    <w:rsid w:val="00F20650"/>
    <w:rsid w:val="00F20C3A"/>
    <w:rsid w:val="00F2185A"/>
    <w:rsid w:val="00F23FE7"/>
    <w:rsid w:val="00F30146"/>
    <w:rsid w:val="00F3401C"/>
    <w:rsid w:val="00F340BD"/>
    <w:rsid w:val="00F34D6E"/>
    <w:rsid w:val="00F35E6E"/>
    <w:rsid w:val="00F36331"/>
    <w:rsid w:val="00F401BE"/>
    <w:rsid w:val="00F40F50"/>
    <w:rsid w:val="00F436B1"/>
    <w:rsid w:val="00F448B0"/>
    <w:rsid w:val="00F44B71"/>
    <w:rsid w:val="00F44E85"/>
    <w:rsid w:val="00F4558C"/>
    <w:rsid w:val="00F45685"/>
    <w:rsid w:val="00F456B9"/>
    <w:rsid w:val="00F45B44"/>
    <w:rsid w:val="00F54EA8"/>
    <w:rsid w:val="00F55EED"/>
    <w:rsid w:val="00F5659C"/>
    <w:rsid w:val="00F620F9"/>
    <w:rsid w:val="00F6237C"/>
    <w:rsid w:val="00F62843"/>
    <w:rsid w:val="00F62C81"/>
    <w:rsid w:val="00F64F5A"/>
    <w:rsid w:val="00F6698B"/>
    <w:rsid w:val="00F71378"/>
    <w:rsid w:val="00F71DB5"/>
    <w:rsid w:val="00F723EC"/>
    <w:rsid w:val="00F729E3"/>
    <w:rsid w:val="00F74D38"/>
    <w:rsid w:val="00F76786"/>
    <w:rsid w:val="00F77C9E"/>
    <w:rsid w:val="00F81C18"/>
    <w:rsid w:val="00F843A7"/>
    <w:rsid w:val="00F85288"/>
    <w:rsid w:val="00F8573C"/>
    <w:rsid w:val="00F858BA"/>
    <w:rsid w:val="00F8619B"/>
    <w:rsid w:val="00F91DA7"/>
    <w:rsid w:val="00F94D6D"/>
    <w:rsid w:val="00FA1A00"/>
    <w:rsid w:val="00FA5207"/>
    <w:rsid w:val="00FA63C6"/>
    <w:rsid w:val="00FA661A"/>
    <w:rsid w:val="00FB032E"/>
    <w:rsid w:val="00FB25D2"/>
    <w:rsid w:val="00FB499D"/>
    <w:rsid w:val="00FB4CD4"/>
    <w:rsid w:val="00FB5265"/>
    <w:rsid w:val="00FB6AF2"/>
    <w:rsid w:val="00FE2A92"/>
    <w:rsid w:val="00FE5D8D"/>
    <w:rsid w:val="00FE696E"/>
    <w:rsid w:val="00FE78DC"/>
    <w:rsid w:val="00FF18A9"/>
    <w:rsid w:val="00FF3D27"/>
    <w:rsid w:val="00FF4FF2"/>
    <w:rsid w:val="00FF5257"/>
    <w:rsid w:val="00FF7BDD"/>
    <w:rsid w:val="00FF7F61"/>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C6038"/>
  <w15:docId w15:val="{A3BDCEA3-634C-4585-B429-5C04B1308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rsid w:val="00BA3E6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E5DF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E5D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15AF"/>
    <w:pPr>
      <w:ind w:left="720"/>
      <w:contextualSpacing/>
    </w:pPr>
  </w:style>
  <w:style w:type="character" w:styleId="CommentReference">
    <w:name w:val="annotation reference"/>
    <w:basedOn w:val="DefaultParagraphFont"/>
    <w:uiPriority w:val="99"/>
    <w:semiHidden/>
    <w:unhideWhenUsed/>
    <w:rsid w:val="0001751D"/>
    <w:rPr>
      <w:sz w:val="16"/>
      <w:szCs w:val="16"/>
    </w:rPr>
  </w:style>
  <w:style w:type="paragraph" w:styleId="CommentText">
    <w:name w:val="annotation text"/>
    <w:basedOn w:val="Normal"/>
    <w:link w:val="CommentTextChar"/>
    <w:uiPriority w:val="99"/>
    <w:semiHidden/>
    <w:unhideWhenUsed/>
    <w:rsid w:val="0001751D"/>
    <w:pPr>
      <w:spacing w:line="240" w:lineRule="auto"/>
    </w:pPr>
    <w:rPr>
      <w:rFonts w:ascii="Tahoma" w:hAnsi="Tahoma" w:cs="Tahoma"/>
      <w:sz w:val="16"/>
      <w:szCs w:val="20"/>
    </w:rPr>
  </w:style>
  <w:style w:type="character" w:customStyle="1" w:styleId="CommentTextChar">
    <w:name w:val="Comment Text Char"/>
    <w:basedOn w:val="DefaultParagraphFont"/>
    <w:link w:val="CommentText"/>
    <w:uiPriority w:val="99"/>
    <w:semiHidden/>
    <w:rsid w:val="0001751D"/>
    <w:rPr>
      <w:rFonts w:ascii="Tahoma" w:hAnsi="Tahoma" w:cs="Tahoma"/>
      <w:sz w:val="16"/>
      <w:szCs w:val="20"/>
    </w:rPr>
  </w:style>
  <w:style w:type="paragraph" w:styleId="CommentSubject">
    <w:name w:val="annotation subject"/>
    <w:basedOn w:val="CommentText"/>
    <w:next w:val="CommentText"/>
    <w:link w:val="CommentSubjectChar"/>
    <w:uiPriority w:val="99"/>
    <w:semiHidden/>
    <w:unhideWhenUsed/>
    <w:rsid w:val="0001751D"/>
    <w:rPr>
      <w:b/>
      <w:bCs/>
    </w:rPr>
  </w:style>
  <w:style w:type="character" w:customStyle="1" w:styleId="CommentSubjectChar">
    <w:name w:val="Comment Subject Char"/>
    <w:basedOn w:val="CommentTextChar"/>
    <w:link w:val="CommentSubject"/>
    <w:uiPriority w:val="99"/>
    <w:semiHidden/>
    <w:rsid w:val="0001751D"/>
    <w:rPr>
      <w:rFonts w:ascii="Tahoma" w:hAnsi="Tahoma" w:cs="Tahoma"/>
      <w:b/>
      <w:bCs/>
      <w:sz w:val="20"/>
      <w:szCs w:val="20"/>
    </w:rPr>
  </w:style>
  <w:style w:type="paragraph" w:styleId="BalloonText">
    <w:name w:val="Balloon Text"/>
    <w:basedOn w:val="Normal"/>
    <w:link w:val="BalloonTextChar"/>
    <w:uiPriority w:val="99"/>
    <w:semiHidden/>
    <w:unhideWhenUsed/>
    <w:rsid w:val="000175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751D"/>
    <w:rPr>
      <w:rFonts w:ascii="Segoe UI" w:hAnsi="Segoe UI" w:cs="Segoe UI"/>
      <w:sz w:val="18"/>
      <w:szCs w:val="18"/>
    </w:rPr>
  </w:style>
  <w:style w:type="paragraph" w:customStyle="1" w:styleId="Bibliographie1">
    <w:name w:val="Bibliographie1"/>
    <w:basedOn w:val="Normal"/>
    <w:rsid w:val="006B7032"/>
    <w:pPr>
      <w:tabs>
        <w:tab w:val="left" w:pos="500"/>
      </w:tabs>
      <w:spacing w:after="0" w:line="240" w:lineRule="auto"/>
      <w:ind w:left="504" w:hanging="504"/>
    </w:pPr>
    <w:rPr>
      <w:rFonts w:ascii="Arial" w:eastAsia="Times" w:hAnsi="Arial" w:cs="Arial"/>
      <w:sz w:val="18"/>
      <w:szCs w:val="18"/>
      <w:lang w:eastAsia="fr-FR"/>
    </w:rPr>
  </w:style>
  <w:style w:type="character" w:customStyle="1" w:styleId="Heading1Char">
    <w:name w:val="Heading 1 Char"/>
    <w:basedOn w:val="DefaultParagraphFont"/>
    <w:link w:val="Heading1"/>
    <w:uiPriority w:val="9"/>
    <w:rsid w:val="00BA3E6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E5DF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4E5DF8"/>
    <w:rPr>
      <w:rFonts w:asciiTheme="majorHAnsi" w:eastAsiaTheme="majorEastAsia" w:hAnsiTheme="majorHAnsi" w:cstheme="majorBidi"/>
      <w:color w:val="243F60" w:themeColor="accent1" w:themeShade="7F"/>
      <w:sz w:val="24"/>
      <w:szCs w:val="24"/>
    </w:rPr>
  </w:style>
  <w:style w:type="paragraph" w:styleId="Bibliography">
    <w:name w:val="Bibliography"/>
    <w:basedOn w:val="Normal"/>
    <w:next w:val="Normal"/>
    <w:uiPriority w:val="37"/>
    <w:unhideWhenUsed/>
    <w:rsid w:val="0063690B"/>
    <w:pPr>
      <w:tabs>
        <w:tab w:val="left" w:pos="624"/>
      </w:tabs>
      <w:spacing w:after="240" w:line="240" w:lineRule="auto"/>
      <w:ind w:left="624" w:hanging="624"/>
    </w:pPr>
  </w:style>
  <w:style w:type="character" w:styleId="Hyperlink">
    <w:name w:val="Hyperlink"/>
    <w:basedOn w:val="DefaultParagraphFont"/>
    <w:uiPriority w:val="99"/>
    <w:semiHidden/>
    <w:unhideWhenUsed/>
    <w:rsid w:val="00FA661A"/>
    <w:rPr>
      <w:color w:val="0000FF"/>
      <w:u w:val="single"/>
    </w:rPr>
  </w:style>
  <w:style w:type="character" w:customStyle="1" w:styleId="highlight">
    <w:name w:val="highlight"/>
    <w:basedOn w:val="DefaultParagraphFont"/>
    <w:rsid w:val="00A546D9"/>
  </w:style>
  <w:style w:type="paragraph" w:styleId="HTMLPreformatted">
    <w:name w:val="HTML Preformatted"/>
    <w:basedOn w:val="Normal"/>
    <w:link w:val="HTMLPreformattedChar"/>
    <w:uiPriority w:val="99"/>
    <w:unhideWhenUsed/>
    <w:rsid w:val="00C86F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rsid w:val="00C86F02"/>
    <w:rPr>
      <w:rFonts w:ascii="Courier New" w:eastAsia="Times New Roman" w:hAnsi="Courier New" w:cs="Courier New"/>
      <w:sz w:val="20"/>
      <w:szCs w:val="20"/>
      <w:lang w:eastAsia="fr-FR"/>
    </w:rPr>
  </w:style>
  <w:style w:type="character" w:styleId="Emphasis">
    <w:name w:val="Emphasis"/>
    <w:basedOn w:val="DefaultParagraphFont"/>
    <w:uiPriority w:val="20"/>
    <w:qFormat/>
    <w:rsid w:val="004B237B"/>
    <w:rPr>
      <w:i/>
      <w:iCs/>
    </w:rPr>
  </w:style>
  <w:style w:type="paragraph" w:customStyle="1" w:styleId="EndNoteBibliography">
    <w:name w:val="EndNote Bibliography"/>
    <w:basedOn w:val="Normal"/>
    <w:link w:val="EndNoteBibliographyCar"/>
    <w:rsid w:val="00CB1352"/>
    <w:pPr>
      <w:spacing w:line="240" w:lineRule="auto"/>
      <w:jc w:val="both"/>
    </w:pPr>
    <w:rPr>
      <w:rFonts w:ascii="Calibri" w:hAnsi="Calibri" w:cs="Calibri"/>
      <w:noProof/>
      <w:lang w:val="en-US"/>
    </w:rPr>
  </w:style>
  <w:style w:type="character" w:customStyle="1" w:styleId="EndNoteBibliographyCar">
    <w:name w:val="EndNote Bibliography Car"/>
    <w:basedOn w:val="DefaultParagraphFont"/>
    <w:link w:val="EndNoteBibliography"/>
    <w:rsid w:val="00CB1352"/>
    <w:rPr>
      <w:rFonts w:ascii="Calibri" w:hAnsi="Calibri" w:cs="Calibri"/>
      <w:noProof/>
      <w:lang w:val="en-US"/>
    </w:rPr>
  </w:style>
  <w:style w:type="character" w:customStyle="1" w:styleId="ui-ncbitoggler-master-text">
    <w:name w:val="ui-ncbitoggler-master-text"/>
    <w:basedOn w:val="DefaultParagraphFont"/>
    <w:rsid w:val="006903BB"/>
  </w:style>
  <w:style w:type="paragraph" w:styleId="NormalWeb">
    <w:name w:val="Normal (Web)"/>
    <w:basedOn w:val="Normal"/>
    <w:uiPriority w:val="99"/>
    <w:semiHidden/>
    <w:unhideWhenUsed/>
    <w:rsid w:val="006903B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element-citation">
    <w:name w:val="element-citation"/>
    <w:basedOn w:val="DefaultParagraphFont"/>
    <w:rsid w:val="00E234CA"/>
  </w:style>
  <w:style w:type="character" w:customStyle="1" w:styleId="ref-journal">
    <w:name w:val="ref-journal"/>
    <w:basedOn w:val="DefaultParagraphFont"/>
    <w:rsid w:val="00E234CA"/>
  </w:style>
  <w:style w:type="paragraph" w:customStyle="1" w:styleId="1">
    <w:name w:val="正文1"/>
    <w:uiPriority w:val="99"/>
    <w:rsid w:val="0068460D"/>
    <w:pPr>
      <w:spacing w:after="0"/>
    </w:pPr>
    <w:rPr>
      <w:rFonts w:ascii="Arial" w:eastAsia="SimSun" w:hAnsi="Arial" w:cs="Arial"/>
      <w:color w:val="000000"/>
      <w:szCs w:val="20"/>
      <w:lang w:val="pl-PL" w:eastAsia="pl-PL"/>
    </w:rPr>
  </w:style>
  <w:style w:type="character" w:customStyle="1" w:styleId="st">
    <w:name w:val="st"/>
    <w:basedOn w:val="DefaultParagraphFont"/>
    <w:rsid w:val="00494942"/>
  </w:style>
  <w:style w:type="paragraph" w:styleId="Revision">
    <w:name w:val="Revision"/>
    <w:hidden/>
    <w:uiPriority w:val="99"/>
    <w:semiHidden/>
    <w:rsid w:val="00B0268F"/>
    <w:pPr>
      <w:spacing w:after="0" w:line="240" w:lineRule="auto"/>
    </w:pPr>
    <w:rPr>
      <w:lang w:val="en-GB"/>
    </w:rPr>
  </w:style>
  <w:style w:type="paragraph" w:styleId="Header">
    <w:name w:val="header"/>
    <w:basedOn w:val="Normal"/>
    <w:link w:val="HeaderChar"/>
    <w:uiPriority w:val="99"/>
    <w:unhideWhenUsed/>
    <w:rsid w:val="006278A5"/>
    <w:pPr>
      <w:tabs>
        <w:tab w:val="center" w:pos="4536"/>
        <w:tab w:val="right" w:pos="9072"/>
      </w:tabs>
      <w:spacing w:after="0" w:line="240" w:lineRule="auto"/>
    </w:pPr>
    <w:rPr>
      <w:lang w:val="fr-FR"/>
    </w:rPr>
  </w:style>
  <w:style w:type="character" w:customStyle="1" w:styleId="HeaderChar">
    <w:name w:val="Header Char"/>
    <w:basedOn w:val="DefaultParagraphFont"/>
    <w:link w:val="Header"/>
    <w:uiPriority w:val="99"/>
    <w:rsid w:val="006278A5"/>
  </w:style>
  <w:style w:type="paragraph" w:styleId="Footer">
    <w:name w:val="footer"/>
    <w:basedOn w:val="Normal"/>
    <w:link w:val="FooterChar"/>
    <w:uiPriority w:val="99"/>
    <w:unhideWhenUsed/>
    <w:rsid w:val="006278A5"/>
    <w:pPr>
      <w:tabs>
        <w:tab w:val="center" w:pos="4536"/>
        <w:tab w:val="right" w:pos="9072"/>
      </w:tabs>
      <w:spacing w:after="0" w:line="240" w:lineRule="auto"/>
    </w:pPr>
    <w:rPr>
      <w:lang w:val="fr-FR"/>
    </w:rPr>
  </w:style>
  <w:style w:type="character" w:customStyle="1" w:styleId="FooterChar">
    <w:name w:val="Footer Char"/>
    <w:basedOn w:val="DefaultParagraphFont"/>
    <w:link w:val="Footer"/>
    <w:uiPriority w:val="99"/>
    <w:rsid w:val="006278A5"/>
  </w:style>
  <w:style w:type="numbering" w:customStyle="1" w:styleId="10">
    <w:name w:val="无列表1"/>
    <w:next w:val="NoList"/>
    <w:uiPriority w:val="99"/>
    <w:semiHidden/>
    <w:unhideWhenUsed/>
    <w:rsid w:val="00F54E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22584">
      <w:bodyDiv w:val="1"/>
      <w:marLeft w:val="0"/>
      <w:marRight w:val="0"/>
      <w:marTop w:val="0"/>
      <w:marBottom w:val="0"/>
      <w:divBdr>
        <w:top w:val="none" w:sz="0" w:space="0" w:color="auto"/>
        <w:left w:val="none" w:sz="0" w:space="0" w:color="auto"/>
        <w:bottom w:val="none" w:sz="0" w:space="0" w:color="auto"/>
        <w:right w:val="none" w:sz="0" w:space="0" w:color="auto"/>
      </w:divBdr>
    </w:div>
    <w:div w:id="20907255">
      <w:bodyDiv w:val="1"/>
      <w:marLeft w:val="0"/>
      <w:marRight w:val="0"/>
      <w:marTop w:val="0"/>
      <w:marBottom w:val="0"/>
      <w:divBdr>
        <w:top w:val="none" w:sz="0" w:space="0" w:color="auto"/>
        <w:left w:val="none" w:sz="0" w:space="0" w:color="auto"/>
        <w:bottom w:val="none" w:sz="0" w:space="0" w:color="auto"/>
        <w:right w:val="none" w:sz="0" w:space="0" w:color="auto"/>
      </w:divBdr>
    </w:div>
    <w:div w:id="70661312">
      <w:bodyDiv w:val="1"/>
      <w:marLeft w:val="0"/>
      <w:marRight w:val="0"/>
      <w:marTop w:val="0"/>
      <w:marBottom w:val="0"/>
      <w:divBdr>
        <w:top w:val="none" w:sz="0" w:space="0" w:color="auto"/>
        <w:left w:val="none" w:sz="0" w:space="0" w:color="auto"/>
        <w:bottom w:val="none" w:sz="0" w:space="0" w:color="auto"/>
        <w:right w:val="none" w:sz="0" w:space="0" w:color="auto"/>
      </w:divBdr>
    </w:div>
    <w:div w:id="104465135">
      <w:bodyDiv w:val="1"/>
      <w:marLeft w:val="0"/>
      <w:marRight w:val="0"/>
      <w:marTop w:val="0"/>
      <w:marBottom w:val="0"/>
      <w:divBdr>
        <w:top w:val="none" w:sz="0" w:space="0" w:color="auto"/>
        <w:left w:val="none" w:sz="0" w:space="0" w:color="auto"/>
        <w:bottom w:val="none" w:sz="0" w:space="0" w:color="auto"/>
        <w:right w:val="none" w:sz="0" w:space="0" w:color="auto"/>
      </w:divBdr>
    </w:div>
    <w:div w:id="139273170">
      <w:bodyDiv w:val="1"/>
      <w:marLeft w:val="0"/>
      <w:marRight w:val="0"/>
      <w:marTop w:val="0"/>
      <w:marBottom w:val="0"/>
      <w:divBdr>
        <w:top w:val="none" w:sz="0" w:space="0" w:color="auto"/>
        <w:left w:val="none" w:sz="0" w:space="0" w:color="auto"/>
        <w:bottom w:val="none" w:sz="0" w:space="0" w:color="auto"/>
        <w:right w:val="none" w:sz="0" w:space="0" w:color="auto"/>
      </w:divBdr>
    </w:div>
    <w:div w:id="143200802">
      <w:bodyDiv w:val="1"/>
      <w:marLeft w:val="0"/>
      <w:marRight w:val="0"/>
      <w:marTop w:val="0"/>
      <w:marBottom w:val="0"/>
      <w:divBdr>
        <w:top w:val="none" w:sz="0" w:space="0" w:color="auto"/>
        <w:left w:val="none" w:sz="0" w:space="0" w:color="auto"/>
        <w:bottom w:val="none" w:sz="0" w:space="0" w:color="auto"/>
        <w:right w:val="none" w:sz="0" w:space="0" w:color="auto"/>
      </w:divBdr>
      <w:divsChild>
        <w:div w:id="428552520">
          <w:marLeft w:val="0"/>
          <w:marRight w:val="0"/>
          <w:marTop w:val="0"/>
          <w:marBottom w:val="0"/>
          <w:divBdr>
            <w:top w:val="none" w:sz="0" w:space="0" w:color="auto"/>
            <w:left w:val="none" w:sz="0" w:space="0" w:color="auto"/>
            <w:bottom w:val="none" w:sz="0" w:space="0" w:color="auto"/>
            <w:right w:val="none" w:sz="0" w:space="0" w:color="auto"/>
          </w:divBdr>
        </w:div>
        <w:div w:id="451099217">
          <w:marLeft w:val="0"/>
          <w:marRight w:val="0"/>
          <w:marTop w:val="0"/>
          <w:marBottom w:val="0"/>
          <w:divBdr>
            <w:top w:val="none" w:sz="0" w:space="0" w:color="auto"/>
            <w:left w:val="none" w:sz="0" w:space="0" w:color="auto"/>
            <w:bottom w:val="none" w:sz="0" w:space="0" w:color="auto"/>
            <w:right w:val="none" w:sz="0" w:space="0" w:color="auto"/>
          </w:divBdr>
        </w:div>
        <w:div w:id="1410804598">
          <w:marLeft w:val="0"/>
          <w:marRight w:val="0"/>
          <w:marTop w:val="0"/>
          <w:marBottom w:val="0"/>
          <w:divBdr>
            <w:top w:val="none" w:sz="0" w:space="0" w:color="auto"/>
            <w:left w:val="none" w:sz="0" w:space="0" w:color="auto"/>
            <w:bottom w:val="none" w:sz="0" w:space="0" w:color="auto"/>
            <w:right w:val="none" w:sz="0" w:space="0" w:color="auto"/>
          </w:divBdr>
        </w:div>
        <w:div w:id="1612131224">
          <w:marLeft w:val="0"/>
          <w:marRight w:val="0"/>
          <w:marTop w:val="0"/>
          <w:marBottom w:val="0"/>
          <w:divBdr>
            <w:top w:val="none" w:sz="0" w:space="0" w:color="auto"/>
            <w:left w:val="none" w:sz="0" w:space="0" w:color="auto"/>
            <w:bottom w:val="none" w:sz="0" w:space="0" w:color="auto"/>
            <w:right w:val="none" w:sz="0" w:space="0" w:color="auto"/>
          </w:divBdr>
        </w:div>
      </w:divsChild>
    </w:div>
    <w:div w:id="193883091">
      <w:bodyDiv w:val="1"/>
      <w:marLeft w:val="0"/>
      <w:marRight w:val="0"/>
      <w:marTop w:val="0"/>
      <w:marBottom w:val="0"/>
      <w:divBdr>
        <w:top w:val="none" w:sz="0" w:space="0" w:color="auto"/>
        <w:left w:val="none" w:sz="0" w:space="0" w:color="auto"/>
        <w:bottom w:val="none" w:sz="0" w:space="0" w:color="auto"/>
        <w:right w:val="none" w:sz="0" w:space="0" w:color="auto"/>
      </w:divBdr>
    </w:div>
    <w:div w:id="197401774">
      <w:bodyDiv w:val="1"/>
      <w:marLeft w:val="0"/>
      <w:marRight w:val="0"/>
      <w:marTop w:val="0"/>
      <w:marBottom w:val="0"/>
      <w:divBdr>
        <w:top w:val="none" w:sz="0" w:space="0" w:color="auto"/>
        <w:left w:val="none" w:sz="0" w:space="0" w:color="auto"/>
        <w:bottom w:val="none" w:sz="0" w:space="0" w:color="auto"/>
        <w:right w:val="none" w:sz="0" w:space="0" w:color="auto"/>
      </w:divBdr>
    </w:div>
    <w:div w:id="244918513">
      <w:bodyDiv w:val="1"/>
      <w:marLeft w:val="0"/>
      <w:marRight w:val="0"/>
      <w:marTop w:val="0"/>
      <w:marBottom w:val="0"/>
      <w:divBdr>
        <w:top w:val="none" w:sz="0" w:space="0" w:color="auto"/>
        <w:left w:val="none" w:sz="0" w:space="0" w:color="auto"/>
        <w:bottom w:val="none" w:sz="0" w:space="0" w:color="auto"/>
        <w:right w:val="none" w:sz="0" w:space="0" w:color="auto"/>
      </w:divBdr>
    </w:div>
    <w:div w:id="255478935">
      <w:bodyDiv w:val="1"/>
      <w:marLeft w:val="0"/>
      <w:marRight w:val="0"/>
      <w:marTop w:val="0"/>
      <w:marBottom w:val="0"/>
      <w:divBdr>
        <w:top w:val="none" w:sz="0" w:space="0" w:color="auto"/>
        <w:left w:val="none" w:sz="0" w:space="0" w:color="auto"/>
        <w:bottom w:val="none" w:sz="0" w:space="0" w:color="auto"/>
        <w:right w:val="none" w:sz="0" w:space="0" w:color="auto"/>
      </w:divBdr>
      <w:divsChild>
        <w:div w:id="117795949">
          <w:marLeft w:val="0"/>
          <w:marRight w:val="0"/>
          <w:marTop w:val="0"/>
          <w:marBottom w:val="0"/>
          <w:divBdr>
            <w:top w:val="none" w:sz="0" w:space="0" w:color="auto"/>
            <w:left w:val="none" w:sz="0" w:space="0" w:color="auto"/>
            <w:bottom w:val="none" w:sz="0" w:space="0" w:color="auto"/>
            <w:right w:val="none" w:sz="0" w:space="0" w:color="auto"/>
          </w:divBdr>
        </w:div>
        <w:div w:id="874268547">
          <w:marLeft w:val="0"/>
          <w:marRight w:val="0"/>
          <w:marTop w:val="0"/>
          <w:marBottom w:val="0"/>
          <w:divBdr>
            <w:top w:val="none" w:sz="0" w:space="0" w:color="auto"/>
            <w:left w:val="none" w:sz="0" w:space="0" w:color="auto"/>
            <w:bottom w:val="none" w:sz="0" w:space="0" w:color="auto"/>
            <w:right w:val="none" w:sz="0" w:space="0" w:color="auto"/>
          </w:divBdr>
        </w:div>
        <w:div w:id="21365677">
          <w:marLeft w:val="0"/>
          <w:marRight w:val="0"/>
          <w:marTop w:val="0"/>
          <w:marBottom w:val="0"/>
          <w:divBdr>
            <w:top w:val="none" w:sz="0" w:space="0" w:color="auto"/>
            <w:left w:val="none" w:sz="0" w:space="0" w:color="auto"/>
            <w:bottom w:val="none" w:sz="0" w:space="0" w:color="auto"/>
            <w:right w:val="none" w:sz="0" w:space="0" w:color="auto"/>
          </w:divBdr>
        </w:div>
        <w:div w:id="1662779562">
          <w:marLeft w:val="0"/>
          <w:marRight w:val="0"/>
          <w:marTop w:val="0"/>
          <w:marBottom w:val="0"/>
          <w:divBdr>
            <w:top w:val="none" w:sz="0" w:space="0" w:color="auto"/>
            <w:left w:val="none" w:sz="0" w:space="0" w:color="auto"/>
            <w:bottom w:val="none" w:sz="0" w:space="0" w:color="auto"/>
            <w:right w:val="none" w:sz="0" w:space="0" w:color="auto"/>
          </w:divBdr>
          <w:divsChild>
            <w:div w:id="50005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147900">
      <w:bodyDiv w:val="1"/>
      <w:marLeft w:val="0"/>
      <w:marRight w:val="0"/>
      <w:marTop w:val="0"/>
      <w:marBottom w:val="0"/>
      <w:divBdr>
        <w:top w:val="none" w:sz="0" w:space="0" w:color="auto"/>
        <w:left w:val="none" w:sz="0" w:space="0" w:color="auto"/>
        <w:bottom w:val="none" w:sz="0" w:space="0" w:color="auto"/>
        <w:right w:val="none" w:sz="0" w:space="0" w:color="auto"/>
      </w:divBdr>
    </w:div>
    <w:div w:id="305858499">
      <w:bodyDiv w:val="1"/>
      <w:marLeft w:val="0"/>
      <w:marRight w:val="0"/>
      <w:marTop w:val="0"/>
      <w:marBottom w:val="0"/>
      <w:divBdr>
        <w:top w:val="none" w:sz="0" w:space="0" w:color="auto"/>
        <w:left w:val="none" w:sz="0" w:space="0" w:color="auto"/>
        <w:bottom w:val="none" w:sz="0" w:space="0" w:color="auto"/>
        <w:right w:val="none" w:sz="0" w:space="0" w:color="auto"/>
      </w:divBdr>
    </w:div>
    <w:div w:id="324821335">
      <w:bodyDiv w:val="1"/>
      <w:marLeft w:val="0"/>
      <w:marRight w:val="0"/>
      <w:marTop w:val="0"/>
      <w:marBottom w:val="0"/>
      <w:divBdr>
        <w:top w:val="none" w:sz="0" w:space="0" w:color="auto"/>
        <w:left w:val="none" w:sz="0" w:space="0" w:color="auto"/>
        <w:bottom w:val="none" w:sz="0" w:space="0" w:color="auto"/>
        <w:right w:val="none" w:sz="0" w:space="0" w:color="auto"/>
      </w:divBdr>
    </w:div>
    <w:div w:id="330065603">
      <w:bodyDiv w:val="1"/>
      <w:marLeft w:val="0"/>
      <w:marRight w:val="0"/>
      <w:marTop w:val="0"/>
      <w:marBottom w:val="0"/>
      <w:divBdr>
        <w:top w:val="none" w:sz="0" w:space="0" w:color="auto"/>
        <w:left w:val="none" w:sz="0" w:space="0" w:color="auto"/>
        <w:bottom w:val="none" w:sz="0" w:space="0" w:color="auto"/>
        <w:right w:val="none" w:sz="0" w:space="0" w:color="auto"/>
      </w:divBdr>
    </w:div>
    <w:div w:id="342324318">
      <w:bodyDiv w:val="1"/>
      <w:marLeft w:val="0"/>
      <w:marRight w:val="0"/>
      <w:marTop w:val="0"/>
      <w:marBottom w:val="0"/>
      <w:divBdr>
        <w:top w:val="none" w:sz="0" w:space="0" w:color="auto"/>
        <w:left w:val="none" w:sz="0" w:space="0" w:color="auto"/>
        <w:bottom w:val="none" w:sz="0" w:space="0" w:color="auto"/>
        <w:right w:val="none" w:sz="0" w:space="0" w:color="auto"/>
      </w:divBdr>
    </w:div>
    <w:div w:id="364527658">
      <w:bodyDiv w:val="1"/>
      <w:marLeft w:val="0"/>
      <w:marRight w:val="0"/>
      <w:marTop w:val="0"/>
      <w:marBottom w:val="0"/>
      <w:divBdr>
        <w:top w:val="none" w:sz="0" w:space="0" w:color="auto"/>
        <w:left w:val="none" w:sz="0" w:space="0" w:color="auto"/>
        <w:bottom w:val="none" w:sz="0" w:space="0" w:color="auto"/>
        <w:right w:val="none" w:sz="0" w:space="0" w:color="auto"/>
      </w:divBdr>
    </w:div>
    <w:div w:id="369695060">
      <w:bodyDiv w:val="1"/>
      <w:marLeft w:val="0"/>
      <w:marRight w:val="0"/>
      <w:marTop w:val="0"/>
      <w:marBottom w:val="0"/>
      <w:divBdr>
        <w:top w:val="none" w:sz="0" w:space="0" w:color="auto"/>
        <w:left w:val="none" w:sz="0" w:space="0" w:color="auto"/>
        <w:bottom w:val="none" w:sz="0" w:space="0" w:color="auto"/>
        <w:right w:val="none" w:sz="0" w:space="0" w:color="auto"/>
      </w:divBdr>
    </w:div>
    <w:div w:id="381057110">
      <w:bodyDiv w:val="1"/>
      <w:marLeft w:val="0"/>
      <w:marRight w:val="0"/>
      <w:marTop w:val="0"/>
      <w:marBottom w:val="0"/>
      <w:divBdr>
        <w:top w:val="none" w:sz="0" w:space="0" w:color="auto"/>
        <w:left w:val="none" w:sz="0" w:space="0" w:color="auto"/>
        <w:bottom w:val="none" w:sz="0" w:space="0" w:color="auto"/>
        <w:right w:val="none" w:sz="0" w:space="0" w:color="auto"/>
      </w:divBdr>
    </w:div>
    <w:div w:id="393823081">
      <w:bodyDiv w:val="1"/>
      <w:marLeft w:val="0"/>
      <w:marRight w:val="0"/>
      <w:marTop w:val="0"/>
      <w:marBottom w:val="0"/>
      <w:divBdr>
        <w:top w:val="none" w:sz="0" w:space="0" w:color="auto"/>
        <w:left w:val="none" w:sz="0" w:space="0" w:color="auto"/>
        <w:bottom w:val="none" w:sz="0" w:space="0" w:color="auto"/>
        <w:right w:val="none" w:sz="0" w:space="0" w:color="auto"/>
      </w:divBdr>
    </w:div>
    <w:div w:id="408771115">
      <w:bodyDiv w:val="1"/>
      <w:marLeft w:val="0"/>
      <w:marRight w:val="0"/>
      <w:marTop w:val="0"/>
      <w:marBottom w:val="0"/>
      <w:divBdr>
        <w:top w:val="none" w:sz="0" w:space="0" w:color="auto"/>
        <w:left w:val="none" w:sz="0" w:space="0" w:color="auto"/>
        <w:bottom w:val="none" w:sz="0" w:space="0" w:color="auto"/>
        <w:right w:val="none" w:sz="0" w:space="0" w:color="auto"/>
      </w:divBdr>
    </w:div>
    <w:div w:id="452484324">
      <w:bodyDiv w:val="1"/>
      <w:marLeft w:val="0"/>
      <w:marRight w:val="0"/>
      <w:marTop w:val="0"/>
      <w:marBottom w:val="0"/>
      <w:divBdr>
        <w:top w:val="none" w:sz="0" w:space="0" w:color="auto"/>
        <w:left w:val="none" w:sz="0" w:space="0" w:color="auto"/>
        <w:bottom w:val="none" w:sz="0" w:space="0" w:color="auto"/>
        <w:right w:val="none" w:sz="0" w:space="0" w:color="auto"/>
      </w:divBdr>
    </w:div>
    <w:div w:id="468982196">
      <w:bodyDiv w:val="1"/>
      <w:marLeft w:val="0"/>
      <w:marRight w:val="0"/>
      <w:marTop w:val="0"/>
      <w:marBottom w:val="0"/>
      <w:divBdr>
        <w:top w:val="none" w:sz="0" w:space="0" w:color="auto"/>
        <w:left w:val="none" w:sz="0" w:space="0" w:color="auto"/>
        <w:bottom w:val="none" w:sz="0" w:space="0" w:color="auto"/>
        <w:right w:val="none" w:sz="0" w:space="0" w:color="auto"/>
      </w:divBdr>
    </w:div>
    <w:div w:id="472606084">
      <w:bodyDiv w:val="1"/>
      <w:marLeft w:val="0"/>
      <w:marRight w:val="0"/>
      <w:marTop w:val="0"/>
      <w:marBottom w:val="0"/>
      <w:divBdr>
        <w:top w:val="none" w:sz="0" w:space="0" w:color="auto"/>
        <w:left w:val="none" w:sz="0" w:space="0" w:color="auto"/>
        <w:bottom w:val="none" w:sz="0" w:space="0" w:color="auto"/>
        <w:right w:val="none" w:sz="0" w:space="0" w:color="auto"/>
      </w:divBdr>
    </w:div>
    <w:div w:id="487287765">
      <w:bodyDiv w:val="1"/>
      <w:marLeft w:val="0"/>
      <w:marRight w:val="0"/>
      <w:marTop w:val="0"/>
      <w:marBottom w:val="0"/>
      <w:divBdr>
        <w:top w:val="none" w:sz="0" w:space="0" w:color="auto"/>
        <w:left w:val="none" w:sz="0" w:space="0" w:color="auto"/>
        <w:bottom w:val="none" w:sz="0" w:space="0" w:color="auto"/>
        <w:right w:val="none" w:sz="0" w:space="0" w:color="auto"/>
      </w:divBdr>
    </w:div>
    <w:div w:id="531039270">
      <w:bodyDiv w:val="1"/>
      <w:marLeft w:val="0"/>
      <w:marRight w:val="0"/>
      <w:marTop w:val="0"/>
      <w:marBottom w:val="0"/>
      <w:divBdr>
        <w:top w:val="none" w:sz="0" w:space="0" w:color="auto"/>
        <w:left w:val="none" w:sz="0" w:space="0" w:color="auto"/>
        <w:bottom w:val="none" w:sz="0" w:space="0" w:color="auto"/>
        <w:right w:val="none" w:sz="0" w:space="0" w:color="auto"/>
      </w:divBdr>
    </w:div>
    <w:div w:id="599727564">
      <w:bodyDiv w:val="1"/>
      <w:marLeft w:val="0"/>
      <w:marRight w:val="0"/>
      <w:marTop w:val="0"/>
      <w:marBottom w:val="0"/>
      <w:divBdr>
        <w:top w:val="none" w:sz="0" w:space="0" w:color="auto"/>
        <w:left w:val="none" w:sz="0" w:space="0" w:color="auto"/>
        <w:bottom w:val="none" w:sz="0" w:space="0" w:color="auto"/>
        <w:right w:val="none" w:sz="0" w:space="0" w:color="auto"/>
      </w:divBdr>
    </w:div>
    <w:div w:id="683746780">
      <w:bodyDiv w:val="1"/>
      <w:marLeft w:val="0"/>
      <w:marRight w:val="0"/>
      <w:marTop w:val="0"/>
      <w:marBottom w:val="0"/>
      <w:divBdr>
        <w:top w:val="none" w:sz="0" w:space="0" w:color="auto"/>
        <w:left w:val="none" w:sz="0" w:space="0" w:color="auto"/>
        <w:bottom w:val="none" w:sz="0" w:space="0" w:color="auto"/>
        <w:right w:val="none" w:sz="0" w:space="0" w:color="auto"/>
      </w:divBdr>
    </w:div>
    <w:div w:id="684747826">
      <w:bodyDiv w:val="1"/>
      <w:marLeft w:val="0"/>
      <w:marRight w:val="0"/>
      <w:marTop w:val="0"/>
      <w:marBottom w:val="0"/>
      <w:divBdr>
        <w:top w:val="none" w:sz="0" w:space="0" w:color="auto"/>
        <w:left w:val="none" w:sz="0" w:space="0" w:color="auto"/>
        <w:bottom w:val="none" w:sz="0" w:space="0" w:color="auto"/>
        <w:right w:val="none" w:sz="0" w:space="0" w:color="auto"/>
      </w:divBdr>
    </w:div>
    <w:div w:id="703947959">
      <w:bodyDiv w:val="1"/>
      <w:marLeft w:val="0"/>
      <w:marRight w:val="0"/>
      <w:marTop w:val="0"/>
      <w:marBottom w:val="0"/>
      <w:divBdr>
        <w:top w:val="none" w:sz="0" w:space="0" w:color="auto"/>
        <w:left w:val="none" w:sz="0" w:space="0" w:color="auto"/>
        <w:bottom w:val="none" w:sz="0" w:space="0" w:color="auto"/>
        <w:right w:val="none" w:sz="0" w:space="0" w:color="auto"/>
      </w:divBdr>
    </w:div>
    <w:div w:id="727610901">
      <w:bodyDiv w:val="1"/>
      <w:marLeft w:val="0"/>
      <w:marRight w:val="0"/>
      <w:marTop w:val="0"/>
      <w:marBottom w:val="0"/>
      <w:divBdr>
        <w:top w:val="none" w:sz="0" w:space="0" w:color="auto"/>
        <w:left w:val="none" w:sz="0" w:space="0" w:color="auto"/>
        <w:bottom w:val="none" w:sz="0" w:space="0" w:color="auto"/>
        <w:right w:val="none" w:sz="0" w:space="0" w:color="auto"/>
      </w:divBdr>
    </w:div>
    <w:div w:id="755320061">
      <w:bodyDiv w:val="1"/>
      <w:marLeft w:val="0"/>
      <w:marRight w:val="0"/>
      <w:marTop w:val="0"/>
      <w:marBottom w:val="0"/>
      <w:divBdr>
        <w:top w:val="none" w:sz="0" w:space="0" w:color="auto"/>
        <w:left w:val="none" w:sz="0" w:space="0" w:color="auto"/>
        <w:bottom w:val="none" w:sz="0" w:space="0" w:color="auto"/>
        <w:right w:val="none" w:sz="0" w:space="0" w:color="auto"/>
      </w:divBdr>
    </w:div>
    <w:div w:id="775059871">
      <w:bodyDiv w:val="1"/>
      <w:marLeft w:val="0"/>
      <w:marRight w:val="0"/>
      <w:marTop w:val="0"/>
      <w:marBottom w:val="0"/>
      <w:divBdr>
        <w:top w:val="none" w:sz="0" w:space="0" w:color="auto"/>
        <w:left w:val="none" w:sz="0" w:space="0" w:color="auto"/>
        <w:bottom w:val="none" w:sz="0" w:space="0" w:color="auto"/>
        <w:right w:val="none" w:sz="0" w:space="0" w:color="auto"/>
      </w:divBdr>
    </w:div>
    <w:div w:id="790049296">
      <w:bodyDiv w:val="1"/>
      <w:marLeft w:val="0"/>
      <w:marRight w:val="0"/>
      <w:marTop w:val="0"/>
      <w:marBottom w:val="0"/>
      <w:divBdr>
        <w:top w:val="none" w:sz="0" w:space="0" w:color="auto"/>
        <w:left w:val="none" w:sz="0" w:space="0" w:color="auto"/>
        <w:bottom w:val="none" w:sz="0" w:space="0" w:color="auto"/>
        <w:right w:val="none" w:sz="0" w:space="0" w:color="auto"/>
      </w:divBdr>
    </w:div>
    <w:div w:id="823014755">
      <w:bodyDiv w:val="1"/>
      <w:marLeft w:val="0"/>
      <w:marRight w:val="0"/>
      <w:marTop w:val="0"/>
      <w:marBottom w:val="0"/>
      <w:divBdr>
        <w:top w:val="none" w:sz="0" w:space="0" w:color="auto"/>
        <w:left w:val="none" w:sz="0" w:space="0" w:color="auto"/>
        <w:bottom w:val="none" w:sz="0" w:space="0" w:color="auto"/>
        <w:right w:val="none" w:sz="0" w:space="0" w:color="auto"/>
      </w:divBdr>
    </w:div>
    <w:div w:id="832255141">
      <w:bodyDiv w:val="1"/>
      <w:marLeft w:val="0"/>
      <w:marRight w:val="0"/>
      <w:marTop w:val="0"/>
      <w:marBottom w:val="0"/>
      <w:divBdr>
        <w:top w:val="none" w:sz="0" w:space="0" w:color="auto"/>
        <w:left w:val="none" w:sz="0" w:space="0" w:color="auto"/>
        <w:bottom w:val="none" w:sz="0" w:space="0" w:color="auto"/>
        <w:right w:val="none" w:sz="0" w:space="0" w:color="auto"/>
      </w:divBdr>
    </w:div>
    <w:div w:id="871308954">
      <w:bodyDiv w:val="1"/>
      <w:marLeft w:val="0"/>
      <w:marRight w:val="0"/>
      <w:marTop w:val="0"/>
      <w:marBottom w:val="0"/>
      <w:divBdr>
        <w:top w:val="none" w:sz="0" w:space="0" w:color="auto"/>
        <w:left w:val="none" w:sz="0" w:space="0" w:color="auto"/>
        <w:bottom w:val="none" w:sz="0" w:space="0" w:color="auto"/>
        <w:right w:val="none" w:sz="0" w:space="0" w:color="auto"/>
      </w:divBdr>
    </w:div>
    <w:div w:id="885797277">
      <w:bodyDiv w:val="1"/>
      <w:marLeft w:val="0"/>
      <w:marRight w:val="0"/>
      <w:marTop w:val="0"/>
      <w:marBottom w:val="0"/>
      <w:divBdr>
        <w:top w:val="none" w:sz="0" w:space="0" w:color="auto"/>
        <w:left w:val="none" w:sz="0" w:space="0" w:color="auto"/>
        <w:bottom w:val="none" w:sz="0" w:space="0" w:color="auto"/>
        <w:right w:val="none" w:sz="0" w:space="0" w:color="auto"/>
      </w:divBdr>
    </w:div>
    <w:div w:id="933438700">
      <w:bodyDiv w:val="1"/>
      <w:marLeft w:val="0"/>
      <w:marRight w:val="0"/>
      <w:marTop w:val="0"/>
      <w:marBottom w:val="0"/>
      <w:divBdr>
        <w:top w:val="none" w:sz="0" w:space="0" w:color="auto"/>
        <w:left w:val="none" w:sz="0" w:space="0" w:color="auto"/>
        <w:bottom w:val="none" w:sz="0" w:space="0" w:color="auto"/>
        <w:right w:val="none" w:sz="0" w:space="0" w:color="auto"/>
      </w:divBdr>
    </w:div>
    <w:div w:id="965543796">
      <w:bodyDiv w:val="1"/>
      <w:marLeft w:val="0"/>
      <w:marRight w:val="0"/>
      <w:marTop w:val="0"/>
      <w:marBottom w:val="0"/>
      <w:divBdr>
        <w:top w:val="none" w:sz="0" w:space="0" w:color="auto"/>
        <w:left w:val="none" w:sz="0" w:space="0" w:color="auto"/>
        <w:bottom w:val="none" w:sz="0" w:space="0" w:color="auto"/>
        <w:right w:val="none" w:sz="0" w:space="0" w:color="auto"/>
      </w:divBdr>
    </w:div>
    <w:div w:id="1038049017">
      <w:bodyDiv w:val="1"/>
      <w:marLeft w:val="0"/>
      <w:marRight w:val="0"/>
      <w:marTop w:val="0"/>
      <w:marBottom w:val="0"/>
      <w:divBdr>
        <w:top w:val="none" w:sz="0" w:space="0" w:color="auto"/>
        <w:left w:val="none" w:sz="0" w:space="0" w:color="auto"/>
        <w:bottom w:val="none" w:sz="0" w:space="0" w:color="auto"/>
        <w:right w:val="none" w:sz="0" w:space="0" w:color="auto"/>
      </w:divBdr>
      <w:divsChild>
        <w:div w:id="160389725">
          <w:marLeft w:val="0"/>
          <w:marRight w:val="0"/>
          <w:marTop w:val="0"/>
          <w:marBottom w:val="0"/>
          <w:divBdr>
            <w:top w:val="none" w:sz="0" w:space="0" w:color="auto"/>
            <w:left w:val="none" w:sz="0" w:space="0" w:color="auto"/>
            <w:bottom w:val="none" w:sz="0" w:space="0" w:color="auto"/>
            <w:right w:val="none" w:sz="0" w:space="0" w:color="auto"/>
          </w:divBdr>
        </w:div>
        <w:div w:id="1474329605">
          <w:marLeft w:val="0"/>
          <w:marRight w:val="0"/>
          <w:marTop w:val="0"/>
          <w:marBottom w:val="0"/>
          <w:divBdr>
            <w:top w:val="none" w:sz="0" w:space="0" w:color="auto"/>
            <w:left w:val="none" w:sz="0" w:space="0" w:color="auto"/>
            <w:bottom w:val="none" w:sz="0" w:space="0" w:color="auto"/>
            <w:right w:val="none" w:sz="0" w:space="0" w:color="auto"/>
          </w:divBdr>
        </w:div>
        <w:div w:id="1907229001">
          <w:marLeft w:val="0"/>
          <w:marRight w:val="0"/>
          <w:marTop w:val="0"/>
          <w:marBottom w:val="0"/>
          <w:divBdr>
            <w:top w:val="none" w:sz="0" w:space="0" w:color="auto"/>
            <w:left w:val="none" w:sz="0" w:space="0" w:color="auto"/>
            <w:bottom w:val="none" w:sz="0" w:space="0" w:color="auto"/>
            <w:right w:val="none" w:sz="0" w:space="0" w:color="auto"/>
          </w:divBdr>
        </w:div>
        <w:div w:id="1132094510">
          <w:marLeft w:val="0"/>
          <w:marRight w:val="0"/>
          <w:marTop w:val="0"/>
          <w:marBottom w:val="0"/>
          <w:divBdr>
            <w:top w:val="none" w:sz="0" w:space="0" w:color="auto"/>
            <w:left w:val="none" w:sz="0" w:space="0" w:color="auto"/>
            <w:bottom w:val="none" w:sz="0" w:space="0" w:color="auto"/>
            <w:right w:val="none" w:sz="0" w:space="0" w:color="auto"/>
          </w:divBdr>
        </w:div>
        <w:div w:id="1587611287">
          <w:marLeft w:val="0"/>
          <w:marRight w:val="0"/>
          <w:marTop w:val="0"/>
          <w:marBottom w:val="0"/>
          <w:divBdr>
            <w:top w:val="none" w:sz="0" w:space="0" w:color="auto"/>
            <w:left w:val="none" w:sz="0" w:space="0" w:color="auto"/>
            <w:bottom w:val="none" w:sz="0" w:space="0" w:color="auto"/>
            <w:right w:val="none" w:sz="0" w:space="0" w:color="auto"/>
          </w:divBdr>
        </w:div>
        <w:div w:id="1359771529">
          <w:marLeft w:val="0"/>
          <w:marRight w:val="0"/>
          <w:marTop w:val="0"/>
          <w:marBottom w:val="0"/>
          <w:divBdr>
            <w:top w:val="none" w:sz="0" w:space="0" w:color="auto"/>
            <w:left w:val="none" w:sz="0" w:space="0" w:color="auto"/>
            <w:bottom w:val="none" w:sz="0" w:space="0" w:color="auto"/>
            <w:right w:val="none" w:sz="0" w:space="0" w:color="auto"/>
          </w:divBdr>
        </w:div>
        <w:div w:id="1665236583">
          <w:marLeft w:val="0"/>
          <w:marRight w:val="0"/>
          <w:marTop w:val="0"/>
          <w:marBottom w:val="0"/>
          <w:divBdr>
            <w:top w:val="none" w:sz="0" w:space="0" w:color="auto"/>
            <w:left w:val="none" w:sz="0" w:space="0" w:color="auto"/>
            <w:bottom w:val="none" w:sz="0" w:space="0" w:color="auto"/>
            <w:right w:val="none" w:sz="0" w:space="0" w:color="auto"/>
          </w:divBdr>
        </w:div>
        <w:div w:id="1527714762">
          <w:marLeft w:val="0"/>
          <w:marRight w:val="0"/>
          <w:marTop w:val="0"/>
          <w:marBottom w:val="0"/>
          <w:divBdr>
            <w:top w:val="none" w:sz="0" w:space="0" w:color="auto"/>
            <w:left w:val="none" w:sz="0" w:space="0" w:color="auto"/>
            <w:bottom w:val="none" w:sz="0" w:space="0" w:color="auto"/>
            <w:right w:val="none" w:sz="0" w:space="0" w:color="auto"/>
          </w:divBdr>
        </w:div>
        <w:div w:id="981302867">
          <w:marLeft w:val="0"/>
          <w:marRight w:val="0"/>
          <w:marTop w:val="0"/>
          <w:marBottom w:val="0"/>
          <w:divBdr>
            <w:top w:val="none" w:sz="0" w:space="0" w:color="auto"/>
            <w:left w:val="none" w:sz="0" w:space="0" w:color="auto"/>
            <w:bottom w:val="none" w:sz="0" w:space="0" w:color="auto"/>
            <w:right w:val="none" w:sz="0" w:space="0" w:color="auto"/>
          </w:divBdr>
        </w:div>
        <w:div w:id="1492722061">
          <w:marLeft w:val="0"/>
          <w:marRight w:val="0"/>
          <w:marTop w:val="0"/>
          <w:marBottom w:val="0"/>
          <w:divBdr>
            <w:top w:val="none" w:sz="0" w:space="0" w:color="auto"/>
            <w:left w:val="none" w:sz="0" w:space="0" w:color="auto"/>
            <w:bottom w:val="none" w:sz="0" w:space="0" w:color="auto"/>
            <w:right w:val="none" w:sz="0" w:space="0" w:color="auto"/>
          </w:divBdr>
        </w:div>
        <w:div w:id="1084299818">
          <w:marLeft w:val="0"/>
          <w:marRight w:val="0"/>
          <w:marTop w:val="0"/>
          <w:marBottom w:val="0"/>
          <w:divBdr>
            <w:top w:val="none" w:sz="0" w:space="0" w:color="auto"/>
            <w:left w:val="none" w:sz="0" w:space="0" w:color="auto"/>
            <w:bottom w:val="none" w:sz="0" w:space="0" w:color="auto"/>
            <w:right w:val="none" w:sz="0" w:space="0" w:color="auto"/>
          </w:divBdr>
        </w:div>
      </w:divsChild>
    </w:div>
    <w:div w:id="1042554153">
      <w:bodyDiv w:val="1"/>
      <w:marLeft w:val="0"/>
      <w:marRight w:val="0"/>
      <w:marTop w:val="0"/>
      <w:marBottom w:val="0"/>
      <w:divBdr>
        <w:top w:val="none" w:sz="0" w:space="0" w:color="auto"/>
        <w:left w:val="none" w:sz="0" w:space="0" w:color="auto"/>
        <w:bottom w:val="none" w:sz="0" w:space="0" w:color="auto"/>
        <w:right w:val="none" w:sz="0" w:space="0" w:color="auto"/>
      </w:divBdr>
    </w:div>
    <w:div w:id="1048409921">
      <w:bodyDiv w:val="1"/>
      <w:marLeft w:val="0"/>
      <w:marRight w:val="0"/>
      <w:marTop w:val="0"/>
      <w:marBottom w:val="0"/>
      <w:divBdr>
        <w:top w:val="none" w:sz="0" w:space="0" w:color="auto"/>
        <w:left w:val="none" w:sz="0" w:space="0" w:color="auto"/>
        <w:bottom w:val="none" w:sz="0" w:space="0" w:color="auto"/>
        <w:right w:val="none" w:sz="0" w:space="0" w:color="auto"/>
      </w:divBdr>
    </w:div>
    <w:div w:id="1138109109">
      <w:bodyDiv w:val="1"/>
      <w:marLeft w:val="0"/>
      <w:marRight w:val="0"/>
      <w:marTop w:val="0"/>
      <w:marBottom w:val="0"/>
      <w:divBdr>
        <w:top w:val="none" w:sz="0" w:space="0" w:color="auto"/>
        <w:left w:val="none" w:sz="0" w:space="0" w:color="auto"/>
        <w:bottom w:val="none" w:sz="0" w:space="0" w:color="auto"/>
        <w:right w:val="none" w:sz="0" w:space="0" w:color="auto"/>
      </w:divBdr>
    </w:div>
    <w:div w:id="1145700531">
      <w:bodyDiv w:val="1"/>
      <w:marLeft w:val="0"/>
      <w:marRight w:val="0"/>
      <w:marTop w:val="0"/>
      <w:marBottom w:val="0"/>
      <w:divBdr>
        <w:top w:val="none" w:sz="0" w:space="0" w:color="auto"/>
        <w:left w:val="none" w:sz="0" w:space="0" w:color="auto"/>
        <w:bottom w:val="none" w:sz="0" w:space="0" w:color="auto"/>
        <w:right w:val="none" w:sz="0" w:space="0" w:color="auto"/>
      </w:divBdr>
    </w:div>
    <w:div w:id="1190411228">
      <w:bodyDiv w:val="1"/>
      <w:marLeft w:val="0"/>
      <w:marRight w:val="0"/>
      <w:marTop w:val="0"/>
      <w:marBottom w:val="0"/>
      <w:divBdr>
        <w:top w:val="none" w:sz="0" w:space="0" w:color="auto"/>
        <w:left w:val="none" w:sz="0" w:space="0" w:color="auto"/>
        <w:bottom w:val="none" w:sz="0" w:space="0" w:color="auto"/>
        <w:right w:val="none" w:sz="0" w:space="0" w:color="auto"/>
      </w:divBdr>
    </w:div>
    <w:div w:id="1202863407">
      <w:bodyDiv w:val="1"/>
      <w:marLeft w:val="0"/>
      <w:marRight w:val="0"/>
      <w:marTop w:val="0"/>
      <w:marBottom w:val="0"/>
      <w:divBdr>
        <w:top w:val="none" w:sz="0" w:space="0" w:color="auto"/>
        <w:left w:val="none" w:sz="0" w:space="0" w:color="auto"/>
        <w:bottom w:val="none" w:sz="0" w:space="0" w:color="auto"/>
        <w:right w:val="none" w:sz="0" w:space="0" w:color="auto"/>
      </w:divBdr>
      <w:divsChild>
        <w:div w:id="2106727273">
          <w:marLeft w:val="0"/>
          <w:marRight w:val="0"/>
          <w:marTop w:val="0"/>
          <w:marBottom w:val="0"/>
          <w:divBdr>
            <w:top w:val="none" w:sz="0" w:space="0" w:color="auto"/>
            <w:left w:val="none" w:sz="0" w:space="0" w:color="auto"/>
            <w:bottom w:val="none" w:sz="0" w:space="0" w:color="auto"/>
            <w:right w:val="none" w:sz="0" w:space="0" w:color="auto"/>
          </w:divBdr>
        </w:div>
        <w:div w:id="746339080">
          <w:marLeft w:val="0"/>
          <w:marRight w:val="0"/>
          <w:marTop w:val="0"/>
          <w:marBottom w:val="0"/>
          <w:divBdr>
            <w:top w:val="none" w:sz="0" w:space="0" w:color="auto"/>
            <w:left w:val="none" w:sz="0" w:space="0" w:color="auto"/>
            <w:bottom w:val="none" w:sz="0" w:space="0" w:color="auto"/>
            <w:right w:val="none" w:sz="0" w:space="0" w:color="auto"/>
          </w:divBdr>
        </w:div>
        <w:div w:id="1240485338">
          <w:marLeft w:val="0"/>
          <w:marRight w:val="0"/>
          <w:marTop w:val="0"/>
          <w:marBottom w:val="0"/>
          <w:divBdr>
            <w:top w:val="none" w:sz="0" w:space="0" w:color="auto"/>
            <w:left w:val="none" w:sz="0" w:space="0" w:color="auto"/>
            <w:bottom w:val="none" w:sz="0" w:space="0" w:color="auto"/>
            <w:right w:val="none" w:sz="0" w:space="0" w:color="auto"/>
          </w:divBdr>
        </w:div>
        <w:div w:id="850873060">
          <w:marLeft w:val="0"/>
          <w:marRight w:val="0"/>
          <w:marTop w:val="0"/>
          <w:marBottom w:val="0"/>
          <w:divBdr>
            <w:top w:val="none" w:sz="0" w:space="0" w:color="auto"/>
            <w:left w:val="none" w:sz="0" w:space="0" w:color="auto"/>
            <w:bottom w:val="none" w:sz="0" w:space="0" w:color="auto"/>
            <w:right w:val="none" w:sz="0" w:space="0" w:color="auto"/>
          </w:divBdr>
        </w:div>
        <w:div w:id="807354824">
          <w:marLeft w:val="0"/>
          <w:marRight w:val="0"/>
          <w:marTop w:val="0"/>
          <w:marBottom w:val="0"/>
          <w:divBdr>
            <w:top w:val="none" w:sz="0" w:space="0" w:color="auto"/>
            <w:left w:val="none" w:sz="0" w:space="0" w:color="auto"/>
            <w:bottom w:val="none" w:sz="0" w:space="0" w:color="auto"/>
            <w:right w:val="none" w:sz="0" w:space="0" w:color="auto"/>
          </w:divBdr>
        </w:div>
        <w:div w:id="1123964368">
          <w:marLeft w:val="0"/>
          <w:marRight w:val="0"/>
          <w:marTop w:val="0"/>
          <w:marBottom w:val="0"/>
          <w:divBdr>
            <w:top w:val="none" w:sz="0" w:space="0" w:color="auto"/>
            <w:left w:val="none" w:sz="0" w:space="0" w:color="auto"/>
            <w:bottom w:val="none" w:sz="0" w:space="0" w:color="auto"/>
            <w:right w:val="none" w:sz="0" w:space="0" w:color="auto"/>
          </w:divBdr>
        </w:div>
        <w:div w:id="855851772">
          <w:marLeft w:val="0"/>
          <w:marRight w:val="0"/>
          <w:marTop w:val="0"/>
          <w:marBottom w:val="0"/>
          <w:divBdr>
            <w:top w:val="none" w:sz="0" w:space="0" w:color="auto"/>
            <w:left w:val="none" w:sz="0" w:space="0" w:color="auto"/>
            <w:bottom w:val="none" w:sz="0" w:space="0" w:color="auto"/>
            <w:right w:val="none" w:sz="0" w:space="0" w:color="auto"/>
          </w:divBdr>
        </w:div>
        <w:div w:id="1548175666">
          <w:marLeft w:val="0"/>
          <w:marRight w:val="0"/>
          <w:marTop w:val="0"/>
          <w:marBottom w:val="0"/>
          <w:divBdr>
            <w:top w:val="none" w:sz="0" w:space="0" w:color="auto"/>
            <w:left w:val="none" w:sz="0" w:space="0" w:color="auto"/>
            <w:bottom w:val="none" w:sz="0" w:space="0" w:color="auto"/>
            <w:right w:val="none" w:sz="0" w:space="0" w:color="auto"/>
          </w:divBdr>
        </w:div>
        <w:div w:id="577520524">
          <w:marLeft w:val="0"/>
          <w:marRight w:val="0"/>
          <w:marTop w:val="0"/>
          <w:marBottom w:val="0"/>
          <w:divBdr>
            <w:top w:val="none" w:sz="0" w:space="0" w:color="auto"/>
            <w:left w:val="none" w:sz="0" w:space="0" w:color="auto"/>
            <w:bottom w:val="none" w:sz="0" w:space="0" w:color="auto"/>
            <w:right w:val="none" w:sz="0" w:space="0" w:color="auto"/>
          </w:divBdr>
        </w:div>
        <w:div w:id="1704549674">
          <w:marLeft w:val="0"/>
          <w:marRight w:val="0"/>
          <w:marTop w:val="0"/>
          <w:marBottom w:val="0"/>
          <w:divBdr>
            <w:top w:val="none" w:sz="0" w:space="0" w:color="auto"/>
            <w:left w:val="none" w:sz="0" w:space="0" w:color="auto"/>
            <w:bottom w:val="none" w:sz="0" w:space="0" w:color="auto"/>
            <w:right w:val="none" w:sz="0" w:space="0" w:color="auto"/>
          </w:divBdr>
        </w:div>
        <w:div w:id="1004437348">
          <w:marLeft w:val="0"/>
          <w:marRight w:val="0"/>
          <w:marTop w:val="0"/>
          <w:marBottom w:val="0"/>
          <w:divBdr>
            <w:top w:val="none" w:sz="0" w:space="0" w:color="auto"/>
            <w:left w:val="none" w:sz="0" w:space="0" w:color="auto"/>
            <w:bottom w:val="none" w:sz="0" w:space="0" w:color="auto"/>
            <w:right w:val="none" w:sz="0" w:space="0" w:color="auto"/>
          </w:divBdr>
        </w:div>
      </w:divsChild>
    </w:div>
    <w:div w:id="1203245900">
      <w:bodyDiv w:val="1"/>
      <w:marLeft w:val="0"/>
      <w:marRight w:val="0"/>
      <w:marTop w:val="0"/>
      <w:marBottom w:val="0"/>
      <w:divBdr>
        <w:top w:val="none" w:sz="0" w:space="0" w:color="auto"/>
        <w:left w:val="none" w:sz="0" w:space="0" w:color="auto"/>
        <w:bottom w:val="none" w:sz="0" w:space="0" w:color="auto"/>
        <w:right w:val="none" w:sz="0" w:space="0" w:color="auto"/>
      </w:divBdr>
    </w:div>
    <w:div w:id="1220282587">
      <w:bodyDiv w:val="1"/>
      <w:marLeft w:val="0"/>
      <w:marRight w:val="0"/>
      <w:marTop w:val="0"/>
      <w:marBottom w:val="0"/>
      <w:divBdr>
        <w:top w:val="none" w:sz="0" w:space="0" w:color="auto"/>
        <w:left w:val="none" w:sz="0" w:space="0" w:color="auto"/>
        <w:bottom w:val="none" w:sz="0" w:space="0" w:color="auto"/>
        <w:right w:val="none" w:sz="0" w:space="0" w:color="auto"/>
      </w:divBdr>
    </w:div>
    <w:div w:id="1248423712">
      <w:bodyDiv w:val="1"/>
      <w:marLeft w:val="0"/>
      <w:marRight w:val="0"/>
      <w:marTop w:val="0"/>
      <w:marBottom w:val="0"/>
      <w:divBdr>
        <w:top w:val="none" w:sz="0" w:space="0" w:color="auto"/>
        <w:left w:val="none" w:sz="0" w:space="0" w:color="auto"/>
        <w:bottom w:val="none" w:sz="0" w:space="0" w:color="auto"/>
        <w:right w:val="none" w:sz="0" w:space="0" w:color="auto"/>
      </w:divBdr>
    </w:div>
    <w:div w:id="1379429089">
      <w:bodyDiv w:val="1"/>
      <w:marLeft w:val="0"/>
      <w:marRight w:val="0"/>
      <w:marTop w:val="0"/>
      <w:marBottom w:val="0"/>
      <w:divBdr>
        <w:top w:val="none" w:sz="0" w:space="0" w:color="auto"/>
        <w:left w:val="none" w:sz="0" w:space="0" w:color="auto"/>
        <w:bottom w:val="none" w:sz="0" w:space="0" w:color="auto"/>
        <w:right w:val="none" w:sz="0" w:space="0" w:color="auto"/>
      </w:divBdr>
    </w:div>
    <w:div w:id="1399943152">
      <w:bodyDiv w:val="1"/>
      <w:marLeft w:val="0"/>
      <w:marRight w:val="0"/>
      <w:marTop w:val="0"/>
      <w:marBottom w:val="0"/>
      <w:divBdr>
        <w:top w:val="none" w:sz="0" w:space="0" w:color="auto"/>
        <w:left w:val="none" w:sz="0" w:space="0" w:color="auto"/>
        <w:bottom w:val="none" w:sz="0" w:space="0" w:color="auto"/>
        <w:right w:val="none" w:sz="0" w:space="0" w:color="auto"/>
      </w:divBdr>
    </w:div>
    <w:div w:id="1404835764">
      <w:bodyDiv w:val="1"/>
      <w:marLeft w:val="0"/>
      <w:marRight w:val="0"/>
      <w:marTop w:val="0"/>
      <w:marBottom w:val="0"/>
      <w:divBdr>
        <w:top w:val="none" w:sz="0" w:space="0" w:color="auto"/>
        <w:left w:val="none" w:sz="0" w:space="0" w:color="auto"/>
        <w:bottom w:val="none" w:sz="0" w:space="0" w:color="auto"/>
        <w:right w:val="none" w:sz="0" w:space="0" w:color="auto"/>
      </w:divBdr>
    </w:div>
    <w:div w:id="1412853844">
      <w:bodyDiv w:val="1"/>
      <w:marLeft w:val="0"/>
      <w:marRight w:val="0"/>
      <w:marTop w:val="0"/>
      <w:marBottom w:val="0"/>
      <w:divBdr>
        <w:top w:val="none" w:sz="0" w:space="0" w:color="auto"/>
        <w:left w:val="none" w:sz="0" w:space="0" w:color="auto"/>
        <w:bottom w:val="none" w:sz="0" w:space="0" w:color="auto"/>
        <w:right w:val="none" w:sz="0" w:space="0" w:color="auto"/>
      </w:divBdr>
    </w:div>
    <w:div w:id="1416702974">
      <w:bodyDiv w:val="1"/>
      <w:marLeft w:val="0"/>
      <w:marRight w:val="0"/>
      <w:marTop w:val="0"/>
      <w:marBottom w:val="0"/>
      <w:divBdr>
        <w:top w:val="none" w:sz="0" w:space="0" w:color="auto"/>
        <w:left w:val="none" w:sz="0" w:space="0" w:color="auto"/>
        <w:bottom w:val="none" w:sz="0" w:space="0" w:color="auto"/>
        <w:right w:val="none" w:sz="0" w:space="0" w:color="auto"/>
      </w:divBdr>
    </w:div>
    <w:div w:id="1420755982">
      <w:bodyDiv w:val="1"/>
      <w:marLeft w:val="0"/>
      <w:marRight w:val="0"/>
      <w:marTop w:val="0"/>
      <w:marBottom w:val="0"/>
      <w:divBdr>
        <w:top w:val="none" w:sz="0" w:space="0" w:color="auto"/>
        <w:left w:val="none" w:sz="0" w:space="0" w:color="auto"/>
        <w:bottom w:val="none" w:sz="0" w:space="0" w:color="auto"/>
        <w:right w:val="none" w:sz="0" w:space="0" w:color="auto"/>
      </w:divBdr>
    </w:div>
    <w:div w:id="1425421258">
      <w:bodyDiv w:val="1"/>
      <w:marLeft w:val="0"/>
      <w:marRight w:val="0"/>
      <w:marTop w:val="0"/>
      <w:marBottom w:val="0"/>
      <w:divBdr>
        <w:top w:val="none" w:sz="0" w:space="0" w:color="auto"/>
        <w:left w:val="none" w:sz="0" w:space="0" w:color="auto"/>
        <w:bottom w:val="none" w:sz="0" w:space="0" w:color="auto"/>
        <w:right w:val="none" w:sz="0" w:space="0" w:color="auto"/>
      </w:divBdr>
    </w:div>
    <w:div w:id="1438792102">
      <w:bodyDiv w:val="1"/>
      <w:marLeft w:val="0"/>
      <w:marRight w:val="0"/>
      <w:marTop w:val="0"/>
      <w:marBottom w:val="0"/>
      <w:divBdr>
        <w:top w:val="none" w:sz="0" w:space="0" w:color="auto"/>
        <w:left w:val="none" w:sz="0" w:space="0" w:color="auto"/>
        <w:bottom w:val="none" w:sz="0" w:space="0" w:color="auto"/>
        <w:right w:val="none" w:sz="0" w:space="0" w:color="auto"/>
      </w:divBdr>
    </w:div>
    <w:div w:id="1462268791">
      <w:bodyDiv w:val="1"/>
      <w:marLeft w:val="0"/>
      <w:marRight w:val="0"/>
      <w:marTop w:val="0"/>
      <w:marBottom w:val="0"/>
      <w:divBdr>
        <w:top w:val="none" w:sz="0" w:space="0" w:color="auto"/>
        <w:left w:val="none" w:sz="0" w:space="0" w:color="auto"/>
        <w:bottom w:val="none" w:sz="0" w:space="0" w:color="auto"/>
        <w:right w:val="none" w:sz="0" w:space="0" w:color="auto"/>
      </w:divBdr>
    </w:div>
    <w:div w:id="1472553591">
      <w:bodyDiv w:val="1"/>
      <w:marLeft w:val="0"/>
      <w:marRight w:val="0"/>
      <w:marTop w:val="0"/>
      <w:marBottom w:val="0"/>
      <w:divBdr>
        <w:top w:val="none" w:sz="0" w:space="0" w:color="auto"/>
        <w:left w:val="none" w:sz="0" w:space="0" w:color="auto"/>
        <w:bottom w:val="none" w:sz="0" w:space="0" w:color="auto"/>
        <w:right w:val="none" w:sz="0" w:space="0" w:color="auto"/>
      </w:divBdr>
    </w:div>
    <w:div w:id="1517190662">
      <w:bodyDiv w:val="1"/>
      <w:marLeft w:val="0"/>
      <w:marRight w:val="0"/>
      <w:marTop w:val="0"/>
      <w:marBottom w:val="0"/>
      <w:divBdr>
        <w:top w:val="none" w:sz="0" w:space="0" w:color="auto"/>
        <w:left w:val="none" w:sz="0" w:space="0" w:color="auto"/>
        <w:bottom w:val="none" w:sz="0" w:space="0" w:color="auto"/>
        <w:right w:val="none" w:sz="0" w:space="0" w:color="auto"/>
      </w:divBdr>
    </w:div>
    <w:div w:id="1531449966">
      <w:bodyDiv w:val="1"/>
      <w:marLeft w:val="0"/>
      <w:marRight w:val="0"/>
      <w:marTop w:val="0"/>
      <w:marBottom w:val="0"/>
      <w:divBdr>
        <w:top w:val="none" w:sz="0" w:space="0" w:color="auto"/>
        <w:left w:val="none" w:sz="0" w:space="0" w:color="auto"/>
        <w:bottom w:val="none" w:sz="0" w:space="0" w:color="auto"/>
        <w:right w:val="none" w:sz="0" w:space="0" w:color="auto"/>
      </w:divBdr>
    </w:div>
    <w:div w:id="1541472497">
      <w:bodyDiv w:val="1"/>
      <w:marLeft w:val="0"/>
      <w:marRight w:val="0"/>
      <w:marTop w:val="0"/>
      <w:marBottom w:val="0"/>
      <w:divBdr>
        <w:top w:val="none" w:sz="0" w:space="0" w:color="auto"/>
        <w:left w:val="none" w:sz="0" w:space="0" w:color="auto"/>
        <w:bottom w:val="none" w:sz="0" w:space="0" w:color="auto"/>
        <w:right w:val="none" w:sz="0" w:space="0" w:color="auto"/>
      </w:divBdr>
    </w:div>
    <w:div w:id="1546257814">
      <w:bodyDiv w:val="1"/>
      <w:marLeft w:val="0"/>
      <w:marRight w:val="0"/>
      <w:marTop w:val="0"/>
      <w:marBottom w:val="0"/>
      <w:divBdr>
        <w:top w:val="none" w:sz="0" w:space="0" w:color="auto"/>
        <w:left w:val="none" w:sz="0" w:space="0" w:color="auto"/>
        <w:bottom w:val="none" w:sz="0" w:space="0" w:color="auto"/>
        <w:right w:val="none" w:sz="0" w:space="0" w:color="auto"/>
      </w:divBdr>
    </w:div>
    <w:div w:id="1602451090">
      <w:bodyDiv w:val="1"/>
      <w:marLeft w:val="0"/>
      <w:marRight w:val="0"/>
      <w:marTop w:val="0"/>
      <w:marBottom w:val="0"/>
      <w:divBdr>
        <w:top w:val="none" w:sz="0" w:space="0" w:color="auto"/>
        <w:left w:val="none" w:sz="0" w:space="0" w:color="auto"/>
        <w:bottom w:val="none" w:sz="0" w:space="0" w:color="auto"/>
        <w:right w:val="none" w:sz="0" w:space="0" w:color="auto"/>
      </w:divBdr>
    </w:div>
    <w:div w:id="1655404984">
      <w:bodyDiv w:val="1"/>
      <w:marLeft w:val="0"/>
      <w:marRight w:val="0"/>
      <w:marTop w:val="0"/>
      <w:marBottom w:val="0"/>
      <w:divBdr>
        <w:top w:val="none" w:sz="0" w:space="0" w:color="auto"/>
        <w:left w:val="none" w:sz="0" w:space="0" w:color="auto"/>
        <w:bottom w:val="none" w:sz="0" w:space="0" w:color="auto"/>
        <w:right w:val="none" w:sz="0" w:space="0" w:color="auto"/>
      </w:divBdr>
    </w:div>
    <w:div w:id="1711145707">
      <w:bodyDiv w:val="1"/>
      <w:marLeft w:val="0"/>
      <w:marRight w:val="0"/>
      <w:marTop w:val="0"/>
      <w:marBottom w:val="0"/>
      <w:divBdr>
        <w:top w:val="none" w:sz="0" w:space="0" w:color="auto"/>
        <w:left w:val="none" w:sz="0" w:space="0" w:color="auto"/>
        <w:bottom w:val="none" w:sz="0" w:space="0" w:color="auto"/>
        <w:right w:val="none" w:sz="0" w:space="0" w:color="auto"/>
      </w:divBdr>
    </w:div>
    <w:div w:id="1713573912">
      <w:bodyDiv w:val="1"/>
      <w:marLeft w:val="0"/>
      <w:marRight w:val="0"/>
      <w:marTop w:val="0"/>
      <w:marBottom w:val="0"/>
      <w:divBdr>
        <w:top w:val="none" w:sz="0" w:space="0" w:color="auto"/>
        <w:left w:val="none" w:sz="0" w:space="0" w:color="auto"/>
        <w:bottom w:val="none" w:sz="0" w:space="0" w:color="auto"/>
        <w:right w:val="none" w:sz="0" w:space="0" w:color="auto"/>
      </w:divBdr>
      <w:divsChild>
        <w:div w:id="1652758025">
          <w:marLeft w:val="0"/>
          <w:marRight w:val="0"/>
          <w:marTop w:val="0"/>
          <w:marBottom w:val="0"/>
          <w:divBdr>
            <w:top w:val="none" w:sz="0" w:space="0" w:color="auto"/>
            <w:left w:val="none" w:sz="0" w:space="0" w:color="auto"/>
            <w:bottom w:val="none" w:sz="0" w:space="0" w:color="auto"/>
            <w:right w:val="none" w:sz="0" w:space="0" w:color="auto"/>
          </w:divBdr>
        </w:div>
        <w:div w:id="1558781372">
          <w:marLeft w:val="0"/>
          <w:marRight w:val="0"/>
          <w:marTop w:val="0"/>
          <w:marBottom w:val="0"/>
          <w:divBdr>
            <w:top w:val="none" w:sz="0" w:space="0" w:color="auto"/>
            <w:left w:val="none" w:sz="0" w:space="0" w:color="auto"/>
            <w:bottom w:val="none" w:sz="0" w:space="0" w:color="auto"/>
            <w:right w:val="none" w:sz="0" w:space="0" w:color="auto"/>
          </w:divBdr>
        </w:div>
        <w:div w:id="1468234471">
          <w:marLeft w:val="0"/>
          <w:marRight w:val="0"/>
          <w:marTop w:val="0"/>
          <w:marBottom w:val="0"/>
          <w:divBdr>
            <w:top w:val="none" w:sz="0" w:space="0" w:color="auto"/>
            <w:left w:val="none" w:sz="0" w:space="0" w:color="auto"/>
            <w:bottom w:val="none" w:sz="0" w:space="0" w:color="auto"/>
            <w:right w:val="none" w:sz="0" w:space="0" w:color="auto"/>
          </w:divBdr>
        </w:div>
        <w:div w:id="618998744">
          <w:marLeft w:val="0"/>
          <w:marRight w:val="0"/>
          <w:marTop w:val="0"/>
          <w:marBottom w:val="0"/>
          <w:divBdr>
            <w:top w:val="none" w:sz="0" w:space="0" w:color="auto"/>
            <w:left w:val="none" w:sz="0" w:space="0" w:color="auto"/>
            <w:bottom w:val="none" w:sz="0" w:space="0" w:color="auto"/>
            <w:right w:val="none" w:sz="0" w:space="0" w:color="auto"/>
          </w:divBdr>
        </w:div>
        <w:div w:id="472645921">
          <w:marLeft w:val="0"/>
          <w:marRight w:val="0"/>
          <w:marTop w:val="0"/>
          <w:marBottom w:val="0"/>
          <w:divBdr>
            <w:top w:val="none" w:sz="0" w:space="0" w:color="auto"/>
            <w:left w:val="none" w:sz="0" w:space="0" w:color="auto"/>
            <w:bottom w:val="none" w:sz="0" w:space="0" w:color="auto"/>
            <w:right w:val="none" w:sz="0" w:space="0" w:color="auto"/>
          </w:divBdr>
        </w:div>
      </w:divsChild>
    </w:div>
    <w:div w:id="1718509257">
      <w:bodyDiv w:val="1"/>
      <w:marLeft w:val="0"/>
      <w:marRight w:val="0"/>
      <w:marTop w:val="0"/>
      <w:marBottom w:val="0"/>
      <w:divBdr>
        <w:top w:val="none" w:sz="0" w:space="0" w:color="auto"/>
        <w:left w:val="none" w:sz="0" w:space="0" w:color="auto"/>
        <w:bottom w:val="none" w:sz="0" w:space="0" w:color="auto"/>
        <w:right w:val="none" w:sz="0" w:space="0" w:color="auto"/>
      </w:divBdr>
    </w:div>
    <w:div w:id="1721055718">
      <w:bodyDiv w:val="1"/>
      <w:marLeft w:val="0"/>
      <w:marRight w:val="0"/>
      <w:marTop w:val="0"/>
      <w:marBottom w:val="0"/>
      <w:divBdr>
        <w:top w:val="none" w:sz="0" w:space="0" w:color="auto"/>
        <w:left w:val="none" w:sz="0" w:space="0" w:color="auto"/>
        <w:bottom w:val="none" w:sz="0" w:space="0" w:color="auto"/>
        <w:right w:val="none" w:sz="0" w:space="0" w:color="auto"/>
      </w:divBdr>
    </w:div>
    <w:div w:id="1747457957">
      <w:bodyDiv w:val="1"/>
      <w:marLeft w:val="0"/>
      <w:marRight w:val="0"/>
      <w:marTop w:val="0"/>
      <w:marBottom w:val="0"/>
      <w:divBdr>
        <w:top w:val="none" w:sz="0" w:space="0" w:color="auto"/>
        <w:left w:val="none" w:sz="0" w:space="0" w:color="auto"/>
        <w:bottom w:val="none" w:sz="0" w:space="0" w:color="auto"/>
        <w:right w:val="none" w:sz="0" w:space="0" w:color="auto"/>
      </w:divBdr>
    </w:div>
    <w:div w:id="1764953481">
      <w:bodyDiv w:val="1"/>
      <w:marLeft w:val="0"/>
      <w:marRight w:val="0"/>
      <w:marTop w:val="0"/>
      <w:marBottom w:val="0"/>
      <w:divBdr>
        <w:top w:val="none" w:sz="0" w:space="0" w:color="auto"/>
        <w:left w:val="none" w:sz="0" w:space="0" w:color="auto"/>
        <w:bottom w:val="none" w:sz="0" w:space="0" w:color="auto"/>
        <w:right w:val="none" w:sz="0" w:space="0" w:color="auto"/>
      </w:divBdr>
    </w:div>
    <w:div w:id="1773084548">
      <w:bodyDiv w:val="1"/>
      <w:marLeft w:val="0"/>
      <w:marRight w:val="0"/>
      <w:marTop w:val="0"/>
      <w:marBottom w:val="0"/>
      <w:divBdr>
        <w:top w:val="none" w:sz="0" w:space="0" w:color="auto"/>
        <w:left w:val="none" w:sz="0" w:space="0" w:color="auto"/>
        <w:bottom w:val="none" w:sz="0" w:space="0" w:color="auto"/>
        <w:right w:val="none" w:sz="0" w:space="0" w:color="auto"/>
      </w:divBdr>
    </w:div>
    <w:div w:id="1799837057">
      <w:bodyDiv w:val="1"/>
      <w:marLeft w:val="0"/>
      <w:marRight w:val="0"/>
      <w:marTop w:val="0"/>
      <w:marBottom w:val="0"/>
      <w:divBdr>
        <w:top w:val="none" w:sz="0" w:space="0" w:color="auto"/>
        <w:left w:val="none" w:sz="0" w:space="0" w:color="auto"/>
        <w:bottom w:val="none" w:sz="0" w:space="0" w:color="auto"/>
        <w:right w:val="none" w:sz="0" w:space="0" w:color="auto"/>
      </w:divBdr>
    </w:div>
    <w:div w:id="1821531705">
      <w:bodyDiv w:val="1"/>
      <w:marLeft w:val="0"/>
      <w:marRight w:val="0"/>
      <w:marTop w:val="0"/>
      <w:marBottom w:val="0"/>
      <w:divBdr>
        <w:top w:val="none" w:sz="0" w:space="0" w:color="auto"/>
        <w:left w:val="none" w:sz="0" w:space="0" w:color="auto"/>
        <w:bottom w:val="none" w:sz="0" w:space="0" w:color="auto"/>
        <w:right w:val="none" w:sz="0" w:space="0" w:color="auto"/>
      </w:divBdr>
    </w:div>
    <w:div w:id="1871331942">
      <w:bodyDiv w:val="1"/>
      <w:marLeft w:val="0"/>
      <w:marRight w:val="0"/>
      <w:marTop w:val="0"/>
      <w:marBottom w:val="0"/>
      <w:divBdr>
        <w:top w:val="none" w:sz="0" w:space="0" w:color="auto"/>
        <w:left w:val="none" w:sz="0" w:space="0" w:color="auto"/>
        <w:bottom w:val="none" w:sz="0" w:space="0" w:color="auto"/>
        <w:right w:val="none" w:sz="0" w:space="0" w:color="auto"/>
      </w:divBdr>
    </w:div>
    <w:div w:id="1902597925">
      <w:bodyDiv w:val="1"/>
      <w:marLeft w:val="0"/>
      <w:marRight w:val="0"/>
      <w:marTop w:val="0"/>
      <w:marBottom w:val="0"/>
      <w:divBdr>
        <w:top w:val="none" w:sz="0" w:space="0" w:color="auto"/>
        <w:left w:val="none" w:sz="0" w:space="0" w:color="auto"/>
        <w:bottom w:val="none" w:sz="0" w:space="0" w:color="auto"/>
        <w:right w:val="none" w:sz="0" w:space="0" w:color="auto"/>
      </w:divBdr>
    </w:div>
    <w:div w:id="1916162413">
      <w:bodyDiv w:val="1"/>
      <w:marLeft w:val="0"/>
      <w:marRight w:val="0"/>
      <w:marTop w:val="0"/>
      <w:marBottom w:val="0"/>
      <w:divBdr>
        <w:top w:val="none" w:sz="0" w:space="0" w:color="auto"/>
        <w:left w:val="none" w:sz="0" w:space="0" w:color="auto"/>
        <w:bottom w:val="none" w:sz="0" w:space="0" w:color="auto"/>
        <w:right w:val="none" w:sz="0" w:space="0" w:color="auto"/>
      </w:divBdr>
    </w:div>
    <w:div w:id="1933665258">
      <w:bodyDiv w:val="1"/>
      <w:marLeft w:val="0"/>
      <w:marRight w:val="0"/>
      <w:marTop w:val="0"/>
      <w:marBottom w:val="0"/>
      <w:divBdr>
        <w:top w:val="none" w:sz="0" w:space="0" w:color="auto"/>
        <w:left w:val="none" w:sz="0" w:space="0" w:color="auto"/>
        <w:bottom w:val="none" w:sz="0" w:space="0" w:color="auto"/>
        <w:right w:val="none" w:sz="0" w:space="0" w:color="auto"/>
      </w:divBdr>
      <w:divsChild>
        <w:div w:id="462844097">
          <w:marLeft w:val="0"/>
          <w:marRight w:val="0"/>
          <w:marTop w:val="0"/>
          <w:marBottom w:val="0"/>
          <w:divBdr>
            <w:top w:val="none" w:sz="0" w:space="0" w:color="auto"/>
            <w:left w:val="none" w:sz="0" w:space="0" w:color="auto"/>
            <w:bottom w:val="none" w:sz="0" w:space="0" w:color="auto"/>
            <w:right w:val="none" w:sz="0" w:space="0" w:color="auto"/>
          </w:divBdr>
        </w:div>
        <w:div w:id="1340237619">
          <w:marLeft w:val="0"/>
          <w:marRight w:val="0"/>
          <w:marTop w:val="0"/>
          <w:marBottom w:val="0"/>
          <w:divBdr>
            <w:top w:val="none" w:sz="0" w:space="0" w:color="auto"/>
            <w:left w:val="none" w:sz="0" w:space="0" w:color="auto"/>
            <w:bottom w:val="none" w:sz="0" w:space="0" w:color="auto"/>
            <w:right w:val="none" w:sz="0" w:space="0" w:color="auto"/>
          </w:divBdr>
        </w:div>
        <w:div w:id="703747839">
          <w:marLeft w:val="0"/>
          <w:marRight w:val="0"/>
          <w:marTop w:val="0"/>
          <w:marBottom w:val="0"/>
          <w:divBdr>
            <w:top w:val="none" w:sz="0" w:space="0" w:color="auto"/>
            <w:left w:val="none" w:sz="0" w:space="0" w:color="auto"/>
            <w:bottom w:val="none" w:sz="0" w:space="0" w:color="auto"/>
            <w:right w:val="none" w:sz="0" w:space="0" w:color="auto"/>
          </w:divBdr>
        </w:div>
        <w:div w:id="258637072">
          <w:marLeft w:val="0"/>
          <w:marRight w:val="0"/>
          <w:marTop w:val="0"/>
          <w:marBottom w:val="0"/>
          <w:divBdr>
            <w:top w:val="none" w:sz="0" w:space="0" w:color="auto"/>
            <w:left w:val="none" w:sz="0" w:space="0" w:color="auto"/>
            <w:bottom w:val="none" w:sz="0" w:space="0" w:color="auto"/>
            <w:right w:val="none" w:sz="0" w:space="0" w:color="auto"/>
          </w:divBdr>
        </w:div>
      </w:divsChild>
    </w:div>
    <w:div w:id="1942057201">
      <w:bodyDiv w:val="1"/>
      <w:marLeft w:val="0"/>
      <w:marRight w:val="0"/>
      <w:marTop w:val="0"/>
      <w:marBottom w:val="0"/>
      <w:divBdr>
        <w:top w:val="none" w:sz="0" w:space="0" w:color="auto"/>
        <w:left w:val="none" w:sz="0" w:space="0" w:color="auto"/>
        <w:bottom w:val="none" w:sz="0" w:space="0" w:color="auto"/>
        <w:right w:val="none" w:sz="0" w:space="0" w:color="auto"/>
      </w:divBdr>
    </w:div>
    <w:div w:id="1944221354">
      <w:bodyDiv w:val="1"/>
      <w:marLeft w:val="0"/>
      <w:marRight w:val="0"/>
      <w:marTop w:val="0"/>
      <w:marBottom w:val="0"/>
      <w:divBdr>
        <w:top w:val="none" w:sz="0" w:space="0" w:color="auto"/>
        <w:left w:val="none" w:sz="0" w:space="0" w:color="auto"/>
        <w:bottom w:val="none" w:sz="0" w:space="0" w:color="auto"/>
        <w:right w:val="none" w:sz="0" w:space="0" w:color="auto"/>
      </w:divBdr>
    </w:div>
    <w:div w:id="1947417945">
      <w:bodyDiv w:val="1"/>
      <w:marLeft w:val="0"/>
      <w:marRight w:val="0"/>
      <w:marTop w:val="0"/>
      <w:marBottom w:val="0"/>
      <w:divBdr>
        <w:top w:val="none" w:sz="0" w:space="0" w:color="auto"/>
        <w:left w:val="none" w:sz="0" w:space="0" w:color="auto"/>
        <w:bottom w:val="none" w:sz="0" w:space="0" w:color="auto"/>
        <w:right w:val="none" w:sz="0" w:space="0" w:color="auto"/>
      </w:divBdr>
    </w:div>
    <w:div w:id="1956600044">
      <w:bodyDiv w:val="1"/>
      <w:marLeft w:val="0"/>
      <w:marRight w:val="0"/>
      <w:marTop w:val="0"/>
      <w:marBottom w:val="0"/>
      <w:divBdr>
        <w:top w:val="none" w:sz="0" w:space="0" w:color="auto"/>
        <w:left w:val="none" w:sz="0" w:space="0" w:color="auto"/>
        <w:bottom w:val="none" w:sz="0" w:space="0" w:color="auto"/>
        <w:right w:val="none" w:sz="0" w:space="0" w:color="auto"/>
      </w:divBdr>
    </w:div>
    <w:div w:id="2002351732">
      <w:bodyDiv w:val="1"/>
      <w:marLeft w:val="0"/>
      <w:marRight w:val="0"/>
      <w:marTop w:val="0"/>
      <w:marBottom w:val="0"/>
      <w:divBdr>
        <w:top w:val="none" w:sz="0" w:space="0" w:color="auto"/>
        <w:left w:val="none" w:sz="0" w:space="0" w:color="auto"/>
        <w:bottom w:val="none" w:sz="0" w:space="0" w:color="auto"/>
        <w:right w:val="none" w:sz="0" w:space="0" w:color="auto"/>
      </w:divBdr>
    </w:div>
    <w:div w:id="2022777224">
      <w:bodyDiv w:val="1"/>
      <w:marLeft w:val="0"/>
      <w:marRight w:val="0"/>
      <w:marTop w:val="0"/>
      <w:marBottom w:val="0"/>
      <w:divBdr>
        <w:top w:val="none" w:sz="0" w:space="0" w:color="auto"/>
        <w:left w:val="none" w:sz="0" w:space="0" w:color="auto"/>
        <w:bottom w:val="none" w:sz="0" w:space="0" w:color="auto"/>
        <w:right w:val="none" w:sz="0" w:space="0" w:color="auto"/>
      </w:divBdr>
    </w:div>
    <w:div w:id="2033915034">
      <w:bodyDiv w:val="1"/>
      <w:marLeft w:val="0"/>
      <w:marRight w:val="0"/>
      <w:marTop w:val="0"/>
      <w:marBottom w:val="0"/>
      <w:divBdr>
        <w:top w:val="none" w:sz="0" w:space="0" w:color="auto"/>
        <w:left w:val="none" w:sz="0" w:space="0" w:color="auto"/>
        <w:bottom w:val="none" w:sz="0" w:space="0" w:color="auto"/>
        <w:right w:val="none" w:sz="0" w:space="0" w:color="auto"/>
      </w:divBdr>
    </w:div>
    <w:div w:id="2045279363">
      <w:bodyDiv w:val="1"/>
      <w:marLeft w:val="0"/>
      <w:marRight w:val="0"/>
      <w:marTop w:val="0"/>
      <w:marBottom w:val="0"/>
      <w:divBdr>
        <w:top w:val="none" w:sz="0" w:space="0" w:color="auto"/>
        <w:left w:val="none" w:sz="0" w:space="0" w:color="auto"/>
        <w:bottom w:val="none" w:sz="0" w:space="0" w:color="auto"/>
        <w:right w:val="none" w:sz="0" w:space="0" w:color="auto"/>
      </w:divBdr>
    </w:div>
    <w:div w:id="2065789608">
      <w:bodyDiv w:val="1"/>
      <w:marLeft w:val="0"/>
      <w:marRight w:val="0"/>
      <w:marTop w:val="0"/>
      <w:marBottom w:val="0"/>
      <w:divBdr>
        <w:top w:val="none" w:sz="0" w:space="0" w:color="auto"/>
        <w:left w:val="none" w:sz="0" w:space="0" w:color="auto"/>
        <w:bottom w:val="none" w:sz="0" w:space="0" w:color="auto"/>
        <w:right w:val="none" w:sz="0" w:space="0" w:color="auto"/>
      </w:divBdr>
    </w:div>
    <w:div w:id="2106028453">
      <w:bodyDiv w:val="1"/>
      <w:marLeft w:val="0"/>
      <w:marRight w:val="0"/>
      <w:marTop w:val="0"/>
      <w:marBottom w:val="0"/>
      <w:divBdr>
        <w:top w:val="none" w:sz="0" w:space="0" w:color="auto"/>
        <w:left w:val="none" w:sz="0" w:space="0" w:color="auto"/>
        <w:bottom w:val="none" w:sz="0" w:space="0" w:color="auto"/>
        <w:right w:val="none" w:sz="0" w:space="0" w:color="auto"/>
      </w:divBdr>
    </w:div>
    <w:div w:id="2139105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microsoft.com/office/2016/09/relationships/commentsIds" Target="commentsIds.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creativecommons.org/licenses/by-nc/4.0/"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20CF82-004A-4533-A3B0-666E65784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151542</Words>
  <Characters>863793</Characters>
  <Application>Microsoft Office Word</Application>
  <DocSecurity>0</DocSecurity>
  <Lines>7198</Lines>
  <Paragraphs>2026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1013309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Romain VILLEGER</dc:creator>
  <cp:lastModifiedBy>Na Ma</cp:lastModifiedBy>
  <cp:revision>2</cp:revision>
  <cp:lastPrinted>2018-03-19T15:49:00Z</cp:lastPrinted>
  <dcterms:created xsi:type="dcterms:W3CDTF">2018-05-18T01:12:00Z</dcterms:created>
  <dcterms:modified xsi:type="dcterms:W3CDTF">2018-05-18T01:12:00Z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zotero-version="5.0.43"&gt;&lt;session id="D1GMNV0O"/&gt;&lt;style id="http://www.zotero.org/styles/world-journal-of-gastroenterology" hasBibliography="1" bibliographyStyleHasBeenSet="1"/&gt;&lt;prefs&gt;&lt;pref name="fieldType" value="Field"/&gt;&lt;pref name=</vt:lpwstr>
  </property>
  <property fmtid="{D5CDD505-2E9C-101B-9397-08002B2CF9AE}" pid="3" name="ZOTERO_PREF_2">
    <vt:lpwstr>"automaticJournalAbbreviations" value="true"/&gt;&lt;pref name="dontAskDelayCitationUpdates" value="true"/&gt;&lt;/prefs&gt;&lt;/data&gt;</vt:lpwstr>
  </property>
  <property fmtid="{D5CDD505-2E9C-101B-9397-08002B2CF9AE}" pid="4" name="_AdHocReviewCycleID">
    <vt:i4>293687048</vt:i4>
  </property>
  <property fmtid="{D5CDD505-2E9C-101B-9397-08002B2CF9AE}" pid="5" name="_NewReviewCycle">
    <vt:lpwstr/>
  </property>
  <property fmtid="{D5CDD505-2E9C-101B-9397-08002B2CF9AE}" pid="6" name="_EmailSubject">
    <vt:lpwstr>Référence Zotero</vt:lpwstr>
  </property>
  <property fmtid="{D5CDD505-2E9C-101B-9397-08002B2CF9AE}" pid="7" name="_AuthorEmail">
    <vt:lpwstr>Amelie.Lopes@sanofi.com</vt:lpwstr>
  </property>
  <property fmtid="{D5CDD505-2E9C-101B-9397-08002B2CF9AE}" pid="8" name="_AuthorEmailDisplayName">
    <vt:lpwstr>Lopes, Amelie /FR</vt:lpwstr>
  </property>
  <property fmtid="{D5CDD505-2E9C-101B-9397-08002B2CF9AE}" pid="9" name="_ReviewingToolsShownOnce">
    <vt:lpwstr/>
  </property>
</Properties>
</file>