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DD83A" w14:textId="77777777" w:rsidR="0051433C" w:rsidRPr="00D97276" w:rsidRDefault="0051433C" w:rsidP="00E17439">
      <w:pPr>
        <w:autoSpaceDE w:val="0"/>
        <w:autoSpaceDN w:val="0"/>
        <w:adjustRightInd w:val="0"/>
        <w:snapToGrid w:val="0"/>
        <w:spacing w:after="0" w:line="360" w:lineRule="auto"/>
        <w:jc w:val="both"/>
        <w:rPr>
          <w:rFonts w:ascii="Book Antiqua" w:hAnsi="Book Antiqua" w:cstheme="minorHAnsi"/>
          <w:b/>
          <w:sz w:val="24"/>
          <w:szCs w:val="24"/>
          <w:lang w:val="en-GB" w:eastAsia="zh-CN"/>
        </w:rPr>
      </w:pPr>
      <w:r w:rsidRPr="00D97276">
        <w:rPr>
          <w:rFonts w:ascii="Book Antiqua" w:eastAsia="SabonLTStd-Roman" w:hAnsi="Book Antiqua" w:cstheme="minorHAnsi"/>
          <w:b/>
          <w:sz w:val="24"/>
          <w:szCs w:val="24"/>
          <w:lang w:val="en-GB"/>
        </w:rPr>
        <w:t xml:space="preserve">Name of </w:t>
      </w:r>
      <w:r w:rsidRPr="00D97276">
        <w:rPr>
          <w:rFonts w:ascii="Book Antiqua" w:eastAsia="SabonLTStd-Roman" w:hAnsi="Book Antiqua" w:cstheme="minorHAnsi"/>
          <w:b/>
          <w:caps/>
          <w:sz w:val="24"/>
          <w:szCs w:val="24"/>
          <w:lang w:val="en-GB"/>
        </w:rPr>
        <w:t>j</w:t>
      </w:r>
      <w:r w:rsidRPr="00D97276">
        <w:rPr>
          <w:rFonts w:ascii="Book Antiqua" w:eastAsia="SabonLTStd-Roman" w:hAnsi="Book Antiqua" w:cstheme="minorHAnsi"/>
          <w:b/>
          <w:sz w:val="24"/>
          <w:szCs w:val="24"/>
          <w:lang w:val="en-GB"/>
        </w:rPr>
        <w:t xml:space="preserve">ournal: </w:t>
      </w:r>
      <w:r w:rsidRPr="00D97276">
        <w:rPr>
          <w:rFonts w:ascii="Book Antiqua" w:eastAsia="SabonLTStd-Roman" w:hAnsi="Book Antiqua" w:cstheme="minorHAnsi"/>
          <w:b/>
          <w:i/>
          <w:sz w:val="24"/>
          <w:szCs w:val="24"/>
          <w:lang w:val="en-GB"/>
        </w:rPr>
        <w:t>World Journal of Gastroenterology</w:t>
      </w:r>
    </w:p>
    <w:p w14:paraId="616F3FEF" w14:textId="1DBDE1F5" w:rsidR="00E235DD" w:rsidRPr="00D97276" w:rsidRDefault="00E235DD" w:rsidP="00E17439">
      <w:pPr>
        <w:autoSpaceDE w:val="0"/>
        <w:autoSpaceDN w:val="0"/>
        <w:adjustRightInd w:val="0"/>
        <w:snapToGrid w:val="0"/>
        <w:spacing w:after="0" w:line="360" w:lineRule="auto"/>
        <w:jc w:val="both"/>
        <w:rPr>
          <w:rFonts w:ascii="Book Antiqua" w:hAnsi="Book Antiqua" w:cstheme="minorHAnsi"/>
          <w:b/>
          <w:sz w:val="24"/>
          <w:szCs w:val="24"/>
          <w:lang w:val="en-GB" w:eastAsia="zh-CN"/>
        </w:rPr>
      </w:pPr>
      <w:bookmarkStart w:id="0" w:name="OLE_LINK485"/>
      <w:bookmarkStart w:id="1" w:name="OLE_LINK486"/>
      <w:bookmarkStart w:id="2" w:name="OLE_LINK661"/>
      <w:bookmarkStart w:id="3" w:name="OLE_LINK768"/>
      <w:r w:rsidRPr="00D97276">
        <w:rPr>
          <w:rFonts w:ascii="Book Antiqua" w:hAnsi="Book Antiqua" w:cs="Times New Roman"/>
          <w:b/>
          <w:sz w:val="24"/>
          <w:szCs w:val="24"/>
          <w:highlight w:val="white"/>
          <w:lang w:eastAsia="zh-CN"/>
        </w:rPr>
        <w:t>Manuscript NO:</w:t>
      </w:r>
      <w:bookmarkEnd w:id="0"/>
      <w:bookmarkEnd w:id="1"/>
      <w:bookmarkEnd w:id="2"/>
      <w:bookmarkEnd w:id="3"/>
      <w:r w:rsidR="00857DD4" w:rsidRPr="00D97276">
        <w:rPr>
          <w:rFonts w:ascii="Book Antiqua" w:hAnsi="Book Antiqua" w:cs="Times New Roman"/>
          <w:b/>
          <w:sz w:val="24"/>
          <w:szCs w:val="24"/>
          <w:lang w:eastAsia="zh-CN"/>
        </w:rPr>
        <w:t xml:space="preserve"> 39372</w:t>
      </w:r>
    </w:p>
    <w:p w14:paraId="701D1231" w14:textId="5E052F84" w:rsidR="0051433C" w:rsidRPr="00D97276" w:rsidRDefault="0051433C" w:rsidP="00E17439">
      <w:pPr>
        <w:autoSpaceDE w:val="0"/>
        <w:autoSpaceDN w:val="0"/>
        <w:adjustRightInd w:val="0"/>
        <w:snapToGrid w:val="0"/>
        <w:spacing w:after="0" w:line="360" w:lineRule="auto"/>
        <w:jc w:val="both"/>
        <w:rPr>
          <w:rFonts w:ascii="Book Antiqua" w:hAnsi="Book Antiqua" w:cstheme="minorHAnsi"/>
          <w:b/>
          <w:sz w:val="24"/>
          <w:szCs w:val="24"/>
          <w:lang w:val="en-GB" w:eastAsia="zh-CN"/>
        </w:rPr>
      </w:pPr>
      <w:r w:rsidRPr="00D97276">
        <w:rPr>
          <w:rFonts w:ascii="Book Antiqua" w:eastAsia="SabonLTStd-Roman" w:hAnsi="Book Antiqua" w:cstheme="minorHAnsi"/>
          <w:b/>
          <w:sz w:val="24"/>
          <w:szCs w:val="24"/>
          <w:lang w:val="en-GB"/>
        </w:rPr>
        <w:t xml:space="preserve">Manuscript </w:t>
      </w:r>
      <w:r w:rsidRPr="00170FDE">
        <w:rPr>
          <w:rFonts w:ascii="Book Antiqua" w:eastAsia="SabonLTStd-Roman" w:hAnsi="Book Antiqua" w:cstheme="minorHAnsi"/>
          <w:b/>
          <w:caps/>
          <w:sz w:val="24"/>
          <w:szCs w:val="24"/>
          <w:lang w:val="en-GB"/>
        </w:rPr>
        <w:t>t</w:t>
      </w:r>
      <w:r w:rsidRPr="00D97276">
        <w:rPr>
          <w:rFonts w:ascii="Book Antiqua" w:eastAsia="SabonLTStd-Roman" w:hAnsi="Book Antiqua" w:cstheme="minorHAnsi"/>
          <w:b/>
          <w:sz w:val="24"/>
          <w:szCs w:val="24"/>
          <w:lang w:val="en-GB"/>
        </w:rPr>
        <w:t xml:space="preserve">ype: </w:t>
      </w:r>
      <w:r w:rsidR="00857DD4" w:rsidRPr="00D97276">
        <w:rPr>
          <w:rFonts w:ascii="Book Antiqua" w:eastAsia="SabonLTStd-Roman" w:hAnsi="Book Antiqua" w:cstheme="minorHAnsi"/>
          <w:b/>
          <w:caps/>
          <w:sz w:val="24"/>
          <w:szCs w:val="24"/>
          <w:lang w:val="en-GB"/>
        </w:rPr>
        <w:t>Minireview</w:t>
      </w:r>
      <w:r w:rsidR="00D97276" w:rsidRPr="00D97276">
        <w:rPr>
          <w:rFonts w:ascii="Book Antiqua" w:hAnsi="Book Antiqua" w:cstheme="minorHAnsi" w:hint="eastAsia"/>
          <w:b/>
          <w:caps/>
          <w:sz w:val="24"/>
          <w:szCs w:val="24"/>
          <w:lang w:val="en-GB" w:eastAsia="zh-CN"/>
        </w:rPr>
        <w:t>s</w:t>
      </w:r>
    </w:p>
    <w:p w14:paraId="264FDBF0" w14:textId="77777777" w:rsidR="0051433C" w:rsidRPr="00CD4428" w:rsidRDefault="0051433C" w:rsidP="00E17439">
      <w:pPr>
        <w:autoSpaceDE w:val="0"/>
        <w:autoSpaceDN w:val="0"/>
        <w:adjustRightInd w:val="0"/>
        <w:snapToGrid w:val="0"/>
        <w:spacing w:after="0" w:line="360" w:lineRule="auto"/>
        <w:jc w:val="both"/>
        <w:rPr>
          <w:rFonts w:ascii="Book Antiqua" w:eastAsia="SabonLTStd-Roman" w:hAnsi="Book Antiqua" w:cstheme="minorHAnsi"/>
          <w:b/>
          <w:sz w:val="24"/>
          <w:szCs w:val="24"/>
          <w:lang w:val="en-GB"/>
        </w:rPr>
      </w:pPr>
    </w:p>
    <w:p w14:paraId="60B53CA9" w14:textId="67DB78D8" w:rsidR="00A95628" w:rsidRPr="00CD4428" w:rsidRDefault="00A95628" w:rsidP="00E17439">
      <w:pPr>
        <w:autoSpaceDE w:val="0"/>
        <w:autoSpaceDN w:val="0"/>
        <w:adjustRightInd w:val="0"/>
        <w:snapToGrid w:val="0"/>
        <w:spacing w:after="0" w:line="360" w:lineRule="auto"/>
        <w:jc w:val="both"/>
        <w:rPr>
          <w:rFonts w:ascii="Book Antiqua" w:eastAsia="SabonLTStd-Roman" w:hAnsi="Book Antiqua" w:cstheme="minorHAnsi"/>
          <w:b/>
          <w:sz w:val="24"/>
          <w:szCs w:val="24"/>
          <w:lang w:val="en-GB"/>
        </w:rPr>
      </w:pPr>
      <w:proofErr w:type="spellStart"/>
      <w:r w:rsidRPr="00CD4428">
        <w:rPr>
          <w:rFonts w:ascii="Book Antiqua" w:eastAsia="SabonLTStd-Roman" w:hAnsi="Book Antiqua" w:cstheme="minorHAnsi"/>
          <w:b/>
          <w:sz w:val="24"/>
          <w:szCs w:val="24"/>
          <w:lang w:val="en-GB"/>
        </w:rPr>
        <w:t>Vedolizumab</w:t>
      </w:r>
      <w:proofErr w:type="spellEnd"/>
      <w:r w:rsidRPr="00CD4428">
        <w:rPr>
          <w:rFonts w:ascii="Book Antiqua" w:eastAsia="SabonLTStd-Roman" w:hAnsi="Book Antiqua" w:cstheme="minorHAnsi"/>
          <w:b/>
          <w:sz w:val="24"/>
          <w:szCs w:val="24"/>
          <w:lang w:val="en-GB"/>
        </w:rPr>
        <w:t xml:space="preserve"> for inflammatory bowel disease: </w:t>
      </w:r>
      <w:r w:rsidRPr="00574A3E">
        <w:rPr>
          <w:rFonts w:ascii="Book Antiqua" w:eastAsia="SabonLTStd-Roman" w:hAnsi="Book Antiqua" w:cstheme="minorHAnsi"/>
          <w:b/>
          <w:caps/>
          <w:sz w:val="24"/>
          <w:szCs w:val="24"/>
          <w:lang w:val="en-GB"/>
        </w:rPr>
        <w:t>f</w:t>
      </w:r>
      <w:r w:rsidRPr="00CD4428">
        <w:rPr>
          <w:rFonts w:ascii="Book Antiqua" w:eastAsia="SabonLTStd-Roman" w:hAnsi="Book Antiqua" w:cstheme="minorHAnsi"/>
          <w:b/>
          <w:sz w:val="24"/>
          <w:szCs w:val="24"/>
          <w:lang w:val="en-GB"/>
        </w:rPr>
        <w:t>rom randomized controlled trials to real-life evidence</w:t>
      </w:r>
    </w:p>
    <w:p w14:paraId="23E4FB42" w14:textId="77777777" w:rsidR="00A95628" w:rsidRPr="00CD4428" w:rsidRDefault="00A95628" w:rsidP="00E17439">
      <w:pPr>
        <w:autoSpaceDE w:val="0"/>
        <w:autoSpaceDN w:val="0"/>
        <w:adjustRightInd w:val="0"/>
        <w:snapToGrid w:val="0"/>
        <w:spacing w:after="0" w:line="360" w:lineRule="auto"/>
        <w:jc w:val="both"/>
        <w:rPr>
          <w:rFonts w:ascii="Book Antiqua" w:hAnsi="Book Antiqua" w:cstheme="minorHAnsi"/>
          <w:b/>
          <w:sz w:val="24"/>
          <w:szCs w:val="24"/>
          <w:lang w:val="en-GB" w:eastAsia="zh-CN"/>
        </w:rPr>
      </w:pPr>
    </w:p>
    <w:p w14:paraId="3D2B617D" w14:textId="03D52ECE" w:rsidR="00E17439" w:rsidRPr="00CD4428" w:rsidRDefault="00E17439" w:rsidP="00E17439">
      <w:pPr>
        <w:autoSpaceDE w:val="0"/>
        <w:autoSpaceDN w:val="0"/>
        <w:adjustRightInd w:val="0"/>
        <w:snapToGrid w:val="0"/>
        <w:spacing w:after="0" w:line="360" w:lineRule="auto"/>
        <w:jc w:val="both"/>
        <w:rPr>
          <w:rFonts w:ascii="Book Antiqua" w:hAnsi="Book Antiqua" w:cstheme="minorHAnsi"/>
          <w:b/>
          <w:sz w:val="24"/>
          <w:szCs w:val="24"/>
          <w:lang w:val="en-GB" w:eastAsia="zh-CN"/>
        </w:rPr>
      </w:pPr>
      <w:proofErr w:type="spellStart"/>
      <w:r w:rsidRPr="00CD4428">
        <w:rPr>
          <w:rFonts w:ascii="Book Antiqua" w:eastAsia="SabonLTStd-Roman" w:hAnsi="Book Antiqua" w:cstheme="minorHAnsi"/>
          <w:sz w:val="24"/>
          <w:szCs w:val="24"/>
          <w:lang w:val="en-GB"/>
        </w:rPr>
        <w:t>Scribano</w:t>
      </w:r>
      <w:proofErr w:type="spellEnd"/>
      <w:r w:rsidRPr="00CD4428">
        <w:rPr>
          <w:rFonts w:ascii="Book Antiqua" w:eastAsia="SabonLTStd-Roman" w:hAnsi="Book Antiqua" w:cstheme="minorHAnsi"/>
          <w:sz w:val="24"/>
          <w:szCs w:val="24"/>
          <w:lang w:val="en-GB"/>
        </w:rPr>
        <w:t xml:space="preserve"> </w:t>
      </w:r>
      <w:r w:rsidRPr="00CD4428">
        <w:rPr>
          <w:rFonts w:ascii="Book Antiqua" w:hAnsi="Book Antiqua" w:cstheme="minorHAnsi" w:hint="eastAsia"/>
          <w:sz w:val="24"/>
          <w:szCs w:val="24"/>
          <w:lang w:val="en-GB" w:eastAsia="zh-CN"/>
        </w:rPr>
        <w:t xml:space="preserve">ML. </w:t>
      </w:r>
      <w:proofErr w:type="spellStart"/>
      <w:r w:rsidRPr="00CD4428">
        <w:rPr>
          <w:rFonts w:ascii="Book Antiqua" w:eastAsia="SabonLTStd-Roman" w:hAnsi="Book Antiqua" w:cstheme="minorHAnsi"/>
          <w:sz w:val="24"/>
          <w:szCs w:val="24"/>
          <w:lang w:val="en-GB"/>
        </w:rPr>
        <w:t>Vedolizumab</w:t>
      </w:r>
      <w:proofErr w:type="spellEnd"/>
      <w:r w:rsidRPr="00CD4428">
        <w:rPr>
          <w:rFonts w:ascii="Book Antiqua" w:eastAsia="SabonLTStd-Roman" w:hAnsi="Book Antiqua" w:cstheme="minorHAnsi"/>
          <w:sz w:val="24"/>
          <w:szCs w:val="24"/>
          <w:lang w:val="en-GB"/>
        </w:rPr>
        <w:t xml:space="preserve"> for </w:t>
      </w:r>
      <w:r w:rsidRPr="00CD4428">
        <w:rPr>
          <w:rFonts w:ascii="Book Antiqua" w:hAnsi="Book Antiqua" w:cstheme="minorHAnsi" w:hint="eastAsia"/>
          <w:sz w:val="24"/>
          <w:szCs w:val="24"/>
          <w:lang w:val="en-GB" w:eastAsia="zh-CN"/>
        </w:rPr>
        <w:t>IBD</w:t>
      </w:r>
    </w:p>
    <w:p w14:paraId="24714910" w14:textId="77777777" w:rsidR="00E17439" w:rsidRPr="00CD4428" w:rsidRDefault="00E17439" w:rsidP="00E17439">
      <w:pPr>
        <w:autoSpaceDE w:val="0"/>
        <w:autoSpaceDN w:val="0"/>
        <w:adjustRightInd w:val="0"/>
        <w:snapToGrid w:val="0"/>
        <w:spacing w:after="0" w:line="360" w:lineRule="auto"/>
        <w:jc w:val="both"/>
        <w:rPr>
          <w:rFonts w:ascii="Book Antiqua" w:hAnsi="Book Antiqua" w:cstheme="minorHAnsi"/>
          <w:sz w:val="24"/>
          <w:szCs w:val="24"/>
          <w:lang w:val="en-GB" w:eastAsia="zh-CN"/>
        </w:rPr>
      </w:pPr>
    </w:p>
    <w:p w14:paraId="25E972D2" w14:textId="77777777" w:rsidR="00C0623F" w:rsidRPr="00CD4428" w:rsidRDefault="00C0623F" w:rsidP="00E17439">
      <w:pPr>
        <w:autoSpaceDE w:val="0"/>
        <w:autoSpaceDN w:val="0"/>
        <w:adjustRightInd w:val="0"/>
        <w:snapToGrid w:val="0"/>
        <w:spacing w:after="0" w:line="360" w:lineRule="auto"/>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 xml:space="preserve">Maria Lia </w:t>
      </w:r>
      <w:proofErr w:type="spellStart"/>
      <w:r w:rsidRPr="00CD4428">
        <w:rPr>
          <w:rFonts w:ascii="Book Antiqua" w:eastAsia="SabonLTStd-Roman" w:hAnsi="Book Antiqua" w:cstheme="minorHAnsi"/>
          <w:sz w:val="24"/>
          <w:szCs w:val="24"/>
          <w:lang w:val="en-GB"/>
        </w:rPr>
        <w:t>Scribano</w:t>
      </w:r>
      <w:proofErr w:type="spellEnd"/>
    </w:p>
    <w:p w14:paraId="644B6E47" w14:textId="77777777" w:rsidR="006F7FDC" w:rsidRPr="00CD4428" w:rsidRDefault="006F7FDC" w:rsidP="00E17439">
      <w:pPr>
        <w:autoSpaceDE w:val="0"/>
        <w:autoSpaceDN w:val="0"/>
        <w:adjustRightInd w:val="0"/>
        <w:snapToGrid w:val="0"/>
        <w:spacing w:after="0" w:line="360" w:lineRule="auto"/>
        <w:jc w:val="both"/>
        <w:rPr>
          <w:rFonts w:ascii="Book Antiqua" w:hAnsi="Book Antiqua" w:cstheme="minorHAnsi"/>
          <w:sz w:val="24"/>
          <w:szCs w:val="24"/>
          <w:lang w:val="en-GB" w:eastAsia="zh-CN"/>
        </w:rPr>
      </w:pPr>
    </w:p>
    <w:p w14:paraId="07E6A91A" w14:textId="3683FB5C" w:rsidR="00C0623F" w:rsidRPr="00CD4428" w:rsidRDefault="00E17439" w:rsidP="00E17439">
      <w:pPr>
        <w:autoSpaceDE w:val="0"/>
        <w:autoSpaceDN w:val="0"/>
        <w:adjustRightInd w:val="0"/>
        <w:snapToGrid w:val="0"/>
        <w:spacing w:after="0" w:line="360" w:lineRule="auto"/>
        <w:jc w:val="both"/>
        <w:rPr>
          <w:rFonts w:ascii="Book Antiqua" w:eastAsia="SabonLTStd-Roman" w:hAnsi="Book Antiqua" w:cstheme="minorHAnsi"/>
          <w:sz w:val="24"/>
          <w:szCs w:val="24"/>
          <w:lang w:val="en-GB"/>
        </w:rPr>
      </w:pPr>
      <w:r w:rsidRPr="00CD4428">
        <w:rPr>
          <w:rFonts w:ascii="Book Antiqua" w:eastAsia="SabonLTStd-Roman" w:hAnsi="Book Antiqua" w:cstheme="minorHAnsi"/>
          <w:b/>
          <w:sz w:val="24"/>
          <w:szCs w:val="24"/>
          <w:lang w:val="en-GB"/>
        </w:rPr>
        <w:t xml:space="preserve">Maria Lia </w:t>
      </w:r>
      <w:proofErr w:type="spellStart"/>
      <w:r w:rsidRPr="00CD4428">
        <w:rPr>
          <w:rFonts w:ascii="Book Antiqua" w:eastAsia="SabonLTStd-Roman" w:hAnsi="Book Antiqua" w:cstheme="minorHAnsi"/>
          <w:b/>
          <w:sz w:val="24"/>
          <w:szCs w:val="24"/>
          <w:lang w:val="en-GB"/>
        </w:rPr>
        <w:t>Scribano</w:t>
      </w:r>
      <w:proofErr w:type="spellEnd"/>
      <w:r w:rsidRPr="00CD4428">
        <w:rPr>
          <w:rFonts w:ascii="Book Antiqua" w:hAnsi="Book Antiqua" w:cstheme="minorHAnsi" w:hint="eastAsia"/>
          <w:b/>
          <w:sz w:val="24"/>
          <w:szCs w:val="24"/>
          <w:lang w:val="en-GB" w:eastAsia="zh-CN"/>
        </w:rPr>
        <w:t>,</w:t>
      </w:r>
      <w:r w:rsidRPr="00CD4428">
        <w:rPr>
          <w:rFonts w:ascii="Book Antiqua" w:hAnsi="Book Antiqua" w:cstheme="minorHAnsi" w:hint="eastAsia"/>
          <w:sz w:val="24"/>
          <w:szCs w:val="24"/>
          <w:lang w:val="en-GB" w:eastAsia="zh-CN"/>
        </w:rPr>
        <w:t xml:space="preserve"> </w:t>
      </w:r>
      <w:r w:rsidR="00C0623F" w:rsidRPr="00CD4428">
        <w:rPr>
          <w:rFonts w:ascii="Book Antiqua" w:eastAsia="SabonLTStd-Roman" w:hAnsi="Book Antiqua" w:cstheme="minorHAnsi"/>
          <w:sz w:val="24"/>
          <w:szCs w:val="24"/>
          <w:lang w:val="en-GB"/>
        </w:rPr>
        <w:t xml:space="preserve">IBD Unit, </w:t>
      </w:r>
      <w:proofErr w:type="spellStart"/>
      <w:r w:rsidR="00C0623F" w:rsidRPr="00CD4428">
        <w:rPr>
          <w:rFonts w:ascii="Book Antiqua" w:eastAsia="SabonLTStd-Roman" w:hAnsi="Book Antiqua" w:cstheme="minorHAnsi"/>
          <w:sz w:val="24"/>
          <w:szCs w:val="24"/>
          <w:lang w:val="en-GB"/>
        </w:rPr>
        <w:t>Azienda</w:t>
      </w:r>
      <w:proofErr w:type="spellEnd"/>
      <w:r w:rsidR="00C0623F" w:rsidRPr="00CD4428">
        <w:rPr>
          <w:rFonts w:ascii="Book Antiqua" w:eastAsia="SabonLTStd-Roman" w:hAnsi="Book Antiqua" w:cstheme="minorHAnsi"/>
          <w:sz w:val="24"/>
          <w:szCs w:val="24"/>
          <w:lang w:val="en-GB"/>
        </w:rPr>
        <w:t xml:space="preserve"> </w:t>
      </w:r>
      <w:proofErr w:type="spellStart"/>
      <w:r w:rsidR="00C0623F" w:rsidRPr="00CD4428">
        <w:rPr>
          <w:rFonts w:ascii="Book Antiqua" w:eastAsia="SabonLTStd-Roman" w:hAnsi="Book Antiqua" w:cstheme="minorHAnsi"/>
          <w:sz w:val="24"/>
          <w:szCs w:val="24"/>
          <w:lang w:val="en-GB"/>
        </w:rPr>
        <w:t>Ospedaliera</w:t>
      </w:r>
      <w:proofErr w:type="spellEnd"/>
      <w:r w:rsidR="00C0623F" w:rsidRPr="00CD4428">
        <w:rPr>
          <w:rFonts w:ascii="Book Antiqua" w:eastAsia="SabonLTStd-Roman" w:hAnsi="Book Antiqua" w:cstheme="minorHAnsi"/>
          <w:sz w:val="24"/>
          <w:szCs w:val="24"/>
          <w:lang w:val="en-GB"/>
        </w:rPr>
        <w:t xml:space="preserve"> San Camillo-Forlanini,</w:t>
      </w:r>
      <w:r w:rsidR="00B87EC4" w:rsidRPr="00CD4428">
        <w:rPr>
          <w:rFonts w:ascii="Book Antiqua" w:hAnsi="Book Antiqua" w:cstheme="minorHAnsi" w:hint="eastAsia"/>
          <w:sz w:val="24"/>
          <w:szCs w:val="24"/>
          <w:lang w:val="en-GB" w:eastAsia="zh-CN"/>
        </w:rPr>
        <w:t xml:space="preserve"> </w:t>
      </w:r>
      <w:r w:rsidR="00C0623F" w:rsidRPr="00CD4428">
        <w:rPr>
          <w:rFonts w:ascii="Book Antiqua" w:eastAsia="SabonLTStd-Roman" w:hAnsi="Book Antiqua" w:cstheme="minorHAnsi"/>
          <w:sz w:val="24"/>
          <w:szCs w:val="24"/>
          <w:lang w:val="en-GB"/>
        </w:rPr>
        <w:t>Rome</w:t>
      </w:r>
      <w:r w:rsidR="00B87EC4" w:rsidRPr="00CD4428">
        <w:rPr>
          <w:rFonts w:ascii="Book Antiqua" w:hAnsi="Book Antiqua" w:cstheme="minorHAnsi" w:hint="eastAsia"/>
          <w:sz w:val="24"/>
          <w:szCs w:val="24"/>
          <w:lang w:val="en-GB" w:eastAsia="zh-CN"/>
        </w:rPr>
        <w:t xml:space="preserve"> </w:t>
      </w:r>
      <w:r w:rsidR="00B87EC4" w:rsidRPr="00CD4428">
        <w:rPr>
          <w:rFonts w:ascii="Book Antiqua" w:eastAsia="SabonLTStd-Roman" w:hAnsi="Book Antiqua" w:cstheme="minorHAnsi"/>
          <w:sz w:val="24"/>
          <w:szCs w:val="24"/>
          <w:lang w:val="en-GB"/>
        </w:rPr>
        <w:t>00152</w:t>
      </w:r>
      <w:r w:rsidR="00C0623F" w:rsidRPr="00CD4428">
        <w:rPr>
          <w:rFonts w:ascii="Book Antiqua" w:eastAsia="SabonLTStd-Roman" w:hAnsi="Book Antiqua" w:cstheme="minorHAnsi"/>
          <w:sz w:val="24"/>
          <w:szCs w:val="24"/>
          <w:lang w:val="en-GB"/>
        </w:rPr>
        <w:t>, Italy</w:t>
      </w:r>
    </w:p>
    <w:p w14:paraId="6A3CEDBD" w14:textId="77777777" w:rsidR="00F921F4" w:rsidRPr="00CD4428" w:rsidRDefault="00F921F4" w:rsidP="00E17439">
      <w:pPr>
        <w:autoSpaceDE w:val="0"/>
        <w:autoSpaceDN w:val="0"/>
        <w:adjustRightInd w:val="0"/>
        <w:snapToGrid w:val="0"/>
        <w:spacing w:after="0" w:line="360" w:lineRule="auto"/>
        <w:jc w:val="both"/>
        <w:rPr>
          <w:rFonts w:ascii="Book Antiqua" w:hAnsi="Book Antiqua" w:cstheme="minorHAnsi"/>
          <w:sz w:val="24"/>
          <w:szCs w:val="24"/>
          <w:lang w:val="en-GB" w:eastAsia="zh-CN"/>
        </w:rPr>
      </w:pPr>
    </w:p>
    <w:p w14:paraId="4FF521F2" w14:textId="0ED54AA5" w:rsidR="00F921F4" w:rsidRPr="00CD4428" w:rsidRDefault="00F921F4" w:rsidP="00E17439">
      <w:pPr>
        <w:autoSpaceDE w:val="0"/>
        <w:autoSpaceDN w:val="0"/>
        <w:adjustRightInd w:val="0"/>
        <w:snapToGrid w:val="0"/>
        <w:spacing w:after="0" w:line="360" w:lineRule="auto"/>
        <w:jc w:val="both"/>
        <w:rPr>
          <w:rFonts w:ascii="Book Antiqua" w:hAnsi="Book Antiqua" w:cstheme="minorHAnsi"/>
          <w:sz w:val="24"/>
          <w:szCs w:val="24"/>
          <w:lang w:val="en-GB" w:eastAsia="zh-CN"/>
        </w:rPr>
      </w:pPr>
      <w:r w:rsidRPr="00CD4428">
        <w:rPr>
          <w:rFonts w:ascii="Book Antiqua" w:eastAsia="SabonLTStd-Roman" w:hAnsi="Book Antiqua" w:cstheme="minorHAnsi"/>
          <w:b/>
          <w:sz w:val="24"/>
          <w:szCs w:val="24"/>
          <w:lang w:val="en-GB"/>
        </w:rPr>
        <w:t>ORCID</w:t>
      </w:r>
      <w:r w:rsidR="00C55781" w:rsidRPr="00CD4428">
        <w:rPr>
          <w:rFonts w:ascii="Book Antiqua" w:hAnsi="Book Antiqua" w:cstheme="minorHAnsi"/>
          <w:b/>
          <w:sz w:val="24"/>
          <w:szCs w:val="24"/>
          <w:lang w:val="en-GB" w:eastAsia="zh-CN"/>
        </w:rPr>
        <w:t xml:space="preserve"> </w:t>
      </w:r>
      <w:r w:rsidRPr="00CD4428">
        <w:rPr>
          <w:rFonts w:ascii="Book Antiqua" w:eastAsia="SabonLTStd-Roman" w:hAnsi="Book Antiqua" w:cstheme="minorHAnsi"/>
          <w:b/>
          <w:sz w:val="24"/>
          <w:szCs w:val="24"/>
          <w:lang w:val="en-GB"/>
        </w:rPr>
        <w:t>number:</w:t>
      </w:r>
      <w:r w:rsidR="0051703F">
        <w:rPr>
          <w:rFonts w:ascii="Book Antiqua" w:hAnsi="Book Antiqua" w:cstheme="minorHAnsi" w:hint="eastAsia"/>
          <w:sz w:val="24"/>
          <w:szCs w:val="24"/>
          <w:lang w:val="en-GB" w:eastAsia="zh-CN"/>
        </w:rPr>
        <w:t xml:space="preserve"> </w:t>
      </w:r>
      <w:r w:rsidR="00C55781" w:rsidRPr="00CD4428">
        <w:rPr>
          <w:rFonts w:ascii="Book Antiqua" w:eastAsia="SabonLTStd-Roman" w:hAnsi="Book Antiqua" w:cstheme="minorHAnsi"/>
          <w:sz w:val="24"/>
          <w:szCs w:val="24"/>
          <w:lang w:val="en-GB"/>
        </w:rPr>
        <w:t xml:space="preserve">Maria Lia </w:t>
      </w:r>
      <w:proofErr w:type="spellStart"/>
      <w:r w:rsidR="00C55781" w:rsidRPr="00CD4428">
        <w:rPr>
          <w:rFonts w:ascii="Book Antiqua" w:eastAsia="SabonLTStd-Roman" w:hAnsi="Book Antiqua" w:cstheme="minorHAnsi"/>
          <w:sz w:val="24"/>
          <w:szCs w:val="24"/>
          <w:lang w:val="en-GB"/>
        </w:rPr>
        <w:t>Scribano</w:t>
      </w:r>
      <w:proofErr w:type="spellEnd"/>
      <w:r w:rsidR="00C55781" w:rsidRPr="00CD4428">
        <w:rPr>
          <w:rFonts w:ascii="Book Antiqua" w:hAnsi="Book Antiqua" w:cstheme="minorHAnsi"/>
          <w:sz w:val="24"/>
          <w:szCs w:val="24"/>
          <w:lang w:val="en-GB" w:eastAsia="zh-CN"/>
        </w:rPr>
        <w:t xml:space="preserve"> (</w:t>
      </w:r>
      <w:r w:rsidRPr="00CD4428">
        <w:rPr>
          <w:rFonts w:ascii="Book Antiqua" w:eastAsia="SabonLTStd-Roman" w:hAnsi="Book Antiqua" w:cstheme="minorHAnsi"/>
          <w:sz w:val="24"/>
          <w:szCs w:val="24"/>
          <w:lang w:val="en-GB"/>
        </w:rPr>
        <w:t>0000-0003-1839-8136</w:t>
      </w:r>
      <w:r w:rsidR="00C55781" w:rsidRPr="00CD4428">
        <w:rPr>
          <w:rFonts w:ascii="Book Antiqua" w:hAnsi="Book Antiqua" w:cstheme="minorHAnsi"/>
          <w:sz w:val="24"/>
          <w:szCs w:val="24"/>
          <w:lang w:val="en-GB" w:eastAsia="zh-CN"/>
        </w:rPr>
        <w:t>).</w:t>
      </w:r>
    </w:p>
    <w:p w14:paraId="5EF89A8A" w14:textId="77777777" w:rsidR="00F34FD2" w:rsidRPr="0051703F" w:rsidRDefault="00F34FD2" w:rsidP="00E17439">
      <w:pPr>
        <w:autoSpaceDE w:val="0"/>
        <w:autoSpaceDN w:val="0"/>
        <w:adjustRightInd w:val="0"/>
        <w:snapToGrid w:val="0"/>
        <w:spacing w:after="0" w:line="360" w:lineRule="auto"/>
        <w:jc w:val="both"/>
        <w:rPr>
          <w:rFonts w:ascii="Book Antiqua" w:hAnsi="Book Antiqua" w:cstheme="minorHAnsi"/>
          <w:sz w:val="24"/>
          <w:szCs w:val="24"/>
          <w:lang w:val="en-GB" w:eastAsia="zh-CN"/>
        </w:rPr>
      </w:pPr>
    </w:p>
    <w:p w14:paraId="689F430F" w14:textId="609FF62E" w:rsidR="00EA7B7C" w:rsidRPr="00EA7B7C" w:rsidRDefault="00EA7B7C" w:rsidP="00E17439">
      <w:pPr>
        <w:autoSpaceDE w:val="0"/>
        <w:autoSpaceDN w:val="0"/>
        <w:adjustRightInd w:val="0"/>
        <w:snapToGrid w:val="0"/>
        <w:spacing w:after="0" w:line="360" w:lineRule="auto"/>
        <w:jc w:val="both"/>
        <w:rPr>
          <w:rFonts w:ascii="Book Antiqua" w:hAnsi="Book Antiqua"/>
          <w:b/>
          <w:sz w:val="24"/>
          <w:szCs w:val="24"/>
          <w:lang w:val="en-GB" w:eastAsia="zh-CN"/>
        </w:rPr>
      </w:pPr>
      <w:r w:rsidRPr="000E64DE">
        <w:rPr>
          <w:rFonts w:ascii="Book Antiqua" w:hAnsi="Book Antiqua"/>
          <w:b/>
          <w:sz w:val="24"/>
          <w:szCs w:val="24"/>
        </w:rPr>
        <w:t>Author contributions:</w:t>
      </w:r>
      <w:r>
        <w:rPr>
          <w:rFonts w:ascii="Book Antiqua" w:hAnsi="Book Antiqua" w:hint="eastAsia"/>
          <w:b/>
          <w:sz w:val="24"/>
          <w:szCs w:val="24"/>
          <w:lang w:eastAsia="zh-CN"/>
        </w:rPr>
        <w:t xml:space="preserve"> </w:t>
      </w:r>
      <w:proofErr w:type="spellStart"/>
      <w:r w:rsidRPr="00CD4428">
        <w:rPr>
          <w:rFonts w:ascii="Book Antiqua" w:eastAsia="SabonLTStd-Roman" w:hAnsi="Book Antiqua" w:cstheme="minorHAnsi"/>
          <w:sz w:val="24"/>
          <w:szCs w:val="24"/>
          <w:lang w:val="en-GB"/>
        </w:rPr>
        <w:t>Scribano</w:t>
      </w:r>
      <w:proofErr w:type="spellEnd"/>
      <w:r w:rsidRPr="00CD4428">
        <w:rPr>
          <w:rFonts w:ascii="Book Antiqua" w:eastAsia="SabonLTStd-Roman" w:hAnsi="Book Antiqua" w:cstheme="minorHAnsi"/>
          <w:sz w:val="24"/>
          <w:szCs w:val="24"/>
          <w:lang w:val="en-GB"/>
        </w:rPr>
        <w:t xml:space="preserve"> </w:t>
      </w:r>
      <w:r w:rsidRPr="00CD4428">
        <w:rPr>
          <w:rFonts w:ascii="Book Antiqua" w:hAnsi="Book Antiqua" w:cstheme="minorHAnsi" w:hint="eastAsia"/>
          <w:sz w:val="24"/>
          <w:szCs w:val="24"/>
          <w:lang w:val="en-GB" w:eastAsia="zh-CN"/>
        </w:rPr>
        <w:t>ML</w:t>
      </w:r>
      <w:r>
        <w:rPr>
          <w:rFonts w:ascii="Book Antiqua" w:hAnsi="Book Antiqua" w:cstheme="minorHAnsi" w:hint="eastAsia"/>
          <w:sz w:val="24"/>
          <w:szCs w:val="24"/>
          <w:lang w:val="en-GB" w:eastAsia="zh-CN"/>
        </w:rPr>
        <w:t xml:space="preserve"> solely contributed to this paper.</w:t>
      </w:r>
    </w:p>
    <w:p w14:paraId="68F3FD31" w14:textId="77777777" w:rsidR="00EA7B7C" w:rsidRPr="00C05D2A" w:rsidRDefault="00EA7B7C" w:rsidP="00E17439">
      <w:pPr>
        <w:autoSpaceDE w:val="0"/>
        <w:autoSpaceDN w:val="0"/>
        <w:adjustRightInd w:val="0"/>
        <w:snapToGrid w:val="0"/>
        <w:spacing w:after="0" w:line="360" w:lineRule="auto"/>
        <w:jc w:val="both"/>
        <w:rPr>
          <w:rFonts w:ascii="Book Antiqua" w:hAnsi="Book Antiqua" w:cstheme="minorHAnsi"/>
          <w:sz w:val="24"/>
          <w:szCs w:val="24"/>
          <w:lang w:val="en-GB" w:eastAsia="zh-CN"/>
        </w:rPr>
      </w:pPr>
    </w:p>
    <w:p w14:paraId="1F72B723" w14:textId="0FD9CED2" w:rsidR="006078D2" w:rsidRPr="00CD4428" w:rsidRDefault="006078D2" w:rsidP="00E17439">
      <w:pPr>
        <w:autoSpaceDE w:val="0"/>
        <w:autoSpaceDN w:val="0"/>
        <w:adjustRightInd w:val="0"/>
        <w:snapToGrid w:val="0"/>
        <w:spacing w:after="0" w:line="360" w:lineRule="auto"/>
        <w:jc w:val="both"/>
        <w:rPr>
          <w:rFonts w:ascii="Book Antiqua" w:eastAsia="SabonLTStd-Roman" w:hAnsi="Book Antiqua" w:cstheme="minorHAnsi"/>
          <w:sz w:val="24"/>
          <w:szCs w:val="24"/>
          <w:lang w:val="en-GB"/>
        </w:rPr>
      </w:pPr>
      <w:r w:rsidRPr="00CD4428">
        <w:rPr>
          <w:rFonts w:ascii="Book Antiqua" w:eastAsia="SabonLTStd-Roman" w:hAnsi="Book Antiqua" w:cstheme="minorHAnsi"/>
          <w:b/>
          <w:sz w:val="24"/>
          <w:szCs w:val="24"/>
          <w:lang w:val="en-GB"/>
        </w:rPr>
        <w:t>Conflict-of-interest</w:t>
      </w:r>
      <w:r w:rsidR="00C05D2A">
        <w:rPr>
          <w:rFonts w:ascii="Book Antiqua" w:hAnsi="Book Antiqua" w:cstheme="minorHAnsi" w:hint="eastAsia"/>
          <w:b/>
          <w:sz w:val="24"/>
          <w:szCs w:val="24"/>
          <w:lang w:val="en-GB" w:eastAsia="zh-CN"/>
        </w:rPr>
        <w:t xml:space="preserve"> </w:t>
      </w:r>
      <w:r w:rsidRPr="00CD4428">
        <w:rPr>
          <w:rFonts w:ascii="Book Antiqua" w:eastAsia="SabonLTStd-Roman" w:hAnsi="Book Antiqua" w:cstheme="minorHAnsi"/>
          <w:b/>
          <w:sz w:val="24"/>
          <w:szCs w:val="24"/>
          <w:lang w:val="en-GB"/>
        </w:rPr>
        <w:t>statement:</w:t>
      </w:r>
      <w:r w:rsidR="00E05DDA">
        <w:rPr>
          <w:rFonts w:ascii="Book Antiqua" w:hAnsi="Book Antiqua" w:cstheme="minorHAnsi" w:hint="eastAsia"/>
          <w:sz w:val="24"/>
          <w:szCs w:val="24"/>
          <w:lang w:val="en-GB" w:eastAsia="zh-CN"/>
        </w:rPr>
        <w:t xml:space="preserve"> </w:t>
      </w:r>
      <w:r w:rsidR="009C1AC9" w:rsidRPr="00CD4428">
        <w:rPr>
          <w:rFonts w:ascii="Book Antiqua" w:eastAsia="SabonLTStd-Roman" w:hAnsi="Book Antiqua" w:cstheme="minorHAnsi"/>
          <w:sz w:val="24"/>
          <w:szCs w:val="24"/>
          <w:lang w:val="en-GB"/>
        </w:rPr>
        <w:t xml:space="preserve">Advisory board member and/or speaker for </w:t>
      </w:r>
      <w:proofErr w:type="spellStart"/>
      <w:r w:rsidR="009C1AC9" w:rsidRPr="00CD4428">
        <w:rPr>
          <w:rFonts w:ascii="Book Antiqua" w:eastAsia="SabonLTStd-Roman" w:hAnsi="Book Antiqua" w:cstheme="minorHAnsi"/>
          <w:sz w:val="24"/>
          <w:szCs w:val="24"/>
          <w:lang w:val="en-GB"/>
        </w:rPr>
        <w:t>Abbvie</w:t>
      </w:r>
      <w:proofErr w:type="spellEnd"/>
      <w:r w:rsidR="009C1AC9" w:rsidRPr="00CD4428">
        <w:rPr>
          <w:rFonts w:ascii="Book Antiqua" w:eastAsia="SabonLTStd-Roman" w:hAnsi="Book Antiqua" w:cstheme="minorHAnsi"/>
          <w:sz w:val="24"/>
          <w:szCs w:val="24"/>
          <w:lang w:val="en-GB"/>
        </w:rPr>
        <w:t xml:space="preserve">, Biogen Idec, Janssen, </w:t>
      </w:r>
      <w:proofErr w:type="spellStart"/>
      <w:r w:rsidR="009C1AC9" w:rsidRPr="00CD4428">
        <w:rPr>
          <w:rFonts w:ascii="Book Antiqua" w:eastAsia="SabonLTStd-Roman" w:hAnsi="Book Antiqua" w:cstheme="minorHAnsi"/>
          <w:sz w:val="24"/>
          <w:szCs w:val="24"/>
          <w:lang w:val="en-GB"/>
        </w:rPr>
        <w:t>Mundipharma</w:t>
      </w:r>
      <w:proofErr w:type="spellEnd"/>
      <w:r w:rsidR="009C1AC9" w:rsidRPr="00CD4428">
        <w:rPr>
          <w:rFonts w:ascii="Book Antiqua" w:eastAsia="SabonLTStd-Roman" w:hAnsi="Book Antiqua" w:cstheme="minorHAnsi"/>
          <w:sz w:val="24"/>
          <w:szCs w:val="24"/>
          <w:lang w:val="en-GB"/>
        </w:rPr>
        <w:t>, Pfizer, and Takeda.</w:t>
      </w:r>
      <w:r w:rsidR="001B7AC5" w:rsidRPr="00CD4428">
        <w:rPr>
          <w:rFonts w:ascii="Book Antiqua" w:eastAsia="SabonLTStd-Roman" w:hAnsi="Book Antiqua" w:cstheme="minorHAnsi"/>
          <w:sz w:val="24"/>
          <w:szCs w:val="24"/>
          <w:lang w:val="en-GB"/>
        </w:rPr>
        <w:t xml:space="preserve"> No financial support. </w:t>
      </w:r>
    </w:p>
    <w:p w14:paraId="09F61155" w14:textId="77777777" w:rsidR="006078D2" w:rsidRPr="00CD4428" w:rsidRDefault="006078D2" w:rsidP="00E17439">
      <w:pPr>
        <w:autoSpaceDE w:val="0"/>
        <w:autoSpaceDN w:val="0"/>
        <w:adjustRightInd w:val="0"/>
        <w:snapToGrid w:val="0"/>
        <w:spacing w:after="0" w:line="360" w:lineRule="auto"/>
        <w:jc w:val="both"/>
        <w:rPr>
          <w:rFonts w:ascii="Book Antiqua" w:hAnsi="Book Antiqua" w:cstheme="minorHAnsi"/>
          <w:sz w:val="24"/>
          <w:szCs w:val="24"/>
          <w:lang w:val="en-GB" w:eastAsia="zh-CN"/>
        </w:rPr>
      </w:pPr>
    </w:p>
    <w:p w14:paraId="64BBD3A0" w14:textId="07AFD412" w:rsidR="005E37CF" w:rsidRPr="004F57C6" w:rsidRDefault="005E37CF" w:rsidP="005E37CF">
      <w:pPr>
        <w:pStyle w:val="1"/>
        <w:snapToGrid w:val="0"/>
        <w:spacing w:line="360" w:lineRule="auto"/>
        <w:jc w:val="both"/>
        <w:rPr>
          <w:rFonts w:ascii="Book Antiqua" w:hAnsi="Book Antiqua" w:cs="Times New Roman"/>
          <w:bCs/>
          <w:color w:val="auto"/>
          <w:sz w:val="24"/>
          <w:szCs w:val="24"/>
          <w:highlight w:val="white"/>
          <w:lang w:val="en-US"/>
        </w:rPr>
      </w:pPr>
      <w:bookmarkStart w:id="4" w:name="OLE_LINK734"/>
      <w:bookmarkStart w:id="5" w:name="OLE_LINK441"/>
      <w:bookmarkStart w:id="6" w:name="OLE_LINK442"/>
      <w:bookmarkStart w:id="7" w:name="OLE_LINK1032"/>
      <w:bookmarkStart w:id="8" w:name="OLE_LINK1232"/>
      <w:bookmarkStart w:id="9" w:name="OLE_LINK559"/>
      <w:bookmarkStart w:id="10" w:name="OLE_LINK878"/>
      <w:bookmarkStart w:id="11" w:name="OLE_LINK879"/>
      <w:bookmarkStart w:id="12" w:name="OLE_LINK1100"/>
      <w:bookmarkStart w:id="13" w:name="OLE_LINK1101"/>
      <w:r w:rsidRPr="004F57C6">
        <w:rPr>
          <w:rFonts w:ascii="Book Antiqua" w:hAnsi="Book Antiqua" w:cs="Times New Roman"/>
          <w:b/>
          <w:bCs/>
          <w:color w:val="auto"/>
          <w:sz w:val="24"/>
          <w:szCs w:val="24"/>
          <w:highlight w:val="white"/>
          <w:lang w:val="en-US"/>
        </w:rPr>
        <w:t>Open-Access:</w:t>
      </w:r>
      <w:bookmarkStart w:id="14" w:name="OLE_LINK479"/>
      <w:bookmarkStart w:id="15" w:name="OLE_LINK496"/>
      <w:bookmarkStart w:id="16" w:name="OLE_LINK506"/>
      <w:bookmarkStart w:id="17" w:name="OLE_LINK507"/>
      <w:r w:rsidR="00C05D2A">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This article is an open-access article</w:t>
      </w:r>
      <w:proofErr w:type="gramStart"/>
      <w:r w:rsidRPr="004F57C6">
        <w:rPr>
          <w:rFonts w:ascii="Book Antiqua" w:hAnsi="Book Antiqua" w:cs="Times New Roman"/>
          <w:bCs/>
          <w:color w:val="auto"/>
          <w:sz w:val="24"/>
          <w:szCs w:val="24"/>
          <w:highlight w:val="white"/>
          <w:lang w:val="en-US"/>
        </w:rPr>
        <w:t> which</w:t>
      </w:r>
      <w:proofErr w:type="gramEnd"/>
      <w:r w:rsidRPr="004F57C6">
        <w:rPr>
          <w:rFonts w:ascii="Book Antiqua" w:hAnsi="Book Antiqua" w:cs="Times New Roman"/>
          <w:bCs/>
          <w:color w:val="auto"/>
          <w:sz w:val="24"/>
          <w:szCs w:val="24"/>
          <w:highlight w:val="white"/>
          <w:lang w:val="en-US"/>
        </w:rPr>
        <w:t xml:space="preserve">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4"/>
      <w:bookmarkEnd w:id="14"/>
      <w:bookmarkEnd w:id="15"/>
      <w:bookmarkEnd w:id="16"/>
      <w:bookmarkEnd w:id="17"/>
    </w:p>
    <w:bookmarkEnd w:id="5"/>
    <w:bookmarkEnd w:id="6"/>
    <w:bookmarkEnd w:id="7"/>
    <w:bookmarkEnd w:id="8"/>
    <w:bookmarkEnd w:id="9"/>
    <w:p w14:paraId="14B27F63" w14:textId="77777777" w:rsidR="005E37CF" w:rsidRPr="004F57C6" w:rsidRDefault="005E37CF" w:rsidP="005E37CF">
      <w:pPr>
        <w:pStyle w:val="1"/>
        <w:snapToGrid w:val="0"/>
        <w:spacing w:line="360" w:lineRule="auto"/>
        <w:jc w:val="both"/>
        <w:rPr>
          <w:rFonts w:ascii="Book Antiqua" w:hAnsi="Book Antiqua" w:cs="Times New Roman"/>
          <w:b/>
          <w:bCs/>
          <w:color w:val="FF0000"/>
          <w:sz w:val="24"/>
          <w:szCs w:val="24"/>
          <w:highlight w:val="white"/>
          <w:lang w:val="en-US" w:eastAsia="zh-CN"/>
        </w:rPr>
      </w:pPr>
    </w:p>
    <w:p w14:paraId="5642DB5B" w14:textId="77777777" w:rsidR="005E37CF" w:rsidRPr="004F57C6" w:rsidRDefault="005E37CF" w:rsidP="005E37CF">
      <w:pPr>
        <w:pStyle w:val="1"/>
        <w:snapToGrid w:val="0"/>
        <w:spacing w:line="360" w:lineRule="auto"/>
        <w:jc w:val="both"/>
        <w:rPr>
          <w:rFonts w:ascii="Book Antiqua" w:hAnsi="Book Antiqua" w:cs="Times New Roman"/>
          <w:b/>
          <w:bCs/>
          <w:color w:val="auto"/>
          <w:sz w:val="24"/>
          <w:szCs w:val="24"/>
          <w:highlight w:val="white"/>
          <w:lang w:val="en-US"/>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Unsolicited manuscript</w:t>
      </w:r>
      <w:bookmarkEnd w:id="10"/>
      <w:bookmarkEnd w:id="11"/>
      <w:r w:rsidRPr="004F57C6">
        <w:rPr>
          <w:rFonts w:ascii="Book Antiqua" w:hAnsi="Book Antiqua" w:cs="Times New Roman"/>
          <w:bCs/>
          <w:color w:val="auto"/>
          <w:sz w:val="24"/>
          <w:szCs w:val="24"/>
          <w:highlight w:val="white"/>
          <w:lang w:val="en-US"/>
        </w:rPr>
        <w:t xml:space="preserve"> </w:t>
      </w:r>
    </w:p>
    <w:bookmarkEnd w:id="12"/>
    <w:bookmarkEnd w:id="13"/>
    <w:p w14:paraId="6D224E93" w14:textId="77777777" w:rsidR="00CD4428" w:rsidRPr="00CD4428" w:rsidRDefault="00CD4428" w:rsidP="00E17439">
      <w:pPr>
        <w:autoSpaceDE w:val="0"/>
        <w:autoSpaceDN w:val="0"/>
        <w:adjustRightInd w:val="0"/>
        <w:snapToGrid w:val="0"/>
        <w:spacing w:after="0" w:line="360" w:lineRule="auto"/>
        <w:jc w:val="both"/>
        <w:rPr>
          <w:rFonts w:ascii="Book Antiqua" w:hAnsi="Book Antiqua" w:cstheme="minorHAnsi"/>
          <w:sz w:val="24"/>
          <w:szCs w:val="24"/>
          <w:lang w:val="en-GB" w:eastAsia="zh-CN"/>
        </w:rPr>
      </w:pPr>
    </w:p>
    <w:p w14:paraId="599098A8" w14:textId="5A36D871" w:rsidR="005D3B0B" w:rsidRPr="00CD4428" w:rsidRDefault="005D3B0B" w:rsidP="00E17439">
      <w:pPr>
        <w:autoSpaceDE w:val="0"/>
        <w:autoSpaceDN w:val="0"/>
        <w:adjustRightInd w:val="0"/>
        <w:snapToGrid w:val="0"/>
        <w:spacing w:after="0" w:line="360" w:lineRule="auto"/>
        <w:jc w:val="both"/>
        <w:rPr>
          <w:rFonts w:ascii="Book Antiqua" w:eastAsia="SabonLTStd-Roman" w:hAnsi="Book Antiqua" w:cstheme="minorHAnsi"/>
          <w:sz w:val="24"/>
          <w:szCs w:val="24"/>
          <w:lang w:val="en-GB"/>
        </w:rPr>
      </w:pPr>
      <w:r w:rsidRPr="00CD4428">
        <w:rPr>
          <w:rFonts w:ascii="Book Antiqua" w:eastAsia="SabonLTStd-Roman" w:hAnsi="Book Antiqua" w:cstheme="minorHAnsi"/>
          <w:b/>
          <w:sz w:val="24"/>
          <w:szCs w:val="24"/>
          <w:lang w:val="en-GB"/>
        </w:rPr>
        <w:lastRenderedPageBreak/>
        <w:t>Correspondence to:</w:t>
      </w:r>
      <w:r w:rsidR="00574A3E">
        <w:rPr>
          <w:rFonts w:ascii="Book Antiqua" w:hAnsi="Book Antiqua" w:cstheme="minorHAnsi" w:hint="eastAsia"/>
          <w:sz w:val="24"/>
          <w:szCs w:val="24"/>
          <w:lang w:val="en-GB" w:eastAsia="zh-CN"/>
        </w:rPr>
        <w:t xml:space="preserve"> </w:t>
      </w:r>
      <w:r w:rsidRPr="00CD4428">
        <w:rPr>
          <w:rFonts w:ascii="Book Antiqua" w:eastAsia="SabonLTStd-Roman" w:hAnsi="Book Antiqua" w:cstheme="minorHAnsi"/>
          <w:sz w:val="24"/>
          <w:szCs w:val="24"/>
          <w:lang w:val="en-GB"/>
        </w:rPr>
        <w:t xml:space="preserve">Maria Lia </w:t>
      </w:r>
      <w:proofErr w:type="spellStart"/>
      <w:r w:rsidRPr="00CD4428">
        <w:rPr>
          <w:rFonts w:ascii="Book Antiqua" w:eastAsia="SabonLTStd-Roman" w:hAnsi="Book Antiqua" w:cstheme="minorHAnsi"/>
          <w:sz w:val="24"/>
          <w:szCs w:val="24"/>
          <w:lang w:val="en-GB"/>
        </w:rPr>
        <w:t>Scribano</w:t>
      </w:r>
      <w:proofErr w:type="spellEnd"/>
      <w:r w:rsidRPr="00CD4428">
        <w:rPr>
          <w:rFonts w:ascii="Book Antiqua" w:eastAsia="SabonLTStd-Roman" w:hAnsi="Book Antiqua" w:cstheme="minorHAnsi"/>
          <w:sz w:val="24"/>
          <w:szCs w:val="24"/>
          <w:lang w:val="en-GB"/>
        </w:rPr>
        <w:t xml:space="preserve">, MD, IBD Unit, </w:t>
      </w:r>
      <w:proofErr w:type="spellStart"/>
      <w:r w:rsidRPr="00CD4428">
        <w:rPr>
          <w:rFonts w:ascii="Book Antiqua" w:eastAsia="SabonLTStd-Roman" w:hAnsi="Book Antiqua" w:cstheme="minorHAnsi"/>
          <w:sz w:val="24"/>
          <w:szCs w:val="24"/>
          <w:lang w:val="en-GB"/>
        </w:rPr>
        <w:t>Azienda</w:t>
      </w:r>
      <w:proofErr w:type="spellEnd"/>
      <w:r w:rsidRPr="00CD4428">
        <w:rPr>
          <w:rFonts w:ascii="Book Antiqua" w:eastAsia="SabonLTStd-Roman" w:hAnsi="Book Antiqua" w:cstheme="minorHAnsi"/>
          <w:sz w:val="24"/>
          <w:szCs w:val="24"/>
          <w:lang w:val="en-GB"/>
        </w:rPr>
        <w:t xml:space="preserve"> </w:t>
      </w:r>
      <w:proofErr w:type="spellStart"/>
      <w:r w:rsidRPr="00CD4428">
        <w:rPr>
          <w:rFonts w:ascii="Book Antiqua" w:eastAsia="SabonLTStd-Roman" w:hAnsi="Book Antiqua" w:cstheme="minorHAnsi"/>
          <w:sz w:val="24"/>
          <w:szCs w:val="24"/>
          <w:lang w:val="en-GB"/>
        </w:rPr>
        <w:t>Ospedaliera</w:t>
      </w:r>
      <w:proofErr w:type="spellEnd"/>
      <w:r w:rsidRPr="00CD4428">
        <w:rPr>
          <w:rFonts w:ascii="Book Antiqua" w:eastAsia="SabonLTStd-Roman" w:hAnsi="Book Antiqua" w:cstheme="minorHAnsi"/>
          <w:sz w:val="24"/>
          <w:szCs w:val="24"/>
          <w:lang w:val="en-GB"/>
        </w:rPr>
        <w:t xml:space="preserve"> San Camillo-Forlanini,</w:t>
      </w:r>
      <w:r w:rsidR="00574A3E">
        <w:rPr>
          <w:rFonts w:ascii="Book Antiqua" w:hAnsi="Book Antiqua" w:cstheme="minorHAnsi" w:hint="eastAsia"/>
          <w:sz w:val="24"/>
          <w:szCs w:val="24"/>
          <w:lang w:val="en-GB" w:eastAsia="zh-CN"/>
        </w:rPr>
        <w:t xml:space="preserve"> </w:t>
      </w:r>
      <w:proofErr w:type="spellStart"/>
      <w:r w:rsidRPr="00CD4428">
        <w:rPr>
          <w:rFonts w:ascii="Book Antiqua" w:eastAsia="SabonLTStd-Roman" w:hAnsi="Book Antiqua" w:cstheme="minorHAnsi"/>
          <w:sz w:val="24"/>
          <w:szCs w:val="24"/>
          <w:lang w:val="en-GB"/>
        </w:rPr>
        <w:t>Circonvallazione</w:t>
      </w:r>
      <w:proofErr w:type="spellEnd"/>
      <w:r w:rsidRPr="00CD4428">
        <w:rPr>
          <w:rFonts w:ascii="Book Antiqua" w:eastAsia="SabonLTStd-Roman" w:hAnsi="Book Antiqua" w:cstheme="minorHAnsi"/>
          <w:sz w:val="24"/>
          <w:szCs w:val="24"/>
          <w:lang w:val="en-GB"/>
        </w:rPr>
        <w:t xml:space="preserve"> </w:t>
      </w:r>
      <w:proofErr w:type="spellStart"/>
      <w:r w:rsidRPr="00CD4428">
        <w:rPr>
          <w:rFonts w:ascii="Book Antiqua" w:eastAsia="SabonLTStd-Roman" w:hAnsi="Book Antiqua" w:cstheme="minorHAnsi"/>
          <w:sz w:val="24"/>
          <w:szCs w:val="24"/>
          <w:lang w:val="en-GB"/>
        </w:rPr>
        <w:t>Gianicolense</w:t>
      </w:r>
      <w:proofErr w:type="spellEnd"/>
      <w:r w:rsidRPr="00CD4428">
        <w:rPr>
          <w:rFonts w:ascii="Book Antiqua" w:eastAsia="SabonLTStd-Roman" w:hAnsi="Book Antiqua" w:cstheme="minorHAnsi"/>
          <w:sz w:val="24"/>
          <w:szCs w:val="24"/>
          <w:lang w:val="en-GB"/>
        </w:rPr>
        <w:t>, 87, Rome</w:t>
      </w:r>
      <w:r w:rsidR="00574A3E">
        <w:rPr>
          <w:rFonts w:ascii="Book Antiqua" w:hAnsi="Book Antiqua" w:cstheme="minorHAnsi" w:hint="eastAsia"/>
          <w:sz w:val="24"/>
          <w:szCs w:val="24"/>
          <w:lang w:val="en-GB" w:eastAsia="zh-CN"/>
        </w:rPr>
        <w:t xml:space="preserve"> </w:t>
      </w:r>
      <w:r w:rsidR="00574A3E" w:rsidRPr="00CD4428">
        <w:rPr>
          <w:rFonts w:ascii="Book Antiqua" w:eastAsia="SabonLTStd-Roman" w:hAnsi="Book Antiqua" w:cstheme="minorHAnsi"/>
          <w:sz w:val="24"/>
          <w:szCs w:val="24"/>
          <w:lang w:val="en-GB"/>
        </w:rPr>
        <w:t>00152</w:t>
      </w:r>
      <w:r w:rsidRPr="00CD4428">
        <w:rPr>
          <w:rFonts w:ascii="Book Antiqua" w:eastAsia="SabonLTStd-Roman" w:hAnsi="Book Antiqua" w:cstheme="minorHAnsi"/>
          <w:sz w:val="24"/>
          <w:szCs w:val="24"/>
          <w:lang w:val="en-GB"/>
        </w:rPr>
        <w:t xml:space="preserve">, Italy. </w:t>
      </w:r>
      <w:hyperlink r:id="rId9" w:history="1">
        <w:r w:rsidR="00A20E27" w:rsidRPr="00CD4428">
          <w:rPr>
            <w:rStyle w:val="Hyperlink"/>
            <w:rFonts w:ascii="Book Antiqua" w:eastAsia="SabonLTStd-Roman" w:hAnsi="Book Antiqua" w:cstheme="minorHAnsi"/>
            <w:color w:val="auto"/>
            <w:sz w:val="24"/>
            <w:szCs w:val="24"/>
            <w:lang w:val="en-GB"/>
          </w:rPr>
          <w:t>marialiascribano@virgilio.it</w:t>
        </w:r>
      </w:hyperlink>
    </w:p>
    <w:p w14:paraId="1B3D5BB8" w14:textId="0373913C" w:rsidR="005D3B0B" w:rsidRPr="00CD4428" w:rsidRDefault="005D3B0B" w:rsidP="00E17439">
      <w:pPr>
        <w:autoSpaceDE w:val="0"/>
        <w:autoSpaceDN w:val="0"/>
        <w:adjustRightInd w:val="0"/>
        <w:snapToGrid w:val="0"/>
        <w:spacing w:after="0" w:line="360" w:lineRule="auto"/>
        <w:jc w:val="both"/>
        <w:rPr>
          <w:rFonts w:ascii="Book Antiqua" w:eastAsia="SabonLTStd-Roman" w:hAnsi="Book Antiqua" w:cstheme="minorHAnsi"/>
          <w:sz w:val="24"/>
          <w:szCs w:val="24"/>
          <w:lang w:val="en-GB"/>
        </w:rPr>
      </w:pPr>
      <w:r w:rsidRPr="006D135A">
        <w:rPr>
          <w:rFonts w:ascii="Book Antiqua" w:eastAsia="SabonLTStd-Roman" w:hAnsi="Book Antiqua" w:cstheme="minorHAnsi"/>
          <w:b/>
          <w:sz w:val="24"/>
          <w:szCs w:val="24"/>
          <w:lang w:val="en-GB"/>
        </w:rPr>
        <w:t>Telephone:</w:t>
      </w:r>
      <w:r w:rsidRPr="00CD4428">
        <w:rPr>
          <w:rFonts w:ascii="Book Antiqua" w:eastAsia="SabonLTStd-Roman" w:hAnsi="Book Antiqua" w:cstheme="minorHAnsi"/>
          <w:sz w:val="24"/>
          <w:szCs w:val="24"/>
          <w:lang w:val="en-GB"/>
        </w:rPr>
        <w:t xml:space="preserve"> +39</w:t>
      </w:r>
      <w:r w:rsidR="006D135A">
        <w:rPr>
          <w:rFonts w:ascii="Book Antiqua" w:hAnsi="Book Antiqua" w:cstheme="minorHAnsi" w:hint="eastAsia"/>
          <w:sz w:val="24"/>
          <w:szCs w:val="24"/>
          <w:lang w:val="en-GB" w:eastAsia="zh-CN"/>
        </w:rPr>
        <w:t>-</w:t>
      </w:r>
      <w:r w:rsidRPr="00CD4428">
        <w:rPr>
          <w:rFonts w:ascii="Book Antiqua" w:eastAsia="SabonLTStd-Roman" w:hAnsi="Book Antiqua" w:cstheme="minorHAnsi"/>
          <w:sz w:val="24"/>
          <w:szCs w:val="24"/>
          <w:lang w:val="en-GB"/>
        </w:rPr>
        <w:t>06</w:t>
      </w:r>
      <w:r w:rsidR="006D135A">
        <w:rPr>
          <w:rFonts w:ascii="Book Antiqua" w:hAnsi="Book Antiqua" w:cstheme="minorHAnsi" w:hint="eastAsia"/>
          <w:sz w:val="24"/>
          <w:szCs w:val="24"/>
          <w:lang w:val="en-GB" w:eastAsia="zh-CN"/>
        </w:rPr>
        <w:t>-</w:t>
      </w:r>
      <w:r w:rsidRPr="00CD4428">
        <w:rPr>
          <w:rFonts w:ascii="Book Antiqua" w:eastAsia="SabonLTStd-Roman" w:hAnsi="Book Antiqua" w:cstheme="minorHAnsi"/>
          <w:sz w:val="24"/>
          <w:szCs w:val="24"/>
          <w:lang w:val="en-GB"/>
        </w:rPr>
        <w:t>58703308</w:t>
      </w:r>
    </w:p>
    <w:p w14:paraId="74DD210D" w14:textId="7181304B" w:rsidR="005D3B0B" w:rsidRPr="00CD4428" w:rsidRDefault="005D3B0B" w:rsidP="00E17439">
      <w:pPr>
        <w:autoSpaceDE w:val="0"/>
        <w:autoSpaceDN w:val="0"/>
        <w:adjustRightInd w:val="0"/>
        <w:snapToGrid w:val="0"/>
        <w:spacing w:after="0" w:line="360" w:lineRule="auto"/>
        <w:jc w:val="both"/>
        <w:rPr>
          <w:rFonts w:ascii="Book Antiqua" w:eastAsia="SabonLTStd-Roman" w:hAnsi="Book Antiqua" w:cstheme="minorHAnsi"/>
          <w:sz w:val="24"/>
          <w:szCs w:val="24"/>
          <w:lang w:val="en-GB"/>
        </w:rPr>
      </w:pPr>
      <w:r w:rsidRPr="006D135A">
        <w:rPr>
          <w:rFonts w:ascii="Book Antiqua" w:eastAsia="SabonLTStd-Roman" w:hAnsi="Book Antiqua" w:cstheme="minorHAnsi"/>
          <w:b/>
          <w:sz w:val="24"/>
          <w:szCs w:val="24"/>
          <w:lang w:val="en-GB"/>
        </w:rPr>
        <w:t xml:space="preserve">Fax: </w:t>
      </w:r>
      <w:r w:rsidRPr="00CD4428">
        <w:rPr>
          <w:rFonts w:ascii="Book Antiqua" w:eastAsia="SabonLTStd-Roman" w:hAnsi="Book Antiqua" w:cstheme="minorHAnsi"/>
          <w:sz w:val="24"/>
          <w:szCs w:val="24"/>
          <w:lang w:val="en-GB"/>
        </w:rPr>
        <w:t>+39</w:t>
      </w:r>
      <w:r w:rsidR="006D135A">
        <w:rPr>
          <w:rFonts w:ascii="Book Antiqua" w:hAnsi="Book Antiqua" w:cstheme="minorHAnsi" w:hint="eastAsia"/>
          <w:sz w:val="24"/>
          <w:szCs w:val="24"/>
          <w:lang w:val="en-GB" w:eastAsia="zh-CN"/>
        </w:rPr>
        <w:t>-</w:t>
      </w:r>
      <w:r w:rsidRPr="00CD4428">
        <w:rPr>
          <w:rFonts w:ascii="Book Antiqua" w:eastAsia="SabonLTStd-Roman" w:hAnsi="Book Antiqua" w:cstheme="minorHAnsi"/>
          <w:sz w:val="24"/>
          <w:szCs w:val="24"/>
          <w:lang w:val="en-GB"/>
        </w:rPr>
        <w:t>06</w:t>
      </w:r>
      <w:r w:rsidR="006D135A">
        <w:rPr>
          <w:rFonts w:ascii="Book Antiqua" w:hAnsi="Book Antiqua" w:cstheme="minorHAnsi" w:hint="eastAsia"/>
          <w:sz w:val="24"/>
          <w:szCs w:val="24"/>
          <w:lang w:val="en-GB" w:eastAsia="zh-CN"/>
        </w:rPr>
        <w:t>-</w:t>
      </w:r>
      <w:r w:rsidRPr="00CD4428">
        <w:rPr>
          <w:rFonts w:ascii="Book Antiqua" w:eastAsia="SabonLTStd-Roman" w:hAnsi="Book Antiqua" w:cstheme="minorHAnsi"/>
          <w:sz w:val="24"/>
          <w:szCs w:val="24"/>
          <w:lang w:val="en-GB"/>
        </w:rPr>
        <w:t>58704328</w:t>
      </w:r>
    </w:p>
    <w:p w14:paraId="023071E5" w14:textId="77777777" w:rsidR="002B7DD2" w:rsidRPr="00CD4428" w:rsidRDefault="002B7DD2" w:rsidP="00E17439">
      <w:pPr>
        <w:autoSpaceDE w:val="0"/>
        <w:autoSpaceDN w:val="0"/>
        <w:adjustRightInd w:val="0"/>
        <w:snapToGrid w:val="0"/>
        <w:spacing w:after="0" w:line="360" w:lineRule="auto"/>
        <w:jc w:val="both"/>
        <w:rPr>
          <w:rFonts w:ascii="Book Antiqua" w:eastAsia="SabonLTStd-Roman" w:hAnsi="Book Antiqua" w:cstheme="minorHAnsi"/>
          <w:sz w:val="24"/>
          <w:szCs w:val="24"/>
          <w:lang w:val="en-GB"/>
        </w:rPr>
      </w:pPr>
    </w:p>
    <w:p w14:paraId="5D964E18" w14:textId="7BFE95B5" w:rsidR="00B865C9" w:rsidRPr="00B865C9" w:rsidRDefault="00B865C9" w:rsidP="00B865C9">
      <w:pPr>
        <w:snapToGrid w:val="0"/>
        <w:spacing w:after="0" w:line="360" w:lineRule="auto"/>
        <w:jc w:val="both"/>
        <w:rPr>
          <w:rFonts w:ascii="Book Antiqua" w:eastAsia="SimSun" w:hAnsi="Book Antiqua" w:cs="SimSun"/>
          <w:b/>
          <w:sz w:val="24"/>
          <w:szCs w:val="24"/>
          <w:lang w:val="en-US" w:eastAsia="zh-CN"/>
        </w:rPr>
      </w:pPr>
      <w:r w:rsidRPr="00B865C9">
        <w:rPr>
          <w:rFonts w:ascii="Book Antiqua" w:eastAsia="SimSun" w:hAnsi="Book Antiqua" w:cs="SimSun"/>
          <w:b/>
          <w:sz w:val="24"/>
          <w:szCs w:val="24"/>
          <w:lang w:val="en-US" w:eastAsia="zh-CN"/>
        </w:rPr>
        <w:t>Received:</w:t>
      </w:r>
      <w:r w:rsidR="001D5922">
        <w:rPr>
          <w:rFonts w:ascii="Book Antiqua" w:eastAsia="SimSun" w:hAnsi="Book Antiqua" w:cs="SimSun" w:hint="eastAsia"/>
          <w:b/>
          <w:sz w:val="24"/>
          <w:szCs w:val="24"/>
          <w:lang w:val="en-US" w:eastAsia="zh-CN"/>
        </w:rPr>
        <w:t xml:space="preserve"> </w:t>
      </w:r>
      <w:r w:rsidR="001D5922" w:rsidRPr="001D5922">
        <w:rPr>
          <w:rFonts w:ascii="Book Antiqua" w:eastAsia="SimSun" w:hAnsi="Book Antiqua" w:cs="SimSun" w:hint="eastAsia"/>
          <w:sz w:val="24"/>
          <w:szCs w:val="24"/>
          <w:lang w:val="en-US" w:eastAsia="zh-CN"/>
        </w:rPr>
        <w:t>April 16, 2018</w:t>
      </w:r>
    </w:p>
    <w:p w14:paraId="6A3EC8B5" w14:textId="532E486E" w:rsidR="00B865C9" w:rsidRPr="00B865C9" w:rsidRDefault="00B865C9" w:rsidP="00B865C9">
      <w:pPr>
        <w:snapToGrid w:val="0"/>
        <w:spacing w:after="0" w:line="360" w:lineRule="auto"/>
        <w:jc w:val="both"/>
        <w:rPr>
          <w:rFonts w:ascii="Book Antiqua" w:eastAsia="SimSun" w:hAnsi="Book Antiqua" w:cs="SimSun"/>
          <w:b/>
          <w:sz w:val="24"/>
          <w:szCs w:val="24"/>
          <w:lang w:val="en-US" w:eastAsia="zh-CN"/>
        </w:rPr>
      </w:pPr>
      <w:r w:rsidRPr="00B865C9">
        <w:rPr>
          <w:rFonts w:ascii="Book Antiqua" w:eastAsia="SimSun" w:hAnsi="Book Antiqua" w:cs="SimSun"/>
          <w:b/>
          <w:sz w:val="24"/>
          <w:szCs w:val="24"/>
          <w:lang w:val="en-US" w:eastAsia="zh-CN"/>
        </w:rPr>
        <w:t xml:space="preserve">Peer-review </w:t>
      </w:r>
      <w:proofErr w:type="gramStart"/>
      <w:r w:rsidRPr="00B865C9">
        <w:rPr>
          <w:rFonts w:ascii="Book Antiqua" w:eastAsia="SimSun" w:hAnsi="Book Antiqua" w:cs="SimSun"/>
          <w:b/>
          <w:sz w:val="24"/>
          <w:szCs w:val="24"/>
          <w:lang w:val="en-US" w:eastAsia="zh-CN"/>
        </w:rPr>
        <w:t>started:</w:t>
      </w:r>
      <w:proofErr w:type="gramEnd"/>
      <w:r w:rsidR="000634F9">
        <w:rPr>
          <w:rFonts w:ascii="Book Antiqua" w:eastAsia="SimSun" w:hAnsi="Book Antiqua" w:cs="SimSun" w:hint="eastAsia"/>
          <w:b/>
          <w:sz w:val="24"/>
          <w:szCs w:val="24"/>
          <w:lang w:val="en-US" w:eastAsia="zh-CN"/>
        </w:rPr>
        <w:t xml:space="preserve"> </w:t>
      </w:r>
      <w:r w:rsidR="000634F9" w:rsidRPr="001D5922">
        <w:rPr>
          <w:rFonts w:ascii="Book Antiqua" w:eastAsia="SimSun" w:hAnsi="Book Antiqua" w:cs="SimSun" w:hint="eastAsia"/>
          <w:sz w:val="24"/>
          <w:szCs w:val="24"/>
          <w:lang w:val="en-US" w:eastAsia="zh-CN"/>
        </w:rPr>
        <w:t>April 1</w:t>
      </w:r>
      <w:r w:rsidR="000634F9">
        <w:rPr>
          <w:rFonts w:ascii="Book Antiqua" w:eastAsia="SimSun" w:hAnsi="Book Antiqua" w:cs="SimSun" w:hint="eastAsia"/>
          <w:sz w:val="24"/>
          <w:szCs w:val="24"/>
          <w:lang w:val="en-US" w:eastAsia="zh-CN"/>
        </w:rPr>
        <w:t>8</w:t>
      </w:r>
      <w:r w:rsidR="000634F9" w:rsidRPr="001D5922">
        <w:rPr>
          <w:rFonts w:ascii="Book Antiqua" w:eastAsia="SimSun" w:hAnsi="Book Antiqua" w:cs="SimSun" w:hint="eastAsia"/>
          <w:sz w:val="24"/>
          <w:szCs w:val="24"/>
          <w:lang w:val="en-US" w:eastAsia="zh-CN"/>
        </w:rPr>
        <w:t>, 2018</w:t>
      </w:r>
    </w:p>
    <w:p w14:paraId="05A6A75E" w14:textId="3552DC08" w:rsidR="00B865C9" w:rsidRPr="00B865C9" w:rsidRDefault="00B865C9" w:rsidP="00B865C9">
      <w:pPr>
        <w:snapToGrid w:val="0"/>
        <w:spacing w:after="0" w:line="360" w:lineRule="auto"/>
        <w:jc w:val="both"/>
        <w:rPr>
          <w:rFonts w:ascii="Book Antiqua" w:eastAsia="SimSun" w:hAnsi="Book Antiqua" w:cs="SimSun"/>
          <w:b/>
          <w:sz w:val="24"/>
          <w:szCs w:val="24"/>
          <w:lang w:val="en-US" w:eastAsia="zh-CN"/>
        </w:rPr>
      </w:pPr>
      <w:r w:rsidRPr="00B865C9">
        <w:rPr>
          <w:rFonts w:ascii="Book Antiqua" w:eastAsia="SimSun" w:hAnsi="Book Antiqua" w:cs="SimSun"/>
          <w:b/>
          <w:sz w:val="24"/>
          <w:szCs w:val="24"/>
          <w:lang w:val="en-US" w:eastAsia="zh-CN"/>
        </w:rPr>
        <w:t>First decision:</w:t>
      </w:r>
      <w:r w:rsidR="000634F9">
        <w:rPr>
          <w:rFonts w:ascii="Book Antiqua" w:eastAsia="SimSun" w:hAnsi="Book Antiqua" w:cs="SimSun" w:hint="eastAsia"/>
          <w:b/>
          <w:sz w:val="24"/>
          <w:szCs w:val="24"/>
          <w:lang w:val="en-US" w:eastAsia="zh-CN"/>
        </w:rPr>
        <w:t xml:space="preserve"> </w:t>
      </w:r>
      <w:r w:rsidR="000634F9" w:rsidRPr="001D5922">
        <w:rPr>
          <w:rFonts w:ascii="Book Antiqua" w:eastAsia="SimSun" w:hAnsi="Book Antiqua" w:cs="SimSun" w:hint="eastAsia"/>
          <w:sz w:val="24"/>
          <w:szCs w:val="24"/>
          <w:lang w:val="en-US" w:eastAsia="zh-CN"/>
        </w:rPr>
        <w:t xml:space="preserve">April </w:t>
      </w:r>
      <w:r w:rsidR="000634F9">
        <w:rPr>
          <w:rFonts w:ascii="Book Antiqua" w:eastAsia="SimSun" w:hAnsi="Book Antiqua" w:cs="SimSun" w:hint="eastAsia"/>
          <w:sz w:val="24"/>
          <w:szCs w:val="24"/>
          <w:lang w:val="en-US" w:eastAsia="zh-CN"/>
        </w:rPr>
        <w:t>27</w:t>
      </w:r>
      <w:r w:rsidR="000634F9" w:rsidRPr="001D5922">
        <w:rPr>
          <w:rFonts w:ascii="Book Antiqua" w:eastAsia="SimSun" w:hAnsi="Book Antiqua" w:cs="SimSun" w:hint="eastAsia"/>
          <w:sz w:val="24"/>
          <w:szCs w:val="24"/>
          <w:lang w:val="en-US" w:eastAsia="zh-CN"/>
        </w:rPr>
        <w:t>, 2018</w:t>
      </w:r>
    </w:p>
    <w:p w14:paraId="656F6BEE" w14:textId="06E34F95" w:rsidR="00B865C9" w:rsidRPr="00B865C9" w:rsidRDefault="00B865C9" w:rsidP="00B865C9">
      <w:pPr>
        <w:snapToGrid w:val="0"/>
        <w:spacing w:after="0" w:line="360" w:lineRule="auto"/>
        <w:jc w:val="both"/>
        <w:rPr>
          <w:rFonts w:ascii="Book Antiqua" w:eastAsia="SimSun" w:hAnsi="Book Antiqua" w:cs="SimSun"/>
          <w:b/>
          <w:sz w:val="24"/>
          <w:szCs w:val="24"/>
          <w:lang w:val="en-US" w:eastAsia="zh-CN"/>
        </w:rPr>
      </w:pPr>
      <w:r w:rsidRPr="00B865C9">
        <w:rPr>
          <w:rFonts w:ascii="Book Antiqua" w:eastAsia="SimSun" w:hAnsi="Book Antiqua" w:cs="SimSun"/>
          <w:b/>
          <w:sz w:val="24"/>
          <w:szCs w:val="24"/>
          <w:lang w:val="en-US" w:eastAsia="zh-CN"/>
        </w:rPr>
        <w:t>Revised:</w:t>
      </w:r>
      <w:r w:rsidR="000634F9">
        <w:rPr>
          <w:rFonts w:ascii="Book Antiqua" w:eastAsia="SimSun" w:hAnsi="Book Antiqua" w:cs="SimSun" w:hint="eastAsia"/>
          <w:b/>
          <w:sz w:val="24"/>
          <w:szCs w:val="24"/>
          <w:lang w:val="en-US" w:eastAsia="zh-CN"/>
        </w:rPr>
        <w:t xml:space="preserve"> </w:t>
      </w:r>
      <w:r w:rsidR="000634F9" w:rsidRPr="000634F9">
        <w:rPr>
          <w:rFonts w:ascii="Book Antiqua" w:eastAsia="SimSun" w:hAnsi="Book Antiqua" w:cs="SimSun"/>
          <w:sz w:val="24"/>
          <w:szCs w:val="24"/>
          <w:lang w:val="en-US" w:eastAsia="zh-CN"/>
        </w:rPr>
        <w:t xml:space="preserve">May </w:t>
      </w:r>
      <w:r w:rsidR="000634F9" w:rsidRPr="000634F9">
        <w:rPr>
          <w:rFonts w:ascii="Book Antiqua" w:eastAsia="SimSun" w:hAnsi="Book Antiqua" w:cs="SimSun" w:hint="eastAsia"/>
          <w:sz w:val="24"/>
          <w:szCs w:val="24"/>
          <w:lang w:val="en-US" w:eastAsia="zh-CN"/>
        </w:rPr>
        <w:t>6</w:t>
      </w:r>
      <w:r w:rsidR="000634F9" w:rsidRPr="000634F9">
        <w:rPr>
          <w:rFonts w:ascii="Book Antiqua" w:eastAsia="SimSun" w:hAnsi="Book Antiqua" w:cs="SimSun"/>
          <w:sz w:val="24"/>
          <w:szCs w:val="24"/>
          <w:lang w:val="en-US" w:eastAsia="zh-CN"/>
        </w:rPr>
        <w:t>, 2018</w:t>
      </w:r>
      <w:bookmarkStart w:id="18" w:name="_GoBack"/>
      <w:bookmarkEnd w:id="18"/>
    </w:p>
    <w:p w14:paraId="7E8C7ECC" w14:textId="296AD4FA" w:rsidR="00B865C9" w:rsidRPr="00B865C9" w:rsidRDefault="00B865C9" w:rsidP="00B865C9">
      <w:pPr>
        <w:snapToGrid w:val="0"/>
        <w:spacing w:after="0" w:line="360" w:lineRule="auto"/>
        <w:jc w:val="both"/>
        <w:rPr>
          <w:rFonts w:ascii="Book Antiqua" w:eastAsia="SimSun" w:hAnsi="Book Antiqua" w:cs="SimSun"/>
          <w:b/>
          <w:sz w:val="24"/>
          <w:szCs w:val="24"/>
          <w:lang w:val="en-US" w:eastAsia="zh-CN"/>
        </w:rPr>
      </w:pPr>
      <w:r w:rsidRPr="00B865C9">
        <w:rPr>
          <w:rFonts w:ascii="Book Antiqua" w:eastAsia="SimSun" w:hAnsi="Book Antiqua" w:cs="SimSun"/>
          <w:b/>
          <w:sz w:val="24"/>
          <w:szCs w:val="24"/>
          <w:lang w:val="en-US" w:eastAsia="zh-CN"/>
        </w:rPr>
        <w:t>Accepted:</w:t>
      </w:r>
      <w:r w:rsidR="00875F84" w:rsidRPr="00875F84">
        <w:t xml:space="preserve"> </w:t>
      </w:r>
      <w:r w:rsidR="00875F84" w:rsidRPr="00875F84">
        <w:rPr>
          <w:rFonts w:ascii="Book Antiqua" w:eastAsia="SimSun" w:hAnsi="Book Antiqua" w:cs="SimSun"/>
          <w:sz w:val="24"/>
          <w:szCs w:val="24"/>
          <w:lang w:val="en-US" w:eastAsia="zh-CN"/>
        </w:rPr>
        <w:t>May 18, 2018</w:t>
      </w:r>
    </w:p>
    <w:p w14:paraId="6EE9432E" w14:textId="77777777" w:rsidR="00B865C9" w:rsidRPr="00B865C9" w:rsidRDefault="00B865C9" w:rsidP="00B865C9">
      <w:pPr>
        <w:snapToGrid w:val="0"/>
        <w:spacing w:after="0" w:line="360" w:lineRule="auto"/>
        <w:jc w:val="both"/>
        <w:rPr>
          <w:rFonts w:ascii="Book Antiqua" w:eastAsia="SimSun" w:hAnsi="Book Antiqua" w:cs="SimSun"/>
          <w:b/>
          <w:sz w:val="24"/>
          <w:szCs w:val="24"/>
          <w:lang w:val="en-US" w:eastAsia="zh-CN"/>
        </w:rPr>
      </w:pPr>
      <w:r w:rsidRPr="00B865C9">
        <w:rPr>
          <w:rFonts w:ascii="Book Antiqua" w:eastAsia="SimSun" w:hAnsi="Book Antiqua" w:cs="SimSun"/>
          <w:b/>
          <w:sz w:val="24"/>
          <w:szCs w:val="24"/>
          <w:lang w:val="en-US" w:eastAsia="zh-CN"/>
        </w:rPr>
        <w:t>Article in press:</w:t>
      </w:r>
    </w:p>
    <w:p w14:paraId="05C32B48" w14:textId="77777777" w:rsidR="00B865C9" w:rsidRPr="00B865C9" w:rsidRDefault="00B865C9" w:rsidP="00B865C9">
      <w:pPr>
        <w:snapToGrid w:val="0"/>
        <w:spacing w:after="0" w:line="360" w:lineRule="auto"/>
        <w:jc w:val="both"/>
        <w:rPr>
          <w:rFonts w:ascii="Book Antiqua" w:eastAsia="SimSun" w:hAnsi="Book Antiqua" w:cs="Arial"/>
          <w:b/>
          <w:sz w:val="24"/>
          <w:szCs w:val="24"/>
          <w:lang w:val="pl-PL" w:eastAsia="zh-CN"/>
        </w:rPr>
      </w:pPr>
      <w:r w:rsidRPr="00B865C9">
        <w:rPr>
          <w:rFonts w:ascii="Book Antiqua" w:eastAsia="SimSun" w:hAnsi="Book Antiqua" w:cs="Arial"/>
          <w:b/>
          <w:sz w:val="24"/>
          <w:szCs w:val="24"/>
          <w:lang w:val="pl-PL" w:eastAsia="pl-PL"/>
        </w:rPr>
        <w:t>Published online</w:t>
      </w:r>
      <w:r w:rsidRPr="00B865C9">
        <w:rPr>
          <w:rFonts w:ascii="Book Antiqua" w:eastAsia="SimSun" w:hAnsi="Book Antiqua" w:cs="Arial" w:hint="eastAsia"/>
          <w:b/>
          <w:sz w:val="24"/>
          <w:szCs w:val="24"/>
          <w:lang w:val="pl-PL" w:eastAsia="pl-PL"/>
        </w:rPr>
        <w:t>:</w:t>
      </w:r>
    </w:p>
    <w:p w14:paraId="178E145E" w14:textId="77777777" w:rsidR="002B7DD2" w:rsidRPr="00CD4428" w:rsidRDefault="002B7DD2" w:rsidP="00E17439">
      <w:pPr>
        <w:snapToGrid w:val="0"/>
        <w:spacing w:after="0" w:line="360" w:lineRule="auto"/>
        <w:jc w:val="both"/>
        <w:rPr>
          <w:rFonts w:ascii="Book Antiqua" w:eastAsia="SabonLTStd-Roman" w:hAnsi="Book Antiqua" w:cstheme="minorHAnsi"/>
          <w:b/>
          <w:sz w:val="24"/>
          <w:szCs w:val="24"/>
          <w:lang w:val="en-GB"/>
        </w:rPr>
      </w:pPr>
    </w:p>
    <w:p w14:paraId="51CEB408" w14:textId="34730FA1" w:rsidR="0051433C" w:rsidRPr="00CD4428" w:rsidRDefault="0051433C" w:rsidP="00E17439">
      <w:pPr>
        <w:snapToGrid w:val="0"/>
        <w:spacing w:after="0" w:line="360" w:lineRule="auto"/>
        <w:jc w:val="both"/>
        <w:rPr>
          <w:rFonts w:ascii="Book Antiqua" w:eastAsia="SabonLTStd-Roman" w:hAnsi="Book Antiqua" w:cstheme="minorHAnsi"/>
          <w:b/>
          <w:sz w:val="24"/>
          <w:szCs w:val="24"/>
          <w:lang w:val="en-GB"/>
        </w:rPr>
      </w:pPr>
      <w:r w:rsidRPr="00CD4428">
        <w:rPr>
          <w:rFonts w:ascii="Book Antiqua" w:eastAsia="SabonLTStd-Roman" w:hAnsi="Book Antiqua" w:cstheme="minorHAnsi"/>
          <w:b/>
          <w:sz w:val="24"/>
          <w:szCs w:val="24"/>
          <w:lang w:val="en-GB"/>
        </w:rPr>
        <w:br w:type="page"/>
      </w:r>
    </w:p>
    <w:p w14:paraId="01DD6F40" w14:textId="77777777" w:rsidR="00EC20CD" w:rsidRPr="00CD4428" w:rsidRDefault="00EC20CD" w:rsidP="00E17439">
      <w:pPr>
        <w:autoSpaceDE w:val="0"/>
        <w:autoSpaceDN w:val="0"/>
        <w:adjustRightInd w:val="0"/>
        <w:snapToGrid w:val="0"/>
        <w:spacing w:after="0" w:line="360" w:lineRule="auto"/>
        <w:jc w:val="both"/>
        <w:rPr>
          <w:rFonts w:ascii="Book Antiqua" w:eastAsia="SabonLTStd-Roman" w:hAnsi="Book Antiqua" w:cstheme="minorHAnsi"/>
          <w:b/>
          <w:sz w:val="24"/>
          <w:szCs w:val="24"/>
          <w:lang w:val="en-GB"/>
        </w:rPr>
      </w:pPr>
      <w:r w:rsidRPr="00CD4428">
        <w:rPr>
          <w:rFonts w:ascii="Book Antiqua" w:eastAsia="SabonLTStd-Roman" w:hAnsi="Book Antiqua" w:cstheme="minorHAnsi"/>
          <w:b/>
          <w:sz w:val="24"/>
          <w:szCs w:val="24"/>
          <w:lang w:val="en-GB"/>
        </w:rPr>
        <w:lastRenderedPageBreak/>
        <w:t>Abstract</w:t>
      </w:r>
    </w:p>
    <w:p w14:paraId="7F0C7A46" w14:textId="5BE2AD8B" w:rsidR="00EC20CD" w:rsidRPr="00CD4428" w:rsidRDefault="00303132" w:rsidP="00E17439">
      <w:pPr>
        <w:autoSpaceDE w:val="0"/>
        <w:autoSpaceDN w:val="0"/>
        <w:adjustRightInd w:val="0"/>
        <w:snapToGrid w:val="0"/>
        <w:spacing w:after="0" w:line="360" w:lineRule="auto"/>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The biologic antitumor necrosis factor alpha (anti-TNFα) agents have revolutionised the treatment of inflammatory bowel disease</w:t>
      </w:r>
      <w:r w:rsidR="00936E0F">
        <w:rPr>
          <w:rFonts w:ascii="Book Antiqua" w:hAnsi="Book Antiqua" w:cstheme="minorHAnsi" w:hint="eastAsia"/>
          <w:sz w:val="24"/>
          <w:szCs w:val="24"/>
          <w:lang w:val="en-GB" w:eastAsia="zh-CN"/>
        </w:rPr>
        <w:t xml:space="preserve"> </w:t>
      </w:r>
      <w:r w:rsidRPr="00CD4428">
        <w:rPr>
          <w:rFonts w:ascii="Book Antiqua" w:eastAsia="SabonLTStd-Roman" w:hAnsi="Book Antiqua" w:cstheme="minorHAnsi"/>
          <w:sz w:val="24"/>
          <w:szCs w:val="24"/>
          <w:lang w:val="en-GB"/>
        </w:rPr>
        <w:t xml:space="preserve">(IBD). However, </w:t>
      </w:r>
      <w:r w:rsidR="001313D1" w:rsidRPr="00CD4428">
        <w:rPr>
          <w:rFonts w:ascii="Book Antiqua" w:eastAsia="SabonLTStd-Roman" w:hAnsi="Book Antiqua" w:cstheme="minorHAnsi"/>
          <w:sz w:val="24"/>
          <w:szCs w:val="24"/>
          <w:lang w:val="en-GB"/>
        </w:rPr>
        <w:t>some</w:t>
      </w:r>
      <w:r w:rsidRPr="00CD4428">
        <w:rPr>
          <w:rFonts w:ascii="Book Antiqua" w:eastAsia="SabonLTStd-Roman" w:hAnsi="Book Antiqua" w:cstheme="minorHAnsi"/>
          <w:sz w:val="24"/>
          <w:szCs w:val="24"/>
          <w:lang w:val="en-GB"/>
        </w:rPr>
        <w:t xml:space="preserve"> patients </w:t>
      </w:r>
      <w:r w:rsidR="001313D1" w:rsidRPr="00CD4428">
        <w:rPr>
          <w:rFonts w:ascii="Book Antiqua" w:eastAsia="SabonLTStd-Roman" w:hAnsi="Book Antiqua" w:cstheme="minorHAnsi"/>
          <w:sz w:val="24"/>
          <w:szCs w:val="24"/>
          <w:lang w:val="en-GB"/>
        </w:rPr>
        <w:t>experience</w:t>
      </w:r>
      <w:r w:rsidRPr="00CD4428">
        <w:rPr>
          <w:rFonts w:ascii="Book Antiqua" w:eastAsia="SabonLTStd-Roman" w:hAnsi="Book Antiqua" w:cstheme="minorHAnsi"/>
          <w:sz w:val="24"/>
          <w:szCs w:val="24"/>
          <w:lang w:val="en-GB"/>
        </w:rPr>
        <w:t xml:space="preserve"> primary </w:t>
      </w:r>
      <w:r w:rsidR="00B97503" w:rsidRPr="00CD4428">
        <w:rPr>
          <w:rFonts w:ascii="Book Antiqua" w:eastAsia="SabonLTStd-Roman" w:hAnsi="Book Antiqua" w:cstheme="minorHAnsi"/>
          <w:sz w:val="24"/>
          <w:szCs w:val="24"/>
          <w:lang w:val="en-GB"/>
        </w:rPr>
        <w:t>nonresponse, loss of response</w:t>
      </w:r>
      <w:r w:rsidR="001313D1" w:rsidRPr="00CD4428">
        <w:rPr>
          <w:rFonts w:ascii="Book Antiqua" w:eastAsia="SabonLTStd-Roman" w:hAnsi="Book Antiqua" w:cstheme="minorHAnsi"/>
          <w:sz w:val="24"/>
          <w:szCs w:val="24"/>
          <w:lang w:val="en-GB"/>
        </w:rPr>
        <w:t>,</w:t>
      </w:r>
      <w:r w:rsidR="00B97503" w:rsidRPr="00CD4428">
        <w:rPr>
          <w:rFonts w:ascii="Book Antiqua" w:eastAsia="SabonLTStd-Roman" w:hAnsi="Book Antiqua" w:cstheme="minorHAnsi"/>
          <w:sz w:val="24"/>
          <w:szCs w:val="24"/>
          <w:lang w:val="en-GB"/>
        </w:rPr>
        <w:t xml:space="preserve"> or intolerance</w:t>
      </w:r>
      <w:r w:rsidRPr="00CD4428">
        <w:rPr>
          <w:rFonts w:ascii="Book Antiqua" w:eastAsia="SabonLTStd-Roman" w:hAnsi="Book Antiqua" w:cstheme="minorHAnsi"/>
          <w:sz w:val="24"/>
          <w:szCs w:val="24"/>
          <w:lang w:val="en-GB"/>
        </w:rPr>
        <w:t>. Therefore, introduc</w:t>
      </w:r>
      <w:r w:rsidR="001313D1" w:rsidRPr="00CD4428">
        <w:rPr>
          <w:rFonts w:ascii="Book Antiqua" w:eastAsia="SabonLTStd-Roman" w:hAnsi="Book Antiqua" w:cstheme="minorHAnsi"/>
          <w:sz w:val="24"/>
          <w:szCs w:val="24"/>
          <w:lang w:val="en-GB"/>
        </w:rPr>
        <w:t>ing</w:t>
      </w:r>
      <w:r w:rsidRPr="00CD4428">
        <w:rPr>
          <w:rFonts w:ascii="Book Antiqua" w:eastAsia="SabonLTStd-Roman" w:hAnsi="Book Antiqua" w:cstheme="minorHAnsi"/>
          <w:sz w:val="24"/>
          <w:szCs w:val="24"/>
          <w:lang w:val="en-GB"/>
        </w:rPr>
        <w:t xml:space="preserve"> a newer class of therapy </w:t>
      </w:r>
      <w:r w:rsidR="00B97503" w:rsidRPr="00CD4428">
        <w:rPr>
          <w:rFonts w:ascii="Book Antiqua" w:eastAsia="SabonLTStd-Roman" w:hAnsi="Book Antiqua" w:cstheme="minorHAnsi"/>
          <w:sz w:val="24"/>
          <w:szCs w:val="24"/>
          <w:lang w:val="en-GB"/>
        </w:rPr>
        <w:t xml:space="preserve">with a mechanism of action </w:t>
      </w:r>
      <w:r w:rsidR="0026071E" w:rsidRPr="00CD4428">
        <w:rPr>
          <w:rFonts w:ascii="Book Antiqua" w:eastAsia="SabonLTStd-Roman" w:hAnsi="Book Antiqua" w:cstheme="minorHAnsi"/>
          <w:sz w:val="24"/>
          <w:szCs w:val="24"/>
          <w:lang w:val="en-GB"/>
        </w:rPr>
        <w:t xml:space="preserve">that acts on different inflammatory pathways involved in IBD pathogenesis </w:t>
      </w:r>
      <w:r w:rsidR="001313D1" w:rsidRPr="00CD4428">
        <w:rPr>
          <w:rFonts w:ascii="Book Antiqua" w:eastAsia="SabonLTStd-Roman" w:hAnsi="Book Antiqua" w:cstheme="minorHAnsi"/>
          <w:sz w:val="24"/>
          <w:szCs w:val="24"/>
          <w:lang w:val="en-GB"/>
        </w:rPr>
        <w:t>is</w:t>
      </w:r>
      <w:r w:rsidR="00B97503" w:rsidRPr="00CD4428">
        <w:rPr>
          <w:rFonts w:ascii="Book Antiqua" w:eastAsia="SabonLTStd-Roman" w:hAnsi="Book Antiqua" w:cstheme="minorHAnsi"/>
          <w:sz w:val="24"/>
          <w:szCs w:val="24"/>
          <w:lang w:val="en-GB"/>
        </w:rPr>
        <w:t xml:space="preserve"> appealing. </w:t>
      </w:r>
      <w:proofErr w:type="spellStart"/>
      <w:r w:rsidR="00EC20CD" w:rsidRPr="00CD4428">
        <w:rPr>
          <w:rFonts w:ascii="Book Antiqua" w:eastAsia="SabonLTStd-Roman" w:hAnsi="Book Antiqua" w:cstheme="minorHAnsi"/>
          <w:sz w:val="24"/>
          <w:szCs w:val="24"/>
          <w:lang w:val="en-GB"/>
        </w:rPr>
        <w:t>Vedolizumab</w:t>
      </w:r>
      <w:proofErr w:type="spellEnd"/>
      <w:r w:rsidR="00EC20CD" w:rsidRPr="00CD4428">
        <w:rPr>
          <w:rFonts w:ascii="Book Antiqua" w:eastAsia="SabonLTStd-Roman" w:hAnsi="Book Antiqua" w:cstheme="minorHAnsi"/>
          <w:sz w:val="24"/>
          <w:szCs w:val="24"/>
          <w:lang w:val="en-GB"/>
        </w:rPr>
        <w:t xml:space="preserve"> is a</w:t>
      </w:r>
      <w:r w:rsidR="00B97503" w:rsidRPr="00CD4428">
        <w:rPr>
          <w:rFonts w:ascii="Book Antiqua" w:eastAsia="SabonLTStd-Roman" w:hAnsi="Book Antiqua" w:cstheme="minorHAnsi"/>
          <w:sz w:val="24"/>
          <w:szCs w:val="24"/>
          <w:lang w:val="en-GB"/>
        </w:rPr>
        <w:t xml:space="preserve"> fully humanised </w:t>
      </w:r>
      <w:r w:rsidR="00EC20CD" w:rsidRPr="00CD4428">
        <w:rPr>
          <w:rFonts w:ascii="Book Antiqua" w:eastAsia="SabonLTStd-Roman" w:hAnsi="Book Antiqua" w:cstheme="minorHAnsi"/>
          <w:sz w:val="24"/>
          <w:szCs w:val="24"/>
          <w:lang w:val="en-GB"/>
        </w:rPr>
        <w:t>monoclonal antibody that selectively targets α4β7 integrin</w:t>
      </w:r>
      <w:r w:rsidR="00B97503" w:rsidRPr="00CD4428">
        <w:rPr>
          <w:rFonts w:ascii="Book Antiqua" w:eastAsia="SabonLTStd-Roman" w:hAnsi="Book Antiqua" w:cstheme="minorHAnsi"/>
          <w:sz w:val="24"/>
          <w:szCs w:val="24"/>
          <w:lang w:val="en-GB"/>
        </w:rPr>
        <w:t xml:space="preserve">. Based on the results of the pivotal </w:t>
      </w:r>
      <w:r w:rsidR="00E27F16" w:rsidRPr="00CD4428">
        <w:rPr>
          <w:rFonts w:ascii="Book Antiqua" w:eastAsia="SabonLTStd-Roman" w:hAnsi="Book Antiqua" w:cstheme="minorHAnsi"/>
          <w:sz w:val="24"/>
          <w:szCs w:val="24"/>
          <w:lang w:val="en-GB"/>
        </w:rPr>
        <w:t>clinical</w:t>
      </w:r>
      <w:r w:rsidR="00936E0F">
        <w:rPr>
          <w:rFonts w:ascii="Book Antiqua" w:eastAsia="SabonLTStd-Roman" w:hAnsi="Book Antiqua" w:cstheme="minorHAnsi"/>
          <w:sz w:val="24"/>
          <w:szCs w:val="24"/>
          <w:lang w:val="en-GB"/>
        </w:rPr>
        <w:t xml:space="preserve"> </w:t>
      </w:r>
      <w:r w:rsidR="00B97503" w:rsidRPr="00CD4428">
        <w:rPr>
          <w:rFonts w:ascii="Book Antiqua" w:eastAsia="SabonLTStd-Roman" w:hAnsi="Book Antiqua" w:cstheme="minorHAnsi"/>
          <w:sz w:val="24"/>
          <w:szCs w:val="24"/>
          <w:lang w:val="en-GB"/>
        </w:rPr>
        <w:t>GEMINI</w:t>
      </w:r>
      <w:r w:rsidR="009F1770" w:rsidRPr="00CD4428">
        <w:rPr>
          <w:rFonts w:ascii="Book Antiqua" w:eastAsia="SabonLTStd-Roman" w:hAnsi="Book Antiqua" w:cstheme="minorHAnsi"/>
          <w:sz w:val="24"/>
          <w:szCs w:val="24"/>
          <w:lang w:val="en-GB"/>
        </w:rPr>
        <w:t xml:space="preserve"> trials</w:t>
      </w:r>
      <w:r w:rsidR="00B97503" w:rsidRPr="00CD4428">
        <w:rPr>
          <w:rFonts w:ascii="Book Antiqua" w:eastAsia="SabonLTStd-Roman" w:hAnsi="Book Antiqua" w:cstheme="minorHAnsi"/>
          <w:sz w:val="24"/>
          <w:szCs w:val="24"/>
          <w:lang w:val="en-GB"/>
        </w:rPr>
        <w:t xml:space="preserve">, </w:t>
      </w:r>
      <w:proofErr w:type="spellStart"/>
      <w:r w:rsidR="00B97503" w:rsidRPr="00CD4428">
        <w:rPr>
          <w:rFonts w:ascii="Book Antiqua" w:eastAsia="SabonLTStd-Roman" w:hAnsi="Book Antiqua" w:cstheme="minorHAnsi"/>
          <w:sz w:val="24"/>
          <w:szCs w:val="24"/>
          <w:lang w:val="en-GB"/>
        </w:rPr>
        <w:t>vedolizumab</w:t>
      </w:r>
      <w:proofErr w:type="spellEnd"/>
      <w:r w:rsidR="00B97503" w:rsidRPr="00CD4428">
        <w:rPr>
          <w:rFonts w:ascii="Book Antiqua" w:eastAsia="SabonLTStd-Roman" w:hAnsi="Book Antiqua" w:cstheme="minorHAnsi"/>
          <w:sz w:val="24"/>
          <w:szCs w:val="24"/>
          <w:lang w:val="en-GB"/>
        </w:rPr>
        <w:t xml:space="preserve"> </w:t>
      </w:r>
      <w:r w:rsidR="001313D1" w:rsidRPr="00CD4428">
        <w:rPr>
          <w:rFonts w:ascii="Book Antiqua" w:eastAsia="SabonLTStd-Roman" w:hAnsi="Book Antiqua" w:cstheme="minorHAnsi"/>
          <w:sz w:val="24"/>
          <w:szCs w:val="24"/>
          <w:lang w:val="en-GB"/>
        </w:rPr>
        <w:t>was</w:t>
      </w:r>
      <w:r w:rsidR="001172D3" w:rsidRPr="00CD4428">
        <w:rPr>
          <w:rFonts w:ascii="Book Antiqua" w:eastAsia="SabonLTStd-Roman" w:hAnsi="Book Antiqua" w:cstheme="minorHAnsi"/>
          <w:sz w:val="24"/>
          <w:szCs w:val="24"/>
          <w:lang w:val="en-GB"/>
        </w:rPr>
        <w:t xml:space="preserve"> approved for the treatment of </w:t>
      </w:r>
      <w:r w:rsidR="00597350" w:rsidRPr="00CD4428">
        <w:rPr>
          <w:rFonts w:ascii="Book Antiqua" w:eastAsia="SabonLTStd-Roman" w:hAnsi="Book Antiqua" w:cstheme="minorHAnsi"/>
          <w:sz w:val="24"/>
          <w:szCs w:val="24"/>
          <w:lang w:val="en-GB"/>
        </w:rPr>
        <w:t>adult patients with moderately to severe</w:t>
      </w:r>
      <w:r w:rsidR="00455D75" w:rsidRPr="00CD4428">
        <w:rPr>
          <w:rFonts w:ascii="Book Antiqua" w:eastAsia="SabonLTStd-Roman" w:hAnsi="Book Antiqua" w:cstheme="minorHAnsi"/>
          <w:sz w:val="24"/>
          <w:szCs w:val="24"/>
          <w:lang w:val="en-GB"/>
        </w:rPr>
        <w:t xml:space="preserve">ly active </w:t>
      </w:r>
      <w:r w:rsidR="00EC20CD" w:rsidRPr="00CD4428">
        <w:rPr>
          <w:rFonts w:ascii="Book Antiqua" w:eastAsia="SabonLTStd-Roman" w:hAnsi="Book Antiqua" w:cstheme="minorHAnsi"/>
          <w:sz w:val="24"/>
          <w:szCs w:val="24"/>
          <w:lang w:val="en-GB"/>
        </w:rPr>
        <w:t xml:space="preserve">ulcerative colitis </w:t>
      </w:r>
      <w:r w:rsidR="001172D3" w:rsidRPr="00CD4428">
        <w:rPr>
          <w:rFonts w:ascii="Book Antiqua" w:eastAsia="SabonLTStd-Roman" w:hAnsi="Book Antiqua" w:cstheme="minorHAnsi"/>
          <w:sz w:val="24"/>
          <w:szCs w:val="24"/>
          <w:lang w:val="en-GB"/>
        </w:rPr>
        <w:t xml:space="preserve">(UC) </w:t>
      </w:r>
      <w:r w:rsidR="00EC20CD" w:rsidRPr="00CD4428">
        <w:rPr>
          <w:rFonts w:ascii="Book Antiqua" w:eastAsia="SabonLTStd-Roman" w:hAnsi="Book Antiqua" w:cstheme="minorHAnsi"/>
          <w:sz w:val="24"/>
          <w:szCs w:val="24"/>
          <w:lang w:val="en-GB"/>
        </w:rPr>
        <w:t>and Crohn’s disease</w:t>
      </w:r>
      <w:r w:rsidR="001172D3" w:rsidRPr="00CD4428">
        <w:rPr>
          <w:rFonts w:ascii="Book Antiqua" w:eastAsia="SabonLTStd-Roman" w:hAnsi="Book Antiqua" w:cstheme="minorHAnsi"/>
          <w:sz w:val="24"/>
          <w:szCs w:val="24"/>
          <w:lang w:val="en-GB"/>
        </w:rPr>
        <w:t xml:space="preserve"> (CD)</w:t>
      </w:r>
      <w:r w:rsidR="00286EC1" w:rsidRPr="00CD4428">
        <w:rPr>
          <w:rFonts w:ascii="Book Antiqua" w:eastAsia="SabonLTStd-Roman" w:hAnsi="Book Antiqua" w:cstheme="minorHAnsi"/>
          <w:sz w:val="24"/>
          <w:szCs w:val="24"/>
          <w:lang w:val="en-GB"/>
        </w:rPr>
        <w:t xml:space="preserve"> </w:t>
      </w:r>
      <w:r w:rsidR="00C81EA3" w:rsidRPr="00CD4428">
        <w:rPr>
          <w:rFonts w:ascii="Book Antiqua" w:eastAsia="SabonLTStd-Roman" w:hAnsi="Book Antiqua" w:cstheme="minorHAnsi"/>
          <w:sz w:val="24"/>
          <w:szCs w:val="24"/>
          <w:lang w:val="en-GB"/>
        </w:rPr>
        <w:t xml:space="preserve">refractory or intolerant to </w:t>
      </w:r>
      <w:proofErr w:type="gramStart"/>
      <w:r w:rsidR="00C81EA3" w:rsidRPr="00CD4428">
        <w:rPr>
          <w:rFonts w:ascii="Book Antiqua" w:eastAsia="SabonLTStd-Roman" w:hAnsi="Book Antiqua" w:cstheme="minorHAnsi"/>
          <w:sz w:val="24"/>
          <w:szCs w:val="24"/>
          <w:lang w:val="en-GB"/>
        </w:rPr>
        <w:t>either conventional</w:t>
      </w:r>
      <w:proofErr w:type="gramEnd"/>
      <w:r w:rsidR="00C81EA3" w:rsidRPr="00CD4428">
        <w:rPr>
          <w:rFonts w:ascii="Book Antiqua" w:eastAsia="SabonLTStd-Roman" w:hAnsi="Book Antiqua" w:cstheme="minorHAnsi"/>
          <w:sz w:val="24"/>
          <w:szCs w:val="24"/>
          <w:lang w:val="en-GB"/>
        </w:rPr>
        <w:t xml:space="preserve"> therapy or TNF</w:t>
      </w:r>
      <w:r w:rsidR="00F2587F" w:rsidRPr="00CD4428">
        <w:rPr>
          <w:rFonts w:ascii="Book Antiqua" w:eastAsia="SabonLTStd-Roman" w:hAnsi="Book Antiqua" w:cstheme="minorHAnsi"/>
          <w:sz w:val="24"/>
          <w:szCs w:val="24"/>
          <w:lang w:val="en-GB"/>
        </w:rPr>
        <w:t>α</w:t>
      </w:r>
      <w:r w:rsidR="00C81EA3" w:rsidRPr="00CD4428">
        <w:rPr>
          <w:rFonts w:ascii="Book Antiqua" w:eastAsia="SabonLTStd-Roman" w:hAnsi="Book Antiqua" w:cstheme="minorHAnsi"/>
          <w:sz w:val="24"/>
          <w:szCs w:val="24"/>
          <w:lang w:val="en-GB"/>
        </w:rPr>
        <w:t xml:space="preserve"> inhibitor</w:t>
      </w:r>
      <w:r w:rsidR="00F2587F" w:rsidRPr="00CD4428">
        <w:rPr>
          <w:rFonts w:ascii="Book Antiqua" w:eastAsia="SabonLTStd-Roman" w:hAnsi="Book Antiqua" w:cstheme="minorHAnsi"/>
          <w:sz w:val="24"/>
          <w:szCs w:val="24"/>
          <w:lang w:val="en-GB"/>
        </w:rPr>
        <w:t>s</w:t>
      </w:r>
      <w:r w:rsidR="00EC20CD" w:rsidRPr="00CD4428">
        <w:rPr>
          <w:rFonts w:ascii="Book Antiqua" w:eastAsia="SabonLTStd-Roman" w:hAnsi="Book Antiqua" w:cstheme="minorHAnsi"/>
          <w:sz w:val="24"/>
          <w:szCs w:val="24"/>
          <w:lang w:val="en-GB"/>
        </w:rPr>
        <w:t>.</w:t>
      </w:r>
      <w:r w:rsidR="009E7A87" w:rsidRPr="00CD4428">
        <w:rPr>
          <w:rFonts w:ascii="Book Antiqua" w:eastAsia="SabonLTStd-Roman" w:hAnsi="Book Antiqua" w:cstheme="minorHAnsi"/>
          <w:sz w:val="24"/>
          <w:szCs w:val="24"/>
          <w:lang w:val="en-GB"/>
        </w:rPr>
        <w:t xml:space="preserve"> </w:t>
      </w:r>
      <w:r w:rsidR="000523B9" w:rsidRPr="00CD4428">
        <w:rPr>
          <w:rFonts w:ascii="Book Antiqua" w:eastAsia="SabonLTStd-Roman" w:hAnsi="Book Antiqua" w:cstheme="minorHAnsi"/>
          <w:sz w:val="24"/>
          <w:szCs w:val="24"/>
          <w:lang w:val="en-GB"/>
        </w:rPr>
        <w:t>Th</w:t>
      </w:r>
      <w:r w:rsidR="004E6E76" w:rsidRPr="00CD4428">
        <w:rPr>
          <w:rFonts w:ascii="Book Antiqua" w:eastAsia="SabonLTStd-Roman" w:hAnsi="Book Antiqua" w:cstheme="minorHAnsi"/>
          <w:sz w:val="24"/>
          <w:szCs w:val="24"/>
          <w:lang w:val="en-GB"/>
        </w:rPr>
        <w:t>is review describe</w:t>
      </w:r>
      <w:r w:rsidR="00FB299A" w:rsidRPr="00CD4428">
        <w:rPr>
          <w:rFonts w:ascii="Book Antiqua" w:eastAsia="SabonLTStd-Roman" w:hAnsi="Book Antiqua" w:cstheme="minorHAnsi"/>
          <w:sz w:val="24"/>
          <w:szCs w:val="24"/>
          <w:lang w:val="en-GB"/>
        </w:rPr>
        <w:t>s</w:t>
      </w:r>
      <w:r w:rsidR="004E6E76" w:rsidRPr="00CD4428">
        <w:rPr>
          <w:rFonts w:ascii="Book Antiqua" w:eastAsia="SabonLTStd-Roman" w:hAnsi="Book Antiqua" w:cstheme="minorHAnsi"/>
          <w:sz w:val="24"/>
          <w:szCs w:val="24"/>
          <w:lang w:val="en-GB"/>
        </w:rPr>
        <w:t xml:space="preserve"> the</w:t>
      </w:r>
      <w:r w:rsidR="000523B9" w:rsidRPr="00CD4428">
        <w:rPr>
          <w:rFonts w:ascii="Book Antiqua" w:eastAsia="SabonLTStd-Roman" w:hAnsi="Book Antiqua" w:cstheme="minorHAnsi"/>
          <w:sz w:val="24"/>
          <w:szCs w:val="24"/>
          <w:lang w:val="en-GB"/>
        </w:rPr>
        <w:t xml:space="preserve"> efficacy, safety</w:t>
      </w:r>
      <w:r w:rsidR="001313D1" w:rsidRPr="00CD4428">
        <w:rPr>
          <w:rFonts w:ascii="Book Antiqua" w:eastAsia="SabonLTStd-Roman" w:hAnsi="Book Antiqua" w:cstheme="minorHAnsi"/>
          <w:sz w:val="24"/>
          <w:szCs w:val="24"/>
          <w:lang w:val="en-GB"/>
        </w:rPr>
        <w:t>,</w:t>
      </w:r>
      <w:r w:rsidR="000523B9" w:rsidRPr="00CD4428">
        <w:rPr>
          <w:rFonts w:ascii="Book Antiqua" w:eastAsia="SabonLTStd-Roman" w:hAnsi="Book Antiqua" w:cstheme="minorHAnsi"/>
          <w:sz w:val="24"/>
          <w:szCs w:val="24"/>
          <w:lang w:val="en-GB"/>
        </w:rPr>
        <w:t xml:space="preserve"> and tolerability of </w:t>
      </w:r>
      <w:proofErr w:type="spellStart"/>
      <w:r w:rsidR="000523B9" w:rsidRPr="00CD4428">
        <w:rPr>
          <w:rFonts w:ascii="Book Antiqua" w:eastAsia="SabonLTStd-Roman" w:hAnsi="Book Antiqua" w:cstheme="minorHAnsi"/>
          <w:sz w:val="24"/>
          <w:szCs w:val="24"/>
          <w:lang w:val="en-GB"/>
        </w:rPr>
        <w:t>vedolizumab</w:t>
      </w:r>
      <w:proofErr w:type="spellEnd"/>
      <w:r w:rsidR="000523B9" w:rsidRPr="00CD4428">
        <w:rPr>
          <w:rFonts w:ascii="Book Antiqua" w:eastAsia="SabonLTStd-Roman" w:hAnsi="Book Antiqua" w:cstheme="minorHAnsi"/>
          <w:sz w:val="24"/>
          <w:szCs w:val="24"/>
          <w:lang w:val="en-GB"/>
        </w:rPr>
        <w:t xml:space="preserve"> reported </w:t>
      </w:r>
      <w:r w:rsidR="001313D1" w:rsidRPr="00CD4428">
        <w:rPr>
          <w:rFonts w:ascii="Book Antiqua" w:eastAsia="SabonLTStd-Roman" w:hAnsi="Book Antiqua" w:cstheme="minorHAnsi"/>
          <w:sz w:val="24"/>
          <w:szCs w:val="24"/>
          <w:lang w:val="en-GB"/>
        </w:rPr>
        <w:t xml:space="preserve">in </w:t>
      </w:r>
      <w:r w:rsidR="009F1770" w:rsidRPr="00CD4428">
        <w:rPr>
          <w:rFonts w:ascii="Book Antiqua" w:eastAsia="SabonLTStd-Roman" w:hAnsi="Book Antiqua" w:cstheme="minorHAnsi"/>
          <w:sz w:val="24"/>
          <w:szCs w:val="24"/>
          <w:lang w:val="en-GB"/>
        </w:rPr>
        <w:t xml:space="preserve">both </w:t>
      </w:r>
      <w:r w:rsidR="000523B9" w:rsidRPr="00CD4428">
        <w:rPr>
          <w:rFonts w:ascii="Book Antiqua" w:eastAsia="SabonLTStd-Roman" w:hAnsi="Book Antiqua" w:cstheme="minorHAnsi"/>
          <w:sz w:val="24"/>
          <w:szCs w:val="24"/>
          <w:lang w:val="en-GB"/>
        </w:rPr>
        <w:t>randomized</w:t>
      </w:r>
      <w:r w:rsidR="001313D1" w:rsidRPr="00CD4428">
        <w:rPr>
          <w:rFonts w:ascii="Book Antiqua" w:eastAsia="SabonLTStd-Roman" w:hAnsi="Book Antiqua" w:cstheme="minorHAnsi"/>
          <w:sz w:val="24"/>
          <w:szCs w:val="24"/>
          <w:lang w:val="en-GB"/>
        </w:rPr>
        <w:t>,</w:t>
      </w:r>
      <w:r w:rsidR="000523B9" w:rsidRPr="00CD4428">
        <w:rPr>
          <w:rFonts w:ascii="Book Antiqua" w:eastAsia="SabonLTStd-Roman" w:hAnsi="Book Antiqua" w:cstheme="minorHAnsi"/>
          <w:sz w:val="24"/>
          <w:szCs w:val="24"/>
          <w:lang w:val="en-GB"/>
        </w:rPr>
        <w:t xml:space="preserve"> controlled</w:t>
      </w:r>
      <w:r w:rsidR="001313D1" w:rsidRPr="00CD4428">
        <w:rPr>
          <w:rFonts w:ascii="Book Antiqua" w:eastAsia="SabonLTStd-Roman" w:hAnsi="Book Antiqua" w:cstheme="minorHAnsi"/>
          <w:sz w:val="24"/>
          <w:szCs w:val="24"/>
          <w:lang w:val="en-GB"/>
        </w:rPr>
        <w:t>,</w:t>
      </w:r>
      <w:r w:rsidR="000523B9" w:rsidRPr="00CD4428">
        <w:rPr>
          <w:rFonts w:ascii="Book Antiqua" w:eastAsia="SabonLTStd-Roman" w:hAnsi="Book Antiqua" w:cstheme="minorHAnsi"/>
          <w:sz w:val="24"/>
          <w:szCs w:val="24"/>
          <w:lang w:val="en-GB"/>
        </w:rPr>
        <w:t xml:space="preserve"> clinical trials and </w:t>
      </w:r>
      <w:r w:rsidR="001313D1" w:rsidRPr="00CD4428">
        <w:rPr>
          <w:rFonts w:ascii="Book Antiqua" w:eastAsia="SabonLTStd-Roman" w:hAnsi="Book Antiqua" w:cstheme="minorHAnsi"/>
          <w:sz w:val="24"/>
          <w:szCs w:val="24"/>
          <w:lang w:val="en-GB"/>
        </w:rPr>
        <w:t xml:space="preserve">from </w:t>
      </w:r>
      <w:r w:rsidR="000523B9" w:rsidRPr="00CD4428">
        <w:rPr>
          <w:rFonts w:ascii="Book Antiqua" w:eastAsia="SabonLTStd-Roman" w:hAnsi="Book Antiqua" w:cstheme="minorHAnsi"/>
          <w:sz w:val="24"/>
          <w:szCs w:val="24"/>
          <w:lang w:val="en-GB"/>
        </w:rPr>
        <w:t xml:space="preserve">real-world </w:t>
      </w:r>
      <w:r w:rsidR="000D1C7B" w:rsidRPr="00CD4428">
        <w:rPr>
          <w:rFonts w:ascii="Book Antiqua" w:eastAsia="SabonLTStd-Roman" w:hAnsi="Book Antiqua" w:cstheme="minorHAnsi"/>
          <w:sz w:val="24"/>
          <w:szCs w:val="24"/>
          <w:lang w:val="en-GB"/>
        </w:rPr>
        <w:t>experience</w:t>
      </w:r>
      <w:r w:rsidR="000523B9" w:rsidRPr="00CD4428">
        <w:rPr>
          <w:rFonts w:ascii="Book Antiqua" w:eastAsia="SabonLTStd-Roman" w:hAnsi="Book Antiqua" w:cstheme="minorHAnsi"/>
          <w:sz w:val="24"/>
          <w:szCs w:val="24"/>
          <w:lang w:val="en-GB"/>
        </w:rPr>
        <w:t xml:space="preserve"> in </w:t>
      </w:r>
      <w:r w:rsidR="001313D1" w:rsidRPr="00CD4428">
        <w:rPr>
          <w:rFonts w:ascii="Book Antiqua" w:eastAsia="SabonLTStd-Roman" w:hAnsi="Book Antiqua" w:cstheme="minorHAnsi"/>
          <w:sz w:val="24"/>
          <w:szCs w:val="24"/>
          <w:lang w:val="en-GB"/>
        </w:rPr>
        <w:t xml:space="preserve">patients with </w:t>
      </w:r>
      <w:r w:rsidR="004A3514" w:rsidRPr="00CD4428">
        <w:rPr>
          <w:rFonts w:ascii="Book Antiqua" w:eastAsia="SabonLTStd-Roman" w:hAnsi="Book Antiqua" w:cstheme="minorHAnsi"/>
          <w:sz w:val="24"/>
          <w:szCs w:val="24"/>
          <w:lang w:val="en-GB"/>
        </w:rPr>
        <w:t>UC and CD in order to identify its place in treatment algorithms for IBD</w:t>
      </w:r>
      <w:r w:rsidR="000523B9" w:rsidRPr="00CD4428">
        <w:rPr>
          <w:rFonts w:ascii="Book Antiqua" w:eastAsia="SabonLTStd-Roman" w:hAnsi="Book Antiqua" w:cstheme="minorHAnsi"/>
          <w:sz w:val="24"/>
          <w:szCs w:val="24"/>
          <w:lang w:val="en-GB"/>
        </w:rPr>
        <w:t>.</w:t>
      </w:r>
      <w:r w:rsidR="00936E0F">
        <w:rPr>
          <w:rFonts w:ascii="Book Antiqua" w:eastAsia="SabonLTStd-Roman" w:hAnsi="Book Antiqua" w:cstheme="minorHAnsi"/>
          <w:sz w:val="24"/>
          <w:szCs w:val="24"/>
          <w:lang w:val="en-GB"/>
        </w:rPr>
        <w:t xml:space="preserve"> </w:t>
      </w:r>
    </w:p>
    <w:p w14:paraId="1CBBD88D" w14:textId="77777777" w:rsidR="00786830" w:rsidRPr="00CD4428" w:rsidRDefault="00786830" w:rsidP="00E17439">
      <w:pPr>
        <w:autoSpaceDE w:val="0"/>
        <w:autoSpaceDN w:val="0"/>
        <w:adjustRightInd w:val="0"/>
        <w:snapToGrid w:val="0"/>
        <w:spacing w:after="0" w:line="360" w:lineRule="auto"/>
        <w:jc w:val="both"/>
        <w:rPr>
          <w:rFonts w:ascii="Book Antiqua" w:eastAsia="SabonLTStd-Roman" w:hAnsi="Book Antiqua" w:cstheme="minorHAnsi"/>
          <w:sz w:val="24"/>
          <w:szCs w:val="24"/>
          <w:lang w:val="en-GB"/>
        </w:rPr>
      </w:pPr>
    </w:p>
    <w:p w14:paraId="6D6F5C48" w14:textId="56C7690F" w:rsidR="00EC20CD" w:rsidRPr="00CD4428" w:rsidRDefault="00786830" w:rsidP="00E17439">
      <w:pPr>
        <w:autoSpaceDE w:val="0"/>
        <w:autoSpaceDN w:val="0"/>
        <w:adjustRightInd w:val="0"/>
        <w:snapToGrid w:val="0"/>
        <w:spacing w:after="0" w:line="360" w:lineRule="auto"/>
        <w:jc w:val="both"/>
        <w:rPr>
          <w:rFonts w:ascii="Book Antiqua" w:eastAsia="SabonLTStd-Roman" w:hAnsi="Book Antiqua" w:cstheme="minorHAnsi"/>
          <w:b/>
          <w:sz w:val="24"/>
          <w:szCs w:val="24"/>
          <w:lang w:val="en-GB"/>
        </w:rPr>
      </w:pPr>
      <w:r w:rsidRPr="00936E0F">
        <w:rPr>
          <w:rFonts w:ascii="Book Antiqua" w:eastAsia="SabonLTStd-Roman" w:hAnsi="Book Antiqua" w:cstheme="minorHAnsi"/>
          <w:b/>
          <w:sz w:val="24"/>
          <w:szCs w:val="24"/>
          <w:lang w:val="en-GB"/>
        </w:rPr>
        <w:t xml:space="preserve">Key words: </w:t>
      </w:r>
      <w:proofErr w:type="spellStart"/>
      <w:r w:rsidR="00CE2088" w:rsidRPr="00CD4428">
        <w:rPr>
          <w:rFonts w:ascii="Book Antiqua" w:eastAsia="SabonLTStd-Roman" w:hAnsi="Book Antiqua" w:cstheme="minorHAnsi"/>
          <w:sz w:val="24"/>
          <w:szCs w:val="24"/>
          <w:lang w:val="en-GB"/>
        </w:rPr>
        <w:t>V</w:t>
      </w:r>
      <w:r w:rsidRPr="00CD4428">
        <w:rPr>
          <w:rFonts w:ascii="Book Antiqua" w:eastAsia="SabonLTStd-Roman" w:hAnsi="Book Antiqua" w:cstheme="minorHAnsi"/>
          <w:sz w:val="24"/>
          <w:szCs w:val="24"/>
          <w:lang w:val="en-GB"/>
        </w:rPr>
        <w:t>edolizumab</w:t>
      </w:r>
      <w:proofErr w:type="spellEnd"/>
      <w:r w:rsidR="00CE2088" w:rsidRPr="00CD4428">
        <w:rPr>
          <w:rFonts w:ascii="Book Antiqua" w:eastAsia="SabonLTStd-Roman" w:hAnsi="Book Antiqua" w:cstheme="minorHAnsi"/>
          <w:sz w:val="24"/>
          <w:szCs w:val="24"/>
          <w:lang w:val="en-GB"/>
        </w:rPr>
        <w:t>;</w:t>
      </w:r>
      <w:r w:rsidR="00312D3D" w:rsidRPr="00CD4428">
        <w:rPr>
          <w:rFonts w:ascii="Book Antiqua" w:eastAsia="SabonLTStd-Roman" w:hAnsi="Book Antiqua" w:cstheme="minorHAnsi"/>
          <w:sz w:val="24"/>
          <w:szCs w:val="24"/>
          <w:lang w:val="en-GB"/>
        </w:rPr>
        <w:t xml:space="preserve"> Crohn’s disease</w:t>
      </w:r>
      <w:r w:rsidR="00CE2088" w:rsidRPr="00CD4428">
        <w:rPr>
          <w:rFonts w:ascii="Book Antiqua" w:eastAsia="SabonLTStd-Roman" w:hAnsi="Book Antiqua" w:cstheme="minorHAnsi"/>
          <w:sz w:val="24"/>
          <w:szCs w:val="24"/>
          <w:lang w:val="en-GB"/>
        </w:rPr>
        <w:t>;</w:t>
      </w:r>
      <w:r w:rsidR="00312D3D" w:rsidRPr="00CD4428">
        <w:rPr>
          <w:rFonts w:ascii="Book Antiqua" w:eastAsia="SabonLTStd-Roman" w:hAnsi="Book Antiqua" w:cstheme="minorHAnsi"/>
          <w:sz w:val="24"/>
          <w:szCs w:val="24"/>
          <w:lang w:val="en-GB"/>
        </w:rPr>
        <w:t xml:space="preserve"> </w:t>
      </w:r>
      <w:r w:rsidR="00CE2088" w:rsidRPr="00CD4428">
        <w:rPr>
          <w:rFonts w:ascii="Book Antiqua" w:eastAsia="SabonLTStd-Roman" w:hAnsi="Book Antiqua" w:cstheme="minorHAnsi"/>
          <w:sz w:val="24"/>
          <w:szCs w:val="24"/>
          <w:lang w:val="en-GB"/>
        </w:rPr>
        <w:t>U</w:t>
      </w:r>
      <w:r w:rsidR="00312D3D" w:rsidRPr="00CD4428">
        <w:rPr>
          <w:rFonts w:ascii="Book Antiqua" w:eastAsia="SabonLTStd-Roman" w:hAnsi="Book Antiqua" w:cstheme="minorHAnsi"/>
          <w:sz w:val="24"/>
          <w:szCs w:val="24"/>
          <w:lang w:val="en-GB"/>
        </w:rPr>
        <w:t>lcerative colitis</w:t>
      </w:r>
      <w:r w:rsidR="00CE2088" w:rsidRPr="00CD4428">
        <w:rPr>
          <w:rFonts w:ascii="Book Antiqua" w:eastAsia="SabonLTStd-Roman" w:hAnsi="Book Antiqua" w:cstheme="minorHAnsi"/>
          <w:sz w:val="24"/>
          <w:szCs w:val="24"/>
          <w:lang w:val="en-GB"/>
        </w:rPr>
        <w:t>;</w:t>
      </w:r>
      <w:r w:rsidR="00312D3D" w:rsidRPr="00CD4428">
        <w:rPr>
          <w:rFonts w:ascii="Book Antiqua" w:eastAsia="SabonLTStd-Roman" w:hAnsi="Book Antiqua" w:cstheme="minorHAnsi"/>
          <w:sz w:val="24"/>
          <w:szCs w:val="24"/>
          <w:lang w:val="en-GB"/>
        </w:rPr>
        <w:t xml:space="preserve"> </w:t>
      </w:r>
      <w:r w:rsidR="00CE2088" w:rsidRPr="00CD4428">
        <w:rPr>
          <w:rFonts w:ascii="Book Antiqua" w:eastAsia="SabonLTStd-Roman" w:hAnsi="Book Antiqua" w:cstheme="minorHAnsi"/>
          <w:sz w:val="24"/>
          <w:szCs w:val="24"/>
          <w:lang w:val="en-GB"/>
        </w:rPr>
        <w:t>C</w:t>
      </w:r>
      <w:r w:rsidR="00F057EA" w:rsidRPr="00CD4428">
        <w:rPr>
          <w:rFonts w:ascii="Book Antiqua" w:eastAsia="SabonLTStd-Roman" w:hAnsi="Book Antiqua" w:cstheme="minorHAnsi"/>
          <w:sz w:val="24"/>
          <w:szCs w:val="24"/>
          <w:lang w:val="en-GB"/>
        </w:rPr>
        <w:t>ontrolled trial</w:t>
      </w:r>
      <w:r w:rsidR="00CE2088" w:rsidRPr="00CD4428">
        <w:rPr>
          <w:rFonts w:ascii="Book Antiqua" w:eastAsia="SabonLTStd-Roman" w:hAnsi="Book Antiqua" w:cstheme="minorHAnsi"/>
          <w:sz w:val="24"/>
          <w:szCs w:val="24"/>
          <w:lang w:val="en-GB"/>
        </w:rPr>
        <w:t>;</w:t>
      </w:r>
      <w:r w:rsidR="00F057EA" w:rsidRPr="00CD4428">
        <w:rPr>
          <w:rFonts w:ascii="Book Antiqua" w:eastAsia="SabonLTStd-Roman" w:hAnsi="Book Antiqua" w:cstheme="minorHAnsi"/>
          <w:sz w:val="24"/>
          <w:szCs w:val="24"/>
          <w:lang w:val="en-GB"/>
        </w:rPr>
        <w:t xml:space="preserve"> </w:t>
      </w:r>
      <w:r w:rsidR="00CE2088" w:rsidRPr="00CD4428">
        <w:rPr>
          <w:rFonts w:ascii="Book Antiqua" w:eastAsia="SabonLTStd-Roman" w:hAnsi="Book Antiqua" w:cstheme="minorHAnsi"/>
          <w:sz w:val="24"/>
          <w:szCs w:val="24"/>
          <w:lang w:val="en-GB"/>
        </w:rPr>
        <w:t>R</w:t>
      </w:r>
      <w:r w:rsidR="00F057EA" w:rsidRPr="00CD4428">
        <w:rPr>
          <w:rFonts w:ascii="Book Antiqua" w:eastAsia="SabonLTStd-Roman" w:hAnsi="Book Antiqua" w:cstheme="minorHAnsi"/>
          <w:sz w:val="24"/>
          <w:szCs w:val="24"/>
          <w:lang w:val="en-GB"/>
        </w:rPr>
        <w:t>eal-world</w:t>
      </w:r>
      <w:r w:rsidR="00CE2088" w:rsidRPr="00CD4428">
        <w:rPr>
          <w:rFonts w:ascii="Book Antiqua" w:eastAsia="SabonLTStd-Roman" w:hAnsi="Book Antiqua" w:cstheme="minorHAnsi"/>
          <w:sz w:val="24"/>
          <w:szCs w:val="24"/>
          <w:lang w:val="en-GB"/>
        </w:rPr>
        <w:t>;</w:t>
      </w:r>
      <w:r w:rsidR="00F057EA" w:rsidRPr="00CD4428">
        <w:rPr>
          <w:rFonts w:ascii="Book Antiqua" w:eastAsia="SabonLTStd-Roman" w:hAnsi="Book Antiqua" w:cstheme="minorHAnsi"/>
          <w:sz w:val="24"/>
          <w:szCs w:val="24"/>
          <w:lang w:val="en-GB"/>
        </w:rPr>
        <w:t xml:space="preserve"> </w:t>
      </w:r>
      <w:r w:rsidR="00CE2088" w:rsidRPr="00CD4428">
        <w:rPr>
          <w:rFonts w:ascii="Book Antiqua" w:eastAsia="SabonLTStd-Roman" w:hAnsi="Book Antiqua" w:cstheme="minorHAnsi"/>
          <w:sz w:val="24"/>
          <w:szCs w:val="24"/>
          <w:lang w:val="en-GB"/>
        </w:rPr>
        <w:t>E</w:t>
      </w:r>
      <w:r w:rsidR="00312D3D" w:rsidRPr="00CD4428">
        <w:rPr>
          <w:rFonts w:ascii="Book Antiqua" w:eastAsia="SabonLTStd-Roman" w:hAnsi="Book Antiqua" w:cstheme="minorHAnsi"/>
          <w:sz w:val="24"/>
          <w:szCs w:val="24"/>
          <w:lang w:val="en-GB"/>
        </w:rPr>
        <w:t>fficacy</w:t>
      </w:r>
      <w:r w:rsidR="00CE2088" w:rsidRPr="00CD4428">
        <w:rPr>
          <w:rFonts w:ascii="Book Antiqua" w:eastAsia="SabonLTStd-Roman" w:hAnsi="Book Antiqua" w:cstheme="minorHAnsi"/>
          <w:sz w:val="24"/>
          <w:szCs w:val="24"/>
          <w:lang w:val="en-GB"/>
        </w:rPr>
        <w:t>;</w:t>
      </w:r>
      <w:r w:rsidR="00312D3D" w:rsidRPr="00CD4428">
        <w:rPr>
          <w:rFonts w:ascii="Book Antiqua" w:eastAsia="SabonLTStd-Roman" w:hAnsi="Book Antiqua" w:cstheme="minorHAnsi"/>
          <w:sz w:val="24"/>
          <w:szCs w:val="24"/>
          <w:lang w:val="en-GB"/>
        </w:rPr>
        <w:t xml:space="preserve"> </w:t>
      </w:r>
      <w:r w:rsidR="00CE2088" w:rsidRPr="00CD4428">
        <w:rPr>
          <w:rFonts w:ascii="Book Antiqua" w:eastAsia="SabonLTStd-Roman" w:hAnsi="Book Antiqua" w:cstheme="minorHAnsi"/>
          <w:sz w:val="24"/>
          <w:szCs w:val="24"/>
          <w:lang w:val="en-GB"/>
        </w:rPr>
        <w:t>E</w:t>
      </w:r>
      <w:r w:rsidR="00312D3D" w:rsidRPr="00CD4428">
        <w:rPr>
          <w:rFonts w:ascii="Book Antiqua" w:eastAsia="SabonLTStd-Roman" w:hAnsi="Book Antiqua" w:cstheme="minorHAnsi"/>
          <w:sz w:val="24"/>
          <w:szCs w:val="24"/>
          <w:lang w:val="en-GB"/>
        </w:rPr>
        <w:t>ffectiveness</w:t>
      </w:r>
      <w:r w:rsidR="00CE2088" w:rsidRPr="00CD4428">
        <w:rPr>
          <w:rFonts w:ascii="Book Antiqua" w:eastAsia="SabonLTStd-Roman" w:hAnsi="Book Antiqua" w:cstheme="minorHAnsi"/>
          <w:sz w:val="24"/>
          <w:szCs w:val="24"/>
          <w:lang w:val="en-GB"/>
        </w:rPr>
        <w:t>;</w:t>
      </w:r>
      <w:r w:rsidR="00312D3D" w:rsidRPr="00CD4428">
        <w:rPr>
          <w:rFonts w:ascii="Book Antiqua" w:eastAsia="SabonLTStd-Roman" w:hAnsi="Book Antiqua" w:cstheme="minorHAnsi"/>
          <w:sz w:val="24"/>
          <w:szCs w:val="24"/>
          <w:lang w:val="en-GB"/>
        </w:rPr>
        <w:t xml:space="preserve"> </w:t>
      </w:r>
      <w:r w:rsidR="00CE2088" w:rsidRPr="00CD4428">
        <w:rPr>
          <w:rFonts w:ascii="Book Antiqua" w:eastAsia="SabonLTStd-Roman" w:hAnsi="Book Antiqua" w:cstheme="minorHAnsi"/>
          <w:sz w:val="24"/>
          <w:szCs w:val="24"/>
          <w:lang w:val="en-GB"/>
        </w:rPr>
        <w:t>S</w:t>
      </w:r>
      <w:r w:rsidR="00312D3D" w:rsidRPr="00CD4428">
        <w:rPr>
          <w:rFonts w:ascii="Book Antiqua" w:eastAsia="SabonLTStd-Roman" w:hAnsi="Book Antiqua" w:cstheme="minorHAnsi"/>
          <w:sz w:val="24"/>
          <w:szCs w:val="24"/>
          <w:lang w:val="en-GB"/>
        </w:rPr>
        <w:t>afety</w:t>
      </w:r>
    </w:p>
    <w:p w14:paraId="643425CC" w14:textId="77777777" w:rsidR="00EC20CD" w:rsidRPr="00CD4428" w:rsidRDefault="00EC20CD" w:rsidP="00E17439">
      <w:pPr>
        <w:autoSpaceDE w:val="0"/>
        <w:autoSpaceDN w:val="0"/>
        <w:adjustRightInd w:val="0"/>
        <w:snapToGrid w:val="0"/>
        <w:spacing w:after="0" w:line="360" w:lineRule="auto"/>
        <w:jc w:val="both"/>
        <w:rPr>
          <w:rFonts w:ascii="Book Antiqua" w:eastAsia="SabonLTStd-Roman" w:hAnsi="Book Antiqua" w:cstheme="minorHAnsi"/>
          <w:b/>
          <w:sz w:val="24"/>
          <w:szCs w:val="24"/>
          <w:lang w:val="en-GB"/>
        </w:rPr>
      </w:pPr>
    </w:p>
    <w:p w14:paraId="27EC14AE" w14:textId="77777777" w:rsidR="00CD4428" w:rsidRPr="00CD4428" w:rsidRDefault="00CD4428" w:rsidP="00CD4428">
      <w:pPr>
        <w:adjustRightInd w:val="0"/>
        <w:snapToGrid w:val="0"/>
        <w:spacing w:after="0" w:line="360" w:lineRule="auto"/>
        <w:jc w:val="both"/>
        <w:rPr>
          <w:rFonts w:ascii="Book Antiqua" w:eastAsia="SimSun" w:hAnsi="Book Antiqua" w:cs="SimSun"/>
          <w:sz w:val="24"/>
          <w:szCs w:val="24"/>
          <w:lang w:val="en-US" w:eastAsia="zh-CN"/>
        </w:rPr>
      </w:pPr>
      <w:bookmarkStart w:id="19" w:name="OLE_LINK363"/>
      <w:bookmarkStart w:id="20" w:name="OLE_LINK364"/>
      <w:bookmarkStart w:id="21" w:name="OLE_LINK359"/>
      <w:bookmarkStart w:id="22" w:name="OLE_LINK1037"/>
      <w:bookmarkStart w:id="23" w:name="OLE_LINK1195"/>
      <w:bookmarkStart w:id="24" w:name="OLE_LINK1140"/>
      <w:bookmarkStart w:id="25" w:name="OLE_LINK1062"/>
      <w:bookmarkStart w:id="26" w:name="OLE_LINK500"/>
      <w:bookmarkStart w:id="27" w:name="OLE_LINK916"/>
      <w:bookmarkStart w:id="28" w:name="OLE_LINK956"/>
      <w:bookmarkStart w:id="29" w:name="OLE_LINK994"/>
      <w:r w:rsidRPr="00CD4428">
        <w:rPr>
          <w:rFonts w:ascii="Book Antiqua" w:eastAsia="SimSun" w:hAnsi="Book Antiqua" w:cs="SimSun" w:hint="eastAsia"/>
          <w:b/>
          <w:sz w:val="24"/>
          <w:szCs w:val="24"/>
          <w:lang w:val="en-US" w:eastAsia="zh-CN"/>
        </w:rPr>
        <w:t>©</w:t>
      </w:r>
      <w:r w:rsidRPr="00CD4428">
        <w:rPr>
          <w:rFonts w:ascii="Book Antiqua" w:eastAsia="SimSun" w:hAnsi="Book Antiqua" w:cs="SimSun"/>
          <w:b/>
          <w:sz w:val="24"/>
          <w:szCs w:val="24"/>
          <w:lang w:val="en-US" w:eastAsia="zh-CN"/>
        </w:rPr>
        <w:t xml:space="preserve"> The Author(s) 201</w:t>
      </w:r>
      <w:r w:rsidRPr="00CD4428">
        <w:rPr>
          <w:rFonts w:ascii="Book Antiqua" w:eastAsia="SimSun" w:hAnsi="Book Antiqua" w:cs="SimSun" w:hint="eastAsia"/>
          <w:b/>
          <w:sz w:val="24"/>
          <w:szCs w:val="24"/>
          <w:lang w:val="en-US" w:eastAsia="zh-CN"/>
        </w:rPr>
        <w:t>8</w:t>
      </w:r>
      <w:r w:rsidRPr="00CD4428">
        <w:rPr>
          <w:rFonts w:ascii="Book Antiqua" w:eastAsia="SimSun" w:hAnsi="Book Antiqua" w:cs="SimSun"/>
          <w:b/>
          <w:sz w:val="24"/>
          <w:szCs w:val="24"/>
          <w:lang w:val="en-US" w:eastAsia="zh-CN"/>
        </w:rPr>
        <w:t>.</w:t>
      </w:r>
      <w:r w:rsidRPr="00CD4428">
        <w:rPr>
          <w:rFonts w:ascii="Book Antiqua" w:eastAsia="SimSun" w:hAnsi="Book Antiqua" w:cs="SimSun"/>
          <w:sz w:val="24"/>
          <w:szCs w:val="24"/>
          <w:lang w:val="en-US" w:eastAsia="zh-CN"/>
        </w:rPr>
        <w:t xml:space="preserve"> Published by </w:t>
      </w:r>
      <w:proofErr w:type="spellStart"/>
      <w:r w:rsidRPr="00CD4428">
        <w:rPr>
          <w:rFonts w:ascii="Book Antiqua" w:eastAsia="SimSun" w:hAnsi="Book Antiqua" w:cs="SimSun"/>
          <w:sz w:val="24"/>
          <w:szCs w:val="24"/>
          <w:lang w:val="en-US" w:eastAsia="zh-CN"/>
        </w:rPr>
        <w:t>Baishideng</w:t>
      </w:r>
      <w:proofErr w:type="spellEnd"/>
      <w:r w:rsidRPr="00CD4428">
        <w:rPr>
          <w:rFonts w:ascii="Book Antiqua" w:eastAsia="SimSun" w:hAnsi="Book Antiqua" w:cs="SimSun"/>
          <w:sz w:val="24"/>
          <w:szCs w:val="24"/>
          <w:lang w:val="en-US" w:eastAsia="zh-CN"/>
        </w:rPr>
        <w:t xml:space="preserve"> Publishing Group Inc. All rights reserved.</w:t>
      </w:r>
    </w:p>
    <w:bookmarkEnd w:id="19"/>
    <w:bookmarkEnd w:id="20"/>
    <w:bookmarkEnd w:id="21"/>
    <w:bookmarkEnd w:id="22"/>
    <w:bookmarkEnd w:id="23"/>
    <w:bookmarkEnd w:id="24"/>
    <w:bookmarkEnd w:id="25"/>
    <w:bookmarkEnd w:id="26"/>
    <w:bookmarkEnd w:id="27"/>
    <w:bookmarkEnd w:id="28"/>
    <w:bookmarkEnd w:id="29"/>
    <w:p w14:paraId="3CACF872" w14:textId="77777777" w:rsidR="00F921F4" w:rsidRPr="00CD4428" w:rsidRDefault="00F921F4" w:rsidP="00E17439">
      <w:pPr>
        <w:autoSpaceDE w:val="0"/>
        <w:autoSpaceDN w:val="0"/>
        <w:adjustRightInd w:val="0"/>
        <w:snapToGrid w:val="0"/>
        <w:spacing w:after="0" w:line="360" w:lineRule="auto"/>
        <w:jc w:val="both"/>
        <w:rPr>
          <w:rFonts w:ascii="Book Antiqua" w:eastAsia="SabonLTStd-Roman" w:hAnsi="Book Antiqua" w:cstheme="minorHAnsi"/>
          <w:b/>
          <w:sz w:val="24"/>
          <w:szCs w:val="24"/>
          <w:lang w:val="en-GB"/>
        </w:rPr>
      </w:pPr>
    </w:p>
    <w:p w14:paraId="3F34551D" w14:textId="72941CA8" w:rsidR="00412C36" w:rsidRPr="00CD4428" w:rsidRDefault="00F921F4" w:rsidP="00E17439">
      <w:pPr>
        <w:snapToGrid w:val="0"/>
        <w:spacing w:after="0" w:line="360" w:lineRule="auto"/>
        <w:jc w:val="both"/>
        <w:rPr>
          <w:rFonts w:ascii="Book Antiqua" w:hAnsi="Book Antiqua" w:cstheme="minorHAnsi"/>
          <w:sz w:val="24"/>
          <w:szCs w:val="24"/>
          <w:lang w:val="en-GB" w:eastAsia="zh-CN"/>
        </w:rPr>
      </w:pPr>
      <w:r w:rsidRPr="00CD4428">
        <w:rPr>
          <w:rFonts w:ascii="Book Antiqua" w:eastAsia="SabonLTStd-Roman" w:hAnsi="Book Antiqua" w:cstheme="minorHAnsi"/>
          <w:b/>
          <w:sz w:val="24"/>
          <w:szCs w:val="24"/>
          <w:lang w:val="en-GB"/>
        </w:rPr>
        <w:t xml:space="preserve">Core tip: </w:t>
      </w:r>
      <w:proofErr w:type="spellStart"/>
      <w:r w:rsidRPr="00CD4428">
        <w:rPr>
          <w:rFonts w:ascii="Book Antiqua" w:eastAsia="SabonLTStd-Roman" w:hAnsi="Book Antiqua" w:cstheme="minorHAnsi"/>
          <w:sz w:val="24"/>
          <w:szCs w:val="24"/>
          <w:lang w:val="en-GB"/>
        </w:rPr>
        <w:t>Vedolizumab</w:t>
      </w:r>
      <w:proofErr w:type="spellEnd"/>
      <w:r w:rsidRPr="00CD4428">
        <w:rPr>
          <w:rFonts w:ascii="Book Antiqua" w:eastAsia="SabonLTStd-Roman" w:hAnsi="Book Antiqua" w:cstheme="minorHAnsi"/>
          <w:sz w:val="24"/>
          <w:szCs w:val="24"/>
          <w:lang w:val="en-GB"/>
        </w:rPr>
        <w:t xml:space="preserve"> represents an interesting new therapeutic option for the treatment of patients with </w:t>
      </w:r>
      <w:r w:rsidR="00343CFD" w:rsidRPr="00CD4428">
        <w:rPr>
          <w:rFonts w:ascii="Book Antiqua" w:eastAsia="SabonLTStd-Roman" w:hAnsi="Book Antiqua" w:cstheme="minorHAnsi"/>
          <w:sz w:val="24"/>
          <w:szCs w:val="24"/>
          <w:lang w:val="en-GB"/>
        </w:rPr>
        <w:t xml:space="preserve">moderate-to-severe </w:t>
      </w:r>
      <w:r w:rsidRPr="00CD4428">
        <w:rPr>
          <w:rFonts w:ascii="Book Antiqua" w:eastAsia="SabonLTStd-Roman" w:hAnsi="Book Antiqua" w:cstheme="minorHAnsi"/>
          <w:sz w:val="24"/>
          <w:szCs w:val="24"/>
          <w:lang w:val="en-GB"/>
        </w:rPr>
        <w:t xml:space="preserve">ulcerative colitis and Crohn’s disease that </w:t>
      </w:r>
      <w:r w:rsidR="00183FF7" w:rsidRPr="00CD4428">
        <w:rPr>
          <w:rFonts w:ascii="Book Antiqua" w:eastAsia="SabonLTStd-Roman" w:hAnsi="Book Antiqua" w:cstheme="minorHAnsi"/>
          <w:sz w:val="24"/>
          <w:szCs w:val="24"/>
          <w:lang w:val="en-GB"/>
        </w:rPr>
        <w:t xml:space="preserve">are </w:t>
      </w:r>
      <w:r w:rsidRPr="00CD4428">
        <w:rPr>
          <w:rFonts w:ascii="Book Antiqua" w:eastAsia="SabonLTStd-Roman" w:hAnsi="Book Antiqua" w:cstheme="minorHAnsi"/>
          <w:sz w:val="24"/>
          <w:szCs w:val="24"/>
          <w:lang w:val="en-GB"/>
        </w:rPr>
        <w:t xml:space="preserve">refractory </w:t>
      </w:r>
      <w:r w:rsidR="00C145D4" w:rsidRPr="00CD4428">
        <w:rPr>
          <w:rFonts w:ascii="Book Antiqua" w:eastAsia="SabonLTStd-Roman" w:hAnsi="Book Antiqua" w:cstheme="minorHAnsi"/>
          <w:sz w:val="24"/>
          <w:szCs w:val="24"/>
          <w:lang w:val="en-GB"/>
        </w:rPr>
        <w:t xml:space="preserve">or intolerant </w:t>
      </w:r>
      <w:r w:rsidRPr="00CD4428">
        <w:rPr>
          <w:rFonts w:ascii="Book Antiqua" w:eastAsia="SabonLTStd-Roman" w:hAnsi="Book Antiqua" w:cstheme="minorHAnsi"/>
          <w:sz w:val="24"/>
          <w:szCs w:val="24"/>
          <w:lang w:val="en-GB"/>
        </w:rPr>
        <w:t>to either conventional treatments or anti-TNFα agents. Th</w:t>
      </w:r>
      <w:r w:rsidR="00C145D4" w:rsidRPr="00CD4428">
        <w:rPr>
          <w:rFonts w:ascii="Book Antiqua" w:eastAsia="SabonLTStd-Roman" w:hAnsi="Book Antiqua" w:cstheme="minorHAnsi"/>
          <w:sz w:val="24"/>
          <w:szCs w:val="24"/>
          <w:lang w:val="en-GB"/>
        </w:rPr>
        <w:t xml:space="preserve">is review describes the </w:t>
      </w:r>
      <w:r w:rsidRPr="00CD4428">
        <w:rPr>
          <w:rFonts w:ascii="Book Antiqua" w:eastAsia="SabonLTStd-Roman" w:hAnsi="Book Antiqua" w:cstheme="minorHAnsi"/>
          <w:sz w:val="24"/>
          <w:szCs w:val="24"/>
          <w:lang w:val="en-GB"/>
        </w:rPr>
        <w:t>efficacy</w:t>
      </w:r>
      <w:r w:rsidR="001D592C" w:rsidRPr="00CD4428">
        <w:rPr>
          <w:rFonts w:ascii="Book Antiqua" w:eastAsia="SabonLTStd-Roman" w:hAnsi="Book Antiqua" w:cstheme="minorHAnsi"/>
          <w:sz w:val="24"/>
          <w:szCs w:val="24"/>
          <w:lang w:val="en-GB"/>
        </w:rPr>
        <w:t>,</w:t>
      </w:r>
      <w:r w:rsidRPr="00CD4428">
        <w:rPr>
          <w:rFonts w:ascii="Book Antiqua" w:eastAsia="SabonLTStd-Roman" w:hAnsi="Book Antiqua" w:cstheme="minorHAnsi"/>
          <w:sz w:val="24"/>
          <w:szCs w:val="24"/>
          <w:lang w:val="en-GB"/>
        </w:rPr>
        <w:t xml:space="preserve"> safety</w:t>
      </w:r>
      <w:r w:rsidR="001D592C" w:rsidRPr="00CD4428">
        <w:rPr>
          <w:rFonts w:ascii="Book Antiqua" w:eastAsia="SabonLTStd-Roman" w:hAnsi="Book Antiqua" w:cstheme="minorHAnsi"/>
          <w:sz w:val="24"/>
          <w:szCs w:val="24"/>
          <w:lang w:val="en-GB"/>
        </w:rPr>
        <w:t>, and tolerability</w:t>
      </w:r>
      <w:r w:rsidR="00936E0F">
        <w:rPr>
          <w:rFonts w:ascii="Book Antiqua" w:eastAsia="SabonLTStd-Roman" w:hAnsi="Book Antiqua" w:cstheme="minorHAnsi"/>
          <w:sz w:val="24"/>
          <w:szCs w:val="24"/>
          <w:lang w:val="en-GB"/>
        </w:rPr>
        <w:t xml:space="preserve"> </w:t>
      </w:r>
      <w:r w:rsidRPr="00CD4428">
        <w:rPr>
          <w:rFonts w:ascii="Book Antiqua" w:eastAsia="SabonLTStd-Roman" w:hAnsi="Book Antiqua" w:cstheme="minorHAnsi"/>
          <w:sz w:val="24"/>
          <w:szCs w:val="24"/>
          <w:lang w:val="en-GB"/>
        </w:rPr>
        <w:t xml:space="preserve">of </w:t>
      </w:r>
      <w:proofErr w:type="spellStart"/>
      <w:r w:rsidRPr="00CD4428">
        <w:rPr>
          <w:rFonts w:ascii="Book Antiqua" w:eastAsia="SabonLTStd-Roman" w:hAnsi="Book Antiqua" w:cstheme="minorHAnsi"/>
          <w:sz w:val="24"/>
          <w:szCs w:val="24"/>
          <w:lang w:val="en-GB"/>
        </w:rPr>
        <w:t>vedolizumab</w:t>
      </w:r>
      <w:proofErr w:type="spellEnd"/>
      <w:r w:rsidRPr="00CD4428">
        <w:rPr>
          <w:rFonts w:ascii="Book Antiqua" w:eastAsia="SabonLTStd-Roman" w:hAnsi="Book Antiqua" w:cstheme="minorHAnsi"/>
          <w:sz w:val="24"/>
          <w:szCs w:val="24"/>
          <w:lang w:val="en-GB"/>
        </w:rPr>
        <w:t xml:space="preserve"> demonstrated in </w:t>
      </w:r>
      <w:r w:rsidR="001D592C" w:rsidRPr="00CD4428">
        <w:rPr>
          <w:rFonts w:ascii="Book Antiqua" w:eastAsia="SabonLTStd-Roman" w:hAnsi="Book Antiqua" w:cstheme="minorHAnsi"/>
          <w:sz w:val="24"/>
          <w:szCs w:val="24"/>
          <w:lang w:val="en-GB"/>
        </w:rPr>
        <w:t>the</w:t>
      </w:r>
      <w:r w:rsidRPr="00CD4428">
        <w:rPr>
          <w:rFonts w:ascii="Book Antiqua" w:eastAsia="SabonLTStd-Roman" w:hAnsi="Book Antiqua" w:cstheme="minorHAnsi"/>
          <w:sz w:val="24"/>
          <w:szCs w:val="24"/>
          <w:lang w:val="en-GB"/>
        </w:rPr>
        <w:t xml:space="preserve"> </w:t>
      </w:r>
      <w:r w:rsidR="001B6968" w:rsidRPr="00CD4428">
        <w:rPr>
          <w:rFonts w:ascii="Book Antiqua" w:eastAsia="SabonLTStd-Roman" w:hAnsi="Book Antiqua" w:cstheme="minorHAnsi"/>
          <w:sz w:val="24"/>
          <w:szCs w:val="24"/>
          <w:lang w:val="en-GB"/>
        </w:rPr>
        <w:t xml:space="preserve">clinical </w:t>
      </w:r>
      <w:r w:rsidRPr="00CD4428">
        <w:rPr>
          <w:rFonts w:ascii="Book Antiqua" w:eastAsia="SabonLTStd-Roman" w:hAnsi="Book Antiqua" w:cstheme="minorHAnsi"/>
          <w:sz w:val="24"/>
          <w:szCs w:val="24"/>
          <w:lang w:val="en-GB"/>
        </w:rPr>
        <w:t xml:space="preserve">GEMINI </w:t>
      </w:r>
      <w:r w:rsidR="00255AD6" w:rsidRPr="00CD4428">
        <w:rPr>
          <w:rFonts w:ascii="Book Antiqua" w:eastAsia="SabonLTStd-Roman" w:hAnsi="Book Antiqua" w:cstheme="minorHAnsi"/>
          <w:sz w:val="24"/>
          <w:szCs w:val="24"/>
          <w:lang w:val="en-GB"/>
        </w:rPr>
        <w:t>trials</w:t>
      </w:r>
      <w:r w:rsidRPr="00CD4428">
        <w:rPr>
          <w:rFonts w:ascii="Book Antiqua" w:eastAsia="SabonLTStd-Roman" w:hAnsi="Book Antiqua" w:cstheme="minorHAnsi"/>
          <w:sz w:val="24"/>
          <w:szCs w:val="24"/>
          <w:lang w:val="en-GB"/>
        </w:rPr>
        <w:t xml:space="preserve">. </w:t>
      </w:r>
      <w:r w:rsidR="00343CFD" w:rsidRPr="00CD4428">
        <w:rPr>
          <w:rFonts w:ascii="Book Antiqua" w:eastAsia="SabonLTStd-Roman" w:hAnsi="Book Antiqua" w:cstheme="minorHAnsi"/>
          <w:sz w:val="24"/>
          <w:szCs w:val="24"/>
          <w:lang w:val="en-GB"/>
        </w:rPr>
        <w:t xml:space="preserve">In addition, the paper </w:t>
      </w:r>
      <w:r w:rsidR="001D592C" w:rsidRPr="00CD4428">
        <w:rPr>
          <w:rFonts w:ascii="Book Antiqua" w:eastAsia="SabonLTStd-Roman" w:hAnsi="Book Antiqua" w:cstheme="minorHAnsi"/>
          <w:sz w:val="24"/>
          <w:szCs w:val="24"/>
          <w:lang w:val="en-GB"/>
        </w:rPr>
        <w:t xml:space="preserve">reviews </w:t>
      </w:r>
      <w:r w:rsidR="00343CFD" w:rsidRPr="00CD4428">
        <w:rPr>
          <w:rFonts w:ascii="Book Antiqua" w:eastAsia="SabonLTStd-Roman" w:hAnsi="Book Antiqua" w:cstheme="minorHAnsi"/>
          <w:sz w:val="24"/>
          <w:szCs w:val="24"/>
          <w:lang w:val="en-GB"/>
        </w:rPr>
        <w:t>the</w:t>
      </w:r>
      <w:r w:rsidR="00936E0F">
        <w:rPr>
          <w:rFonts w:ascii="Book Antiqua" w:hAnsi="Book Antiqua" w:cstheme="minorHAnsi" w:hint="eastAsia"/>
          <w:sz w:val="24"/>
          <w:szCs w:val="24"/>
          <w:lang w:val="en-GB" w:eastAsia="zh-CN"/>
        </w:rPr>
        <w:t xml:space="preserve"> </w:t>
      </w:r>
      <w:r w:rsidR="00343CFD" w:rsidRPr="00CD4428">
        <w:rPr>
          <w:rFonts w:ascii="Book Antiqua" w:eastAsia="SabonLTStd-Roman" w:hAnsi="Book Antiqua" w:cstheme="minorHAnsi"/>
          <w:sz w:val="24"/>
          <w:szCs w:val="24"/>
          <w:lang w:val="en-GB"/>
        </w:rPr>
        <w:t xml:space="preserve">effectiveness and the safety of </w:t>
      </w:r>
      <w:proofErr w:type="spellStart"/>
      <w:r w:rsidR="00343CFD" w:rsidRPr="00CD4428">
        <w:rPr>
          <w:rFonts w:ascii="Book Antiqua" w:eastAsia="SabonLTStd-Roman" w:hAnsi="Book Antiqua" w:cstheme="minorHAnsi"/>
          <w:sz w:val="24"/>
          <w:szCs w:val="24"/>
          <w:lang w:val="en-GB"/>
        </w:rPr>
        <w:t>vedolizumab</w:t>
      </w:r>
      <w:proofErr w:type="spellEnd"/>
      <w:r w:rsidR="00343CFD" w:rsidRPr="00CD4428">
        <w:rPr>
          <w:rFonts w:ascii="Book Antiqua" w:eastAsia="SabonLTStd-Roman" w:hAnsi="Book Antiqua" w:cstheme="minorHAnsi"/>
          <w:sz w:val="24"/>
          <w:szCs w:val="24"/>
          <w:lang w:val="en-GB"/>
        </w:rPr>
        <w:t xml:space="preserve"> in the r</w:t>
      </w:r>
      <w:r w:rsidRPr="00CD4428">
        <w:rPr>
          <w:rFonts w:ascii="Book Antiqua" w:eastAsia="SabonLTStd-Roman" w:hAnsi="Book Antiqua" w:cstheme="minorHAnsi"/>
          <w:sz w:val="24"/>
          <w:szCs w:val="24"/>
          <w:lang w:val="en-GB"/>
        </w:rPr>
        <w:t xml:space="preserve">eal-world studies </w:t>
      </w:r>
      <w:r w:rsidR="001D592C" w:rsidRPr="00CD4428">
        <w:rPr>
          <w:rFonts w:ascii="Book Antiqua" w:eastAsia="SabonLTStd-Roman" w:hAnsi="Book Antiqua" w:cstheme="minorHAnsi"/>
          <w:sz w:val="24"/>
          <w:szCs w:val="24"/>
          <w:lang w:val="en-GB"/>
        </w:rPr>
        <w:t xml:space="preserve">in order to identify its place in treatment algorithms for patients </w:t>
      </w:r>
      <w:r w:rsidR="00936E0F">
        <w:rPr>
          <w:rFonts w:ascii="Book Antiqua" w:eastAsia="SabonLTStd-Roman" w:hAnsi="Book Antiqua" w:cstheme="minorHAnsi"/>
          <w:sz w:val="24"/>
          <w:szCs w:val="24"/>
          <w:lang w:val="en-GB"/>
        </w:rPr>
        <w:t>with inflammatory bowel disease</w:t>
      </w:r>
      <w:r w:rsidRPr="00CD4428">
        <w:rPr>
          <w:rFonts w:ascii="Book Antiqua" w:eastAsia="SabonLTStd-Roman" w:hAnsi="Book Antiqua" w:cstheme="minorHAnsi"/>
          <w:sz w:val="24"/>
          <w:szCs w:val="24"/>
          <w:lang w:val="en-GB"/>
        </w:rPr>
        <w:t xml:space="preserve">. </w:t>
      </w:r>
    </w:p>
    <w:p w14:paraId="2C1B25F6" w14:textId="77777777" w:rsidR="00412C36" w:rsidRPr="00CD4428" w:rsidRDefault="00412C36" w:rsidP="00E17439">
      <w:pPr>
        <w:snapToGrid w:val="0"/>
        <w:spacing w:after="0" w:line="360" w:lineRule="auto"/>
        <w:jc w:val="both"/>
        <w:rPr>
          <w:rFonts w:ascii="Book Antiqua" w:hAnsi="Book Antiqua" w:cstheme="minorHAnsi"/>
          <w:sz w:val="24"/>
          <w:szCs w:val="24"/>
          <w:lang w:val="en-GB" w:eastAsia="zh-CN"/>
        </w:rPr>
      </w:pPr>
    </w:p>
    <w:p w14:paraId="4BF2B190" w14:textId="5BFE438B" w:rsidR="00412C36" w:rsidRPr="00CD4428" w:rsidRDefault="00A269F4" w:rsidP="00E17439">
      <w:pPr>
        <w:snapToGrid w:val="0"/>
        <w:spacing w:after="0" w:line="360" w:lineRule="auto"/>
        <w:jc w:val="both"/>
        <w:rPr>
          <w:rFonts w:ascii="Book Antiqua" w:hAnsi="Book Antiqua" w:cs="Times New Roman"/>
          <w:sz w:val="24"/>
          <w:szCs w:val="24"/>
        </w:rPr>
      </w:pPr>
      <w:bookmarkStart w:id="30" w:name="OLE_LINK286"/>
      <w:bookmarkStart w:id="31" w:name="OLE_LINK287"/>
      <w:bookmarkStart w:id="32" w:name="OLE_LINK310"/>
      <w:bookmarkStart w:id="33" w:name="OLE_LINK579"/>
      <w:bookmarkStart w:id="34" w:name="OLE_LINK712"/>
      <w:bookmarkStart w:id="35" w:name="OLE_LINK47"/>
      <w:bookmarkStart w:id="36" w:name="OLE_LINK48"/>
      <w:bookmarkStart w:id="37" w:name="OLE_LINK1105"/>
      <w:bookmarkStart w:id="38" w:name="OLE_LINK1107"/>
      <w:bookmarkStart w:id="39" w:name="OLE_LINK232"/>
      <w:bookmarkStart w:id="40" w:name="OLE_LINK233"/>
      <w:bookmarkStart w:id="41" w:name="OLE_LINK271"/>
      <w:bookmarkStart w:id="42" w:name="OLE_LINK311"/>
      <w:bookmarkStart w:id="43" w:name="OLE_LINK452"/>
      <w:bookmarkStart w:id="44" w:name="OLE_LINK753"/>
      <w:bookmarkStart w:id="45" w:name="OLE_LINK775"/>
      <w:bookmarkStart w:id="46" w:name="OLE_LINK892"/>
      <w:bookmarkStart w:id="47" w:name="OLE_LINK907"/>
      <w:bookmarkStart w:id="48" w:name="OLE_LINK924"/>
      <w:bookmarkStart w:id="49" w:name="OLE_LINK1016"/>
      <w:bookmarkStart w:id="50" w:name="OLE_LINK3"/>
      <w:bookmarkStart w:id="51" w:name="OLE_LINK4"/>
      <w:bookmarkStart w:id="52" w:name="OLE_LINK70"/>
      <w:bookmarkStart w:id="53" w:name="OLE_LINK118"/>
      <w:bookmarkStart w:id="54" w:name="OLE_LINK145"/>
      <w:bookmarkStart w:id="55" w:name="OLE_LINK218"/>
      <w:bookmarkStart w:id="56" w:name="OLE_LINK520"/>
      <w:bookmarkStart w:id="57" w:name="OLE_LINK537"/>
      <w:bookmarkStart w:id="58" w:name="OLE_LINK598"/>
      <w:bookmarkStart w:id="59" w:name="OLE_LINK728"/>
      <w:bookmarkStart w:id="60" w:name="OLE_LINK745"/>
      <w:bookmarkStart w:id="61" w:name="OLE_LINK200"/>
      <w:bookmarkStart w:id="62" w:name="OLE_LINK196"/>
      <w:bookmarkStart w:id="63" w:name="OLE_LINK341"/>
      <w:bookmarkStart w:id="64" w:name="OLE_LINK377"/>
      <w:bookmarkStart w:id="65" w:name="OLE_LINK366"/>
      <w:bookmarkStart w:id="66" w:name="OLE_LINK1038"/>
      <w:bookmarkStart w:id="67" w:name="OLE_LINK1166"/>
      <w:r w:rsidRPr="00CD4428">
        <w:rPr>
          <w:rFonts w:ascii="Book Antiqua" w:hAnsi="Book Antiqua"/>
          <w:sz w:val="24"/>
          <w:szCs w:val="24"/>
        </w:rPr>
        <w:t xml:space="preserve">Scribano </w:t>
      </w:r>
      <w:r w:rsidR="002F40E1" w:rsidRPr="00CD4428">
        <w:rPr>
          <w:rFonts w:ascii="Book Antiqua" w:hAnsi="Book Antiqua"/>
          <w:sz w:val="24"/>
          <w:szCs w:val="24"/>
        </w:rPr>
        <w:t>ML</w:t>
      </w:r>
      <w:r w:rsidR="00857DD4" w:rsidRPr="00CD4428">
        <w:rPr>
          <w:rFonts w:ascii="Book Antiqua" w:hAnsi="Book Antiqua"/>
          <w:sz w:val="24"/>
          <w:szCs w:val="24"/>
        </w:rPr>
        <w:t xml:space="preserve">. </w:t>
      </w:r>
      <w:r w:rsidR="002F40E1" w:rsidRPr="00CD4428">
        <w:rPr>
          <w:rFonts w:ascii="Book Antiqua" w:hAnsi="Book Antiqua"/>
          <w:sz w:val="24"/>
          <w:szCs w:val="24"/>
        </w:rPr>
        <w:t xml:space="preserve">Vedolizumab for inflammatory bowel disease: </w:t>
      </w:r>
      <w:r w:rsidR="002F40E1" w:rsidRPr="00574A3E">
        <w:rPr>
          <w:rFonts w:ascii="Book Antiqua" w:hAnsi="Book Antiqua"/>
          <w:caps/>
          <w:sz w:val="24"/>
          <w:szCs w:val="24"/>
        </w:rPr>
        <w:t>f</w:t>
      </w:r>
      <w:r w:rsidR="002F40E1" w:rsidRPr="00CD4428">
        <w:rPr>
          <w:rFonts w:ascii="Book Antiqua" w:hAnsi="Book Antiqua"/>
          <w:sz w:val="24"/>
          <w:szCs w:val="24"/>
        </w:rPr>
        <w:t>rom randomized controlled trials to real-life evidence</w:t>
      </w:r>
      <w:r w:rsidR="00733865" w:rsidRPr="00CD4428">
        <w:rPr>
          <w:rFonts w:ascii="Book Antiqua" w:hAnsi="Book Antiqua"/>
          <w:sz w:val="24"/>
          <w:szCs w:val="24"/>
        </w:rPr>
        <w:t>.</w:t>
      </w:r>
      <w:r w:rsidR="00857DD4" w:rsidRPr="00CD4428">
        <w:rPr>
          <w:rFonts w:ascii="Book Antiqua" w:hAnsi="Book Antiqua"/>
          <w:sz w:val="24"/>
          <w:szCs w:val="24"/>
        </w:rPr>
        <w:t xml:space="preserve"> </w:t>
      </w:r>
      <w:r w:rsidR="00412C36" w:rsidRPr="00CD4428">
        <w:rPr>
          <w:rFonts w:ascii="Book Antiqua" w:hAnsi="Book Antiqua" w:cs="Times New Roman"/>
          <w:i/>
          <w:sz w:val="24"/>
          <w:szCs w:val="24"/>
        </w:rPr>
        <w:t xml:space="preserve">World J Gastroenterol </w:t>
      </w:r>
      <w:r w:rsidR="00412C36" w:rsidRPr="00CD4428">
        <w:rPr>
          <w:rFonts w:ascii="Book Antiqua" w:hAnsi="Book Antiqua" w:cs="Times New Roman"/>
          <w:sz w:val="24"/>
          <w:szCs w:val="24"/>
        </w:rPr>
        <w:t>2018; In press</w:t>
      </w:r>
      <w:bookmarkEnd w:id="30"/>
      <w:bookmarkEnd w:id="31"/>
      <w:bookmarkEnd w:id="32"/>
      <w:bookmarkEnd w:id="33"/>
      <w:bookmarkEnd w:id="34"/>
      <w:bookmarkEnd w:id="35"/>
      <w:bookmarkEnd w:id="36"/>
      <w:bookmarkEnd w:id="37"/>
      <w:bookmarkEnd w:id="38"/>
    </w:p>
    <w:p w14:paraId="2C69461F" w14:textId="77777777" w:rsidR="00A16D02" w:rsidRPr="00CD4428" w:rsidRDefault="00A16D02" w:rsidP="00E17439">
      <w:pPr>
        <w:snapToGrid w:val="0"/>
        <w:spacing w:after="0" w:line="360" w:lineRule="auto"/>
        <w:jc w:val="both"/>
        <w:rPr>
          <w:rFonts w:ascii="Book Antiqua" w:hAnsi="Book Antiqua" w:cs="Times New Roman"/>
          <w:sz w:val="24"/>
          <w:szCs w:val="24"/>
        </w:rPr>
      </w:pPr>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14:paraId="3F9AF5D3" w14:textId="55B216A2" w:rsidR="00573F17" w:rsidRPr="00CD4428" w:rsidRDefault="00573F17" w:rsidP="00E17439">
      <w:pPr>
        <w:snapToGrid w:val="0"/>
        <w:spacing w:after="0" w:line="360" w:lineRule="auto"/>
        <w:jc w:val="both"/>
        <w:rPr>
          <w:rFonts w:ascii="Book Antiqua" w:eastAsia="SabonLTStd-Roman" w:hAnsi="Book Antiqua" w:cstheme="minorHAnsi"/>
          <w:b/>
          <w:sz w:val="24"/>
          <w:szCs w:val="24"/>
          <w:lang w:val="en-GB"/>
        </w:rPr>
      </w:pPr>
      <w:r w:rsidRPr="00CD4428">
        <w:rPr>
          <w:rFonts w:ascii="Book Antiqua" w:eastAsia="SabonLTStd-Roman" w:hAnsi="Book Antiqua" w:cstheme="minorHAnsi"/>
          <w:b/>
          <w:sz w:val="24"/>
          <w:szCs w:val="24"/>
          <w:lang w:val="en-GB"/>
        </w:rPr>
        <w:br w:type="page"/>
      </w:r>
    </w:p>
    <w:p w14:paraId="36D57D04" w14:textId="77777777" w:rsidR="00677F47" w:rsidRPr="00F03C07" w:rsidRDefault="00677F47" w:rsidP="00E17439">
      <w:pPr>
        <w:autoSpaceDE w:val="0"/>
        <w:autoSpaceDN w:val="0"/>
        <w:adjustRightInd w:val="0"/>
        <w:snapToGrid w:val="0"/>
        <w:spacing w:after="0" w:line="360" w:lineRule="auto"/>
        <w:jc w:val="both"/>
        <w:rPr>
          <w:rFonts w:ascii="Book Antiqua" w:eastAsia="SabonLTStd-Roman" w:hAnsi="Book Antiqua" w:cstheme="minorHAnsi"/>
          <w:b/>
          <w:caps/>
          <w:sz w:val="24"/>
          <w:szCs w:val="24"/>
          <w:lang w:val="en-GB"/>
        </w:rPr>
      </w:pPr>
      <w:r w:rsidRPr="00F03C07">
        <w:rPr>
          <w:rFonts w:ascii="Book Antiqua" w:eastAsia="SabonLTStd-Roman" w:hAnsi="Book Antiqua" w:cstheme="minorHAnsi"/>
          <w:b/>
          <w:caps/>
          <w:sz w:val="24"/>
          <w:szCs w:val="24"/>
          <w:lang w:val="en-GB"/>
        </w:rPr>
        <w:lastRenderedPageBreak/>
        <w:t>Introduction</w:t>
      </w:r>
    </w:p>
    <w:p w14:paraId="581267AA" w14:textId="4FA24C64" w:rsidR="00175993" w:rsidRPr="00CD4428" w:rsidRDefault="00175993" w:rsidP="00E17439">
      <w:pPr>
        <w:autoSpaceDE w:val="0"/>
        <w:autoSpaceDN w:val="0"/>
        <w:adjustRightInd w:val="0"/>
        <w:snapToGrid w:val="0"/>
        <w:spacing w:after="0" w:line="360" w:lineRule="auto"/>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 xml:space="preserve">The </w:t>
      </w:r>
      <w:r w:rsidR="00870E52" w:rsidRPr="00CD4428">
        <w:rPr>
          <w:rFonts w:ascii="Book Antiqua" w:eastAsia="SabonLTStd-Roman" w:hAnsi="Book Antiqua" w:cstheme="minorHAnsi"/>
          <w:sz w:val="24"/>
          <w:szCs w:val="24"/>
          <w:lang w:val="en-GB"/>
        </w:rPr>
        <w:t>introduction</w:t>
      </w:r>
      <w:r w:rsidRPr="00CD4428">
        <w:rPr>
          <w:rFonts w:ascii="Book Antiqua" w:eastAsia="SabonLTStd-Roman" w:hAnsi="Book Antiqua" w:cstheme="minorHAnsi"/>
          <w:sz w:val="24"/>
          <w:szCs w:val="24"/>
          <w:lang w:val="en-GB"/>
        </w:rPr>
        <w:t xml:space="preserve"> of </w:t>
      </w:r>
      <w:r w:rsidR="00FE2B17" w:rsidRPr="00CD4428">
        <w:rPr>
          <w:rFonts w:ascii="Book Antiqua" w:eastAsia="SabonLTStd-Roman" w:hAnsi="Book Antiqua" w:cstheme="minorHAnsi"/>
          <w:sz w:val="24"/>
          <w:szCs w:val="24"/>
          <w:lang w:val="en-GB"/>
        </w:rPr>
        <w:t>biologic</w:t>
      </w:r>
      <w:r w:rsidR="00F10506" w:rsidRPr="00CD4428">
        <w:rPr>
          <w:rFonts w:ascii="Book Antiqua" w:eastAsia="SabonLTStd-Roman" w:hAnsi="Book Antiqua" w:cstheme="minorHAnsi"/>
          <w:sz w:val="24"/>
          <w:szCs w:val="24"/>
          <w:lang w:val="en-GB"/>
        </w:rPr>
        <w:t>,</w:t>
      </w:r>
      <w:r w:rsidR="00FE2B17" w:rsidRPr="00CD4428">
        <w:rPr>
          <w:rFonts w:ascii="Book Antiqua" w:eastAsia="SabonLTStd-Roman" w:hAnsi="Book Antiqua" w:cstheme="minorHAnsi"/>
          <w:sz w:val="24"/>
          <w:szCs w:val="24"/>
          <w:lang w:val="en-GB"/>
        </w:rPr>
        <w:t xml:space="preserve"> </w:t>
      </w:r>
      <w:r w:rsidR="000A4B6B" w:rsidRPr="00CD4428">
        <w:rPr>
          <w:rFonts w:ascii="Book Antiqua" w:eastAsia="SabonLTStd-Roman" w:hAnsi="Book Antiqua" w:cstheme="minorHAnsi"/>
          <w:sz w:val="24"/>
          <w:szCs w:val="24"/>
          <w:lang w:val="en-GB"/>
        </w:rPr>
        <w:t xml:space="preserve">antitumor necrosis factor </w:t>
      </w:r>
      <w:r w:rsidR="00F77992" w:rsidRPr="00CD4428">
        <w:rPr>
          <w:rFonts w:ascii="Book Antiqua" w:eastAsia="SabonLTStd-Roman" w:hAnsi="Book Antiqua" w:cstheme="minorHAnsi"/>
          <w:sz w:val="24"/>
          <w:szCs w:val="24"/>
          <w:lang w:val="en-GB"/>
        </w:rPr>
        <w:t xml:space="preserve">alpha </w:t>
      </w:r>
      <w:r w:rsidR="000A4B6B" w:rsidRPr="00CD4428">
        <w:rPr>
          <w:rFonts w:ascii="Book Antiqua" w:eastAsia="SabonLTStd-Roman" w:hAnsi="Book Antiqua" w:cstheme="minorHAnsi"/>
          <w:sz w:val="24"/>
          <w:szCs w:val="24"/>
          <w:lang w:val="en-GB"/>
        </w:rPr>
        <w:t>(anti-TNF</w:t>
      </w:r>
      <w:r w:rsidR="00F77992" w:rsidRPr="00CD4428">
        <w:rPr>
          <w:rFonts w:ascii="Book Antiqua" w:eastAsia="SabonLTStd-Roman" w:hAnsi="Book Antiqua" w:cstheme="minorHAnsi"/>
          <w:sz w:val="24"/>
          <w:szCs w:val="24"/>
          <w:lang w:val="en-GB"/>
        </w:rPr>
        <w:t>α</w:t>
      </w:r>
      <w:r w:rsidR="000A4B6B" w:rsidRPr="00CD4428">
        <w:rPr>
          <w:rFonts w:ascii="Book Antiqua" w:eastAsia="SabonLTStd-Roman" w:hAnsi="Book Antiqua" w:cstheme="minorHAnsi"/>
          <w:sz w:val="24"/>
          <w:szCs w:val="24"/>
          <w:lang w:val="en-GB"/>
        </w:rPr>
        <w:t xml:space="preserve">) </w:t>
      </w:r>
      <w:r w:rsidR="001A0C9B" w:rsidRPr="00CD4428">
        <w:rPr>
          <w:rFonts w:ascii="Book Antiqua" w:eastAsia="SabonLTStd-Roman" w:hAnsi="Book Antiqua" w:cstheme="minorHAnsi"/>
          <w:sz w:val="24"/>
          <w:szCs w:val="24"/>
          <w:lang w:val="en-GB"/>
        </w:rPr>
        <w:t>therapies</w:t>
      </w:r>
      <w:r w:rsidRPr="00CD4428">
        <w:rPr>
          <w:rFonts w:ascii="Book Antiqua" w:eastAsia="SabonLTStd-Roman" w:hAnsi="Book Antiqua" w:cstheme="minorHAnsi"/>
          <w:sz w:val="24"/>
          <w:szCs w:val="24"/>
          <w:lang w:val="en-GB"/>
        </w:rPr>
        <w:t xml:space="preserve"> has transformed the management of </w:t>
      </w:r>
      <w:r w:rsidR="00EC0916" w:rsidRPr="00CD4428">
        <w:rPr>
          <w:rFonts w:ascii="Book Antiqua" w:eastAsia="SabonLTStd-Roman" w:hAnsi="Book Antiqua" w:cstheme="minorHAnsi"/>
          <w:sz w:val="24"/>
          <w:szCs w:val="24"/>
          <w:lang w:val="en-GB"/>
        </w:rPr>
        <w:t>patients with</w:t>
      </w:r>
      <w:r w:rsidRPr="00CD4428">
        <w:rPr>
          <w:rFonts w:ascii="Book Antiqua" w:eastAsia="SabonLTStd-Roman" w:hAnsi="Book Antiqua" w:cstheme="minorHAnsi"/>
          <w:sz w:val="24"/>
          <w:szCs w:val="24"/>
          <w:lang w:val="en-GB"/>
        </w:rPr>
        <w:t xml:space="preserve"> </w:t>
      </w:r>
      <w:r w:rsidR="00702EDA" w:rsidRPr="00CD4428">
        <w:rPr>
          <w:rFonts w:ascii="Book Antiqua" w:eastAsia="SabonLTStd-Roman" w:hAnsi="Book Antiqua" w:cstheme="minorHAnsi"/>
          <w:sz w:val="24"/>
          <w:szCs w:val="24"/>
          <w:lang w:val="en-GB"/>
        </w:rPr>
        <w:t>moderate</w:t>
      </w:r>
      <w:r w:rsidR="00F10506" w:rsidRPr="00CD4428">
        <w:rPr>
          <w:rFonts w:ascii="Book Antiqua" w:eastAsia="SabonLTStd-Roman" w:hAnsi="Book Antiqua" w:cstheme="minorHAnsi"/>
          <w:sz w:val="24"/>
          <w:szCs w:val="24"/>
          <w:lang w:val="en-GB"/>
        </w:rPr>
        <w:t>-</w:t>
      </w:r>
      <w:r w:rsidR="00702EDA" w:rsidRPr="00CD4428">
        <w:rPr>
          <w:rFonts w:ascii="Book Antiqua" w:eastAsia="SabonLTStd-Roman" w:hAnsi="Book Antiqua" w:cstheme="minorHAnsi"/>
          <w:sz w:val="24"/>
          <w:szCs w:val="24"/>
          <w:lang w:val="en-GB"/>
        </w:rPr>
        <w:t>to</w:t>
      </w:r>
      <w:r w:rsidR="00F10506" w:rsidRPr="00CD4428">
        <w:rPr>
          <w:rFonts w:ascii="Book Antiqua" w:eastAsia="SabonLTStd-Roman" w:hAnsi="Book Antiqua" w:cstheme="minorHAnsi"/>
          <w:sz w:val="24"/>
          <w:szCs w:val="24"/>
          <w:lang w:val="en-GB"/>
        </w:rPr>
        <w:t>-</w:t>
      </w:r>
      <w:r w:rsidR="00702EDA" w:rsidRPr="00CD4428">
        <w:rPr>
          <w:rFonts w:ascii="Book Antiqua" w:eastAsia="SabonLTStd-Roman" w:hAnsi="Book Antiqua" w:cstheme="minorHAnsi"/>
          <w:sz w:val="24"/>
          <w:szCs w:val="24"/>
          <w:lang w:val="en-GB"/>
        </w:rPr>
        <w:t>severe</w:t>
      </w:r>
      <w:r w:rsidR="00573F17" w:rsidRPr="00CD4428">
        <w:rPr>
          <w:rFonts w:ascii="Book Antiqua" w:eastAsia="SabonLTStd-Roman" w:hAnsi="Book Antiqua" w:cstheme="minorHAnsi"/>
          <w:sz w:val="24"/>
          <w:szCs w:val="24"/>
          <w:lang w:val="en-GB"/>
        </w:rPr>
        <w:t>,</w:t>
      </w:r>
      <w:r w:rsidR="00702EDA" w:rsidRPr="00CD4428">
        <w:rPr>
          <w:rFonts w:ascii="Book Antiqua" w:eastAsia="SabonLTStd-Roman" w:hAnsi="Book Antiqua" w:cstheme="minorHAnsi"/>
          <w:sz w:val="24"/>
          <w:szCs w:val="24"/>
          <w:lang w:val="en-GB"/>
        </w:rPr>
        <w:t xml:space="preserve"> </w:t>
      </w:r>
      <w:r w:rsidR="00162411" w:rsidRPr="00CD4428">
        <w:rPr>
          <w:rFonts w:ascii="Book Antiqua" w:eastAsia="SabonLTStd-Roman" w:hAnsi="Book Antiqua" w:cstheme="minorHAnsi"/>
          <w:sz w:val="24"/>
          <w:szCs w:val="24"/>
          <w:lang w:val="en-GB"/>
        </w:rPr>
        <w:t xml:space="preserve">active </w:t>
      </w:r>
      <w:r w:rsidR="004D258D" w:rsidRPr="00CD4428">
        <w:rPr>
          <w:rFonts w:ascii="Book Antiqua" w:eastAsia="SabonLTStd-Roman" w:hAnsi="Book Antiqua" w:cstheme="minorHAnsi"/>
          <w:sz w:val="24"/>
          <w:szCs w:val="24"/>
          <w:lang w:val="en-GB"/>
        </w:rPr>
        <w:t>inflammatory bowel diseases</w:t>
      </w:r>
      <w:r w:rsidR="004D258D" w:rsidRPr="00CD4428">
        <w:rPr>
          <w:rFonts w:ascii="Book Antiqua" w:eastAsia="SabonLTStd-Roman" w:hAnsi="Book Antiqua" w:cstheme="minorHAnsi"/>
          <w:b/>
          <w:sz w:val="24"/>
          <w:szCs w:val="24"/>
          <w:lang w:val="en-GB"/>
        </w:rPr>
        <w:t xml:space="preserve"> (</w:t>
      </w:r>
      <w:r w:rsidRPr="00CD4428">
        <w:rPr>
          <w:rFonts w:ascii="Book Antiqua" w:eastAsia="SabonLTStd-Roman" w:hAnsi="Book Antiqua" w:cstheme="minorHAnsi"/>
          <w:sz w:val="24"/>
          <w:szCs w:val="24"/>
          <w:lang w:val="en-GB"/>
        </w:rPr>
        <w:t>IBD</w:t>
      </w:r>
      <w:r w:rsidR="004D258D" w:rsidRPr="00CD4428">
        <w:rPr>
          <w:rFonts w:ascii="Book Antiqua" w:eastAsia="SabonLTStd-Roman" w:hAnsi="Book Antiqua" w:cstheme="minorHAnsi"/>
          <w:sz w:val="24"/>
          <w:szCs w:val="24"/>
          <w:lang w:val="en-GB"/>
        </w:rPr>
        <w:t>)</w:t>
      </w:r>
      <w:r w:rsidR="001A0C9B" w:rsidRPr="00CD4428">
        <w:rPr>
          <w:rFonts w:ascii="Book Antiqua" w:eastAsia="SabonLTStd-Roman" w:hAnsi="Book Antiqua" w:cstheme="minorHAnsi"/>
          <w:sz w:val="24"/>
          <w:szCs w:val="24"/>
          <w:lang w:val="en-GB"/>
        </w:rPr>
        <w:t xml:space="preserve"> </w:t>
      </w:r>
      <w:r w:rsidR="00F10506" w:rsidRPr="00CD4428">
        <w:rPr>
          <w:rFonts w:ascii="Book Antiqua" w:eastAsia="SabonLTStd-Roman" w:hAnsi="Book Antiqua" w:cstheme="minorHAnsi"/>
          <w:sz w:val="24"/>
          <w:szCs w:val="24"/>
          <w:lang w:val="en-GB"/>
        </w:rPr>
        <w:t xml:space="preserve">that are </w:t>
      </w:r>
      <w:r w:rsidR="001A0C9B" w:rsidRPr="00CD4428">
        <w:rPr>
          <w:rFonts w:ascii="Book Antiqua" w:eastAsia="SabonLTStd-Roman" w:hAnsi="Book Antiqua" w:cstheme="minorHAnsi"/>
          <w:sz w:val="24"/>
          <w:szCs w:val="24"/>
          <w:lang w:val="en-GB"/>
        </w:rPr>
        <w:t xml:space="preserve">refractory to conventional </w:t>
      </w:r>
      <w:proofErr w:type="gramStart"/>
      <w:r w:rsidR="001A0C9B" w:rsidRPr="00CD4428">
        <w:rPr>
          <w:rFonts w:ascii="Book Antiqua" w:eastAsia="SabonLTStd-Roman" w:hAnsi="Book Antiqua" w:cstheme="minorHAnsi"/>
          <w:sz w:val="24"/>
          <w:szCs w:val="24"/>
          <w:lang w:val="en-GB"/>
        </w:rPr>
        <w:t>treatments</w:t>
      </w:r>
      <w:r w:rsidR="003C1C02" w:rsidRPr="00CD4428">
        <w:rPr>
          <w:rFonts w:ascii="Book Antiqua" w:eastAsia="SabonLTStd-Roman" w:hAnsi="Book Antiqua" w:cstheme="minorHAnsi"/>
          <w:sz w:val="24"/>
          <w:szCs w:val="24"/>
          <w:vertAlign w:val="superscript"/>
          <w:lang w:val="en-GB"/>
        </w:rPr>
        <w:t>[</w:t>
      </w:r>
      <w:proofErr w:type="gramEnd"/>
      <w:r w:rsidR="003C1C02" w:rsidRPr="00CD4428">
        <w:rPr>
          <w:rFonts w:ascii="Book Antiqua" w:eastAsia="SabonLTStd-Roman" w:hAnsi="Book Antiqua" w:cstheme="minorHAnsi"/>
          <w:sz w:val="24"/>
          <w:szCs w:val="24"/>
          <w:vertAlign w:val="superscript"/>
          <w:lang w:val="en-GB"/>
        </w:rPr>
        <w:t>1</w:t>
      </w:r>
      <w:r w:rsidR="004C65BE" w:rsidRPr="00CD4428">
        <w:rPr>
          <w:rFonts w:ascii="Book Antiqua" w:eastAsia="SabonLTStd-Roman" w:hAnsi="Book Antiqua" w:cstheme="minorHAnsi"/>
          <w:sz w:val="24"/>
          <w:szCs w:val="24"/>
          <w:vertAlign w:val="superscript"/>
          <w:lang w:val="en-GB"/>
        </w:rPr>
        <w:t>-3</w:t>
      </w:r>
      <w:r w:rsidR="003C1C02" w:rsidRPr="00CD4428">
        <w:rPr>
          <w:rFonts w:ascii="Book Antiqua" w:eastAsia="SabonLTStd-Roman" w:hAnsi="Book Antiqua" w:cstheme="minorHAnsi"/>
          <w:sz w:val="24"/>
          <w:szCs w:val="24"/>
          <w:vertAlign w:val="superscript"/>
          <w:lang w:val="en-GB"/>
        </w:rPr>
        <w:t>]</w:t>
      </w:r>
      <w:r w:rsidR="000A4B6B" w:rsidRPr="00CD4428">
        <w:rPr>
          <w:rFonts w:ascii="Book Antiqua" w:eastAsia="SabonLTStd-Roman" w:hAnsi="Book Antiqua" w:cstheme="minorHAnsi"/>
          <w:sz w:val="24"/>
          <w:szCs w:val="24"/>
          <w:lang w:val="en-GB"/>
        </w:rPr>
        <w:t>.</w:t>
      </w:r>
      <w:r w:rsidR="00590110" w:rsidRPr="00CD4428">
        <w:rPr>
          <w:rFonts w:ascii="Book Antiqua" w:eastAsia="SabonLTStd-Roman" w:hAnsi="Book Antiqua" w:cstheme="minorHAnsi"/>
          <w:sz w:val="24"/>
          <w:szCs w:val="24"/>
          <w:lang w:val="en-GB"/>
        </w:rPr>
        <w:t xml:space="preserve"> </w:t>
      </w:r>
      <w:r w:rsidR="000A4B6B" w:rsidRPr="00CD4428">
        <w:rPr>
          <w:rFonts w:ascii="Book Antiqua" w:eastAsia="SabonLTStd-Roman" w:hAnsi="Book Antiqua" w:cstheme="minorHAnsi"/>
          <w:sz w:val="24"/>
          <w:szCs w:val="24"/>
          <w:lang w:val="en-GB"/>
        </w:rPr>
        <w:t xml:space="preserve">However, a proportion of patients do not respond to these drugs, loose </w:t>
      </w:r>
      <w:r w:rsidR="009E24AE" w:rsidRPr="00CD4428">
        <w:rPr>
          <w:rFonts w:ascii="Book Antiqua" w:eastAsia="SabonLTStd-Roman" w:hAnsi="Book Antiqua" w:cstheme="minorHAnsi"/>
          <w:sz w:val="24"/>
          <w:szCs w:val="24"/>
          <w:lang w:val="en-GB"/>
        </w:rPr>
        <w:t xml:space="preserve">their </w:t>
      </w:r>
      <w:r w:rsidR="000A4B6B" w:rsidRPr="00CD4428">
        <w:rPr>
          <w:rFonts w:ascii="Book Antiqua" w:eastAsia="SabonLTStd-Roman" w:hAnsi="Book Antiqua" w:cstheme="minorHAnsi"/>
          <w:sz w:val="24"/>
          <w:szCs w:val="24"/>
          <w:lang w:val="en-GB"/>
        </w:rPr>
        <w:t>response over time</w:t>
      </w:r>
      <w:r w:rsidR="009E24AE" w:rsidRPr="00CD4428">
        <w:rPr>
          <w:rFonts w:ascii="Book Antiqua" w:eastAsia="SabonLTStd-Roman" w:hAnsi="Book Antiqua" w:cstheme="minorHAnsi"/>
          <w:sz w:val="24"/>
          <w:szCs w:val="24"/>
          <w:lang w:val="en-GB"/>
        </w:rPr>
        <w:t>,</w:t>
      </w:r>
      <w:r w:rsidR="000A4B6B" w:rsidRPr="00CD4428">
        <w:rPr>
          <w:rFonts w:ascii="Book Antiqua" w:eastAsia="SabonLTStd-Roman" w:hAnsi="Book Antiqua" w:cstheme="minorHAnsi"/>
          <w:sz w:val="24"/>
          <w:szCs w:val="24"/>
          <w:lang w:val="en-GB"/>
        </w:rPr>
        <w:t xml:space="preserve"> or are intolerant </w:t>
      </w:r>
      <w:r w:rsidR="00EC0916" w:rsidRPr="00CD4428">
        <w:rPr>
          <w:rFonts w:ascii="Book Antiqua" w:eastAsia="SabonLTStd-Roman" w:hAnsi="Book Antiqua" w:cstheme="minorHAnsi"/>
          <w:sz w:val="24"/>
          <w:szCs w:val="24"/>
          <w:lang w:val="en-GB"/>
        </w:rPr>
        <w:t xml:space="preserve">to </w:t>
      </w:r>
      <w:r w:rsidR="009E24AE" w:rsidRPr="00CD4428">
        <w:rPr>
          <w:rFonts w:ascii="Book Antiqua" w:eastAsia="SabonLTStd-Roman" w:hAnsi="Book Antiqua" w:cstheme="minorHAnsi"/>
          <w:sz w:val="24"/>
          <w:szCs w:val="24"/>
          <w:lang w:val="en-GB"/>
        </w:rPr>
        <w:t xml:space="preserve">these </w:t>
      </w:r>
      <w:proofErr w:type="gramStart"/>
      <w:r w:rsidR="009E24AE" w:rsidRPr="00CD4428">
        <w:rPr>
          <w:rFonts w:ascii="Book Antiqua" w:eastAsia="SabonLTStd-Roman" w:hAnsi="Book Antiqua" w:cstheme="minorHAnsi"/>
          <w:sz w:val="24"/>
          <w:szCs w:val="24"/>
          <w:lang w:val="en-GB"/>
        </w:rPr>
        <w:t>treatments</w:t>
      </w:r>
      <w:r w:rsidR="003C1C02" w:rsidRPr="00CD4428">
        <w:rPr>
          <w:rFonts w:ascii="Book Antiqua" w:eastAsia="SabonLTStd-Roman" w:hAnsi="Book Antiqua" w:cstheme="minorHAnsi"/>
          <w:sz w:val="24"/>
          <w:szCs w:val="24"/>
          <w:vertAlign w:val="superscript"/>
          <w:lang w:val="en-GB"/>
        </w:rPr>
        <w:t>[</w:t>
      </w:r>
      <w:proofErr w:type="gramEnd"/>
      <w:r w:rsidR="007C0552" w:rsidRPr="00CD4428">
        <w:rPr>
          <w:rFonts w:ascii="Book Antiqua" w:eastAsia="SabonLTStd-Roman" w:hAnsi="Book Antiqua" w:cstheme="minorHAnsi"/>
          <w:sz w:val="24"/>
          <w:szCs w:val="24"/>
          <w:vertAlign w:val="superscript"/>
          <w:lang w:val="en-GB"/>
        </w:rPr>
        <w:t>4-6</w:t>
      </w:r>
      <w:r w:rsidR="003C1C02" w:rsidRPr="00CD4428">
        <w:rPr>
          <w:rFonts w:ascii="Book Antiqua" w:eastAsia="SabonLTStd-Roman" w:hAnsi="Book Antiqua" w:cstheme="minorHAnsi"/>
          <w:sz w:val="24"/>
          <w:szCs w:val="24"/>
          <w:vertAlign w:val="superscript"/>
          <w:lang w:val="en-GB"/>
        </w:rPr>
        <w:t>]</w:t>
      </w:r>
      <w:r w:rsidR="00EC0916" w:rsidRPr="00CD4428">
        <w:rPr>
          <w:rFonts w:ascii="Book Antiqua" w:eastAsia="SabonLTStd-Roman" w:hAnsi="Book Antiqua" w:cstheme="minorHAnsi"/>
          <w:sz w:val="24"/>
          <w:szCs w:val="24"/>
          <w:lang w:val="en-GB"/>
        </w:rPr>
        <w:t>.</w:t>
      </w:r>
      <w:r w:rsidR="00590110" w:rsidRPr="00CD4428">
        <w:rPr>
          <w:rFonts w:ascii="Book Antiqua" w:eastAsia="SabonLTStd-Roman" w:hAnsi="Book Antiqua" w:cstheme="minorHAnsi"/>
          <w:sz w:val="24"/>
          <w:szCs w:val="24"/>
          <w:lang w:val="en-GB"/>
        </w:rPr>
        <w:t xml:space="preserve"> </w:t>
      </w:r>
      <w:r w:rsidR="00573F17" w:rsidRPr="00CD4428">
        <w:rPr>
          <w:rFonts w:ascii="Book Antiqua" w:eastAsia="SabonLTStd-Roman" w:hAnsi="Book Antiqua" w:cstheme="minorHAnsi"/>
          <w:sz w:val="24"/>
          <w:szCs w:val="24"/>
          <w:lang w:val="en-GB"/>
        </w:rPr>
        <w:t>A</w:t>
      </w:r>
      <w:r w:rsidR="00896F7C" w:rsidRPr="00CD4428">
        <w:rPr>
          <w:rFonts w:ascii="Book Antiqua" w:eastAsia="SabonLTStd-Roman" w:hAnsi="Book Antiqua" w:cstheme="minorHAnsi"/>
          <w:sz w:val="24"/>
          <w:szCs w:val="24"/>
          <w:lang w:val="en-GB"/>
        </w:rPr>
        <w:t>ddition</w:t>
      </w:r>
      <w:r w:rsidR="00573F17" w:rsidRPr="00CD4428">
        <w:rPr>
          <w:rFonts w:ascii="Book Antiqua" w:eastAsia="SabonLTStd-Roman" w:hAnsi="Book Antiqua" w:cstheme="minorHAnsi"/>
          <w:sz w:val="24"/>
          <w:szCs w:val="24"/>
          <w:lang w:val="en-GB"/>
        </w:rPr>
        <w:t>ally</w:t>
      </w:r>
      <w:r w:rsidR="00896F7C" w:rsidRPr="00CD4428">
        <w:rPr>
          <w:rFonts w:ascii="Book Antiqua" w:eastAsia="SabonLTStd-Roman" w:hAnsi="Book Antiqua" w:cstheme="minorHAnsi"/>
          <w:sz w:val="24"/>
          <w:szCs w:val="24"/>
          <w:lang w:val="en-GB"/>
        </w:rPr>
        <w:t xml:space="preserve">, the efficacy of </w:t>
      </w:r>
      <w:r w:rsidR="004648D7" w:rsidRPr="00CD4428">
        <w:rPr>
          <w:rFonts w:ascii="Book Antiqua" w:eastAsia="SabonLTStd-Roman" w:hAnsi="Book Antiqua" w:cstheme="minorHAnsi"/>
          <w:sz w:val="24"/>
          <w:szCs w:val="24"/>
          <w:lang w:val="en-GB"/>
        </w:rPr>
        <w:t xml:space="preserve">a </w:t>
      </w:r>
      <w:r w:rsidR="00896F7C" w:rsidRPr="00CD4428">
        <w:rPr>
          <w:rFonts w:ascii="Book Antiqua" w:eastAsia="SabonLTStd-Roman" w:hAnsi="Book Antiqua" w:cstheme="minorHAnsi"/>
          <w:sz w:val="24"/>
          <w:szCs w:val="24"/>
          <w:lang w:val="en-GB"/>
        </w:rPr>
        <w:t>second anti-TNF</w:t>
      </w:r>
      <w:r w:rsidR="00F77992" w:rsidRPr="00CD4428">
        <w:rPr>
          <w:rFonts w:ascii="Book Antiqua" w:eastAsia="SabonLTStd-Roman" w:hAnsi="Book Antiqua" w:cstheme="minorHAnsi"/>
          <w:sz w:val="24"/>
          <w:szCs w:val="24"/>
          <w:lang w:val="en-GB"/>
        </w:rPr>
        <w:t>α</w:t>
      </w:r>
      <w:r w:rsidR="00896F7C" w:rsidRPr="00CD4428">
        <w:rPr>
          <w:rFonts w:ascii="Book Antiqua" w:eastAsia="SabonLTStd-Roman" w:hAnsi="Book Antiqua" w:cstheme="minorHAnsi"/>
          <w:sz w:val="24"/>
          <w:szCs w:val="24"/>
          <w:lang w:val="en-GB"/>
        </w:rPr>
        <w:t xml:space="preserve"> agent is lower in patients who have previously received an anti-TNF</w:t>
      </w:r>
      <w:r w:rsidR="00F77992" w:rsidRPr="00CD4428">
        <w:rPr>
          <w:rFonts w:ascii="Book Antiqua" w:eastAsia="SabonLTStd-Roman" w:hAnsi="Book Antiqua" w:cstheme="minorHAnsi"/>
          <w:sz w:val="24"/>
          <w:szCs w:val="24"/>
          <w:lang w:val="en-GB"/>
        </w:rPr>
        <w:t>α</w:t>
      </w:r>
      <w:r w:rsidR="00896F7C" w:rsidRPr="00CD4428">
        <w:rPr>
          <w:rFonts w:ascii="Book Antiqua" w:eastAsia="SabonLTStd-Roman" w:hAnsi="Book Antiqua" w:cstheme="minorHAnsi"/>
          <w:sz w:val="24"/>
          <w:szCs w:val="24"/>
          <w:lang w:val="en-GB"/>
        </w:rPr>
        <w:t xml:space="preserve"> </w:t>
      </w:r>
      <w:proofErr w:type="gramStart"/>
      <w:r w:rsidR="00896F7C" w:rsidRPr="00CD4428">
        <w:rPr>
          <w:rFonts w:ascii="Book Antiqua" w:eastAsia="SabonLTStd-Roman" w:hAnsi="Book Antiqua" w:cstheme="minorHAnsi"/>
          <w:sz w:val="24"/>
          <w:szCs w:val="24"/>
          <w:lang w:val="en-GB"/>
        </w:rPr>
        <w:t>drug</w:t>
      </w:r>
      <w:r w:rsidR="004342B6" w:rsidRPr="00CD4428">
        <w:rPr>
          <w:rFonts w:ascii="Book Antiqua" w:eastAsia="SabonLTStd-Roman" w:hAnsi="Book Antiqua" w:cstheme="minorHAnsi"/>
          <w:sz w:val="24"/>
          <w:szCs w:val="24"/>
          <w:vertAlign w:val="superscript"/>
          <w:lang w:val="en-GB"/>
        </w:rPr>
        <w:t>[</w:t>
      </w:r>
      <w:proofErr w:type="gramEnd"/>
      <w:r w:rsidR="007C0552" w:rsidRPr="00CD4428">
        <w:rPr>
          <w:rFonts w:ascii="Book Antiqua" w:eastAsia="SabonLTStd-Roman" w:hAnsi="Book Antiqua" w:cstheme="minorHAnsi"/>
          <w:sz w:val="24"/>
          <w:szCs w:val="24"/>
          <w:vertAlign w:val="superscript"/>
          <w:lang w:val="en-GB"/>
        </w:rPr>
        <w:t>7</w:t>
      </w:r>
      <w:r w:rsidR="004342B6" w:rsidRPr="00CD4428">
        <w:rPr>
          <w:rFonts w:ascii="Book Antiqua" w:eastAsia="SabonLTStd-Roman" w:hAnsi="Book Antiqua" w:cstheme="minorHAnsi"/>
          <w:sz w:val="24"/>
          <w:szCs w:val="24"/>
          <w:vertAlign w:val="superscript"/>
          <w:lang w:val="en-GB"/>
        </w:rPr>
        <w:t>]</w:t>
      </w:r>
      <w:r w:rsidR="00896F7C" w:rsidRPr="00CD4428">
        <w:rPr>
          <w:rFonts w:ascii="Book Antiqua" w:eastAsia="SabonLTStd-Roman" w:hAnsi="Book Antiqua" w:cstheme="minorHAnsi"/>
          <w:sz w:val="24"/>
          <w:szCs w:val="24"/>
          <w:lang w:val="en-GB"/>
        </w:rPr>
        <w:t xml:space="preserve">. </w:t>
      </w:r>
      <w:r w:rsidR="00702EDA" w:rsidRPr="00CD4428">
        <w:rPr>
          <w:rFonts w:ascii="Book Antiqua" w:eastAsia="SabonLTStd-Roman" w:hAnsi="Book Antiqua" w:cstheme="minorHAnsi"/>
          <w:sz w:val="24"/>
          <w:szCs w:val="24"/>
          <w:lang w:val="en-GB"/>
        </w:rPr>
        <w:t xml:space="preserve">Therefore, the </w:t>
      </w:r>
      <w:r w:rsidR="00870E52" w:rsidRPr="00CD4428">
        <w:rPr>
          <w:rFonts w:ascii="Book Antiqua" w:eastAsia="SabonLTStd-Roman" w:hAnsi="Book Antiqua" w:cstheme="minorHAnsi"/>
          <w:sz w:val="24"/>
          <w:szCs w:val="24"/>
          <w:lang w:val="en-GB"/>
        </w:rPr>
        <w:t>advent</w:t>
      </w:r>
      <w:r w:rsidR="00702EDA" w:rsidRPr="00CD4428">
        <w:rPr>
          <w:rFonts w:ascii="Book Antiqua" w:eastAsia="SabonLTStd-Roman" w:hAnsi="Book Antiqua" w:cstheme="minorHAnsi"/>
          <w:sz w:val="24"/>
          <w:szCs w:val="24"/>
          <w:lang w:val="en-GB"/>
        </w:rPr>
        <w:t xml:space="preserve"> of </w:t>
      </w:r>
      <w:r w:rsidR="001A0C9B" w:rsidRPr="00CD4428">
        <w:rPr>
          <w:rFonts w:ascii="Book Antiqua" w:eastAsia="SabonLTStd-Roman" w:hAnsi="Book Antiqua" w:cstheme="minorHAnsi"/>
          <w:sz w:val="24"/>
          <w:szCs w:val="24"/>
          <w:lang w:val="en-GB"/>
        </w:rPr>
        <w:t xml:space="preserve">a newer class of therapy, characterized by a </w:t>
      </w:r>
      <w:r w:rsidR="00896F7C" w:rsidRPr="00CD4428">
        <w:rPr>
          <w:rFonts w:ascii="Book Antiqua" w:eastAsia="SabonLTStd-Roman" w:hAnsi="Book Antiqua" w:cstheme="minorHAnsi"/>
          <w:sz w:val="24"/>
          <w:szCs w:val="24"/>
          <w:lang w:val="en-GB"/>
        </w:rPr>
        <w:t>different mode of action</w:t>
      </w:r>
      <w:r w:rsidR="00F033AB" w:rsidRPr="00CD4428">
        <w:rPr>
          <w:rFonts w:ascii="Book Antiqua" w:eastAsia="SabonLTStd-Roman" w:hAnsi="Book Antiqua" w:cstheme="minorHAnsi"/>
          <w:sz w:val="24"/>
          <w:szCs w:val="24"/>
          <w:lang w:val="en-GB"/>
        </w:rPr>
        <w:t xml:space="preserve">, </w:t>
      </w:r>
      <w:r w:rsidR="009E24AE" w:rsidRPr="00CD4428">
        <w:rPr>
          <w:rFonts w:ascii="Book Antiqua" w:eastAsia="SabonLTStd-Roman" w:hAnsi="Book Antiqua" w:cstheme="minorHAnsi"/>
          <w:sz w:val="24"/>
          <w:szCs w:val="24"/>
          <w:lang w:val="en-GB"/>
        </w:rPr>
        <w:t xml:space="preserve">is </w:t>
      </w:r>
      <w:r w:rsidR="00F033AB" w:rsidRPr="00CD4428">
        <w:rPr>
          <w:rFonts w:ascii="Book Antiqua" w:eastAsia="SabonLTStd-Roman" w:hAnsi="Book Antiqua" w:cstheme="minorHAnsi"/>
          <w:sz w:val="24"/>
          <w:szCs w:val="24"/>
          <w:lang w:val="en-GB"/>
        </w:rPr>
        <w:t>an attractive option for patients</w:t>
      </w:r>
      <w:r w:rsidR="004648D7" w:rsidRPr="00CD4428">
        <w:rPr>
          <w:rFonts w:ascii="Book Antiqua" w:eastAsia="SabonLTStd-Roman" w:hAnsi="Book Antiqua" w:cstheme="minorHAnsi"/>
          <w:sz w:val="24"/>
          <w:szCs w:val="24"/>
          <w:lang w:val="en-GB"/>
        </w:rPr>
        <w:t xml:space="preserve"> with IBD</w:t>
      </w:r>
      <w:r w:rsidR="00F033AB" w:rsidRPr="00CD4428">
        <w:rPr>
          <w:rFonts w:ascii="Book Antiqua" w:eastAsia="SabonLTStd-Roman" w:hAnsi="Book Antiqua" w:cstheme="minorHAnsi"/>
          <w:sz w:val="24"/>
          <w:szCs w:val="24"/>
          <w:lang w:val="en-GB"/>
        </w:rPr>
        <w:t>.</w:t>
      </w:r>
      <w:r w:rsidR="00936E0F">
        <w:rPr>
          <w:rFonts w:ascii="Book Antiqua" w:eastAsia="SabonLTStd-Roman" w:hAnsi="Book Antiqua" w:cstheme="minorHAnsi"/>
          <w:sz w:val="24"/>
          <w:szCs w:val="24"/>
          <w:lang w:val="en-GB"/>
        </w:rPr>
        <w:t xml:space="preserve"> </w:t>
      </w:r>
    </w:p>
    <w:p w14:paraId="551FC497" w14:textId="66F1FE71" w:rsidR="00FE2B17" w:rsidRPr="00CD4428" w:rsidRDefault="00FE2B17" w:rsidP="000E0FEB">
      <w:pPr>
        <w:autoSpaceDE w:val="0"/>
        <w:autoSpaceDN w:val="0"/>
        <w:adjustRightInd w:val="0"/>
        <w:snapToGrid w:val="0"/>
        <w:spacing w:after="0" w:line="360" w:lineRule="auto"/>
        <w:ind w:firstLineChars="100" w:firstLine="240"/>
        <w:jc w:val="both"/>
        <w:rPr>
          <w:rFonts w:ascii="Book Antiqua" w:eastAsia="SabonLTStd-Roman" w:hAnsi="Book Antiqua" w:cstheme="minorHAnsi"/>
          <w:sz w:val="24"/>
          <w:szCs w:val="24"/>
          <w:lang w:val="en-GB"/>
        </w:rPr>
      </w:pPr>
      <w:proofErr w:type="spellStart"/>
      <w:r w:rsidRPr="00CD4428">
        <w:rPr>
          <w:rFonts w:ascii="Book Antiqua" w:eastAsia="SabonLTStd-Roman" w:hAnsi="Book Antiqua" w:cstheme="minorHAnsi"/>
          <w:sz w:val="24"/>
          <w:szCs w:val="24"/>
          <w:lang w:val="en-GB"/>
        </w:rPr>
        <w:t>Vedolizumab</w:t>
      </w:r>
      <w:proofErr w:type="spellEnd"/>
      <w:r w:rsidR="00590110" w:rsidRPr="00CD4428">
        <w:rPr>
          <w:rFonts w:ascii="Book Antiqua" w:eastAsia="SabonLTStd-Roman" w:hAnsi="Book Antiqua" w:cstheme="minorHAnsi"/>
          <w:sz w:val="24"/>
          <w:szCs w:val="24"/>
          <w:lang w:val="en-GB"/>
        </w:rPr>
        <w:t xml:space="preserve"> </w:t>
      </w:r>
      <w:r w:rsidRPr="00CD4428">
        <w:rPr>
          <w:rFonts w:ascii="Book Antiqua" w:eastAsia="SabonLTStd-Roman" w:hAnsi="Book Antiqua" w:cstheme="minorHAnsi"/>
          <w:sz w:val="24"/>
          <w:szCs w:val="24"/>
          <w:lang w:val="en-GB"/>
        </w:rPr>
        <w:t>is</w:t>
      </w:r>
      <w:r w:rsidR="004648D7" w:rsidRPr="00CD4428">
        <w:rPr>
          <w:rFonts w:ascii="Book Antiqua" w:eastAsia="SabonLTStd-Roman" w:hAnsi="Book Antiqua" w:cstheme="minorHAnsi"/>
          <w:sz w:val="24"/>
          <w:szCs w:val="24"/>
          <w:lang w:val="en-GB"/>
        </w:rPr>
        <w:t xml:space="preserve"> a</w:t>
      </w:r>
      <w:r w:rsidRPr="00CD4428">
        <w:rPr>
          <w:rFonts w:ascii="Book Antiqua" w:eastAsia="SabonLTStd-Roman" w:hAnsi="Book Antiqua" w:cstheme="minorHAnsi"/>
          <w:sz w:val="24"/>
          <w:szCs w:val="24"/>
          <w:lang w:val="en-GB"/>
        </w:rPr>
        <w:t xml:space="preserve"> fully humanised monoclonal </w:t>
      </w:r>
      <w:r w:rsidR="009E24AE" w:rsidRPr="00CD4428">
        <w:rPr>
          <w:rFonts w:ascii="Book Antiqua" w:eastAsia="SabonLTStd-Roman" w:hAnsi="Book Antiqua" w:cstheme="minorHAnsi"/>
          <w:sz w:val="24"/>
          <w:szCs w:val="24"/>
          <w:lang w:val="en-GB"/>
        </w:rPr>
        <w:t>I</w:t>
      </w:r>
      <w:r w:rsidR="00D70AE9" w:rsidRPr="00CD4428">
        <w:rPr>
          <w:rFonts w:ascii="Book Antiqua" w:eastAsia="SabonLTStd-Roman" w:hAnsi="Book Antiqua" w:cstheme="minorHAnsi"/>
          <w:sz w:val="24"/>
          <w:szCs w:val="24"/>
          <w:lang w:val="en-GB"/>
        </w:rPr>
        <w:t xml:space="preserve">gG-1 </w:t>
      </w:r>
      <w:r w:rsidRPr="00CD4428">
        <w:rPr>
          <w:rFonts w:ascii="Book Antiqua" w:eastAsia="SabonLTStd-Roman" w:hAnsi="Book Antiqua" w:cstheme="minorHAnsi"/>
          <w:sz w:val="24"/>
          <w:szCs w:val="24"/>
          <w:lang w:val="en-GB"/>
        </w:rPr>
        <w:t xml:space="preserve">antibody that </w:t>
      </w:r>
      <w:r w:rsidR="009B59C8" w:rsidRPr="00CD4428">
        <w:rPr>
          <w:rFonts w:ascii="Book Antiqua" w:eastAsia="SabonLTStd-Roman" w:hAnsi="Book Antiqua" w:cstheme="minorHAnsi"/>
          <w:sz w:val="24"/>
          <w:szCs w:val="24"/>
          <w:lang w:val="en-GB"/>
        </w:rPr>
        <w:t xml:space="preserve">selectively inhibits the interaction between </w:t>
      </w:r>
      <w:r w:rsidRPr="00CD4428">
        <w:rPr>
          <w:rFonts w:ascii="Book Antiqua" w:eastAsia="SabonLTStd-Roman" w:hAnsi="Book Antiqua" w:cstheme="minorHAnsi"/>
          <w:sz w:val="24"/>
          <w:szCs w:val="24"/>
          <w:lang w:val="en-GB"/>
        </w:rPr>
        <w:t>α4β7 integrin</w:t>
      </w:r>
      <w:r w:rsidR="009B59C8" w:rsidRPr="00CD4428">
        <w:rPr>
          <w:rFonts w:ascii="Book Antiqua" w:eastAsia="SabonLTStd-Roman" w:hAnsi="Book Antiqua" w:cstheme="minorHAnsi"/>
          <w:sz w:val="24"/>
          <w:szCs w:val="24"/>
          <w:lang w:val="en-GB"/>
        </w:rPr>
        <w:t xml:space="preserve"> and mucosal </w:t>
      </w:r>
      <w:proofErr w:type="spellStart"/>
      <w:r w:rsidR="009B59C8" w:rsidRPr="00CD4428">
        <w:rPr>
          <w:rFonts w:ascii="Book Antiqua" w:eastAsia="SabonLTStd-Roman" w:hAnsi="Book Antiqua" w:cstheme="minorHAnsi"/>
          <w:sz w:val="24"/>
          <w:szCs w:val="24"/>
          <w:lang w:val="en-GB"/>
        </w:rPr>
        <w:t>addressin</w:t>
      </w:r>
      <w:proofErr w:type="spellEnd"/>
      <w:r w:rsidR="009B59C8" w:rsidRPr="00CD4428">
        <w:rPr>
          <w:rFonts w:ascii="Book Antiqua" w:eastAsia="SabonLTStd-Roman" w:hAnsi="Book Antiqua" w:cstheme="minorHAnsi"/>
          <w:sz w:val="24"/>
          <w:szCs w:val="24"/>
          <w:lang w:val="en-GB"/>
        </w:rPr>
        <w:t xml:space="preserve"> cell adhesion molecule-1 (MAdCAM</w:t>
      </w:r>
      <w:r w:rsidR="006A1B0A" w:rsidRPr="00CD4428">
        <w:rPr>
          <w:rFonts w:ascii="Book Antiqua" w:eastAsia="SabonLTStd-Roman" w:hAnsi="Book Antiqua" w:cstheme="minorHAnsi"/>
          <w:sz w:val="24"/>
          <w:szCs w:val="24"/>
          <w:lang w:val="en-GB"/>
        </w:rPr>
        <w:t>-1</w:t>
      </w:r>
      <w:r w:rsidR="009B59C8" w:rsidRPr="00CD4428">
        <w:rPr>
          <w:rFonts w:ascii="Book Antiqua" w:eastAsia="SabonLTStd-Roman" w:hAnsi="Book Antiqua" w:cstheme="minorHAnsi"/>
          <w:sz w:val="24"/>
          <w:szCs w:val="24"/>
          <w:lang w:val="en-GB"/>
        </w:rPr>
        <w:t>)</w:t>
      </w:r>
      <w:r w:rsidR="009E24AE" w:rsidRPr="00CD4428">
        <w:rPr>
          <w:rFonts w:ascii="Book Antiqua" w:eastAsia="SabonLTStd-Roman" w:hAnsi="Book Antiqua" w:cstheme="minorHAnsi"/>
          <w:sz w:val="24"/>
          <w:szCs w:val="24"/>
          <w:lang w:val="en-GB"/>
        </w:rPr>
        <w:t>. It</w:t>
      </w:r>
      <w:r w:rsidR="009B59C8" w:rsidRPr="00CD4428">
        <w:rPr>
          <w:rFonts w:ascii="Book Antiqua" w:eastAsia="SabonLTStd-Roman" w:hAnsi="Book Antiqua" w:cstheme="minorHAnsi"/>
          <w:sz w:val="24"/>
          <w:szCs w:val="24"/>
          <w:lang w:val="en-GB"/>
        </w:rPr>
        <w:t xml:space="preserve"> prevent</w:t>
      </w:r>
      <w:r w:rsidR="009E24AE" w:rsidRPr="00CD4428">
        <w:rPr>
          <w:rFonts w:ascii="Book Antiqua" w:eastAsia="SabonLTStd-Roman" w:hAnsi="Book Antiqua" w:cstheme="minorHAnsi"/>
          <w:sz w:val="24"/>
          <w:szCs w:val="24"/>
          <w:lang w:val="en-GB"/>
        </w:rPr>
        <w:t>s</w:t>
      </w:r>
      <w:r w:rsidR="009B59C8" w:rsidRPr="00CD4428">
        <w:rPr>
          <w:rFonts w:ascii="Book Antiqua" w:eastAsia="SabonLTStd-Roman" w:hAnsi="Book Antiqua" w:cstheme="minorHAnsi"/>
          <w:sz w:val="24"/>
          <w:szCs w:val="24"/>
          <w:lang w:val="en-GB"/>
        </w:rPr>
        <w:t xml:space="preserve"> </w:t>
      </w:r>
      <w:r w:rsidR="00A60801" w:rsidRPr="00CD4428">
        <w:rPr>
          <w:rFonts w:ascii="Book Antiqua" w:eastAsia="SabonLTStd-Roman" w:hAnsi="Book Antiqua" w:cstheme="minorHAnsi"/>
          <w:sz w:val="24"/>
          <w:szCs w:val="24"/>
          <w:lang w:val="en-GB"/>
        </w:rPr>
        <w:t xml:space="preserve">lymphocyte </w:t>
      </w:r>
      <w:r w:rsidR="009B59C8" w:rsidRPr="00CD4428">
        <w:rPr>
          <w:rFonts w:ascii="Book Antiqua" w:eastAsia="SabonLTStd-Roman" w:hAnsi="Book Antiqua" w:cstheme="minorHAnsi"/>
          <w:sz w:val="24"/>
          <w:szCs w:val="24"/>
          <w:lang w:val="en-GB"/>
        </w:rPr>
        <w:t>tra</w:t>
      </w:r>
      <w:r w:rsidR="00F45968" w:rsidRPr="00CD4428">
        <w:rPr>
          <w:rFonts w:ascii="Book Antiqua" w:eastAsia="SabonLTStd-Roman" w:hAnsi="Book Antiqua" w:cstheme="minorHAnsi"/>
          <w:sz w:val="24"/>
          <w:szCs w:val="24"/>
          <w:lang w:val="en-GB"/>
        </w:rPr>
        <w:t>n</w:t>
      </w:r>
      <w:r w:rsidR="009B59C8" w:rsidRPr="00CD4428">
        <w:rPr>
          <w:rFonts w:ascii="Book Antiqua" w:eastAsia="SabonLTStd-Roman" w:hAnsi="Book Antiqua" w:cstheme="minorHAnsi"/>
          <w:sz w:val="24"/>
          <w:szCs w:val="24"/>
          <w:lang w:val="en-GB"/>
        </w:rPr>
        <w:t xml:space="preserve">slocation </w:t>
      </w:r>
      <w:r w:rsidR="00D462AB" w:rsidRPr="00CD4428">
        <w:rPr>
          <w:rFonts w:ascii="Book Antiqua" w:eastAsia="SabonLTStd-Roman" w:hAnsi="Book Antiqua" w:cstheme="minorHAnsi"/>
          <w:sz w:val="24"/>
          <w:szCs w:val="24"/>
          <w:lang w:val="en-GB"/>
        </w:rPr>
        <w:t xml:space="preserve">from the blood </w:t>
      </w:r>
      <w:r w:rsidR="009E24AE" w:rsidRPr="00CD4428">
        <w:rPr>
          <w:rFonts w:ascii="Book Antiqua" w:eastAsia="SabonLTStd-Roman" w:hAnsi="Book Antiqua" w:cstheme="minorHAnsi"/>
          <w:sz w:val="24"/>
          <w:szCs w:val="24"/>
          <w:lang w:val="en-GB"/>
        </w:rPr>
        <w:t>in</w:t>
      </w:r>
      <w:r w:rsidR="00A60801" w:rsidRPr="00CD4428">
        <w:rPr>
          <w:rFonts w:ascii="Book Antiqua" w:eastAsia="SabonLTStd-Roman" w:hAnsi="Book Antiqua" w:cstheme="minorHAnsi"/>
          <w:sz w:val="24"/>
          <w:szCs w:val="24"/>
          <w:lang w:val="en-GB"/>
        </w:rPr>
        <w:t xml:space="preserve">to the </w:t>
      </w:r>
      <w:r w:rsidR="00D462AB" w:rsidRPr="00CD4428">
        <w:rPr>
          <w:rFonts w:ascii="Book Antiqua" w:eastAsia="SabonLTStd-Roman" w:hAnsi="Book Antiqua" w:cstheme="minorHAnsi"/>
          <w:sz w:val="24"/>
          <w:szCs w:val="24"/>
          <w:lang w:val="en-GB"/>
        </w:rPr>
        <w:t xml:space="preserve">inflamed </w:t>
      </w:r>
      <w:r w:rsidR="00A60801" w:rsidRPr="00CD4428">
        <w:rPr>
          <w:rFonts w:ascii="Book Antiqua" w:eastAsia="SabonLTStd-Roman" w:hAnsi="Book Antiqua" w:cstheme="minorHAnsi"/>
          <w:sz w:val="24"/>
          <w:szCs w:val="24"/>
          <w:lang w:val="en-GB"/>
        </w:rPr>
        <w:t>gut</w:t>
      </w:r>
      <w:r w:rsidR="00DA1704" w:rsidRPr="00CD4428">
        <w:rPr>
          <w:rFonts w:ascii="Book Antiqua" w:eastAsia="SabonLTStd-Roman" w:hAnsi="Book Antiqua" w:cstheme="minorHAnsi"/>
          <w:sz w:val="24"/>
          <w:szCs w:val="24"/>
          <w:lang w:val="en-GB"/>
        </w:rPr>
        <w:t xml:space="preserve"> </w:t>
      </w:r>
      <w:r w:rsidR="009426AA" w:rsidRPr="00CD4428">
        <w:rPr>
          <w:rFonts w:ascii="Book Antiqua" w:eastAsia="SabonLTStd-Roman" w:hAnsi="Book Antiqua" w:cstheme="minorHAnsi"/>
          <w:sz w:val="24"/>
          <w:szCs w:val="24"/>
          <w:lang w:val="en-GB"/>
        </w:rPr>
        <w:t>tissue</w:t>
      </w:r>
      <w:r w:rsidR="009E24AE" w:rsidRPr="00CD4428">
        <w:rPr>
          <w:rFonts w:ascii="Book Antiqua" w:eastAsia="SabonLTStd-Roman" w:hAnsi="Book Antiqua" w:cstheme="minorHAnsi"/>
          <w:sz w:val="24"/>
          <w:szCs w:val="24"/>
          <w:lang w:val="en-GB"/>
        </w:rPr>
        <w:t>,</w:t>
      </w:r>
      <w:r w:rsidR="004E6E76" w:rsidRPr="00CD4428">
        <w:rPr>
          <w:rFonts w:ascii="Book Antiqua" w:eastAsia="SabonLTStd-Roman" w:hAnsi="Book Antiqua" w:cstheme="minorHAnsi"/>
          <w:sz w:val="24"/>
          <w:szCs w:val="24"/>
          <w:lang w:val="en-GB"/>
        </w:rPr>
        <w:t xml:space="preserve"> resulting in a reduction </w:t>
      </w:r>
      <w:r w:rsidR="009E24AE" w:rsidRPr="00CD4428">
        <w:rPr>
          <w:rFonts w:ascii="Book Antiqua" w:eastAsia="SabonLTStd-Roman" w:hAnsi="Book Antiqua" w:cstheme="minorHAnsi"/>
          <w:sz w:val="24"/>
          <w:szCs w:val="24"/>
          <w:lang w:val="en-GB"/>
        </w:rPr>
        <w:t xml:space="preserve">in </w:t>
      </w:r>
      <w:r w:rsidR="004E6E76" w:rsidRPr="00CD4428">
        <w:rPr>
          <w:rFonts w:ascii="Book Antiqua" w:eastAsia="SabonLTStd-Roman" w:hAnsi="Book Antiqua" w:cstheme="minorHAnsi"/>
          <w:sz w:val="24"/>
          <w:szCs w:val="24"/>
          <w:lang w:val="en-GB"/>
        </w:rPr>
        <w:t xml:space="preserve">local </w:t>
      </w:r>
      <w:proofErr w:type="gramStart"/>
      <w:r w:rsidR="004E6E76" w:rsidRPr="00CD4428">
        <w:rPr>
          <w:rFonts w:ascii="Book Antiqua" w:eastAsia="SabonLTStd-Roman" w:hAnsi="Book Antiqua" w:cstheme="minorHAnsi"/>
          <w:sz w:val="24"/>
          <w:szCs w:val="24"/>
          <w:lang w:val="en-GB"/>
        </w:rPr>
        <w:t>inflammation</w:t>
      </w:r>
      <w:r w:rsidR="00DA1704" w:rsidRPr="00CD4428">
        <w:rPr>
          <w:rFonts w:ascii="Book Antiqua" w:eastAsia="SabonLTStd-Roman" w:hAnsi="Book Antiqua" w:cstheme="minorHAnsi"/>
          <w:sz w:val="24"/>
          <w:szCs w:val="24"/>
          <w:vertAlign w:val="superscript"/>
          <w:lang w:val="en-GB"/>
        </w:rPr>
        <w:t>[</w:t>
      </w:r>
      <w:proofErr w:type="gramEnd"/>
      <w:r w:rsidR="007C0552" w:rsidRPr="00CD4428">
        <w:rPr>
          <w:rFonts w:ascii="Book Antiqua" w:eastAsia="SabonLTStd-Roman" w:hAnsi="Book Antiqua" w:cstheme="minorHAnsi"/>
          <w:sz w:val="24"/>
          <w:szCs w:val="24"/>
          <w:vertAlign w:val="superscript"/>
          <w:lang w:val="en-GB"/>
        </w:rPr>
        <w:t>8,9</w:t>
      </w:r>
      <w:r w:rsidR="00DA1704" w:rsidRPr="00CD4428">
        <w:rPr>
          <w:rFonts w:ascii="Book Antiqua" w:eastAsia="SabonLTStd-Roman" w:hAnsi="Book Antiqua" w:cstheme="minorHAnsi"/>
          <w:sz w:val="24"/>
          <w:szCs w:val="24"/>
          <w:vertAlign w:val="superscript"/>
          <w:lang w:val="en-GB"/>
        </w:rPr>
        <w:t>]</w:t>
      </w:r>
      <w:r w:rsidR="00A64CB1" w:rsidRPr="00CD4428">
        <w:rPr>
          <w:rFonts w:ascii="Book Antiqua" w:eastAsia="SabonLTStd-Roman" w:hAnsi="Book Antiqua" w:cstheme="minorHAnsi"/>
          <w:sz w:val="24"/>
          <w:szCs w:val="24"/>
          <w:vertAlign w:val="superscript"/>
          <w:lang w:val="en-GB"/>
        </w:rPr>
        <w:t xml:space="preserve"> </w:t>
      </w:r>
      <w:r w:rsidR="00A64CB1" w:rsidRPr="00CD4428">
        <w:rPr>
          <w:rFonts w:ascii="Book Antiqua" w:eastAsia="SabonLTStd-Roman" w:hAnsi="Book Antiqua" w:cstheme="minorHAnsi"/>
          <w:sz w:val="24"/>
          <w:szCs w:val="24"/>
          <w:lang w:val="en-GB"/>
        </w:rPr>
        <w:t>(Fig</w:t>
      </w:r>
      <w:r w:rsidR="000E0FEB">
        <w:rPr>
          <w:rFonts w:ascii="Book Antiqua" w:hAnsi="Book Antiqua" w:cstheme="minorHAnsi" w:hint="eastAsia"/>
          <w:sz w:val="24"/>
          <w:szCs w:val="24"/>
          <w:lang w:val="en-GB" w:eastAsia="zh-CN"/>
        </w:rPr>
        <w:t>ure</w:t>
      </w:r>
      <w:r w:rsidR="00A64CB1" w:rsidRPr="00CD4428">
        <w:rPr>
          <w:rFonts w:ascii="Book Antiqua" w:eastAsia="SabonLTStd-Roman" w:hAnsi="Book Antiqua" w:cstheme="minorHAnsi"/>
          <w:sz w:val="24"/>
          <w:szCs w:val="24"/>
          <w:lang w:val="en-GB"/>
        </w:rPr>
        <w:t xml:space="preserve"> 1)</w:t>
      </w:r>
      <w:r w:rsidR="00DA1704" w:rsidRPr="00CD4428">
        <w:rPr>
          <w:rFonts w:ascii="Book Antiqua" w:eastAsia="SabonLTStd-Roman" w:hAnsi="Book Antiqua" w:cstheme="minorHAnsi"/>
          <w:sz w:val="24"/>
          <w:szCs w:val="24"/>
          <w:lang w:val="en-GB"/>
        </w:rPr>
        <w:t>.</w:t>
      </w:r>
      <w:r w:rsidRPr="00CD4428">
        <w:rPr>
          <w:rFonts w:ascii="Book Antiqua" w:eastAsia="SabonLTStd-Roman" w:hAnsi="Book Antiqua" w:cstheme="minorHAnsi"/>
          <w:sz w:val="24"/>
          <w:szCs w:val="24"/>
          <w:lang w:val="en-GB"/>
        </w:rPr>
        <w:t xml:space="preserve"> </w:t>
      </w:r>
    </w:p>
    <w:p w14:paraId="3EC5BAE8" w14:textId="2E51754B" w:rsidR="00D70AE9" w:rsidRPr="00CD4428" w:rsidRDefault="00D70AE9" w:rsidP="000E0FEB">
      <w:pPr>
        <w:autoSpaceDE w:val="0"/>
        <w:autoSpaceDN w:val="0"/>
        <w:adjustRightInd w:val="0"/>
        <w:snapToGrid w:val="0"/>
        <w:spacing w:after="0" w:line="360" w:lineRule="auto"/>
        <w:ind w:firstLineChars="100" w:firstLine="24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 xml:space="preserve">The efficacy of </w:t>
      </w:r>
      <w:proofErr w:type="spellStart"/>
      <w:r w:rsidR="009E24AE" w:rsidRPr="00CD4428">
        <w:rPr>
          <w:rFonts w:ascii="Book Antiqua" w:eastAsia="SabonLTStd-Roman" w:hAnsi="Book Antiqua" w:cstheme="minorHAnsi"/>
          <w:sz w:val="24"/>
          <w:szCs w:val="24"/>
          <w:lang w:val="en-GB"/>
        </w:rPr>
        <w:t>v</w:t>
      </w:r>
      <w:r w:rsidRPr="00CD4428">
        <w:rPr>
          <w:rFonts w:ascii="Book Antiqua" w:eastAsia="SabonLTStd-Roman" w:hAnsi="Book Antiqua" w:cstheme="minorHAnsi"/>
          <w:sz w:val="24"/>
          <w:szCs w:val="24"/>
          <w:lang w:val="en-GB"/>
        </w:rPr>
        <w:t>edolizumab</w:t>
      </w:r>
      <w:proofErr w:type="spellEnd"/>
      <w:r w:rsidRPr="00CD4428">
        <w:rPr>
          <w:rFonts w:ascii="Book Antiqua" w:eastAsia="SabonLTStd-Roman" w:hAnsi="Book Antiqua" w:cstheme="minorHAnsi"/>
          <w:sz w:val="24"/>
          <w:szCs w:val="24"/>
          <w:lang w:val="en-GB"/>
        </w:rPr>
        <w:t xml:space="preserve"> for the induction and maintenance of remission in</w:t>
      </w:r>
      <w:r w:rsidR="009E24AE" w:rsidRPr="00CD4428">
        <w:rPr>
          <w:rFonts w:ascii="Book Antiqua" w:eastAsia="SabonLTStd-Roman" w:hAnsi="Book Antiqua" w:cstheme="minorHAnsi"/>
          <w:sz w:val="24"/>
          <w:szCs w:val="24"/>
          <w:lang w:val="en-GB"/>
        </w:rPr>
        <w:t xml:space="preserve"> patients with</w:t>
      </w:r>
      <w:r w:rsidRPr="00CD4428">
        <w:rPr>
          <w:rFonts w:ascii="Book Antiqua" w:eastAsia="SabonLTStd-Roman" w:hAnsi="Book Antiqua" w:cstheme="minorHAnsi"/>
          <w:sz w:val="24"/>
          <w:szCs w:val="24"/>
          <w:lang w:val="en-GB"/>
        </w:rPr>
        <w:t xml:space="preserve"> IBD was demonstrated </w:t>
      </w:r>
      <w:r w:rsidR="009E24AE" w:rsidRPr="00CD4428">
        <w:rPr>
          <w:rFonts w:ascii="Book Antiqua" w:eastAsia="SabonLTStd-Roman" w:hAnsi="Book Antiqua" w:cstheme="minorHAnsi"/>
          <w:sz w:val="24"/>
          <w:szCs w:val="24"/>
          <w:lang w:val="en-GB"/>
        </w:rPr>
        <w:t xml:space="preserve">in </w:t>
      </w:r>
      <w:r w:rsidR="006A1B0A" w:rsidRPr="00CD4428">
        <w:rPr>
          <w:rFonts w:ascii="Book Antiqua" w:eastAsia="SabonLTStd-Roman" w:hAnsi="Book Antiqua" w:cstheme="minorHAnsi"/>
          <w:sz w:val="24"/>
          <w:szCs w:val="24"/>
          <w:lang w:val="en-GB"/>
        </w:rPr>
        <w:t xml:space="preserve">the </w:t>
      </w:r>
      <w:r w:rsidR="00FC04CF" w:rsidRPr="00CD4428">
        <w:rPr>
          <w:rFonts w:ascii="Book Antiqua" w:eastAsia="SabonLTStd-Roman" w:hAnsi="Book Antiqua" w:cstheme="minorHAnsi"/>
          <w:sz w:val="24"/>
          <w:szCs w:val="24"/>
          <w:lang w:val="en-GB"/>
        </w:rPr>
        <w:t xml:space="preserve">pivotal </w:t>
      </w:r>
      <w:r w:rsidR="006A1B0A" w:rsidRPr="00CD4428">
        <w:rPr>
          <w:rFonts w:ascii="Book Antiqua" w:eastAsia="SabonLTStd-Roman" w:hAnsi="Book Antiqua" w:cstheme="minorHAnsi"/>
          <w:sz w:val="24"/>
          <w:szCs w:val="24"/>
          <w:lang w:val="en-GB"/>
        </w:rPr>
        <w:t xml:space="preserve">phase </w:t>
      </w:r>
      <w:r w:rsidR="00EF69CB" w:rsidRPr="00CD4428">
        <w:rPr>
          <w:rFonts w:ascii="Book Antiqua" w:eastAsia="SabonLTStd-Roman" w:hAnsi="Book Antiqua" w:cstheme="minorHAnsi"/>
          <w:sz w:val="24"/>
          <w:szCs w:val="24"/>
          <w:lang w:val="en-GB"/>
        </w:rPr>
        <w:t>III</w:t>
      </w:r>
      <w:r w:rsidR="006A1B0A" w:rsidRPr="00CD4428">
        <w:rPr>
          <w:rFonts w:ascii="Book Antiqua" w:eastAsia="SabonLTStd-Roman" w:hAnsi="Book Antiqua" w:cstheme="minorHAnsi"/>
          <w:sz w:val="24"/>
          <w:szCs w:val="24"/>
          <w:lang w:val="en-GB"/>
        </w:rPr>
        <w:t xml:space="preserve"> </w:t>
      </w:r>
      <w:r w:rsidR="004F0735" w:rsidRPr="00CD4428">
        <w:rPr>
          <w:rFonts w:ascii="Book Antiqua" w:eastAsia="SabonLTStd-Roman" w:hAnsi="Book Antiqua" w:cstheme="minorHAnsi"/>
          <w:sz w:val="24"/>
          <w:szCs w:val="24"/>
          <w:lang w:val="en-GB"/>
        </w:rPr>
        <w:t xml:space="preserve">GEMINI </w:t>
      </w:r>
      <w:proofErr w:type="gramStart"/>
      <w:r w:rsidR="004D258D" w:rsidRPr="00CD4428">
        <w:rPr>
          <w:rFonts w:ascii="Book Antiqua" w:eastAsia="SabonLTStd-Roman" w:hAnsi="Book Antiqua" w:cstheme="minorHAnsi"/>
          <w:sz w:val="24"/>
          <w:szCs w:val="24"/>
          <w:lang w:val="en-GB"/>
        </w:rPr>
        <w:t>studies</w:t>
      </w:r>
      <w:r w:rsidR="00935BAD" w:rsidRPr="00CD4428">
        <w:rPr>
          <w:rFonts w:ascii="Book Antiqua" w:eastAsia="SabonLTStd-Roman" w:hAnsi="Book Antiqua" w:cstheme="minorHAnsi"/>
          <w:sz w:val="24"/>
          <w:szCs w:val="24"/>
          <w:vertAlign w:val="superscript"/>
          <w:lang w:val="en-GB"/>
        </w:rPr>
        <w:t>[</w:t>
      </w:r>
      <w:proofErr w:type="gramEnd"/>
      <w:r w:rsidR="006B7B93" w:rsidRPr="00CD4428">
        <w:rPr>
          <w:rFonts w:ascii="Book Antiqua" w:eastAsia="SabonLTStd-Roman" w:hAnsi="Book Antiqua" w:cstheme="minorHAnsi"/>
          <w:sz w:val="24"/>
          <w:szCs w:val="24"/>
          <w:vertAlign w:val="superscript"/>
          <w:lang w:val="en-GB"/>
        </w:rPr>
        <w:t>10</w:t>
      </w:r>
      <w:r w:rsidR="00935BAD" w:rsidRPr="00CD4428">
        <w:rPr>
          <w:rFonts w:ascii="Book Antiqua" w:eastAsia="SabonLTStd-Roman" w:hAnsi="Book Antiqua" w:cstheme="minorHAnsi"/>
          <w:sz w:val="24"/>
          <w:szCs w:val="24"/>
          <w:vertAlign w:val="superscript"/>
          <w:lang w:val="en-GB"/>
        </w:rPr>
        <w:t>-</w:t>
      </w:r>
      <w:r w:rsidR="006B7B93" w:rsidRPr="00CD4428">
        <w:rPr>
          <w:rFonts w:ascii="Book Antiqua" w:eastAsia="SabonLTStd-Roman" w:hAnsi="Book Antiqua" w:cstheme="minorHAnsi"/>
          <w:sz w:val="24"/>
          <w:szCs w:val="24"/>
          <w:vertAlign w:val="superscript"/>
          <w:lang w:val="en-GB"/>
        </w:rPr>
        <w:t>12</w:t>
      </w:r>
      <w:r w:rsidR="00935BAD" w:rsidRPr="00CD4428">
        <w:rPr>
          <w:rFonts w:ascii="Book Antiqua" w:eastAsia="SabonLTStd-Roman" w:hAnsi="Book Antiqua" w:cstheme="minorHAnsi"/>
          <w:sz w:val="24"/>
          <w:szCs w:val="24"/>
          <w:vertAlign w:val="superscript"/>
          <w:lang w:val="en-GB"/>
        </w:rPr>
        <w:t>]</w:t>
      </w:r>
      <w:r w:rsidR="00935BAD" w:rsidRPr="00CD4428">
        <w:rPr>
          <w:rFonts w:ascii="Book Antiqua" w:eastAsia="SabonLTStd-Roman" w:hAnsi="Book Antiqua" w:cstheme="minorHAnsi"/>
          <w:sz w:val="24"/>
          <w:szCs w:val="24"/>
          <w:lang w:val="en-GB"/>
        </w:rPr>
        <w:t>.</w:t>
      </w:r>
      <w:r w:rsidR="00590110" w:rsidRPr="00CD4428">
        <w:rPr>
          <w:rFonts w:ascii="Book Antiqua" w:eastAsia="SabonLTStd-Roman" w:hAnsi="Book Antiqua" w:cstheme="minorHAnsi"/>
          <w:sz w:val="24"/>
          <w:szCs w:val="24"/>
          <w:lang w:val="en-GB"/>
        </w:rPr>
        <w:t xml:space="preserve"> </w:t>
      </w:r>
      <w:r w:rsidR="004D258D" w:rsidRPr="00CD4428">
        <w:rPr>
          <w:rFonts w:ascii="Book Antiqua" w:eastAsia="SabonLTStd-Roman" w:hAnsi="Book Antiqua" w:cstheme="minorHAnsi"/>
          <w:sz w:val="24"/>
          <w:szCs w:val="24"/>
          <w:lang w:val="en-GB"/>
        </w:rPr>
        <w:t>Based on the results of these</w:t>
      </w:r>
      <w:r w:rsidR="00CB68DB" w:rsidRPr="00CD4428">
        <w:rPr>
          <w:rFonts w:ascii="Book Antiqua" w:eastAsia="SabonLTStd-Roman" w:hAnsi="Book Antiqua" w:cstheme="minorHAnsi"/>
          <w:sz w:val="24"/>
          <w:szCs w:val="24"/>
          <w:lang w:val="en-GB"/>
        </w:rPr>
        <w:t xml:space="preserve"> </w:t>
      </w:r>
      <w:r w:rsidR="00F05E96" w:rsidRPr="00CD4428">
        <w:rPr>
          <w:rFonts w:ascii="Book Antiqua" w:eastAsia="SabonLTStd-Roman" w:hAnsi="Book Antiqua" w:cstheme="minorHAnsi"/>
          <w:sz w:val="24"/>
          <w:szCs w:val="24"/>
          <w:lang w:val="en-GB"/>
        </w:rPr>
        <w:t>randomized</w:t>
      </w:r>
      <w:r w:rsidR="00CB68DB" w:rsidRPr="00CD4428">
        <w:rPr>
          <w:rFonts w:ascii="Book Antiqua" w:eastAsia="SabonLTStd-Roman" w:hAnsi="Book Antiqua" w:cstheme="minorHAnsi"/>
          <w:sz w:val="24"/>
          <w:szCs w:val="24"/>
          <w:lang w:val="en-GB"/>
        </w:rPr>
        <w:t xml:space="preserve">, </w:t>
      </w:r>
      <w:r w:rsidR="00705709" w:rsidRPr="00CD4428">
        <w:rPr>
          <w:rFonts w:ascii="Book Antiqua" w:eastAsia="SabonLTStd-Roman" w:hAnsi="Book Antiqua" w:cstheme="minorHAnsi"/>
          <w:sz w:val="24"/>
          <w:szCs w:val="24"/>
          <w:lang w:val="en-GB"/>
        </w:rPr>
        <w:t xml:space="preserve">double-blind, </w:t>
      </w:r>
      <w:r w:rsidR="00CB68DB" w:rsidRPr="00CD4428">
        <w:rPr>
          <w:rFonts w:ascii="Book Antiqua" w:eastAsia="SabonLTStd-Roman" w:hAnsi="Book Antiqua" w:cstheme="minorHAnsi"/>
          <w:sz w:val="24"/>
          <w:szCs w:val="24"/>
          <w:lang w:val="en-GB"/>
        </w:rPr>
        <w:t>placebo-controlled</w:t>
      </w:r>
      <w:r w:rsidR="004D258D" w:rsidRPr="00CD4428">
        <w:rPr>
          <w:rFonts w:ascii="Book Antiqua" w:eastAsia="SabonLTStd-Roman" w:hAnsi="Book Antiqua" w:cstheme="minorHAnsi"/>
          <w:sz w:val="24"/>
          <w:szCs w:val="24"/>
          <w:lang w:val="en-GB"/>
        </w:rPr>
        <w:t xml:space="preserve"> trials</w:t>
      </w:r>
      <w:r w:rsidR="00705709" w:rsidRPr="00CD4428">
        <w:rPr>
          <w:rFonts w:ascii="Book Antiqua" w:eastAsia="SabonLTStd-Roman" w:hAnsi="Book Antiqua" w:cstheme="minorHAnsi"/>
          <w:sz w:val="24"/>
          <w:szCs w:val="24"/>
          <w:lang w:val="en-GB"/>
        </w:rPr>
        <w:t>,</w:t>
      </w:r>
      <w:r w:rsidR="004D258D" w:rsidRPr="00CD4428">
        <w:rPr>
          <w:rFonts w:ascii="Book Antiqua" w:eastAsia="SabonLTStd-Roman" w:hAnsi="Book Antiqua" w:cstheme="minorHAnsi"/>
          <w:sz w:val="24"/>
          <w:szCs w:val="24"/>
          <w:lang w:val="en-GB"/>
        </w:rPr>
        <w:t xml:space="preserve"> </w:t>
      </w:r>
      <w:proofErr w:type="spellStart"/>
      <w:r w:rsidR="004D258D" w:rsidRPr="00CD4428">
        <w:rPr>
          <w:rFonts w:ascii="Book Antiqua" w:eastAsia="SabonLTStd-Roman" w:hAnsi="Book Antiqua" w:cstheme="minorHAnsi"/>
          <w:sz w:val="24"/>
          <w:szCs w:val="24"/>
          <w:lang w:val="en-GB"/>
        </w:rPr>
        <w:t>vedolizumab</w:t>
      </w:r>
      <w:proofErr w:type="spellEnd"/>
      <w:r w:rsidR="004D258D" w:rsidRPr="00CD4428">
        <w:rPr>
          <w:rFonts w:ascii="Book Antiqua" w:eastAsia="SabonLTStd-Roman" w:hAnsi="Book Antiqua" w:cstheme="minorHAnsi"/>
          <w:sz w:val="24"/>
          <w:szCs w:val="24"/>
          <w:lang w:val="en-GB"/>
        </w:rPr>
        <w:t xml:space="preserve"> </w:t>
      </w:r>
      <w:r w:rsidR="009E24AE" w:rsidRPr="00CD4428">
        <w:rPr>
          <w:rFonts w:ascii="Book Antiqua" w:eastAsia="SabonLTStd-Roman" w:hAnsi="Book Antiqua" w:cstheme="minorHAnsi"/>
          <w:sz w:val="24"/>
          <w:szCs w:val="24"/>
          <w:lang w:val="en-GB"/>
        </w:rPr>
        <w:t>was</w:t>
      </w:r>
      <w:r w:rsidR="004D258D" w:rsidRPr="00CD4428">
        <w:rPr>
          <w:rFonts w:ascii="Book Antiqua" w:eastAsia="SabonLTStd-Roman" w:hAnsi="Book Antiqua" w:cstheme="minorHAnsi"/>
          <w:sz w:val="24"/>
          <w:szCs w:val="24"/>
          <w:lang w:val="en-GB"/>
        </w:rPr>
        <w:t xml:space="preserve"> approved for the treatment of </w:t>
      </w:r>
      <w:r w:rsidR="00FC04CF" w:rsidRPr="00CD4428">
        <w:rPr>
          <w:rFonts w:ascii="Book Antiqua" w:eastAsia="SabonLTStd-Roman" w:hAnsi="Book Antiqua" w:cstheme="minorHAnsi"/>
          <w:sz w:val="24"/>
          <w:szCs w:val="24"/>
          <w:lang w:val="en-GB"/>
        </w:rPr>
        <w:t xml:space="preserve">adult </w:t>
      </w:r>
      <w:r w:rsidR="004D258D" w:rsidRPr="00CD4428">
        <w:rPr>
          <w:rFonts w:ascii="Book Antiqua" w:eastAsia="SabonLTStd-Roman" w:hAnsi="Book Antiqua" w:cstheme="minorHAnsi"/>
          <w:sz w:val="24"/>
          <w:szCs w:val="24"/>
          <w:lang w:val="en-GB"/>
        </w:rPr>
        <w:t>patients with moderate-to-severe active ulcerative colitis (UC) and Crohn’s disease (CD)</w:t>
      </w:r>
      <w:r w:rsidR="006A1B0A" w:rsidRPr="00CD4428">
        <w:rPr>
          <w:rFonts w:ascii="Book Antiqua" w:eastAsia="SabonLTStd-Roman" w:hAnsi="Book Antiqua" w:cstheme="minorHAnsi"/>
          <w:sz w:val="24"/>
          <w:szCs w:val="24"/>
          <w:lang w:val="en-GB"/>
        </w:rPr>
        <w:t xml:space="preserve"> </w:t>
      </w:r>
      <w:r w:rsidR="00655F6A" w:rsidRPr="00CD4428">
        <w:rPr>
          <w:rFonts w:ascii="Book Antiqua" w:eastAsia="SabonLTStd-Roman" w:hAnsi="Book Antiqua" w:cstheme="minorHAnsi"/>
          <w:sz w:val="24"/>
          <w:szCs w:val="24"/>
          <w:lang w:val="en-GB"/>
        </w:rPr>
        <w:t xml:space="preserve">who </w:t>
      </w:r>
      <w:r w:rsidR="009E24AE" w:rsidRPr="00CD4428">
        <w:rPr>
          <w:rFonts w:ascii="Book Antiqua" w:eastAsia="SabonLTStd-Roman" w:hAnsi="Book Antiqua" w:cstheme="minorHAnsi"/>
          <w:sz w:val="24"/>
          <w:szCs w:val="24"/>
          <w:lang w:val="en-GB"/>
        </w:rPr>
        <w:t xml:space="preserve">had an </w:t>
      </w:r>
      <w:r w:rsidR="00655F6A" w:rsidRPr="00CD4428">
        <w:rPr>
          <w:rFonts w:ascii="Book Antiqua" w:eastAsia="SabonLTStd-Roman" w:hAnsi="Book Antiqua" w:cstheme="minorHAnsi"/>
          <w:sz w:val="24"/>
          <w:szCs w:val="24"/>
          <w:lang w:val="en-GB"/>
        </w:rPr>
        <w:t xml:space="preserve">inadequate response to </w:t>
      </w:r>
      <w:r w:rsidR="009D6BEC" w:rsidRPr="00CD4428">
        <w:rPr>
          <w:rFonts w:ascii="Book Antiqua" w:eastAsia="SabonLTStd-Roman" w:hAnsi="Book Antiqua" w:cstheme="minorHAnsi"/>
          <w:sz w:val="24"/>
          <w:szCs w:val="24"/>
          <w:lang w:val="en-GB"/>
        </w:rPr>
        <w:t xml:space="preserve">either </w:t>
      </w:r>
      <w:r w:rsidR="00655F6A" w:rsidRPr="00CD4428">
        <w:rPr>
          <w:rFonts w:ascii="Book Antiqua" w:eastAsia="SabonLTStd-Roman" w:hAnsi="Book Antiqua" w:cstheme="minorHAnsi"/>
          <w:sz w:val="24"/>
          <w:szCs w:val="24"/>
          <w:lang w:val="en-GB"/>
        </w:rPr>
        <w:t>standard therapies</w:t>
      </w:r>
      <w:r w:rsidR="009D6BEC" w:rsidRPr="00CD4428">
        <w:rPr>
          <w:rFonts w:ascii="Book Antiqua" w:eastAsia="SabonLTStd-Roman" w:hAnsi="Book Antiqua" w:cstheme="minorHAnsi"/>
          <w:sz w:val="24"/>
          <w:szCs w:val="24"/>
          <w:lang w:val="en-GB"/>
        </w:rPr>
        <w:t xml:space="preserve"> or TNF</w:t>
      </w:r>
      <w:r w:rsidR="00F77992" w:rsidRPr="00CD4428">
        <w:rPr>
          <w:rFonts w:ascii="Book Antiqua" w:eastAsia="SabonLTStd-Roman" w:hAnsi="Book Antiqua" w:cstheme="minorHAnsi"/>
          <w:sz w:val="24"/>
          <w:szCs w:val="24"/>
          <w:lang w:val="en-GB"/>
        </w:rPr>
        <w:t>α</w:t>
      </w:r>
      <w:r w:rsidR="009D6BEC" w:rsidRPr="00CD4428">
        <w:rPr>
          <w:rFonts w:ascii="Book Antiqua" w:eastAsia="SabonLTStd-Roman" w:hAnsi="Book Antiqua" w:cstheme="minorHAnsi"/>
          <w:sz w:val="24"/>
          <w:szCs w:val="24"/>
          <w:lang w:val="en-GB"/>
        </w:rPr>
        <w:t xml:space="preserve"> antagonists</w:t>
      </w:r>
      <w:r w:rsidR="00655F6A" w:rsidRPr="00CD4428">
        <w:rPr>
          <w:rFonts w:ascii="Book Antiqua" w:eastAsia="SabonLTStd-Roman" w:hAnsi="Book Antiqua" w:cstheme="minorHAnsi"/>
          <w:sz w:val="24"/>
          <w:szCs w:val="24"/>
          <w:lang w:val="en-GB"/>
        </w:rPr>
        <w:t xml:space="preserve"> </w:t>
      </w:r>
      <w:r w:rsidR="006A1B0A" w:rsidRPr="00CD4428">
        <w:rPr>
          <w:rFonts w:ascii="Book Antiqua" w:eastAsia="SabonLTStd-Roman" w:hAnsi="Book Antiqua" w:cstheme="minorHAnsi"/>
          <w:sz w:val="24"/>
          <w:szCs w:val="24"/>
          <w:lang w:val="en-GB"/>
        </w:rPr>
        <w:t>by both the European Medicines Agency and the US Food and Drug Administration.</w:t>
      </w:r>
      <w:r w:rsidR="00870E52" w:rsidRPr="00CD4428">
        <w:rPr>
          <w:rFonts w:ascii="Book Antiqua" w:eastAsia="SabonLTStd-Roman" w:hAnsi="Book Antiqua" w:cstheme="minorHAnsi"/>
          <w:sz w:val="24"/>
          <w:szCs w:val="24"/>
          <w:lang w:val="en-GB"/>
        </w:rPr>
        <w:t xml:space="preserve"> </w:t>
      </w:r>
    </w:p>
    <w:p w14:paraId="42A03F42" w14:textId="5DD5111B" w:rsidR="0055666D" w:rsidRPr="00CD4428" w:rsidRDefault="00D521FC" w:rsidP="00234ABB">
      <w:pPr>
        <w:autoSpaceDE w:val="0"/>
        <w:autoSpaceDN w:val="0"/>
        <w:adjustRightInd w:val="0"/>
        <w:snapToGrid w:val="0"/>
        <w:spacing w:after="0" w:line="360" w:lineRule="auto"/>
        <w:ind w:firstLineChars="100" w:firstLine="24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 xml:space="preserve">However, all </w:t>
      </w:r>
      <w:r w:rsidR="00705709" w:rsidRPr="00CD4428">
        <w:rPr>
          <w:rFonts w:ascii="Book Antiqua" w:eastAsia="SabonLTStd-Roman" w:hAnsi="Book Antiqua" w:cstheme="minorHAnsi"/>
          <w:sz w:val="24"/>
          <w:szCs w:val="24"/>
          <w:lang w:val="en-GB"/>
        </w:rPr>
        <w:t>randomized controlled trials (</w:t>
      </w:r>
      <w:r w:rsidRPr="00CD4428">
        <w:rPr>
          <w:rFonts w:ascii="Book Antiqua" w:eastAsia="SabonLTStd-Roman" w:hAnsi="Book Antiqua" w:cstheme="minorHAnsi"/>
          <w:sz w:val="24"/>
          <w:szCs w:val="24"/>
          <w:lang w:val="en-GB"/>
        </w:rPr>
        <w:t>RCTs</w:t>
      </w:r>
      <w:r w:rsidR="00705709" w:rsidRPr="00CD4428">
        <w:rPr>
          <w:rFonts w:ascii="Book Antiqua" w:eastAsia="SabonLTStd-Roman" w:hAnsi="Book Antiqua" w:cstheme="minorHAnsi"/>
          <w:sz w:val="24"/>
          <w:szCs w:val="24"/>
          <w:lang w:val="en-GB"/>
        </w:rPr>
        <w:t>)</w:t>
      </w:r>
      <w:r w:rsidRPr="00CD4428">
        <w:rPr>
          <w:rFonts w:ascii="Book Antiqua" w:eastAsia="SabonLTStd-Roman" w:hAnsi="Book Antiqua" w:cstheme="minorHAnsi"/>
          <w:sz w:val="24"/>
          <w:szCs w:val="24"/>
          <w:lang w:val="en-GB"/>
        </w:rPr>
        <w:t xml:space="preserve"> have restrictive </w:t>
      </w:r>
      <w:r w:rsidR="009E24AE" w:rsidRPr="00CD4428">
        <w:rPr>
          <w:rFonts w:ascii="Book Antiqua" w:eastAsia="SabonLTStd-Roman" w:hAnsi="Book Antiqua" w:cstheme="minorHAnsi"/>
          <w:sz w:val="24"/>
          <w:szCs w:val="24"/>
          <w:lang w:val="en-GB"/>
        </w:rPr>
        <w:t xml:space="preserve">enrolment </w:t>
      </w:r>
      <w:r w:rsidRPr="00CD4428">
        <w:rPr>
          <w:rFonts w:ascii="Book Antiqua" w:eastAsia="SabonLTStd-Roman" w:hAnsi="Book Antiqua" w:cstheme="minorHAnsi"/>
          <w:sz w:val="24"/>
          <w:szCs w:val="24"/>
          <w:lang w:val="en-GB"/>
        </w:rPr>
        <w:t>criteria and, in order to include a high</w:t>
      </w:r>
      <w:r w:rsidR="009E24AE" w:rsidRPr="00CD4428">
        <w:rPr>
          <w:rFonts w:ascii="Book Antiqua" w:eastAsia="SabonLTStd-Roman" w:hAnsi="Book Antiqua" w:cstheme="minorHAnsi"/>
          <w:sz w:val="24"/>
          <w:szCs w:val="24"/>
          <w:lang w:val="en-GB"/>
        </w:rPr>
        <w:t>ly</w:t>
      </w:r>
      <w:r w:rsidRPr="00CD4428">
        <w:rPr>
          <w:rFonts w:ascii="Book Antiqua" w:eastAsia="SabonLTStd-Roman" w:hAnsi="Book Antiqua" w:cstheme="minorHAnsi"/>
          <w:sz w:val="24"/>
          <w:szCs w:val="24"/>
          <w:lang w:val="en-GB"/>
        </w:rPr>
        <w:t xml:space="preserve"> selected and homogeneous population, tend to exclude several groups of </w:t>
      </w:r>
      <w:proofErr w:type="gramStart"/>
      <w:r w:rsidRPr="00CD4428">
        <w:rPr>
          <w:rFonts w:ascii="Book Antiqua" w:eastAsia="SabonLTStd-Roman" w:hAnsi="Book Antiqua" w:cstheme="minorHAnsi"/>
          <w:sz w:val="24"/>
          <w:szCs w:val="24"/>
          <w:lang w:val="en-GB"/>
        </w:rPr>
        <w:t>patients</w:t>
      </w:r>
      <w:r w:rsidR="004509D0" w:rsidRPr="00CD4428">
        <w:rPr>
          <w:rFonts w:ascii="Book Antiqua" w:eastAsia="SabonLTStd-Roman" w:hAnsi="Book Antiqua" w:cstheme="minorHAnsi"/>
          <w:sz w:val="24"/>
          <w:szCs w:val="24"/>
          <w:vertAlign w:val="superscript"/>
          <w:lang w:val="en-GB"/>
        </w:rPr>
        <w:t>[</w:t>
      </w:r>
      <w:proofErr w:type="gramEnd"/>
      <w:r w:rsidR="004509D0" w:rsidRPr="00CD4428">
        <w:rPr>
          <w:rFonts w:ascii="Book Antiqua" w:eastAsia="SabonLTStd-Roman" w:hAnsi="Book Antiqua" w:cstheme="minorHAnsi"/>
          <w:sz w:val="24"/>
          <w:szCs w:val="24"/>
          <w:vertAlign w:val="superscript"/>
          <w:lang w:val="en-GB"/>
        </w:rPr>
        <w:t>13]</w:t>
      </w:r>
      <w:r w:rsidR="004509D0" w:rsidRPr="00CD4428">
        <w:rPr>
          <w:rFonts w:ascii="Book Antiqua" w:eastAsia="SabonLTStd-Roman" w:hAnsi="Book Antiqua" w:cstheme="minorHAnsi"/>
          <w:sz w:val="24"/>
          <w:szCs w:val="24"/>
          <w:lang w:val="en-GB"/>
        </w:rPr>
        <w:t>.</w:t>
      </w:r>
      <w:r w:rsidRPr="00CD4428">
        <w:rPr>
          <w:rFonts w:ascii="Book Antiqua" w:eastAsia="SabonLTStd-Roman" w:hAnsi="Book Antiqua" w:cstheme="minorHAnsi"/>
          <w:sz w:val="24"/>
          <w:szCs w:val="24"/>
          <w:lang w:val="en-GB"/>
        </w:rPr>
        <w:t xml:space="preserve"> </w:t>
      </w:r>
      <w:r w:rsidR="0055666D" w:rsidRPr="00CD4428">
        <w:rPr>
          <w:rFonts w:ascii="Book Antiqua" w:eastAsia="SabonLTStd-Roman" w:hAnsi="Book Antiqua" w:cstheme="minorHAnsi"/>
          <w:sz w:val="24"/>
          <w:szCs w:val="24"/>
          <w:lang w:val="en-GB"/>
        </w:rPr>
        <w:t>This limit</w:t>
      </w:r>
      <w:r w:rsidR="009E24AE" w:rsidRPr="00CD4428">
        <w:rPr>
          <w:rFonts w:ascii="Book Antiqua" w:eastAsia="SabonLTStd-Roman" w:hAnsi="Book Antiqua" w:cstheme="minorHAnsi"/>
          <w:sz w:val="24"/>
          <w:szCs w:val="24"/>
          <w:lang w:val="en-GB"/>
        </w:rPr>
        <w:t>s</w:t>
      </w:r>
      <w:r w:rsidR="0055666D" w:rsidRPr="00CD4428">
        <w:rPr>
          <w:rFonts w:ascii="Book Antiqua" w:eastAsia="SabonLTStd-Roman" w:hAnsi="Book Antiqua" w:cstheme="minorHAnsi"/>
          <w:sz w:val="24"/>
          <w:szCs w:val="24"/>
          <w:lang w:val="en-GB"/>
        </w:rPr>
        <w:t xml:space="preserve"> the </w:t>
      </w:r>
      <w:r w:rsidR="00857DD4" w:rsidRPr="00CD4428">
        <w:rPr>
          <w:rFonts w:ascii="Book Antiqua" w:eastAsia="SabonLTStd-Roman" w:hAnsi="Book Antiqua" w:cstheme="minorHAnsi"/>
          <w:sz w:val="24"/>
          <w:szCs w:val="24"/>
          <w:lang w:val="en-GB"/>
        </w:rPr>
        <w:t>generalisation</w:t>
      </w:r>
      <w:r w:rsidR="009E24AE" w:rsidRPr="00CD4428">
        <w:rPr>
          <w:rFonts w:ascii="Book Antiqua" w:eastAsia="SabonLTStd-Roman" w:hAnsi="Book Antiqua" w:cstheme="minorHAnsi"/>
          <w:sz w:val="24"/>
          <w:szCs w:val="24"/>
          <w:lang w:val="en-GB"/>
        </w:rPr>
        <w:t xml:space="preserve"> </w:t>
      </w:r>
      <w:r w:rsidR="0055666D" w:rsidRPr="00CD4428">
        <w:rPr>
          <w:rFonts w:ascii="Book Antiqua" w:eastAsia="SabonLTStd-Roman" w:hAnsi="Book Antiqua" w:cstheme="minorHAnsi"/>
          <w:sz w:val="24"/>
          <w:szCs w:val="24"/>
          <w:lang w:val="en-GB"/>
        </w:rPr>
        <w:t xml:space="preserve">of RCT </w:t>
      </w:r>
      <w:r w:rsidR="00705709" w:rsidRPr="00CD4428">
        <w:rPr>
          <w:rFonts w:ascii="Book Antiqua" w:eastAsia="SabonLTStd-Roman" w:hAnsi="Book Antiqua" w:cstheme="minorHAnsi"/>
          <w:sz w:val="24"/>
          <w:szCs w:val="24"/>
          <w:lang w:val="en-GB"/>
        </w:rPr>
        <w:t>results</w:t>
      </w:r>
      <w:r w:rsidR="0055666D" w:rsidRPr="00CD4428">
        <w:rPr>
          <w:rFonts w:ascii="Book Antiqua" w:eastAsia="SabonLTStd-Roman" w:hAnsi="Book Antiqua" w:cstheme="minorHAnsi"/>
          <w:sz w:val="24"/>
          <w:szCs w:val="24"/>
          <w:lang w:val="en-GB"/>
        </w:rPr>
        <w:t xml:space="preserve"> to patients</w:t>
      </w:r>
      <w:r w:rsidR="009E24AE" w:rsidRPr="00CD4428">
        <w:rPr>
          <w:rFonts w:ascii="Book Antiqua" w:eastAsia="SabonLTStd-Roman" w:hAnsi="Book Antiqua" w:cstheme="minorHAnsi"/>
          <w:sz w:val="24"/>
          <w:szCs w:val="24"/>
          <w:lang w:val="en-GB"/>
        </w:rPr>
        <w:t xml:space="preserve"> commonly seen in general practice</w:t>
      </w:r>
      <w:r w:rsidR="00716108" w:rsidRPr="00CD4428">
        <w:rPr>
          <w:rFonts w:ascii="Book Antiqua" w:eastAsia="SabonLTStd-Roman" w:hAnsi="Book Antiqua" w:cstheme="minorHAnsi"/>
          <w:sz w:val="24"/>
          <w:szCs w:val="24"/>
          <w:lang w:val="en-GB"/>
        </w:rPr>
        <w:t>.</w:t>
      </w:r>
      <w:r w:rsidR="0055666D" w:rsidRPr="00CD4428">
        <w:rPr>
          <w:rFonts w:ascii="Book Antiqua" w:eastAsia="SabonLTStd-Roman" w:hAnsi="Book Antiqua" w:cstheme="minorHAnsi"/>
          <w:sz w:val="24"/>
          <w:szCs w:val="24"/>
          <w:lang w:val="en-GB"/>
        </w:rPr>
        <w:t xml:space="preserve"> </w:t>
      </w:r>
    </w:p>
    <w:p w14:paraId="18A78CD0" w14:textId="7C2C5D34" w:rsidR="009A00E3" w:rsidRPr="00CD4428" w:rsidRDefault="009A00E3" w:rsidP="00234ABB">
      <w:pPr>
        <w:autoSpaceDE w:val="0"/>
        <w:autoSpaceDN w:val="0"/>
        <w:adjustRightInd w:val="0"/>
        <w:snapToGrid w:val="0"/>
        <w:spacing w:after="0" w:line="360" w:lineRule="auto"/>
        <w:ind w:firstLineChars="100" w:firstLine="24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 xml:space="preserve">Patients in real-world cohorts tend to have more complicated diseases, multiple comorbidities, variable treatment regimens applied with flexibility, </w:t>
      </w:r>
      <w:r w:rsidR="009E24AE" w:rsidRPr="00CD4428">
        <w:rPr>
          <w:rFonts w:ascii="Book Antiqua" w:eastAsia="SabonLTStd-Roman" w:hAnsi="Book Antiqua" w:cstheme="minorHAnsi"/>
          <w:sz w:val="24"/>
          <w:szCs w:val="24"/>
          <w:lang w:val="en-GB"/>
        </w:rPr>
        <w:t xml:space="preserve">and </w:t>
      </w:r>
      <w:r w:rsidRPr="00CD4428">
        <w:rPr>
          <w:rFonts w:ascii="Book Antiqua" w:eastAsia="SabonLTStd-Roman" w:hAnsi="Book Antiqua" w:cstheme="minorHAnsi"/>
          <w:sz w:val="24"/>
          <w:szCs w:val="24"/>
          <w:lang w:val="en-GB"/>
        </w:rPr>
        <w:t xml:space="preserve">follow-up controls </w:t>
      </w:r>
      <w:r w:rsidR="00573F17" w:rsidRPr="00CD4428">
        <w:rPr>
          <w:rFonts w:ascii="Book Antiqua" w:eastAsia="SabonLTStd-Roman" w:hAnsi="Book Antiqua" w:cstheme="minorHAnsi"/>
          <w:sz w:val="24"/>
          <w:szCs w:val="24"/>
          <w:lang w:val="en-GB"/>
        </w:rPr>
        <w:t xml:space="preserve">that </w:t>
      </w:r>
      <w:r w:rsidR="009E24AE" w:rsidRPr="00CD4428">
        <w:rPr>
          <w:rFonts w:ascii="Book Antiqua" w:eastAsia="SabonLTStd-Roman" w:hAnsi="Book Antiqua" w:cstheme="minorHAnsi"/>
          <w:sz w:val="24"/>
          <w:szCs w:val="24"/>
          <w:lang w:val="en-GB"/>
        </w:rPr>
        <w:t xml:space="preserve">are </w:t>
      </w:r>
      <w:r w:rsidRPr="00CD4428">
        <w:rPr>
          <w:rFonts w:ascii="Book Antiqua" w:eastAsia="SabonLTStd-Roman" w:hAnsi="Book Antiqua" w:cstheme="minorHAnsi"/>
          <w:sz w:val="24"/>
          <w:szCs w:val="24"/>
          <w:lang w:val="en-GB"/>
        </w:rPr>
        <w:t>not fixed. In addition, the goals of therapy in clinical practice are variable and are specific for the single patient (“treat to target”</w:t>
      </w:r>
      <w:proofErr w:type="gramStart"/>
      <w:r w:rsidRPr="00CD4428">
        <w:rPr>
          <w:rFonts w:ascii="Book Antiqua" w:eastAsia="SabonLTStd-Roman" w:hAnsi="Book Antiqua" w:cstheme="minorHAnsi"/>
          <w:sz w:val="24"/>
          <w:szCs w:val="24"/>
          <w:lang w:val="en-GB"/>
        </w:rPr>
        <w:t>)</w:t>
      </w:r>
      <w:r w:rsidR="00716108" w:rsidRPr="00CD4428">
        <w:rPr>
          <w:rFonts w:ascii="Book Antiqua" w:eastAsia="SabonLTStd-Roman" w:hAnsi="Book Antiqua" w:cstheme="minorHAnsi"/>
          <w:sz w:val="24"/>
          <w:szCs w:val="24"/>
          <w:vertAlign w:val="superscript"/>
          <w:lang w:val="en-GB"/>
        </w:rPr>
        <w:t>[</w:t>
      </w:r>
      <w:proofErr w:type="gramEnd"/>
      <w:r w:rsidR="006B7B93" w:rsidRPr="00CD4428">
        <w:rPr>
          <w:rFonts w:ascii="Book Antiqua" w:eastAsia="SabonLTStd-Roman" w:hAnsi="Book Antiqua" w:cstheme="minorHAnsi"/>
          <w:sz w:val="24"/>
          <w:szCs w:val="24"/>
          <w:vertAlign w:val="superscript"/>
          <w:lang w:val="en-GB"/>
        </w:rPr>
        <w:t>14</w:t>
      </w:r>
      <w:r w:rsidR="00716108" w:rsidRPr="00CD4428">
        <w:rPr>
          <w:rFonts w:ascii="Book Antiqua" w:eastAsia="SabonLTStd-Roman" w:hAnsi="Book Antiqua" w:cstheme="minorHAnsi"/>
          <w:sz w:val="24"/>
          <w:szCs w:val="24"/>
          <w:vertAlign w:val="superscript"/>
          <w:lang w:val="en-GB"/>
        </w:rPr>
        <w:t>]</w:t>
      </w:r>
      <w:r w:rsidR="00716108" w:rsidRPr="00CD4428">
        <w:rPr>
          <w:rFonts w:ascii="Book Antiqua" w:eastAsia="SabonLTStd-Roman" w:hAnsi="Book Antiqua" w:cstheme="minorHAnsi"/>
          <w:sz w:val="24"/>
          <w:szCs w:val="24"/>
          <w:lang w:val="en-GB"/>
        </w:rPr>
        <w:t xml:space="preserve">. </w:t>
      </w:r>
      <w:r w:rsidR="0055666D" w:rsidRPr="00CD4428">
        <w:rPr>
          <w:rFonts w:ascii="Book Antiqua" w:eastAsia="SabonLTStd-Roman" w:hAnsi="Book Antiqua" w:cstheme="minorHAnsi"/>
          <w:sz w:val="24"/>
          <w:szCs w:val="24"/>
          <w:lang w:val="en-GB"/>
        </w:rPr>
        <w:t>T</w:t>
      </w:r>
      <w:r w:rsidR="00D521FC" w:rsidRPr="00CD4428">
        <w:rPr>
          <w:rFonts w:ascii="Book Antiqua" w:eastAsia="SabonLTStd-Roman" w:hAnsi="Book Antiqua" w:cstheme="minorHAnsi"/>
          <w:sz w:val="24"/>
          <w:szCs w:val="24"/>
          <w:lang w:val="en-GB"/>
        </w:rPr>
        <w:t>herefore</w:t>
      </w:r>
      <w:r w:rsidR="00CE4B60" w:rsidRPr="00CD4428">
        <w:rPr>
          <w:rFonts w:ascii="Book Antiqua" w:eastAsia="SabonLTStd-Roman" w:hAnsi="Book Antiqua" w:cstheme="minorHAnsi"/>
          <w:sz w:val="24"/>
          <w:szCs w:val="24"/>
          <w:lang w:val="en-GB"/>
        </w:rPr>
        <w:t>,</w:t>
      </w:r>
      <w:r w:rsidR="00D521FC" w:rsidRPr="00CD4428">
        <w:rPr>
          <w:rFonts w:ascii="Book Antiqua" w:eastAsia="SabonLTStd-Roman" w:hAnsi="Book Antiqua" w:cstheme="minorHAnsi"/>
          <w:sz w:val="24"/>
          <w:szCs w:val="24"/>
          <w:lang w:val="en-GB"/>
        </w:rPr>
        <w:t xml:space="preserve"> evaluati</w:t>
      </w:r>
      <w:r w:rsidR="00CE4B60" w:rsidRPr="00CD4428">
        <w:rPr>
          <w:rFonts w:ascii="Book Antiqua" w:eastAsia="SabonLTStd-Roman" w:hAnsi="Book Antiqua" w:cstheme="minorHAnsi"/>
          <w:sz w:val="24"/>
          <w:szCs w:val="24"/>
          <w:lang w:val="en-GB"/>
        </w:rPr>
        <w:t>ng</w:t>
      </w:r>
      <w:r w:rsidR="00D521FC" w:rsidRPr="00CD4428">
        <w:rPr>
          <w:rFonts w:ascii="Book Antiqua" w:eastAsia="SabonLTStd-Roman" w:hAnsi="Book Antiqua" w:cstheme="minorHAnsi"/>
          <w:sz w:val="24"/>
          <w:szCs w:val="24"/>
          <w:lang w:val="en-GB"/>
        </w:rPr>
        <w:t xml:space="preserve"> biologic therapies is highly relevant in the clinical practice setting. </w:t>
      </w:r>
    </w:p>
    <w:p w14:paraId="00AAAD2B" w14:textId="7228C64F" w:rsidR="00BC6A47" w:rsidRPr="00CD4428" w:rsidRDefault="00E90555" w:rsidP="00234ABB">
      <w:pPr>
        <w:autoSpaceDE w:val="0"/>
        <w:autoSpaceDN w:val="0"/>
        <w:adjustRightInd w:val="0"/>
        <w:snapToGrid w:val="0"/>
        <w:spacing w:after="0" w:line="360" w:lineRule="auto"/>
        <w:ind w:firstLineChars="100" w:firstLine="24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To date, s</w:t>
      </w:r>
      <w:r w:rsidR="00254DF9" w:rsidRPr="00CD4428">
        <w:rPr>
          <w:rFonts w:ascii="Book Antiqua" w:eastAsia="SabonLTStd-Roman" w:hAnsi="Book Antiqua" w:cstheme="minorHAnsi"/>
          <w:sz w:val="24"/>
          <w:szCs w:val="24"/>
          <w:lang w:val="en-GB"/>
        </w:rPr>
        <w:t xml:space="preserve">everal </w:t>
      </w:r>
      <w:r w:rsidR="005408AD" w:rsidRPr="00CD4428">
        <w:rPr>
          <w:rFonts w:ascii="Book Antiqua" w:eastAsia="SabonLTStd-Roman" w:hAnsi="Book Antiqua" w:cstheme="minorHAnsi"/>
          <w:sz w:val="24"/>
          <w:szCs w:val="24"/>
          <w:lang w:val="en-GB"/>
        </w:rPr>
        <w:t xml:space="preserve">real-world studies </w:t>
      </w:r>
      <w:r w:rsidR="00FF6B3D" w:rsidRPr="00CD4428">
        <w:rPr>
          <w:rFonts w:ascii="Book Antiqua" w:eastAsia="SabonLTStd-Roman" w:hAnsi="Book Antiqua" w:cstheme="minorHAnsi"/>
          <w:sz w:val="24"/>
          <w:szCs w:val="24"/>
          <w:lang w:val="en-GB"/>
        </w:rPr>
        <w:t>on</w:t>
      </w:r>
      <w:r w:rsidR="00527460" w:rsidRPr="00CD4428">
        <w:rPr>
          <w:rFonts w:ascii="Book Antiqua" w:eastAsia="SabonLTStd-Roman" w:hAnsi="Book Antiqua" w:cstheme="minorHAnsi"/>
          <w:sz w:val="24"/>
          <w:szCs w:val="24"/>
          <w:lang w:val="en-GB"/>
        </w:rPr>
        <w:t xml:space="preserve"> the</w:t>
      </w:r>
      <w:r w:rsidR="00FF6B3D" w:rsidRPr="00CD4428">
        <w:rPr>
          <w:rFonts w:ascii="Book Antiqua" w:eastAsia="SabonLTStd-Roman" w:hAnsi="Book Antiqua" w:cstheme="minorHAnsi"/>
          <w:sz w:val="24"/>
          <w:szCs w:val="24"/>
          <w:lang w:val="en-GB"/>
        </w:rPr>
        <w:t xml:space="preserve"> </w:t>
      </w:r>
      <w:r w:rsidR="005408AD" w:rsidRPr="00CD4428">
        <w:rPr>
          <w:rFonts w:ascii="Book Antiqua" w:eastAsia="SabonLTStd-Roman" w:hAnsi="Book Antiqua" w:cstheme="minorHAnsi"/>
          <w:sz w:val="24"/>
          <w:szCs w:val="24"/>
          <w:lang w:val="en-GB"/>
        </w:rPr>
        <w:t xml:space="preserve">effectiveness and safety </w:t>
      </w:r>
      <w:r w:rsidR="008C3AB5" w:rsidRPr="00CD4428">
        <w:rPr>
          <w:rFonts w:ascii="Book Antiqua" w:eastAsia="SabonLTStd-Roman" w:hAnsi="Book Antiqua" w:cstheme="minorHAnsi"/>
          <w:sz w:val="24"/>
          <w:szCs w:val="24"/>
          <w:lang w:val="en-GB"/>
        </w:rPr>
        <w:t xml:space="preserve">of </w:t>
      </w:r>
      <w:proofErr w:type="spellStart"/>
      <w:r w:rsidR="008C3AB5" w:rsidRPr="00CD4428">
        <w:rPr>
          <w:rFonts w:ascii="Book Antiqua" w:eastAsia="SabonLTStd-Roman" w:hAnsi="Book Antiqua" w:cstheme="minorHAnsi"/>
          <w:sz w:val="24"/>
          <w:szCs w:val="24"/>
          <w:lang w:val="en-GB"/>
        </w:rPr>
        <w:t>vedolizumab</w:t>
      </w:r>
      <w:proofErr w:type="spellEnd"/>
      <w:r w:rsidR="008C3AB5" w:rsidRPr="00CD4428">
        <w:rPr>
          <w:rFonts w:ascii="Book Antiqua" w:eastAsia="SabonLTStd-Roman" w:hAnsi="Book Antiqua" w:cstheme="minorHAnsi"/>
          <w:sz w:val="24"/>
          <w:szCs w:val="24"/>
          <w:lang w:val="en-GB"/>
        </w:rPr>
        <w:t xml:space="preserve"> in patients with moderate-to-severe</w:t>
      </w:r>
      <w:r w:rsidR="00573F17" w:rsidRPr="00CD4428">
        <w:rPr>
          <w:rFonts w:ascii="Book Antiqua" w:eastAsia="SabonLTStd-Roman" w:hAnsi="Book Antiqua" w:cstheme="minorHAnsi"/>
          <w:sz w:val="24"/>
          <w:szCs w:val="24"/>
          <w:lang w:val="en-GB"/>
        </w:rPr>
        <w:t>,</w:t>
      </w:r>
      <w:r w:rsidR="008C3AB5" w:rsidRPr="00CD4428">
        <w:rPr>
          <w:rFonts w:ascii="Book Antiqua" w:eastAsia="SabonLTStd-Roman" w:hAnsi="Book Antiqua" w:cstheme="minorHAnsi"/>
          <w:sz w:val="24"/>
          <w:szCs w:val="24"/>
          <w:lang w:val="en-GB"/>
        </w:rPr>
        <w:t xml:space="preserve"> </w:t>
      </w:r>
      <w:r w:rsidR="003A262A" w:rsidRPr="00CD4428">
        <w:rPr>
          <w:rFonts w:ascii="Book Antiqua" w:eastAsia="SabonLTStd-Roman" w:hAnsi="Book Antiqua" w:cstheme="minorHAnsi"/>
          <w:sz w:val="24"/>
          <w:szCs w:val="24"/>
          <w:lang w:val="en-GB"/>
        </w:rPr>
        <w:t xml:space="preserve">active </w:t>
      </w:r>
      <w:r w:rsidR="008C3AB5" w:rsidRPr="00CD4428">
        <w:rPr>
          <w:rFonts w:ascii="Book Antiqua" w:eastAsia="SabonLTStd-Roman" w:hAnsi="Book Antiqua" w:cstheme="minorHAnsi"/>
          <w:sz w:val="24"/>
          <w:szCs w:val="24"/>
          <w:lang w:val="en-GB"/>
        </w:rPr>
        <w:t>UC and CD</w:t>
      </w:r>
      <w:r w:rsidR="00FF6B3D" w:rsidRPr="00CD4428">
        <w:rPr>
          <w:rFonts w:ascii="Book Antiqua" w:eastAsia="SabonLTStd-Roman" w:hAnsi="Book Antiqua" w:cstheme="minorHAnsi"/>
          <w:sz w:val="24"/>
          <w:szCs w:val="24"/>
          <w:lang w:val="en-GB"/>
        </w:rPr>
        <w:t xml:space="preserve"> have been </w:t>
      </w:r>
      <w:proofErr w:type="gramStart"/>
      <w:r w:rsidR="00FF6B3D" w:rsidRPr="00CD4428">
        <w:rPr>
          <w:rFonts w:ascii="Book Antiqua" w:eastAsia="SabonLTStd-Roman" w:hAnsi="Book Antiqua" w:cstheme="minorHAnsi"/>
          <w:sz w:val="24"/>
          <w:szCs w:val="24"/>
          <w:lang w:val="en-GB"/>
        </w:rPr>
        <w:t>published</w:t>
      </w:r>
      <w:r w:rsidR="003B546C" w:rsidRPr="00CD4428">
        <w:rPr>
          <w:rFonts w:ascii="Book Antiqua" w:eastAsia="SabonLTStd-Roman" w:hAnsi="Book Antiqua" w:cstheme="minorHAnsi"/>
          <w:sz w:val="24"/>
          <w:szCs w:val="24"/>
          <w:vertAlign w:val="superscript"/>
          <w:lang w:val="en-GB"/>
        </w:rPr>
        <w:t>[</w:t>
      </w:r>
      <w:proofErr w:type="gramEnd"/>
      <w:r w:rsidR="003B546C" w:rsidRPr="00CD4428">
        <w:rPr>
          <w:rFonts w:ascii="Book Antiqua" w:eastAsia="SabonLTStd-Roman" w:hAnsi="Book Antiqua" w:cstheme="minorHAnsi"/>
          <w:sz w:val="24"/>
          <w:szCs w:val="24"/>
          <w:vertAlign w:val="superscript"/>
          <w:lang w:val="en-GB"/>
        </w:rPr>
        <w:t>1</w:t>
      </w:r>
      <w:r w:rsidR="006B7B93" w:rsidRPr="00CD4428">
        <w:rPr>
          <w:rFonts w:ascii="Book Antiqua" w:eastAsia="SabonLTStd-Roman" w:hAnsi="Book Antiqua" w:cstheme="minorHAnsi"/>
          <w:sz w:val="24"/>
          <w:szCs w:val="24"/>
          <w:vertAlign w:val="superscript"/>
          <w:lang w:val="en-GB"/>
        </w:rPr>
        <w:t>5</w:t>
      </w:r>
      <w:r w:rsidR="003B546C" w:rsidRPr="00CD4428">
        <w:rPr>
          <w:rFonts w:ascii="Book Antiqua" w:eastAsia="SabonLTStd-Roman" w:hAnsi="Book Antiqua" w:cstheme="minorHAnsi"/>
          <w:sz w:val="24"/>
          <w:szCs w:val="24"/>
          <w:vertAlign w:val="superscript"/>
          <w:lang w:val="en-GB"/>
        </w:rPr>
        <w:t>-</w:t>
      </w:r>
      <w:r w:rsidR="00D8477E" w:rsidRPr="00CD4428">
        <w:rPr>
          <w:rFonts w:ascii="Book Antiqua" w:eastAsia="SabonLTStd-Roman" w:hAnsi="Book Antiqua" w:cstheme="minorHAnsi"/>
          <w:sz w:val="24"/>
          <w:szCs w:val="24"/>
          <w:vertAlign w:val="superscript"/>
          <w:lang w:val="en-GB"/>
        </w:rPr>
        <w:t>2</w:t>
      </w:r>
      <w:r w:rsidR="006B7B93" w:rsidRPr="00CD4428">
        <w:rPr>
          <w:rFonts w:ascii="Book Antiqua" w:eastAsia="SabonLTStd-Roman" w:hAnsi="Book Antiqua" w:cstheme="minorHAnsi"/>
          <w:sz w:val="24"/>
          <w:szCs w:val="24"/>
          <w:vertAlign w:val="superscript"/>
          <w:lang w:val="en-GB"/>
        </w:rPr>
        <w:t>6</w:t>
      </w:r>
      <w:r w:rsidR="003B546C" w:rsidRPr="00CD4428">
        <w:rPr>
          <w:rFonts w:ascii="Book Antiqua" w:eastAsia="SabonLTStd-Roman" w:hAnsi="Book Antiqua" w:cstheme="minorHAnsi"/>
          <w:sz w:val="24"/>
          <w:szCs w:val="24"/>
          <w:vertAlign w:val="superscript"/>
          <w:lang w:val="en-GB"/>
        </w:rPr>
        <w:t>]</w:t>
      </w:r>
      <w:r w:rsidR="003B546C" w:rsidRPr="00CD4428">
        <w:rPr>
          <w:rFonts w:ascii="Book Antiqua" w:eastAsia="SabonLTStd-Roman" w:hAnsi="Book Antiqua" w:cstheme="minorHAnsi"/>
          <w:sz w:val="24"/>
          <w:szCs w:val="24"/>
          <w:lang w:val="en-GB"/>
        </w:rPr>
        <w:t xml:space="preserve">. </w:t>
      </w:r>
      <w:r w:rsidR="00BC6A47" w:rsidRPr="00CD4428">
        <w:rPr>
          <w:rFonts w:ascii="Book Antiqua" w:eastAsia="SabonLTStd-Roman" w:hAnsi="Book Antiqua" w:cstheme="minorHAnsi"/>
          <w:sz w:val="24"/>
          <w:szCs w:val="24"/>
          <w:lang w:val="en-GB"/>
        </w:rPr>
        <w:t xml:space="preserve">This paper reviews the efficacy of </w:t>
      </w:r>
      <w:proofErr w:type="spellStart"/>
      <w:r w:rsidR="00BC6A47" w:rsidRPr="00CD4428">
        <w:rPr>
          <w:rFonts w:ascii="Book Antiqua" w:eastAsia="SabonLTStd-Roman" w:hAnsi="Book Antiqua" w:cstheme="minorHAnsi"/>
          <w:sz w:val="24"/>
          <w:szCs w:val="24"/>
          <w:lang w:val="en-GB"/>
        </w:rPr>
        <w:t>vedolizumab</w:t>
      </w:r>
      <w:proofErr w:type="spellEnd"/>
      <w:r w:rsidR="00BC6A47" w:rsidRPr="00CD4428">
        <w:rPr>
          <w:rFonts w:ascii="Book Antiqua" w:eastAsia="SabonLTStd-Roman" w:hAnsi="Book Antiqua" w:cstheme="minorHAnsi"/>
          <w:sz w:val="24"/>
          <w:szCs w:val="24"/>
          <w:lang w:val="en-GB"/>
        </w:rPr>
        <w:t xml:space="preserve"> for the treatment of IBD </w:t>
      </w:r>
      <w:r w:rsidR="00527460" w:rsidRPr="00CD4428">
        <w:rPr>
          <w:rFonts w:ascii="Book Antiqua" w:eastAsia="SabonLTStd-Roman" w:hAnsi="Book Antiqua" w:cstheme="minorHAnsi"/>
          <w:sz w:val="24"/>
          <w:szCs w:val="24"/>
          <w:lang w:val="en-GB"/>
        </w:rPr>
        <w:t xml:space="preserve">from </w:t>
      </w:r>
      <w:r w:rsidR="00BC6A47" w:rsidRPr="00CD4428">
        <w:rPr>
          <w:rFonts w:ascii="Book Antiqua" w:eastAsia="SabonLTStd-Roman" w:hAnsi="Book Antiqua" w:cstheme="minorHAnsi"/>
          <w:sz w:val="24"/>
          <w:szCs w:val="24"/>
          <w:lang w:val="en-GB"/>
        </w:rPr>
        <w:t xml:space="preserve">the randomized </w:t>
      </w:r>
      <w:r w:rsidR="00A95628" w:rsidRPr="00CD4428">
        <w:rPr>
          <w:rFonts w:ascii="Book Antiqua" w:eastAsia="SabonLTStd-Roman" w:hAnsi="Book Antiqua" w:cstheme="minorHAnsi"/>
          <w:sz w:val="24"/>
          <w:szCs w:val="24"/>
          <w:lang w:val="en-GB"/>
        </w:rPr>
        <w:lastRenderedPageBreak/>
        <w:t xml:space="preserve">controlled </w:t>
      </w:r>
      <w:r w:rsidR="00BC6A47" w:rsidRPr="00CD4428">
        <w:rPr>
          <w:rFonts w:ascii="Book Antiqua" w:eastAsia="SabonLTStd-Roman" w:hAnsi="Book Antiqua" w:cstheme="minorHAnsi"/>
          <w:sz w:val="24"/>
          <w:szCs w:val="24"/>
          <w:lang w:val="en-GB"/>
        </w:rPr>
        <w:t xml:space="preserve">clinical trials </w:t>
      </w:r>
      <w:r w:rsidR="003D7C3D" w:rsidRPr="00CD4428">
        <w:rPr>
          <w:rFonts w:ascii="Book Antiqua" w:eastAsia="SabonLTStd-Roman" w:hAnsi="Book Antiqua" w:cstheme="minorHAnsi"/>
          <w:sz w:val="24"/>
          <w:szCs w:val="24"/>
          <w:lang w:val="en-GB"/>
        </w:rPr>
        <w:t>(GEMINI program)</w:t>
      </w:r>
      <w:r w:rsidR="00FF6B3D" w:rsidRPr="00CD4428">
        <w:rPr>
          <w:rFonts w:ascii="Book Antiqua" w:eastAsia="SabonLTStd-Roman" w:hAnsi="Book Antiqua" w:cstheme="minorHAnsi"/>
          <w:sz w:val="24"/>
          <w:szCs w:val="24"/>
          <w:lang w:val="en-GB"/>
        </w:rPr>
        <w:t xml:space="preserve"> and in the GEMINI long-term safety (LTS) </w:t>
      </w:r>
      <w:proofErr w:type="gramStart"/>
      <w:r w:rsidR="00FF6B3D" w:rsidRPr="00CD4428">
        <w:rPr>
          <w:rFonts w:ascii="Book Antiqua" w:eastAsia="SabonLTStd-Roman" w:hAnsi="Book Antiqua" w:cstheme="minorHAnsi"/>
          <w:sz w:val="24"/>
          <w:szCs w:val="24"/>
          <w:lang w:val="en-GB"/>
        </w:rPr>
        <w:t>study</w:t>
      </w:r>
      <w:r w:rsidR="006D013B" w:rsidRPr="00CD4428">
        <w:rPr>
          <w:rFonts w:ascii="Book Antiqua" w:eastAsia="SabonLTStd-Roman" w:hAnsi="Book Antiqua" w:cstheme="minorHAnsi"/>
          <w:sz w:val="24"/>
          <w:szCs w:val="24"/>
          <w:vertAlign w:val="superscript"/>
          <w:lang w:val="en-GB"/>
        </w:rPr>
        <w:t>[</w:t>
      </w:r>
      <w:proofErr w:type="gramEnd"/>
      <w:r w:rsidR="006D013B" w:rsidRPr="00CD4428">
        <w:rPr>
          <w:rFonts w:ascii="Book Antiqua" w:eastAsia="SabonLTStd-Roman" w:hAnsi="Book Antiqua" w:cstheme="minorHAnsi"/>
          <w:sz w:val="24"/>
          <w:szCs w:val="24"/>
          <w:vertAlign w:val="superscript"/>
          <w:lang w:val="en-GB"/>
        </w:rPr>
        <w:t>2</w:t>
      </w:r>
      <w:r w:rsidR="006B7B93" w:rsidRPr="00CD4428">
        <w:rPr>
          <w:rFonts w:ascii="Book Antiqua" w:eastAsia="SabonLTStd-Roman" w:hAnsi="Book Antiqua" w:cstheme="minorHAnsi"/>
          <w:sz w:val="24"/>
          <w:szCs w:val="24"/>
          <w:vertAlign w:val="superscript"/>
          <w:lang w:val="en-GB"/>
        </w:rPr>
        <w:t>7</w:t>
      </w:r>
      <w:r w:rsidR="00834467" w:rsidRPr="00CD4428">
        <w:rPr>
          <w:rFonts w:ascii="Book Antiqua" w:eastAsia="SabonLTStd-Roman" w:hAnsi="Book Antiqua" w:cstheme="minorHAnsi"/>
          <w:sz w:val="24"/>
          <w:szCs w:val="24"/>
          <w:vertAlign w:val="superscript"/>
          <w:lang w:val="en-GB"/>
        </w:rPr>
        <w:t>,28</w:t>
      </w:r>
      <w:r w:rsidR="006D013B" w:rsidRPr="00CD4428">
        <w:rPr>
          <w:rFonts w:ascii="Book Antiqua" w:eastAsia="SabonLTStd-Roman" w:hAnsi="Book Antiqua" w:cstheme="minorHAnsi"/>
          <w:sz w:val="24"/>
          <w:szCs w:val="24"/>
          <w:vertAlign w:val="superscript"/>
          <w:lang w:val="en-GB"/>
        </w:rPr>
        <w:t>]</w:t>
      </w:r>
      <w:r w:rsidR="00FA1D3B" w:rsidRPr="00CD4428">
        <w:rPr>
          <w:rFonts w:ascii="Book Antiqua" w:eastAsia="SabonLTStd-Roman" w:hAnsi="Book Antiqua" w:cstheme="minorHAnsi"/>
          <w:sz w:val="24"/>
          <w:szCs w:val="24"/>
          <w:lang w:val="en-GB"/>
        </w:rPr>
        <w:t>,</w:t>
      </w:r>
      <w:r w:rsidR="00613491" w:rsidRPr="00CD4428">
        <w:rPr>
          <w:rFonts w:ascii="Book Antiqua" w:eastAsia="SabonLTStd-Roman" w:hAnsi="Book Antiqua" w:cstheme="minorHAnsi"/>
          <w:sz w:val="24"/>
          <w:szCs w:val="24"/>
          <w:lang w:val="en-GB"/>
        </w:rPr>
        <w:t xml:space="preserve"> </w:t>
      </w:r>
      <w:r w:rsidR="00FF6B3D" w:rsidRPr="00CD4428">
        <w:rPr>
          <w:rFonts w:ascii="Book Antiqua" w:eastAsia="SabonLTStd-Roman" w:hAnsi="Book Antiqua" w:cstheme="minorHAnsi"/>
          <w:sz w:val="24"/>
          <w:szCs w:val="24"/>
          <w:lang w:val="en-GB"/>
        </w:rPr>
        <w:t>the</w:t>
      </w:r>
      <w:r w:rsidR="00590110" w:rsidRPr="00CD4428">
        <w:rPr>
          <w:rFonts w:ascii="Book Antiqua" w:eastAsia="SabonLTStd-Roman" w:hAnsi="Book Antiqua" w:cstheme="minorHAnsi"/>
          <w:sz w:val="24"/>
          <w:szCs w:val="24"/>
          <w:lang w:val="en-GB"/>
        </w:rPr>
        <w:t xml:space="preserve"> </w:t>
      </w:r>
      <w:r w:rsidR="00150826" w:rsidRPr="00CD4428">
        <w:rPr>
          <w:rFonts w:ascii="Book Antiqua" w:eastAsia="SabonLTStd-Roman" w:hAnsi="Book Antiqua" w:cstheme="minorHAnsi"/>
          <w:sz w:val="24"/>
          <w:szCs w:val="24"/>
          <w:lang w:val="en-GB"/>
        </w:rPr>
        <w:t xml:space="preserve">effectiveness </w:t>
      </w:r>
      <w:r w:rsidR="00FF6B3D" w:rsidRPr="00CD4428">
        <w:rPr>
          <w:rFonts w:ascii="Book Antiqua" w:eastAsia="SabonLTStd-Roman" w:hAnsi="Book Antiqua" w:cstheme="minorHAnsi"/>
          <w:sz w:val="24"/>
          <w:szCs w:val="24"/>
          <w:lang w:val="en-GB"/>
        </w:rPr>
        <w:t xml:space="preserve">of </w:t>
      </w:r>
      <w:proofErr w:type="spellStart"/>
      <w:r w:rsidR="00FF6B3D" w:rsidRPr="00CD4428">
        <w:rPr>
          <w:rFonts w:ascii="Book Antiqua" w:eastAsia="SabonLTStd-Roman" w:hAnsi="Book Antiqua" w:cstheme="minorHAnsi"/>
          <w:sz w:val="24"/>
          <w:szCs w:val="24"/>
          <w:lang w:val="en-GB"/>
        </w:rPr>
        <w:t>vedolizumab</w:t>
      </w:r>
      <w:proofErr w:type="spellEnd"/>
      <w:r w:rsidR="00FF6B3D" w:rsidRPr="00CD4428">
        <w:rPr>
          <w:rFonts w:ascii="Book Antiqua" w:eastAsia="SabonLTStd-Roman" w:hAnsi="Book Antiqua" w:cstheme="minorHAnsi"/>
          <w:sz w:val="24"/>
          <w:szCs w:val="24"/>
          <w:lang w:val="en-GB"/>
        </w:rPr>
        <w:t xml:space="preserve"> </w:t>
      </w:r>
      <w:r w:rsidR="00BC6A47" w:rsidRPr="00CD4428">
        <w:rPr>
          <w:rFonts w:ascii="Book Antiqua" w:eastAsia="SabonLTStd-Roman" w:hAnsi="Book Antiqua" w:cstheme="minorHAnsi"/>
          <w:sz w:val="24"/>
          <w:szCs w:val="24"/>
          <w:lang w:val="en-GB"/>
        </w:rPr>
        <w:t>in the real</w:t>
      </w:r>
      <w:r w:rsidR="00FF6B3D" w:rsidRPr="00CD4428">
        <w:rPr>
          <w:rFonts w:ascii="Book Antiqua" w:eastAsia="SabonLTStd-Roman" w:hAnsi="Book Antiqua" w:cstheme="minorHAnsi"/>
          <w:sz w:val="24"/>
          <w:szCs w:val="24"/>
          <w:lang w:val="en-GB"/>
        </w:rPr>
        <w:t>-</w:t>
      </w:r>
      <w:r w:rsidR="00573F17" w:rsidRPr="00CD4428">
        <w:rPr>
          <w:rFonts w:ascii="Book Antiqua" w:eastAsia="SabonLTStd-Roman" w:hAnsi="Book Antiqua" w:cstheme="minorHAnsi"/>
          <w:sz w:val="24"/>
          <w:szCs w:val="24"/>
          <w:lang w:val="en-GB"/>
        </w:rPr>
        <w:t>world</w:t>
      </w:r>
      <w:r w:rsidR="00BC6A47" w:rsidRPr="00CD4428">
        <w:rPr>
          <w:rFonts w:ascii="Book Antiqua" w:eastAsia="SabonLTStd-Roman" w:hAnsi="Book Antiqua" w:cstheme="minorHAnsi"/>
          <w:sz w:val="24"/>
          <w:szCs w:val="24"/>
          <w:lang w:val="en-GB"/>
        </w:rPr>
        <w:t xml:space="preserve"> studies</w:t>
      </w:r>
      <w:r w:rsidR="00150826" w:rsidRPr="00CD4428">
        <w:rPr>
          <w:rFonts w:ascii="Book Antiqua" w:eastAsia="SabonLTStd-Roman" w:hAnsi="Book Antiqua" w:cstheme="minorHAnsi"/>
          <w:sz w:val="24"/>
          <w:szCs w:val="24"/>
          <w:lang w:val="en-GB"/>
        </w:rPr>
        <w:t>, and</w:t>
      </w:r>
      <w:r w:rsidR="00FF6B3D" w:rsidRPr="00CD4428">
        <w:rPr>
          <w:rFonts w:ascii="Book Antiqua" w:eastAsia="SabonLTStd-Roman" w:hAnsi="Book Antiqua" w:cstheme="minorHAnsi"/>
          <w:sz w:val="24"/>
          <w:szCs w:val="24"/>
          <w:lang w:val="en-GB"/>
        </w:rPr>
        <w:t xml:space="preserve"> </w:t>
      </w:r>
      <w:r w:rsidR="00527460" w:rsidRPr="00CD4428">
        <w:rPr>
          <w:rFonts w:ascii="Book Antiqua" w:eastAsia="SabonLTStd-Roman" w:hAnsi="Book Antiqua" w:cstheme="minorHAnsi"/>
          <w:sz w:val="24"/>
          <w:szCs w:val="24"/>
          <w:lang w:val="en-GB"/>
        </w:rPr>
        <w:t xml:space="preserve">the drug’s </w:t>
      </w:r>
      <w:r w:rsidR="00150826" w:rsidRPr="00CD4428">
        <w:rPr>
          <w:rFonts w:ascii="Book Antiqua" w:eastAsia="SabonLTStd-Roman" w:hAnsi="Book Antiqua" w:cstheme="minorHAnsi"/>
          <w:sz w:val="24"/>
          <w:szCs w:val="24"/>
          <w:lang w:val="en-GB"/>
        </w:rPr>
        <w:t>safety profile</w:t>
      </w:r>
      <w:r w:rsidR="00BC6A47" w:rsidRPr="00CD4428">
        <w:rPr>
          <w:rFonts w:ascii="Book Antiqua" w:eastAsia="SabonLTStd-Roman" w:hAnsi="Book Antiqua" w:cstheme="minorHAnsi"/>
          <w:sz w:val="24"/>
          <w:szCs w:val="24"/>
          <w:lang w:val="en-GB"/>
        </w:rPr>
        <w:t xml:space="preserve">. </w:t>
      </w:r>
    </w:p>
    <w:p w14:paraId="63C7D08C" w14:textId="77777777" w:rsidR="005D2360" w:rsidRPr="00234ABB" w:rsidRDefault="005D2360" w:rsidP="00E17439">
      <w:pPr>
        <w:autoSpaceDE w:val="0"/>
        <w:autoSpaceDN w:val="0"/>
        <w:adjustRightInd w:val="0"/>
        <w:snapToGrid w:val="0"/>
        <w:spacing w:after="0" w:line="360" w:lineRule="auto"/>
        <w:jc w:val="both"/>
        <w:rPr>
          <w:rFonts w:ascii="Book Antiqua" w:hAnsi="Book Antiqua" w:cstheme="minorHAnsi"/>
          <w:sz w:val="24"/>
          <w:szCs w:val="24"/>
          <w:lang w:val="en-GB" w:eastAsia="zh-CN"/>
        </w:rPr>
      </w:pPr>
    </w:p>
    <w:p w14:paraId="039869C3" w14:textId="084577A7" w:rsidR="005D2360" w:rsidRPr="00234ABB" w:rsidRDefault="005D2360" w:rsidP="00E17439">
      <w:pPr>
        <w:autoSpaceDE w:val="0"/>
        <w:autoSpaceDN w:val="0"/>
        <w:adjustRightInd w:val="0"/>
        <w:snapToGrid w:val="0"/>
        <w:spacing w:after="0" w:line="360" w:lineRule="auto"/>
        <w:jc w:val="both"/>
        <w:rPr>
          <w:rFonts w:ascii="Book Antiqua" w:eastAsia="SabonLTStd-Roman" w:hAnsi="Book Antiqua" w:cstheme="minorHAnsi"/>
          <w:b/>
          <w:caps/>
          <w:sz w:val="24"/>
          <w:szCs w:val="24"/>
          <w:lang w:val="en-GB"/>
        </w:rPr>
      </w:pPr>
      <w:r w:rsidRPr="00234ABB">
        <w:rPr>
          <w:rFonts w:ascii="Book Antiqua" w:eastAsia="SabonLTStd-Roman" w:hAnsi="Book Antiqua" w:cstheme="minorHAnsi"/>
          <w:b/>
          <w:caps/>
          <w:sz w:val="24"/>
          <w:szCs w:val="24"/>
          <w:lang w:val="en-GB"/>
        </w:rPr>
        <w:t>E</w:t>
      </w:r>
      <w:r w:rsidR="00987030" w:rsidRPr="00234ABB">
        <w:rPr>
          <w:rFonts w:ascii="Book Antiqua" w:eastAsia="SabonLTStd-Roman" w:hAnsi="Book Antiqua" w:cstheme="minorHAnsi"/>
          <w:b/>
          <w:caps/>
          <w:sz w:val="24"/>
          <w:szCs w:val="24"/>
          <w:lang w:val="en-GB"/>
        </w:rPr>
        <w:t xml:space="preserve">fficacy </w:t>
      </w:r>
      <w:r w:rsidR="00E25F41" w:rsidRPr="00234ABB">
        <w:rPr>
          <w:rFonts w:ascii="Book Antiqua" w:eastAsia="SabonLTStd-Roman" w:hAnsi="Book Antiqua" w:cstheme="minorHAnsi"/>
          <w:b/>
          <w:caps/>
          <w:sz w:val="24"/>
          <w:szCs w:val="24"/>
          <w:lang w:val="en-GB"/>
        </w:rPr>
        <w:t xml:space="preserve">of vedolizumab </w:t>
      </w:r>
      <w:r w:rsidR="00987030" w:rsidRPr="00234ABB">
        <w:rPr>
          <w:rFonts w:ascii="Book Antiqua" w:eastAsia="SabonLTStd-Roman" w:hAnsi="Book Antiqua" w:cstheme="minorHAnsi"/>
          <w:b/>
          <w:caps/>
          <w:sz w:val="24"/>
          <w:szCs w:val="24"/>
          <w:lang w:val="en-GB"/>
        </w:rPr>
        <w:t xml:space="preserve">from </w:t>
      </w:r>
      <w:r w:rsidR="00573F17" w:rsidRPr="00234ABB">
        <w:rPr>
          <w:rFonts w:ascii="Book Antiqua" w:eastAsia="SabonLTStd-Roman" w:hAnsi="Book Antiqua" w:cstheme="minorHAnsi"/>
          <w:b/>
          <w:caps/>
          <w:sz w:val="24"/>
          <w:szCs w:val="24"/>
          <w:lang w:val="en-GB"/>
        </w:rPr>
        <w:t>RCT</w:t>
      </w:r>
      <w:r w:rsidR="00987030" w:rsidRPr="00234ABB">
        <w:rPr>
          <w:rFonts w:ascii="Book Antiqua" w:eastAsia="SabonLTStd-Roman" w:hAnsi="Book Antiqua" w:cstheme="minorHAnsi"/>
          <w:b/>
          <w:caps/>
          <w:sz w:val="24"/>
          <w:szCs w:val="24"/>
          <w:lang w:val="en-GB"/>
        </w:rPr>
        <w:t>s</w:t>
      </w:r>
      <w:r w:rsidR="00590110" w:rsidRPr="00234ABB">
        <w:rPr>
          <w:rFonts w:ascii="Book Antiqua" w:eastAsia="SabonLTStd-Roman" w:hAnsi="Book Antiqua" w:cstheme="minorHAnsi"/>
          <w:b/>
          <w:caps/>
          <w:sz w:val="24"/>
          <w:szCs w:val="24"/>
          <w:lang w:val="en-GB"/>
        </w:rPr>
        <w:t xml:space="preserve"> </w:t>
      </w:r>
    </w:p>
    <w:p w14:paraId="5EF31FF8" w14:textId="21808159" w:rsidR="00361CF4" w:rsidRPr="00CD4428" w:rsidRDefault="004E2888" w:rsidP="00E17439">
      <w:pPr>
        <w:autoSpaceDE w:val="0"/>
        <w:autoSpaceDN w:val="0"/>
        <w:adjustRightInd w:val="0"/>
        <w:snapToGrid w:val="0"/>
        <w:spacing w:after="0" w:line="360" w:lineRule="auto"/>
        <w:jc w:val="both"/>
        <w:rPr>
          <w:rFonts w:ascii="Book Antiqua" w:eastAsia="SabonLTStd-Roman" w:hAnsi="Book Antiqua" w:cstheme="minorHAnsi"/>
          <w:b/>
          <w:i/>
          <w:sz w:val="24"/>
          <w:szCs w:val="24"/>
          <w:lang w:val="en-GB"/>
        </w:rPr>
      </w:pPr>
      <w:proofErr w:type="spellStart"/>
      <w:r w:rsidRPr="00CD4428">
        <w:rPr>
          <w:rFonts w:ascii="Book Antiqua" w:eastAsia="SabonLTStd-Roman" w:hAnsi="Book Antiqua" w:cstheme="minorHAnsi"/>
          <w:b/>
          <w:i/>
          <w:sz w:val="24"/>
          <w:szCs w:val="24"/>
          <w:lang w:val="en-GB"/>
        </w:rPr>
        <w:t>Vedolizumab</w:t>
      </w:r>
      <w:proofErr w:type="spellEnd"/>
      <w:r w:rsidRPr="00CD4428">
        <w:rPr>
          <w:rFonts w:ascii="Book Antiqua" w:eastAsia="SabonLTStd-Roman" w:hAnsi="Book Antiqua" w:cstheme="minorHAnsi"/>
          <w:b/>
          <w:i/>
          <w:sz w:val="24"/>
          <w:szCs w:val="24"/>
          <w:lang w:val="en-GB"/>
        </w:rPr>
        <w:t xml:space="preserve"> in </w:t>
      </w:r>
      <w:r w:rsidR="00573F17" w:rsidRPr="00CD4428">
        <w:rPr>
          <w:rFonts w:ascii="Book Antiqua" w:eastAsia="SabonLTStd-Roman" w:hAnsi="Book Antiqua" w:cstheme="minorHAnsi"/>
          <w:b/>
          <w:i/>
          <w:sz w:val="24"/>
          <w:szCs w:val="24"/>
          <w:lang w:val="en-GB"/>
        </w:rPr>
        <w:t>UC</w:t>
      </w:r>
    </w:p>
    <w:p w14:paraId="1A55B297" w14:textId="0F6DD996" w:rsidR="007F5ECC" w:rsidRPr="00CD4428" w:rsidRDefault="007E722B" w:rsidP="00E17439">
      <w:pPr>
        <w:autoSpaceDE w:val="0"/>
        <w:autoSpaceDN w:val="0"/>
        <w:adjustRightInd w:val="0"/>
        <w:snapToGrid w:val="0"/>
        <w:spacing w:after="0" w:line="360" w:lineRule="auto"/>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 xml:space="preserve">The efficacy of </w:t>
      </w:r>
      <w:proofErr w:type="spellStart"/>
      <w:r w:rsidRPr="00CD4428">
        <w:rPr>
          <w:rFonts w:ascii="Book Antiqua" w:eastAsia="SabonLTStd-Roman" w:hAnsi="Book Antiqua" w:cstheme="minorHAnsi"/>
          <w:sz w:val="24"/>
          <w:szCs w:val="24"/>
          <w:lang w:val="en-GB"/>
        </w:rPr>
        <w:t>vedolizumab</w:t>
      </w:r>
      <w:proofErr w:type="spellEnd"/>
      <w:r w:rsidRPr="00CD4428">
        <w:rPr>
          <w:rFonts w:ascii="Book Antiqua" w:eastAsia="SabonLTStd-Roman" w:hAnsi="Book Antiqua" w:cstheme="minorHAnsi"/>
          <w:sz w:val="24"/>
          <w:szCs w:val="24"/>
          <w:lang w:val="en-GB"/>
        </w:rPr>
        <w:t xml:space="preserve"> for induci</w:t>
      </w:r>
      <w:r w:rsidR="00527460" w:rsidRPr="00CD4428">
        <w:rPr>
          <w:rFonts w:ascii="Book Antiqua" w:eastAsia="SabonLTStd-Roman" w:hAnsi="Book Antiqua" w:cstheme="minorHAnsi"/>
          <w:sz w:val="24"/>
          <w:szCs w:val="24"/>
          <w:lang w:val="en-GB"/>
        </w:rPr>
        <w:t xml:space="preserve">ng </w:t>
      </w:r>
      <w:r w:rsidRPr="00CD4428">
        <w:rPr>
          <w:rFonts w:ascii="Book Antiqua" w:eastAsia="SabonLTStd-Roman" w:hAnsi="Book Antiqua" w:cstheme="minorHAnsi"/>
          <w:sz w:val="24"/>
          <w:szCs w:val="24"/>
          <w:lang w:val="en-GB"/>
        </w:rPr>
        <w:t>and maint</w:t>
      </w:r>
      <w:r w:rsidR="00527460" w:rsidRPr="00CD4428">
        <w:rPr>
          <w:rFonts w:ascii="Book Antiqua" w:eastAsia="SabonLTStd-Roman" w:hAnsi="Book Antiqua" w:cstheme="minorHAnsi"/>
          <w:sz w:val="24"/>
          <w:szCs w:val="24"/>
          <w:lang w:val="en-GB"/>
        </w:rPr>
        <w:t>aining</w:t>
      </w:r>
      <w:r w:rsidRPr="00CD4428">
        <w:rPr>
          <w:rFonts w:ascii="Book Antiqua" w:eastAsia="SabonLTStd-Roman" w:hAnsi="Book Antiqua" w:cstheme="minorHAnsi"/>
          <w:sz w:val="24"/>
          <w:szCs w:val="24"/>
          <w:lang w:val="en-GB"/>
        </w:rPr>
        <w:t xml:space="preserve"> remission in</w:t>
      </w:r>
      <w:r w:rsidR="00573F17" w:rsidRPr="00CD4428">
        <w:rPr>
          <w:rFonts w:ascii="Book Antiqua" w:eastAsia="SabonLTStd-Roman" w:hAnsi="Book Antiqua" w:cstheme="minorHAnsi"/>
          <w:sz w:val="24"/>
          <w:szCs w:val="24"/>
          <w:lang w:val="en-GB"/>
        </w:rPr>
        <w:t xml:space="preserve"> patients with</w:t>
      </w:r>
      <w:r w:rsidRPr="00CD4428">
        <w:rPr>
          <w:rFonts w:ascii="Book Antiqua" w:eastAsia="SabonLTStd-Roman" w:hAnsi="Book Antiqua" w:cstheme="minorHAnsi"/>
          <w:sz w:val="24"/>
          <w:szCs w:val="24"/>
          <w:lang w:val="en-GB"/>
        </w:rPr>
        <w:t xml:space="preserve"> UC was demonstrated </w:t>
      </w:r>
      <w:r w:rsidR="00527460" w:rsidRPr="00CD4428">
        <w:rPr>
          <w:rFonts w:ascii="Book Antiqua" w:eastAsia="SabonLTStd-Roman" w:hAnsi="Book Antiqua" w:cstheme="minorHAnsi"/>
          <w:sz w:val="24"/>
          <w:szCs w:val="24"/>
          <w:lang w:val="en-GB"/>
        </w:rPr>
        <w:t xml:space="preserve">in the </w:t>
      </w:r>
      <w:r w:rsidRPr="00CD4428">
        <w:rPr>
          <w:rFonts w:ascii="Book Antiqua" w:eastAsia="SabonLTStd-Roman" w:hAnsi="Book Antiqua" w:cstheme="minorHAnsi"/>
          <w:sz w:val="24"/>
          <w:szCs w:val="24"/>
          <w:lang w:val="en-GB"/>
        </w:rPr>
        <w:t xml:space="preserve">GEMINI </w:t>
      </w:r>
      <w:r w:rsidR="004C6CA1" w:rsidRPr="00CD4428">
        <w:rPr>
          <w:rFonts w:ascii="Book Antiqua" w:eastAsia="SabonLTStd-Roman" w:hAnsi="Book Antiqua" w:cstheme="minorHAnsi"/>
          <w:sz w:val="24"/>
          <w:szCs w:val="24"/>
          <w:lang w:val="en-GB"/>
        </w:rPr>
        <w:t>1</w:t>
      </w:r>
      <w:r w:rsidRPr="00CD4428">
        <w:rPr>
          <w:rFonts w:ascii="Book Antiqua" w:eastAsia="SabonLTStd-Roman" w:hAnsi="Book Antiqua" w:cstheme="minorHAnsi"/>
          <w:sz w:val="24"/>
          <w:szCs w:val="24"/>
          <w:lang w:val="en-GB"/>
        </w:rPr>
        <w:t xml:space="preserve"> study, a trial </w:t>
      </w:r>
      <w:r w:rsidR="005E303C" w:rsidRPr="00CD4428">
        <w:rPr>
          <w:rFonts w:ascii="Book Antiqua" w:eastAsia="SabonLTStd-Roman" w:hAnsi="Book Antiqua" w:cstheme="minorHAnsi"/>
          <w:sz w:val="24"/>
          <w:szCs w:val="24"/>
          <w:lang w:val="en-GB"/>
        </w:rPr>
        <w:t xml:space="preserve">involving </w:t>
      </w:r>
      <w:r w:rsidR="00DB43A2" w:rsidRPr="00CD4428">
        <w:rPr>
          <w:rFonts w:ascii="Book Antiqua" w:eastAsia="SabonLTStd-Roman" w:hAnsi="Book Antiqua" w:cstheme="minorHAnsi"/>
          <w:sz w:val="24"/>
          <w:szCs w:val="24"/>
          <w:lang w:val="en-GB"/>
        </w:rPr>
        <w:t>more than 800</w:t>
      </w:r>
      <w:r w:rsidRPr="00CD4428">
        <w:rPr>
          <w:rFonts w:ascii="Book Antiqua" w:eastAsia="SabonLTStd-Roman" w:hAnsi="Book Antiqua" w:cstheme="minorHAnsi"/>
          <w:sz w:val="24"/>
          <w:szCs w:val="24"/>
          <w:lang w:val="en-GB"/>
        </w:rPr>
        <w:t xml:space="preserve"> patients </w:t>
      </w:r>
      <w:r w:rsidR="00F05E96" w:rsidRPr="00CD4428">
        <w:rPr>
          <w:rFonts w:ascii="Book Antiqua" w:eastAsia="SabonLTStd-Roman" w:hAnsi="Book Antiqua" w:cstheme="minorHAnsi"/>
          <w:sz w:val="24"/>
          <w:szCs w:val="24"/>
          <w:lang w:val="en-GB"/>
        </w:rPr>
        <w:t>with moderate-to-severe UC</w:t>
      </w:r>
      <w:r w:rsidR="006D7985" w:rsidRPr="00CD4428">
        <w:rPr>
          <w:rFonts w:ascii="Book Antiqua" w:eastAsia="SabonLTStd-Roman" w:hAnsi="Book Antiqua" w:cstheme="minorHAnsi"/>
          <w:sz w:val="24"/>
          <w:szCs w:val="24"/>
          <w:lang w:val="en-GB"/>
        </w:rPr>
        <w:t>,</w:t>
      </w:r>
      <w:r w:rsidR="00590110" w:rsidRPr="00CD4428">
        <w:rPr>
          <w:rFonts w:ascii="Book Antiqua" w:eastAsia="SabonLTStd-Roman" w:hAnsi="Book Antiqua" w:cstheme="minorHAnsi"/>
          <w:sz w:val="24"/>
          <w:szCs w:val="24"/>
          <w:lang w:val="en-GB"/>
        </w:rPr>
        <w:t xml:space="preserve"> </w:t>
      </w:r>
      <w:r w:rsidR="006D7985" w:rsidRPr="00CD4428">
        <w:rPr>
          <w:rFonts w:ascii="Book Antiqua" w:eastAsia="SabonLTStd-Roman" w:hAnsi="Book Antiqua" w:cstheme="minorHAnsi"/>
          <w:sz w:val="24"/>
          <w:szCs w:val="24"/>
          <w:lang w:val="en-GB"/>
        </w:rPr>
        <w:t>defined as a Mayo score</w:t>
      </w:r>
      <w:r w:rsidR="00E66AF1" w:rsidRPr="00CD4428">
        <w:rPr>
          <w:rFonts w:ascii="Book Antiqua" w:eastAsia="SabonLTStd-Roman" w:hAnsi="Book Antiqua" w:cstheme="minorHAnsi"/>
          <w:sz w:val="24"/>
          <w:szCs w:val="24"/>
          <w:vertAlign w:val="superscript"/>
          <w:lang w:val="en-GB"/>
        </w:rPr>
        <w:t>[2</w:t>
      </w:r>
      <w:r w:rsidR="00834467" w:rsidRPr="00CD4428">
        <w:rPr>
          <w:rFonts w:ascii="Book Antiqua" w:eastAsia="SabonLTStd-Roman" w:hAnsi="Book Antiqua" w:cstheme="minorHAnsi"/>
          <w:sz w:val="24"/>
          <w:szCs w:val="24"/>
          <w:vertAlign w:val="superscript"/>
          <w:lang w:val="en-GB"/>
        </w:rPr>
        <w:t>9</w:t>
      </w:r>
      <w:r w:rsidR="00E66AF1" w:rsidRPr="00CD4428">
        <w:rPr>
          <w:rFonts w:ascii="Book Antiqua" w:eastAsia="SabonLTStd-Roman" w:hAnsi="Book Antiqua" w:cstheme="minorHAnsi"/>
          <w:sz w:val="24"/>
          <w:szCs w:val="24"/>
          <w:vertAlign w:val="superscript"/>
          <w:lang w:val="en-GB"/>
        </w:rPr>
        <w:t>]</w:t>
      </w:r>
      <w:r w:rsidR="00590110" w:rsidRPr="00CD4428">
        <w:rPr>
          <w:rFonts w:ascii="Book Antiqua" w:eastAsia="SabonLTStd-Roman" w:hAnsi="Book Antiqua" w:cstheme="minorHAnsi"/>
          <w:sz w:val="24"/>
          <w:szCs w:val="24"/>
          <w:lang w:val="en-GB"/>
        </w:rPr>
        <w:t xml:space="preserve"> </w:t>
      </w:r>
      <w:r w:rsidR="006D7985" w:rsidRPr="00CD4428">
        <w:rPr>
          <w:rFonts w:ascii="Book Antiqua" w:eastAsia="SabonLTStd-Roman" w:hAnsi="Book Antiqua" w:cstheme="minorHAnsi"/>
          <w:sz w:val="24"/>
          <w:szCs w:val="24"/>
          <w:lang w:val="en-GB"/>
        </w:rPr>
        <w:t>of 6-12</w:t>
      </w:r>
      <w:r w:rsidR="00527460" w:rsidRPr="00CD4428">
        <w:rPr>
          <w:rFonts w:ascii="Book Antiqua" w:eastAsia="SabonLTStd-Roman" w:hAnsi="Book Antiqua" w:cstheme="minorHAnsi"/>
          <w:sz w:val="24"/>
          <w:szCs w:val="24"/>
          <w:lang w:val="en-GB"/>
        </w:rPr>
        <w:t>,</w:t>
      </w:r>
      <w:r w:rsidR="00590110" w:rsidRPr="00CD4428">
        <w:rPr>
          <w:rFonts w:ascii="Book Antiqua" w:eastAsia="SabonLTStd-Roman" w:hAnsi="Book Antiqua" w:cstheme="minorHAnsi"/>
          <w:sz w:val="24"/>
          <w:szCs w:val="24"/>
          <w:lang w:val="en-GB"/>
        </w:rPr>
        <w:t xml:space="preserve"> </w:t>
      </w:r>
      <w:r w:rsidR="006D7985" w:rsidRPr="00CD4428">
        <w:rPr>
          <w:rFonts w:ascii="Book Antiqua" w:eastAsia="SabonLTStd-Roman" w:hAnsi="Book Antiqua" w:cstheme="minorHAnsi"/>
          <w:sz w:val="24"/>
          <w:szCs w:val="24"/>
          <w:lang w:val="en-GB"/>
        </w:rPr>
        <w:t xml:space="preserve">with an endoscopic </w:t>
      </w:r>
      <w:proofErr w:type="spellStart"/>
      <w:r w:rsidR="006D7985" w:rsidRPr="00CD4428">
        <w:rPr>
          <w:rFonts w:ascii="Book Antiqua" w:eastAsia="SabonLTStd-Roman" w:hAnsi="Book Antiqua" w:cstheme="minorHAnsi"/>
          <w:sz w:val="24"/>
          <w:szCs w:val="24"/>
          <w:lang w:val="en-GB"/>
        </w:rPr>
        <w:t>subscore</w:t>
      </w:r>
      <w:proofErr w:type="spellEnd"/>
      <w:r w:rsidR="006D7985" w:rsidRPr="00CD4428">
        <w:rPr>
          <w:rFonts w:ascii="Book Antiqua" w:eastAsia="SabonLTStd-Roman" w:hAnsi="Book Antiqua" w:cstheme="minorHAnsi"/>
          <w:sz w:val="24"/>
          <w:szCs w:val="24"/>
          <w:lang w:val="en-GB"/>
        </w:rPr>
        <w:t xml:space="preserve"> ≥ 2</w:t>
      </w:r>
      <w:r w:rsidR="00E66AF1" w:rsidRPr="00CD4428">
        <w:rPr>
          <w:rFonts w:ascii="Book Antiqua" w:eastAsia="SabonLTStd-Roman" w:hAnsi="Book Antiqua" w:cstheme="minorHAnsi"/>
          <w:sz w:val="24"/>
          <w:szCs w:val="24"/>
          <w:vertAlign w:val="superscript"/>
          <w:lang w:val="en-GB"/>
        </w:rPr>
        <w:t>[</w:t>
      </w:r>
      <w:r w:rsidR="006B7B93" w:rsidRPr="00CD4428">
        <w:rPr>
          <w:rFonts w:ascii="Book Antiqua" w:eastAsia="SabonLTStd-Roman" w:hAnsi="Book Antiqua" w:cstheme="minorHAnsi"/>
          <w:sz w:val="24"/>
          <w:szCs w:val="24"/>
          <w:vertAlign w:val="superscript"/>
          <w:lang w:val="en-GB"/>
        </w:rPr>
        <w:t>10</w:t>
      </w:r>
      <w:r w:rsidR="00E66AF1" w:rsidRPr="00CD4428">
        <w:rPr>
          <w:rFonts w:ascii="Book Antiqua" w:eastAsia="SabonLTStd-Roman" w:hAnsi="Book Antiqua" w:cstheme="minorHAnsi"/>
          <w:sz w:val="24"/>
          <w:szCs w:val="24"/>
          <w:vertAlign w:val="superscript"/>
          <w:lang w:val="en-GB"/>
        </w:rPr>
        <w:t>]</w:t>
      </w:r>
      <w:r w:rsidR="00E66AF1" w:rsidRPr="00CD4428">
        <w:rPr>
          <w:rFonts w:ascii="Book Antiqua" w:eastAsia="SabonLTStd-Roman" w:hAnsi="Book Antiqua" w:cstheme="minorHAnsi"/>
          <w:sz w:val="24"/>
          <w:szCs w:val="24"/>
          <w:lang w:val="en-GB"/>
        </w:rPr>
        <w:t>.</w:t>
      </w:r>
      <w:r w:rsidR="00527460" w:rsidRPr="00CD4428">
        <w:rPr>
          <w:rFonts w:ascii="Book Antiqua" w:eastAsia="SabonLTStd-Roman" w:hAnsi="Book Antiqua" w:cstheme="minorHAnsi"/>
          <w:sz w:val="24"/>
          <w:szCs w:val="24"/>
          <w:lang w:val="en-GB"/>
        </w:rPr>
        <w:t xml:space="preserve"> </w:t>
      </w:r>
      <w:r w:rsidR="00655F6A" w:rsidRPr="00CD4428">
        <w:rPr>
          <w:rFonts w:ascii="Book Antiqua" w:eastAsia="SabonLTStd-Roman" w:hAnsi="Book Antiqua" w:cstheme="minorHAnsi"/>
          <w:sz w:val="24"/>
          <w:szCs w:val="24"/>
          <w:lang w:val="en-GB"/>
        </w:rPr>
        <w:t>The trial</w:t>
      </w:r>
      <w:r w:rsidR="00590110" w:rsidRPr="00CD4428">
        <w:rPr>
          <w:rFonts w:ascii="Book Antiqua" w:eastAsia="SabonLTStd-Roman" w:hAnsi="Book Antiqua" w:cstheme="minorHAnsi"/>
          <w:sz w:val="24"/>
          <w:szCs w:val="24"/>
          <w:lang w:val="en-GB"/>
        </w:rPr>
        <w:t xml:space="preserve"> </w:t>
      </w:r>
      <w:r w:rsidR="003A2AD8" w:rsidRPr="00CD4428">
        <w:rPr>
          <w:rFonts w:ascii="Book Antiqua" w:eastAsia="SabonLTStd-Roman" w:hAnsi="Book Antiqua" w:cstheme="minorHAnsi"/>
          <w:sz w:val="24"/>
          <w:szCs w:val="24"/>
          <w:lang w:val="en-GB"/>
        </w:rPr>
        <w:t>consisted of two induction cohorts</w:t>
      </w:r>
      <w:r w:rsidR="00527460" w:rsidRPr="00CD4428">
        <w:rPr>
          <w:rFonts w:ascii="Book Antiqua" w:eastAsia="SabonLTStd-Roman" w:hAnsi="Book Antiqua" w:cstheme="minorHAnsi"/>
          <w:sz w:val="24"/>
          <w:szCs w:val="24"/>
          <w:lang w:val="en-GB"/>
        </w:rPr>
        <w:t>;</w:t>
      </w:r>
      <w:r w:rsidR="003A2AD8" w:rsidRPr="00CD4428">
        <w:rPr>
          <w:rFonts w:ascii="Book Antiqua" w:eastAsia="SabonLTStd-Roman" w:hAnsi="Book Antiqua" w:cstheme="minorHAnsi"/>
          <w:sz w:val="24"/>
          <w:szCs w:val="24"/>
          <w:lang w:val="en-GB"/>
        </w:rPr>
        <w:t xml:space="preserve"> a double-blind cohort including 374 patients randomized to receive </w:t>
      </w:r>
      <w:proofErr w:type="spellStart"/>
      <w:r w:rsidR="003A2AD8" w:rsidRPr="00CD4428">
        <w:rPr>
          <w:rFonts w:ascii="Book Antiqua" w:eastAsia="SabonLTStd-Roman" w:hAnsi="Book Antiqua" w:cstheme="minorHAnsi"/>
          <w:sz w:val="24"/>
          <w:szCs w:val="24"/>
          <w:lang w:val="en-GB"/>
        </w:rPr>
        <w:t>vedolizumab</w:t>
      </w:r>
      <w:proofErr w:type="spellEnd"/>
      <w:r w:rsidR="003A2AD8" w:rsidRPr="00CD4428">
        <w:rPr>
          <w:rFonts w:ascii="Book Antiqua" w:eastAsia="SabonLTStd-Roman" w:hAnsi="Book Antiqua" w:cstheme="minorHAnsi"/>
          <w:sz w:val="24"/>
          <w:szCs w:val="24"/>
          <w:lang w:val="en-GB"/>
        </w:rPr>
        <w:t xml:space="preserve"> 300 mg</w:t>
      </w:r>
      <w:r w:rsidR="00E520DD" w:rsidRPr="00CD4428">
        <w:rPr>
          <w:rFonts w:ascii="Book Antiqua" w:eastAsia="SabonLTStd-Roman" w:hAnsi="Book Antiqua" w:cstheme="minorHAnsi"/>
          <w:sz w:val="24"/>
          <w:szCs w:val="24"/>
          <w:lang w:val="en-GB"/>
        </w:rPr>
        <w:t xml:space="preserve"> intravenous (</w:t>
      </w:r>
      <w:r w:rsidR="003A2AD8" w:rsidRPr="00CD4428">
        <w:rPr>
          <w:rFonts w:ascii="Book Antiqua" w:eastAsia="SabonLTStd-Roman" w:hAnsi="Book Antiqua" w:cstheme="minorHAnsi"/>
          <w:sz w:val="24"/>
          <w:szCs w:val="24"/>
          <w:lang w:val="en-GB"/>
        </w:rPr>
        <w:t>iv</w:t>
      </w:r>
      <w:r w:rsidR="00E520DD" w:rsidRPr="00CD4428">
        <w:rPr>
          <w:rFonts w:ascii="Book Antiqua" w:eastAsia="SabonLTStd-Roman" w:hAnsi="Book Antiqua" w:cstheme="minorHAnsi"/>
          <w:sz w:val="24"/>
          <w:szCs w:val="24"/>
          <w:lang w:val="en-GB"/>
        </w:rPr>
        <w:t>)</w:t>
      </w:r>
      <w:r w:rsidR="003A2AD8" w:rsidRPr="00CD4428">
        <w:rPr>
          <w:rFonts w:ascii="Book Antiqua" w:eastAsia="SabonLTStd-Roman" w:hAnsi="Book Antiqua" w:cstheme="minorHAnsi"/>
          <w:sz w:val="24"/>
          <w:szCs w:val="24"/>
          <w:lang w:val="en-GB"/>
        </w:rPr>
        <w:t xml:space="preserve"> or placebo at weeks 0 and 2, and a</w:t>
      </w:r>
      <w:r w:rsidR="00F05E96" w:rsidRPr="00CD4428">
        <w:rPr>
          <w:rFonts w:ascii="Book Antiqua" w:eastAsia="SabonLTStd-Roman" w:hAnsi="Book Antiqua" w:cstheme="minorHAnsi"/>
          <w:sz w:val="24"/>
          <w:szCs w:val="24"/>
          <w:lang w:val="en-GB"/>
        </w:rPr>
        <w:t xml:space="preserve"> second</w:t>
      </w:r>
      <w:r w:rsidR="00CD60BE" w:rsidRPr="00CD4428">
        <w:rPr>
          <w:rFonts w:ascii="Book Antiqua" w:eastAsia="SabonLTStd-Roman" w:hAnsi="Book Antiqua" w:cstheme="minorHAnsi"/>
          <w:sz w:val="24"/>
          <w:szCs w:val="24"/>
          <w:lang w:val="en-GB"/>
        </w:rPr>
        <w:t xml:space="preserve"> </w:t>
      </w:r>
      <w:r w:rsidR="003D7C3D" w:rsidRPr="00CD4428">
        <w:rPr>
          <w:rFonts w:ascii="Book Antiqua" w:eastAsia="SabonLTStd-Roman" w:hAnsi="Book Antiqua" w:cstheme="minorHAnsi"/>
          <w:sz w:val="24"/>
          <w:szCs w:val="24"/>
          <w:lang w:val="en-GB"/>
        </w:rPr>
        <w:t xml:space="preserve">additional </w:t>
      </w:r>
      <w:r w:rsidR="00CD60BE" w:rsidRPr="00CD4428">
        <w:rPr>
          <w:rFonts w:ascii="Book Antiqua" w:eastAsia="SabonLTStd-Roman" w:hAnsi="Book Antiqua" w:cstheme="minorHAnsi"/>
          <w:sz w:val="24"/>
          <w:szCs w:val="24"/>
          <w:lang w:val="en-GB"/>
        </w:rPr>
        <w:t>cohort of 521 patients receiv</w:t>
      </w:r>
      <w:r w:rsidR="00F05E96" w:rsidRPr="00CD4428">
        <w:rPr>
          <w:rFonts w:ascii="Book Antiqua" w:eastAsia="SabonLTStd-Roman" w:hAnsi="Book Antiqua" w:cstheme="minorHAnsi"/>
          <w:sz w:val="24"/>
          <w:szCs w:val="24"/>
          <w:lang w:val="en-GB"/>
        </w:rPr>
        <w:t>ing</w:t>
      </w:r>
      <w:r w:rsidR="00590110" w:rsidRPr="00CD4428">
        <w:rPr>
          <w:rFonts w:ascii="Book Antiqua" w:eastAsia="SabonLTStd-Roman" w:hAnsi="Book Antiqua" w:cstheme="minorHAnsi"/>
          <w:sz w:val="24"/>
          <w:szCs w:val="24"/>
          <w:lang w:val="en-GB"/>
        </w:rPr>
        <w:t xml:space="preserve"> </w:t>
      </w:r>
      <w:r w:rsidR="00CD60BE" w:rsidRPr="00CD4428">
        <w:rPr>
          <w:rFonts w:ascii="Book Antiqua" w:eastAsia="SabonLTStd-Roman" w:hAnsi="Book Antiqua" w:cstheme="minorHAnsi"/>
          <w:sz w:val="24"/>
          <w:szCs w:val="24"/>
          <w:lang w:val="en-GB"/>
        </w:rPr>
        <w:t xml:space="preserve">open-label </w:t>
      </w:r>
      <w:proofErr w:type="spellStart"/>
      <w:r w:rsidR="00CD60BE" w:rsidRPr="00CD4428">
        <w:rPr>
          <w:rFonts w:ascii="Book Antiqua" w:eastAsia="SabonLTStd-Roman" w:hAnsi="Book Antiqua" w:cstheme="minorHAnsi"/>
          <w:sz w:val="24"/>
          <w:szCs w:val="24"/>
          <w:lang w:val="en-GB"/>
        </w:rPr>
        <w:t>vedolizumab</w:t>
      </w:r>
      <w:proofErr w:type="spellEnd"/>
      <w:r w:rsidR="00CD60BE" w:rsidRPr="00CD4428">
        <w:rPr>
          <w:rFonts w:ascii="Book Antiqua" w:eastAsia="SabonLTStd-Roman" w:hAnsi="Book Antiqua" w:cstheme="minorHAnsi"/>
          <w:sz w:val="24"/>
          <w:szCs w:val="24"/>
          <w:lang w:val="en-GB"/>
        </w:rPr>
        <w:t xml:space="preserve"> aimed to generate the needed number of responders to </w:t>
      </w:r>
      <w:r w:rsidR="003D7C3D" w:rsidRPr="00CD4428">
        <w:rPr>
          <w:rFonts w:ascii="Book Antiqua" w:eastAsia="SabonLTStd-Roman" w:hAnsi="Book Antiqua" w:cstheme="minorHAnsi"/>
          <w:sz w:val="24"/>
          <w:szCs w:val="24"/>
          <w:lang w:val="en-GB"/>
        </w:rPr>
        <w:t>fulfil sample-size requirements for</w:t>
      </w:r>
      <w:r w:rsidR="00CD60BE" w:rsidRPr="00CD4428">
        <w:rPr>
          <w:rFonts w:ascii="Book Antiqua" w:eastAsia="SabonLTStd-Roman" w:hAnsi="Book Antiqua" w:cstheme="minorHAnsi"/>
          <w:sz w:val="24"/>
          <w:szCs w:val="24"/>
          <w:lang w:val="en-GB"/>
        </w:rPr>
        <w:t xml:space="preserve"> the maintenance phase. </w:t>
      </w:r>
      <w:r w:rsidR="00063B89" w:rsidRPr="00CD4428">
        <w:rPr>
          <w:rFonts w:ascii="Book Antiqua" w:eastAsia="SabonLTStd-Roman" w:hAnsi="Book Antiqua" w:cstheme="minorHAnsi"/>
          <w:sz w:val="24"/>
          <w:szCs w:val="24"/>
          <w:lang w:val="en-GB"/>
        </w:rPr>
        <w:t xml:space="preserve">Eligible patients had no response </w:t>
      </w:r>
      <w:r w:rsidR="002A5EB5" w:rsidRPr="00CD4428">
        <w:rPr>
          <w:rFonts w:ascii="Book Antiqua" w:eastAsia="SabonLTStd-Roman" w:hAnsi="Book Antiqua" w:cstheme="minorHAnsi"/>
          <w:sz w:val="24"/>
          <w:szCs w:val="24"/>
          <w:lang w:val="en-GB"/>
        </w:rPr>
        <w:t xml:space="preserve">to </w:t>
      </w:r>
      <w:r w:rsidR="00063B89" w:rsidRPr="00CD4428">
        <w:rPr>
          <w:rFonts w:ascii="Book Antiqua" w:eastAsia="SabonLTStd-Roman" w:hAnsi="Book Antiqua" w:cstheme="minorHAnsi"/>
          <w:sz w:val="24"/>
          <w:szCs w:val="24"/>
          <w:lang w:val="en-GB"/>
        </w:rPr>
        <w:t>or unacceptable adverse events from steroids, immunosuppressive drugs, or anti-TNF</w:t>
      </w:r>
      <w:r w:rsidR="008D5CE0" w:rsidRPr="00CD4428">
        <w:rPr>
          <w:rFonts w:ascii="Book Antiqua" w:eastAsia="SabonLTStd-Roman" w:hAnsi="Book Antiqua" w:cstheme="minorHAnsi"/>
          <w:sz w:val="24"/>
          <w:szCs w:val="24"/>
          <w:lang w:val="en-GB"/>
        </w:rPr>
        <w:t>α</w:t>
      </w:r>
      <w:r w:rsidR="00063B89" w:rsidRPr="00CD4428">
        <w:rPr>
          <w:rFonts w:ascii="Book Antiqua" w:eastAsia="SabonLTStd-Roman" w:hAnsi="Book Antiqua" w:cstheme="minorHAnsi"/>
          <w:sz w:val="24"/>
          <w:szCs w:val="24"/>
          <w:lang w:val="en-GB"/>
        </w:rPr>
        <w:t xml:space="preserve"> therapy.</w:t>
      </w:r>
      <w:r w:rsidR="00590110" w:rsidRPr="00CD4428">
        <w:rPr>
          <w:rFonts w:ascii="Book Antiqua" w:eastAsia="SabonLTStd-Roman" w:hAnsi="Book Antiqua" w:cstheme="minorHAnsi"/>
          <w:sz w:val="24"/>
          <w:szCs w:val="24"/>
          <w:lang w:val="en-GB"/>
        </w:rPr>
        <w:t xml:space="preserve"> </w:t>
      </w:r>
    </w:p>
    <w:p w14:paraId="79302579" w14:textId="0AA64D9C" w:rsidR="00C25983" w:rsidRPr="00CD4428" w:rsidRDefault="00F05E96" w:rsidP="003F73F5">
      <w:pPr>
        <w:autoSpaceDE w:val="0"/>
        <w:autoSpaceDN w:val="0"/>
        <w:adjustRightInd w:val="0"/>
        <w:snapToGrid w:val="0"/>
        <w:spacing w:after="0" w:line="360" w:lineRule="auto"/>
        <w:ind w:firstLineChars="100" w:firstLine="24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In the first cohort</w:t>
      </w:r>
      <w:r w:rsidR="00733070" w:rsidRPr="00CD4428">
        <w:rPr>
          <w:rFonts w:ascii="Book Antiqua" w:eastAsia="SabonLTStd-Roman" w:hAnsi="Book Antiqua" w:cstheme="minorHAnsi"/>
          <w:sz w:val="24"/>
          <w:szCs w:val="24"/>
          <w:lang w:val="en-GB"/>
        </w:rPr>
        <w:t>,</w:t>
      </w:r>
      <w:r w:rsidRPr="00CD4428">
        <w:rPr>
          <w:rFonts w:ascii="Book Antiqua" w:eastAsia="SabonLTStd-Roman" w:hAnsi="Book Antiqua" w:cstheme="minorHAnsi"/>
          <w:sz w:val="24"/>
          <w:szCs w:val="24"/>
          <w:lang w:val="en-GB"/>
        </w:rPr>
        <w:t xml:space="preserve"> a</w:t>
      </w:r>
      <w:r w:rsidR="00C25983" w:rsidRPr="00CD4428">
        <w:rPr>
          <w:rFonts w:ascii="Book Antiqua" w:eastAsia="SabonLTStd-Roman" w:hAnsi="Book Antiqua" w:cstheme="minorHAnsi"/>
          <w:sz w:val="24"/>
          <w:szCs w:val="24"/>
          <w:lang w:val="en-GB"/>
        </w:rPr>
        <w:t xml:space="preserve"> significantly higher rate of patients treated with </w:t>
      </w:r>
      <w:proofErr w:type="spellStart"/>
      <w:r w:rsidR="00C25983" w:rsidRPr="00CD4428">
        <w:rPr>
          <w:rFonts w:ascii="Book Antiqua" w:eastAsia="SabonLTStd-Roman" w:hAnsi="Book Antiqua" w:cstheme="minorHAnsi"/>
          <w:sz w:val="24"/>
          <w:szCs w:val="24"/>
          <w:lang w:val="en-GB"/>
        </w:rPr>
        <w:t>vedolizumab</w:t>
      </w:r>
      <w:proofErr w:type="spellEnd"/>
      <w:r w:rsidR="00C25983" w:rsidRPr="00CD4428">
        <w:rPr>
          <w:rFonts w:ascii="Book Antiqua" w:eastAsia="SabonLTStd-Roman" w:hAnsi="Book Antiqua" w:cstheme="minorHAnsi"/>
          <w:sz w:val="24"/>
          <w:szCs w:val="24"/>
          <w:lang w:val="en-GB"/>
        </w:rPr>
        <w:t xml:space="preserve"> </w:t>
      </w:r>
      <w:r w:rsidR="00573F17" w:rsidRPr="00CD4428">
        <w:rPr>
          <w:rFonts w:ascii="Book Antiqua" w:eastAsia="SabonLTStd-Roman" w:hAnsi="Book Antiqua" w:cstheme="minorHAnsi"/>
          <w:sz w:val="24"/>
          <w:szCs w:val="24"/>
          <w:lang w:val="en-GB"/>
        </w:rPr>
        <w:t xml:space="preserve">achieved </w:t>
      </w:r>
      <w:r w:rsidR="00C25983" w:rsidRPr="00CD4428">
        <w:rPr>
          <w:rFonts w:ascii="Book Antiqua" w:eastAsia="SabonLTStd-Roman" w:hAnsi="Book Antiqua" w:cstheme="minorHAnsi"/>
          <w:sz w:val="24"/>
          <w:szCs w:val="24"/>
          <w:lang w:val="en-GB"/>
        </w:rPr>
        <w:t>clinical response, clinical remission</w:t>
      </w:r>
      <w:r w:rsidR="00733070" w:rsidRPr="00CD4428">
        <w:rPr>
          <w:rFonts w:ascii="Book Antiqua" w:eastAsia="SabonLTStd-Roman" w:hAnsi="Book Antiqua" w:cstheme="minorHAnsi"/>
          <w:sz w:val="24"/>
          <w:szCs w:val="24"/>
          <w:lang w:val="en-GB"/>
        </w:rPr>
        <w:t>,</w:t>
      </w:r>
      <w:r w:rsidR="00EC6517" w:rsidRPr="00CD4428">
        <w:rPr>
          <w:rFonts w:ascii="Book Antiqua" w:eastAsia="SabonLTStd-Roman" w:hAnsi="Book Antiqua" w:cstheme="minorHAnsi"/>
          <w:sz w:val="24"/>
          <w:szCs w:val="24"/>
          <w:lang w:val="en-GB"/>
        </w:rPr>
        <w:t xml:space="preserve"> </w:t>
      </w:r>
      <w:r w:rsidR="00C25983" w:rsidRPr="00CD4428">
        <w:rPr>
          <w:rFonts w:ascii="Book Antiqua" w:eastAsia="SabonLTStd-Roman" w:hAnsi="Book Antiqua" w:cstheme="minorHAnsi"/>
          <w:sz w:val="24"/>
          <w:szCs w:val="24"/>
          <w:lang w:val="en-GB"/>
        </w:rPr>
        <w:t xml:space="preserve">and mucosal healing </w:t>
      </w:r>
      <w:r w:rsidR="00733070" w:rsidRPr="00CD4428">
        <w:rPr>
          <w:rFonts w:ascii="Book Antiqua" w:eastAsia="SabonLTStd-Roman" w:hAnsi="Book Antiqua" w:cstheme="minorHAnsi"/>
          <w:sz w:val="24"/>
          <w:szCs w:val="24"/>
          <w:lang w:val="en-GB"/>
        </w:rPr>
        <w:t xml:space="preserve">after </w:t>
      </w:r>
      <w:r w:rsidR="00C25983" w:rsidRPr="00CD4428">
        <w:rPr>
          <w:rFonts w:ascii="Book Antiqua" w:eastAsia="SabonLTStd-Roman" w:hAnsi="Book Antiqua" w:cstheme="minorHAnsi"/>
          <w:sz w:val="24"/>
          <w:szCs w:val="24"/>
          <w:lang w:val="en-GB"/>
        </w:rPr>
        <w:t>6</w:t>
      </w:r>
      <w:r w:rsidR="00C05D2A">
        <w:rPr>
          <w:rFonts w:ascii="Book Antiqua" w:eastAsia="SabonLTStd-Roman" w:hAnsi="Book Antiqua" w:cstheme="minorHAnsi"/>
          <w:sz w:val="24"/>
          <w:szCs w:val="24"/>
          <w:lang w:val="en-GB"/>
        </w:rPr>
        <w:t xml:space="preserve"> </w:t>
      </w:r>
      <w:proofErr w:type="spellStart"/>
      <w:r w:rsidR="00C05D2A">
        <w:rPr>
          <w:rFonts w:ascii="Book Antiqua" w:eastAsia="SabonLTStd-Roman" w:hAnsi="Book Antiqua" w:cstheme="minorHAnsi"/>
          <w:sz w:val="24"/>
          <w:szCs w:val="24"/>
          <w:lang w:val="en-GB"/>
        </w:rPr>
        <w:t>w</w:t>
      </w:r>
      <w:r w:rsidR="00411BBB" w:rsidRPr="00CD4428">
        <w:rPr>
          <w:rFonts w:ascii="Book Antiqua" w:eastAsia="SabonLTStd-Roman" w:hAnsi="Book Antiqua" w:cstheme="minorHAnsi"/>
          <w:sz w:val="24"/>
          <w:szCs w:val="24"/>
          <w:lang w:val="en-GB"/>
        </w:rPr>
        <w:t>k</w:t>
      </w:r>
      <w:proofErr w:type="spellEnd"/>
      <w:r w:rsidR="00C05D2A">
        <w:rPr>
          <w:rFonts w:ascii="Book Antiqua" w:hAnsi="Book Antiqua" w:cstheme="minorHAnsi" w:hint="eastAsia"/>
          <w:sz w:val="24"/>
          <w:szCs w:val="24"/>
          <w:lang w:val="en-GB" w:eastAsia="zh-CN"/>
        </w:rPr>
        <w:t xml:space="preserve"> </w:t>
      </w:r>
      <w:r w:rsidR="00C25983" w:rsidRPr="00CD4428">
        <w:rPr>
          <w:rFonts w:ascii="Book Antiqua" w:eastAsia="SabonLTStd-Roman" w:hAnsi="Book Antiqua" w:cstheme="minorHAnsi"/>
          <w:sz w:val="24"/>
          <w:szCs w:val="24"/>
          <w:lang w:val="en-GB"/>
        </w:rPr>
        <w:t xml:space="preserve">compared to placebo. </w:t>
      </w:r>
      <w:r w:rsidR="00411BBB" w:rsidRPr="00CD4428">
        <w:rPr>
          <w:rFonts w:ascii="Book Antiqua" w:eastAsia="SabonLTStd-Roman" w:hAnsi="Book Antiqua" w:cstheme="minorHAnsi"/>
          <w:sz w:val="24"/>
          <w:szCs w:val="24"/>
          <w:lang w:val="en-GB"/>
        </w:rPr>
        <w:t xml:space="preserve">The primary </w:t>
      </w:r>
      <w:r w:rsidR="00145792" w:rsidRPr="00CD4428">
        <w:rPr>
          <w:rFonts w:ascii="Book Antiqua" w:eastAsia="SabonLTStd-Roman" w:hAnsi="Book Antiqua" w:cstheme="minorHAnsi"/>
          <w:sz w:val="24"/>
          <w:szCs w:val="24"/>
          <w:lang w:val="en-GB"/>
        </w:rPr>
        <w:t>outcome</w:t>
      </w:r>
      <w:r w:rsidR="00411BBB" w:rsidRPr="00CD4428">
        <w:rPr>
          <w:rFonts w:ascii="Book Antiqua" w:eastAsia="SabonLTStd-Roman" w:hAnsi="Book Antiqua" w:cstheme="minorHAnsi"/>
          <w:sz w:val="24"/>
          <w:szCs w:val="24"/>
          <w:lang w:val="en-GB"/>
        </w:rPr>
        <w:t xml:space="preserve"> of the induction phase</w:t>
      </w:r>
      <w:r w:rsidR="00BA2DBB" w:rsidRPr="00CD4428">
        <w:rPr>
          <w:rFonts w:ascii="Book Antiqua" w:eastAsia="SabonLTStd-Roman" w:hAnsi="Book Antiqua" w:cstheme="minorHAnsi"/>
          <w:sz w:val="24"/>
          <w:szCs w:val="24"/>
          <w:lang w:val="en-GB"/>
        </w:rPr>
        <w:t>,</w:t>
      </w:r>
      <w:r w:rsidR="00411BBB" w:rsidRPr="00CD4428">
        <w:rPr>
          <w:rFonts w:ascii="Book Antiqua" w:eastAsia="SabonLTStd-Roman" w:hAnsi="Book Antiqua" w:cstheme="minorHAnsi"/>
          <w:sz w:val="24"/>
          <w:szCs w:val="24"/>
          <w:lang w:val="en-GB"/>
        </w:rPr>
        <w:t xml:space="preserve"> c</w:t>
      </w:r>
      <w:r w:rsidR="00480ADF" w:rsidRPr="00CD4428">
        <w:rPr>
          <w:rFonts w:ascii="Book Antiqua" w:eastAsia="SabonLTStd-Roman" w:hAnsi="Book Antiqua" w:cstheme="minorHAnsi"/>
          <w:sz w:val="24"/>
          <w:szCs w:val="24"/>
          <w:lang w:val="en-GB"/>
        </w:rPr>
        <w:t>linical response</w:t>
      </w:r>
      <w:r w:rsidR="004A5EF4" w:rsidRPr="00CD4428">
        <w:rPr>
          <w:rFonts w:ascii="Book Antiqua" w:eastAsia="SabonLTStd-Roman" w:hAnsi="Book Antiqua" w:cstheme="minorHAnsi"/>
          <w:sz w:val="24"/>
          <w:szCs w:val="24"/>
          <w:lang w:val="en-GB"/>
        </w:rPr>
        <w:t xml:space="preserve"> at week 6</w:t>
      </w:r>
      <w:r w:rsidR="00480ADF" w:rsidRPr="00CD4428">
        <w:rPr>
          <w:rFonts w:ascii="Book Antiqua" w:eastAsia="SabonLTStd-Roman" w:hAnsi="Book Antiqua" w:cstheme="minorHAnsi"/>
          <w:sz w:val="24"/>
          <w:szCs w:val="24"/>
          <w:lang w:val="en-GB"/>
        </w:rPr>
        <w:t xml:space="preserve">, </w:t>
      </w:r>
      <w:proofErr w:type="gramStart"/>
      <w:r w:rsidR="00480ADF" w:rsidRPr="00CD4428">
        <w:rPr>
          <w:rFonts w:ascii="Book Antiqua" w:eastAsia="SabonLTStd-Roman" w:hAnsi="Book Antiqua" w:cstheme="minorHAnsi"/>
          <w:sz w:val="24"/>
          <w:szCs w:val="24"/>
          <w:lang w:val="en-GB"/>
        </w:rPr>
        <w:t>was achieved</w:t>
      </w:r>
      <w:proofErr w:type="gramEnd"/>
      <w:r w:rsidR="00480ADF" w:rsidRPr="00CD4428">
        <w:rPr>
          <w:rFonts w:ascii="Book Antiqua" w:eastAsia="SabonLTStd-Roman" w:hAnsi="Book Antiqua" w:cstheme="minorHAnsi"/>
          <w:sz w:val="24"/>
          <w:szCs w:val="24"/>
          <w:lang w:val="en-GB"/>
        </w:rPr>
        <w:t xml:space="preserve"> by </w:t>
      </w:r>
      <w:r w:rsidR="002017AD" w:rsidRPr="00CD4428">
        <w:rPr>
          <w:rFonts w:ascii="Book Antiqua" w:eastAsia="SabonLTStd-Roman" w:hAnsi="Book Antiqua" w:cstheme="minorHAnsi"/>
          <w:sz w:val="24"/>
          <w:szCs w:val="24"/>
          <w:lang w:val="en-GB"/>
        </w:rPr>
        <w:t xml:space="preserve">47.1% of patients treated with </w:t>
      </w:r>
      <w:proofErr w:type="spellStart"/>
      <w:r w:rsidR="002017AD" w:rsidRPr="00CD4428">
        <w:rPr>
          <w:rFonts w:ascii="Book Antiqua" w:eastAsia="SabonLTStd-Roman" w:hAnsi="Book Antiqua" w:cstheme="minorHAnsi"/>
          <w:sz w:val="24"/>
          <w:szCs w:val="24"/>
          <w:lang w:val="en-GB"/>
        </w:rPr>
        <w:t>vedolizumab</w:t>
      </w:r>
      <w:proofErr w:type="spellEnd"/>
      <w:r w:rsidR="002017AD" w:rsidRPr="00CD4428">
        <w:rPr>
          <w:rFonts w:ascii="Book Antiqua" w:eastAsia="SabonLTStd-Roman" w:hAnsi="Book Antiqua" w:cstheme="minorHAnsi"/>
          <w:sz w:val="24"/>
          <w:szCs w:val="24"/>
          <w:lang w:val="en-GB"/>
        </w:rPr>
        <w:t xml:space="preserve"> </w:t>
      </w:r>
      <w:r w:rsidR="002017AD" w:rsidRPr="00C05D2A">
        <w:rPr>
          <w:rFonts w:ascii="Book Antiqua" w:eastAsia="SabonLTStd-Roman" w:hAnsi="Book Antiqua" w:cstheme="minorHAnsi"/>
          <w:i/>
          <w:sz w:val="24"/>
          <w:szCs w:val="24"/>
          <w:lang w:val="en-GB"/>
        </w:rPr>
        <w:t>vs</w:t>
      </w:r>
      <w:r w:rsidR="002017AD" w:rsidRPr="00CD4428">
        <w:rPr>
          <w:rFonts w:ascii="Book Antiqua" w:eastAsia="SabonLTStd-Roman" w:hAnsi="Book Antiqua" w:cstheme="minorHAnsi"/>
          <w:sz w:val="24"/>
          <w:szCs w:val="24"/>
          <w:lang w:val="en-GB"/>
        </w:rPr>
        <w:t xml:space="preserve"> 25.5% of </w:t>
      </w:r>
      <w:r w:rsidR="00733070" w:rsidRPr="00CD4428">
        <w:rPr>
          <w:rFonts w:ascii="Book Antiqua" w:eastAsia="SabonLTStd-Roman" w:hAnsi="Book Antiqua" w:cstheme="minorHAnsi"/>
          <w:sz w:val="24"/>
          <w:szCs w:val="24"/>
          <w:lang w:val="en-GB"/>
        </w:rPr>
        <w:t xml:space="preserve">patients in </w:t>
      </w:r>
      <w:r w:rsidR="002017AD" w:rsidRPr="00CD4428">
        <w:rPr>
          <w:rFonts w:ascii="Book Antiqua" w:eastAsia="SabonLTStd-Roman" w:hAnsi="Book Antiqua" w:cstheme="minorHAnsi"/>
          <w:sz w:val="24"/>
          <w:szCs w:val="24"/>
          <w:lang w:val="en-GB"/>
        </w:rPr>
        <w:t>the placebo group (</w:t>
      </w:r>
      <w:r w:rsidR="002017AD" w:rsidRPr="003F73F5">
        <w:rPr>
          <w:rFonts w:ascii="Book Antiqua" w:eastAsia="SabonLTStd-Roman" w:hAnsi="Book Antiqua" w:cstheme="minorHAnsi"/>
          <w:i/>
          <w:caps/>
          <w:sz w:val="24"/>
          <w:szCs w:val="24"/>
          <w:lang w:val="en-GB"/>
        </w:rPr>
        <w:t>p</w:t>
      </w:r>
      <w:r w:rsidR="00480ADF" w:rsidRPr="003F73F5">
        <w:rPr>
          <w:rFonts w:ascii="Book Antiqua" w:eastAsia="SabonLTStd-Roman" w:hAnsi="Book Antiqua" w:cstheme="minorHAnsi"/>
          <w:caps/>
          <w:sz w:val="24"/>
          <w:szCs w:val="24"/>
          <w:lang w:val="en-GB"/>
        </w:rPr>
        <w:t xml:space="preserve"> </w:t>
      </w:r>
      <w:r w:rsidR="002017AD" w:rsidRPr="00CD4428">
        <w:rPr>
          <w:rFonts w:ascii="Book Antiqua" w:eastAsia="SabonLTStd-Roman" w:hAnsi="Book Antiqua" w:cstheme="minorHAnsi"/>
          <w:sz w:val="24"/>
          <w:szCs w:val="24"/>
          <w:lang w:val="en-GB"/>
        </w:rPr>
        <w:t>&lt;</w:t>
      </w:r>
      <w:r w:rsidR="003F73F5">
        <w:rPr>
          <w:rFonts w:ascii="Book Antiqua" w:hAnsi="Book Antiqua" w:cstheme="minorHAnsi" w:hint="eastAsia"/>
          <w:sz w:val="24"/>
          <w:szCs w:val="24"/>
          <w:lang w:val="en-GB" w:eastAsia="zh-CN"/>
        </w:rPr>
        <w:t xml:space="preserve"> </w:t>
      </w:r>
      <w:r w:rsidR="002017AD" w:rsidRPr="00CD4428">
        <w:rPr>
          <w:rFonts w:ascii="Book Antiqua" w:eastAsia="SabonLTStd-Roman" w:hAnsi="Book Antiqua" w:cstheme="minorHAnsi"/>
          <w:sz w:val="24"/>
          <w:szCs w:val="24"/>
          <w:lang w:val="en-GB"/>
        </w:rPr>
        <w:t>0.001)</w:t>
      </w:r>
      <w:r w:rsidR="00D643D2" w:rsidRPr="00CD4428">
        <w:rPr>
          <w:rFonts w:ascii="Book Antiqua" w:eastAsia="SabonLTStd-Roman" w:hAnsi="Book Antiqua" w:cstheme="minorHAnsi"/>
          <w:sz w:val="24"/>
          <w:szCs w:val="24"/>
          <w:lang w:val="en-GB"/>
        </w:rPr>
        <w:t xml:space="preserve"> (Table 1)</w:t>
      </w:r>
      <w:r w:rsidR="002017AD" w:rsidRPr="00CD4428">
        <w:rPr>
          <w:rFonts w:ascii="Book Antiqua" w:eastAsia="SabonLTStd-Roman" w:hAnsi="Book Antiqua" w:cstheme="minorHAnsi"/>
          <w:sz w:val="24"/>
          <w:szCs w:val="24"/>
          <w:lang w:val="en-GB"/>
        </w:rPr>
        <w:t xml:space="preserve">. </w:t>
      </w:r>
    </w:p>
    <w:p w14:paraId="471A8ED0" w14:textId="636F4C52" w:rsidR="009963B6" w:rsidRPr="00CD4428" w:rsidRDefault="004A5EF4" w:rsidP="003F73F5">
      <w:pPr>
        <w:autoSpaceDE w:val="0"/>
        <w:autoSpaceDN w:val="0"/>
        <w:adjustRightInd w:val="0"/>
        <w:snapToGrid w:val="0"/>
        <w:spacing w:after="0" w:line="360" w:lineRule="auto"/>
        <w:ind w:firstLineChars="100" w:firstLine="24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 xml:space="preserve">Patients from both cohorts </w:t>
      </w:r>
      <w:r w:rsidR="00733070" w:rsidRPr="00CD4428">
        <w:rPr>
          <w:rFonts w:ascii="Book Antiqua" w:eastAsia="SabonLTStd-Roman" w:hAnsi="Book Antiqua" w:cstheme="minorHAnsi"/>
          <w:sz w:val="24"/>
          <w:szCs w:val="24"/>
          <w:lang w:val="en-GB"/>
        </w:rPr>
        <w:t xml:space="preserve">achieving </w:t>
      </w:r>
      <w:r w:rsidR="00C374A6" w:rsidRPr="00CD4428">
        <w:rPr>
          <w:rFonts w:ascii="Book Antiqua" w:eastAsia="SabonLTStd-Roman" w:hAnsi="Book Antiqua" w:cstheme="minorHAnsi"/>
          <w:sz w:val="24"/>
          <w:szCs w:val="24"/>
          <w:lang w:val="en-GB"/>
        </w:rPr>
        <w:t xml:space="preserve">clinical response </w:t>
      </w:r>
      <w:r w:rsidRPr="00CD4428">
        <w:rPr>
          <w:rFonts w:ascii="Book Antiqua" w:eastAsia="SabonLTStd-Roman" w:hAnsi="Book Antiqua" w:cstheme="minorHAnsi"/>
          <w:sz w:val="24"/>
          <w:szCs w:val="24"/>
          <w:lang w:val="en-GB"/>
        </w:rPr>
        <w:t xml:space="preserve">to </w:t>
      </w:r>
      <w:proofErr w:type="spellStart"/>
      <w:r w:rsidRPr="00CD4428">
        <w:rPr>
          <w:rFonts w:ascii="Book Antiqua" w:eastAsia="SabonLTStd-Roman" w:hAnsi="Book Antiqua" w:cstheme="minorHAnsi"/>
          <w:sz w:val="24"/>
          <w:szCs w:val="24"/>
          <w:lang w:val="en-GB"/>
        </w:rPr>
        <w:t>vedolizumab</w:t>
      </w:r>
      <w:proofErr w:type="spellEnd"/>
      <w:r w:rsidR="00590110" w:rsidRPr="00CD4428">
        <w:rPr>
          <w:rFonts w:ascii="Book Antiqua" w:eastAsia="SabonLTStd-Roman" w:hAnsi="Book Antiqua" w:cstheme="minorHAnsi"/>
          <w:sz w:val="24"/>
          <w:szCs w:val="24"/>
          <w:lang w:val="en-GB"/>
        </w:rPr>
        <w:t xml:space="preserve"> </w:t>
      </w:r>
      <w:r w:rsidR="003F73F5">
        <w:rPr>
          <w:rFonts w:ascii="Book Antiqua" w:eastAsia="SabonLTStd-Roman" w:hAnsi="Book Antiqua" w:cstheme="minorHAnsi"/>
          <w:sz w:val="24"/>
          <w:szCs w:val="24"/>
          <w:lang w:val="en-GB"/>
        </w:rPr>
        <w:t xml:space="preserve">at 6 </w:t>
      </w:r>
      <w:proofErr w:type="spellStart"/>
      <w:r w:rsidR="003F73F5">
        <w:rPr>
          <w:rFonts w:ascii="Book Antiqua" w:eastAsia="SabonLTStd-Roman" w:hAnsi="Book Antiqua" w:cstheme="minorHAnsi"/>
          <w:sz w:val="24"/>
          <w:szCs w:val="24"/>
          <w:lang w:val="en-GB"/>
        </w:rPr>
        <w:t>w</w:t>
      </w:r>
      <w:r w:rsidR="00C25983" w:rsidRPr="00CD4428">
        <w:rPr>
          <w:rFonts w:ascii="Book Antiqua" w:eastAsia="SabonLTStd-Roman" w:hAnsi="Book Antiqua" w:cstheme="minorHAnsi"/>
          <w:sz w:val="24"/>
          <w:szCs w:val="24"/>
          <w:lang w:val="en-GB"/>
        </w:rPr>
        <w:t>k</w:t>
      </w:r>
      <w:proofErr w:type="spellEnd"/>
      <w:r w:rsidR="003F73F5">
        <w:rPr>
          <w:rFonts w:ascii="Book Antiqua" w:hAnsi="Book Antiqua" w:cstheme="minorHAnsi" w:hint="eastAsia"/>
          <w:sz w:val="24"/>
          <w:szCs w:val="24"/>
          <w:lang w:val="en-GB" w:eastAsia="zh-CN"/>
        </w:rPr>
        <w:t xml:space="preserve"> </w:t>
      </w:r>
      <w:r w:rsidR="00C374A6" w:rsidRPr="00CD4428">
        <w:rPr>
          <w:rFonts w:ascii="Book Antiqua" w:eastAsia="SabonLTStd-Roman" w:hAnsi="Book Antiqua" w:cstheme="minorHAnsi"/>
          <w:sz w:val="24"/>
          <w:szCs w:val="24"/>
          <w:lang w:val="en-GB"/>
        </w:rPr>
        <w:t xml:space="preserve">were randomized to receive </w:t>
      </w:r>
      <w:proofErr w:type="spellStart"/>
      <w:r w:rsidR="00C374A6" w:rsidRPr="00CD4428">
        <w:rPr>
          <w:rFonts w:ascii="Book Antiqua" w:eastAsia="SabonLTStd-Roman" w:hAnsi="Book Antiqua" w:cstheme="minorHAnsi"/>
          <w:sz w:val="24"/>
          <w:szCs w:val="24"/>
          <w:lang w:val="en-GB"/>
        </w:rPr>
        <w:t>vedolizuma</w:t>
      </w:r>
      <w:r w:rsidR="00007A96" w:rsidRPr="00CD4428">
        <w:rPr>
          <w:rFonts w:ascii="Book Antiqua" w:eastAsia="SabonLTStd-Roman" w:hAnsi="Book Antiqua" w:cstheme="minorHAnsi"/>
          <w:sz w:val="24"/>
          <w:szCs w:val="24"/>
          <w:lang w:val="en-GB"/>
        </w:rPr>
        <w:t>b</w:t>
      </w:r>
      <w:proofErr w:type="spellEnd"/>
      <w:r w:rsidR="003F73F5">
        <w:rPr>
          <w:rFonts w:ascii="Book Antiqua" w:eastAsia="SabonLTStd-Roman" w:hAnsi="Book Antiqua" w:cstheme="minorHAnsi"/>
          <w:sz w:val="24"/>
          <w:szCs w:val="24"/>
          <w:lang w:val="en-GB"/>
        </w:rPr>
        <w:t xml:space="preserve"> 300 mg </w:t>
      </w:r>
      <w:proofErr w:type="gramStart"/>
      <w:r w:rsidR="003F73F5">
        <w:rPr>
          <w:rFonts w:ascii="Book Antiqua" w:eastAsia="SabonLTStd-Roman" w:hAnsi="Book Antiqua" w:cstheme="minorHAnsi"/>
          <w:sz w:val="24"/>
          <w:szCs w:val="24"/>
          <w:lang w:val="en-GB"/>
        </w:rPr>
        <w:t>iv</w:t>
      </w:r>
      <w:proofErr w:type="gramEnd"/>
      <w:r w:rsidR="003F73F5">
        <w:rPr>
          <w:rFonts w:ascii="Book Antiqua" w:eastAsia="SabonLTStd-Roman" w:hAnsi="Book Antiqua" w:cstheme="minorHAnsi"/>
          <w:sz w:val="24"/>
          <w:szCs w:val="24"/>
          <w:lang w:val="en-GB"/>
        </w:rPr>
        <w:t xml:space="preserve"> every 4 </w:t>
      </w:r>
      <w:proofErr w:type="spellStart"/>
      <w:r w:rsidR="003F73F5">
        <w:rPr>
          <w:rFonts w:ascii="Book Antiqua" w:eastAsia="SabonLTStd-Roman" w:hAnsi="Book Antiqua" w:cstheme="minorHAnsi"/>
          <w:sz w:val="24"/>
          <w:szCs w:val="24"/>
          <w:lang w:val="en-GB"/>
        </w:rPr>
        <w:t>w</w:t>
      </w:r>
      <w:r w:rsidR="00C374A6" w:rsidRPr="00CD4428">
        <w:rPr>
          <w:rFonts w:ascii="Book Antiqua" w:eastAsia="SabonLTStd-Roman" w:hAnsi="Book Antiqua" w:cstheme="minorHAnsi"/>
          <w:sz w:val="24"/>
          <w:szCs w:val="24"/>
          <w:lang w:val="en-GB"/>
        </w:rPr>
        <w:t>k</w:t>
      </w:r>
      <w:proofErr w:type="spellEnd"/>
      <w:r w:rsidR="003F73F5">
        <w:rPr>
          <w:rFonts w:ascii="Book Antiqua" w:hAnsi="Book Antiqua" w:cstheme="minorHAnsi" w:hint="eastAsia"/>
          <w:sz w:val="24"/>
          <w:szCs w:val="24"/>
          <w:lang w:val="en-GB" w:eastAsia="zh-CN"/>
        </w:rPr>
        <w:t xml:space="preserve"> </w:t>
      </w:r>
      <w:r w:rsidR="00573F17" w:rsidRPr="00CD4428">
        <w:rPr>
          <w:rFonts w:ascii="Book Antiqua" w:eastAsia="SabonLTStd-Roman" w:hAnsi="Book Antiqua" w:cstheme="minorHAnsi"/>
          <w:sz w:val="24"/>
          <w:szCs w:val="24"/>
          <w:lang w:val="en-GB"/>
        </w:rPr>
        <w:t>or</w:t>
      </w:r>
      <w:r w:rsidR="003F73F5">
        <w:rPr>
          <w:rFonts w:ascii="Book Antiqua" w:eastAsia="SabonLTStd-Roman" w:hAnsi="Book Antiqua" w:cstheme="minorHAnsi"/>
          <w:sz w:val="24"/>
          <w:szCs w:val="24"/>
          <w:lang w:val="en-GB"/>
        </w:rPr>
        <w:t xml:space="preserve"> 8 </w:t>
      </w:r>
      <w:proofErr w:type="spellStart"/>
      <w:r w:rsidR="003F73F5">
        <w:rPr>
          <w:rFonts w:ascii="Book Antiqua" w:eastAsia="SabonLTStd-Roman" w:hAnsi="Book Antiqua" w:cstheme="minorHAnsi"/>
          <w:sz w:val="24"/>
          <w:szCs w:val="24"/>
          <w:lang w:val="en-GB"/>
        </w:rPr>
        <w:t>wk</w:t>
      </w:r>
      <w:proofErr w:type="spellEnd"/>
      <w:r w:rsidR="00733070" w:rsidRPr="00CD4428">
        <w:rPr>
          <w:rFonts w:ascii="Book Antiqua" w:eastAsia="SabonLTStd-Roman" w:hAnsi="Book Antiqua" w:cstheme="minorHAnsi"/>
          <w:sz w:val="24"/>
          <w:szCs w:val="24"/>
          <w:lang w:val="en-GB"/>
        </w:rPr>
        <w:t>,</w:t>
      </w:r>
      <w:r w:rsidR="00C374A6" w:rsidRPr="00CD4428">
        <w:rPr>
          <w:rFonts w:ascii="Book Antiqua" w:eastAsia="SabonLTStd-Roman" w:hAnsi="Book Antiqua" w:cstheme="minorHAnsi"/>
          <w:sz w:val="24"/>
          <w:szCs w:val="24"/>
          <w:lang w:val="en-GB"/>
        </w:rPr>
        <w:t xml:space="preserve"> or </w:t>
      </w:r>
      <w:r w:rsidR="00733070" w:rsidRPr="00CD4428">
        <w:rPr>
          <w:rFonts w:ascii="Book Antiqua" w:eastAsia="SabonLTStd-Roman" w:hAnsi="Book Antiqua" w:cstheme="minorHAnsi"/>
          <w:sz w:val="24"/>
          <w:szCs w:val="24"/>
          <w:lang w:val="en-GB"/>
        </w:rPr>
        <w:t xml:space="preserve">to receive </w:t>
      </w:r>
      <w:r w:rsidR="00C374A6" w:rsidRPr="00CD4428">
        <w:rPr>
          <w:rFonts w:ascii="Book Antiqua" w:eastAsia="SabonLTStd-Roman" w:hAnsi="Book Antiqua" w:cstheme="minorHAnsi"/>
          <w:sz w:val="24"/>
          <w:szCs w:val="24"/>
          <w:lang w:val="en-GB"/>
        </w:rPr>
        <w:t>placebo in the maintenance phase</w:t>
      </w:r>
      <w:r w:rsidR="00C05D2A">
        <w:rPr>
          <w:rFonts w:ascii="Book Antiqua" w:eastAsia="SabonLTStd-Roman" w:hAnsi="Book Antiqua" w:cstheme="minorHAnsi"/>
          <w:sz w:val="24"/>
          <w:szCs w:val="24"/>
          <w:lang w:val="en-GB"/>
        </w:rPr>
        <w:t xml:space="preserve"> for up to 52 wk</w:t>
      </w:r>
      <w:r w:rsidR="00C374A6" w:rsidRPr="00CD4428">
        <w:rPr>
          <w:rFonts w:ascii="Book Antiqua" w:eastAsia="SabonLTStd-Roman" w:hAnsi="Book Antiqua" w:cstheme="minorHAnsi"/>
          <w:sz w:val="24"/>
          <w:szCs w:val="24"/>
          <w:lang w:val="en-GB"/>
        </w:rPr>
        <w:t>.</w:t>
      </w:r>
      <w:r w:rsidR="00C25983" w:rsidRPr="00CD4428">
        <w:rPr>
          <w:rFonts w:ascii="Book Antiqua" w:eastAsia="SabonLTStd-Roman" w:hAnsi="Book Antiqua" w:cstheme="minorHAnsi"/>
          <w:sz w:val="24"/>
          <w:szCs w:val="24"/>
          <w:lang w:val="en-GB"/>
        </w:rPr>
        <w:t xml:space="preserve"> </w:t>
      </w:r>
      <w:r w:rsidR="00C374A6" w:rsidRPr="00CD4428">
        <w:rPr>
          <w:rFonts w:ascii="Book Antiqua" w:eastAsia="SabonLTStd-Roman" w:hAnsi="Book Antiqua" w:cstheme="minorHAnsi"/>
          <w:sz w:val="24"/>
          <w:szCs w:val="24"/>
          <w:lang w:val="en-GB"/>
        </w:rPr>
        <w:t xml:space="preserve">The </w:t>
      </w:r>
      <w:r w:rsidR="00732523" w:rsidRPr="00CD4428">
        <w:rPr>
          <w:rFonts w:ascii="Book Antiqua" w:eastAsia="SabonLTStd-Roman" w:hAnsi="Book Antiqua" w:cstheme="minorHAnsi"/>
          <w:sz w:val="24"/>
          <w:szCs w:val="24"/>
          <w:lang w:val="en-GB"/>
        </w:rPr>
        <w:t xml:space="preserve">results of the maintenance phase were as impressive </w:t>
      </w:r>
      <w:proofErr w:type="gramStart"/>
      <w:r w:rsidR="00732523" w:rsidRPr="00CD4428">
        <w:rPr>
          <w:rFonts w:ascii="Book Antiqua" w:eastAsia="SabonLTStd-Roman" w:hAnsi="Book Antiqua" w:cstheme="minorHAnsi"/>
          <w:sz w:val="24"/>
          <w:szCs w:val="24"/>
          <w:lang w:val="en-GB"/>
        </w:rPr>
        <w:t xml:space="preserve">as </w:t>
      </w:r>
      <w:r w:rsidR="00733070" w:rsidRPr="00CD4428">
        <w:rPr>
          <w:rFonts w:ascii="Book Antiqua" w:eastAsia="SabonLTStd-Roman" w:hAnsi="Book Antiqua" w:cstheme="minorHAnsi"/>
          <w:sz w:val="24"/>
          <w:szCs w:val="24"/>
          <w:lang w:val="en-GB"/>
        </w:rPr>
        <w:t xml:space="preserve">those in </w:t>
      </w:r>
      <w:r w:rsidR="00732523" w:rsidRPr="00CD4428">
        <w:rPr>
          <w:rFonts w:ascii="Book Antiqua" w:eastAsia="SabonLTStd-Roman" w:hAnsi="Book Antiqua" w:cstheme="minorHAnsi"/>
          <w:sz w:val="24"/>
          <w:szCs w:val="24"/>
          <w:lang w:val="en-GB"/>
        </w:rPr>
        <w:t>the induction phase</w:t>
      </w:r>
      <w:proofErr w:type="gramEnd"/>
      <w:r w:rsidR="00732523" w:rsidRPr="00CD4428">
        <w:rPr>
          <w:rFonts w:ascii="Book Antiqua" w:eastAsia="SabonLTStd-Roman" w:hAnsi="Book Antiqua" w:cstheme="minorHAnsi"/>
          <w:sz w:val="24"/>
          <w:szCs w:val="24"/>
          <w:lang w:val="en-GB"/>
        </w:rPr>
        <w:t>. The r</w:t>
      </w:r>
      <w:r w:rsidR="00C374A6" w:rsidRPr="00CD4428">
        <w:rPr>
          <w:rFonts w:ascii="Book Antiqua" w:eastAsia="SabonLTStd-Roman" w:hAnsi="Book Antiqua" w:cstheme="minorHAnsi"/>
          <w:sz w:val="24"/>
          <w:szCs w:val="24"/>
          <w:lang w:val="en-GB"/>
        </w:rPr>
        <w:t>ates of clinical remission at week 52</w:t>
      </w:r>
      <w:r w:rsidR="0002546F" w:rsidRPr="00CD4428">
        <w:rPr>
          <w:rFonts w:ascii="Book Antiqua" w:eastAsia="SabonLTStd-Roman" w:hAnsi="Book Antiqua" w:cstheme="minorHAnsi"/>
          <w:sz w:val="24"/>
          <w:szCs w:val="24"/>
          <w:lang w:val="en-GB"/>
        </w:rPr>
        <w:t xml:space="preserve">, </w:t>
      </w:r>
      <w:r w:rsidR="00733070" w:rsidRPr="00CD4428">
        <w:rPr>
          <w:rFonts w:ascii="Book Antiqua" w:eastAsia="SabonLTStd-Roman" w:hAnsi="Book Antiqua" w:cstheme="minorHAnsi"/>
          <w:sz w:val="24"/>
          <w:szCs w:val="24"/>
          <w:lang w:val="en-GB"/>
        </w:rPr>
        <w:t xml:space="preserve">the </w:t>
      </w:r>
      <w:r w:rsidR="0002546F" w:rsidRPr="00CD4428">
        <w:rPr>
          <w:rFonts w:ascii="Book Antiqua" w:eastAsia="SabonLTStd-Roman" w:hAnsi="Book Antiqua" w:cstheme="minorHAnsi"/>
          <w:sz w:val="24"/>
          <w:szCs w:val="24"/>
          <w:lang w:val="en-GB"/>
        </w:rPr>
        <w:t xml:space="preserve">primary </w:t>
      </w:r>
      <w:r w:rsidR="00145792" w:rsidRPr="00CD4428">
        <w:rPr>
          <w:rFonts w:ascii="Book Antiqua" w:eastAsia="SabonLTStd-Roman" w:hAnsi="Book Antiqua" w:cstheme="minorHAnsi"/>
          <w:sz w:val="24"/>
          <w:szCs w:val="24"/>
          <w:lang w:val="en-GB"/>
        </w:rPr>
        <w:t>outcome</w:t>
      </w:r>
      <w:r w:rsidR="0002546F" w:rsidRPr="00CD4428">
        <w:rPr>
          <w:rFonts w:ascii="Book Antiqua" w:eastAsia="SabonLTStd-Roman" w:hAnsi="Book Antiqua" w:cstheme="minorHAnsi"/>
          <w:sz w:val="24"/>
          <w:szCs w:val="24"/>
          <w:lang w:val="en-GB"/>
        </w:rPr>
        <w:t xml:space="preserve"> of the maintenance phase, </w:t>
      </w:r>
      <w:r w:rsidR="00C374A6" w:rsidRPr="00CD4428">
        <w:rPr>
          <w:rFonts w:ascii="Book Antiqua" w:eastAsia="SabonLTStd-Roman" w:hAnsi="Book Antiqua" w:cstheme="minorHAnsi"/>
          <w:sz w:val="24"/>
          <w:szCs w:val="24"/>
          <w:lang w:val="en-GB"/>
        </w:rPr>
        <w:t xml:space="preserve">were significantly higher in patients treated with </w:t>
      </w:r>
      <w:proofErr w:type="spellStart"/>
      <w:r w:rsidR="00C374A6" w:rsidRPr="00CD4428">
        <w:rPr>
          <w:rFonts w:ascii="Book Antiqua" w:eastAsia="SabonLTStd-Roman" w:hAnsi="Book Antiqua" w:cstheme="minorHAnsi"/>
          <w:sz w:val="24"/>
          <w:szCs w:val="24"/>
          <w:lang w:val="en-GB"/>
        </w:rPr>
        <w:t>vedolizumab</w:t>
      </w:r>
      <w:proofErr w:type="spellEnd"/>
      <w:r w:rsidR="00C374A6" w:rsidRPr="00CD4428">
        <w:rPr>
          <w:rFonts w:ascii="Book Antiqua" w:eastAsia="SabonLTStd-Roman" w:hAnsi="Book Antiqua" w:cstheme="minorHAnsi"/>
          <w:sz w:val="24"/>
          <w:szCs w:val="24"/>
          <w:lang w:val="en-GB"/>
        </w:rPr>
        <w:t xml:space="preserve"> than </w:t>
      </w:r>
      <w:r w:rsidR="00573F17" w:rsidRPr="00CD4428">
        <w:rPr>
          <w:rFonts w:ascii="Book Antiqua" w:eastAsia="SabonLTStd-Roman" w:hAnsi="Book Antiqua" w:cstheme="minorHAnsi"/>
          <w:sz w:val="24"/>
          <w:szCs w:val="24"/>
          <w:lang w:val="en-GB"/>
        </w:rPr>
        <w:t xml:space="preserve">in </w:t>
      </w:r>
      <w:r w:rsidR="00733070" w:rsidRPr="00CD4428">
        <w:rPr>
          <w:rFonts w:ascii="Book Antiqua" w:eastAsia="SabonLTStd-Roman" w:hAnsi="Book Antiqua" w:cstheme="minorHAnsi"/>
          <w:sz w:val="24"/>
          <w:szCs w:val="24"/>
          <w:lang w:val="en-GB"/>
        </w:rPr>
        <w:t xml:space="preserve">those treated with </w:t>
      </w:r>
      <w:r w:rsidR="00C374A6" w:rsidRPr="00CD4428">
        <w:rPr>
          <w:rFonts w:ascii="Book Antiqua" w:eastAsia="SabonLTStd-Roman" w:hAnsi="Book Antiqua" w:cstheme="minorHAnsi"/>
          <w:sz w:val="24"/>
          <w:szCs w:val="24"/>
          <w:lang w:val="en-GB"/>
        </w:rPr>
        <w:t>placebo (4</w:t>
      </w:r>
      <w:r w:rsidR="00FF0F48" w:rsidRPr="00CD4428">
        <w:rPr>
          <w:rFonts w:ascii="Book Antiqua" w:eastAsia="SabonLTStd-Roman" w:hAnsi="Book Antiqua" w:cstheme="minorHAnsi"/>
          <w:sz w:val="24"/>
          <w:szCs w:val="24"/>
          <w:lang w:val="en-GB"/>
        </w:rPr>
        <w:t>4</w:t>
      </w:r>
      <w:r w:rsidR="00C374A6" w:rsidRPr="00CD4428">
        <w:rPr>
          <w:rFonts w:ascii="Book Antiqua" w:eastAsia="SabonLTStd-Roman" w:hAnsi="Book Antiqua" w:cstheme="minorHAnsi"/>
          <w:sz w:val="24"/>
          <w:szCs w:val="24"/>
          <w:lang w:val="en-GB"/>
        </w:rPr>
        <w:t>.</w:t>
      </w:r>
      <w:r w:rsidR="00FF0F48" w:rsidRPr="00CD4428">
        <w:rPr>
          <w:rFonts w:ascii="Book Antiqua" w:eastAsia="SabonLTStd-Roman" w:hAnsi="Book Antiqua" w:cstheme="minorHAnsi"/>
          <w:sz w:val="24"/>
          <w:szCs w:val="24"/>
          <w:lang w:val="en-GB"/>
        </w:rPr>
        <w:t>8</w:t>
      </w:r>
      <w:r w:rsidR="00C374A6" w:rsidRPr="00CD4428">
        <w:rPr>
          <w:rFonts w:ascii="Book Antiqua" w:eastAsia="SabonLTStd-Roman" w:hAnsi="Book Antiqua" w:cstheme="minorHAnsi"/>
          <w:sz w:val="24"/>
          <w:szCs w:val="24"/>
          <w:lang w:val="en-GB"/>
        </w:rPr>
        <w:t xml:space="preserve">% in the </w:t>
      </w:r>
      <w:proofErr w:type="spellStart"/>
      <w:r w:rsidR="00C374A6" w:rsidRPr="00CD4428">
        <w:rPr>
          <w:rFonts w:ascii="Book Antiqua" w:eastAsia="SabonLTStd-Roman" w:hAnsi="Book Antiqua" w:cstheme="minorHAnsi"/>
          <w:sz w:val="24"/>
          <w:szCs w:val="24"/>
          <w:lang w:val="en-GB"/>
        </w:rPr>
        <w:t>vedolizumab</w:t>
      </w:r>
      <w:proofErr w:type="spellEnd"/>
      <w:r w:rsidR="00C374A6" w:rsidRPr="00CD4428">
        <w:rPr>
          <w:rFonts w:ascii="Book Antiqua" w:eastAsia="SabonLTStd-Roman" w:hAnsi="Book Antiqua" w:cstheme="minorHAnsi"/>
          <w:sz w:val="24"/>
          <w:szCs w:val="24"/>
          <w:lang w:val="en-GB"/>
        </w:rPr>
        <w:t xml:space="preserve"> </w:t>
      </w:r>
      <w:r w:rsidR="00844D76" w:rsidRPr="00CD4428">
        <w:rPr>
          <w:rFonts w:ascii="Book Antiqua" w:eastAsia="SabonLTStd-Roman" w:hAnsi="Book Antiqua" w:cstheme="minorHAnsi"/>
          <w:sz w:val="24"/>
          <w:szCs w:val="24"/>
          <w:lang w:val="en-GB"/>
        </w:rPr>
        <w:t>4</w:t>
      </w:r>
      <w:r w:rsidR="00C374A6" w:rsidRPr="00CD4428">
        <w:rPr>
          <w:rFonts w:ascii="Book Antiqua" w:eastAsia="SabonLTStd-Roman" w:hAnsi="Book Antiqua" w:cstheme="minorHAnsi"/>
          <w:sz w:val="24"/>
          <w:szCs w:val="24"/>
          <w:lang w:val="en-GB"/>
        </w:rPr>
        <w:t>-weekly group, 4</w:t>
      </w:r>
      <w:r w:rsidR="00844D76" w:rsidRPr="00CD4428">
        <w:rPr>
          <w:rFonts w:ascii="Book Antiqua" w:eastAsia="SabonLTStd-Roman" w:hAnsi="Book Antiqua" w:cstheme="minorHAnsi"/>
          <w:sz w:val="24"/>
          <w:szCs w:val="24"/>
          <w:lang w:val="en-GB"/>
        </w:rPr>
        <w:t>1.8</w:t>
      </w:r>
      <w:r w:rsidR="00C374A6" w:rsidRPr="00CD4428">
        <w:rPr>
          <w:rFonts w:ascii="Book Antiqua" w:eastAsia="SabonLTStd-Roman" w:hAnsi="Book Antiqua" w:cstheme="minorHAnsi"/>
          <w:sz w:val="24"/>
          <w:szCs w:val="24"/>
          <w:lang w:val="en-GB"/>
        </w:rPr>
        <w:t xml:space="preserve">% in the </w:t>
      </w:r>
      <w:proofErr w:type="spellStart"/>
      <w:r w:rsidR="00C374A6" w:rsidRPr="00CD4428">
        <w:rPr>
          <w:rFonts w:ascii="Book Antiqua" w:eastAsia="SabonLTStd-Roman" w:hAnsi="Book Antiqua" w:cstheme="minorHAnsi"/>
          <w:sz w:val="24"/>
          <w:szCs w:val="24"/>
          <w:lang w:val="en-GB"/>
        </w:rPr>
        <w:t>vedolizumab</w:t>
      </w:r>
      <w:proofErr w:type="spellEnd"/>
      <w:r w:rsidR="00C374A6" w:rsidRPr="00CD4428">
        <w:rPr>
          <w:rFonts w:ascii="Book Antiqua" w:eastAsia="SabonLTStd-Roman" w:hAnsi="Book Antiqua" w:cstheme="minorHAnsi"/>
          <w:sz w:val="24"/>
          <w:szCs w:val="24"/>
          <w:lang w:val="en-GB"/>
        </w:rPr>
        <w:t xml:space="preserve"> </w:t>
      </w:r>
      <w:r w:rsidR="00844D76" w:rsidRPr="00CD4428">
        <w:rPr>
          <w:rFonts w:ascii="Book Antiqua" w:eastAsia="SabonLTStd-Roman" w:hAnsi="Book Antiqua" w:cstheme="minorHAnsi"/>
          <w:sz w:val="24"/>
          <w:szCs w:val="24"/>
          <w:lang w:val="en-GB"/>
        </w:rPr>
        <w:t>8</w:t>
      </w:r>
      <w:r w:rsidR="00C374A6" w:rsidRPr="00CD4428">
        <w:rPr>
          <w:rFonts w:ascii="Book Antiqua" w:eastAsia="SabonLTStd-Roman" w:hAnsi="Book Antiqua" w:cstheme="minorHAnsi"/>
          <w:sz w:val="24"/>
          <w:szCs w:val="24"/>
          <w:lang w:val="en-GB"/>
        </w:rPr>
        <w:t>-weekly group, and 1</w:t>
      </w:r>
      <w:r w:rsidR="00FF0F48" w:rsidRPr="00CD4428">
        <w:rPr>
          <w:rFonts w:ascii="Book Antiqua" w:eastAsia="SabonLTStd-Roman" w:hAnsi="Book Antiqua" w:cstheme="minorHAnsi"/>
          <w:sz w:val="24"/>
          <w:szCs w:val="24"/>
          <w:lang w:val="en-GB"/>
        </w:rPr>
        <w:t>5.9</w:t>
      </w:r>
      <w:r w:rsidR="00C374A6" w:rsidRPr="00CD4428">
        <w:rPr>
          <w:rFonts w:ascii="Book Antiqua" w:eastAsia="SabonLTStd-Roman" w:hAnsi="Book Antiqua" w:cstheme="minorHAnsi"/>
          <w:sz w:val="24"/>
          <w:szCs w:val="24"/>
          <w:lang w:val="en-GB"/>
        </w:rPr>
        <w:t xml:space="preserve">% in the placebo group; </w:t>
      </w:r>
      <w:r w:rsidR="00C374A6" w:rsidRPr="00C05D2A">
        <w:rPr>
          <w:rFonts w:ascii="Book Antiqua" w:eastAsia="SabonLTStd-Roman" w:hAnsi="Book Antiqua" w:cstheme="minorHAnsi"/>
          <w:i/>
          <w:caps/>
          <w:sz w:val="24"/>
          <w:szCs w:val="24"/>
          <w:lang w:val="en-GB"/>
        </w:rPr>
        <w:t>p</w:t>
      </w:r>
      <w:r w:rsidR="00C374A6" w:rsidRPr="00CD4428">
        <w:rPr>
          <w:rFonts w:ascii="Book Antiqua" w:eastAsia="SabonLTStd-Roman" w:hAnsi="Book Antiqua" w:cstheme="minorHAnsi"/>
          <w:sz w:val="24"/>
          <w:szCs w:val="24"/>
          <w:lang w:val="en-GB"/>
        </w:rPr>
        <w:t xml:space="preserve"> &lt; </w:t>
      </w:r>
      <w:r w:rsidR="00F140D3" w:rsidRPr="00CD4428">
        <w:rPr>
          <w:rFonts w:ascii="Book Antiqua" w:eastAsia="SabonLTStd-Roman" w:hAnsi="Book Antiqua" w:cstheme="minorHAnsi"/>
          <w:sz w:val="24"/>
          <w:szCs w:val="24"/>
          <w:lang w:val="en-GB"/>
        </w:rPr>
        <w:t>0.001).</w:t>
      </w:r>
      <w:r w:rsidR="00590110" w:rsidRPr="00CD4428">
        <w:rPr>
          <w:rFonts w:ascii="Book Antiqua" w:eastAsia="SabonLTStd-Roman" w:hAnsi="Book Antiqua" w:cstheme="minorHAnsi"/>
          <w:sz w:val="24"/>
          <w:szCs w:val="24"/>
          <w:lang w:val="en-GB"/>
        </w:rPr>
        <w:t xml:space="preserve"> </w:t>
      </w:r>
      <w:r w:rsidR="00B22B53" w:rsidRPr="00CD4428">
        <w:rPr>
          <w:rFonts w:ascii="Book Antiqua" w:eastAsia="SabonLTStd-Roman" w:hAnsi="Book Antiqua" w:cstheme="minorHAnsi"/>
          <w:sz w:val="24"/>
          <w:szCs w:val="24"/>
          <w:lang w:val="en-GB"/>
        </w:rPr>
        <w:t>D</w:t>
      </w:r>
      <w:r w:rsidR="00054575" w:rsidRPr="00CD4428">
        <w:rPr>
          <w:rFonts w:ascii="Book Antiqua" w:eastAsia="SabonLTStd-Roman" w:hAnsi="Book Antiqua" w:cstheme="minorHAnsi"/>
          <w:sz w:val="24"/>
          <w:szCs w:val="24"/>
          <w:lang w:val="en-GB"/>
        </w:rPr>
        <w:t xml:space="preserve">urable clinical remission (defined as remission at week 6 and week 52) was </w:t>
      </w:r>
      <w:r w:rsidR="00B22B53" w:rsidRPr="00CD4428">
        <w:rPr>
          <w:rFonts w:ascii="Book Antiqua" w:eastAsia="SabonLTStd-Roman" w:hAnsi="Book Antiqua" w:cstheme="minorHAnsi"/>
          <w:sz w:val="24"/>
          <w:szCs w:val="24"/>
          <w:lang w:val="en-GB"/>
        </w:rPr>
        <w:t xml:space="preserve">also </w:t>
      </w:r>
      <w:r w:rsidR="00054575" w:rsidRPr="00CD4428">
        <w:rPr>
          <w:rFonts w:ascii="Book Antiqua" w:eastAsia="SabonLTStd-Roman" w:hAnsi="Book Antiqua" w:cstheme="minorHAnsi"/>
          <w:sz w:val="24"/>
          <w:szCs w:val="24"/>
          <w:lang w:val="en-GB"/>
        </w:rPr>
        <w:t xml:space="preserve">reported by significantly more patients in the </w:t>
      </w:r>
      <w:proofErr w:type="spellStart"/>
      <w:r w:rsidR="00054575" w:rsidRPr="00CD4428">
        <w:rPr>
          <w:rFonts w:ascii="Book Antiqua" w:eastAsia="SabonLTStd-Roman" w:hAnsi="Book Antiqua" w:cstheme="minorHAnsi"/>
          <w:sz w:val="24"/>
          <w:szCs w:val="24"/>
          <w:lang w:val="en-GB"/>
        </w:rPr>
        <w:t>vedolizumab</w:t>
      </w:r>
      <w:proofErr w:type="spellEnd"/>
      <w:r w:rsidR="00054575" w:rsidRPr="00CD4428">
        <w:rPr>
          <w:rFonts w:ascii="Book Antiqua" w:eastAsia="SabonLTStd-Roman" w:hAnsi="Book Antiqua" w:cstheme="minorHAnsi"/>
          <w:sz w:val="24"/>
          <w:szCs w:val="24"/>
          <w:lang w:val="en-GB"/>
        </w:rPr>
        <w:t xml:space="preserve"> groups (2</w:t>
      </w:r>
      <w:r w:rsidR="00844D76" w:rsidRPr="00CD4428">
        <w:rPr>
          <w:rFonts w:ascii="Book Antiqua" w:eastAsia="SabonLTStd-Roman" w:hAnsi="Book Antiqua" w:cstheme="minorHAnsi"/>
          <w:sz w:val="24"/>
          <w:szCs w:val="24"/>
          <w:lang w:val="en-GB"/>
        </w:rPr>
        <w:t>4</w:t>
      </w:r>
      <w:r w:rsidR="00054575" w:rsidRPr="00CD4428">
        <w:rPr>
          <w:rFonts w:ascii="Book Antiqua" w:eastAsia="SabonLTStd-Roman" w:hAnsi="Book Antiqua" w:cstheme="minorHAnsi"/>
          <w:sz w:val="24"/>
          <w:szCs w:val="24"/>
          <w:lang w:val="en-GB"/>
        </w:rPr>
        <w:t>.</w:t>
      </w:r>
      <w:r w:rsidR="00844D76" w:rsidRPr="00CD4428">
        <w:rPr>
          <w:rFonts w:ascii="Book Antiqua" w:eastAsia="SabonLTStd-Roman" w:hAnsi="Book Antiqua" w:cstheme="minorHAnsi"/>
          <w:sz w:val="24"/>
          <w:szCs w:val="24"/>
          <w:lang w:val="en-GB"/>
        </w:rPr>
        <w:t>0</w:t>
      </w:r>
      <w:r w:rsidR="00054575" w:rsidRPr="00CD4428">
        <w:rPr>
          <w:rFonts w:ascii="Book Antiqua" w:eastAsia="SabonLTStd-Roman" w:hAnsi="Book Antiqua" w:cstheme="minorHAnsi"/>
          <w:sz w:val="24"/>
          <w:szCs w:val="24"/>
          <w:lang w:val="en-GB"/>
        </w:rPr>
        <w:t xml:space="preserve">% in the </w:t>
      </w:r>
      <w:proofErr w:type="spellStart"/>
      <w:r w:rsidR="00054575" w:rsidRPr="00CD4428">
        <w:rPr>
          <w:rFonts w:ascii="Book Antiqua" w:eastAsia="SabonLTStd-Roman" w:hAnsi="Book Antiqua" w:cstheme="minorHAnsi"/>
          <w:sz w:val="24"/>
          <w:szCs w:val="24"/>
          <w:lang w:val="en-GB"/>
        </w:rPr>
        <w:t>vedolizumab</w:t>
      </w:r>
      <w:proofErr w:type="spellEnd"/>
      <w:r w:rsidR="00054575" w:rsidRPr="00CD4428">
        <w:rPr>
          <w:rFonts w:ascii="Book Antiqua" w:eastAsia="SabonLTStd-Roman" w:hAnsi="Book Antiqua" w:cstheme="minorHAnsi"/>
          <w:sz w:val="24"/>
          <w:szCs w:val="24"/>
          <w:lang w:val="en-GB"/>
        </w:rPr>
        <w:t xml:space="preserve"> </w:t>
      </w:r>
      <w:r w:rsidR="00844D76" w:rsidRPr="00CD4428">
        <w:rPr>
          <w:rFonts w:ascii="Book Antiqua" w:eastAsia="SabonLTStd-Roman" w:hAnsi="Book Antiqua" w:cstheme="minorHAnsi"/>
          <w:sz w:val="24"/>
          <w:szCs w:val="24"/>
          <w:lang w:val="en-GB"/>
        </w:rPr>
        <w:t>4</w:t>
      </w:r>
      <w:r w:rsidR="00054575" w:rsidRPr="00CD4428">
        <w:rPr>
          <w:rFonts w:ascii="Book Antiqua" w:eastAsia="SabonLTStd-Roman" w:hAnsi="Book Antiqua" w:cstheme="minorHAnsi"/>
          <w:sz w:val="24"/>
          <w:szCs w:val="24"/>
          <w:lang w:val="en-GB"/>
        </w:rPr>
        <w:t>-weekly group, 2</w:t>
      </w:r>
      <w:r w:rsidR="00844D76" w:rsidRPr="00CD4428">
        <w:rPr>
          <w:rFonts w:ascii="Book Antiqua" w:eastAsia="SabonLTStd-Roman" w:hAnsi="Book Antiqua" w:cstheme="minorHAnsi"/>
          <w:sz w:val="24"/>
          <w:szCs w:val="24"/>
          <w:lang w:val="en-GB"/>
        </w:rPr>
        <w:t>0</w:t>
      </w:r>
      <w:r w:rsidR="00054575" w:rsidRPr="00CD4428">
        <w:rPr>
          <w:rFonts w:ascii="Book Antiqua" w:eastAsia="SabonLTStd-Roman" w:hAnsi="Book Antiqua" w:cstheme="minorHAnsi"/>
          <w:sz w:val="24"/>
          <w:szCs w:val="24"/>
          <w:lang w:val="en-GB"/>
        </w:rPr>
        <w:t>.</w:t>
      </w:r>
      <w:r w:rsidR="00844D76" w:rsidRPr="00CD4428">
        <w:rPr>
          <w:rFonts w:ascii="Book Antiqua" w:eastAsia="SabonLTStd-Roman" w:hAnsi="Book Antiqua" w:cstheme="minorHAnsi"/>
          <w:sz w:val="24"/>
          <w:szCs w:val="24"/>
          <w:lang w:val="en-GB"/>
        </w:rPr>
        <w:t>5</w:t>
      </w:r>
      <w:r w:rsidR="00054575" w:rsidRPr="00CD4428">
        <w:rPr>
          <w:rFonts w:ascii="Book Antiqua" w:eastAsia="SabonLTStd-Roman" w:hAnsi="Book Antiqua" w:cstheme="minorHAnsi"/>
          <w:sz w:val="24"/>
          <w:szCs w:val="24"/>
          <w:lang w:val="en-GB"/>
        </w:rPr>
        <w:t xml:space="preserve">% in the </w:t>
      </w:r>
      <w:proofErr w:type="spellStart"/>
      <w:r w:rsidR="00054575" w:rsidRPr="00CD4428">
        <w:rPr>
          <w:rFonts w:ascii="Book Antiqua" w:eastAsia="SabonLTStd-Roman" w:hAnsi="Book Antiqua" w:cstheme="minorHAnsi"/>
          <w:sz w:val="24"/>
          <w:szCs w:val="24"/>
          <w:lang w:val="en-GB"/>
        </w:rPr>
        <w:t>vedolizumab</w:t>
      </w:r>
      <w:proofErr w:type="spellEnd"/>
      <w:r w:rsidR="00054575" w:rsidRPr="00CD4428">
        <w:rPr>
          <w:rFonts w:ascii="Book Antiqua" w:eastAsia="SabonLTStd-Roman" w:hAnsi="Book Antiqua" w:cstheme="minorHAnsi"/>
          <w:sz w:val="24"/>
          <w:szCs w:val="24"/>
          <w:lang w:val="en-GB"/>
        </w:rPr>
        <w:t xml:space="preserve"> </w:t>
      </w:r>
      <w:r w:rsidR="00844D76" w:rsidRPr="00CD4428">
        <w:rPr>
          <w:rFonts w:ascii="Book Antiqua" w:eastAsia="SabonLTStd-Roman" w:hAnsi="Book Antiqua" w:cstheme="minorHAnsi"/>
          <w:sz w:val="24"/>
          <w:szCs w:val="24"/>
          <w:lang w:val="en-GB"/>
        </w:rPr>
        <w:t>8</w:t>
      </w:r>
      <w:r w:rsidR="00054575" w:rsidRPr="00CD4428">
        <w:rPr>
          <w:rFonts w:ascii="Book Antiqua" w:eastAsia="SabonLTStd-Roman" w:hAnsi="Book Antiqua" w:cstheme="minorHAnsi"/>
          <w:sz w:val="24"/>
          <w:szCs w:val="24"/>
          <w:lang w:val="en-GB"/>
        </w:rPr>
        <w:t xml:space="preserve">-weekly group, and 8.7% in the placebo group; </w:t>
      </w:r>
      <w:r w:rsidR="00054575" w:rsidRPr="00D21FB0">
        <w:rPr>
          <w:rFonts w:ascii="Book Antiqua" w:eastAsia="SabonLTStd-Roman" w:hAnsi="Book Antiqua" w:cstheme="minorHAnsi"/>
          <w:i/>
          <w:caps/>
          <w:sz w:val="24"/>
          <w:szCs w:val="24"/>
          <w:lang w:val="en-GB"/>
        </w:rPr>
        <w:t>p</w:t>
      </w:r>
      <w:r w:rsidR="00054575" w:rsidRPr="00CD4428">
        <w:rPr>
          <w:rFonts w:ascii="Book Antiqua" w:eastAsia="SabonLTStd-Roman" w:hAnsi="Book Antiqua" w:cstheme="minorHAnsi"/>
          <w:sz w:val="24"/>
          <w:szCs w:val="24"/>
          <w:lang w:val="en-GB"/>
        </w:rPr>
        <w:t xml:space="preserve"> = 0.00</w:t>
      </w:r>
      <w:r w:rsidR="00844D76" w:rsidRPr="00CD4428">
        <w:rPr>
          <w:rFonts w:ascii="Book Antiqua" w:eastAsia="SabonLTStd-Roman" w:hAnsi="Book Antiqua" w:cstheme="minorHAnsi"/>
          <w:sz w:val="24"/>
          <w:szCs w:val="24"/>
          <w:lang w:val="en-GB"/>
        </w:rPr>
        <w:t>1</w:t>
      </w:r>
      <w:r w:rsidR="008B3E3B" w:rsidRPr="00CD4428">
        <w:rPr>
          <w:rFonts w:ascii="Book Antiqua" w:eastAsia="SabonLTStd-Roman" w:hAnsi="Book Antiqua" w:cstheme="minorHAnsi"/>
          <w:sz w:val="24"/>
          <w:szCs w:val="24"/>
          <w:lang w:val="en-GB"/>
        </w:rPr>
        <w:t xml:space="preserve"> and</w:t>
      </w:r>
      <w:r w:rsidR="00054575" w:rsidRPr="00CD4428">
        <w:rPr>
          <w:rFonts w:ascii="Book Antiqua" w:eastAsia="SabonLTStd-Roman" w:hAnsi="Book Antiqua" w:cstheme="minorHAnsi"/>
          <w:sz w:val="24"/>
          <w:szCs w:val="24"/>
          <w:lang w:val="en-GB"/>
        </w:rPr>
        <w:t xml:space="preserve"> </w:t>
      </w:r>
      <w:r w:rsidR="00D21FB0" w:rsidRPr="00D21FB0">
        <w:rPr>
          <w:rFonts w:ascii="Book Antiqua" w:eastAsia="SabonLTStd-Roman" w:hAnsi="Book Antiqua" w:cstheme="minorHAnsi"/>
          <w:i/>
          <w:caps/>
          <w:sz w:val="24"/>
          <w:szCs w:val="24"/>
          <w:lang w:val="en-GB"/>
        </w:rPr>
        <w:t>p</w:t>
      </w:r>
      <w:r w:rsidR="00D21FB0" w:rsidRPr="00CD4428">
        <w:rPr>
          <w:rFonts w:ascii="Book Antiqua" w:eastAsia="SabonLTStd-Roman" w:hAnsi="Book Antiqua" w:cstheme="minorHAnsi"/>
          <w:sz w:val="24"/>
          <w:szCs w:val="24"/>
          <w:lang w:val="en-GB"/>
        </w:rPr>
        <w:t xml:space="preserve"> </w:t>
      </w:r>
      <w:r w:rsidR="00054575" w:rsidRPr="00CD4428">
        <w:rPr>
          <w:rFonts w:ascii="Book Antiqua" w:eastAsia="SabonLTStd-Roman" w:hAnsi="Book Antiqua" w:cstheme="minorHAnsi"/>
          <w:sz w:val="24"/>
          <w:szCs w:val="24"/>
          <w:lang w:val="en-GB"/>
        </w:rPr>
        <w:t>=</w:t>
      </w:r>
      <w:r w:rsidR="00D21FB0">
        <w:rPr>
          <w:rFonts w:ascii="Book Antiqua" w:hAnsi="Book Antiqua" w:cstheme="minorHAnsi" w:hint="eastAsia"/>
          <w:sz w:val="24"/>
          <w:szCs w:val="24"/>
          <w:lang w:val="en-GB" w:eastAsia="zh-CN"/>
        </w:rPr>
        <w:t xml:space="preserve"> </w:t>
      </w:r>
      <w:r w:rsidR="00054575" w:rsidRPr="00CD4428">
        <w:rPr>
          <w:rFonts w:ascii="Book Antiqua" w:eastAsia="SabonLTStd-Roman" w:hAnsi="Book Antiqua" w:cstheme="minorHAnsi"/>
          <w:sz w:val="24"/>
          <w:szCs w:val="24"/>
          <w:lang w:val="en-GB"/>
        </w:rPr>
        <w:t>0.00</w:t>
      </w:r>
      <w:r w:rsidR="00844D76" w:rsidRPr="00CD4428">
        <w:rPr>
          <w:rFonts w:ascii="Book Antiqua" w:eastAsia="SabonLTStd-Roman" w:hAnsi="Book Antiqua" w:cstheme="minorHAnsi"/>
          <w:sz w:val="24"/>
          <w:szCs w:val="24"/>
          <w:lang w:val="en-GB"/>
        </w:rPr>
        <w:t>8</w:t>
      </w:r>
      <w:r w:rsidR="008B3E3B" w:rsidRPr="00CD4428">
        <w:rPr>
          <w:rFonts w:ascii="Book Antiqua" w:eastAsia="SabonLTStd-Roman" w:hAnsi="Book Antiqua" w:cstheme="minorHAnsi"/>
          <w:sz w:val="24"/>
          <w:szCs w:val="24"/>
          <w:lang w:val="en-GB"/>
        </w:rPr>
        <w:t>, respectively</w:t>
      </w:r>
      <w:r w:rsidR="00DB1258" w:rsidRPr="00CD4428">
        <w:rPr>
          <w:rFonts w:ascii="Book Antiqua" w:eastAsia="SabonLTStd-Roman" w:hAnsi="Book Antiqua" w:cstheme="minorHAnsi"/>
          <w:sz w:val="24"/>
          <w:szCs w:val="24"/>
          <w:lang w:val="en-GB"/>
        </w:rPr>
        <w:t xml:space="preserve">, </w:t>
      </w:r>
      <w:r w:rsidR="00DB1258" w:rsidRPr="00D21FB0">
        <w:rPr>
          <w:rFonts w:ascii="Book Antiqua" w:eastAsia="SabonLTStd-Roman" w:hAnsi="Book Antiqua" w:cstheme="minorHAnsi"/>
          <w:i/>
          <w:sz w:val="24"/>
          <w:szCs w:val="24"/>
          <w:lang w:val="en-GB"/>
        </w:rPr>
        <w:t>vs</w:t>
      </w:r>
      <w:r w:rsidR="00D21FB0">
        <w:rPr>
          <w:rFonts w:ascii="Book Antiqua" w:hAnsi="Book Antiqua" w:cstheme="minorHAnsi" w:hint="eastAsia"/>
          <w:sz w:val="24"/>
          <w:szCs w:val="24"/>
          <w:lang w:val="en-GB" w:eastAsia="zh-CN"/>
        </w:rPr>
        <w:t xml:space="preserve"> </w:t>
      </w:r>
      <w:r w:rsidR="00DB1258" w:rsidRPr="00CD4428">
        <w:rPr>
          <w:rFonts w:ascii="Book Antiqua" w:eastAsia="SabonLTStd-Roman" w:hAnsi="Book Antiqua" w:cstheme="minorHAnsi"/>
          <w:sz w:val="24"/>
          <w:szCs w:val="24"/>
          <w:lang w:val="en-GB"/>
        </w:rPr>
        <w:t>placebo</w:t>
      </w:r>
      <w:r w:rsidR="00054575" w:rsidRPr="00CD4428">
        <w:rPr>
          <w:rFonts w:ascii="Book Antiqua" w:eastAsia="SabonLTStd-Roman" w:hAnsi="Book Antiqua" w:cstheme="minorHAnsi"/>
          <w:sz w:val="24"/>
          <w:szCs w:val="24"/>
          <w:lang w:val="en-GB"/>
        </w:rPr>
        <w:t>).</w:t>
      </w:r>
      <w:r w:rsidR="00054575" w:rsidRPr="00CD4428">
        <w:rPr>
          <w:rFonts w:ascii="Book Antiqua" w:eastAsia="SabonLTStd-Roman" w:hAnsi="Book Antiqua" w:cstheme="minorHAnsi"/>
          <w:b/>
          <w:sz w:val="24"/>
          <w:szCs w:val="24"/>
          <w:lang w:val="en-GB"/>
        </w:rPr>
        <w:t xml:space="preserve"> </w:t>
      </w:r>
      <w:proofErr w:type="spellStart"/>
      <w:r w:rsidR="007C1BB6" w:rsidRPr="00CD4428">
        <w:rPr>
          <w:rFonts w:ascii="Book Antiqua" w:eastAsia="SabonLTStd-Roman" w:hAnsi="Book Antiqua" w:cstheme="minorHAnsi"/>
          <w:sz w:val="24"/>
          <w:szCs w:val="24"/>
          <w:lang w:val="en-GB"/>
        </w:rPr>
        <w:t>Vedolizumab</w:t>
      </w:r>
      <w:proofErr w:type="spellEnd"/>
      <w:r w:rsidR="007C1BB6" w:rsidRPr="00CD4428">
        <w:rPr>
          <w:rFonts w:ascii="Book Antiqua" w:eastAsia="SabonLTStd-Roman" w:hAnsi="Book Antiqua" w:cstheme="minorHAnsi"/>
          <w:sz w:val="24"/>
          <w:szCs w:val="24"/>
          <w:lang w:val="en-GB"/>
        </w:rPr>
        <w:t xml:space="preserve"> was also associated with greater mucosal healing rates </w:t>
      </w:r>
      <w:r w:rsidR="00066AD8" w:rsidRPr="00CD4428">
        <w:rPr>
          <w:rFonts w:ascii="Book Antiqua" w:eastAsia="SabonLTStd-Roman" w:hAnsi="Book Antiqua" w:cstheme="minorHAnsi"/>
          <w:sz w:val="24"/>
          <w:szCs w:val="24"/>
          <w:lang w:val="en-GB"/>
        </w:rPr>
        <w:t>(</w:t>
      </w:r>
      <w:r w:rsidR="00D21FB0" w:rsidRPr="00D21FB0">
        <w:rPr>
          <w:rFonts w:ascii="Book Antiqua" w:eastAsia="SabonLTStd-Roman" w:hAnsi="Book Antiqua" w:cstheme="minorHAnsi"/>
          <w:i/>
          <w:caps/>
          <w:sz w:val="24"/>
          <w:szCs w:val="24"/>
          <w:lang w:val="en-GB"/>
        </w:rPr>
        <w:t>p</w:t>
      </w:r>
      <w:r w:rsidR="007C1BB6" w:rsidRPr="00CD4428">
        <w:rPr>
          <w:rFonts w:ascii="Book Antiqua" w:eastAsia="SabonLTStd-Roman" w:hAnsi="Book Antiqua" w:cstheme="minorHAnsi"/>
          <w:sz w:val="24"/>
          <w:szCs w:val="24"/>
          <w:lang w:val="en-GB"/>
        </w:rPr>
        <w:t xml:space="preserve"> &lt; 0.001</w:t>
      </w:r>
      <w:r w:rsidR="00B50D49" w:rsidRPr="00CD4428">
        <w:rPr>
          <w:rFonts w:ascii="Book Antiqua" w:eastAsia="SabonLTStd-Roman" w:hAnsi="Book Antiqua" w:cstheme="minorHAnsi"/>
          <w:sz w:val="24"/>
          <w:szCs w:val="24"/>
          <w:lang w:val="en-GB"/>
        </w:rPr>
        <w:t xml:space="preserve"> for both </w:t>
      </w:r>
      <w:proofErr w:type="spellStart"/>
      <w:r w:rsidR="00B50D49" w:rsidRPr="00CD4428">
        <w:rPr>
          <w:rFonts w:ascii="Book Antiqua" w:eastAsia="SabonLTStd-Roman" w:hAnsi="Book Antiqua" w:cstheme="minorHAnsi"/>
          <w:sz w:val="24"/>
          <w:szCs w:val="24"/>
          <w:lang w:val="en-GB"/>
        </w:rPr>
        <w:t>vedolizumab</w:t>
      </w:r>
      <w:proofErr w:type="spellEnd"/>
      <w:r w:rsidR="00B50D49" w:rsidRPr="00CD4428">
        <w:rPr>
          <w:rFonts w:ascii="Book Antiqua" w:eastAsia="SabonLTStd-Roman" w:hAnsi="Book Antiqua" w:cstheme="minorHAnsi"/>
          <w:sz w:val="24"/>
          <w:szCs w:val="24"/>
          <w:lang w:val="en-GB"/>
        </w:rPr>
        <w:t xml:space="preserve"> groups </w:t>
      </w:r>
      <w:r w:rsidR="00B50D49" w:rsidRPr="00887C66">
        <w:rPr>
          <w:rFonts w:ascii="Book Antiqua" w:eastAsia="SabonLTStd-Roman" w:hAnsi="Book Antiqua" w:cstheme="minorHAnsi"/>
          <w:i/>
          <w:sz w:val="24"/>
          <w:szCs w:val="24"/>
          <w:lang w:val="en-GB"/>
        </w:rPr>
        <w:t>vs</w:t>
      </w:r>
      <w:r w:rsidR="00887C66">
        <w:rPr>
          <w:rFonts w:ascii="Book Antiqua" w:hAnsi="Book Antiqua" w:cstheme="minorHAnsi" w:hint="eastAsia"/>
          <w:sz w:val="24"/>
          <w:szCs w:val="24"/>
          <w:lang w:val="en-GB" w:eastAsia="zh-CN"/>
        </w:rPr>
        <w:t xml:space="preserve"> </w:t>
      </w:r>
      <w:r w:rsidR="00B50D49" w:rsidRPr="00CD4428">
        <w:rPr>
          <w:rFonts w:ascii="Book Antiqua" w:eastAsia="SabonLTStd-Roman" w:hAnsi="Book Antiqua" w:cstheme="minorHAnsi"/>
          <w:sz w:val="24"/>
          <w:szCs w:val="24"/>
          <w:lang w:val="en-GB"/>
        </w:rPr>
        <w:lastRenderedPageBreak/>
        <w:t>placebo</w:t>
      </w:r>
      <w:r w:rsidR="007C1BB6" w:rsidRPr="00CD4428">
        <w:rPr>
          <w:rFonts w:ascii="Book Antiqua" w:eastAsia="SabonLTStd-Roman" w:hAnsi="Book Antiqua" w:cstheme="minorHAnsi"/>
          <w:sz w:val="24"/>
          <w:szCs w:val="24"/>
          <w:lang w:val="en-GB"/>
        </w:rPr>
        <w:t>)</w:t>
      </w:r>
      <w:r w:rsidR="00717918" w:rsidRPr="00CD4428">
        <w:rPr>
          <w:rFonts w:ascii="Book Antiqua" w:eastAsia="SabonLTStd-Roman" w:hAnsi="Book Antiqua" w:cstheme="minorHAnsi"/>
          <w:sz w:val="24"/>
          <w:szCs w:val="24"/>
          <w:lang w:val="en-GB"/>
        </w:rPr>
        <w:t xml:space="preserve"> and significantly higher rates of steroid-free remission</w:t>
      </w:r>
      <w:r w:rsidR="001D02D9" w:rsidRPr="00CD4428">
        <w:rPr>
          <w:rFonts w:ascii="Book Antiqua" w:eastAsia="SabonLTStd-Roman" w:hAnsi="Book Antiqua" w:cstheme="minorHAnsi"/>
          <w:sz w:val="24"/>
          <w:szCs w:val="24"/>
          <w:lang w:val="en-GB"/>
        </w:rPr>
        <w:t xml:space="preserve"> (</w:t>
      </w:r>
      <w:r w:rsidR="00887C66" w:rsidRPr="00D21FB0">
        <w:rPr>
          <w:rFonts w:ascii="Book Antiqua" w:eastAsia="SabonLTStd-Roman" w:hAnsi="Book Antiqua" w:cstheme="minorHAnsi"/>
          <w:i/>
          <w:caps/>
          <w:sz w:val="24"/>
          <w:szCs w:val="24"/>
          <w:lang w:val="en-GB"/>
        </w:rPr>
        <w:t>p</w:t>
      </w:r>
      <w:r w:rsidR="001D02D9" w:rsidRPr="00CD4428">
        <w:rPr>
          <w:rFonts w:ascii="Book Antiqua" w:eastAsia="SabonLTStd-Roman" w:hAnsi="Book Antiqua" w:cstheme="minorHAnsi"/>
          <w:sz w:val="24"/>
          <w:szCs w:val="24"/>
          <w:lang w:val="en-GB"/>
        </w:rPr>
        <w:t xml:space="preserve"> &lt; 0.001</w:t>
      </w:r>
      <w:r w:rsidR="00B50D49" w:rsidRPr="00CD4428">
        <w:rPr>
          <w:rFonts w:ascii="Book Antiqua" w:eastAsia="SabonLTStd-Roman" w:hAnsi="Book Antiqua" w:cstheme="minorHAnsi"/>
          <w:sz w:val="24"/>
          <w:szCs w:val="24"/>
          <w:lang w:val="en-GB"/>
        </w:rPr>
        <w:t xml:space="preserve"> for both </w:t>
      </w:r>
      <w:proofErr w:type="spellStart"/>
      <w:r w:rsidR="00B50D49" w:rsidRPr="00CD4428">
        <w:rPr>
          <w:rFonts w:ascii="Book Antiqua" w:eastAsia="SabonLTStd-Roman" w:hAnsi="Book Antiqua" w:cstheme="minorHAnsi"/>
          <w:sz w:val="24"/>
          <w:szCs w:val="24"/>
          <w:lang w:val="en-GB"/>
        </w:rPr>
        <w:t>vedolizumab</w:t>
      </w:r>
      <w:proofErr w:type="spellEnd"/>
      <w:r w:rsidR="00B50D49" w:rsidRPr="00CD4428">
        <w:rPr>
          <w:rFonts w:ascii="Book Antiqua" w:eastAsia="SabonLTStd-Roman" w:hAnsi="Book Antiqua" w:cstheme="minorHAnsi"/>
          <w:sz w:val="24"/>
          <w:szCs w:val="24"/>
          <w:lang w:val="en-GB"/>
        </w:rPr>
        <w:t xml:space="preserve"> groups </w:t>
      </w:r>
      <w:r w:rsidR="00B50D49" w:rsidRPr="00887C66">
        <w:rPr>
          <w:rFonts w:ascii="Book Antiqua" w:eastAsia="SabonLTStd-Roman" w:hAnsi="Book Antiqua" w:cstheme="minorHAnsi"/>
          <w:i/>
          <w:sz w:val="24"/>
          <w:szCs w:val="24"/>
          <w:lang w:val="en-GB"/>
        </w:rPr>
        <w:t>vs</w:t>
      </w:r>
      <w:r w:rsidR="00887C66">
        <w:rPr>
          <w:rFonts w:ascii="Book Antiqua" w:hAnsi="Book Antiqua" w:cstheme="minorHAnsi" w:hint="eastAsia"/>
          <w:sz w:val="24"/>
          <w:szCs w:val="24"/>
          <w:lang w:val="en-GB" w:eastAsia="zh-CN"/>
        </w:rPr>
        <w:t xml:space="preserve"> </w:t>
      </w:r>
      <w:r w:rsidR="00B50D49" w:rsidRPr="00CD4428">
        <w:rPr>
          <w:rFonts w:ascii="Book Antiqua" w:eastAsia="SabonLTStd-Roman" w:hAnsi="Book Antiqua" w:cstheme="minorHAnsi"/>
          <w:sz w:val="24"/>
          <w:szCs w:val="24"/>
          <w:lang w:val="en-GB"/>
        </w:rPr>
        <w:t>placebo</w:t>
      </w:r>
      <w:r w:rsidR="001D02D9" w:rsidRPr="00CD4428">
        <w:rPr>
          <w:rFonts w:ascii="Book Antiqua" w:eastAsia="SabonLTStd-Roman" w:hAnsi="Book Antiqua" w:cstheme="minorHAnsi"/>
          <w:sz w:val="24"/>
          <w:szCs w:val="24"/>
          <w:lang w:val="en-GB"/>
        </w:rPr>
        <w:t>) (Table 1)</w:t>
      </w:r>
      <w:r w:rsidR="007C1BB6" w:rsidRPr="00CD4428">
        <w:rPr>
          <w:rFonts w:ascii="Book Antiqua" w:eastAsia="SabonLTStd-Roman" w:hAnsi="Book Antiqua" w:cstheme="minorHAnsi"/>
          <w:sz w:val="24"/>
          <w:szCs w:val="24"/>
          <w:lang w:val="en-GB"/>
        </w:rPr>
        <w:t>.</w:t>
      </w:r>
      <w:r w:rsidR="00864C21" w:rsidRPr="00CD4428">
        <w:rPr>
          <w:rFonts w:ascii="Book Antiqua" w:eastAsia="SabonLTStd-Roman" w:hAnsi="Book Antiqua" w:cstheme="minorHAnsi"/>
          <w:sz w:val="24"/>
          <w:szCs w:val="24"/>
          <w:lang w:val="en-GB"/>
        </w:rPr>
        <w:t xml:space="preserve"> </w:t>
      </w:r>
    </w:p>
    <w:p w14:paraId="64FD3F47" w14:textId="7A931C64" w:rsidR="003F1D0D" w:rsidRPr="00CD4428" w:rsidRDefault="00864C21" w:rsidP="00887C66">
      <w:pPr>
        <w:autoSpaceDE w:val="0"/>
        <w:autoSpaceDN w:val="0"/>
        <w:adjustRightInd w:val="0"/>
        <w:snapToGrid w:val="0"/>
        <w:spacing w:after="0" w:line="360" w:lineRule="auto"/>
        <w:ind w:firstLineChars="100" w:firstLine="24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 xml:space="preserve">A clear difference in efficacy between the </w:t>
      </w:r>
      <w:r w:rsidR="00844D76" w:rsidRPr="00CD4428">
        <w:rPr>
          <w:rFonts w:ascii="Book Antiqua" w:eastAsia="SabonLTStd-Roman" w:hAnsi="Book Antiqua" w:cstheme="minorHAnsi"/>
          <w:sz w:val="24"/>
          <w:szCs w:val="24"/>
          <w:lang w:val="en-GB"/>
        </w:rPr>
        <w:t>4</w:t>
      </w:r>
      <w:r w:rsidR="008239AA" w:rsidRPr="00CD4428">
        <w:rPr>
          <w:rFonts w:ascii="Book Antiqua" w:eastAsia="SabonLTStd-Roman" w:hAnsi="Book Antiqua" w:cstheme="minorHAnsi"/>
          <w:sz w:val="24"/>
          <w:szCs w:val="24"/>
          <w:lang w:val="en-GB"/>
        </w:rPr>
        <w:t>-</w:t>
      </w:r>
      <w:r w:rsidRPr="00CD4428">
        <w:rPr>
          <w:rFonts w:ascii="Book Antiqua" w:eastAsia="SabonLTStd-Roman" w:hAnsi="Book Antiqua" w:cstheme="minorHAnsi"/>
          <w:sz w:val="24"/>
          <w:szCs w:val="24"/>
          <w:lang w:val="en-GB"/>
        </w:rPr>
        <w:t xml:space="preserve"> and </w:t>
      </w:r>
      <w:r w:rsidR="00844D76" w:rsidRPr="00CD4428">
        <w:rPr>
          <w:rFonts w:ascii="Book Antiqua" w:eastAsia="SabonLTStd-Roman" w:hAnsi="Book Antiqua" w:cstheme="minorHAnsi"/>
          <w:sz w:val="24"/>
          <w:szCs w:val="24"/>
          <w:lang w:val="en-GB"/>
        </w:rPr>
        <w:t>8</w:t>
      </w:r>
      <w:r w:rsidR="008239AA" w:rsidRPr="00CD4428">
        <w:rPr>
          <w:rFonts w:ascii="Book Antiqua" w:eastAsia="SabonLTStd-Roman" w:hAnsi="Book Antiqua" w:cstheme="minorHAnsi"/>
          <w:sz w:val="24"/>
          <w:szCs w:val="24"/>
          <w:lang w:val="en-GB"/>
        </w:rPr>
        <w:t>-</w:t>
      </w:r>
      <w:r w:rsidRPr="00CD4428">
        <w:rPr>
          <w:rFonts w:ascii="Book Antiqua" w:eastAsia="SabonLTStd-Roman" w:hAnsi="Book Antiqua" w:cstheme="minorHAnsi"/>
          <w:sz w:val="24"/>
          <w:szCs w:val="24"/>
          <w:lang w:val="en-GB"/>
        </w:rPr>
        <w:t xml:space="preserve">weekly </w:t>
      </w:r>
      <w:proofErr w:type="spellStart"/>
      <w:r w:rsidRPr="00CD4428">
        <w:rPr>
          <w:rFonts w:ascii="Book Antiqua" w:eastAsia="SabonLTStd-Roman" w:hAnsi="Book Antiqua" w:cstheme="minorHAnsi"/>
          <w:sz w:val="24"/>
          <w:szCs w:val="24"/>
          <w:lang w:val="en-GB"/>
        </w:rPr>
        <w:t>vedolizumab</w:t>
      </w:r>
      <w:proofErr w:type="spellEnd"/>
      <w:r w:rsidRPr="00CD4428">
        <w:rPr>
          <w:rFonts w:ascii="Book Antiqua" w:eastAsia="SabonLTStd-Roman" w:hAnsi="Book Antiqua" w:cstheme="minorHAnsi"/>
          <w:sz w:val="24"/>
          <w:szCs w:val="24"/>
          <w:lang w:val="en-GB"/>
        </w:rPr>
        <w:t xml:space="preserve"> regimens </w:t>
      </w:r>
      <w:proofErr w:type="gramStart"/>
      <w:r w:rsidRPr="00CD4428">
        <w:rPr>
          <w:rFonts w:ascii="Book Antiqua" w:eastAsia="SabonLTStd-Roman" w:hAnsi="Book Antiqua" w:cstheme="minorHAnsi"/>
          <w:sz w:val="24"/>
          <w:szCs w:val="24"/>
          <w:lang w:val="en-GB"/>
        </w:rPr>
        <w:t>w</w:t>
      </w:r>
      <w:r w:rsidR="0052757B" w:rsidRPr="00CD4428">
        <w:rPr>
          <w:rFonts w:ascii="Book Antiqua" w:eastAsia="SabonLTStd-Roman" w:hAnsi="Book Antiqua" w:cstheme="minorHAnsi"/>
          <w:sz w:val="24"/>
          <w:szCs w:val="24"/>
          <w:lang w:val="en-GB"/>
        </w:rPr>
        <w:t>as</w:t>
      </w:r>
      <w:r w:rsidRPr="00CD4428">
        <w:rPr>
          <w:rFonts w:ascii="Book Antiqua" w:eastAsia="SabonLTStd-Roman" w:hAnsi="Book Antiqua" w:cstheme="minorHAnsi"/>
          <w:sz w:val="24"/>
          <w:szCs w:val="24"/>
          <w:lang w:val="en-GB"/>
        </w:rPr>
        <w:t xml:space="preserve"> not </w:t>
      </w:r>
      <w:r w:rsidR="00355D74" w:rsidRPr="00CD4428">
        <w:rPr>
          <w:rFonts w:ascii="Book Antiqua" w:eastAsia="SabonLTStd-Roman" w:hAnsi="Book Antiqua" w:cstheme="minorHAnsi"/>
          <w:sz w:val="24"/>
          <w:szCs w:val="24"/>
          <w:lang w:val="en-GB"/>
        </w:rPr>
        <w:t>observed</w:t>
      </w:r>
      <w:proofErr w:type="gramEnd"/>
      <w:r w:rsidRPr="00CD4428">
        <w:rPr>
          <w:rFonts w:ascii="Book Antiqua" w:eastAsia="SabonLTStd-Roman" w:hAnsi="Book Antiqua" w:cstheme="minorHAnsi"/>
          <w:sz w:val="24"/>
          <w:szCs w:val="24"/>
          <w:lang w:val="en-GB"/>
        </w:rPr>
        <w:t>.</w:t>
      </w:r>
      <w:r w:rsidR="00590110" w:rsidRPr="00CD4428">
        <w:rPr>
          <w:rFonts w:ascii="Book Antiqua" w:eastAsia="SabonLTStd-Roman" w:hAnsi="Book Antiqua" w:cstheme="minorHAnsi"/>
          <w:sz w:val="24"/>
          <w:szCs w:val="24"/>
          <w:lang w:val="en-GB"/>
        </w:rPr>
        <w:t xml:space="preserve"> </w:t>
      </w:r>
      <w:proofErr w:type="gramStart"/>
      <w:r w:rsidR="004A3672" w:rsidRPr="00CD4428">
        <w:rPr>
          <w:rFonts w:ascii="Book Antiqua" w:eastAsia="SabonLTStd-Roman" w:hAnsi="Book Antiqua" w:cstheme="minorHAnsi"/>
          <w:sz w:val="24"/>
          <w:szCs w:val="24"/>
          <w:lang w:val="en-GB"/>
        </w:rPr>
        <w:t>E</w:t>
      </w:r>
      <w:r w:rsidR="009963B6" w:rsidRPr="00CD4428">
        <w:rPr>
          <w:rFonts w:ascii="Book Antiqua" w:eastAsia="SabonLTStd-Roman" w:hAnsi="Book Antiqua" w:cstheme="minorHAnsi"/>
          <w:sz w:val="24"/>
          <w:szCs w:val="24"/>
          <w:lang w:val="en-GB"/>
        </w:rPr>
        <w:t>fficacy was</w:t>
      </w:r>
      <w:r w:rsidR="0052757B" w:rsidRPr="00CD4428">
        <w:rPr>
          <w:rFonts w:ascii="Book Antiqua" w:eastAsia="SabonLTStd-Roman" w:hAnsi="Book Antiqua" w:cstheme="minorHAnsi"/>
          <w:sz w:val="24"/>
          <w:szCs w:val="24"/>
          <w:lang w:val="en-GB"/>
        </w:rPr>
        <w:t xml:space="preserve"> </w:t>
      </w:r>
      <w:r w:rsidR="00355D74" w:rsidRPr="00CD4428">
        <w:rPr>
          <w:rFonts w:ascii="Book Antiqua" w:eastAsia="SabonLTStd-Roman" w:hAnsi="Book Antiqua" w:cstheme="minorHAnsi"/>
          <w:sz w:val="24"/>
          <w:szCs w:val="24"/>
          <w:lang w:val="en-GB"/>
        </w:rPr>
        <w:t>reported by</w:t>
      </w:r>
      <w:r w:rsidR="009963B6" w:rsidRPr="00CD4428">
        <w:rPr>
          <w:rFonts w:ascii="Book Antiqua" w:eastAsia="SabonLTStd-Roman" w:hAnsi="Book Antiqua" w:cstheme="minorHAnsi"/>
          <w:sz w:val="24"/>
          <w:szCs w:val="24"/>
          <w:lang w:val="en-GB"/>
        </w:rPr>
        <w:t xml:space="preserve"> both </w:t>
      </w:r>
      <w:r w:rsidR="00347DAD" w:rsidRPr="00CD4428">
        <w:rPr>
          <w:rFonts w:ascii="Book Antiqua" w:eastAsia="SabonLTStd-Roman" w:hAnsi="Book Antiqua" w:cstheme="minorHAnsi"/>
          <w:sz w:val="24"/>
          <w:szCs w:val="24"/>
          <w:lang w:val="en-GB"/>
        </w:rPr>
        <w:t>patients with previous exposure to anti-TNF</w:t>
      </w:r>
      <w:r w:rsidR="00F77992" w:rsidRPr="00CD4428">
        <w:rPr>
          <w:rFonts w:ascii="Book Antiqua" w:eastAsia="SabonLTStd-Roman" w:hAnsi="Book Antiqua" w:cstheme="minorHAnsi"/>
          <w:sz w:val="24"/>
          <w:szCs w:val="24"/>
          <w:lang w:val="en-GB"/>
        </w:rPr>
        <w:t xml:space="preserve">α </w:t>
      </w:r>
      <w:r w:rsidR="00347DAD" w:rsidRPr="00CD4428">
        <w:rPr>
          <w:rFonts w:ascii="Book Antiqua" w:eastAsia="SabonLTStd-Roman" w:hAnsi="Book Antiqua" w:cstheme="minorHAnsi"/>
          <w:sz w:val="24"/>
          <w:szCs w:val="24"/>
          <w:lang w:val="en-GB"/>
        </w:rPr>
        <w:t>therapy</w:t>
      </w:r>
      <w:r w:rsidR="009963B6" w:rsidRPr="00CD4428">
        <w:rPr>
          <w:rFonts w:ascii="Book Antiqua" w:eastAsia="SabonLTStd-Roman" w:hAnsi="Book Antiqua" w:cstheme="minorHAnsi"/>
          <w:sz w:val="24"/>
          <w:szCs w:val="24"/>
          <w:lang w:val="en-GB"/>
        </w:rPr>
        <w:t xml:space="preserve"> as well as</w:t>
      </w:r>
      <w:r w:rsidR="002004F6" w:rsidRPr="00CD4428">
        <w:rPr>
          <w:rFonts w:ascii="Book Antiqua" w:eastAsia="SabonLTStd-Roman" w:hAnsi="Book Antiqua" w:cstheme="minorHAnsi"/>
          <w:sz w:val="24"/>
          <w:szCs w:val="24"/>
          <w:lang w:val="en-GB"/>
        </w:rPr>
        <w:t xml:space="preserve"> those who were</w:t>
      </w:r>
      <w:r w:rsidR="009963B6" w:rsidRPr="00CD4428">
        <w:rPr>
          <w:rFonts w:ascii="Book Antiqua" w:eastAsia="SabonLTStd-Roman" w:hAnsi="Book Antiqua" w:cstheme="minorHAnsi"/>
          <w:sz w:val="24"/>
          <w:szCs w:val="24"/>
          <w:lang w:val="en-GB"/>
        </w:rPr>
        <w:t xml:space="preserve"> </w:t>
      </w:r>
      <w:r w:rsidR="001C2E38" w:rsidRPr="00CD4428">
        <w:rPr>
          <w:rFonts w:ascii="Book Antiqua" w:eastAsia="SabonLTStd-Roman" w:hAnsi="Book Antiqua" w:cstheme="minorHAnsi"/>
          <w:sz w:val="24"/>
          <w:szCs w:val="24"/>
          <w:lang w:val="en-GB"/>
        </w:rPr>
        <w:t>anti-TNF</w:t>
      </w:r>
      <w:r w:rsidR="00143651" w:rsidRPr="00CD4428">
        <w:rPr>
          <w:rFonts w:ascii="Book Antiqua" w:eastAsia="SabonLTStd-Roman" w:hAnsi="Book Antiqua" w:cstheme="minorHAnsi"/>
          <w:sz w:val="24"/>
          <w:szCs w:val="24"/>
          <w:lang w:val="en-GB"/>
        </w:rPr>
        <w:t>α</w:t>
      </w:r>
      <w:r w:rsidR="001C2E38" w:rsidRPr="00CD4428">
        <w:rPr>
          <w:rFonts w:ascii="Book Antiqua" w:eastAsia="SabonLTStd-Roman" w:hAnsi="Book Antiqua" w:cstheme="minorHAnsi"/>
          <w:sz w:val="24"/>
          <w:szCs w:val="24"/>
          <w:lang w:val="en-GB"/>
        </w:rPr>
        <w:t xml:space="preserve"> therapy</w:t>
      </w:r>
      <w:r w:rsidR="008239AA" w:rsidRPr="00CD4428">
        <w:rPr>
          <w:rFonts w:ascii="Book Antiqua" w:eastAsia="SabonLTStd-Roman" w:hAnsi="Book Antiqua" w:cstheme="minorHAnsi"/>
          <w:sz w:val="24"/>
          <w:szCs w:val="24"/>
          <w:lang w:val="en-GB"/>
        </w:rPr>
        <w:t>-</w:t>
      </w:r>
      <w:r w:rsidR="001C2E38" w:rsidRPr="00CD4428">
        <w:rPr>
          <w:rFonts w:ascii="Book Antiqua" w:eastAsia="SabonLTStd-Roman" w:hAnsi="Book Antiqua" w:cstheme="minorHAnsi"/>
          <w:sz w:val="24"/>
          <w:szCs w:val="24"/>
          <w:lang w:val="en-GB"/>
        </w:rPr>
        <w:t>naïve</w:t>
      </w:r>
      <w:proofErr w:type="gramEnd"/>
      <w:r w:rsidR="008239AA" w:rsidRPr="00CD4428">
        <w:rPr>
          <w:rFonts w:ascii="Book Antiqua" w:eastAsia="SabonLTStd-Roman" w:hAnsi="Book Antiqua" w:cstheme="minorHAnsi"/>
          <w:sz w:val="24"/>
          <w:szCs w:val="24"/>
          <w:lang w:val="en-GB"/>
        </w:rPr>
        <w:t>;</w:t>
      </w:r>
      <w:r w:rsidR="00347DAD" w:rsidRPr="00CD4428">
        <w:rPr>
          <w:rFonts w:ascii="Book Antiqua" w:eastAsia="SabonLTStd-Roman" w:hAnsi="Book Antiqua" w:cstheme="minorHAnsi"/>
          <w:sz w:val="24"/>
          <w:szCs w:val="24"/>
          <w:lang w:val="en-GB"/>
        </w:rPr>
        <w:t xml:space="preserve"> </w:t>
      </w:r>
      <w:r w:rsidR="004A3672" w:rsidRPr="00CD4428">
        <w:rPr>
          <w:rFonts w:ascii="Book Antiqua" w:eastAsia="SabonLTStd-Roman" w:hAnsi="Book Antiqua" w:cstheme="minorHAnsi"/>
          <w:sz w:val="24"/>
          <w:szCs w:val="24"/>
          <w:lang w:val="en-GB"/>
        </w:rPr>
        <w:t>however</w:t>
      </w:r>
      <w:r w:rsidR="008239AA" w:rsidRPr="00CD4428">
        <w:rPr>
          <w:rFonts w:ascii="Book Antiqua" w:eastAsia="SabonLTStd-Roman" w:hAnsi="Book Antiqua" w:cstheme="minorHAnsi"/>
          <w:sz w:val="24"/>
          <w:szCs w:val="24"/>
          <w:lang w:val="en-GB"/>
        </w:rPr>
        <w:t>,</w:t>
      </w:r>
      <w:r w:rsidR="004A3672" w:rsidRPr="00CD4428">
        <w:rPr>
          <w:rFonts w:ascii="Book Antiqua" w:eastAsia="SabonLTStd-Roman" w:hAnsi="Book Antiqua" w:cstheme="minorHAnsi"/>
          <w:sz w:val="24"/>
          <w:szCs w:val="24"/>
          <w:lang w:val="en-GB"/>
        </w:rPr>
        <w:t xml:space="preserve"> </w:t>
      </w:r>
      <w:r w:rsidRPr="00CD4428">
        <w:rPr>
          <w:rFonts w:ascii="Book Antiqua" w:eastAsia="SabonLTStd-Roman" w:hAnsi="Book Antiqua" w:cstheme="minorHAnsi"/>
          <w:sz w:val="24"/>
          <w:szCs w:val="24"/>
          <w:lang w:val="en-GB"/>
        </w:rPr>
        <w:t>slightly better outcomes were</w:t>
      </w:r>
      <w:r w:rsidR="00355D74" w:rsidRPr="00CD4428">
        <w:rPr>
          <w:rFonts w:ascii="Book Antiqua" w:eastAsia="SabonLTStd-Roman" w:hAnsi="Book Antiqua" w:cstheme="minorHAnsi"/>
          <w:sz w:val="24"/>
          <w:szCs w:val="24"/>
          <w:lang w:val="en-GB"/>
        </w:rPr>
        <w:t xml:space="preserve"> seen in</w:t>
      </w:r>
      <w:r w:rsidRPr="00CD4428">
        <w:rPr>
          <w:rFonts w:ascii="Book Antiqua" w:eastAsia="SabonLTStd-Roman" w:hAnsi="Book Antiqua" w:cstheme="minorHAnsi"/>
          <w:sz w:val="24"/>
          <w:szCs w:val="24"/>
          <w:lang w:val="en-GB"/>
        </w:rPr>
        <w:t xml:space="preserve"> </w:t>
      </w:r>
      <w:r w:rsidR="008239AA" w:rsidRPr="00CD4428">
        <w:rPr>
          <w:rFonts w:ascii="Book Antiqua" w:eastAsia="SabonLTStd-Roman" w:hAnsi="Book Antiqua" w:cstheme="minorHAnsi"/>
          <w:sz w:val="24"/>
          <w:szCs w:val="24"/>
          <w:lang w:val="en-GB"/>
        </w:rPr>
        <w:t xml:space="preserve">patients who were </w:t>
      </w:r>
      <w:r w:rsidRPr="00CD4428">
        <w:rPr>
          <w:rFonts w:ascii="Book Antiqua" w:eastAsia="SabonLTStd-Roman" w:hAnsi="Book Antiqua" w:cstheme="minorHAnsi"/>
          <w:sz w:val="24"/>
          <w:szCs w:val="24"/>
          <w:lang w:val="en-GB"/>
        </w:rPr>
        <w:t>TNF</w:t>
      </w:r>
      <w:r w:rsidR="00F77992" w:rsidRPr="00CD4428">
        <w:rPr>
          <w:rFonts w:ascii="Book Antiqua" w:eastAsia="SabonLTStd-Roman" w:hAnsi="Book Antiqua" w:cstheme="minorHAnsi"/>
          <w:sz w:val="24"/>
          <w:szCs w:val="24"/>
          <w:lang w:val="en-GB"/>
        </w:rPr>
        <w:t>α</w:t>
      </w:r>
      <w:r w:rsidRPr="00CD4428">
        <w:rPr>
          <w:rFonts w:ascii="Book Antiqua" w:eastAsia="SabonLTStd-Roman" w:hAnsi="Book Antiqua" w:cstheme="minorHAnsi"/>
          <w:sz w:val="24"/>
          <w:szCs w:val="24"/>
          <w:lang w:val="en-GB"/>
        </w:rPr>
        <w:t>-inhibitor</w:t>
      </w:r>
      <w:r w:rsidR="008239AA" w:rsidRPr="00CD4428">
        <w:rPr>
          <w:rFonts w:ascii="Book Antiqua" w:eastAsia="SabonLTStd-Roman" w:hAnsi="Book Antiqua" w:cstheme="minorHAnsi"/>
          <w:sz w:val="24"/>
          <w:szCs w:val="24"/>
          <w:lang w:val="en-GB"/>
        </w:rPr>
        <w:t>-</w:t>
      </w:r>
      <w:r w:rsidRPr="00CD4428">
        <w:rPr>
          <w:rFonts w:ascii="Book Antiqua" w:eastAsia="SabonLTStd-Roman" w:hAnsi="Book Antiqua" w:cstheme="minorHAnsi"/>
          <w:sz w:val="24"/>
          <w:szCs w:val="24"/>
          <w:lang w:val="en-GB"/>
        </w:rPr>
        <w:t>naïve.</w:t>
      </w:r>
      <w:r w:rsidR="00590110" w:rsidRPr="00CD4428">
        <w:rPr>
          <w:rFonts w:ascii="Book Antiqua" w:eastAsia="SabonLTStd-Roman" w:hAnsi="Book Antiqua" w:cstheme="minorHAnsi"/>
          <w:sz w:val="24"/>
          <w:szCs w:val="24"/>
          <w:lang w:val="en-GB"/>
        </w:rPr>
        <w:t xml:space="preserve"> </w:t>
      </w:r>
    </w:p>
    <w:p w14:paraId="62716188" w14:textId="77777777" w:rsidR="000A247A" w:rsidRPr="00CD4428" w:rsidRDefault="000A247A" w:rsidP="00E17439">
      <w:pPr>
        <w:autoSpaceDE w:val="0"/>
        <w:autoSpaceDN w:val="0"/>
        <w:adjustRightInd w:val="0"/>
        <w:snapToGrid w:val="0"/>
        <w:spacing w:after="0" w:line="360" w:lineRule="auto"/>
        <w:jc w:val="both"/>
        <w:rPr>
          <w:rFonts w:ascii="Book Antiqua" w:eastAsia="SabonLTStd-Roman" w:hAnsi="Book Antiqua" w:cstheme="minorHAnsi"/>
          <w:sz w:val="24"/>
          <w:szCs w:val="24"/>
          <w:lang w:val="en-GB"/>
        </w:rPr>
      </w:pPr>
    </w:p>
    <w:p w14:paraId="435BFCC2" w14:textId="3ED0A9DD" w:rsidR="00AA32AE" w:rsidRPr="00887C66" w:rsidRDefault="004E2888" w:rsidP="00E17439">
      <w:pPr>
        <w:autoSpaceDE w:val="0"/>
        <w:autoSpaceDN w:val="0"/>
        <w:adjustRightInd w:val="0"/>
        <w:snapToGrid w:val="0"/>
        <w:spacing w:after="0" w:line="360" w:lineRule="auto"/>
        <w:jc w:val="both"/>
        <w:rPr>
          <w:rFonts w:ascii="Book Antiqua" w:hAnsi="Book Antiqua" w:cstheme="minorHAnsi"/>
          <w:b/>
          <w:i/>
          <w:sz w:val="24"/>
          <w:szCs w:val="24"/>
          <w:lang w:val="en-GB" w:eastAsia="zh-CN"/>
        </w:rPr>
      </w:pPr>
      <w:proofErr w:type="spellStart"/>
      <w:r w:rsidRPr="00CD4428">
        <w:rPr>
          <w:rFonts w:ascii="Book Antiqua" w:eastAsia="SabonLTStd-Roman" w:hAnsi="Book Antiqua" w:cstheme="minorHAnsi"/>
          <w:b/>
          <w:i/>
          <w:sz w:val="24"/>
          <w:szCs w:val="24"/>
          <w:lang w:val="en-GB"/>
        </w:rPr>
        <w:t>Vedolizumab</w:t>
      </w:r>
      <w:proofErr w:type="spellEnd"/>
      <w:r w:rsidRPr="00CD4428">
        <w:rPr>
          <w:rFonts w:ascii="Book Antiqua" w:eastAsia="SabonLTStd-Roman" w:hAnsi="Book Antiqua" w:cstheme="minorHAnsi"/>
          <w:b/>
          <w:i/>
          <w:sz w:val="24"/>
          <w:szCs w:val="24"/>
          <w:lang w:val="en-GB"/>
        </w:rPr>
        <w:t xml:space="preserve"> in </w:t>
      </w:r>
      <w:r w:rsidR="002004F6" w:rsidRPr="00CD4428">
        <w:rPr>
          <w:rFonts w:ascii="Book Antiqua" w:eastAsia="SabonLTStd-Roman" w:hAnsi="Book Antiqua" w:cstheme="minorHAnsi"/>
          <w:b/>
          <w:i/>
          <w:sz w:val="24"/>
          <w:szCs w:val="24"/>
          <w:lang w:val="en-GB"/>
        </w:rPr>
        <w:t>CD</w:t>
      </w:r>
    </w:p>
    <w:p w14:paraId="018F7963" w14:textId="33F5256D" w:rsidR="00656291" w:rsidRPr="00CD4428" w:rsidRDefault="004C6CA1" w:rsidP="00E17439">
      <w:pPr>
        <w:autoSpaceDE w:val="0"/>
        <w:autoSpaceDN w:val="0"/>
        <w:adjustRightInd w:val="0"/>
        <w:snapToGrid w:val="0"/>
        <w:spacing w:after="0" w:line="360" w:lineRule="auto"/>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 xml:space="preserve">The efficacy of </w:t>
      </w:r>
      <w:proofErr w:type="spellStart"/>
      <w:r w:rsidRPr="00CD4428">
        <w:rPr>
          <w:rFonts w:ascii="Book Antiqua" w:eastAsia="SabonLTStd-Roman" w:hAnsi="Book Antiqua" w:cstheme="minorHAnsi"/>
          <w:sz w:val="24"/>
          <w:szCs w:val="24"/>
          <w:lang w:val="en-GB"/>
        </w:rPr>
        <w:t>vedolizumab</w:t>
      </w:r>
      <w:proofErr w:type="spellEnd"/>
      <w:r w:rsidRPr="00CD4428">
        <w:rPr>
          <w:rFonts w:ascii="Book Antiqua" w:eastAsia="SabonLTStd-Roman" w:hAnsi="Book Antiqua" w:cstheme="minorHAnsi"/>
          <w:sz w:val="24"/>
          <w:szCs w:val="24"/>
          <w:lang w:val="en-GB"/>
        </w:rPr>
        <w:t xml:space="preserve"> in </w:t>
      </w:r>
      <w:r w:rsidR="002004F6" w:rsidRPr="00CD4428">
        <w:rPr>
          <w:rFonts w:ascii="Book Antiqua" w:eastAsia="SabonLTStd-Roman" w:hAnsi="Book Antiqua" w:cstheme="minorHAnsi"/>
          <w:sz w:val="24"/>
          <w:szCs w:val="24"/>
          <w:lang w:val="en-GB"/>
        </w:rPr>
        <w:t xml:space="preserve">patients with moderately to severely active </w:t>
      </w:r>
      <w:r w:rsidRPr="00CD4428">
        <w:rPr>
          <w:rFonts w:ascii="Book Antiqua" w:eastAsia="SabonLTStd-Roman" w:hAnsi="Book Antiqua" w:cstheme="minorHAnsi"/>
          <w:sz w:val="24"/>
          <w:szCs w:val="24"/>
          <w:lang w:val="en-GB"/>
        </w:rPr>
        <w:t xml:space="preserve">CD </w:t>
      </w:r>
      <w:r w:rsidR="008239AA" w:rsidRPr="00CD4428">
        <w:rPr>
          <w:rFonts w:ascii="Book Antiqua" w:eastAsia="SabonLTStd-Roman" w:hAnsi="Book Antiqua" w:cstheme="minorHAnsi"/>
          <w:sz w:val="24"/>
          <w:szCs w:val="24"/>
          <w:lang w:val="en-GB"/>
        </w:rPr>
        <w:t>was</w:t>
      </w:r>
      <w:r w:rsidRPr="00CD4428">
        <w:rPr>
          <w:rFonts w:ascii="Book Antiqua" w:eastAsia="SabonLTStd-Roman" w:hAnsi="Book Antiqua" w:cstheme="minorHAnsi"/>
          <w:sz w:val="24"/>
          <w:szCs w:val="24"/>
          <w:lang w:val="en-GB"/>
        </w:rPr>
        <w:t xml:space="preserve"> demonstrated </w:t>
      </w:r>
      <w:r w:rsidR="008239AA" w:rsidRPr="00CD4428">
        <w:rPr>
          <w:rFonts w:ascii="Book Antiqua" w:eastAsia="SabonLTStd-Roman" w:hAnsi="Book Antiqua" w:cstheme="minorHAnsi"/>
          <w:sz w:val="24"/>
          <w:szCs w:val="24"/>
          <w:lang w:val="en-GB"/>
        </w:rPr>
        <w:t xml:space="preserve">in the </w:t>
      </w:r>
      <w:r w:rsidRPr="00CD4428">
        <w:rPr>
          <w:rFonts w:ascii="Book Antiqua" w:eastAsia="SabonLTStd-Roman" w:hAnsi="Book Antiqua" w:cstheme="minorHAnsi"/>
          <w:sz w:val="24"/>
          <w:szCs w:val="24"/>
          <w:lang w:val="en-GB"/>
        </w:rPr>
        <w:t>GEMINI</w:t>
      </w:r>
      <w:r w:rsidR="00A64CBA" w:rsidRPr="00CD4428">
        <w:rPr>
          <w:rFonts w:ascii="Book Antiqua" w:eastAsia="SabonLTStd-Roman" w:hAnsi="Book Antiqua" w:cstheme="minorHAnsi"/>
          <w:sz w:val="24"/>
          <w:szCs w:val="24"/>
          <w:lang w:val="en-GB"/>
        </w:rPr>
        <w:t xml:space="preserve"> </w:t>
      </w:r>
      <w:r w:rsidRPr="00CD4428">
        <w:rPr>
          <w:rFonts w:ascii="Book Antiqua" w:eastAsia="SabonLTStd-Roman" w:hAnsi="Book Antiqua" w:cstheme="minorHAnsi"/>
          <w:sz w:val="24"/>
          <w:szCs w:val="24"/>
          <w:lang w:val="en-GB"/>
        </w:rPr>
        <w:t>2 and GEMINI</w:t>
      </w:r>
      <w:r w:rsidR="00A64CBA" w:rsidRPr="00CD4428">
        <w:rPr>
          <w:rFonts w:ascii="Book Antiqua" w:eastAsia="SabonLTStd-Roman" w:hAnsi="Book Antiqua" w:cstheme="minorHAnsi"/>
          <w:sz w:val="24"/>
          <w:szCs w:val="24"/>
          <w:lang w:val="en-GB"/>
        </w:rPr>
        <w:t xml:space="preserve"> </w:t>
      </w:r>
      <w:r w:rsidRPr="00CD4428">
        <w:rPr>
          <w:rFonts w:ascii="Book Antiqua" w:eastAsia="SabonLTStd-Roman" w:hAnsi="Book Antiqua" w:cstheme="minorHAnsi"/>
          <w:sz w:val="24"/>
          <w:szCs w:val="24"/>
          <w:lang w:val="en-GB"/>
        </w:rPr>
        <w:t xml:space="preserve">3 clinical </w:t>
      </w:r>
      <w:proofErr w:type="gramStart"/>
      <w:r w:rsidRPr="00CD4428">
        <w:rPr>
          <w:rFonts w:ascii="Book Antiqua" w:eastAsia="SabonLTStd-Roman" w:hAnsi="Book Antiqua" w:cstheme="minorHAnsi"/>
          <w:sz w:val="24"/>
          <w:szCs w:val="24"/>
          <w:lang w:val="en-GB"/>
        </w:rPr>
        <w:t>trials</w:t>
      </w:r>
      <w:r w:rsidR="001D02D9" w:rsidRPr="00CD4428">
        <w:rPr>
          <w:rFonts w:ascii="Book Antiqua" w:eastAsia="SabonLTStd-Roman" w:hAnsi="Book Antiqua" w:cstheme="minorHAnsi"/>
          <w:sz w:val="24"/>
          <w:szCs w:val="24"/>
          <w:vertAlign w:val="superscript"/>
          <w:lang w:val="en-GB"/>
        </w:rPr>
        <w:t>[</w:t>
      </w:r>
      <w:proofErr w:type="gramEnd"/>
      <w:r w:rsidR="006B7B93" w:rsidRPr="00CD4428">
        <w:rPr>
          <w:rFonts w:ascii="Book Antiqua" w:eastAsia="SabonLTStd-Roman" w:hAnsi="Book Antiqua" w:cstheme="minorHAnsi"/>
          <w:sz w:val="24"/>
          <w:szCs w:val="24"/>
          <w:vertAlign w:val="superscript"/>
          <w:lang w:val="en-GB"/>
        </w:rPr>
        <w:t>11</w:t>
      </w:r>
      <w:r w:rsidR="001D02D9" w:rsidRPr="00CD4428">
        <w:rPr>
          <w:rFonts w:ascii="Book Antiqua" w:eastAsia="SabonLTStd-Roman" w:hAnsi="Book Antiqua" w:cstheme="minorHAnsi"/>
          <w:sz w:val="24"/>
          <w:szCs w:val="24"/>
          <w:vertAlign w:val="superscript"/>
          <w:lang w:val="en-GB"/>
        </w:rPr>
        <w:t>,</w:t>
      </w:r>
      <w:r w:rsidR="006B7B93" w:rsidRPr="00CD4428">
        <w:rPr>
          <w:rFonts w:ascii="Book Antiqua" w:eastAsia="SabonLTStd-Roman" w:hAnsi="Book Antiqua" w:cstheme="minorHAnsi"/>
          <w:sz w:val="24"/>
          <w:szCs w:val="24"/>
          <w:vertAlign w:val="superscript"/>
          <w:lang w:val="en-GB"/>
        </w:rPr>
        <w:t>12</w:t>
      </w:r>
      <w:r w:rsidR="001D02D9" w:rsidRPr="00CD4428">
        <w:rPr>
          <w:rFonts w:ascii="Book Antiqua" w:eastAsia="SabonLTStd-Roman" w:hAnsi="Book Antiqua" w:cstheme="minorHAnsi"/>
          <w:sz w:val="24"/>
          <w:szCs w:val="24"/>
          <w:vertAlign w:val="superscript"/>
          <w:lang w:val="en-GB"/>
        </w:rPr>
        <w:t>]</w:t>
      </w:r>
      <w:r w:rsidR="001D02D9" w:rsidRPr="00CD4428">
        <w:rPr>
          <w:rFonts w:ascii="Book Antiqua" w:eastAsia="SabonLTStd-Roman" w:hAnsi="Book Antiqua" w:cstheme="minorHAnsi"/>
          <w:sz w:val="24"/>
          <w:szCs w:val="24"/>
          <w:lang w:val="en-GB"/>
        </w:rPr>
        <w:t>.</w:t>
      </w:r>
      <w:r w:rsidR="002004F6" w:rsidRPr="00CD4428">
        <w:rPr>
          <w:rFonts w:ascii="Book Antiqua" w:eastAsia="SabonLTStd-Roman" w:hAnsi="Book Antiqua" w:cstheme="minorHAnsi"/>
          <w:sz w:val="24"/>
          <w:szCs w:val="24"/>
          <w:lang w:val="en-GB"/>
        </w:rPr>
        <w:t xml:space="preserve"> </w:t>
      </w:r>
      <w:r w:rsidR="00CB68DB" w:rsidRPr="00CD4428">
        <w:rPr>
          <w:rFonts w:ascii="Book Antiqua" w:eastAsia="SabonLTStd-Roman" w:hAnsi="Book Antiqua" w:cstheme="minorHAnsi"/>
          <w:sz w:val="24"/>
          <w:szCs w:val="24"/>
          <w:lang w:val="en-GB"/>
        </w:rPr>
        <w:t>In GEMINI</w:t>
      </w:r>
      <w:r w:rsidR="0084329B" w:rsidRPr="00CD4428">
        <w:rPr>
          <w:rFonts w:ascii="Book Antiqua" w:eastAsia="SabonLTStd-Roman" w:hAnsi="Book Antiqua" w:cstheme="minorHAnsi"/>
          <w:sz w:val="24"/>
          <w:szCs w:val="24"/>
          <w:lang w:val="en-GB"/>
        </w:rPr>
        <w:t>-</w:t>
      </w:r>
      <w:r w:rsidR="00CB68DB" w:rsidRPr="00CD4428">
        <w:rPr>
          <w:rFonts w:ascii="Book Antiqua" w:eastAsia="SabonLTStd-Roman" w:hAnsi="Book Antiqua" w:cstheme="minorHAnsi"/>
          <w:sz w:val="24"/>
          <w:szCs w:val="24"/>
          <w:lang w:val="en-GB"/>
        </w:rPr>
        <w:t>2</w:t>
      </w:r>
      <w:r w:rsidR="0084329B" w:rsidRPr="00CD4428">
        <w:rPr>
          <w:rFonts w:ascii="Book Antiqua" w:eastAsia="SabonLTStd-Roman" w:hAnsi="Book Antiqua" w:cstheme="minorHAnsi"/>
          <w:sz w:val="24"/>
          <w:szCs w:val="24"/>
          <w:lang w:val="en-GB"/>
        </w:rPr>
        <w:t xml:space="preserve">, </w:t>
      </w:r>
      <w:r w:rsidR="00DB43A2" w:rsidRPr="00CD4428">
        <w:rPr>
          <w:rFonts w:ascii="Book Antiqua" w:eastAsia="SabonLTStd-Roman" w:hAnsi="Book Antiqua" w:cstheme="minorHAnsi"/>
          <w:sz w:val="24"/>
          <w:szCs w:val="24"/>
          <w:lang w:val="en-GB"/>
        </w:rPr>
        <w:t>368</w:t>
      </w:r>
      <w:r w:rsidR="00CB68DB" w:rsidRPr="00CD4428">
        <w:rPr>
          <w:rFonts w:ascii="Book Antiqua" w:eastAsia="SabonLTStd-Roman" w:hAnsi="Book Antiqua" w:cstheme="minorHAnsi"/>
          <w:sz w:val="24"/>
          <w:szCs w:val="24"/>
          <w:lang w:val="en-GB"/>
        </w:rPr>
        <w:t xml:space="preserve"> patients were randomized</w:t>
      </w:r>
      <w:r w:rsidR="00DB43A2" w:rsidRPr="00CD4428">
        <w:rPr>
          <w:rFonts w:ascii="Book Antiqua" w:eastAsia="SabonLTStd-Roman" w:hAnsi="Book Antiqua" w:cstheme="minorHAnsi"/>
          <w:sz w:val="24"/>
          <w:szCs w:val="24"/>
          <w:lang w:val="en-GB"/>
        </w:rPr>
        <w:t xml:space="preserve"> </w:t>
      </w:r>
      <w:r w:rsidR="004E2888" w:rsidRPr="00CD4428">
        <w:rPr>
          <w:rFonts w:ascii="Book Antiqua" w:eastAsia="SabonLTStd-Roman" w:hAnsi="Book Antiqua" w:cstheme="minorHAnsi"/>
          <w:sz w:val="24"/>
          <w:szCs w:val="24"/>
          <w:lang w:val="en-GB"/>
        </w:rPr>
        <w:t>to</w:t>
      </w:r>
      <w:r w:rsidR="00DB43A2" w:rsidRPr="00CD4428">
        <w:rPr>
          <w:rFonts w:ascii="Book Antiqua" w:eastAsia="SabonLTStd-Roman" w:hAnsi="Book Antiqua" w:cstheme="minorHAnsi"/>
          <w:sz w:val="24"/>
          <w:szCs w:val="24"/>
          <w:lang w:val="en-GB"/>
        </w:rPr>
        <w:t xml:space="preserve"> receive either </w:t>
      </w:r>
      <w:proofErr w:type="spellStart"/>
      <w:r w:rsidR="00DB43A2" w:rsidRPr="00CD4428">
        <w:rPr>
          <w:rFonts w:ascii="Book Antiqua" w:eastAsia="SabonLTStd-Roman" w:hAnsi="Book Antiqua" w:cstheme="minorHAnsi"/>
          <w:sz w:val="24"/>
          <w:szCs w:val="24"/>
          <w:lang w:val="en-GB"/>
        </w:rPr>
        <w:t>vedolizumab</w:t>
      </w:r>
      <w:proofErr w:type="spellEnd"/>
      <w:r w:rsidR="00DB43A2" w:rsidRPr="00CD4428">
        <w:rPr>
          <w:rFonts w:ascii="Book Antiqua" w:eastAsia="SabonLTStd-Roman" w:hAnsi="Book Antiqua" w:cstheme="minorHAnsi"/>
          <w:sz w:val="24"/>
          <w:szCs w:val="24"/>
          <w:lang w:val="en-GB"/>
        </w:rPr>
        <w:t xml:space="preserve"> 300 mg </w:t>
      </w:r>
      <w:proofErr w:type="gramStart"/>
      <w:r w:rsidR="00DB43A2" w:rsidRPr="00CD4428">
        <w:rPr>
          <w:rFonts w:ascii="Book Antiqua" w:eastAsia="SabonLTStd-Roman" w:hAnsi="Book Antiqua" w:cstheme="minorHAnsi"/>
          <w:sz w:val="24"/>
          <w:szCs w:val="24"/>
          <w:lang w:val="en-GB"/>
        </w:rPr>
        <w:t>iv</w:t>
      </w:r>
      <w:proofErr w:type="gramEnd"/>
      <w:r w:rsidR="00DB43A2" w:rsidRPr="00CD4428">
        <w:rPr>
          <w:rFonts w:ascii="Book Antiqua" w:eastAsia="SabonLTStd-Roman" w:hAnsi="Book Antiqua" w:cstheme="minorHAnsi"/>
          <w:sz w:val="24"/>
          <w:szCs w:val="24"/>
          <w:lang w:val="en-GB"/>
        </w:rPr>
        <w:t xml:space="preserve"> or placebo at week 0 and week 2</w:t>
      </w:r>
      <w:r w:rsidR="001D02D9" w:rsidRPr="00CD4428">
        <w:rPr>
          <w:rFonts w:ascii="Book Antiqua" w:eastAsia="SabonLTStd-Roman" w:hAnsi="Book Antiqua" w:cstheme="minorHAnsi"/>
          <w:sz w:val="24"/>
          <w:szCs w:val="24"/>
          <w:vertAlign w:val="superscript"/>
          <w:lang w:val="en-GB"/>
        </w:rPr>
        <w:t>[</w:t>
      </w:r>
      <w:r w:rsidR="00E01056" w:rsidRPr="00CD4428">
        <w:rPr>
          <w:rFonts w:ascii="Book Antiqua" w:eastAsia="SabonLTStd-Roman" w:hAnsi="Book Antiqua" w:cstheme="minorHAnsi"/>
          <w:sz w:val="24"/>
          <w:szCs w:val="24"/>
          <w:vertAlign w:val="superscript"/>
          <w:lang w:val="en-GB"/>
        </w:rPr>
        <w:t>11</w:t>
      </w:r>
      <w:r w:rsidR="001D02D9" w:rsidRPr="00CD4428">
        <w:rPr>
          <w:rFonts w:ascii="Book Antiqua" w:eastAsia="SabonLTStd-Roman" w:hAnsi="Book Antiqua" w:cstheme="minorHAnsi"/>
          <w:sz w:val="24"/>
          <w:szCs w:val="24"/>
          <w:vertAlign w:val="superscript"/>
          <w:lang w:val="en-GB"/>
        </w:rPr>
        <w:t>]</w:t>
      </w:r>
      <w:r w:rsidR="001D02D9" w:rsidRPr="00CD4428">
        <w:rPr>
          <w:rFonts w:ascii="Book Antiqua" w:eastAsia="SabonLTStd-Roman" w:hAnsi="Book Antiqua" w:cstheme="minorHAnsi"/>
          <w:sz w:val="24"/>
          <w:szCs w:val="24"/>
          <w:lang w:val="en-GB"/>
        </w:rPr>
        <w:t>.</w:t>
      </w:r>
      <w:r w:rsidR="00590110" w:rsidRPr="00CD4428">
        <w:rPr>
          <w:rFonts w:ascii="Book Antiqua" w:eastAsia="SabonLTStd-Roman" w:hAnsi="Book Antiqua" w:cstheme="minorHAnsi"/>
          <w:sz w:val="24"/>
          <w:szCs w:val="24"/>
          <w:lang w:val="en-GB"/>
        </w:rPr>
        <w:t xml:space="preserve"> </w:t>
      </w:r>
      <w:r w:rsidR="002004F6" w:rsidRPr="00CD4428">
        <w:rPr>
          <w:rFonts w:ascii="Book Antiqua" w:eastAsia="SabonLTStd-Roman" w:hAnsi="Book Antiqua" w:cstheme="minorHAnsi"/>
          <w:sz w:val="24"/>
          <w:szCs w:val="24"/>
          <w:lang w:val="en-GB"/>
        </w:rPr>
        <w:t>A</w:t>
      </w:r>
      <w:r w:rsidR="00DB43A2" w:rsidRPr="00CD4428">
        <w:rPr>
          <w:rFonts w:ascii="Book Antiqua" w:eastAsia="SabonLTStd-Roman" w:hAnsi="Book Antiqua" w:cstheme="minorHAnsi"/>
          <w:sz w:val="24"/>
          <w:szCs w:val="24"/>
          <w:lang w:val="en-GB"/>
        </w:rPr>
        <w:t>ddition</w:t>
      </w:r>
      <w:r w:rsidR="002004F6" w:rsidRPr="00CD4428">
        <w:rPr>
          <w:rFonts w:ascii="Book Antiqua" w:eastAsia="SabonLTStd-Roman" w:hAnsi="Book Antiqua" w:cstheme="minorHAnsi"/>
          <w:sz w:val="24"/>
          <w:szCs w:val="24"/>
          <w:lang w:val="en-GB"/>
        </w:rPr>
        <w:t>ally</w:t>
      </w:r>
      <w:r w:rsidR="00DB43A2" w:rsidRPr="00CD4428">
        <w:rPr>
          <w:rFonts w:ascii="Book Antiqua" w:eastAsia="SabonLTStd-Roman" w:hAnsi="Book Antiqua" w:cstheme="minorHAnsi"/>
          <w:sz w:val="24"/>
          <w:szCs w:val="24"/>
          <w:lang w:val="en-GB"/>
        </w:rPr>
        <w:t xml:space="preserve">, as </w:t>
      </w:r>
      <w:r w:rsidR="0084329B" w:rsidRPr="00CD4428">
        <w:rPr>
          <w:rFonts w:ascii="Book Antiqua" w:eastAsia="SabonLTStd-Roman" w:hAnsi="Book Antiqua" w:cstheme="minorHAnsi"/>
          <w:sz w:val="24"/>
          <w:szCs w:val="24"/>
          <w:lang w:val="en-GB"/>
        </w:rPr>
        <w:t xml:space="preserve">in the </w:t>
      </w:r>
      <w:r w:rsidR="00DB43A2" w:rsidRPr="00CD4428">
        <w:rPr>
          <w:rFonts w:ascii="Book Antiqua" w:eastAsia="SabonLTStd-Roman" w:hAnsi="Book Antiqua" w:cstheme="minorHAnsi"/>
          <w:sz w:val="24"/>
          <w:szCs w:val="24"/>
          <w:lang w:val="en-GB"/>
        </w:rPr>
        <w:t>GEMINI 1</w:t>
      </w:r>
      <w:r w:rsidR="00EC6517" w:rsidRPr="00CD4428">
        <w:rPr>
          <w:rFonts w:ascii="Book Antiqua" w:eastAsia="SabonLTStd-Roman" w:hAnsi="Book Antiqua" w:cstheme="minorHAnsi"/>
          <w:sz w:val="24"/>
          <w:szCs w:val="24"/>
          <w:lang w:val="en-GB"/>
        </w:rPr>
        <w:t xml:space="preserve"> trial</w:t>
      </w:r>
      <w:r w:rsidR="00DB43A2" w:rsidRPr="00CD4428">
        <w:rPr>
          <w:rFonts w:ascii="Book Antiqua" w:eastAsia="SabonLTStd-Roman" w:hAnsi="Book Antiqua" w:cstheme="minorHAnsi"/>
          <w:sz w:val="24"/>
          <w:szCs w:val="24"/>
          <w:lang w:val="en-GB"/>
        </w:rPr>
        <w:t xml:space="preserve">, a second cohort of 747 subjects </w:t>
      </w:r>
      <w:proofErr w:type="gramStart"/>
      <w:r w:rsidR="00DB43A2" w:rsidRPr="00CD4428">
        <w:rPr>
          <w:rFonts w:ascii="Book Antiqua" w:eastAsia="SabonLTStd-Roman" w:hAnsi="Book Antiqua" w:cstheme="minorHAnsi"/>
          <w:sz w:val="24"/>
          <w:szCs w:val="24"/>
          <w:lang w:val="en-GB"/>
        </w:rPr>
        <w:t>was treated</w:t>
      </w:r>
      <w:proofErr w:type="gramEnd"/>
      <w:r w:rsidR="00DB43A2" w:rsidRPr="00CD4428">
        <w:rPr>
          <w:rFonts w:ascii="Book Antiqua" w:eastAsia="SabonLTStd-Roman" w:hAnsi="Book Antiqua" w:cstheme="minorHAnsi"/>
          <w:sz w:val="24"/>
          <w:szCs w:val="24"/>
          <w:lang w:val="en-GB"/>
        </w:rPr>
        <w:t xml:space="preserve"> with </w:t>
      </w:r>
      <w:proofErr w:type="spellStart"/>
      <w:r w:rsidR="00DB43A2" w:rsidRPr="00CD4428">
        <w:rPr>
          <w:rFonts w:ascii="Book Antiqua" w:eastAsia="SabonLTStd-Roman" w:hAnsi="Book Antiqua" w:cstheme="minorHAnsi"/>
          <w:sz w:val="24"/>
          <w:szCs w:val="24"/>
          <w:lang w:val="en-GB"/>
        </w:rPr>
        <w:t>vedolizumab</w:t>
      </w:r>
      <w:proofErr w:type="spellEnd"/>
      <w:r w:rsidR="00DB43A2" w:rsidRPr="00CD4428">
        <w:rPr>
          <w:rFonts w:ascii="Book Antiqua" w:eastAsia="SabonLTStd-Roman" w:hAnsi="Book Antiqua" w:cstheme="minorHAnsi"/>
          <w:sz w:val="24"/>
          <w:szCs w:val="24"/>
          <w:lang w:val="en-GB"/>
        </w:rPr>
        <w:t xml:space="preserve"> in an open-label fashion. </w:t>
      </w:r>
      <w:proofErr w:type="gramStart"/>
      <w:r w:rsidR="007B26F0" w:rsidRPr="00CD4428">
        <w:rPr>
          <w:rFonts w:ascii="Book Antiqua" w:eastAsia="SabonLTStd-Roman" w:hAnsi="Book Antiqua" w:cstheme="minorHAnsi"/>
          <w:sz w:val="24"/>
          <w:szCs w:val="24"/>
          <w:lang w:val="en-GB"/>
        </w:rPr>
        <w:t>All patients enrolled had active disease defined by a Crohn’</w:t>
      </w:r>
      <w:r w:rsidR="00887C66">
        <w:rPr>
          <w:rFonts w:ascii="Book Antiqua" w:eastAsia="SabonLTStd-Roman" w:hAnsi="Book Antiqua" w:cstheme="minorHAnsi"/>
          <w:sz w:val="24"/>
          <w:szCs w:val="24"/>
          <w:lang w:val="en-GB"/>
        </w:rPr>
        <w:t>s Disease Activity Index (CDAI)</w:t>
      </w:r>
      <w:r w:rsidR="001D02D9" w:rsidRPr="00CD4428">
        <w:rPr>
          <w:rFonts w:ascii="Book Antiqua" w:eastAsia="SabonLTStd-Roman" w:hAnsi="Book Antiqua" w:cstheme="minorHAnsi"/>
          <w:sz w:val="24"/>
          <w:szCs w:val="24"/>
          <w:vertAlign w:val="superscript"/>
          <w:lang w:val="en-GB"/>
        </w:rPr>
        <w:t>[</w:t>
      </w:r>
      <w:r w:rsidR="00834467" w:rsidRPr="00CD4428">
        <w:rPr>
          <w:rFonts w:ascii="Book Antiqua" w:eastAsia="SabonLTStd-Roman" w:hAnsi="Book Antiqua" w:cstheme="minorHAnsi"/>
          <w:sz w:val="24"/>
          <w:szCs w:val="24"/>
          <w:vertAlign w:val="superscript"/>
          <w:lang w:val="en-GB"/>
        </w:rPr>
        <w:t>30</w:t>
      </w:r>
      <w:r w:rsidR="001D02D9" w:rsidRPr="00CD4428">
        <w:rPr>
          <w:rFonts w:ascii="Book Antiqua" w:eastAsia="SabonLTStd-Roman" w:hAnsi="Book Antiqua" w:cstheme="minorHAnsi"/>
          <w:sz w:val="24"/>
          <w:szCs w:val="24"/>
          <w:vertAlign w:val="superscript"/>
          <w:lang w:val="en-GB"/>
        </w:rPr>
        <w:t>]</w:t>
      </w:r>
      <w:r w:rsidR="001D02D9" w:rsidRPr="00CD4428">
        <w:rPr>
          <w:rFonts w:ascii="Book Antiqua" w:eastAsia="SabonLTStd-Roman" w:hAnsi="Book Antiqua" w:cstheme="minorHAnsi"/>
          <w:sz w:val="24"/>
          <w:szCs w:val="24"/>
          <w:lang w:val="en-GB"/>
        </w:rPr>
        <w:t xml:space="preserve"> </w:t>
      </w:r>
      <w:r w:rsidR="007B26F0" w:rsidRPr="00CD4428">
        <w:rPr>
          <w:rFonts w:ascii="Book Antiqua" w:eastAsia="SabonLTStd-Roman" w:hAnsi="Book Antiqua" w:cstheme="minorHAnsi"/>
          <w:sz w:val="24"/>
          <w:szCs w:val="24"/>
          <w:lang w:val="en-GB"/>
        </w:rPr>
        <w:t>of 220-450, and had one of the following:</w:t>
      </w:r>
      <w:r w:rsidR="00590110" w:rsidRPr="00CD4428">
        <w:rPr>
          <w:rFonts w:ascii="Book Antiqua" w:eastAsia="SabonLTStd-Roman" w:hAnsi="Book Antiqua" w:cstheme="minorHAnsi"/>
          <w:sz w:val="24"/>
          <w:szCs w:val="24"/>
          <w:lang w:val="en-GB"/>
        </w:rPr>
        <w:t xml:space="preserve"> </w:t>
      </w:r>
      <w:r w:rsidR="00484B23" w:rsidRPr="00CD4428">
        <w:rPr>
          <w:rFonts w:ascii="Book Antiqua" w:eastAsia="SabonLTStd-Roman" w:hAnsi="Book Antiqua" w:cstheme="minorHAnsi"/>
          <w:sz w:val="24"/>
          <w:szCs w:val="24"/>
          <w:lang w:val="en-GB"/>
        </w:rPr>
        <w:t>serum C-reactive protein (CRP) &gt; 2.87 mg/</w:t>
      </w:r>
      <w:r w:rsidR="005F37A2" w:rsidRPr="00CD4428">
        <w:rPr>
          <w:rFonts w:ascii="Book Antiqua" w:eastAsia="SabonLTStd-Roman" w:hAnsi="Book Antiqua" w:cstheme="minorHAnsi"/>
          <w:sz w:val="24"/>
          <w:szCs w:val="24"/>
          <w:lang w:val="en-GB"/>
        </w:rPr>
        <w:t>L or</w:t>
      </w:r>
      <w:r w:rsidR="00484B23" w:rsidRPr="00CD4428">
        <w:rPr>
          <w:rFonts w:ascii="Book Antiqua" w:eastAsia="SabonLTStd-Roman" w:hAnsi="Book Antiqua" w:cstheme="minorHAnsi"/>
          <w:sz w:val="24"/>
          <w:szCs w:val="24"/>
          <w:lang w:val="en-GB"/>
        </w:rPr>
        <w:t xml:space="preserve"> </w:t>
      </w:r>
      <w:proofErr w:type="spellStart"/>
      <w:r w:rsidR="002A5EB5" w:rsidRPr="00CD4428">
        <w:rPr>
          <w:rFonts w:ascii="Book Antiqua" w:eastAsia="SabonLTStd-Roman" w:hAnsi="Book Antiqua" w:cstheme="minorHAnsi"/>
          <w:sz w:val="24"/>
          <w:szCs w:val="24"/>
          <w:lang w:val="en-GB"/>
        </w:rPr>
        <w:t>colonoscopic</w:t>
      </w:r>
      <w:proofErr w:type="spellEnd"/>
      <w:r w:rsidR="002A5EB5" w:rsidRPr="00CD4428">
        <w:rPr>
          <w:rFonts w:ascii="Book Antiqua" w:eastAsia="SabonLTStd-Roman" w:hAnsi="Book Antiqua" w:cstheme="minorHAnsi"/>
          <w:sz w:val="24"/>
          <w:szCs w:val="24"/>
          <w:lang w:val="en-GB"/>
        </w:rPr>
        <w:t xml:space="preserve"> </w:t>
      </w:r>
      <w:r w:rsidR="005F37A2" w:rsidRPr="00CD4428">
        <w:rPr>
          <w:rFonts w:ascii="Book Antiqua" w:eastAsia="SabonLTStd-Roman" w:hAnsi="Book Antiqua" w:cstheme="minorHAnsi"/>
          <w:sz w:val="24"/>
          <w:szCs w:val="24"/>
          <w:lang w:val="en-GB"/>
        </w:rPr>
        <w:t>documentation</w:t>
      </w:r>
      <w:r w:rsidR="002A5EB5" w:rsidRPr="00CD4428">
        <w:rPr>
          <w:rFonts w:ascii="Book Antiqua" w:eastAsia="SabonLTStd-Roman" w:hAnsi="Book Antiqua" w:cstheme="minorHAnsi"/>
          <w:sz w:val="24"/>
          <w:szCs w:val="24"/>
          <w:lang w:val="en-GB"/>
        </w:rPr>
        <w:t xml:space="preserve"> showing </w:t>
      </w:r>
      <w:r w:rsidR="005F37A2" w:rsidRPr="00CD4428">
        <w:rPr>
          <w:rFonts w:ascii="Book Antiqua" w:eastAsia="SabonLTStd-Roman" w:hAnsi="Book Antiqua" w:cstheme="minorHAnsi"/>
          <w:sz w:val="24"/>
          <w:szCs w:val="24"/>
          <w:lang w:val="en-GB"/>
        </w:rPr>
        <w:t xml:space="preserve">≥ </w:t>
      </w:r>
      <w:r w:rsidR="002A5EB5" w:rsidRPr="00CD4428">
        <w:rPr>
          <w:rFonts w:ascii="Book Antiqua" w:eastAsia="SabonLTStd-Roman" w:hAnsi="Book Antiqua" w:cstheme="minorHAnsi"/>
          <w:sz w:val="24"/>
          <w:szCs w:val="24"/>
          <w:lang w:val="en-GB"/>
        </w:rPr>
        <w:t xml:space="preserve">3 large ulcers or </w:t>
      </w:r>
      <w:r w:rsidR="005F37A2" w:rsidRPr="00CD4428">
        <w:rPr>
          <w:rFonts w:ascii="Book Antiqua" w:eastAsia="SabonLTStd-Roman" w:hAnsi="Book Antiqua" w:cstheme="minorHAnsi"/>
          <w:sz w:val="24"/>
          <w:szCs w:val="24"/>
          <w:lang w:val="en-GB"/>
        </w:rPr>
        <w:t xml:space="preserve">≥ </w:t>
      </w:r>
      <w:r w:rsidR="002A5EB5" w:rsidRPr="00CD4428">
        <w:rPr>
          <w:rFonts w:ascii="Book Antiqua" w:eastAsia="SabonLTStd-Roman" w:hAnsi="Book Antiqua" w:cstheme="minorHAnsi"/>
          <w:sz w:val="24"/>
          <w:szCs w:val="24"/>
          <w:lang w:val="en-GB"/>
        </w:rPr>
        <w:t xml:space="preserve">10 </w:t>
      </w:r>
      <w:proofErr w:type="spellStart"/>
      <w:r w:rsidR="002A5EB5" w:rsidRPr="00CD4428">
        <w:rPr>
          <w:rFonts w:ascii="Book Antiqua" w:eastAsia="SabonLTStd-Roman" w:hAnsi="Book Antiqua" w:cstheme="minorHAnsi"/>
          <w:sz w:val="24"/>
          <w:szCs w:val="24"/>
          <w:lang w:val="en-GB"/>
        </w:rPr>
        <w:t>aphthous</w:t>
      </w:r>
      <w:proofErr w:type="spellEnd"/>
      <w:r w:rsidR="002A5EB5" w:rsidRPr="00CD4428">
        <w:rPr>
          <w:rFonts w:ascii="Book Antiqua" w:eastAsia="SabonLTStd-Roman" w:hAnsi="Book Antiqua" w:cstheme="minorHAnsi"/>
          <w:sz w:val="24"/>
          <w:szCs w:val="24"/>
          <w:lang w:val="en-GB"/>
        </w:rPr>
        <w:t xml:space="preserve"> ulcers, or f</w:t>
      </w:r>
      <w:r w:rsidR="00B675F1" w:rsidRPr="00CD4428">
        <w:rPr>
          <w:rFonts w:ascii="Book Antiqua" w:eastAsia="SabonLTStd-Roman" w:hAnsi="Book Antiqua" w:cstheme="minorHAnsi"/>
          <w:sz w:val="24"/>
          <w:szCs w:val="24"/>
          <w:lang w:val="en-GB"/>
        </w:rPr>
        <w:t>a</w:t>
      </w:r>
      <w:r w:rsidR="002A5EB5" w:rsidRPr="00CD4428">
        <w:rPr>
          <w:rFonts w:ascii="Book Antiqua" w:eastAsia="SabonLTStd-Roman" w:hAnsi="Book Antiqua" w:cstheme="minorHAnsi"/>
          <w:sz w:val="24"/>
          <w:szCs w:val="24"/>
          <w:lang w:val="en-GB"/>
        </w:rPr>
        <w:t>ecal calprotectin concentrations</w:t>
      </w:r>
      <w:r w:rsidR="00DE686E" w:rsidRPr="00CD4428">
        <w:rPr>
          <w:rFonts w:ascii="Book Antiqua" w:eastAsia="SabonLTStd-Roman" w:hAnsi="Book Antiqua" w:cstheme="minorHAnsi"/>
          <w:sz w:val="24"/>
          <w:szCs w:val="24"/>
          <w:lang w:val="en-GB"/>
        </w:rPr>
        <w:t xml:space="preserve"> &gt;</w:t>
      </w:r>
      <w:r w:rsidR="002A5EB5" w:rsidRPr="00CD4428">
        <w:rPr>
          <w:rFonts w:ascii="Book Antiqua" w:eastAsia="SabonLTStd-Roman" w:hAnsi="Book Antiqua" w:cstheme="minorHAnsi"/>
          <w:sz w:val="24"/>
          <w:szCs w:val="24"/>
          <w:lang w:val="en-GB"/>
        </w:rPr>
        <w:t xml:space="preserve"> 250 </w:t>
      </w:r>
      <w:proofErr w:type="spellStart"/>
      <w:r w:rsidR="002A5EB5" w:rsidRPr="00CD4428">
        <w:rPr>
          <w:rFonts w:ascii="Book Antiqua" w:eastAsia="SabonLTStd-Roman" w:hAnsi="Book Antiqua" w:cstheme="minorHAnsi"/>
          <w:sz w:val="24"/>
          <w:szCs w:val="24"/>
          <w:lang w:val="en-GB"/>
        </w:rPr>
        <w:t>μg</w:t>
      </w:r>
      <w:proofErr w:type="spellEnd"/>
      <w:r w:rsidR="00DE686E" w:rsidRPr="00CD4428">
        <w:rPr>
          <w:rFonts w:ascii="Book Antiqua" w:eastAsia="SabonLTStd-Roman" w:hAnsi="Book Antiqua" w:cstheme="minorHAnsi"/>
          <w:sz w:val="24"/>
          <w:szCs w:val="24"/>
          <w:lang w:val="en-GB"/>
        </w:rPr>
        <w:t>/</w:t>
      </w:r>
      <w:r w:rsidR="002A5EB5" w:rsidRPr="00CD4428">
        <w:rPr>
          <w:rFonts w:ascii="Book Antiqua" w:eastAsia="SabonLTStd-Roman" w:hAnsi="Book Antiqua" w:cstheme="minorHAnsi"/>
          <w:sz w:val="24"/>
          <w:szCs w:val="24"/>
          <w:lang w:val="en-GB"/>
        </w:rPr>
        <w:t xml:space="preserve">g </w:t>
      </w:r>
      <w:r w:rsidR="005F37A2" w:rsidRPr="00CD4428">
        <w:rPr>
          <w:rFonts w:ascii="Book Antiqua" w:eastAsia="SabonLTStd-Roman" w:hAnsi="Book Antiqua" w:cstheme="minorHAnsi"/>
          <w:sz w:val="24"/>
          <w:szCs w:val="24"/>
          <w:lang w:val="en-GB"/>
        </w:rPr>
        <w:t xml:space="preserve">in conjunction with </w:t>
      </w:r>
      <w:r w:rsidR="002A5EB5" w:rsidRPr="00CD4428">
        <w:rPr>
          <w:rFonts w:ascii="Book Antiqua" w:eastAsia="SabonLTStd-Roman" w:hAnsi="Book Antiqua" w:cstheme="minorHAnsi"/>
          <w:sz w:val="24"/>
          <w:szCs w:val="24"/>
          <w:lang w:val="en-GB"/>
        </w:rPr>
        <w:t xml:space="preserve">computed tomography or magnetic resonance </w:t>
      </w:r>
      <w:proofErr w:type="spellStart"/>
      <w:r w:rsidR="002A5EB5" w:rsidRPr="00CD4428">
        <w:rPr>
          <w:rFonts w:ascii="Book Antiqua" w:eastAsia="SabonLTStd-Roman" w:hAnsi="Book Antiqua" w:cstheme="minorHAnsi"/>
          <w:sz w:val="24"/>
          <w:szCs w:val="24"/>
          <w:lang w:val="en-GB"/>
        </w:rPr>
        <w:t>enterography</w:t>
      </w:r>
      <w:proofErr w:type="spellEnd"/>
      <w:r w:rsidR="002A5EB5" w:rsidRPr="00CD4428">
        <w:rPr>
          <w:rFonts w:ascii="Book Antiqua" w:eastAsia="SabonLTStd-Roman" w:hAnsi="Book Antiqua" w:cstheme="minorHAnsi"/>
          <w:sz w:val="24"/>
          <w:szCs w:val="24"/>
          <w:lang w:val="en-GB"/>
        </w:rPr>
        <w:t>, small-bowel radiography, or capsule endoscopy</w:t>
      </w:r>
      <w:r w:rsidR="005F37A2" w:rsidRPr="00CD4428">
        <w:rPr>
          <w:rFonts w:ascii="Book Antiqua" w:eastAsia="SabonLTStd-Roman" w:hAnsi="Book Antiqua" w:cstheme="minorHAnsi"/>
          <w:sz w:val="24"/>
          <w:szCs w:val="24"/>
          <w:lang w:val="en-GB"/>
        </w:rPr>
        <w:t xml:space="preserve"> revealing Crohn’s ulcers</w:t>
      </w:r>
      <w:r w:rsidR="002A5EB5" w:rsidRPr="00CD4428">
        <w:rPr>
          <w:rFonts w:ascii="Book Antiqua" w:eastAsia="SabonLTStd-Roman" w:hAnsi="Book Antiqua" w:cstheme="minorHAnsi"/>
          <w:sz w:val="24"/>
          <w:szCs w:val="24"/>
          <w:lang w:val="en-GB"/>
        </w:rPr>
        <w:t>.</w:t>
      </w:r>
      <w:proofErr w:type="gramEnd"/>
      <w:r w:rsidR="002A5EB5" w:rsidRPr="00CD4428">
        <w:rPr>
          <w:rFonts w:ascii="Book Antiqua" w:eastAsia="SabonLTStd-Roman" w:hAnsi="Book Antiqua" w:cstheme="minorHAnsi"/>
          <w:sz w:val="24"/>
          <w:szCs w:val="24"/>
          <w:lang w:val="en-GB"/>
        </w:rPr>
        <w:t xml:space="preserve"> Eligible patients had no response to or unacceptable adverse events from steroids, immunosuppressive drugs, or anti-TNF</w:t>
      </w:r>
      <w:r w:rsidR="007444A0" w:rsidRPr="00CD4428">
        <w:rPr>
          <w:rFonts w:ascii="Book Antiqua" w:eastAsia="SabonLTStd-Roman" w:hAnsi="Book Antiqua" w:cstheme="minorHAnsi"/>
          <w:sz w:val="24"/>
          <w:szCs w:val="24"/>
          <w:lang w:val="en-GB"/>
        </w:rPr>
        <w:t>α</w:t>
      </w:r>
      <w:r w:rsidR="002A5EB5" w:rsidRPr="00CD4428">
        <w:rPr>
          <w:rFonts w:ascii="Book Antiqua" w:eastAsia="SabonLTStd-Roman" w:hAnsi="Book Antiqua" w:cstheme="minorHAnsi"/>
          <w:sz w:val="24"/>
          <w:szCs w:val="24"/>
          <w:lang w:val="en-GB"/>
        </w:rPr>
        <w:t xml:space="preserve"> drugs.</w:t>
      </w:r>
    </w:p>
    <w:p w14:paraId="783085DB" w14:textId="7A428ED0" w:rsidR="00AA32AE" w:rsidRPr="00CD4428" w:rsidRDefault="00B97ECC" w:rsidP="00887C66">
      <w:pPr>
        <w:autoSpaceDE w:val="0"/>
        <w:autoSpaceDN w:val="0"/>
        <w:adjustRightInd w:val="0"/>
        <w:snapToGrid w:val="0"/>
        <w:spacing w:after="0" w:line="360" w:lineRule="auto"/>
        <w:ind w:firstLineChars="100" w:firstLine="24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 xml:space="preserve">Two </w:t>
      </w:r>
      <w:proofErr w:type="spellStart"/>
      <w:r w:rsidR="001E1BB7" w:rsidRPr="00CD4428">
        <w:rPr>
          <w:rFonts w:ascii="Book Antiqua" w:eastAsia="SabonLTStd-Roman" w:hAnsi="Book Antiqua" w:cstheme="minorHAnsi"/>
          <w:sz w:val="24"/>
          <w:szCs w:val="24"/>
          <w:lang w:val="en-GB"/>
        </w:rPr>
        <w:t>co</w:t>
      </w:r>
      <w:r w:rsidRPr="00CD4428">
        <w:rPr>
          <w:rFonts w:ascii="Book Antiqua" w:eastAsia="SabonLTStd-Roman" w:hAnsi="Book Antiqua" w:cstheme="minorHAnsi"/>
          <w:sz w:val="24"/>
          <w:szCs w:val="24"/>
          <w:lang w:val="en-GB"/>
        </w:rPr>
        <w:t>primary</w:t>
      </w:r>
      <w:proofErr w:type="spellEnd"/>
      <w:r w:rsidRPr="00CD4428">
        <w:rPr>
          <w:rFonts w:ascii="Book Antiqua" w:eastAsia="SabonLTStd-Roman" w:hAnsi="Book Antiqua" w:cstheme="minorHAnsi"/>
          <w:sz w:val="24"/>
          <w:szCs w:val="24"/>
          <w:lang w:val="en-GB"/>
        </w:rPr>
        <w:t xml:space="preserve"> endpoints in the </w:t>
      </w:r>
      <w:r w:rsidR="00CC1DC6" w:rsidRPr="00CD4428">
        <w:rPr>
          <w:rFonts w:ascii="Book Antiqua" w:eastAsia="SabonLTStd-Roman" w:hAnsi="Book Antiqua" w:cstheme="minorHAnsi"/>
          <w:sz w:val="24"/>
          <w:szCs w:val="24"/>
          <w:lang w:val="en-GB"/>
        </w:rPr>
        <w:t xml:space="preserve">induction </w:t>
      </w:r>
      <w:r w:rsidRPr="00CD4428">
        <w:rPr>
          <w:rFonts w:ascii="Book Antiqua" w:eastAsia="SabonLTStd-Roman" w:hAnsi="Book Antiqua" w:cstheme="minorHAnsi"/>
          <w:sz w:val="24"/>
          <w:szCs w:val="24"/>
          <w:lang w:val="en-GB"/>
        </w:rPr>
        <w:t xml:space="preserve">trial, clinical remission and CDA-100 response, </w:t>
      </w:r>
      <w:proofErr w:type="gramStart"/>
      <w:r w:rsidRPr="00CD4428">
        <w:rPr>
          <w:rFonts w:ascii="Book Antiqua" w:eastAsia="SabonLTStd-Roman" w:hAnsi="Book Antiqua" w:cstheme="minorHAnsi"/>
          <w:sz w:val="24"/>
          <w:szCs w:val="24"/>
          <w:lang w:val="en-GB"/>
        </w:rPr>
        <w:t>were evaluated</w:t>
      </w:r>
      <w:proofErr w:type="gramEnd"/>
      <w:r w:rsidRPr="00CD4428">
        <w:rPr>
          <w:rFonts w:ascii="Book Antiqua" w:eastAsia="SabonLTStd-Roman" w:hAnsi="Book Antiqua" w:cstheme="minorHAnsi"/>
          <w:sz w:val="24"/>
          <w:szCs w:val="24"/>
          <w:lang w:val="en-GB"/>
        </w:rPr>
        <w:t xml:space="preserve"> at week 6.</w:t>
      </w:r>
      <w:r w:rsidR="00590110" w:rsidRPr="00CD4428">
        <w:rPr>
          <w:rFonts w:ascii="Book Antiqua" w:eastAsia="SabonLTStd-Roman" w:hAnsi="Book Antiqua" w:cstheme="minorHAnsi"/>
          <w:sz w:val="24"/>
          <w:szCs w:val="24"/>
          <w:lang w:val="en-GB"/>
        </w:rPr>
        <w:t xml:space="preserve"> </w:t>
      </w:r>
      <w:r w:rsidRPr="00CD4428">
        <w:rPr>
          <w:rFonts w:ascii="Book Antiqua" w:eastAsia="SabonLTStd-Roman" w:hAnsi="Book Antiqua" w:cstheme="minorHAnsi"/>
          <w:sz w:val="24"/>
          <w:szCs w:val="24"/>
          <w:lang w:val="en-GB"/>
        </w:rPr>
        <w:t xml:space="preserve">A significantly greater proportion of patients receiving </w:t>
      </w:r>
      <w:proofErr w:type="spellStart"/>
      <w:r w:rsidRPr="00CD4428">
        <w:rPr>
          <w:rFonts w:ascii="Book Antiqua" w:eastAsia="SabonLTStd-Roman" w:hAnsi="Book Antiqua" w:cstheme="minorHAnsi"/>
          <w:sz w:val="24"/>
          <w:szCs w:val="24"/>
          <w:lang w:val="en-GB"/>
        </w:rPr>
        <w:t>vedolizumab</w:t>
      </w:r>
      <w:proofErr w:type="spellEnd"/>
      <w:r w:rsidRPr="00CD4428">
        <w:rPr>
          <w:rFonts w:ascii="Book Antiqua" w:eastAsia="SabonLTStd-Roman" w:hAnsi="Book Antiqua" w:cstheme="minorHAnsi"/>
          <w:sz w:val="24"/>
          <w:szCs w:val="24"/>
          <w:lang w:val="en-GB"/>
        </w:rPr>
        <w:t xml:space="preserve"> achieved clinical remission at 6 weeks</w:t>
      </w:r>
      <w:r w:rsidR="00CC1DC6" w:rsidRPr="00CD4428">
        <w:rPr>
          <w:rFonts w:ascii="Book Antiqua" w:eastAsia="SabonLTStd-Roman" w:hAnsi="Book Antiqua" w:cstheme="minorHAnsi"/>
          <w:sz w:val="24"/>
          <w:szCs w:val="24"/>
          <w:lang w:val="en-GB"/>
        </w:rPr>
        <w:t xml:space="preserve"> with</w:t>
      </w:r>
      <w:r w:rsidRPr="00CD4428">
        <w:rPr>
          <w:rFonts w:ascii="Book Antiqua" w:eastAsia="SabonLTStd-Roman" w:hAnsi="Book Antiqua" w:cstheme="minorHAnsi"/>
          <w:sz w:val="24"/>
          <w:szCs w:val="24"/>
          <w:lang w:val="en-GB"/>
        </w:rPr>
        <w:t xml:space="preserve"> respect to the placebo group (14.5% </w:t>
      </w:r>
      <w:r w:rsidRPr="006B2B5A">
        <w:rPr>
          <w:rFonts w:ascii="Book Antiqua" w:eastAsia="SabonLTStd-Roman" w:hAnsi="Book Antiqua" w:cstheme="minorHAnsi"/>
          <w:i/>
          <w:sz w:val="24"/>
          <w:szCs w:val="24"/>
          <w:lang w:val="en-GB"/>
        </w:rPr>
        <w:t>vs</w:t>
      </w:r>
      <w:r w:rsidRPr="00CD4428">
        <w:rPr>
          <w:rFonts w:ascii="Book Antiqua" w:eastAsia="SabonLTStd-Roman" w:hAnsi="Book Antiqua" w:cstheme="minorHAnsi"/>
          <w:sz w:val="24"/>
          <w:szCs w:val="24"/>
          <w:lang w:val="en-GB"/>
        </w:rPr>
        <w:t xml:space="preserve"> 6.8%; </w:t>
      </w:r>
      <w:r w:rsidRPr="006B2B5A">
        <w:rPr>
          <w:rFonts w:ascii="Book Antiqua" w:eastAsia="SabonLTStd-Roman" w:hAnsi="Book Antiqua" w:cstheme="minorHAnsi"/>
          <w:i/>
          <w:caps/>
          <w:sz w:val="24"/>
          <w:szCs w:val="24"/>
          <w:lang w:val="en-GB"/>
        </w:rPr>
        <w:t>p</w:t>
      </w:r>
      <w:r w:rsidRPr="00CD4428">
        <w:rPr>
          <w:rFonts w:ascii="Book Antiqua" w:eastAsia="SabonLTStd-Roman" w:hAnsi="Book Antiqua" w:cstheme="minorHAnsi"/>
          <w:sz w:val="24"/>
          <w:szCs w:val="24"/>
          <w:lang w:val="en-GB"/>
        </w:rPr>
        <w:t xml:space="preserve"> = 0.02)</w:t>
      </w:r>
      <w:r w:rsidR="009147EC" w:rsidRPr="00CD4428">
        <w:rPr>
          <w:rFonts w:ascii="Book Antiqua" w:eastAsia="SabonLTStd-Roman" w:hAnsi="Book Antiqua" w:cstheme="minorHAnsi"/>
          <w:sz w:val="24"/>
          <w:szCs w:val="24"/>
          <w:lang w:val="en-GB"/>
        </w:rPr>
        <w:t xml:space="preserve"> (Table 1).</w:t>
      </w:r>
      <w:r w:rsidRPr="00CD4428">
        <w:rPr>
          <w:rFonts w:ascii="Book Antiqua" w:eastAsia="SabonLTStd-Roman" w:hAnsi="Book Antiqua" w:cstheme="minorHAnsi"/>
          <w:sz w:val="24"/>
          <w:szCs w:val="24"/>
          <w:lang w:val="en-GB"/>
        </w:rPr>
        <w:t xml:space="preserve"> However, </w:t>
      </w:r>
      <w:r w:rsidR="00CC1DC6" w:rsidRPr="00CD4428">
        <w:rPr>
          <w:rFonts w:ascii="Book Antiqua" w:eastAsia="SabonLTStd-Roman" w:hAnsi="Book Antiqua" w:cstheme="minorHAnsi"/>
          <w:sz w:val="24"/>
          <w:szCs w:val="24"/>
          <w:lang w:val="en-GB"/>
        </w:rPr>
        <w:t xml:space="preserve">the </w:t>
      </w:r>
      <w:r w:rsidRPr="00CD4428">
        <w:rPr>
          <w:rFonts w:ascii="Book Antiqua" w:eastAsia="SabonLTStd-Roman" w:hAnsi="Book Antiqua" w:cstheme="minorHAnsi"/>
          <w:sz w:val="24"/>
          <w:szCs w:val="24"/>
          <w:lang w:val="en-GB"/>
        </w:rPr>
        <w:t xml:space="preserve">CDAI-100 response rate was comparable to the placebo (31.4% </w:t>
      </w:r>
      <w:r w:rsidRPr="00887C66">
        <w:rPr>
          <w:rFonts w:ascii="Book Antiqua" w:eastAsia="SabonLTStd-Roman" w:hAnsi="Book Antiqua" w:cstheme="minorHAnsi"/>
          <w:i/>
          <w:sz w:val="24"/>
          <w:szCs w:val="24"/>
          <w:lang w:val="en-GB"/>
        </w:rPr>
        <w:t xml:space="preserve">vs </w:t>
      </w:r>
      <w:r w:rsidRPr="00CD4428">
        <w:rPr>
          <w:rFonts w:ascii="Book Antiqua" w:eastAsia="SabonLTStd-Roman" w:hAnsi="Book Antiqua" w:cstheme="minorHAnsi"/>
          <w:sz w:val="24"/>
          <w:szCs w:val="24"/>
          <w:lang w:val="en-GB"/>
        </w:rPr>
        <w:t>25.7%</w:t>
      </w:r>
      <w:r w:rsidR="00D35179" w:rsidRPr="00CD4428">
        <w:rPr>
          <w:rFonts w:ascii="Book Antiqua" w:eastAsia="SabonLTStd-Roman" w:hAnsi="Book Antiqua" w:cstheme="minorHAnsi"/>
          <w:sz w:val="24"/>
          <w:szCs w:val="24"/>
          <w:lang w:val="en-GB"/>
        </w:rPr>
        <w:t xml:space="preserve">; </w:t>
      </w:r>
      <w:r w:rsidR="00887C66" w:rsidRPr="00D21FB0">
        <w:rPr>
          <w:rFonts w:ascii="Book Antiqua" w:eastAsia="SabonLTStd-Roman" w:hAnsi="Book Antiqua" w:cstheme="minorHAnsi"/>
          <w:i/>
          <w:caps/>
          <w:sz w:val="24"/>
          <w:szCs w:val="24"/>
          <w:lang w:val="en-GB"/>
        </w:rPr>
        <w:t>p</w:t>
      </w:r>
      <w:r w:rsidR="00887C66" w:rsidRPr="00CD4428">
        <w:rPr>
          <w:rFonts w:ascii="Book Antiqua" w:eastAsia="SabonLTStd-Roman" w:hAnsi="Book Antiqua" w:cstheme="minorHAnsi"/>
          <w:sz w:val="24"/>
          <w:szCs w:val="24"/>
          <w:lang w:val="en-GB"/>
        </w:rPr>
        <w:t xml:space="preserve"> </w:t>
      </w:r>
      <w:r w:rsidR="00D35179" w:rsidRPr="00CD4428">
        <w:rPr>
          <w:rFonts w:ascii="Book Antiqua" w:eastAsia="SabonLTStd-Roman" w:hAnsi="Book Antiqua" w:cstheme="minorHAnsi"/>
          <w:sz w:val="24"/>
          <w:szCs w:val="24"/>
          <w:lang w:val="en-GB"/>
        </w:rPr>
        <w:t>= 0.23</w:t>
      </w:r>
      <w:r w:rsidRPr="00CD4428">
        <w:rPr>
          <w:rFonts w:ascii="Book Antiqua" w:eastAsia="SabonLTStd-Roman" w:hAnsi="Book Antiqua" w:cstheme="minorHAnsi"/>
          <w:sz w:val="24"/>
          <w:szCs w:val="24"/>
          <w:lang w:val="en-GB"/>
        </w:rPr>
        <w:t>)</w:t>
      </w:r>
      <w:r w:rsidR="003805FA" w:rsidRPr="00CD4428">
        <w:rPr>
          <w:rFonts w:ascii="Book Antiqua" w:eastAsia="SabonLTStd-Roman" w:hAnsi="Book Antiqua" w:cstheme="minorHAnsi"/>
          <w:sz w:val="24"/>
          <w:szCs w:val="24"/>
          <w:lang w:val="en-GB"/>
        </w:rPr>
        <w:t>.</w:t>
      </w:r>
    </w:p>
    <w:p w14:paraId="788C19EB" w14:textId="26814C51" w:rsidR="00732523" w:rsidRPr="00CD4428" w:rsidRDefault="002004F6" w:rsidP="00887C66">
      <w:pPr>
        <w:autoSpaceDE w:val="0"/>
        <w:autoSpaceDN w:val="0"/>
        <w:adjustRightInd w:val="0"/>
        <w:snapToGrid w:val="0"/>
        <w:spacing w:after="0" w:line="360" w:lineRule="auto"/>
        <w:ind w:firstLineChars="100" w:firstLine="24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 xml:space="preserve">During </w:t>
      </w:r>
      <w:r w:rsidR="00732523" w:rsidRPr="00CD4428">
        <w:rPr>
          <w:rFonts w:ascii="Book Antiqua" w:eastAsia="SabonLTStd-Roman" w:hAnsi="Book Antiqua" w:cstheme="minorHAnsi"/>
          <w:sz w:val="24"/>
          <w:szCs w:val="24"/>
          <w:lang w:val="en-GB"/>
        </w:rPr>
        <w:t>the maintenance phase</w:t>
      </w:r>
      <w:r w:rsidR="00CC1DC6" w:rsidRPr="00CD4428">
        <w:rPr>
          <w:rFonts w:ascii="Book Antiqua" w:eastAsia="SabonLTStd-Roman" w:hAnsi="Book Antiqua" w:cstheme="minorHAnsi"/>
          <w:sz w:val="24"/>
          <w:szCs w:val="24"/>
          <w:lang w:val="en-GB"/>
        </w:rPr>
        <w:t>,</w:t>
      </w:r>
      <w:r w:rsidR="00732523" w:rsidRPr="00CD4428">
        <w:rPr>
          <w:rFonts w:ascii="Book Antiqua" w:eastAsia="SabonLTStd-Roman" w:hAnsi="Book Antiqua" w:cstheme="minorHAnsi"/>
          <w:sz w:val="24"/>
          <w:szCs w:val="24"/>
          <w:lang w:val="en-GB"/>
        </w:rPr>
        <w:t xml:space="preserve"> </w:t>
      </w:r>
      <w:r w:rsidR="00AD4EC2" w:rsidRPr="00CD4428">
        <w:rPr>
          <w:rFonts w:ascii="Book Antiqua" w:eastAsia="SabonLTStd-Roman" w:hAnsi="Book Antiqua" w:cstheme="minorHAnsi"/>
          <w:sz w:val="24"/>
          <w:szCs w:val="24"/>
          <w:lang w:val="en-GB"/>
        </w:rPr>
        <w:t xml:space="preserve">461 </w:t>
      </w:r>
      <w:r w:rsidR="003869BE" w:rsidRPr="00CD4428">
        <w:rPr>
          <w:rFonts w:ascii="Book Antiqua" w:eastAsia="SabonLTStd-Roman" w:hAnsi="Book Antiqua" w:cstheme="minorHAnsi"/>
          <w:sz w:val="24"/>
          <w:szCs w:val="24"/>
          <w:lang w:val="en-GB"/>
        </w:rPr>
        <w:t xml:space="preserve">patients </w:t>
      </w:r>
      <w:r w:rsidR="00CC1DC6" w:rsidRPr="00CD4428">
        <w:rPr>
          <w:rFonts w:ascii="Book Antiqua" w:eastAsia="SabonLTStd-Roman" w:hAnsi="Book Antiqua" w:cstheme="minorHAnsi"/>
          <w:sz w:val="24"/>
          <w:szCs w:val="24"/>
          <w:lang w:val="en-GB"/>
        </w:rPr>
        <w:t xml:space="preserve">who were </w:t>
      </w:r>
      <w:proofErr w:type="spellStart"/>
      <w:r w:rsidR="00732523" w:rsidRPr="00CD4428">
        <w:rPr>
          <w:rFonts w:ascii="Book Antiqua" w:eastAsia="SabonLTStd-Roman" w:hAnsi="Book Antiqua" w:cstheme="minorHAnsi"/>
          <w:sz w:val="24"/>
          <w:szCs w:val="24"/>
          <w:lang w:val="en-GB"/>
        </w:rPr>
        <w:t>vedolizumab</w:t>
      </w:r>
      <w:proofErr w:type="spellEnd"/>
      <w:r w:rsidRPr="00CD4428">
        <w:rPr>
          <w:rFonts w:ascii="Book Antiqua" w:eastAsia="SabonLTStd-Roman" w:hAnsi="Book Antiqua" w:cstheme="minorHAnsi"/>
          <w:sz w:val="24"/>
          <w:szCs w:val="24"/>
          <w:lang w:val="en-GB"/>
        </w:rPr>
        <w:t xml:space="preserve"> </w:t>
      </w:r>
      <w:r w:rsidR="00732523" w:rsidRPr="00CD4428">
        <w:rPr>
          <w:rFonts w:ascii="Book Antiqua" w:eastAsia="SabonLTStd-Roman" w:hAnsi="Book Antiqua" w:cstheme="minorHAnsi"/>
          <w:sz w:val="24"/>
          <w:szCs w:val="24"/>
          <w:lang w:val="en-GB"/>
        </w:rPr>
        <w:t xml:space="preserve">responders were randomized to receive </w:t>
      </w:r>
      <w:proofErr w:type="spellStart"/>
      <w:r w:rsidR="00732523" w:rsidRPr="00CD4428">
        <w:rPr>
          <w:rFonts w:ascii="Book Antiqua" w:eastAsia="SabonLTStd-Roman" w:hAnsi="Book Antiqua" w:cstheme="minorHAnsi"/>
          <w:sz w:val="24"/>
          <w:szCs w:val="24"/>
          <w:lang w:val="en-GB"/>
        </w:rPr>
        <w:t>vedolizumab</w:t>
      </w:r>
      <w:proofErr w:type="spellEnd"/>
      <w:r w:rsidR="00732523" w:rsidRPr="00CD4428">
        <w:rPr>
          <w:rFonts w:ascii="Book Antiqua" w:eastAsia="SabonLTStd-Roman" w:hAnsi="Book Antiqua" w:cstheme="minorHAnsi"/>
          <w:sz w:val="24"/>
          <w:szCs w:val="24"/>
          <w:lang w:val="en-GB"/>
        </w:rPr>
        <w:t xml:space="preserve"> 300 mg iv</w:t>
      </w:r>
      <w:r w:rsidR="004751DA" w:rsidRPr="00CD4428">
        <w:rPr>
          <w:rFonts w:ascii="Book Antiqua" w:eastAsia="SabonLTStd-Roman" w:hAnsi="Book Antiqua" w:cstheme="minorHAnsi"/>
          <w:sz w:val="24"/>
          <w:szCs w:val="24"/>
          <w:lang w:val="en-GB"/>
        </w:rPr>
        <w:t xml:space="preserve"> </w:t>
      </w:r>
      <w:r w:rsidR="00732523" w:rsidRPr="00CD4428">
        <w:rPr>
          <w:rFonts w:ascii="Book Antiqua" w:eastAsia="SabonLTStd-Roman" w:hAnsi="Book Antiqua" w:cstheme="minorHAnsi"/>
          <w:sz w:val="24"/>
          <w:szCs w:val="24"/>
          <w:lang w:val="en-GB"/>
        </w:rPr>
        <w:t>administered at either 4</w:t>
      </w:r>
      <w:r w:rsidR="00CC1DC6" w:rsidRPr="00CD4428">
        <w:rPr>
          <w:rFonts w:ascii="Book Antiqua" w:eastAsia="SabonLTStd-Roman" w:hAnsi="Book Antiqua" w:cstheme="minorHAnsi"/>
          <w:sz w:val="24"/>
          <w:szCs w:val="24"/>
          <w:lang w:val="en-GB"/>
        </w:rPr>
        <w:t>-</w:t>
      </w:r>
      <w:r w:rsidR="00732523" w:rsidRPr="00CD4428">
        <w:rPr>
          <w:rFonts w:ascii="Book Antiqua" w:eastAsia="SabonLTStd-Roman" w:hAnsi="Book Antiqua" w:cstheme="minorHAnsi"/>
          <w:sz w:val="24"/>
          <w:szCs w:val="24"/>
          <w:lang w:val="en-GB"/>
        </w:rPr>
        <w:t xml:space="preserve"> or 8</w:t>
      </w:r>
      <w:r w:rsidR="00CC1DC6" w:rsidRPr="00CD4428">
        <w:rPr>
          <w:rFonts w:ascii="Book Antiqua" w:eastAsia="SabonLTStd-Roman" w:hAnsi="Book Antiqua" w:cstheme="minorHAnsi"/>
          <w:sz w:val="24"/>
          <w:szCs w:val="24"/>
          <w:lang w:val="en-GB"/>
        </w:rPr>
        <w:t>-</w:t>
      </w:r>
      <w:r w:rsidR="00732523" w:rsidRPr="00CD4428">
        <w:rPr>
          <w:rFonts w:ascii="Book Antiqua" w:eastAsia="SabonLTStd-Roman" w:hAnsi="Book Antiqua" w:cstheme="minorHAnsi"/>
          <w:sz w:val="24"/>
          <w:szCs w:val="24"/>
          <w:lang w:val="en-GB"/>
        </w:rPr>
        <w:t xml:space="preserve">weekly intervals </w:t>
      </w:r>
      <w:r w:rsidR="00CC1DC6" w:rsidRPr="00CD4428">
        <w:rPr>
          <w:rFonts w:ascii="Book Antiqua" w:eastAsia="SabonLTStd-Roman" w:hAnsi="Book Antiqua" w:cstheme="minorHAnsi"/>
          <w:sz w:val="24"/>
          <w:szCs w:val="24"/>
          <w:lang w:val="en-GB"/>
        </w:rPr>
        <w:t xml:space="preserve">up </w:t>
      </w:r>
      <w:r w:rsidR="00732523" w:rsidRPr="00CD4428">
        <w:rPr>
          <w:rFonts w:ascii="Book Antiqua" w:eastAsia="SabonLTStd-Roman" w:hAnsi="Book Antiqua" w:cstheme="minorHAnsi"/>
          <w:sz w:val="24"/>
          <w:szCs w:val="24"/>
          <w:lang w:val="en-GB"/>
        </w:rPr>
        <w:t>to week 52. Clinical remission</w:t>
      </w:r>
      <w:r w:rsidR="00844D76" w:rsidRPr="00CD4428">
        <w:rPr>
          <w:rFonts w:ascii="Book Antiqua" w:eastAsia="SabonLTStd-Roman" w:hAnsi="Book Antiqua" w:cstheme="minorHAnsi"/>
          <w:sz w:val="24"/>
          <w:szCs w:val="24"/>
          <w:lang w:val="en-GB"/>
        </w:rPr>
        <w:t xml:space="preserve"> at week 52, </w:t>
      </w:r>
      <w:r w:rsidR="00CC1DC6" w:rsidRPr="00CD4428">
        <w:rPr>
          <w:rFonts w:ascii="Book Antiqua" w:eastAsia="SabonLTStd-Roman" w:hAnsi="Book Antiqua" w:cstheme="minorHAnsi"/>
          <w:sz w:val="24"/>
          <w:szCs w:val="24"/>
          <w:lang w:val="en-GB"/>
        </w:rPr>
        <w:t xml:space="preserve">the </w:t>
      </w:r>
      <w:r w:rsidR="00844D76" w:rsidRPr="00CD4428">
        <w:rPr>
          <w:rFonts w:ascii="Book Antiqua" w:eastAsia="SabonLTStd-Roman" w:hAnsi="Book Antiqua" w:cstheme="minorHAnsi"/>
          <w:sz w:val="24"/>
          <w:szCs w:val="24"/>
          <w:lang w:val="en-GB"/>
        </w:rPr>
        <w:t>primary endpoint of this phase,</w:t>
      </w:r>
      <w:r w:rsidR="00590110" w:rsidRPr="00CD4428">
        <w:rPr>
          <w:rFonts w:ascii="Book Antiqua" w:eastAsia="SabonLTStd-Roman" w:hAnsi="Book Antiqua" w:cstheme="minorHAnsi"/>
          <w:sz w:val="24"/>
          <w:szCs w:val="24"/>
          <w:lang w:val="en-GB"/>
        </w:rPr>
        <w:t xml:space="preserve"> </w:t>
      </w:r>
      <w:r w:rsidR="00844D76" w:rsidRPr="00CD4428">
        <w:rPr>
          <w:rFonts w:ascii="Book Antiqua" w:eastAsia="SabonLTStd-Roman" w:hAnsi="Book Antiqua" w:cstheme="minorHAnsi"/>
          <w:sz w:val="24"/>
          <w:szCs w:val="24"/>
          <w:lang w:val="en-GB"/>
        </w:rPr>
        <w:t>was</w:t>
      </w:r>
      <w:r w:rsidR="00590110" w:rsidRPr="00CD4428">
        <w:rPr>
          <w:rFonts w:ascii="Book Antiqua" w:eastAsia="SabonLTStd-Roman" w:hAnsi="Book Antiqua" w:cstheme="minorHAnsi"/>
          <w:sz w:val="24"/>
          <w:szCs w:val="24"/>
          <w:lang w:val="en-GB"/>
        </w:rPr>
        <w:t xml:space="preserve"> </w:t>
      </w:r>
      <w:r w:rsidR="00844D76" w:rsidRPr="00CD4428">
        <w:rPr>
          <w:rFonts w:ascii="Book Antiqua" w:eastAsia="SabonLTStd-Roman" w:hAnsi="Book Antiqua" w:cstheme="minorHAnsi"/>
          <w:sz w:val="24"/>
          <w:szCs w:val="24"/>
          <w:lang w:val="en-GB"/>
        </w:rPr>
        <w:t xml:space="preserve">significantly greater in patients assigned to </w:t>
      </w:r>
      <w:proofErr w:type="spellStart"/>
      <w:r w:rsidR="00844D76" w:rsidRPr="00CD4428">
        <w:rPr>
          <w:rFonts w:ascii="Book Antiqua" w:eastAsia="SabonLTStd-Roman" w:hAnsi="Book Antiqua" w:cstheme="minorHAnsi"/>
          <w:sz w:val="24"/>
          <w:szCs w:val="24"/>
          <w:lang w:val="en-GB"/>
        </w:rPr>
        <w:t>vedolizumab</w:t>
      </w:r>
      <w:proofErr w:type="spellEnd"/>
      <w:r w:rsidR="00844D76" w:rsidRPr="00CD4428">
        <w:rPr>
          <w:rFonts w:ascii="Book Antiqua" w:eastAsia="SabonLTStd-Roman" w:hAnsi="Book Antiqua" w:cstheme="minorHAnsi"/>
          <w:sz w:val="24"/>
          <w:szCs w:val="24"/>
          <w:lang w:val="en-GB"/>
        </w:rPr>
        <w:t xml:space="preserve"> therapy every</w:t>
      </w:r>
      <w:r w:rsidR="004D5C43" w:rsidRPr="00CD4428">
        <w:rPr>
          <w:rFonts w:ascii="Book Antiqua" w:eastAsia="SabonLTStd-Roman" w:hAnsi="Book Antiqua" w:cstheme="minorHAnsi"/>
          <w:sz w:val="24"/>
          <w:szCs w:val="24"/>
          <w:lang w:val="en-GB"/>
        </w:rPr>
        <w:t xml:space="preserve"> 4 weeks or 8 weeks (36.4% and 39.0%) than in the placebo group (21.6%; </w:t>
      </w:r>
      <w:r w:rsidR="006B2B5A" w:rsidRPr="006B2B5A">
        <w:rPr>
          <w:rFonts w:ascii="Book Antiqua" w:eastAsia="SabonLTStd-Roman" w:hAnsi="Book Antiqua" w:cstheme="minorHAnsi"/>
          <w:i/>
          <w:caps/>
          <w:sz w:val="24"/>
          <w:szCs w:val="24"/>
          <w:lang w:val="en-GB"/>
        </w:rPr>
        <w:t>p</w:t>
      </w:r>
      <w:r w:rsidR="006B2B5A" w:rsidRPr="00CD4428">
        <w:rPr>
          <w:rFonts w:ascii="Book Antiqua" w:eastAsia="SabonLTStd-Roman" w:hAnsi="Book Antiqua" w:cstheme="minorHAnsi"/>
          <w:sz w:val="24"/>
          <w:szCs w:val="24"/>
          <w:lang w:val="en-GB"/>
        </w:rPr>
        <w:t xml:space="preserve"> </w:t>
      </w:r>
      <w:r w:rsidR="008B3E3B" w:rsidRPr="00CD4428">
        <w:rPr>
          <w:rFonts w:ascii="Book Antiqua" w:eastAsia="SabonLTStd-Roman" w:hAnsi="Book Antiqua" w:cstheme="minorHAnsi"/>
          <w:sz w:val="24"/>
          <w:szCs w:val="24"/>
          <w:lang w:val="en-GB"/>
        </w:rPr>
        <w:t>=</w:t>
      </w:r>
      <w:r w:rsidR="006B2B5A">
        <w:rPr>
          <w:rFonts w:ascii="Book Antiqua" w:hAnsi="Book Antiqua" w:cstheme="minorHAnsi" w:hint="eastAsia"/>
          <w:sz w:val="24"/>
          <w:szCs w:val="24"/>
          <w:lang w:val="en-GB" w:eastAsia="zh-CN"/>
        </w:rPr>
        <w:t xml:space="preserve"> </w:t>
      </w:r>
      <w:r w:rsidR="008B3E3B" w:rsidRPr="00CD4428">
        <w:rPr>
          <w:rFonts w:ascii="Book Antiqua" w:eastAsia="SabonLTStd-Roman" w:hAnsi="Book Antiqua" w:cstheme="minorHAnsi"/>
          <w:sz w:val="24"/>
          <w:szCs w:val="24"/>
          <w:lang w:val="en-GB"/>
        </w:rPr>
        <w:t>0.004 and</w:t>
      </w:r>
      <w:r w:rsidR="00590110" w:rsidRPr="00CD4428">
        <w:rPr>
          <w:rFonts w:ascii="Book Antiqua" w:eastAsia="SabonLTStd-Roman" w:hAnsi="Book Antiqua" w:cstheme="minorHAnsi"/>
          <w:sz w:val="24"/>
          <w:szCs w:val="24"/>
          <w:lang w:val="en-GB"/>
        </w:rPr>
        <w:t xml:space="preserve"> </w:t>
      </w:r>
      <w:r w:rsidR="006B2B5A" w:rsidRPr="006B2B5A">
        <w:rPr>
          <w:rFonts w:ascii="Book Antiqua" w:eastAsia="SabonLTStd-Roman" w:hAnsi="Book Antiqua" w:cstheme="minorHAnsi"/>
          <w:i/>
          <w:caps/>
          <w:sz w:val="24"/>
          <w:szCs w:val="24"/>
          <w:lang w:val="en-GB"/>
        </w:rPr>
        <w:t>p</w:t>
      </w:r>
      <w:r w:rsidR="006B2B5A" w:rsidRPr="00CD4428">
        <w:rPr>
          <w:rFonts w:ascii="Book Antiqua" w:eastAsia="SabonLTStd-Roman" w:hAnsi="Book Antiqua" w:cstheme="minorHAnsi"/>
          <w:sz w:val="24"/>
          <w:szCs w:val="24"/>
          <w:lang w:val="en-GB"/>
        </w:rPr>
        <w:t xml:space="preserve"> </w:t>
      </w:r>
      <w:r w:rsidR="008B3E3B" w:rsidRPr="00CD4428">
        <w:rPr>
          <w:rFonts w:ascii="Book Antiqua" w:eastAsia="SabonLTStd-Roman" w:hAnsi="Book Antiqua" w:cstheme="minorHAnsi"/>
          <w:sz w:val="24"/>
          <w:szCs w:val="24"/>
          <w:lang w:val="en-GB"/>
        </w:rPr>
        <w:t>&lt;</w:t>
      </w:r>
      <w:r w:rsidR="006B2B5A">
        <w:rPr>
          <w:rFonts w:ascii="Book Antiqua" w:hAnsi="Book Antiqua" w:cstheme="minorHAnsi" w:hint="eastAsia"/>
          <w:sz w:val="24"/>
          <w:szCs w:val="24"/>
          <w:lang w:val="en-GB" w:eastAsia="zh-CN"/>
        </w:rPr>
        <w:t xml:space="preserve"> </w:t>
      </w:r>
      <w:r w:rsidR="008B3E3B" w:rsidRPr="00CD4428">
        <w:rPr>
          <w:rFonts w:ascii="Book Antiqua" w:eastAsia="SabonLTStd-Roman" w:hAnsi="Book Antiqua" w:cstheme="minorHAnsi"/>
          <w:sz w:val="24"/>
          <w:szCs w:val="24"/>
          <w:lang w:val="en-GB"/>
        </w:rPr>
        <w:t>0.001, respectively</w:t>
      </w:r>
      <w:r w:rsidR="00DB1258" w:rsidRPr="00CD4428">
        <w:rPr>
          <w:rFonts w:ascii="Book Antiqua" w:eastAsia="SabonLTStd-Roman" w:hAnsi="Book Antiqua" w:cstheme="minorHAnsi"/>
          <w:sz w:val="24"/>
          <w:szCs w:val="24"/>
          <w:lang w:val="en-GB"/>
        </w:rPr>
        <w:t xml:space="preserve">, </w:t>
      </w:r>
      <w:r w:rsidR="00DB1258" w:rsidRPr="006B2B5A">
        <w:rPr>
          <w:rFonts w:ascii="Book Antiqua" w:eastAsia="SabonLTStd-Roman" w:hAnsi="Book Antiqua" w:cstheme="minorHAnsi"/>
          <w:i/>
          <w:sz w:val="24"/>
          <w:szCs w:val="24"/>
          <w:lang w:val="en-GB"/>
        </w:rPr>
        <w:t>vs</w:t>
      </w:r>
      <w:r w:rsidR="006B2B5A">
        <w:rPr>
          <w:rFonts w:ascii="Book Antiqua" w:hAnsi="Book Antiqua" w:cstheme="minorHAnsi" w:hint="eastAsia"/>
          <w:sz w:val="24"/>
          <w:szCs w:val="24"/>
          <w:lang w:val="en-GB" w:eastAsia="zh-CN"/>
        </w:rPr>
        <w:t xml:space="preserve"> </w:t>
      </w:r>
      <w:r w:rsidR="00DB1258" w:rsidRPr="00CD4428">
        <w:rPr>
          <w:rFonts w:ascii="Book Antiqua" w:eastAsia="SabonLTStd-Roman" w:hAnsi="Book Antiqua" w:cstheme="minorHAnsi"/>
          <w:sz w:val="24"/>
          <w:szCs w:val="24"/>
          <w:lang w:val="en-GB"/>
        </w:rPr>
        <w:t>placebo</w:t>
      </w:r>
      <w:r w:rsidR="008B3E3B" w:rsidRPr="00CD4428">
        <w:rPr>
          <w:rFonts w:ascii="Book Antiqua" w:eastAsia="SabonLTStd-Roman" w:hAnsi="Book Antiqua" w:cstheme="minorHAnsi"/>
          <w:sz w:val="24"/>
          <w:szCs w:val="24"/>
          <w:lang w:val="en-GB"/>
        </w:rPr>
        <w:t>)</w:t>
      </w:r>
      <w:r w:rsidR="008D7013" w:rsidRPr="00CD4428">
        <w:rPr>
          <w:rFonts w:ascii="Book Antiqua" w:eastAsia="SabonLTStd-Roman" w:hAnsi="Book Antiqua" w:cstheme="minorHAnsi"/>
          <w:sz w:val="24"/>
          <w:szCs w:val="24"/>
          <w:lang w:val="en-GB"/>
        </w:rPr>
        <w:t>.</w:t>
      </w:r>
      <w:r w:rsidR="00590110" w:rsidRPr="00CD4428">
        <w:rPr>
          <w:rFonts w:ascii="Book Antiqua" w:eastAsia="SabonLTStd-Roman" w:hAnsi="Book Antiqua" w:cstheme="minorHAnsi"/>
          <w:sz w:val="24"/>
          <w:szCs w:val="24"/>
          <w:lang w:val="en-GB"/>
        </w:rPr>
        <w:t xml:space="preserve"> </w:t>
      </w:r>
      <w:r w:rsidR="00895C5C" w:rsidRPr="00CD4428">
        <w:rPr>
          <w:rFonts w:ascii="Book Antiqua" w:eastAsia="SabonLTStd-Roman" w:hAnsi="Book Antiqua" w:cstheme="minorHAnsi"/>
          <w:sz w:val="24"/>
          <w:szCs w:val="24"/>
          <w:lang w:val="en-GB"/>
        </w:rPr>
        <w:t>The rates</w:t>
      </w:r>
      <w:r w:rsidR="00732523" w:rsidRPr="00CD4428">
        <w:rPr>
          <w:rFonts w:ascii="Book Antiqua" w:eastAsia="SabonLTStd-Roman" w:hAnsi="Book Antiqua" w:cstheme="minorHAnsi"/>
          <w:sz w:val="24"/>
          <w:szCs w:val="24"/>
          <w:lang w:val="en-GB"/>
        </w:rPr>
        <w:t xml:space="preserve"> </w:t>
      </w:r>
      <w:r w:rsidR="00895C5C" w:rsidRPr="00CD4428">
        <w:rPr>
          <w:rFonts w:ascii="Book Antiqua" w:eastAsia="SabonLTStd-Roman" w:hAnsi="Book Antiqua" w:cstheme="minorHAnsi"/>
          <w:sz w:val="24"/>
          <w:szCs w:val="24"/>
          <w:lang w:val="en-GB"/>
        </w:rPr>
        <w:t>of steroid</w:t>
      </w:r>
      <w:r w:rsidR="00CC1DC6" w:rsidRPr="00CD4428">
        <w:rPr>
          <w:rFonts w:ascii="Book Antiqua" w:eastAsia="SabonLTStd-Roman" w:hAnsi="Book Antiqua" w:cstheme="minorHAnsi"/>
          <w:sz w:val="24"/>
          <w:szCs w:val="24"/>
          <w:lang w:val="en-GB"/>
        </w:rPr>
        <w:t>-</w:t>
      </w:r>
      <w:r w:rsidR="00895C5C" w:rsidRPr="00CD4428">
        <w:rPr>
          <w:rFonts w:ascii="Book Antiqua" w:eastAsia="SabonLTStd-Roman" w:hAnsi="Book Antiqua" w:cstheme="minorHAnsi"/>
          <w:sz w:val="24"/>
          <w:szCs w:val="24"/>
          <w:lang w:val="en-GB"/>
        </w:rPr>
        <w:t xml:space="preserve">sparing remission were also significantly higher among patients treated with </w:t>
      </w:r>
      <w:proofErr w:type="spellStart"/>
      <w:r w:rsidR="00895C5C" w:rsidRPr="00CD4428">
        <w:rPr>
          <w:rFonts w:ascii="Book Antiqua" w:eastAsia="SabonLTStd-Roman" w:hAnsi="Book Antiqua" w:cstheme="minorHAnsi"/>
          <w:sz w:val="24"/>
          <w:szCs w:val="24"/>
          <w:lang w:val="en-GB"/>
        </w:rPr>
        <w:t>vedolizumab</w:t>
      </w:r>
      <w:proofErr w:type="spellEnd"/>
      <w:r w:rsidR="001D02D9" w:rsidRPr="00CD4428">
        <w:rPr>
          <w:rFonts w:ascii="Book Antiqua" w:eastAsia="SabonLTStd-Roman" w:hAnsi="Book Antiqua" w:cstheme="minorHAnsi"/>
          <w:sz w:val="24"/>
          <w:szCs w:val="24"/>
          <w:lang w:val="en-GB"/>
        </w:rPr>
        <w:t xml:space="preserve"> (</w:t>
      </w:r>
      <w:r w:rsidR="006B2B5A" w:rsidRPr="006B2B5A">
        <w:rPr>
          <w:rFonts w:ascii="Book Antiqua" w:eastAsia="SabonLTStd-Roman" w:hAnsi="Book Antiqua" w:cstheme="minorHAnsi"/>
          <w:i/>
          <w:caps/>
          <w:sz w:val="24"/>
          <w:szCs w:val="24"/>
          <w:lang w:val="en-GB"/>
        </w:rPr>
        <w:t>p</w:t>
      </w:r>
      <w:r w:rsidR="006B2B5A" w:rsidRPr="00CD4428">
        <w:rPr>
          <w:rFonts w:ascii="Book Antiqua" w:eastAsia="SabonLTStd-Roman" w:hAnsi="Book Antiqua" w:cstheme="minorHAnsi"/>
          <w:sz w:val="24"/>
          <w:szCs w:val="24"/>
          <w:lang w:val="en-GB"/>
        </w:rPr>
        <w:t xml:space="preserve"> </w:t>
      </w:r>
      <w:r w:rsidR="001D02D9" w:rsidRPr="00CD4428">
        <w:rPr>
          <w:rFonts w:ascii="Book Antiqua" w:eastAsia="SabonLTStd-Roman" w:hAnsi="Book Antiqua" w:cstheme="minorHAnsi"/>
          <w:sz w:val="24"/>
          <w:szCs w:val="24"/>
          <w:lang w:val="en-GB"/>
        </w:rPr>
        <w:t>=</w:t>
      </w:r>
      <w:r w:rsidR="006B2B5A">
        <w:rPr>
          <w:rFonts w:ascii="Book Antiqua" w:hAnsi="Book Antiqua" w:cstheme="minorHAnsi" w:hint="eastAsia"/>
          <w:sz w:val="24"/>
          <w:szCs w:val="24"/>
          <w:lang w:val="en-GB" w:eastAsia="zh-CN"/>
        </w:rPr>
        <w:t xml:space="preserve"> </w:t>
      </w:r>
      <w:r w:rsidR="001D02D9" w:rsidRPr="00CD4428">
        <w:rPr>
          <w:rFonts w:ascii="Book Antiqua" w:eastAsia="SabonLTStd-Roman" w:hAnsi="Book Antiqua" w:cstheme="minorHAnsi"/>
          <w:sz w:val="24"/>
          <w:szCs w:val="24"/>
          <w:lang w:val="en-GB"/>
        </w:rPr>
        <w:t xml:space="preserve">0.04 and </w:t>
      </w:r>
      <w:r w:rsidR="006B2B5A" w:rsidRPr="006B2B5A">
        <w:rPr>
          <w:rFonts w:ascii="Book Antiqua" w:eastAsia="SabonLTStd-Roman" w:hAnsi="Book Antiqua" w:cstheme="minorHAnsi"/>
          <w:i/>
          <w:caps/>
          <w:sz w:val="24"/>
          <w:szCs w:val="24"/>
          <w:lang w:val="en-GB"/>
        </w:rPr>
        <w:t>p</w:t>
      </w:r>
      <w:r w:rsidR="006B2B5A" w:rsidRPr="00CD4428">
        <w:rPr>
          <w:rFonts w:ascii="Book Antiqua" w:eastAsia="SabonLTStd-Roman" w:hAnsi="Book Antiqua" w:cstheme="minorHAnsi"/>
          <w:sz w:val="24"/>
          <w:szCs w:val="24"/>
          <w:lang w:val="en-GB"/>
        </w:rPr>
        <w:t xml:space="preserve"> </w:t>
      </w:r>
      <w:r w:rsidR="001D02D9" w:rsidRPr="00CD4428">
        <w:rPr>
          <w:rFonts w:ascii="Book Antiqua" w:eastAsia="SabonLTStd-Roman" w:hAnsi="Book Antiqua" w:cstheme="minorHAnsi"/>
          <w:sz w:val="24"/>
          <w:szCs w:val="24"/>
          <w:lang w:val="en-GB"/>
        </w:rPr>
        <w:t>&lt;</w:t>
      </w:r>
      <w:r w:rsidR="006B2B5A">
        <w:rPr>
          <w:rFonts w:ascii="Book Antiqua" w:hAnsi="Book Antiqua" w:cstheme="minorHAnsi" w:hint="eastAsia"/>
          <w:sz w:val="24"/>
          <w:szCs w:val="24"/>
          <w:lang w:val="en-GB" w:eastAsia="zh-CN"/>
        </w:rPr>
        <w:t xml:space="preserve"> </w:t>
      </w:r>
      <w:r w:rsidR="001D02D9" w:rsidRPr="00CD4428">
        <w:rPr>
          <w:rFonts w:ascii="Book Antiqua" w:eastAsia="SabonLTStd-Roman" w:hAnsi="Book Antiqua" w:cstheme="minorHAnsi"/>
          <w:sz w:val="24"/>
          <w:szCs w:val="24"/>
          <w:lang w:val="en-GB"/>
        </w:rPr>
        <w:t>0.02, respectively</w:t>
      </w:r>
      <w:r w:rsidR="00DB1258" w:rsidRPr="00CD4428">
        <w:rPr>
          <w:rFonts w:ascii="Book Antiqua" w:eastAsia="SabonLTStd-Roman" w:hAnsi="Book Antiqua" w:cstheme="minorHAnsi"/>
          <w:sz w:val="24"/>
          <w:szCs w:val="24"/>
          <w:lang w:val="en-GB"/>
        </w:rPr>
        <w:t xml:space="preserve">, </w:t>
      </w:r>
      <w:r w:rsidR="00DB1258" w:rsidRPr="006B2B5A">
        <w:rPr>
          <w:rFonts w:ascii="Book Antiqua" w:eastAsia="SabonLTStd-Roman" w:hAnsi="Book Antiqua" w:cstheme="minorHAnsi"/>
          <w:i/>
          <w:sz w:val="24"/>
          <w:szCs w:val="24"/>
          <w:lang w:val="en-GB"/>
        </w:rPr>
        <w:t>vs</w:t>
      </w:r>
      <w:r w:rsidR="006B2B5A" w:rsidRPr="006B2B5A">
        <w:rPr>
          <w:rFonts w:ascii="Book Antiqua" w:hAnsi="Book Antiqua" w:cstheme="minorHAnsi" w:hint="eastAsia"/>
          <w:i/>
          <w:sz w:val="24"/>
          <w:szCs w:val="24"/>
          <w:lang w:val="en-GB" w:eastAsia="zh-CN"/>
        </w:rPr>
        <w:t xml:space="preserve"> </w:t>
      </w:r>
      <w:r w:rsidR="00DB1258" w:rsidRPr="00CD4428">
        <w:rPr>
          <w:rFonts w:ascii="Book Antiqua" w:eastAsia="SabonLTStd-Roman" w:hAnsi="Book Antiqua" w:cstheme="minorHAnsi"/>
          <w:sz w:val="24"/>
          <w:szCs w:val="24"/>
          <w:lang w:val="en-GB"/>
        </w:rPr>
        <w:lastRenderedPageBreak/>
        <w:t>placebo</w:t>
      </w:r>
      <w:r w:rsidR="001D02D9" w:rsidRPr="00CD4428">
        <w:rPr>
          <w:rFonts w:ascii="Book Antiqua" w:eastAsia="SabonLTStd-Roman" w:hAnsi="Book Antiqua" w:cstheme="minorHAnsi"/>
          <w:sz w:val="24"/>
          <w:szCs w:val="24"/>
          <w:lang w:val="en-GB"/>
        </w:rPr>
        <w:t>)</w:t>
      </w:r>
      <w:r w:rsidR="00895C5C" w:rsidRPr="00CD4428">
        <w:rPr>
          <w:rFonts w:ascii="Book Antiqua" w:eastAsia="SabonLTStd-Roman" w:hAnsi="Book Antiqua" w:cstheme="minorHAnsi"/>
          <w:sz w:val="24"/>
          <w:szCs w:val="24"/>
          <w:lang w:val="en-GB"/>
        </w:rPr>
        <w:t>, while the r</w:t>
      </w:r>
      <w:r w:rsidR="0023346F" w:rsidRPr="00CD4428">
        <w:rPr>
          <w:rFonts w:ascii="Book Antiqua" w:eastAsia="SabonLTStd-Roman" w:hAnsi="Book Antiqua" w:cstheme="minorHAnsi"/>
          <w:sz w:val="24"/>
          <w:szCs w:val="24"/>
          <w:lang w:val="en-GB"/>
        </w:rPr>
        <w:t>ates of durable clinical remission showed no significant differences</w:t>
      </w:r>
      <w:r w:rsidR="001A02DB" w:rsidRPr="00CD4428">
        <w:rPr>
          <w:rFonts w:ascii="Book Antiqua" w:eastAsia="SabonLTStd-Roman" w:hAnsi="Book Antiqua" w:cstheme="minorHAnsi"/>
          <w:sz w:val="24"/>
          <w:szCs w:val="24"/>
          <w:lang w:val="en-GB"/>
        </w:rPr>
        <w:t xml:space="preserve"> (Table 1)</w:t>
      </w:r>
      <w:r w:rsidR="00895C5C" w:rsidRPr="00CD4428">
        <w:rPr>
          <w:rFonts w:ascii="Book Antiqua" w:eastAsia="SabonLTStd-Roman" w:hAnsi="Book Antiqua" w:cstheme="minorHAnsi"/>
          <w:sz w:val="24"/>
          <w:szCs w:val="24"/>
          <w:lang w:val="en-GB"/>
        </w:rPr>
        <w:t>.</w:t>
      </w:r>
    </w:p>
    <w:p w14:paraId="31CB3F63" w14:textId="7105A1D3" w:rsidR="00346917" w:rsidRPr="00CD4428" w:rsidRDefault="00FC7B01" w:rsidP="006B2B5A">
      <w:pPr>
        <w:autoSpaceDE w:val="0"/>
        <w:autoSpaceDN w:val="0"/>
        <w:adjustRightInd w:val="0"/>
        <w:snapToGrid w:val="0"/>
        <w:spacing w:after="0" w:line="360" w:lineRule="auto"/>
        <w:ind w:firstLineChars="100" w:firstLine="24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 xml:space="preserve">Similar results were observed in the GEMINI 3 trial, which evaluated the efficacy of </w:t>
      </w:r>
      <w:proofErr w:type="spellStart"/>
      <w:r w:rsidRPr="00CD4428">
        <w:rPr>
          <w:rFonts w:ascii="Book Antiqua" w:eastAsia="SabonLTStd-Roman" w:hAnsi="Book Antiqua" w:cstheme="minorHAnsi"/>
          <w:sz w:val="24"/>
          <w:szCs w:val="24"/>
          <w:lang w:val="en-GB"/>
        </w:rPr>
        <w:t>vedolizumab</w:t>
      </w:r>
      <w:proofErr w:type="spellEnd"/>
      <w:r w:rsidRPr="00CD4428">
        <w:rPr>
          <w:rFonts w:ascii="Book Antiqua" w:eastAsia="SabonLTStd-Roman" w:hAnsi="Book Antiqua" w:cstheme="minorHAnsi"/>
          <w:sz w:val="24"/>
          <w:szCs w:val="24"/>
          <w:lang w:val="en-GB"/>
        </w:rPr>
        <w:t xml:space="preserve"> </w:t>
      </w:r>
      <w:r w:rsidR="0023346F" w:rsidRPr="00CD4428">
        <w:rPr>
          <w:rFonts w:ascii="Book Antiqua" w:eastAsia="SabonLTStd-Roman" w:hAnsi="Book Antiqua" w:cstheme="minorHAnsi"/>
          <w:sz w:val="24"/>
          <w:szCs w:val="24"/>
          <w:lang w:val="en-GB"/>
        </w:rPr>
        <w:t xml:space="preserve">in </w:t>
      </w:r>
      <w:r w:rsidR="00D807E1" w:rsidRPr="00CD4428">
        <w:rPr>
          <w:rFonts w:ascii="Book Antiqua" w:eastAsia="SabonLTStd-Roman" w:hAnsi="Book Antiqua" w:cstheme="minorHAnsi"/>
          <w:sz w:val="24"/>
          <w:szCs w:val="24"/>
          <w:lang w:val="en-GB"/>
        </w:rPr>
        <w:t xml:space="preserve">315 </w:t>
      </w:r>
      <w:r w:rsidR="0023346F" w:rsidRPr="00CD4428">
        <w:rPr>
          <w:rFonts w:ascii="Book Antiqua" w:eastAsia="SabonLTStd-Roman" w:hAnsi="Book Antiqua" w:cstheme="minorHAnsi"/>
          <w:sz w:val="24"/>
          <w:szCs w:val="24"/>
          <w:lang w:val="en-GB"/>
        </w:rPr>
        <w:t xml:space="preserve">patients with moderately to severely active CD and </w:t>
      </w:r>
      <w:r w:rsidR="00D807E1" w:rsidRPr="00CD4428">
        <w:rPr>
          <w:rFonts w:ascii="Book Antiqua" w:eastAsia="SabonLTStd-Roman" w:hAnsi="Book Antiqua" w:cstheme="minorHAnsi"/>
          <w:sz w:val="24"/>
          <w:szCs w:val="24"/>
          <w:lang w:val="en-GB"/>
        </w:rPr>
        <w:t>inadequate response, loss of response</w:t>
      </w:r>
      <w:r w:rsidR="00F53FB2" w:rsidRPr="00CD4428">
        <w:rPr>
          <w:rFonts w:ascii="Book Antiqua" w:eastAsia="SabonLTStd-Roman" w:hAnsi="Book Antiqua" w:cstheme="minorHAnsi"/>
          <w:sz w:val="24"/>
          <w:szCs w:val="24"/>
          <w:lang w:val="en-GB"/>
        </w:rPr>
        <w:t>,</w:t>
      </w:r>
      <w:r w:rsidR="00D807E1" w:rsidRPr="00CD4428">
        <w:rPr>
          <w:rFonts w:ascii="Book Antiqua" w:eastAsia="SabonLTStd-Roman" w:hAnsi="Book Antiqua" w:cstheme="minorHAnsi"/>
          <w:sz w:val="24"/>
          <w:szCs w:val="24"/>
          <w:lang w:val="en-GB"/>
        </w:rPr>
        <w:t xml:space="preserve"> </w:t>
      </w:r>
      <w:r w:rsidR="0023346F" w:rsidRPr="00CD4428">
        <w:rPr>
          <w:rFonts w:ascii="Book Antiqua" w:eastAsia="SabonLTStd-Roman" w:hAnsi="Book Antiqua" w:cstheme="minorHAnsi"/>
          <w:sz w:val="24"/>
          <w:szCs w:val="24"/>
          <w:lang w:val="en-GB"/>
        </w:rPr>
        <w:t>or intolerance to previous TNF</w:t>
      </w:r>
      <w:r w:rsidR="007444A0" w:rsidRPr="00CD4428">
        <w:rPr>
          <w:rFonts w:ascii="Book Antiqua" w:eastAsia="SabonLTStd-Roman" w:hAnsi="Book Antiqua" w:cstheme="minorHAnsi"/>
          <w:sz w:val="24"/>
          <w:szCs w:val="24"/>
          <w:lang w:val="en-GB"/>
        </w:rPr>
        <w:t>α</w:t>
      </w:r>
      <w:r w:rsidR="0023346F" w:rsidRPr="00CD4428">
        <w:rPr>
          <w:rFonts w:ascii="Book Antiqua" w:eastAsia="SabonLTStd-Roman" w:hAnsi="Book Antiqua" w:cstheme="minorHAnsi"/>
          <w:sz w:val="24"/>
          <w:szCs w:val="24"/>
          <w:lang w:val="en-GB"/>
        </w:rPr>
        <w:t xml:space="preserve"> </w:t>
      </w:r>
      <w:proofErr w:type="gramStart"/>
      <w:r w:rsidR="0023346F" w:rsidRPr="00CD4428">
        <w:rPr>
          <w:rFonts w:ascii="Book Antiqua" w:eastAsia="SabonLTStd-Roman" w:hAnsi="Book Antiqua" w:cstheme="minorHAnsi"/>
          <w:sz w:val="24"/>
          <w:szCs w:val="24"/>
          <w:lang w:val="en-GB"/>
        </w:rPr>
        <w:t>antagonists</w:t>
      </w:r>
      <w:r w:rsidR="00BA71E1" w:rsidRPr="00CD4428">
        <w:rPr>
          <w:rFonts w:ascii="Book Antiqua" w:eastAsia="SabonLTStd-Roman" w:hAnsi="Book Antiqua" w:cstheme="minorHAnsi"/>
          <w:sz w:val="24"/>
          <w:szCs w:val="24"/>
          <w:vertAlign w:val="superscript"/>
          <w:lang w:val="en-GB"/>
        </w:rPr>
        <w:t>[</w:t>
      </w:r>
      <w:proofErr w:type="gramEnd"/>
      <w:r w:rsidR="003869BE" w:rsidRPr="00CD4428">
        <w:rPr>
          <w:rFonts w:ascii="Book Antiqua" w:eastAsia="SabonLTStd-Roman" w:hAnsi="Book Antiqua" w:cstheme="minorHAnsi"/>
          <w:sz w:val="24"/>
          <w:szCs w:val="24"/>
          <w:vertAlign w:val="superscript"/>
          <w:lang w:val="en-GB"/>
        </w:rPr>
        <w:t>12</w:t>
      </w:r>
      <w:r w:rsidR="00BA71E1" w:rsidRPr="00CD4428">
        <w:rPr>
          <w:rFonts w:ascii="Book Antiqua" w:eastAsia="SabonLTStd-Roman" w:hAnsi="Book Antiqua" w:cstheme="minorHAnsi"/>
          <w:sz w:val="24"/>
          <w:szCs w:val="24"/>
          <w:vertAlign w:val="superscript"/>
          <w:lang w:val="en-GB"/>
        </w:rPr>
        <w:t>]</w:t>
      </w:r>
      <w:r w:rsidR="00BA71E1" w:rsidRPr="00CD4428">
        <w:rPr>
          <w:rFonts w:ascii="Book Antiqua" w:eastAsia="SabonLTStd-Roman" w:hAnsi="Book Antiqua" w:cstheme="minorHAnsi"/>
          <w:sz w:val="24"/>
          <w:szCs w:val="24"/>
          <w:lang w:val="en-GB"/>
        </w:rPr>
        <w:t xml:space="preserve">. </w:t>
      </w:r>
      <w:r w:rsidR="006F1DF5" w:rsidRPr="00CD4428">
        <w:rPr>
          <w:rFonts w:ascii="Book Antiqua" w:eastAsia="SabonLTStd-Roman" w:hAnsi="Book Antiqua" w:cstheme="minorHAnsi"/>
          <w:sz w:val="24"/>
          <w:szCs w:val="24"/>
          <w:lang w:val="en-GB"/>
        </w:rPr>
        <w:t xml:space="preserve">Patients were assigned randomly to receive </w:t>
      </w:r>
      <w:proofErr w:type="spellStart"/>
      <w:r w:rsidR="006F1DF5" w:rsidRPr="00CD4428">
        <w:rPr>
          <w:rFonts w:ascii="Book Antiqua" w:eastAsia="SabonLTStd-Roman" w:hAnsi="Book Antiqua" w:cstheme="minorHAnsi"/>
          <w:sz w:val="24"/>
          <w:szCs w:val="24"/>
          <w:lang w:val="en-GB"/>
        </w:rPr>
        <w:t>vedolizumab</w:t>
      </w:r>
      <w:proofErr w:type="spellEnd"/>
      <w:r w:rsidR="006F1DF5" w:rsidRPr="00CD4428">
        <w:rPr>
          <w:rFonts w:ascii="Book Antiqua" w:eastAsia="SabonLTStd-Roman" w:hAnsi="Book Antiqua" w:cstheme="minorHAnsi"/>
          <w:sz w:val="24"/>
          <w:szCs w:val="24"/>
          <w:lang w:val="en-GB"/>
        </w:rPr>
        <w:t xml:space="preserve"> 300 mg </w:t>
      </w:r>
      <w:proofErr w:type="gramStart"/>
      <w:r w:rsidR="006F1DF5" w:rsidRPr="00CD4428">
        <w:rPr>
          <w:rFonts w:ascii="Book Antiqua" w:eastAsia="SabonLTStd-Roman" w:hAnsi="Book Antiqua" w:cstheme="minorHAnsi"/>
          <w:sz w:val="24"/>
          <w:szCs w:val="24"/>
          <w:lang w:val="en-GB"/>
        </w:rPr>
        <w:t>iv</w:t>
      </w:r>
      <w:proofErr w:type="gramEnd"/>
      <w:r w:rsidR="006F1DF5" w:rsidRPr="00CD4428">
        <w:rPr>
          <w:rFonts w:ascii="Book Antiqua" w:eastAsia="SabonLTStd-Roman" w:hAnsi="Book Antiqua" w:cstheme="minorHAnsi"/>
          <w:sz w:val="24"/>
          <w:szCs w:val="24"/>
          <w:lang w:val="en-GB"/>
        </w:rPr>
        <w:t xml:space="preserve"> or placebo at weeks 0, 2</w:t>
      </w:r>
      <w:r w:rsidR="00F53FB2" w:rsidRPr="00CD4428">
        <w:rPr>
          <w:rFonts w:ascii="Book Antiqua" w:eastAsia="SabonLTStd-Roman" w:hAnsi="Book Antiqua" w:cstheme="minorHAnsi"/>
          <w:sz w:val="24"/>
          <w:szCs w:val="24"/>
          <w:lang w:val="en-GB"/>
        </w:rPr>
        <w:t>,</w:t>
      </w:r>
      <w:r w:rsidR="006F1DF5" w:rsidRPr="00CD4428">
        <w:rPr>
          <w:rFonts w:ascii="Book Antiqua" w:eastAsia="SabonLTStd-Roman" w:hAnsi="Book Antiqua" w:cstheme="minorHAnsi"/>
          <w:sz w:val="24"/>
          <w:szCs w:val="24"/>
          <w:lang w:val="en-GB"/>
        </w:rPr>
        <w:t xml:space="preserve"> and 6.</w:t>
      </w:r>
      <w:r w:rsidR="00590110" w:rsidRPr="00CD4428">
        <w:rPr>
          <w:rFonts w:ascii="Book Antiqua" w:eastAsia="SabonLTStd-Roman" w:hAnsi="Book Antiqua" w:cstheme="minorHAnsi"/>
          <w:sz w:val="24"/>
          <w:szCs w:val="24"/>
          <w:lang w:val="en-GB"/>
        </w:rPr>
        <w:t xml:space="preserve"> </w:t>
      </w:r>
      <w:r w:rsidR="00D807E1" w:rsidRPr="00CD4428">
        <w:rPr>
          <w:rFonts w:ascii="Book Antiqua" w:eastAsia="SabonLTStd-Roman" w:hAnsi="Book Antiqua" w:cstheme="minorHAnsi"/>
          <w:sz w:val="24"/>
          <w:szCs w:val="24"/>
          <w:lang w:val="en-GB"/>
        </w:rPr>
        <w:t xml:space="preserve">Clinical remission at week 6 was observed in 15.2% of </w:t>
      </w:r>
      <w:proofErr w:type="spellStart"/>
      <w:r w:rsidR="00D807E1" w:rsidRPr="00CD4428">
        <w:rPr>
          <w:rFonts w:ascii="Book Antiqua" w:eastAsia="SabonLTStd-Roman" w:hAnsi="Book Antiqua" w:cstheme="minorHAnsi"/>
          <w:sz w:val="24"/>
          <w:szCs w:val="24"/>
          <w:lang w:val="en-GB"/>
        </w:rPr>
        <w:t>vedolizumab</w:t>
      </w:r>
      <w:proofErr w:type="spellEnd"/>
      <w:r w:rsidR="00D807E1" w:rsidRPr="00CD4428">
        <w:rPr>
          <w:rFonts w:ascii="Book Antiqua" w:eastAsia="SabonLTStd-Roman" w:hAnsi="Book Antiqua" w:cstheme="minorHAnsi"/>
          <w:sz w:val="24"/>
          <w:szCs w:val="24"/>
          <w:lang w:val="en-GB"/>
        </w:rPr>
        <w:t xml:space="preserve"> patients compared to 12.1% </w:t>
      </w:r>
      <w:r w:rsidR="00F53FB2" w:rsidRPr="00CD4428">
        <w:rPr>
          <w:rFonts w:ascii="Book Antiqua" w:eastAsia="SabonLTStd-Roman" w:hAnsi="Book Antiqua" w:cstheme="minorHAnsi"/>
          <w:sz w:val="24"/>
          <w:szCs w:val="24"/>
          <w:lang w:val="en-GB"/>
        </w:rPr>
        <w:t xml:space="preserve">in the </w:t>
      </w:r>
      <w:r w:rsidR="00D807E1" w:rsidRPr="00CD4428">
        <w:rPr>
          <w:rFonts w:ascii="Book Antiqua" w:eastAsia="SabonLTStd-Roman" w:hAnsi="Book Antiqua" w:cstheme="minorHAnsi"/>
          <w:sz w:val="24"/>
          <w:szCs w:val="24"/>
          <w:lang w:val="en-GB"/>
        </w:rPr>
        <w:t>placebo group</w:t>
      </w:r>
      <w:r w:rsidR="006E240B" w:rsidRPr="00CD4428">
        <w:rPr>
          <w:rFonts w:ascii="Book Antiqua" w:eastAsia="SabonLTStd-Roman" w:hAnsi="Book Antiqua" w:cstheme="minorHAnsi"/>
          <w:sz w:val="24"/>
          <w:szCs w:val="24"/>
          <w:lang w:val="en-GB"/>
        </w:rPr>
        <w:t xml:space="preserve"> (</w:t>
      </w:r>
      <w:r w:rsidR="006B2B5A" w:rsidRPr="006B2B5A">
        <w:rPr>
          <w:rFonts w:ascii="Book Antiqua" w:eastAsia="SabonLTStd-Roman" w:hAnsi="Book Antiqua" w:cstheme="minorHAnsi"/>
          <w:i/>
          <w:caps/>
          <w:sz w:val="24"/>
          <w:szCs w:val="24"/>
          <w:lang w:val="en-GB"/>
        </w:rPr>
        <w:t>p</w:t>
      </w:r>
      <w:r w:rsidR="006B2B5A" w:rsidRPr="00CD4428">
        <w:rPr>
          <w:rFonts w:ascii="Book Antiqua" w:eastAsia="SabonLTStd-Roman" w:hAnsi="Book Antiqua" w:cstheme="minorHAnsi"/>
          <w:sz w:val="24"/>
          <w:szCs w:val="24"/>
          <w:lang w:val="en-GB"/>
        </w:rPr>
        <w:t xml:space="preserve"> </w:t>
      </w:r>
      <w:r w:rsidR="006E240B" w:rsidRPr="00CD4428">
        <w:rPr>
          <w:rFonts w:ascii="Book Antiqua" w:eastAsia="SabonLTStd-Roman" w:hAnsi="Book Antiqua" w:cstheme="minorHAnsi"/>
          <w:sz w:val="24"/>
          <w:szCs w:val="24"/>
          <w:lang w:val="en-GB"/>
        </w:rPr>
        <w:t>= 0.4)</w:t>
      </w:r>
      <w:r w:rsidR="00E43CCE" w:rsidRPr="00CD4428">
        <w:rPr>
          <w:rFonts w:ascii="Book Antiqua" w:eastAsia="SabonLTStd-Roman" w:hAnsi="Book Antiqua" w:cstheme="minorHAnsi"/>
          <w:sz w:val="24"/>
          <w:szCs w:val="24"/>
          <w:lang w:val="en-GB"/>
        </w:rPr>
        <w:t xml:space="preserve"> (Table </w:t>
      </w:r>
      <w:r w:rsidR="00E456B2" w:rsidRPr="00CD4428">
        <w:rPr>
          <w:rFonts w:ascii="Book Antiqua" w:eastAsia="SabonLTStd-Roman" w:hAnsi="Book Antiqua" w:cstheme="minorHAnsi"/>
          <w:sz w:val="24"/>
          <w:szCs w:val="24"/>
          <w:lang w:val="en-GB"/>
        </w:rPr>
        <w:t>1</w:t>
      </w:r>
      <w:r w:rsidR="00E43CCE" w:rsidRPr="00CD4428">
        <w:rPr>
          <w:rFonts w:ascii="Book Antiqua" w:eastAsia="SabonLTStd-Roman" w:hAnsi="Book Antiqua" w:cstheme="minorHAnsi"/>
          <w:sz w:val="24"/>
          <w:szCs w:val="24"/>
          <w:lang w:val="en-GB"/>
        </w:rPr>
        <w:t>)</w:t>
      </w:r>
      <w:r w:rsidR="00D807E1" w:rsidRPr="00CD4428">
        <w:rPr>
          <w:rFonts w:ascii="Book Antiqua" w:eastAsia="SabonLTStd-Roman" w:hAnsi="Book Antiqua" w:cstheme="minorHAnsi"/>
          <w:sz w:val="24"/>
          <w:szCs w:val="24"/>
          <w:lang w:val="en-GB"/>
        </w:rPr>
        <w:t>. Therefore</w:t>
      </w:r>
      <w:r w:rsidR="00F53FB2" w:rsidRPr="00CD4428">
        <w:rPr>
          <w:rFonts w:ascii="Book Antiqua" w:eastAsia="SabonLTStd-Roman" w:hAnsi="Book Antiqua" w:cstheme="minorHAnsi"/>
          <w:sz w:val="24"/>
          <w:szCs w:val="24"/>
          <w:lang w:val="en-GB"/>
        </w:rPr>
        <w:t>,</w:t>
      </w:r>
      <w:r w:rsidR="00D807E1" w:rsidRPr="00CD4428">
        <w:rPr>
          <w:rFonts w:ascii="Book Antiqua" w:eastAsia="SabonLTStd-Roman" w:hAnsi="Book Antiqua" w:cstheme="minorHAnsi"/>
          <w:sz w:val="24"/>
          <w:szCs w:val="24"/>
          <w:lang w:val="en-GB"/>
        </w:rPr>
        <w:t xml:space="preserve"> the primary endpoint of the study </w:t>
      </w:r>
      <w:proofErr w:type="gramStart"/>
      <w:r w:rsidR="00D807E1" w:rsidRPr="00CD4428">
        <w:rPr>
          <w:rFonts w:ascii="Book Antiqua" w:eastAsia="SabonLTStd-Roman" w:hAnsi="Book Antiqua" w:cstheme="minorHAnsi"/>
          <w:sz w:val="24"/>
          <w:szCs w:val="24"/>
          <w:lang w:val="en-GB"/>
        </w:rPr>
        <w:t>was not met</w:t>
      </w:r>
      <w:proofErr w:type="gramEnd"/>
      <w:r w:rsidR="00D807E1" w:rsidRPr="00CD4428">
        <w:rPr>
          <w:rFonts w:ascii="Book Antiqua" w:eastAsia="SabonLTStd-Roman" w:hAnsi="Book Antiqua" w:cstheme="minorHAnsi"/>
          <w:sz w:val="24"/>
          <w:szCs w:val="24"/>
          <w:lang w:val="en-GB"/>
        </w:rPr>
        <w:t xml:space="preserve">. However, the </w:t>
      </w:r>
      <w:r w:rsidR="00346917" w:rsidRPr="00CD4428">
        <w:rPr>
          <w:rFonts w:ascii="Book Antiqua" w:eastAsia="SabonLTStd-Roman" w:hAnsi="Book Antiqua" w:cstheme="minorHAnsi"/>
          <w:sz w:val="24"/>
          <w:szCs w:val="24"/>
          <w:lang w:val="en-GB"/>
        </w:rPr>
        <w:t xml:space="preserve">rates of clinical remission at week 10 were significantly higher in patients treated with </w:t>
      </w:r>
      <w:proofErr w:type="spellStart"/>
      <w:r w:rsidR="00346917" w:rsidRPr="00CD4428">
        <w:rPr>
          <w:rFonts w:ascii="Book Antiqua" w:eastAsia="SabonLTStd-Roman" w:hAnsi="Book Antiqua" w:cstheme="minorHAnsi"/>
          <w:sz w:val="24"/>
          <w:szCs w:val="24"/>
          <w:lang w:val="en-GB"/>
        </w:rPr>
        <w:t>vedolizumab</w:t>
      </w:r>
      <w:proofErr w:type="spellEnd"/>
      <w:r w:rsidR="00346917" w:rsidRPr="00CD4428">
        <w:rPr>
          <w:rFonts w:ascii="Book Antiqua" w:eastAsia="SabonLTStd-Roman" w:hAnsi="Book Antiqua" w:cstheme="minorHAnsi"/>
          <w:sz w:val="24"/>
          <w:szCs w:val="24"/>
          <w:lang w:val="en-GB"/>
        </w:rPr>
        <w:t xml:space="preserve"> (26.6% </w:t>
      </w:r>
      <w:r w:rsidR="00346917" w:rsidRPr="006B2B5A">
        <w:rPr>
          <w:rFonts w:ascii="Book Antiqua" w:eastAsia="SabonLTStd-Roman" w:hAnsi="Book Antiqua" w:cstheme="minorHAnsi"/>
          <w:i/>
          <w:sz w:val="24"/>
          <w:szCs w:val="24"/>
          <w:lang w:val="en-GB"/>
        </w:rPr>
        <w:t>vs</w:t>
      </w:r>
      <w:r w:rsidR="00346917" w:rsidRPr="00CD4428">
        <w:rPr>
          <w:rFonts w:ascii="Book Antiqua" w:eastAsia="SabonLTStd-Roman" w:hAnsi="Book Antiqua" w:cstheme="minorHAnsi"/>
          <w:sz w:val="24"/>
          <w:szCs w:val="24"/>
          <w:lang w:val="en-GB"/>
        </w:rPr>
        <w:t xml:space="preserve"> 12.1% </w:t>
      </w:r>
      <w:r w:rsidR="00F53FB2" w:rsidRPr="00CD4428">
        <w:rPr>
          <w:rFonts w:ascii="Book Antiqua" w:eastAsia="SabonLTStd-Roman" w:hAnsi="Book Antiqua" w:cstheme="minorHAnsi"/>
          <w:sz w:val="24"/>
          <w:szCs w:val="24"/>
          <w:lang w:val="en-GB"/>
        </w:rPr>
        <w:t xml:space="preserve">in the </w:t>
      </w:r>
      <w:r w:rsidR="00346917" w:rsidRPr="00CD4428">
        <w:rPr>
          <w:rFonts w:ascii="Book Antiqua" w:eastAsia="SabonLTStd-Roman" w:hAnsi="Book Antiqua" w:cstheme="minorHAnsi"/>
          <w:sz w:val="24"/>
          <w:szCs w:val="24"/>
          <w:lang w:val="en-GB"/>
        </w:rPr>
        <w:t>placebo group; p</w:t>
      </w:r>
      <w:r w:rsidR="00F53FB2" w:rsidRPr="00CD4428">
        <w:rPr>
          <w:rFonts w:ascii="Book Antiqua" w:eastAsia="SabonLTStd-Roman" w:hAnsi="Book Antiqua" w:cstheme="minorHAnsi"/>
          <w:sz w:val="24"/>
          <w:szCs w:val="24"/>
          <w:lang w:val="en-GB"/>
        </w:rPr>
        <w:t xml:space="preserve"> </w:t>
      </w:r>
      <w:r w:rsidR="00346917" w:rsidRPr="00CD4428">
        <w:rPr>
          <w:rFonts w:ascii="Book Antiqua" w:eastAsia="SabonLTStd-Roman" w:hAnsi="Book Antiqua" w:cstheme="minorHAnsi"/>
          <w:sz w:val="24"/>
          <w:szCs w:val="24"/>
          <w:lang w:val="en-GB"/>
        </w:rPr>
        <w:t>=</w:t>
      </w:r>
      <w:r w:rsidR="00F53FB2" w:rsidRPr="00CD4428">
        <w:rPr>
          <w:rFonts w:ascii="Book Antiqua" w:eastAsia="SabonLTStd-Roman" w:hAnsi="Book Antiqua" w:cstheme="minorHAnsi"/>
          <w:sz w:val="24"/>
          <w:szCs w:val="24"/>
          <w:lang w:val="en-GB"/>
        </w:rPr>
        <w:t xml:space="preserve"> </w:t>
      </w:r>
      <w:r w:rsidR="00346917" w:rsidRPr="00CD4428">
        <w:rPr>
          <w:rFonts w:ascii="Book Antiqua" w:eastAsia="SabonLTStd-Roman" w:hAnsi="Book Antiqua" w:cstheme="minorHAnsi"/>
          <w:sz w:val="24"/>
          <w:szCs w:val="24"/>
          <w:lang w:val="en-GB"/>
        </w:rPr>
        <w:t>0.001).</w:t>
      </w:r>
      <w:r w:rsidR="00590110" w:rsidRPr="00CD4428">
        <w:rPr>
          <w:rFonts w:ascii="Book Antiqua" w:eastAsia="SabonLTStd-Roman" w:hAnsi="Book Antiqua" w:cstheme="minorHAnsi"/>
          <w:sz w:val="24"/>
          <w:szCs w:val="24"/>
          <w:lang w:val="en-GB"/>
        </w:rPr>
        <w:t xml:space="preserve"> </w:t>
      </w:r>
      <w:r w:rsidR="007F157F" w:rsidRPr="00CD4428">
        <w:rPr>
          <w:rFonts w:ascii="Book Antiqua" w:eastAsia="SabonLTStd-Roman" w:hAnsi="Book Antiqua" w:cstheme="minorHAnsi"/>
          <w:sz w:val="24"/>
          <w:szCs w:val="24"/>
          <w:lang w:val="en-GB"/>
        </w:rPr>
        <w:t xml:space="preserve">The benefit in this population </w:t>
      </w:r>
      <w:proofErr w:type="gramStart"/>
      <w:r w:rsidR="007F157F" w:rsidRPr="00CD4428">
        <w:rPr>
          <w:rFonts w:ascii="Book Antiqua" w:eastAsia="SabonLTStd-Roman" w:hAnsi="Book Antiqua" w:cstheme="minorHAnsi"/>
          <w:sz w:val="24"/>
          <w:szCs w:val="24"/>
          <w:lang w:val="en-GB"/>
        </w:rPr>
        <w:t xml:space="preserve">was </w:t>
      </w:r>
      <w:r w:rsidR="003869BE" w:rsidRPr="00CD4428">
        <w:rPr>
          <w:rFonts w:ascii="Book Antiqua" w:eastAsia="SabonLTStd-Roman" w:hAnsi="Book Antiqua" w:cstheme="minorHAnsi"/>
          <w:sz w:val="24"/>
          <w:szCs w:val="24"/>
          <w:lang w:val="en-GB"/>
        </w:rPr>
        <w:t xml:space="preserve">therefore </w:t>
      </w:r>
      <w:r w:rsidR="007F157F" w:rsidRPr="00CD4428">
        <w:rPr>
          <w:rFonts w:ascii="Book Antiqua" w:eastAsia="SabonLTStd-Roman" w:hAnsi="Book Antiqua" w:cstheme="minorHAnsi"/>
          <w:sz w:val="24"/>
          <w:szCs w:val="24"/>
          <w:lang w:val="en-GB"/>
        </w:rPr>
        <w:t>observed</w:t>
      </w:r>
      <w:proofErr w:type="gramEnd"/>
      <w:r w:rsidR="007F157F" w:rsidRPr="00CD4428">
        <w:rPr>
          <w:rFonts w:ascii="Book Antiqua" w:eastAsia="SabonLTStd-Roman" w:hAnsi="Book Antiqua" w:cstheme="minorHAnsi"/>
          <w:sz w:val="24"/>
          <w:szCs w:val="24"/>
          <w:lang w:val="en-GB"/>
        </w:rPr>
        <w:t xml:space="preserve"> at week 10, suggesting a delay</w:t>
      </w:r>
      <w:r w:rsidR="00F53FB2" w:rsidRPr="00CD4428">
        <w:rPr>
          <w:rFonts w:ascii="Book Antiqua" w:eastAsia="SabonLTStd-Roman" w:hAnsi="Book Antiqua" w:cstheme="minorHAnsi"/>
          <w:sz w:val="24"/>
          <w:szCs w:val="24"/>
          <w:lang w:val="en-GB"/>
        </w:rPr>
        <w:t>ed</w:t>
      </w:r>
      <w:r w:rsidR="007F157F" w:rsidRPr="00CD4428">
        <w:rPr>
          <w:rFonts w:ascii="Book Antiqua" w:eastAsia="SabonLTStd-Roman" w:hAnsi="Book Antiqua" w:cstheme="minorHAnsi"/>
          <w:sz w:val="24"/>
          <w:szCs w:val="24"/>
          <w:lang w:val="en-GB"/>
        </w:rPr>
        <w:t xml:space="preserve"> response in obtaining clinical remission. I</w:t>
      </w:r>
      <w:r w:rsidR="0097493C" w:rsidRPr="00CD4428">
        <w:rPr>
          <w:rFonts w:ascii="Book Antiqua" w:eastAsia="SabonLTStd-Roman" w:hAnsi="Book Antiqua" w:cstheme="minorHAnsi"/>
          <w:sz w:val="24"/>
          <w:szCs w:val="24"/>
          <w:lang w:val="en-GB"/>
        </w:rPr>
        <w:t>n clinical practice</w:t>
      </w:r>
      <w:r w:rsidR="00F53FB2" w:rsidRPr="00CD4428">
        <w:rPr>
          <w:rFonts w:ascii="Book Antiqua" w:eastAsia="SabonLTStd-Roman" w:hAnsi="Book Antiqua" w:cstheme="minorHAnsi"/>
          <w:sz w:val="24"/>
          <w:szCs w:val="24"/>
          <w:lang w:val="en-GB"/>
        </w:rPr>
        <w:t>,</w:t>
      </w:r>
      <w:r w:rsidR="00346917" w:rsidRPr="00CD4428">
        <w:rPr>
          <w:rFonts w:ascii="Book Antiqua" w:eastAsia="SabonLTStd-Roman" w:hAnsi="Book Antiqua" w:cstheme="minorHAnsi"/>
          <w:sz w:val="24"/>
          <w:szCs w:val="24"/>
          <w:lang w:val="en-GB"/>
        </w:rPr>
        <w:t xml:space="preserve"> </w:t>
      </w:r>
      <w:r w:rsidR="0097493C" w:rsidRPr="00CD4428">
        <w:rPr>
          <w:rFonts w:ascii="Book Antiqua" w:eastAsia="SabonLTStd-Roman" w:hAnsi="Book Antiqua" w:cstheme="minorHAnsi"/>
          <w:sz w:val="24"/>
          <w:szCs w:val="24"/>
          <w:lang w:val="en-GB"/>
        </w:rPr>
        <w:t xml:space="preserve">there is </w:t>
      </w:r>
      <w:r w:rsidR="00F53FB2" w:rsidRPr="00CD4428">
        <w:rPr>
          <w:rFonts w:ascii="Book Antiqua" w:eastAsia="SabonLTStd-Roman" w:hAnsi="Book Antiqua" w:cstheme="minorHAnsi"/>
          <w:sz w:val="24"/>
          <w:szCs w:val="24"/>
          <w:lang w:val="en-GB"/>
        </w:rPr>
        <w:t xml:space="preserve">an </w:t>
      </w:r>
      <w:r w:rsidR="007F157F" w:rsidRPr="00CD4428">
        <w:rPr>
          <w:rFonts w:ascii="Book Antiqua" w:eastAsia="SabonLTStd-Roman" w:hAnsi="Book Antiqua" w:cstheme="minorHAnsi"/>
          <w:sz w:val="24"/>
          <w:szCs w:val="24"/>
          <w:lang w:val="en-GB"/>
        </w:rPr>
        <w:t>opportunity</w:t>
      </w:r>
      <w:r w:rsidR="0097493C" w:rsidRPr="00CD4428">
        <w:rPr>
          <w:rFonts w:ascii="Book Antiqua" w:eastAsia="SabonLTStd-Roman" w:hAnsi="Book Antiqua" w:cstheme="minorHAnsi"/>
          <w:sz w:val="24"/>
          <w:szCs w:val="24"/>
          <w:lang w:val="en-GB"/>
        </w:rPr>
        <w:t xml:space="preserve"> </w:t>
      </w:r>
      <w:r w:rsidR="00F53FB2" w:rsidRPr="00CD4428">
        <w:rPr>
          <w:rFonts w:ascii="Book Antiqua" w:eastAsia="SabonLTStd-Roman" w:hAnsi="Book Antiqua" w:cstheme="minorHAnsi"/>
          <w:sz w:val="24"/>
          <w:szCs w:val="24"/>
          <w:lang w:val="en-GB"/>
        </w:rPr>
        <w:t xml:space="preserve">for </w:t>
      </w:r>
      <w:r w:rsidR="0097493C" w:rsidRPr="00CD4428">
        <w:rPr>
          <w:rFonts w:ascii="Book Antiqua" w:eastAsia="SabonLTStd-Roman" w:hAnsi="Book Antiqua" w:cstheme="minorHAnsi"/>
          <w:sz w:val="24"/>
          <w:szCs w:val="24"/>
          <w:lang w:val="en-GB"/>
        </w:rPr>
        <w:t xml:space="preserve">a fourth induction dose at week 10 in patients </w:t>
      </w:r>
      <w:r w:rsidR="00F53FB2" w:rsidRPr="00CD4428">
        <w:rPr>
          <w:rFonts w:ascii="Book Antiqua" w:eastAsia="SabonLTStd-Roman" w:hAnsi="Book Antiqua" w:cstheme="minorHAnsi"/>
          <w:sz w:val="24"/>
          <w:szCs w:val="24"/>
          <w:lang w:val="en-GB"/>
        </w:rPr>
        <w:t xml:space="preserve">with CD, </w:t>
      </w:r>
      <w:r w:rsidR="0097493C" w:rsidRPr="00CD4428">
        <w:rPr>
          <w:rFonts w:ascii="Book Antiqua" w:eastAsia="SabonLTStd-Roman" w:hAnsi="Book Antiqua" w:cstheme="minorHAnsi"/>
          <w:sz w:val="24"/>
          <w:szCs w:val="24"/>
          <w:lang w:val="en-GB"/>
        </w:rPr>
        <w:t>with insufficient response to the first three administrations</w:t>
      </w:r>
      <w:r w:rsidR="007F157F" w:rsidRPr="00CD4428">
        <w:rPr>
          <w:rFonts w:ascii="Book Antiqua" w:eastAsia="SabonLTStd-Roman" w:hAnsi="Book Antiqua" w:cstheme="minorHAnsi"/>
          <w:sz w:val="24"/>
          <w:szCs w:val="24"/>
          <w:lang w:val="en-GB"/>
        </w:rPr>
        <w:t xml:space="preserve"> of </w:t>
      </w:r>
      <w:proofErr w:type="spellStart"/>
      <w:r w:rsidR="007F157F" w:rsidRPr="00CD4428">
        <w:rPr>
          <w:rFonts w:ascii="Book Antiqua" w:eastAsia="SabonLTStd-Roman" w:hAnsi="Book Antiqua" w:cstheme="minorHAnsi"/>
          <w:sz w:val="24"/>
          <w:szCs w:val="24"/>
          <w:lang w:val="en-GB"/>
        </w:rPr>
        <w:t>vedolizumab</w:t>
      </w:r>
      <w:proofErr w:type="spellEnd"/>
      <w:r w:rsidR="0097493C" w:rsidRPr="00CD4428">
        <w:rPr>
          <w:rFonts w:ascii="Book Antiqua" w:eastAsia="SabonLTStd-Roman" w:hAnsi="Book Antiqua" w:cstheme="minorHAnsi"/>
          <w:sz w:val="24"/>
          <w:szCs w:val="24"/>
          <w:lang w:val="en-GB"/>
        </w:rPr>
        <w:t>.</w:t>
      </w:r>
      <w:r w:rsidR="00590110" w:rsidRPr="00CD4428">
        <w:rPr>
          <w:rFonts w:ascii="Book Antiqua" w:eastAsia="SabonLTStd-Roman" w:hAnsi="Book Antiqua" w:cstheme="minorHAnsi"/>
          <w:sz w:val="24"/>
          <w:szCs w:val="24"/>
          <w:lang w:val="en-GB"/>
        </w:rPr>
        <w:t xml:space="preserve"> </w:t>
      </w:r>
    </w:p>
    <w:p w14:paraId="5D4B8BE9" w14:textId="4CD36FBC" w:rsidR="00EF69CB" w:rsidRPr="00CD4428" w:rsidRDefault="00EF69CB" w:rsidP="006B2B5A">
      <w:pPr>
        <w:autoSpaceDE w:val="0"/>
        <w:autoSpaceDN w:val="0"/>
        <w:adjustRightInd w:val="0"/>
        <w:snapToGrid w:val="0"/>
        <w:spacing w:after="0" w:line="360" w:lineRule="auto"/>
        <w:ind w:firstLineChars="100" w:firstLine="24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A meta-analysis pooling data</w:t>
      </w:r>
      <w:r w:rsidR="00590110" w:rsidRPr="00CD4428">
        <w:rPr>
          <w:rFonts w:ascii="Book Antiqua" w:eastAsia="SabonLTStd-Roman" w:hAnsi="Book Antiqua" w:cstheme="minorHAnsi"/>
          <w:sz w:val="24"/>
          <w:szCs w:val="24"/>
          <w:lang w:val="en-GB"/>
        </w:rPr>
        <w:t xml:space="preserve"> </w:t>
      </w:r>
      <w:r w:rsidRPr="00CD4428">
        <w:rPr>
          <w:rFonts w:ascii="Book Antiqua" w:eastAsia="SabonLTStd-Roman" w:hAnsi="Book Antiqua" w:cstheme="minorHAnsi"/>
          <w:sz w:val="24"/>
          <w:szCs w:val="24"/>
          <w:lang w:val="en-GB"/>
        </w:rPr>
        <w:t xml:space="preserve">from </w:t>
      </w:r>
      <w:r w:rsidR="00F53FB2" w:rsidRPr="00CD4428">
        <w:rPr>
          <w:rFonts w:ascii="Book Antiqua" w:eastAsia="SabonLTStd-Roman" w:hAnsi="Book Antiqua" w:cstheme="minorHAnsi"/>
          <w:sz w:val="24"/>
          <w:szCs w:val="24"/>
          <w:lang w:val="en-GB"/>
        </w:rPr>
        <w:t xml:space="preserve">the </w:t>
      </w:r>
      <w:r w:rsidRPr="00CD4428">
        <w:rPr>
          <w:rFonts w:ascii="Book Antiqua" w:eastAsia="SabonLTStd-Roman" w:hAnsi="Book Antiqua" w:cstheme="minorHAnsi"/>
          <w:sz w:val="24"/>
          <w:szCs w:val="24"/>
          <w:lang w:val="en-GB"/>
        </w:rPr>
        <w:t xml:space="preserve">phase II and phase III </w:t>
      </w:r>
      <w:r w:rsidR="00F47D80" w:rsidRPr="00CD4428">
        <w:rPr>
          <w:rFonts w:ascii="Book Antiqua" w:eastAsia="SabonLTStd-Roman" w:hAnsi="Book Antiqua" w:cstheme="minorHAnsi"/>
          <w:sz w:val="24"/>
          <w:szCs w:val="24"/>
          <w:lang w:val="en-GB"/>
        </w:rPr>
        <w:t xml:space="preserve">randomized controlled </w:t>
      </w:r>
      <w:r w:rsidRPr="00CD4428">
        <w:rPr>
          <w:rFonts w:ascii="Book Antiqua" w:eastAsia="SabonLTStd-Roman" w:hAnsi="Book Antiqua" w:cstheme="minorHAnsi"/>
          <w:sz w:val="24"/>
          <w:szCs w:val="24"/>
          <w:lang w:val="en-GB"/>
        </w:rPr>
        <w:t xml:space="preserve">studies involving </w:t>
      </w:r>
      <w:r w:rsidR="00F53FB2" w:rsidRPr="00CD4428">
        <w:rPr>
          <w:rFonts w:ascii="Book Antiqua" w:eastAsia="SabonLTStd-Roman" w:hAnsi="Book Antiqua" w:cstheme="minorHAnsi"/>
          <w:sz w:val="24"/>
          <w:szCs w:val="24"/>
          <w:lang w:val="en-GB"/>
        </w:rPr>
        <w:t xml:space="preserve">patients with </w:t>
      </w:r>
      <w:r w:rsidR="005F03FC" w:rsidRPr="00CD4428">
        <w:rPr>
          <w:rFonts w:ascii="Book Antiqua" w:eastAsia="SabonLTStd-Roman" w:hAnsi="Book Antiqua" w:cstheme="minorHAnsi"/>
          <w:sz w:val="24"/>
          <w:szCs w:val="24"/>
          <w:lang w:val="en-GB"/>
        </w:rPr>
        <w:t>active CD</w:t>
      </w:r>
      <w:r w:rsidRPr="00CD4428">
        <w:rPr>
          <w:rFonts w:ascii="Book Antiqua" w:eastAsia="SabonLTStd-Roman" w:hAnsi="Book Antiqua" w:cstheme="minorHAnsi"/>
          <w:sz w:val="24"/>
          <w:szCs w:val="24"/>
          <w:lang w:val="en-GB"/>
        </w:rPr>
        <w:t xml:space="preserve"> showed that</w:t>
      </w:r>
      <w:r w:rsidR="00590110" w:rsidRPr="00CD4428">
        <w:rPr>
          <w:rFonts w:ascii="Book Antiqua" w:eastAsia="SabonLTStd-Roman" w:hAnsi="Book Antiqua" w:cstheme="minorHAnsi"/>
          <w:sz w:val="24"/>
          <w:szCs w:val="24"/>
          <w:lang w:val="en-GB"/>
        </w:rPr>
        <w:t xml:space="preserve"> </w:t>
      </w:r>
      <w:proofErr w:type="spellStart"/>
      <w:r w:rsidRPr="00CD4428">
        <w:rPr>
          <w:rFonts w:ascii="Book Antiqua" w:eastAsia="SabonLTStd-Roman" w:hAnsi="Book Antiqua" w:cstheme="minorHAnsi"/>
          <w:sz w:val="24"/>
          <w:szCs w:val="24"/>
          <w:lang w:val="en-GB"/>
        </w:rPr>
        <w:t>vedolizumab</w:t>
      </w:r>
      <w:proofErr w:type="spellEnd"/>
      <w:r w:rsidRPr="00CD4428">
        <w:rPr>
          <w:rFonts w:ascii="Book Antiqua" w:eastAsia="SabonLTStd-Roman" w:hAnsi="Book Antiqua" w:cstheme="minorHAnsi"/>
          <w:sz w:val="24"/>
          <w:szCs w:val="24"/>
          <w:lang w:val="en-GB"/>
        </w:rPr>
        <w:t xml:space="preserve"> increased the rates of clinical remission and CDAI-100 response </w:t>
      </w:r>
      <w:r w:rsidR="00F53FB2" w:rsidRPr="00CD4428">
        <w:rPr>
          <w:rFonts w:ascii="Book Antiqua" w:eastAsia="SabonLTStd-Roman" w:hAnsi="Book Antiqua" w:cstheme="minorHAnsi"/>
          <w:sz w:val="24"/>
          <w:szCs w:val="24"/>
          <w:lang w:val="en-GB"/>
        </w:rPr>
        <w:t xml:space="preserve">during the </w:t>
      </w:r>
      <w:r w:rsidR="005F03FC" w:rsidRPr="00CD4428">
        <w:rPr>
          <w:rFonts w:ascii="Book Antiqua" w:eastAsia="SabonLTStd-Roman" w:hAnsi="Book Antiqua" w:cstheme="minorHAnsi"/>
          <w:sz w:val="24"/>
          <w:szCs w:val="24"/>
          <w:lang w:val="en-GB"/>
        </w:rPr>
        <w:t>induction phase</w:t>
      </w:r>
      <w:r w:rsidR="000A6ED5" w:rsidRPr="00CD4428">
        <w:rPr>
          <w:rFonts w:ascii="Book Antiqua" w:eastAsia="SabonLTStd-Roman" w:hAnsi="Book Antiqua" w:cstheme="minorHAnsi"/>
          <w:sz w:val="24"/>
          <w:szCs w:val="24"/>
          <w:lang w:val="en-GB"/>
        </w:rPr>
        <w:t xml:space="preserve">, although it failed to meet some of the primary endpoints of </w:t>
      </w:r>
      <w:r w:rsidR="00F53FB2" w:rsidRPr="00CD4428">
        <w:rPr>
          <w:rFonts w:ascii="Book Antiqua" w:eastAsia="SabonLTStd-Roman" w:hAnsi="Book Antiqua" w:cstheme="minorHAnsi"/>
          <w:sz w:val="24"/>
          <w:szCs w:val="24"/>
          <w:lang w:val="en-GB"/>
        </w:rPr>
        <w:t xml:space="preserve">the </w:t>
      </w:r>
      <w:r w:rsidR="000A6ED5" w:rsidRPr="00CD4428">
        <w:rPr>
          <w:rFonts w:ascii="Book Antiqua" w:eastAsia="SabonLTStd-Roman" w:hAnsi="Book Antiqua" w:cstheme="minorHAnsi"/>
          <w:sz w:val="24"/>
          <w:szCs w:val="24"/>
          <w:lang w:val="en-GB"/>
        </w:rPr>
        <w:t>GEMINI 2 and GEMINI 3 trials</w:t>
      </w:r>
      <w:r w:rsidR="00BA71E1" w:rsidRPr="00CD4428">
        <w:rPr>
          <w:rFonts w:ascii="Book Antiqua" w:eastAsia="SabonLTStd-Roman" w:hAnsi="Book Antiqua" w:cstheme="minorHAnsi"/>
          <w:sz w:val="24"/>
          <w:szCs w:val="24"/>
          <w:vertAlign w:val="superscript"/>
          <w:lang w:val="en-GB"/>
        </w:rPr>
        <w:t>[</w:t>
      </w:r>
      <w:r w:rsidR="00E01056" w:rsidRPr="00CD4428">
        <w:rPr>
          <w:rFonts w:ascii="Book Antiqua" w:eastAsia="SabonLTStd-Roman" w:hAnsi="Book Antiqua" w:cstheme="minorHAnsi"/>
          <w:sz w:val="24"/>
          <w:szCs w:val="24"/>
          <w:vertAlign w:val="superscript"/>
          <w:lang w:val="en-GB"/>
        </w:rPr>
        <w:t>3</w:t>
      </w:r>
      <w:r w:rsidR="00834467" w:rsidRPr="00CD4428">
        <w:rPr>
          <w:rFonts w:ascii="Book Antiqua" w:eastAsia="SabonLTStd-Roman" w:hAnsi="Book Antiqua" w:cstheme="minorHAnsi"/>
          <w:sz w:val="24"/>
          <w:szCs w:val="24"/>
          <w:vertAlign w:val="superscript"/>
          <w:lang w:val="en-GB"/>
        </w:rPr>
        <w:t>1</w:t>
      </w:r>
      <w:r w:rsidR="00BA71E1" w:rsidRPr="00CD4428">
        <w:rPr>
          <w:rFonts w:ascii="Book Antiqua" w:eastAsia="SabonLTStd-Roman" w:hAnsi="Book Antiqua" w:cstheme="minorHAnsi"/>
          <w:sz w:val="24"/>
          <w:szCs w:val="24"/>
          <w:vertAlign w:val="superscript"/>
          <w:lang w:val="en-GB"/>
        </w:rPr>
        <w:t>]</w:t>
      </w:r>
      <w:r w:rsidR="00BA71E1" w:rsidRPr="00CD4428">
        <w:rPr>
          <w:rFonts w:ascii="Book Antiqua" w:eastAsia="SabonLTStd-Roman" w:hAnsi="Book Antiqua" w:cstheme="minorHAnsi"/>
          <w:sz w:val="24"/>
          <w:szCs w:val="24"/>
          <w:lang w:val="en-GB"/>
        </w:rPr>
        <w:t>.</w:t>
      </w:r>
      <w:r w:rsidR="00590110" w:rsidRPr="00CD4428">
        <w:rPr>
          <w:rFonts w:ascii="Book Antiqua" w:eastAsia="SabonLTStd-Roman" w:hAnsi="Book Antiqua" w:cstheme="minorHAnsi"/>
          <w:sz w:val="24"/>
          <w:szCs w:val="24"/>
          <w:lang w:val="en-GB"/>
        </w:rPr>
        <w:t xml:space="preserve"> </w:t>
      </w:r>
    </w:p>
    <w:p w14:paraId="4DF0D8AD" w14:textId="77777777" w:rsidR="00025FBE" w:rsidRPr="006B2B5A" w:rsidRDefault="00025FBE" w:rsidP="00E17439">
      <w:pPr>
        <w:autoSpaceDE w:val="0"/>
        <w:autoSpaceDN w:val="0"/>
        <w:adjustRightInd w:val="0"/>
        <w:snapToGrid w:val="0"/>
        <w:spacing w:after="0" w:line="360" w:lineRule="auto"/>
        <w:jc w:val="both"/>
        <w:rPr>
          <w:rFonts w:ascii="Book Antiqua" w:hAnsi="Book Antiqua" w:cstheme="minorHAnsi"/>
          <w:sz w:val="24"/>
          <w:szCs w:val="24"/>
          <w:lang w:val="en-GB" w:eastAsia="zh-CN"/>
        </w:rPr>
      </w:pPr>
    </w:p>
    <w:p w14:paraId="620AA4EE" w14:textId="001E1EB5" w:rsidR="003309A1" w:rsidRPr="006B2B5A" w:rsidRDefault="00CC2344" w:rsidP="00E17439">
      <w:pPr>
        <w:autoSpaceDE w:val="0"/>
        <w:autoSpaceDN w:val="0"/>
        <w:adjustRightInd w:val="0"/>
        <w:snapToGrid w:val="0"/>
        <w:spacing w:after="0" w:line="360" w:lineRule="auto"/>
        <w:jc w:val="both"/>
        <w:rPr>
          <w:rFonts w:ascii="Book Antiqua" w:hAnsi="Book Antiqua" w:cstheme="minorHAnsi"/>
          <w:b/>
          <w:caps/>
          <w:sz w:val="24"/>
          <w:szCs w:val="24"/>
          <w:lang w:val="en-GB" w:eastAsia="zh-CN"/>
        </w:rPr>
      </w:pPr>
      <w:r w:rsidRPr="006B2B5A">
        <w:rPr>
          <w:rFonts w:ascii="Book Antiqua" w:eastAsia="SabonLTStd-Roman" w:hAnsi="Book Antiqua" w:cstheme="minorHAnsi"/>
          <w:b/>
          <w:caps/>
          <w:sz w:val="24"/>
          <w:szCs w:val="24"/>
          <w:lang w:val="en-GB"/>
        </w:rPr>
        <w:t>Long-term efficacy of vedolizumab in IBD</w:t>
      </w:r>
      <w:r w:rsidR="002965FF" w:rsidRPr="006B2B5A">
        <w:rPr>
          <w:rFonts w:ascii="Book Antiqua" w:eastAsia="SabonLTStd-Roman" w:hAnsi="Book Antiqua" w:cstheme="minorHAnsi"/>
          <w:b/>
          <w:caps/>
          <w:sz w:val="24"/>
          <w:szCs w:val="24"/>
          <w:lang w:val="en-GB"/>
        </w:rPr>
        <w:t xml:space="preserve"> from clinical trials </w:t>
      </w:r>
    </w:p>
    <w:p w14:paraId="610CB027" w14:textId="28E3ABCE" w:rsidR="00A66459" w:rsidRPr="00CD4428" w:rsidRDefault="008D3381" w:rsidP="00E17439">
      <w:pPr>
        <w:autoSpaceDE w:val="0"/>
        <w:autoSpaceDN w:val="0"/>
        <w:adjustRightInd w:val="0"/>
        <w:snapToGrid w:val="0"/>
        <w:spacing w:after="0" w:line="360" w:lineRule="auto"/>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A</w:t>
      </w:r>
      <w:r w:rsidR="007C6557" w:rsidRPr="00CD4428">
        <w:rPr>
          <w:rFonts w:ascii="Book Antiqua" w:eastAsia="SabonLTStd-Roman" w:hAnsi="Book Antiqua" w:cstheme="minorHAnsi"/>
          <w:sz w:val="24"/>
          <w:szCs w:val="24"/>
          <w:lang w:val="en-GB"/>
        </w:rPr>
        <w:t xml:space="preserve">n interim analysis of the efficacy data </w:t>
      </w:r>
      <w:r w:rsidR="003C5FE0" w:rsidRPr="00CD4428">
        <w:rPr>
          <w:rFonts w:ascii="Book Antiqua" w:eastAsia="SabonLTStd-Roman" w:hAnsi="Book Antiqua" w:cstheme="minorHAnsi"/>
          <w:sz w:val="24"/>
          <w:szCs w:val="24"/>
          <w:lang w:val="en-GB"/>
        </w:rPr>
        <w:t xml:space="preserve">from </w:t>
      </w:r>
      <w:r w:rsidR="007C6557" w:rsidRPr="00CD4428">
        <w:rPr>
          <w:rFonts w:ascii="Book Antiqua" w:eastAsia="SabonLTStd-Roman" w:hAnsi="Book Antiqua" w:cstheme="minorHAnsi"/>
          <w:sz w:val="24"/>
          <w:szCs w:val="24"/>
          <w:lang w:val="en-GB"/>
        </w:rPr>
        <w:t xml:space="preserve">the </w:t>
      </w:r>
      <w:r w:rsidR="003309A1" w:rsidRPr="00CD4428">
        <w:rPr>
          <w:rFonts w:ascii="Book Antiqua" w:eastAsia="SabonLTStd-Roman" w:hAnsi="Book Antiqua" w:cstheme="minorHAnsi"/>
          <w:sz w:val="24"/>
          <w:szCs w:val="24"/>
          <w:lang w:val="en-GB"/>
        </w:rPr>
        <w:t>GEMINI LTS study</w:t>
      </w:r>
      <w:r w:rsidRPr="00CD4428">
        <w:rPr>
          <w:rFonts w:ascii="Book Antiqua" w:eastAsia="SabonLTStd-Roman" w:hAnsi="Book Antiqua" w:cstheme="minorHAnsi"/>
          <w:sz w:val="24"/>
          <w:szCs w:val="24"/>
          <w:lang w:val="en-GB"/>
        </w:rPr>
        <w:t xml:space="preserve"> </w:t>
      </w:r>
      <w:r w:rsidR="003C5FE0" w:rsidRPr="00CD4428">
        <w:rPr>
          <w:rFonts w:ascii="Book Antiqua" w:eastAsia="SabonLTStd-Roman" w:hAnsi="Book Antiqua" w:cstheme="minorHAnsi"/>
          <w:sz w:val="24"/>
          <w:szCs w:val="24"/>
          <w:lang w:val="en-GB"/>
        </w:rPr>
        <w:t>was</w:t>
      </w:r>
      <w:r w:rsidRPr="00CD4428">
        <w:rPr>
          <w:rFonts w:ascii="Book Antiqua" w:eastAsia="SabonLTStd-Roman" w:hAnsi="Book Antiqua" w:cstheme="minorHAnsi"/>
          <w:sz w:val="24"/>
          <w:szCs w:val="24"/>
          <w:lang w:val="en-GB"/>
        </w:rPr>
        <w:t xml:space="preserve"> recently </w:t>
      </w:r>
      <w:proofErr w:type="gramStart"/>
      <w:r w:rsidRPr="00CD4428">
        <w:rPr>
          <w:rFonts w:ascii="Book Antiqua" w:eastAsia="SabonLTStd-Roman" w:hAnsi="Book Antiqua" w:cstheme="minorHAnsi"/>
          <w:sz w:val="24"/>
          <w:szCs w:val="24"/>
          <w:lang w:val="en-GB"/>
        </w:rPr>
        <w:t>published</w:t>
      </w:r>
      <w:r w:rsidR="00577329" w:rsidRPr="00CD4428">
        <w:rPr>
          <w:rFonts w:ascii="Book Antiqua" w:eastAsia="SabonLTStd-Roman" w:hAnsi="Book Antiqua" w:cstheme="minorHAnsi"/>
          <w:sz w:val="24"/>
          <w:szCs w:val="24"/>
          <w:vertAlign w:val="superscript"/>
          <w:lang w:val="en-GB"/>
        </w:rPr>
        <w:t>[</w:t>
      </w:r>
      <w:proofErr w:type="gramEnd"/>
      <w:r w:rsidR="00577329" w:rsidRPr="00CD4428">
        <w:rPr>
          <w:rFonts w:ascii="Book Antiqua" w:eastAsia="SabonLTStd-Roman" w:hAnsi="Book Antiqua" w:cstheme="minorHAnsi"/>
          <w:sz w:val="24"/>
          <w:szCs w:val="24"/>
          <w:vertAlign w:val="superscript"/>
          <w:lang w:val="en-GB"/>
        </w:rPr>
        <w:t>2</w:t>
      </w:r>
      <w:r w:rsidR="009B6A9F" w:rsidRPr="00CD4428">
        <w:rPr>
          <w:rFonts w:ascii="Book Antiqua" w:eastAsia="SabonLTStd-Roman" w:hAnsi="Book Antiqua" w:cstheme="minorHAnsi"/>
          <w:sz w:val="24"/>
          <w:szCs w:val="24"/>
          <w:vertAlign w:val="superscript"/>
          <w:lang w:val="en-GB"/>
        </w:rPr>
        <w:t>7,28</w:t>
      </w:r>
      <w:r w:rsidR="00577329" w:rsidRPr="00CD4428">
        <w:rPr>
          <w:rFonts w:ascii="Book Antiqua" w:eastAsia="SabonLTStd-Roman" w:hAnsi="Book Antiqua" w:cstheme="minorHAnsi"/>
          <w:sz w:val="24"/>
          <w:szCs w:val="24"/>
          <w:vertAlign w:val="superscript"/>
          <w:lang w:val="en-GB"/>
        </w:rPr>
        <w:t>]</w:t>
      </w:r>
      <w:r w:rsidR="00577329" w:rsidRPr="00CD4428">
        <w:rPr>
          <w:rFonts w:ascii="Book Antiqua" w:eastAsia="SabonLTStd-Roman" w:hAnsi="Book Antiqua" w:cstheme="minorHAnsi"/>
          <w:sz w:val="24"/>
          <w:szCs w:val="24"/>
          <w:lang w:val="en-GB"/>
        </w:rPr>
        <w:t>.</w:t>
      </w:r>
      <w:r w:rsidR="00590110" w:rsidRPr="00CD4428">
        <w:rPr>
          <w:rFonts w:ascii="Book Antiqua" w:eastAsia="SabonLTStd-Roman" w:hAnsi="Book Antiqua" w:cstheme="minorHAnsi"/>
          <w:sz w:val="24"/>
          <w:szCs w:val="24"/>
          <w:lang w:val="en-GB"/>
        </w:rPr>
        <w:t xml:space="preserve"> </w:t>
      </w:r>
      <w:r w:rsidR="003C5FE0" w:rsidRPr="00CD4428">
        <w:rPr>
          <w:rFonts w:ascii="Book Antiqua" w:eastAsia="SabonLTStd-Roman" w:hAnsi="Book Antiqua" w:cstheme="minorHAnsi"/>
          <w:sz w:val="24"/>
          <w:szCs w:val="24"/>
          <w:lang w:val="en-GB"/>
        </w:rPr>
        <w:t xml:space="preserve">The </w:t>
      </w:r>
      <w:r w:rsidR="007C6557" w:rsidRPr="00CD4428">
        <w:rPr>
          <w:rFonts w:ascii="Book Antiqua" w:eastAsia="SabonLTStd-Roman" w:hAnsi="Book Antiqua" w:cstheme="minorHAnsi"/>
          <w:sz w:val="24"/>
          <w:szCs w:val="24"/>
          <w:lang w:val="en-GB"/>
        </w:rPr>
        <w:t>GEMINI LTS study</w:t>
      </w:r>
      <w:r w:rsidR="003309A1" w:rsidRPr="00CD4428">
        <w:rPr>
          <w:rFonts w:ascii="Book Antiqua" w:eastAsia="SabonLTStd-Roman" w:hAnsi="Book Antiqua" w:cstheme="minorHAnsi"/>
          <w:sz w:val="24"/>
          <w:szCs w:val="24"/>
          <w:lang w:val="en-GB"/>
        </w:rPr>
        <w:t xml:space="preserve"> is an ongoing, open-label, extension </w:t>
      </w:r>
      <w:r w:rsidR="007C6557" w:rsidRPr="00CD4428">
        <w:rPr>
          <w:rFonts w:ascii="Book Antiqua" w:eastAsia="SabonLTStd-Roman" w:hAnsi="Book Antiqua" w:cstheme="minorHAnsi"/>
          <w:sz w:val="24"/>
          <w:szCs w:val="24"/>
          <w:lang w:val="en-GB"/>
        </w:rPr>
        <w:t>trial</w:t>
      </w:r>
      <w:r w:rsidR="003309A1" w:rsidRPr="00CD4428">
        <w:rPr>
          <w:rFonts w:ascii="Book Antiqua" w:eastAsia="SabonLTStd-Roman" w:hAnsi="Book Antiqua" w:cstheme="minorHAnsi"/>
          <w:sz w:val="24"/>
          <w:szCs w:val="24"/>
          <w:lang w:val="en-GB"/>
        </w:rPr>
        <w:t xml:space="preserve"> in </w:t>
      </w:r>
      <w:r w:rsidR="003C5FE0" w:rsidRPr="00CD4428">
        <w:rPr>
          <w:rFonts w:ascii="Book Antiqua" w:eastAsia="SabonLTStd-Roman" w:hAnsi="Book Antiqua" w:cstheme="minorHAnsi"/>
          <w:sz w:val="24"/>
          <w:szCs w:val="24"/>
          <w:lang w:val="en-GB"/>
        </w:rPr>
        <w:t xml:space="preserve">patients with </w:t>
      </w:r>
      <w:r w:rsidR="003309A1" w:rsidRPr="00CD4428">
        <w:rPr>
          <w:rFonts w:ascii="Book Antiqua" w:eastAsia="SabonLTStd-Roman" w:hAnsi="Book Antiqua" w:cstheme="minorHAnsi"/>
          <w:sz w:val="24"/>
          <w:szCs w:val="24"/>
          <w:lang w:val="en-GB"/>
        </w:rPr>
        <w:t>UC and CD</w:t>
      </w:r>
      <w:r w:rsidR="00987B06" w:rsidRPr="00CD4428">
        <w:rPr>
          <w:rFonts w:ascii="Book Antiqua" w:eastAsia="SabonLTStd-Roman" w:hAnsi="Book Antiqua" w:cstheme="minorHAnsi"/>
          <w:sz w:val="24"/>
          <w:szCs w:val="24"/>
          <w:lang w:val="en-GB"/>
        </w:rPr>
        <w:t xml:space="preserve"> designed to investigate the long-term safety of </w:t>
      </w:r>
      <w:proofErr w:type="spellStart"/>
      <w:r w:rsidR="00987B06" w:rsidRPr="00CD4428">
        <w:rPr>
          <w:rFonts w:ascii="Book Antiqua" w:eastAsia="SabonLTStd-Roman" w:hAnsi="Book Antiqua" w:cstheme="minorHAnsi"/>
          <w:sz w:val="24"/>
          <w:szCs w:val="24"/>
          <w:lang w:val="en-GB"/>
        </w:rPr>
        <w:t>vedolizumab</w:t>
      </w:r>
      <w:proofErr w:type="spellEnd"/>
      <w:r w:rsidR="00987B06" w:rsidRPr="00CD4428">
        <w:rPr>
          <w:rFonts w:ascii="Book Antiqua" w:eastAsia="SabonLTStd-Roman" w:hAnsi="Book Antiqua" w:cstheme="minorHAnsi"/>
          <w:sz w:val="24"/>
          <w:szCs w:val="24"/>
          <w:lang w:val="en-GB"/>
        </w:rPr>
        <w:t xml:space="preserve"> in </w:t>
      </w:r>
      <w:r w:rsidR="003C5FE0" w:rsidRPr="00CD4428">
        <w:rPr>
          <w:rFonts w:ascii="Book Antiqua" w:eastAsia="SabonLTStd-Roman" w:hAnsi="Book Antiqua" w:cstheme="minorHAnsi"/>
          <w:sz w:val="24"/>
          <w:szCs w:val="24"/>
          <w:lang w:val="en-GB"/>
        </w:rPr>
        <w:t xml:space="preserve">patients with </w:t>
      </w:r>
      <w:r w:rsidR="00987B06" w:rsidRPr="00CD4428">
        <w:rPr>
          <w:rFonts w:ascii="Book Antiqua" w:eastAsia="SabonLTStd-Roman" w:hAnsi="Book Antiqua" w:cstheme="minorHAnsi"/>
          <w:sz w:val="24"/>
          <w:szCs w:val="24"/>
          <w:lang w:val="en-GB"/>
        </w:rPr>
        <w:t>IBD</w:t>
      </w:r>
      <w:r w:rsidR="003309A1" w:rsidRPr="00CD4428">
        <w:rPr>
          <w:rFonts w:ascii="Book Antiqua" w:eastAsia="SabonLTStd-Roman" w:hAnsi="Book Antiqua" w:cstheme="minorHAnsi"/>
          <w:sz w:val="24"/>
          <w:szCs w:val="24"/>
          <w:lang w:val="en-GB"/>
        </w:rPr>
        <w:t xml:space="preserve">. </w:t>
      </w:r>
      <w:r w:rsidR="00987B06" w:rsidRPr="00CD4428">
        <w:rPr>
          <w:rFonts w:ascii="Book Antiqua" w:eastAsia="SabonLTStd-Roman" w:hAnsi="Book Antiqua" w:cstheme="minorHAnsi"/>
          <w:sz w:val="24"/>
          <w:szCs w:val="24"/>
          <w:lang w:val="en-GB"/>
        </w:rPr>
        <w:t xml:space="preserve">In addition, an exploratory evaluation of long-term clinical efficacy </w:t>
      </w:r>
      <w:proofErr w:type="gramStart"/>
      <w:r w:rsidR="00DA0EE4" w:rsidRPr="00CD4428">
        <w:rPr>
          <w:rFonts w:ascii="Book Antiqua" w:eastAsia="SabonLTStd-Roman" w:hAnsi="Book Antiqua" w:cstheme="minorHAnsi"/>
          <w:sz w:val="24"/>
          <w:szCs w:val="24"/>
          <w:lang w:val="en-GB"/>
        </w:rPr>
        <w:t>was also</w:t>
      </w:r>
      <w:r w:rsidR="00987B06" w:rsidRPr="00CD4428">
        <w:rPr>
          <w:rFonts w:ascii="Book Antiqua" w:eastAsia="SabonLTStd-Roman" w:hAnsi="Book Antiqua" w:cstheme="minorHAnsi"/>
          <w:sz w:val="24"/>
          <w:szCs w:val="24"/>
          <w:lang w:val="en-GB"/>
        </w:rPr>
        <w:t xml:space="preserve"> performed</w:t>
      </w:r>
      <w:proofErr w:type="gramEnd"/>
      <w:r w:rsidR="00987B06" w:rsidRPr="00CD4428">
        <w:rPr>
          <w:rFonts w:ascii="Book Antiqua" w:eastAsia="SabonLTStd-Roman" w:hAnsi="Book Antiqua" w:cstheme="minorHAnsi"/>
          <w:sz w:val="24"/>
          <w:szCs w:val="24"/>
          <w:lang w:val="en-GB"/>
        </w:rPr>
        <w:t xml:space="preserve">. </w:t>
      </w:r>
      <w:r w:rsidR="002004F6" w:rsidRPr="00CD4428">
        <w:rPr>
          <w:rFonts w:ascii="Book Antiqua" w:eastAsia="SabonLTStd-Roman" w:hAnsi="Book Antiqua" w:cstheme="minorHAnsi"/>
          <w:sz w:val="24"/>
          <w:szCs w:val="24"/>
          <w:lang w:val="en-GB"/>
        </w:rPr>
        <w:t>P</w:t>
      </w:r>
      <w:r w:rsidR="00987B06" w:rsidRPr="00CD4428">
        <w:rPr>
          <w:rFonts w:ascii="Book Antiqua" w:eastAsia="SabonLTStd-Roman" w:hAnsi="Book Antiqua" w:cstheme="minorHAnsi"/>
          <w:sz w:val="24"/>
          <w:szCs w:val="24"/>
          <w:lang w:val="en-GB"/>
        </w:rPr>
        <w:t xml:space="preserve">atients </w:t>
      </w:r>
      <w:proofErr w:type="gramStart"/>
      <w:r w:rsidR="00987B06" w:rsidRPr="00CD4428">
        <w:rPr>
          <w:rFonts w:ascii="Book Antiqua" w:eastAsia="SabonLTStd-Roman" w:hAnsi="Book Antiqua" w:cstheme="minorHAnsi"/>
          <w:sz w:val="24"/>
          <w:szCs w:val="24"/>
          <w:lang w:val="en-GB"/>
        </w:rPr>
        <w:t>were enrolled</w:t>
      </w:r>
      <w:proofErr w:type="gramEnd"/>
      <w:r w:rsidR="00987B06" w:rsidRPr="00CD4428">
        <w:rPr>
          <w:rFonts w:ascii="Book Antiqua" w:eastAsia="SabonLTStd-Roman" w:hAnsi="Book Antiqua" w:cstheme="minorHAnsi"/>
          <w:sz w:val="24"/>
          <w:szCs w:val="24"/>
          <w:lang w:val="en-GB"/>
        </w:rPr>
        <w:t xml:space="preserve"> from the long-term</w:t>
      </w:r>
      <w:r w:rsidR="003C5FE0" w:rsidRPr="00CD4428">
        <w:rPr>
          <w:rFonts w:ascii="Book Antiqua" w:eastAsia="SabonLTStd-Roman" w:hAnsi="Book Antiqua" w:cstheme="minorHAnsi"/>
          <w:sz w:val="24"/>
          <w:szCs w:val="24"/>
          <w:lang w:val="en-GB"/>
        </w:rPr>
        <w:t>,</w:t>
      </w:r>
      <w:r w:rsidR="00987B06" w:rsidRPr="00CD4428">
        <w:rPr>
          <w:rFonts w:ascii="Book Antiqua" w:eastAsia="SabonLTStd-Roman" w:hAnsi="Book Antiqua" w:cstheme="minorHAnsi"/>
          <w:sz w:val="24"/>
          <w:szCs w:val="24"/>
          <w:lang w:val="en-GB"/>
        </w:rPr>
        <w:t xml:space="preserve"> phase II</w:t>
      </w:r>
      <w:r w:rsidR="003C5FE0" w:rsidRPr="00CD4428">
        <w:rPr>
          <w:rFonts w:ascii="Book Antiqua" w:eastAsia="SabonLTStd-Roman" w:hAnsi="Book Antiqua" w:cstheme="minorHAnsi"/>
          <w:sz w:val="24"/>
          <w:szCs w:val="24"/>
          <w:lang w:val="en-GB"/>
        </w:rPr>
        <w:t>,</w:t>
      </w:r>
      <w:r w:rsidR="00987B06" w:rsidRPr="00CD4428">
        <w:rPr>
          <w:rFonts w:ascii="Book Antiqua" w:eastAsia="SabonLTStd-Roman" w:hAnsi="Book Antiqua" w:cstheme="minorHAnsi"/>
          <w:sz w:val="24"/>
          <w:szCs w:val="24"/>
          <w:lang w:val="en-GB"/>
        </w:rPr>
        <w:t xml:space="preserve"> C13004 study and from </w:t>
      </w:r>
      <w:r w:rsidR="002004F6" w:rsidRPr="00CD4428">
        <w:rPr>
          <w:rFonts w:ascii="Book Antiqua" w:eastAsia="SabonLTStd-Roman" w:hAnsi="Book Antiqua" w:cstheme="minorHAnsi"/>
          <w:sz w:val="24"/>
          <w:szCs w:val="24"/>
          <w:lang w:val="en-GB"/>
        </w:rPr>
        <w:t xml:space="preserve">the </w:t>
      </w:r>
      <w:r w:rsidR="00987B06" w:rsidRPr="00CD4428">
        <w:rPr>
          <w:rFonts w:ascii="Book Antiqua" w:eastAsia="SabonLTStd-Roman" w:hAnsi="Book Antiqua" w:cstheme="minorHAnsi"/>
          <w:sz w:val="24"/>
          <w:szCs w:val="24"/>
          <w:lang w:val="en-GB"/>
        </w:rPr>
        <w:t xml:space="preserve">GEMINI 1, GEMINI 2, </w:t>
      </w:r>
      <w:r w:rsidR="003C5FE0" w:rsidRPr="00CD4428">
        <w:rPr>
          <w:rFonts w:ascii="Book Antiqua" w:eastAsia="SabonLTStd-Roman" w:hAnsi="Book Antiqua" w:cstheme="minorHAnsi"/>
          <w:sz w:val="24"/>
          <w:szCs w:val="24"/>
          <w:lang w:val="en-GB"/>
        </w:rPr>
        <w:t xml:space="preserve">and </w:t>
      </w:r>
      <w:r w:rsidR="00987B06" w:rsidRPr="00CD4428">
        <w:rPr>
          <w:rFonts w:ascii="Book Antiqua" w:eastAsia="SabonLTStd-Roman" w:hAnsi="Book Antiqua" w:cstheme="minorHAnsi"/>
          <w:sz w:val="24"/>
          <w:szCs w:val="24"/>
          <w:lang w:val="en-GB"/>
        </w:rPr>
        <w:t xml:space="preserve">GEMINI 3 trials. </w:t>
      </w:r>
      <w:r w:rsidR="002816DC" w:rsidRPr="00CD4428">
        <w:rPr>
          <w:rFonts w:ascii="Book Antiqua" w:eastAsia="SabonLTStd-Roman" w:hAnsi="Book Antiqua" w:cstheme="minorHAnsi"/>
          <w:sz w:val="24"/>
          <w:szCs w:val="24"/>
          <w:lang w:val="en-GB"/>
        </w:rPr>
        <w:t>A</w:t>
      </w:r>
      <w:r w:rsidR="00C5148D" w:rsidRPr="00CD4428">
        <w:rPr>
          <w:rFonts w:ascii="Book Antiqua" w:eastAsia="SabonLTStd-Roman" w:hAnsi="Book Antiqua" w:cstheme="minorHAnsi"/>
          <w:sz w:val="24"/>
          <w:szCs w:val="24"/>
          <w:lang w:val="en-GB"/>
        </w:rPr>
        <w:t xml:space="preserve"> remain</w:t>
      </w:r>
      <w:r w:rsidR="003C5FE0" w:rsidRPr="00CD4428">
        <w:rPr>
          <w:rFonts w:ascii="Book Antiqua" w:eastAsia="SabonLTStd-Roman" w:hAnsi="Book Antiqua" w:cstheme="minorHAnsi"/>
          <w:sz w:val="24"/>
          <w:szCs w:val="24"/>
          <w:lang w:val="en-GB"/>
        </w:rPr>
        <w:t>ing</w:t>
      </w:r>
      <w:r w:rsidR="002816DC" w:rsidRPr="00CD4428">
        <w:rPr>
          <w:rFonts w:ascii="Book Antiqua" w:eastAsia="SabonLTStd-Roman" w:hAnsi="Book Antiqua" w:cstheme="minorHAnsi"/>
          <w:sz w:val="24"/>
          <w:szCs w:val="24"/>
          <w:lang w:val="en-GB"/>
        </w:rPr>
        <w:t xml:space="preserve"> part of the population </w:t>
      </w:r>
      <w:r w:rsidR="00C5148D" w:rsidRPr="00CD4428">
        <w:rPr>
          <w:rFonts w:ascii="Book Antiqua" w:eastAsia="SabonLTStd-Roman" w:hAnsi="Book Antiqua" w:cstheme="minorHAnsi"/>
          <w:sz w:val="24"/>
          <w:szCs w:val="24"/>
          <w:lang w:val="en-GB"/>
        </w:rPr>
        <w:t>consisted of</w:t>
      </w:r>
      <w:r w:rsidR="002816DC" w:rsidRPr="00CD4428">
        <w:rPr>
          <w:rFonts w:ascii="Book Antiqua" w:eastAsia="SabonLTStd-Roman" w:hAnsi="Book Antiqua" w:cstheme="minorHAnsi"/>
          <w:sz w:val="24"/>
          <w:szCs w:val="24"/>
          <w:lang w:val="en-GB"/>
        </w:rPr>
        <w:t xml:space="preserve"> </w:t>
      </w:r>
      <w:r w:rsidR="003C5FE0" w:rsidRPr="00CD4428">
        <w:rPr>
          <w:rFonts w:ascii="Book Antiqua" w:eastAsia="SabonLTStd-Roman" w:hAnsi="Book Antiqua" w:cstheme="minorHAnsi"/>
          <w:sz w:val="24"/>
          <w:szCs w:val="24"/>
          <w:lang w:val="en-GB"/>
        </w:rPr>
        <w:t xml:space="preserve">patients with IBD who were </w:t>
      </w:r>
      <w:proofErr w:type="spellStart"/>
      <w:r w:rsidR="002816DC" w:rsidRPr="00CD4428">
        <w:rPr>
          <w:rFonts w:ascii="Book Antiqua" w:eastAsia="SabonLTStd-Roman" w:hAnsi="Book Antiqua" w:cstheme="minorHAnsi"/>
          <w:sz w:val="24"/>
          <w:szCs w:val="24"/>
          <w:lang w:val="en-GB"/>
        </w:rPr>
        <w:t>vedolizumab</w:t>
      </w:r>
      <w:proofErr w:type="spellEnd"/>
      <w:r w:rsidR="003C5FE0" w:rsidRPr="00CD4428">
        <w:rPr>
          <w:rFonts w:ascii="Book Antiqua" w:eastAsia="SabonLTStd-Roman" w:hAnsi="Book Antiqua" w:cstheme="minorHAnsi"/>
          <w:sz w:val="24"/>
          <w:szCs w:val="24"/>
          <w:lang w:val="en-GB"/>
        </w:rPr>
        <w:t>-</w:t>
      </w:r>
      <w:r w:rsidR="00C5148D" w:rsidRPr="00CD4428">
        <w:rPr>
          <w:rFonts w:ascii="Book Antiqua" w:eastAsia="SabonLTStd-Roman" w:hAnsi="Book Antiqua" w:cstheme="minorHAnsi"/>
          <w:sz w:val="24"/>
          <w:szCs w:val="24"/>
          <w:lang w:val="en-GB"/>
        </w:rPr>
        <w:t>naïve</w:t>
      </w:r>
      <w:r w:rsidR="003309A1" w:rsidRPr="00CD4428">
        <w:rPr>
          <w:rFonts w:ascii="Book Antiqua" w:eastAsia="SabonLTStd-Roman" w:hAnsi="Book Antiqua" w:cstheme="minorHAnsi"/>
          <w:sz w:val="24"/>
          <w:szCs w:val="24"/>
          <w:lang w:val="en-GB"/>
        </w:rPr>
        <w:t xml:space="preserve"> </w:t>
      </w:r>
      <w:r w:rsidR="003C5FE0" w:rsidRPr="00CD4428">
        <w:rPr>
          <w:rFonts w:ascii="Book Antiqua" w:eastAsia="SabonLTStd-Roman" w:hAnsi="Book Antiqua" w:cstheme="minorHAnsi"/>
          <w:sz w:val="24"/>
          <w:szCs w:val="24"/>
          <w:lang w:val="en-GB"/>
        </w:rPr>
        <w:t>who were</w:t>
      </w:r>
      <w:r w:rsidR="00C5148D" w:rsidRPr="00CD4428">
        <w:rPr>
          <w:rFonts w:ascii="Book Antiqua" w:eastAsia="SabonLTStd-Roman" w:hAnsi="Book Antiqua" w:cstheme="minorHAnsi"/>
          <w:sz w:val="24"/>
          <w:szCs w:val="24"/>
          <w:lang w:val="en-GB"/>
        </w:rPr>
        <w:t xml:space="preserve"> </w:t>
      </w:r>
      <w:r w:rsidR="00987B06" w:rsidRPr="00CD4428">
        <w:rPr>
          <w:rFonts w:ascii="Book Antiqua" w:eastAsia="SabonLTStd-Roman" w:hAnsi="Book Antiqua" w:cstheme="minorHAnsi"/>
          <w:sz w:val="24"/>
          <w:szCs w:val="24"/>
          <w:lang w:val="en-GB"/>
        </w:rPr>
        <w:t>included</w:t>
      </w:r>
      <w:r w:rsidR="00C5148D" w:rsidRPr="00CD4428">
        <w:rPr>
          <w:rFonts w:ascii="Book Antiqua" w:eastAsia="SabonLTStd-Roman" w:hAnsi="Book Antiqua" w:cstheme="minorHAnsi"/>
          <w:sz w:val="24"/>
          <w:szCs w:val="24"/>
          <w:lang w:val="en-GB"/>
        </w:rPr>
        <w:t xml:space="preserve"> directly into </w:t>
      </w:r>
      <w:r w:rsidR="003C5FE0" w:rsidRPr="00CD4428">
        <w:rPr>
          <w:rFonts w:ascii="Book Antiqua" w:eastAsia="SabonLTStd-Roman" w:hAnsi="Book Antiqua" w:cstheme="minorHAnsi"/>
          <w:sz w:val="24"/>
          <w:szCs w:val="24"/>
          <w:lang w:val="en-GB"/>
        </w:rPr>
        <w:t xml:space="preserve">the </w:t>
      </w:r>
      <w:r w:rsidR="00C5148D" w:rsidRPr="00CD4428">
        <w:rPr>
          <w:rFonts w:ascii="Book Antiqua" w:eastAsia="SabonLTStd-Roman" w:hAnsi="Book Antiqua" w:cstheme="minorHAnsi"/>
          <w:sz w:val="24"/>
          <w:szCs w:val="24"/>
          <w:lang w:val="en-GB"/>
        </w:rPr>
        <w:t>GEMINI LTS</w:t>
      </w:r>
      <w:r w:rsidR="003C5FE0" w:rsidRPr="00CD4428">
        <w:rPr>
          <w:rFonts w:ascii="Book Antiqua" w:eastAsia="SabonLTStd-Roman" w:hAnsi="Book Antiqua" w:cstheme="minorHAnsi"/>
          <w:sz w:val="24"/>
          <w:szCs w:val="24"/>
          <w:lang w:val="en-GB"/>
        </w:rPr>
        <w:t xml:space="preserve"> trial</w:t>
      </w:r>
      <w:r w:rsidR="00C5148D" w:rsidRPr="00CD4428">
        <w:rPr>
          <w:rFonts w:ascii="Book Antiqua" w:eastAsia="SabonLTStd-Roman" w:hAnsi="Book Antiqua" w:cstheme="minorHAnsi"/>
          <w:sz w:val="24"/>
          <w:szCs w:val="24"/>
          <w:lang w:val="en-GB"/>
        </w:rPr>
        <w:t xml:space="preserve">. </w:t>
      </w:r>
      <w:proofErr w:type="gramStart"/>
      <w:r w:rsidR="007C6557" w:rsidRPr="00CD4428">
        <w:rPr>
          <w:rFonts w:ascii="Book Antiqua" w:eastAsia="SabonLTStd-Roman" w:hAnsi="Book Antiqua" w:cstheme="minorHAnsi"/>
          <w:sz w:val="24"/>
          <w:szCs w:val="24"/>
          <w:lang w:val="en-GB"/>
        </w:rPr>
        <w:t>A total of 894</w:t>
      </w:r>
      <w:proofErr w:type="gramEnd"/>
      <w:r w:rsidR="007C6557" w:rsidRPr="00CD4428">
        <w:rPr>
          <w:rFonts w:ascii="Book Antiqua" w:eastAsia="SabonLTStd-Roman" w:hAnsi="Book Antiqua" w:cstheme="minorHAnsi"/>
          <w:sz w:val="24"/>
          <w:szCs w:val="24"/>
          <w:lang w:val="en-GB"/>
        </w:rPr>
        <w:t xml:space="preserve"> patients </w:t>
      </w:r>
      <w:r w:rsidR="002C43C9" w:rsidRPr="00CD4428">
        <w:rPr>
          <w:rFonts w:ascii="Book Antiqua" w:eastAsia="SabonLTStd-Roman" w:hAnsi="Book Antiqua" w:cstheme="minorHAnsi"/>
          <w:sz w:val="24"/>
          <w:szCs w:val="24"/>
          <w:lang w:val="en-GB"/>
        </w:rPr>
        <w:t xml:space="preserve">with UC </w:t>
      </w:r>
      <w:r w:rsidR="007C6557" w:rsidRPr="00CD4428">
        <w:rPr>
          <w:rFonts w:ascii="Book Antiqua" w:eastAsia="SabonLTStd-Roman" w:hAnsi="Book Antiqua" w:cstheme="minorHAnsi"/>
          <w:sz w:val="24"/>
          <w:szCs w:val="24"/>
          <w:lang w:val="en-GB"/>
        </w:rPr>
        <w:t xml:space="preserve">and 1349 </w:t>
      </w:r>
      <w:r w:rsidR="002C43C9" w:rsidRPr="00CD4428">
        <w:rPr>
          <w:rFonts w:ascii="Book Antiqua" w:eastAsia="SabonLTStd-Roman" w:hAnsi="Book Antiqua" w:cstheme="minorHAnsi"/>
          <w:sz w:val="24"/>
          <w:szCs w:val="24"/>
          <w:lang w:val="en-GB"/>
        </w:rPr>
        <w:t xml:space="preserve">with </w:t>
      </w:r>
      <w:r w:rsidR="007C6557" w:rsidRPr="00CD4428">
        <w:rPr>
          <w:rFonts w:ascii="Book Antiqua" w:eastAsia="SabonLTStd-Roman" w:hAnsi="Book Antiqua" w:cstheme="minorHAnsi"/>
          <w:sz w:val="24"/>
          <w:szCs w:val="24"/>
          <w:lang w:val="en-GB"/>
        </w:rPr>
        <w:t xml:space="preserve">CD </w:t>
      </w:r>
      <w:r w:rsidR="00933EE8" w:rsidRPr="00CD4428">
        <w:rPr>
          <w:rFonts w:ascii="Book Antiqua" w:eastAsia="SabonLTStd-Roman" w:hAnsi="Book Antiqua" w:cstheme="minorHAnsi"/>
          <w:sz w:val="24"/>
          <w:szCs w:val="24"/>
          <w:lang w:val="en-GB"/>
        </w:rPr>
        <w:t xml:space="preserve">were enrolled in the GEMINI LTS. All </w:t>
      </w:r>
      <w:r w:rsidR="007C6557" w:rsidRPr="00CD4428">
        <w:rPr>
          <w:rFonts w:ascii="Book Antiqua" w:eastAsia="SabonLTStd-Roman" w:hAnsi="Book Antiqua" w:cstheme="minorHAnsi"/>
          <w:sz w:val="24"/>
          <w:szCs w:val="24"/>
          <w:lang w:val="en-GB"/>
        </w:rPr>
        <w:t xml:space="preserve">patients received </w:t>
      </w:r>
      <w:proofErr w:type="spellStart"/>
      <w:r w:rsidR="007C6557" w:rsidRPr="00CD4428">
        <w:rPr>
          <w:rFonts w:ascii="Book Antiqua" w:eastAsia="SabonLTStd-Roman" w:hAnsi="Book Antiqua" w:cstheme="minorHAnsi"/>
          <w:sz w:val="24"/>
          <w:szCs w:val="24"/>
          <w:lang w:val="en-GB"/>
        </w:rPr>
        <w:t>v</w:t>
      </w:r>
      <w:r w:rsidR="006B2B5A">
        <w:rPr>
          <w:rFonts w:ascii="Book Antiqua" w:eastAsia="SabonLTStd-Roman" w:hAnsi="Book Antiqua" w:cstheme="minorHAnsi"/>
          <w:sz w:val="24"/>
          <w:szCs w:val="24"/>
          <w:lang w:val="en-GB"/>
        </w:rPr>
        <w:t>edolizumab</w:t>
      </w:r>
      <w:proofErr w:type="spellEnd"/>
      <w:r w:rsidR="006B2B5A">
        <w:rPr>
          <w:rFonts w:ascii="Book Antiqua" w:eastAsia="SabonLTStd-Roman" w:hAnsi="Book Antiqua" w:cstheme="minorHAnsi"/>
          <w:sz w:val="24"/>
          <w:szCs w:val="24"/>
          <w:lang w:val="en-GB"/>
        </w:rPr>
        <w:t xml:space="preserve"> 300 mg </w:t>
      </w:r>
      <w:proofErr w:type="gramStart"/>
      <w:r w:rsidR="006B2B5A">
        <w:rPr>
          <w:rFonts w:ascii="Book Antiqua" w:eastAsia="SabonLTStd-Roman" w:hAnsi="Book Antiqua" w:cstheme="minorHAnsi"/>
          <w:sz w:val="24"/>
          <w:szCs w:val="24"/>
          <w:lang w:val="en-GB"/>
        </w:rPr>
        <w:t>iv</w:t>
      </w:r>
      <w:proofErr w:type="gramEnd"/>
      <w:r w:rsidR="006B2B5A">
        <w:rPr>
          <w:rFonts w:ascii="Book Antiqua" w:eastAsia="SabonLTStd-Roman" w:hAnsi="Book Antiqua" w:cstheme="minorHAnsi"/>
          <w:sz w:val="24"/>
          <w:szCs w:val="24"/>
          <w:lang w:val="en-GB"/>
        </w:rPr>
        <w:t xml:space="preserve"> every 4 wk</w:t>
      </w:r>
      <w:r w:rsidR="007C6557" w:rsidRPr="00CD4428">
        <w:rPr>
          <w:rFonts w:ascii="Book Antiqua" w:eastAsia="SabonLTStd-Roman" w:hAnsi="Book Antiqua" w:cstheme="minorHAnsi"/>
          <w:sz w:val="24"/>
          <w:szCs w:val="24"/>
          <w:lang w:val="en-GB"/>
        </w:rPr>
        <w:t>.</w:t>
      </w:r>
    </w:p>
    <w:p w14:paraId="3ECEA561" w14:textId="155EE13D" w:rsidR="003309A1" w:rsidRPr="00CD4428" w:rsidRDefault="00A66459" w:rsidP="006B2B5A">
      <w:pPr>
        <w:autoSpaceDE w:val="0"/>
        <w:autoSpaceDN w:val="0"/>
        <w:adjustRightInd w:val="0"/>
        <w:snapToGrid w:val="0"/>
        <w:spacing w:after="0" w:line="360" w:lineRule="auto"/>
        <w:ind w:firstLineChars="100" w:firstLine="24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 xml:space="preserve">Populations evaluated </w:t>
      </w:r>
      <w:r w:rsidR="002C43C9" w:rsidRPr="00CD4428">
        <w:rPr>
          <w:rFonts w:ascii="Book Antiqua" w:eastAsia="SabonLTStd-Roman" w:hAnsi="Book Antiqua" w:cstheme="minorHAnsi"/>
          <w:sz w:val="24"/>
          <w:szCs w:val="24"/>
          <w:lang w:val="en-GB"/>
        </w:rPr>
        <w:t xml:space="preserve">during </w:t>
      </w:r>
      <w:r w:rsidRPr="00CD4428">
        <w:rPr>
          <w:rFonts w:ascii="Book Antiqua" w:eastAsia="SabonLTStd-Roman" w:hAnsi="Book Antiqua" w:cstheme="minorHAnsi"/>
          <w:sz w:val="24"/>
          <w:szCs w:val="24"/>
          <w:lang w:val="en-GB"/>
        </w:rPr>
        <w:t xml:space="preserve">the efficacy analysis of </w:t>
      </w:r>
      <w:r w:rsidR="002C43C9" w:rsidRPr="00CD4428">
        <w:rPr>
          <w:rFonts w:ascii="Book Antiqua" w:eastAsia="SabonLTStd-Roman" w:hAnsi="Book Antiqua" w:cstheme="minorHAnsi"/>
          <w:sz w:val="24"/>
          <w:szCs w:val="24"/>
          <w:lang w:val="en-GB"/>
        </w:rPr>
        <w:t xml:space="preserve">the </w:t>
      </w:r>
      <w:r w:rsidRPr="00CD4428">
        <w:rPr>
          <w:rFonts w:ascii="Book Antiqua" w:eastAsia="SabonLTStd-Roman" w:hAnsi="Book Antiqua" w:cstheme="minorHAnsi"/>
          <w:sz w:val="24"/>
          <w:szCs w:val="24"/>
          <w:lang w:val="en-GB"/>
        </w:rPr>
        <w:t xml:space="preserve">GEMINI LTS included only patients with moderate-to-severe UC </w:t>
      </w:r>
      <w:r w:rsidR="00933EE8" w:rsidRPr="00CD4428">
        <w:rPr>
          <w:rFonts w:ascii="Book Antiqua" w:eastAsia="SabonLTStd-Roman" w:hAnsi="Book Antiqua" w:cstheme="minorHAnsi"/>
          <w:sz w:val="24"/>
          <w:szCs w:val="24"/>
          <w:lang w:val="en-GB"/>
        </w:rPr>
        <w:t xml:space="preserve">(532/894) </w:t>
      </w:r>
      <w:r w:rsidR="002C43C9" w:rsidRPr="00CD4428">
        <w:rPr>
          <w:rFonts w:ascii="Book Antiqua" w:eastAsia="SabonLTStd-Roman" w:hAnsi="Book Antiqua" w:cstheme="minorHAnsi"/>
          <w:sz w:val="24"/>
          <w:szCs w:val="24"/>
          <w:lang w:val="en-GB"/>
        </w:rPr>
        <w:t xml:space="preserve">or </w:t>
      </w:r>
      <w:r w:rsidRPr="00CD4428">
        <w:rPr>
          <w:rFonts w:ascii="Book Antiqua" w:eastAsia="SabonLTStd-Roman" w:hAnsi="Book Antiqua" w:cstheme="minorHAnsi"/>
          <w:sz w:val="24"/>
          <w:szCs w:val="24"/>
          <w:lang w:val="en-GB"/>
        </w:rPr>
        <w:t>CD</w:t>
      </w:r>
      <w:r w:rsidR="00933EE8" w:rsidRPr="00CD4428">
        <w:rPr>
          <w:rFonts w:ascii="Book Antiqua" w:eastAsia="SabonLTStd-Roman" w:hAnsi="Book Antiqua" w:cstheme="minorHAnsi"/>
          <w:sz w:val="24"/>
          <w:szCs w:val="24"/>
          <w:lang w:val="en-GB"/>
        </w:rPr>
        <w:t xml:space="preserve"> (1297/1349); </w:t>
      </w:r>
      <w:r w:rsidRPr="00CD4428">
        <w:rPr>
          <w:rFonts w:ascii="Book Antiqua" w:eastAsia="SabonLTStd-Roman" w:hAnsi="Book Antiqua" w:cstheme="minorHAnsi"/>
          <w:sz w:val="24"/>
          <w:szCs w:val="24"/>
          <w:lang w:val="en-GB"/>
        </w:rPr>
        <w:t xml:space="preserve">patients from </w:t>
      </w:r>
      <w:r w:rsidR="002C43C9" w:rsidRPr="00CD4428">
        <w:rPr>
          <w:rFonts w:ascii="Book Antiqua" w:eastAsia="SabonLTStd-Roman" w:hAnsi="Book Antiqua" w:cstheme="minorHAnsi"/>
          <w:sz w:val="24"/>
          <w:szCs w:val="24"/>
          <w:lang w:val="en-GB"/>
        </w:rPr>
        <w:t xml:space="preserve">the </w:t>
      </w:r>
      <w:r w:rsidRPr="00CD4428">
        <w:rPr>
          <w:rFonts w:ascii="Book Antiqua" w:eastAsia="SabonLTStd-Roman" w:hAnsi="Book Antiqua" w:cstheme="minorHAnsi"/>
          <w:sz w:val="24"/>
          <w:szCs w:val="24"/>
          <w:lang w:val="en-GB"/>
        </w:rPr>
        <w:lastRenderedPageBreak/>
        <w:t xml:space="preserve">C13004 study </w:t>
      </w:r>
      <w:proofErr w:type="gramStart"/>
      <w:r w:rsidRPr="00CD4428">
        <w:rPr>
          <w:rFonts w:ascii="Book Antiqua" w:eastAsia="SabonLTStd-Roman" w:hAnsi="Book Antiqua" w:cstheme="minorHAnsi"/>
          <w:sz w:val="24"/>
          <w:szCs w:val="24"/>
          <w:lang w:val="en-GB"/>
        </w:rPr>
        <w:t>were excluded</w:t>
      </w:r>
      <w:proofErr w:type="gramEnd"/>
      <w:r w:rsidRPr="00CD4428">
        <w:rPr>
          <w:rFonts w:ascii="Book Antiqua" w:eastAsia="SabonLTStd-Roman" w:hAnsi="Book Antiqua" w:cstheme="minorHAnsi"/>
          <w:sz w:val="24"/>
          <w:szCs w:val="24"/>
          <w:lang w:val="en-GB"/>
        </w:rPr>
        <w:t xml:space="preserve"> because some patients with mild IBD</w:t>
      </w:r>
      <w:r w:rsidR="00C5148D" w:rsidRPr="00CD4428">
        <w:rPr>
          <w:rFonts w:ascii="Book Antiqua" w:eastAsia="SabonLTStd-Roman" w:hAnsi="Book Antiqua" w:cstheme="minorHAnsi"/>
          <w:sz w:val="24"/>
          <w:szCs w:val="24"/>
          <w:lang w:val="en-GB"/>
        </w:rPr>
        <w:t xml:space="preserve"> </w:t>
      </w:r>
      <w:r w:rsidR="00E43CCE" w:rsidRPr="00CD4428">
        <w:rPr>
          <w:rFonts w:ascii="Book Antiqua" w:eastAsia="SabonLTStd-Roman" w:hAnsi="Book Antiqua" w:cstheme="minorHAnsi"/>
          <w:sz w:val="24"/>
          <w:szCs w:val="24"/>
          <w:lang w:val="en-GB"/>
        </w:rPr>
        <w:t>w</w:t>
      </w:r>
      <w:r w:rsidR="00E26F78" w:rsidRPr="00CD4428">
        <w:rPr>
          <w:rFonts w:ascii="Book Antiqua" w:eastAsia="SabonLTStd-Roman" w:hAnsi="Book Antiqua" w:cstheme="minorHAnsi"/>
          <w:sz w:val="24"/>
          <w:szCs w:val="24"/>
          <w:lang w:val="en-GB"/>
        </w:rPr>
        <w:t>ere</w:t>
      </w:r>
      <w:r w:rsidRPr="00CD4428">
        <w:rPr>
          <w:rFonts w:ascii="Book Antiqua" w:eastAsia="SabonLTStd-Roman" w:hAnsi="Book Antiqua" w:cstheme="minorHAnsi"/>
          <w:sz w:val="24"/>
          <w:szCs w:val="24"/>
          <w:lang w:val="en-GB"/>
        </w:rPr>
        <w:t xml:space="preserve"> enrolled in th</w:t>
      </w:r>
      <w:r w:rsidR="00987B06" w:rsidRPr="00CD4428">
        <w:rPr>
          <w:rFonts w:ascii="Book Antiqua" w:eastAsia="SabonLTStd-Roman" w:hAnsi="Book Antiqua" w:cstheme="minorHAnsi"/>
          <w:sz w:val="24"/>
          <w:szCs w:val="24"/>
          <w:lang w:val="en-GB"/>
        </w:rPr>
        <w:t>is</w:t>
      </w:r>
      <w:r w:rsidRPr="00CD4428">
        <w:rPr>
          <w:rFonts w:ascii="Book Antiqua" w:eastAsia="SabonLTStd-Roman" w:hAnsi="Book Antiqua" w:cstheme="minorHAnsi"/>
          <w:sz w:val="24"/>
          <w:szCs w:val="24"/>
          <w:lang w:val="en-GB"/>
        </w:rPr>
        <w:t xml:space="preserve"> study.</w:t>
      </w:r>
      <w:r w:rsidR="007C6557" w:rsidRPr="00CD4428">
        <w:rPr>
          <w:rFonts w:ascii="Book Antiqua" w:eastAsia="SabonLTStd-Roman" w:hAnsi="Book Antiqua" w:cstheme="minorHAnsi"/>
          <w:sz w:val="24"/>
          <w:szCs w:val="24"/>
          <w:lang w:val="en-GB"/>
        </w:rPr>
        <w:t xml:space="preserve"> </w:t>
      </w:r>
    </w:p>
    <w:p w14:paraId="7F8BD785" w14:textId="2738B75B" w:rsidR="005E5D85" w:rsidRPr="00CD4428" w:rsidRDefault="007B4F79" w:rsidP="00B34683">
      <w:pPr>
        <w:autoSpaceDE w:val="0"/>
        <w:autoSpaceDN w:val="0"/>
        <w:adjustRightInd w:val="0"/>
        <w:snapToGrid w:val="0"/>
        <w:spacing w:after="0" w:line="360" w:lineRule="auto"/>
        <w:ind w:firstLineChars="100" w:firstLine="24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 xml:space="preserve">Outcomes of clinical response and remission, evaluated using </w:t>
      </w:r>
      <w:r w:rsidR="002C43C9" w:rsidRPr="00CD4428">
        <w:rPr>
          <w:rFonts w:ascii="Book Antiqua" w:eastAsia="SabonLTStd-Roman" w:hAnsi="Book Antiqua" w:cstheme="minorHAnsi"/>
          <w:sz w:val="24"/>
          <w:szCs w:val="24"/>
          <w:lang w:val="en-GB"/>
        </w:rPr>
        <w:t xml:space="preserve">a </w:t>
      </w:r>
      <w:r w:rsidRPr="00CD4428">
        <w:rPr>
          <w:rFonts w:ascii="Book Antiqua" w:eastAsia="SabonLTStd-Roman" w:hAnsi="Book Antiqua" w:cstheme="minorHAnsi"/>
          <w:sz w:val="24"/>
          <w:szCs w:val="24"/>
          <w:lang w:val="en-GB"/>
        </w:rPr>
        <w:t xml:space="preserve">partial Mayo score in UC and </w:t>
      </w:r>
      <w:r w:rsidR="002C43C9" w:rsidRPr="00CD4428">
        <w:rPr>
          <w:rFonts w:ascii="Book Antiqua" w:eastAsia="SabonLTStd-Roman" w:hAnsi="Book Antiqua" w:cstheme="minorHAnsi"/>
          <w:sz w:val="24"/>
          <w:szCs w:val="24"/>
          <w:lang w:val="en-GB"/>
        </w:rPr>
        <w:t xml:space="preserve">the </w:t>
      </w:r>
      <w:r w:rsidRPr="00CD4428">
        <w:rPr>
          <w:rFonts w:ascii="Book Antiqua" w:eastAsia="SabonLTStd-Roman" w:hAnsi="Book Antiqua" w:cstheme="minorHAnsi"/>
          <w:sz w:val="24"/>
          <w:szCs w:val="24"/>
          <w:lang w:val="en-GB"/>
        </w:rPr>
        <w:t xml:space="preserve">Harvey-Bradshaw </w:t>
      </w:r>
      <w:proofErr w:type="gramStart"/>
      <w:r w:rsidRPr="00CD4428">
        <w:rPr>
          <w:rFonts w:ascii="Book Antiqua" w:eastAsia="SabonLTStd-Roman" w:hAnsi="Book Antiqua" w:cstheme="minorHAnsi"/>
          <w:sz w:val="24"/>
          <w:szCs w:val="24"/>
          <w:lang w:val="en-GB"/>
        </w:rPr>
        <w:t>Index</w:t>
      </w:r>
      <w:r w:rsidR="00E01056" w:rsidRPr="00CD4428">
        <w:rPr>
          <w:rFonts w:ascii="Book Antiqua" w:eastAsia="SabonLTStd-Roman" w:hAnsi="Book Antiqua" w:cstheme="minorHAnsi"/>
          <w:sz w:val="24"/>
          <w:szCs w:val="24"/>
          <w:vertAlign w:val="superscript"/>
          <w:lang w:val="en-GB"/>
        </w:rPr>
        <w:t>[</w:t>
      </w:r>
      <w:proofErr w:type="gramEnd"/>
      <w:r w:rsidR="00E01056" w:rsidRPr="00CD4428">
        <w:rPr>
          <w:rFonts w:ascii="Book Antiqua" w:eastAsia="SabonLTStd-Roman" w:hAnsi="Book Antiqua" w:cstheme="minorHAnsi"/>
          <w:sz w:val="24"/>
          <w:szCs w:val="24"/>
          <w:vertAlign w:val="superscript"/>
          <w:lang w:val="en-GB"/>
        </w:rPr>
        <w:t>3</w:t>
      </w:r>
      <w:r w:rsidR="00834467" w:rsidRPr="00CD4428">
        <w:rPr>
          <w:rFonts w:ascii="Book Antiqua" w:eastAsia="SabonLTStd-Roman" w:hAnsi="Book Antiqua" w:cstheme="minorHAnsi"/>
          <w:sz w:val="24"/>
          <w:szCs w:val="24"/>
          <w:vertAlign w:val="superscript"/>
          <w:lang w:val="en-GB"/>
        </w:rPr>
        <w:t>2</w:t>
      </w:r>
      <w:r w:rsidR="00E01056" w:rsidRPr="00CD4428">
        <w:rPr>
          <w:rFonts w:ascii="Book Antiqua" w:eastAsia="SabonLTStd-Roman" w:hAnsi="Book Antiqua" w:cstheme="minorHAnsi"/>
          <w:sz w:val="24"/>
          <w:szCs w:val="24"/>
          <w:vertAlign w:val="superscript"/>
          <w:lang w:val="en-GB"/>
        </w:rPr>
        <w:t>]</w:t>
      </w:r>
      <w:r w:rsidRPr="00CD4428">
        <w:rPr>
          <w:rFonts w:ascii="Book Antiqua" w:eastAsia="SabonLTStd-Roman" w:hAnsi="Book Antiqua" w:cstheme="minorHAnsi"/>
          <w:sz w:val="24"/>
          <w:szCs w:val="24"/>
          <w:lang w:val="en-GB"/>
        </w:rPr>
        <w:t xml:space="preserve"> in CD, were assessed </w:t>
      </w:r>
      <w:r w:rsidR="002C43C9" w:rsidRPr="00CD4428">
        <w:rPr>
          <w:rFonts w:ascii="Book Antiqua" w:eastAsia="SabonLTStd-Roman" w:hAnsi="Book Antiqua" w:cstheme="minorHAnsi"/>
          <w:sz w:val="24"/>
          <w:szCs w:val="24"/>
          <w:lang w:val="en-GB"/>
        </w:rPr>
        <w:t xml:space="preserve">after </w:t>
      </w:r>
      <w:r w:rsidRPr="00CD4428">
        <w:rPr>
          <w:rFonts w:ascii="Book Antiqua" w:eastAsia="SabonLTStd-Roman" w:hAnsi="Book Antiqua" w:cstheme="minorHAnsi"/>
          <w:sz w:val="24"/>
          <w:szCs w:val="24"/>
          <w:lang w:val="en-GB"/>
        </w:rPr>
        <w:t xml:space="preserve">up to 152 </w:t>
      </w:r>
      <w:proofErr w:type="spellStart"/>
      <w:r w:rsidR="00B34683">
        <w:rPr>
          <w:rFonts w:ascii="Book Antiqua" w:eastAsia="SabonLTStd-Roman" w:hAnsi="Book Antiqua" w:cstheme="minorHAnsi"/>
          <w:sz w:val="24"/>
          <w:szCs w:val="24"/>
          <w:lang w:val="en-GB"/>
        </w:rPr>
        <w:t>w</w:t>
      </w:r>
      <w:r w:rsidRPr="00CD4428">
        <w:rPr>
          <w:rFonts w:ascii="Book Antiqua" w:eastAsia="SabonLTStd-Roman" w:hAnsi="Book Antiqua" w:cstheme="minorHAnsi"/>
          <w:sz w:val="24"/>
          <w:szCs w:val="24"/>
          <w:lang w:val="en-GB"/>
        </w:rPr>
        <w:t>k</w:t>
      </w:r>
      <w:proofErr w:type="spellEnd"/>
      <w:r w:rsidR="00B34683">
        <w:rPr>
          <w:rFonts w:ascii="Book Antiqua" w:hAnsi="Book Antiqua" w:cstheme="minorHAnsi" w:hint="eastAsia"/>
          <w:sz w:val="24"/>
          <w:szCs w:val="24"/>
          <w:lang w:val="en-GB" w:eastAsia="zh-CN"/>
        </w:rPr>
        <w:t xml:space="preserve"> </w:t>
      </w:r>
      <w:r w:rsidRPr="00CD4428">
        <w:rPr>
          <w:rFonts w:ascii="Book Antiqua" w:eastAsia="SabonLTStd-Roman" w:hAnsi="Book Antiqua" w:cstheme="minorHAnsi"/>
          <w:sz w:val="24"/>
          <w:szCs w:val="24"/>
          <w:lang w:val="en-GB"/>
        </w:rPr>
        <w:t>of therapy.</w:t>
      </w:r>
      <w:r w:rsidR="001E740F" w:rsidRPr="00CD4428">
        <w:rPr>
          <w:rFonts w:ascii="Book Antiqua" w:eastAsia="SabonLTStd-Roman" w:hAnsi="Book Antiqua" w:cstheme="minorHAnsi"/>
          <w:sz w:val="24"/>
          <w:szCs w:val="24"/>
          <w:lang w:val="en-GB"/>
        </w:rPr>
        <w:t xml:space="preserve"> </w:t>
      </w:r>
      <w:r w:rsidR="00203BC1" w:rsidRPr="00CD4428">
        <w:rPr>
          <w:rFonts w:ascii="Book Antiqua" w:eastAsia="SabonLTStd-Roman" w:hAnsi="Book Antiqua" w:cstheme="minorHAnsi"/>
          <w:sz w:val="24"/>
          <w:szCs w:val="24"/>
          <w:lang w:val="en-GB"/>
        </w:rPr>
        <w:t xml:space="preserve">The results showed that among </w:t>
      </w:r>
      <w:r w:rsidR="002C43C9" w:rsidRPr="00CD4428">
        <w:rPr>
          <w:rFonts w:ascii="Book Antiqua" w:eastAsia="SabonLTStd-Roman" w:hAnsi="Book Antiqua" w:cstheme="minorHAnsi"/>
          <w:sz w:val="24"/>
          <w:szCs w:val="24"/>
          <w:lang w:val="en-GB"/>
        </w:rPr>
        <w:t xml:space="preserve">patients with </w:t>
      </w:r>
      <w:r w:rsidR="00203BC1" w:rsidRPr="00CD4428">
        <w:rPr>
          <w:rFonts w:ascii="Book Antiqua" w:eastAsia="SabonLTStd-Roman" w:hAnsi="Book Antiqua" w:cstheme="minorHAnsi"/>
          <w:sz w:val="24"/>
          <w:szCs w:val="24"/>
          <w:lang w:val="en-GB"/>
        </w:rPr>
        <w:t xml:space="preserve">UC </w:t>
      </w:r>
      <w:r w:rsidR="002C43C9" w:rsidRPr="00CD4428">
        <w:rPr>
          <w:rFonts w:ascii="Book Antiqua" w:eastAsia="SabonLTStd-Roman" w:hAnsi="Book Antiqua" w:cstheme="minorHAnsi"/>
          <w:sz w:val="24"/>
          <w:szCs w:val="24"/>
          <w:lang w:val="en-GB"/>
        </w:rPr>
        <w:t>having a</w:t>
      </w:r>
      <w:r w:rsidR="00FA6017" w:rsidRPr="00CD4428">
        <w:rPr>
          <w:rFonts w:ascii="Book Antiqua" w:eastAsia="SabonLTStd-Roman" w:hAnsi="Book Antiqua" w:cstheme="minorHAnsi"/>
          <w:sz w:val="24"/>
          <w:szCs w:val="24"/>
          <w:lang w:val="en-GB"/>
        </w:rPr>
        <w:t xml:space="preserve"> response </w:t>
      </w:r>
      <w:r w:rsidR="00203BC1" w:rsidRPr="00CD4428">
        <w:rPr>
          <w:rFonts w:ascii="Book Antiqua" w:eastAsia="SabonLTStd-Roman" w:hAnsi="Book Antiqua" w:cstheme="minorHAnsi"/>
          <w:sz w:val="24"/>
          <w:szCs w:val="24"/>
          <w:lang w:val="en-GB"/>
        </w:rPr>
        <w:t xml:space="preserve">to </w:t>
      </w:r>
      <w:proofErr w:type="spellStart"/>
      <w:r w:rsidR="00203BC1" w:rsidRPr="00CD4428">
        <w:rPr>
          <w:rFonts w:ascii="Book Antiqua" w:eastAsia="SabonLTStd-Roman" w:hAnsi="Book Antiqua" w:cstheme="minorHAnsi"/>
          <w:sz w:val="24"/>
          <w:szCs w:val="24"/>
          <w:lang w:val="en-GB"/>
        </w:rPr>
        <w:t>vedolizumab</w:t>
      </w:r>
      <w:proofErr w:type="spellEnd"/>
      <w:r w:rsidR="00203BC1" w:rsidRPr="00CD4428">
        <w:rPr>
          <w:rFonts w:ascii="Book Antiqua" w:eastAsia="SabonLTStd-Roman" w:hAnsi="Book Antiqua" w:cstheme="minorHAnsi"/>
          <w:sz w:val="24"/>
          <w:szCs w:val="24"/>
          <w:lang w:val="en-GB"/>
        </w:rPr>
        <w:t xml:space="preserve"> at week 6</w:t>
      </w:r>
      <w:r w:rsidR="00FA6017" w:rsidRPr="00CD4428">
        <w:rPr>
          <w:rFonts w:ascii="Book Antiqua" w:eastAsia="SabonLTStd-Roman" w:hAnsi="Book Antiqua" w:cstheme="minorHAnsi"/>
          <w:sz w:val="24"/>
          <w:szCs w:val="24"/>
          <w:lang w:val="en-GB"/>
        </w:rPr>
        <w:t xml:space="preserve"> in </w:t>
      </w:r>
      <w:r w:rsidR="002C43C9" w:rsidRPr="00CD4428">
        <w:rPr>
          <w:rFonts w:ascii="Book Antiqua" w:eastAsia="SabonLTStd-Roman" w:hAnsi="Book Antiqua" w:cstheme="minorHAnsi"/>
          <w:sz w:val="24"/>
          <w:szCs w:val="24"/>
          <w:lang w:val="en-GB"/>
        </w:rPr>
        <w:t xml:space="preserve">the </w:t>
      </w:r>
      <w:r w:rsidR="00FA6017" w:rsidRPr="00CD4428">
        <w:rPr>
          <w:rFonts w:ascii="Book Antiqua" w:eastAsia="SabonLTStd-Roman" w:hAnsi="Book Antiqua" w:cstheme="minorHAnsi"/>
          <w:sz w:val="24"/>
          <w:szCs w:val="24"/>
          <w:lang w:val="en-GB"/>
        </w:rPr>
        <w:t>GEMINI 1 study</w:t>
      </w:r>
      <w:r w:rsidR="00613491" w:rsidRPr="00CD4428">
        <w:rPr>
          <w:rFonts w:ascii="Book Antiqua" w:eastAsia="SabonLTStd-Roman" w:hAnsi="Book Antiqua" w:cstheme="minorHAnsi"/>
          <w:sz w:val="24"/>
          <w:szCs w:val="24"/>
          <w:lang w:val="en-GB"/>
        </w:rPr>
        <w:t>,</w:t>
      </w:r>
      <w:r w:rsidR="00203BC1" w:rsidRPr="00CD4428">
        <w:rPr>
          <w:rFonts w:ascii="Book Antiqua" w:eastAsia="SabonLTStd-Roman" w:hAnsi="Book Antiqua" w:cstheme="minorHAnsi"/>
          <w:sz w:val="24"/>
          <w:szCs w:val="24"/>
          <w:lang w:val="en-GB"/>
        </w:rPr>
        <w:t xml:space="preserve"> 88% (</w:t>
      </w:r>
      <w:r w:rsidR="00203BC1" w:rsidRPr="00B34683">
        <w:rPr>
          <w:rFonts w:ascii="Book Antiqua" w:eastAsia="SabonLTStd-Roman" w:hAnsi="Book Antiqua" w:cstheme="minorHAnsi"/>
          <w:i/>
          <w:sz w:val="24"/>
          <w:szCs w:val="24"/>
          <w:lang w:val="en-GB"/>
        </w:rPr>
        <w:t>n</w:t>
      </w:r>
      <w:r w:rsidR="00203BC1" w:rsidRPr="00CD4428">
        <w:rPr>
          <w:rFonts w:ascii="Book Antiqua" w:eastAsia="SabonLTStd-Roman" w:hAnsi="Book Antiqua" w:cstheme="minorHAnsi"/>
          <w:sz w:val="24"/>
          <w:szCs w:val="24"/>
          <w:lang w:val="en-GB"/>
        </w:rPr>
        <w:t xml:space="preserve"> = 120/136) </w:t>
      </w:r>
      <w:r w:rsidR="00BF56E2" w:rsidRPr="00CD4428">
        <w:rPr>
          <w:rFonts w:ascii="Book Antiqua" w:eastAsia="SabonLTStd-Roman" w:hAnsi="Book Antiqua" w:cstheme="minorHAnsi"/>
          <w:sz w:val="24"/>
          <w:szCs w:val="24"/>
          <w:lang w:val="en-GB"/>
        </w:rPr>
        <w:t>and 96% (</w:t>
      </w:r>
      <w:r w:rsidR="00BF56E2" w:rsidRPr="00B34683">
        <w:rPr>
          <w:rFonts w:ascii="Book Antiqua" w:eastAsia="SabonLTStd-Roman" w:hAnsi="Book Antiqua" w:cstheme="minorHAnsi"/>
          <w:i/>
          <w:sz w:val="24"/>
          <w:szCs w:val="24"/>
          <w:lang w:val="en-GB"/>
        </w:rPr>
        <w:t xml:space="preserve">n </w:t>
      </w:r>
      <w:r w:rsidR="00BF56E2" w:rsidRPr="00CD4428">
        <w:rPr>
          <w:rFonts w:ascii="Book Antiqua" w:eastAsia="SabonLTStd-Roman" w:hAnsi="Book Antiqua" w:cstheme="minorHAnsi"/>
          <w:sz w:val="24"/>
          <w:szCs w:val="24"/>
          <w:lang w:val="en-GB"/>
        </w:rPr>
        <w:t xml:space="preserve">= 70/73) </w:t>
      </w:r>
      <w:r w:rsidR="00203BC1" w:rsidRPr="00CD4428">
        <w:rPr>
          <w:rFonts w:ascii="Book Antiqua" w:eastAsia="SabonLTStd-Roman" w:hAnsi="Book Antiqua" w:cstheme="minorHAnsi"/>
          <w:sz w:val="24"/>
          <w:szCs w:val="24"/>
          <w:lang w:val="en-GB"/>
        </w:rPr>
        <w:t xml:space="preserve">were in </w:t>
      </w:r>
      <w:r w:rsidR="00A317C6" w:rsidRPr="00CD4428">
        <w:rPr>
          <w:rFonts w:ascii="Book Antiqua" w:eastAsia="SabonLTStd-Roman" w:hAnsi="Book Antiqua" w:cstheme="minorHAnsi"/>
          <w:sz w:val="24"/>
          <w:szCs w:val="24"/>
          <w:lang w:val="en-GB"/>
        </w:rPr>
        <w:t xml:space="preserve">clinical </w:t>
      </w:r>
      <w:r w:rsidR="00203BC1" w:rsidRPr="00CD4428">
        <w:rPr>
          <w:rFonts w:ascii="Book Antiqua" w:eastAsia="SabonLTStd-Roman" w:hAnsi="Book Antiqua" w:cstheme="minorHAnsi"/>
          <w:sz w:val="24"/>
          <w:szCs w:val="24"/>
          <w:lang w:val="en-GB"/>
        </w:rPr>
        <w:t xml:space="preserve">remission after 104 </w:t>
      </w:r>
      <w:r w:rsidR="00BF56E2" w:rsidRPr="00CD4428">
        <w:rPr>
          <w:rFonts w:ascii="Book Antiqua" w:eastAsia="SabonLTStd-Roman" w:hAnsi="Book Antiqua" w:cstheme="minorHAnsi"/>
          <w:sz w:val="24"/>
          <w:szCs w:val="24"/>
          <w:lang w:val="en-GB"/>
        </w:rPr>
        <w:t xml:space="preserve">and 152 </w:t>
      </w:r>
      <w:r w:rsidR="00203BC1" w:rsidRPr="00CD4428">
        <w:rPr>
          <w:rFonts w:ascii="Book Antiqua" w:eastAsia="SabonLTStd-Roman" w:hAnsi="Book Antiqua" w:cstheme="minorHAnsi"/>
          <w:sz w:val="24"/>
          <w:szCs w:val="24"/>
          <w:lang w:val="en-GB"/>
        </w:rPr>
        <w:t>weeks</w:t>
      </w:r>
      <w:r w:rsidR="006E240B" w:rsidRPr="00CD4428">
        <w:rPr>
          <w:rFonts w:ascii="Book Antiqua" w:eastAsia="SabonLTStd-Roman" w:hAnsi="Book Antiqua" w:cstheme="minorHAnsi"/>
          <w:sz w:val="24"/>
          <w:szCs w:val="24"/>
          <w:lang w:val="en-GB"/>
        </w:rPr>
        <w:t>,</w:t>
      </w:r>
      <w:r w:rsidR="00203BC1" w:rsidRPr="00CD4428">
        <w:rPr>
          <w:rFonts w:ascii="Book Antiqua" w:eastAsia="SabonLTStd-Roman" w:hAnsi="Book Antiqua" w:cstheme="minorHAnsi"/>
          <w:sz w:val="24"/>
          <w:szCs w:val="24"/>
          <w:lang w:val="en-GB"/>
        </w:rPr>
        <w:t xml:space="preserve"> </w:t>
      </w:r>
      <w:r w:rsidR="00BF56E2" w:rsidRPr="00CD4428">
        <w:rPr>
          <w:rFonts w:ascii="Book Antiqua" w:eastAsia="SabonLTStd-Roman" w:hAnsi="Book Antiqua" w:cstheme="minorHAnsi"/>
          <w:sz w:val="24"/>
          <w:szCs w:val="24"/>
          <w:lang w:val="en-GB"/>
        </w:rPr>
        <w:t>respectively</w:t>
      </w:r>
      <w:r w:rsidR="00203BC1" w:rsidRPr="00CD4428">
        <w:rPr>
          <w:rFonts w:ascii="Book Antiqua" w:eastAsia="SabonLTStd-Roman" w:hAnsi="Book Antiqua" w:cstheme="minorHAnsi"/>
          <w:sz w:val="24"/>
          <w:szCs w:val="24"/>
          <w:lang w:val="en-GB"/>
        </w:rPr>
        <w:t>.</w:t>
      </w:r>
      <w:r w:rsidR="00590110" w:rsidRPr="00CD4428">
        <w:rPr>
          <w:rFonts w:ascii="Book Antiqua" w:eastAsia="SabonLTStd-Roman" w:hAnsi="Book Antiqua" w:cstheme="minorHAnsi"/>
          <w:sz w:val="24"/>
          <w:szCs w:val="24"/>
          <w:lang w:val="en-GB"/>
        </w:rPr>
        <w:t xml:space="preserve"> </w:t>
      </w:r>
      <w:r w:rsidR="00FA6017" w:rsidRPr="00CD4428">
        <w:rPr>
          <w:rFonts w:ascii="Book Antiqua" w:eastAsia="SabonLTStd-Roman" w:hAnsi="Book Antiqua" w:cstheme="minorHAnsi"/>
          <w:sz w:val="24"/>
          <w:szCs w:val="24"/>
          <w:lang w:val="en-GB"/>
        </w:rPr>
        <w:t xml:space="preserve">Similarly, </w:t>
      </w:r>
      <w:r w:rsidR="00A317C6" w:rsidRPr="00CD4428">
        <w:rPr>
          <w:rFonts w:ascii="Book Antiqua" w:eastAsia="SabonLTStd-Roman" w:hAnsi="Book Antiqua" w:cstheme="minorHAnsi"/>
          <w:sz w:val="24"/>
          <w:szCs w:val="24"/>
          <w:lang w:val="en-GB"/>
        </w:rPr>
        <w:t xml:space="preserve">the rates of remission reported by the </w:t>
      </w:r>
      <w:r w:rsidR="002C43C9" w:rsidRPr="00CD4428">
        <w:rPr>
          <w:rFonts w:ascii="Book Antiqua" w:eastAsia="SabonLTStd-Roman" w:hAnsi="Book Antiqua" w:cstheme="minorHAnsi"/>
          <w:sz w:val="24"/>
          <w:szCs w:val="24"/>
          <w:lang w:val="en-GB"/>
        </w:rPr>
        <w:t xml:space="preserve">patients with </w:t>
      </w:r>
      <w:r w:rsidR="00E26F78" w:rsidRPr="00CD4428">
        <w:rPr>
          <w:rFonts w:ascii="Book Antiqua" w:eastAsia="SabonLTStd-Roman" w:hAnsi="Book Antiqua" w:cstheme="minorHAnsi"/>
          <w:sz w:val="24"/>
          <w:szCs w:val="24"/>
          <w:lang w:val="en-GB"/>
        </w:rPr>
        <w:t xml:space="preserve">CD </w:t>
      </w:r>
      <w:r w:rsidR="00FA6017" w:rsidRPr="00CD4428">
        <w:rPr>
          <w:rFonts w:ascii="Book Antiqua" w:eastAsia="SabonLTStd-Roman" w:hAnsi="Book Antiqua" w:cstheme="minorHAnsi"/>
          <w:sz w:val="24"/>
          <w:szCs w:val="24"/>
          <w:lang w:val="en-GB"/>
        </w:rPr>
        <w:t xml:space="preserve">who responded to </w:t>
      </w:r>
      <w:r w:rsidR="00E90555" w:rsidRPr="00CD4428">
        <w:rPr>
          <w:rFonts w:ascii="Book Antiqua" w:eastAsia="SabonLTStd-Roman" w:hAnsi="Book Antiqua" w:cstheme="minorHAnsi"/>
          <w:sz w:val="24"/>
          <w:szCs w:val="24"/>
          <w:lang w:val="en-GB"/>
        </w:rPr>
        <w:t xml:space="preserve">the </w:t>
      </w:r>
      <w:r w:rsidR="00FA6017" w:rsidRPr="00CD4428">
        <w:rPr>
          <w:rFonts w:ascii="Book Antiqua" w:eastAsia="SabonLTStd-Roman" w:hAnsi="Book Antiqua" w:cstheme="minorHAnsi"/>
          <w:sz w:val="24"/>
          <w:szCs w:val="24"/>
          <w:lang w:val="en-GB"/>
        </w:rPr>
        <w:t xml:space="preserve">induction phase of </w:t>
      </w:r>
      <w:r w:rsidR="002C43C9" w:rsidRPr="00CD4428">
        <w:rPr>
          <w:rFonts w:ascii="Book Antiqua" w:eastAsia="SabonLTStd-Roman" w:hAnsi="Book Antiqua" w:cstheme="minorHAnsi"/>
          <w:sz w:val="24"/>
          <w:szCs w:val="24"/>
          <w:lang w:val="en-GB"/>
        </w:rPr>
        <w:t xml:space="preserve">the </w:t>
      </w:r>
      <w:r w:rsidR="00FA6017" w:rsidRPr="00CD4428">
        <w:rPr>
          <w:rFonts w:ascii="Book Antiqua" w:eastAsia="SabonLTStd-Roman" w:hAnsi="Book Antiqua" w:cstheme="minorHAnsi"/>
          <w:sz w:val="24"/>
          <w:szCs w:val="24"/>
          <w:lang w:val="en-GB"/>
        </w:rPr>
        <w:t>GEMINI 2 study</w:t>
      </w:r>
      <w:r w:rsidR="00A317C6" w:rsidRPr="00CD4428">
        <w:rPr>
          <w:rFonts w:ascii="Book Antiqua" w:eastAsia="SabonLTStd-Roman" w:hAnsi="Book Antiqua" w:cstheme="minorHAnsi"/>
          <w:sz w:val="24"/>
          <w:szCs w:val="24"/>
          <w:lang w:val="en-GB"/>
        </w:rPr>
        <w:t xml:space="preserve"> were 83%</w:t>
      </w:r>
      <w:r w:rsidR="00203BC1" w:rsidRPr="00CD4428">
        <w:rPr>
          <w:rFonts w:ascii="Book Antiqua" w:eastAsia="SabonLTStd-Roman" w:hAnsi="Book Antiqua" w:cstheme="minorHAnsi"/>
          <w:sz w:val="24"/>
          <w:szCs w:val="24"/>
          <w:lang w:val="en-GB"/>
        </w:rPr>
        <w:t xml:space="preserve"> </w:t>
      </w:r>
      <w:r w:rsidR="00A317C6" w:rsidRPr="00CD4428">
        <w:rPr>
          <w:rFonts w:ascii="Book Antiqua" w:eastAsia="SabonLTStd-Roman" w:hAnsi="Book Antiqua" w:cstheme="minorHAnsi"/>
          <w:sz w:val="24"/>
          <w:szCs w:val="24"/>
          <w:lang w:val="en-GB"/>
        </w:rPr>
        <w:t xml:space="preserve">(n = 100/120) and 89% (n = 62/70) at </w:t>
      </w:r>
      <w:r w:rsidR="006E240B" w:rsidRPr="00CD4428">
        <w:rPr>
          <w:rFonts w:ascii="Book Antiqua" w:eastAsia="SabonLTStd-Roman" w:hAnsi="Book Antiqua" w:cstheme="minorHAnsi"/>
          <w:sz w:val="24"/>
          <w:szCs w:val="24"/>
          <w:lang w:val="en-GB"/>
        </w:rPr>
        <w:t>the same time points</w:t>
      </w:r>
      <w:r w:rsidR="00A317C6" w:rsidRPr="00CD4428">
        <w:rPr>
          <w:rFonts w:ascii="Book Antiqua" w:eastAsia="SabonLTStd-Roman" w:hAnsi="Book Antiqua" w:cstheme="minorHAnsi"/>
          <w:sz w:val="24"/>
          <w:szCs w:val="24"/>
          <w:lang w:val="en-GB"/>
        </w:rPr>
        <w:t>.</w:t>
      </w:r>
      <w:r w:rsidR="00590110" w:rsidRPr="00CD4428">
        <w:rPr>
          <w:rFonts w:ascii="Book Antiqua" w:eastAsia="SabonLTStd-Roman" w:hAnsi="Book Antiqua" w:cstheme="minorHAnsi"/>
          <w:sz w:val="24"/>
          <w:szCs w:val="24"/>
          <w:lang w:val="en-GB"/>
        </w:rPr>
        <w:t xml:space="preserve"> </w:t>
      </w:r>
    </w:p>
    <w:p w14:paraId="32D80EC4" w14:textId="6471DB22" w:rsidR="000B75B8" w:rsidRPr="00CD4428" w:rsidRDefault="00C13714" w:rsidP="00B34683">
      <w:pPr>
        <w:autoSpaceDE w:val="0"/>
        <w:autoSpaceDN w:val="0"/>
        <w:adjustRightInd w:val="0"/>
        <w:snapToGrid w:val="0"/>
        <w:spacing w:after="0" w:line="360" w:lineRule="auto"/>
        <w:ind w:firstLineChars="100" w:firstLine="24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 xml:space="preserve">An increase </w:t>
      </w:r>
      <w:r w:rsidR="002C43C9" w:rsidRPr="00CD4428">
        <w:rPr>
          <w:rFonts w:ascii="Book Antiqua" w:eastAsia="SabonLTStd-Roman" w:hAnsi="Book Antiqua" w:cstheme="minorHAnsi"/>
          <w:sz w:val="24"/>
          <w:szCs w:val="24"/>
          <w:lang w:val="en-GB"/>
        </w:rPr>
        <w:t xml:space="preserve">in </w:t>
      </w:r>
      <w:r w:rsidRPr="00CD4428">
        <w:rPr>
          <w:rFonts w:ascii="Book Antiqua" w:eastAsia="SabonLTStd-Roman" w:hAnsi="Book Antiqua" w:cstheme="minorHAnsi"/>
          <w:sz w:val="24"/>
          <w:szCs w:val="24"/>
          <w:lang w:val="en-GB"/>
        </w:rPr>
        <w:t>dos</w:t>
      </w:r>
      <w:r w:rsidR="002C43C9" w:rsidRPr="00CD4428">
        <w:rPr>
          <w:rFonts w:ascii="Book Antiqua" w:eastAsia="SabonLTStd-Roman" w:hAnsi="Book Antiqua" w:cstheme="minorHAnsi"/>
          <w:sz w:val="24"/>
          <w:szCs w:val="24"/>
          <w:lang w:val="en-GB"/>
        </w:rPr>
        <w:t>ing</w:t>
      </w:r>
      <w:r w:rsidRPr="00CD4428">
        <w:rPr>
          <w:rFonts w:ascii="Book Antiqua" w:eastAsia="SabonLTStd-Roman" w:hAnsi="Book Antiqua" w:cstheme="minorHAnsi"/>
          <w:sz w:val="24"/>
          <w:szCs w:val="24"/>
          <w:lang w:val="en-GB"/>
        </w:rPr>
        <w:t xml:space="preserve"> frequency </w:t>
      </w:r>
      <w:r w:rsidR="00563C53" w:rsidRPr="00CD4428">
        <w:rPr>
          <w:rFonts w:ascii="Book Antiqua" w:eastAsia="SabonLTStd-Roman" w:hAnsi="Book Antiqua" w:cstheme="minorHAnsi"/>
          <w:sz w:val="24"/>
          <w:szCs w:val="24"/>
          <w:lang w:val="en-GB"/>
        </w:rPr>
        <w:t xml:space="preserve">in </w:t>
      </w:r>
      <w:r w:rsidR="005E5D85" w:rsidRPr="00CD4428">
        <w:rPr>
          <w:rFonts w:ascii="Book Antiqua" w:eastAsia="SabonLTStd-Roman" w:hAnsi="Book Antiqua" w:cstheme="minorHAnsi"/>
          <w:sz w:val="24"/>
          <w:szCs w:val="24"/>
          <w:lang w:val="en-GB"/>
        </w:rPr>
        <w:t xml:space="preserve">patients who had withdrawn early from </w:t>
      </w:r>
      <w:r w:rsidR="002C43C9" w:rsidRPr="00CD4428">
        <w:rPr>
          <w:rFonts w:ascii="Book Antiqua" w:eastAsia="SabonLTStd-Roman" w:hAnsi="Book Antiqua" w:cstheme="minorHAnsi"/>
          <w:sz w:val="24"/>
          <w:szCs w:val="24"/>
          <w:lang w:val="en-GB"/>
        </w:rPr>
        <w:t xml:space="preserve">the </w:t>
      </w:r>
      <w:r w:rsidR="00563C53" w:rsidRPr="00CD4428">
        <w:rPr>
          <w:rFonts w:ascii="Book Antiqua" w:eastAsia="SabonLTStd-Roman" w:hAnsi="Book Antiqua" w:cstheme="minorHAnsi"/>
          <w:sz w:val="24"/>
          <w:szCs w:val="24"/>
          <w:lang w:val="en-GB"/>
        </w:rPr>
        <w:t>GEMINI 1</w:t>
      </w:r>
      <w:r w:rsidR="005E5D85" w:rsidRPr="00CD4428">
        <w:rPr>
          <w:rFonts w:ascii="Book Antiqua" w:eastAsia="SabonLTStd-Roman" w:hAnsi="Book Antiqua" w:cstheme="minorHAnsi"/>
          <w:sz w:val="24"/>
          <w:szCs w:val="24"/>
          <w:lang w:val="en-GB"/>
        </w:rPr>
        <w:t xml:space="preserve"> and GEMINI</w:t>
      </w:r>
      <w:r w:rsidR="00E43CCE" w:rsidRPr="00CD4428">
        <w:rPr>
          <w:rFonts w:ascii="Book Antiqua" w:eastAsia="SabonLTStd-Roman" w:hAnsi="Book Antiqua" w:cstheme="minorHAnsi"/>
          <w:sz w:val="24"/>
          <w:szCs w:val="24"/>
          <w:lang w:val="en-GB"/>
        </w:rPr>
        <w:t xml:space="preserve"> 2</w:t>
      </w:r>
      <w:r w:rsidR="002C43C9" w:rsidRPr="00CD4428">
        <w:rPr>
          <w:rFonts w:ascii="Book Antiqua" w:eastAsia="SabonLTStd-Roman" w:hAnsi="Book Antiqua" w:cstheme="minorHAnsi"/>
          <w:sz w:val="24"/>
          <w:szCs w:val="24"/>
          <w:lang w:val="en-GB"/>
        </w:rPr>
        <w:t xml:space="preserve"> studies</w:t>
      </w:r>
      <w:r w:rsidR="005E5D85" w:rsidRPr="00CD4428">
        <w:rPr>
          <w:rFonts w:ascii="Book Antiqua" w:eastAsia="SabonLTStd-Roman" w:hAnsi="Book Antiqua" w:cstheme="minorHAnsi"/>
          <w:sz w:val="24"/>
          <w:szCs w:val="24"/>
          <w:lang w:val="en-GB"/>
        </w:rPr>
        <w:t>,</w:t>
      </w:r>
      <w:r w:rsidR="00563C53" w:rsidRPr="00CD4428">
        <w:rPr>
          <w:rFonts w:ascii="Book Antiqua" w:eastAsia="SabonLTStd-Roman" w:hAnsi="Book Antiqua" w:cstheme="minorHAnsi"/>
          <w:sz w:val="24"/>
          <w:szCs w:val="24"/>
          <w:lang w:val="en-GB"/>
        </w:rPr>
        <w:t xml:space="preserve"> </w:t>
      </w:r>
      <w:r w:rsidR="005C79B8" w:rsidRPr="00CD4428">
        <w:rPr>
          <w:rFonts w:ascii="Book Antiqua" w:eastAsia="SabonLTStd-Roman" w:hAnsi="Book Antiqua" w:cstheme="minorHAnsi"/>
          <w:sz w:val="24"/>
          <w:szCs w:val="24"/>
          <w:lang w:val="en-GB"/>
        </w:rPr>
        <w:t>treated</w:t>
      </w:r>
      <w:r w:rsidR="00B34683">
        <w:rPr>
          <w:rFonts w:ascii="Book Antiqua" w:eastAsia="SabonLTStd-Roman" w:hAnsi="Book Antiqua" w:cstheme="minorHAnsi"/>
          <w:sz w:val="24"/>
          <w:szCs w:val="24"/>
          <w:lang w:val="en-GB"/>
        </w:rPr>
        <w:t xml:space="preserve"> every 8 weeks to every 4 </w:t>
      </w:r>
      <w:proofErr w:type="spellStart"/>
      <w:r w:rsidR="00B34683">
        <w:rPr>
          <w:rFonts w:ascii="Book Antiqua" w:eastAsia="SabonLTStd-Roman" w:hAnsi="Book Antiqua" w:cstheme="minorHAnsi"/>
          <w:sz w:val="24"/>
          <w:szCs w:val="24"/>
          <w:lang w:val="en-GB"/>
        </w:rPr>
        <w:t>wk</w:t>
      </w:r>
      <w:proofErr w:type="spellEnd"/>
      <w:r w:rsidR="005E5D85" w:rsidRPr="00CD4428">
        <w:rPr>
          <w:rFonts w:ascii="Book Antiqua" w:eastAsia="SabonLTStd-Roman" w:hAnsi="Book Antiqua" w:cstheme="minorHAnsi"/>
          <w:sz w:val="24"/>
          <w:szCs w:val="24"/>
          <w:lang w:val="en-GB"/>
        </w:rPr>
        <w:t xml:space="preserve"> in </w:t>
      </w:r>
      <w:r w:rsidR="005C79B8" w:rsidRPr="00CD4428">
        <w:rPr>
          <w:rFonts w:ascii="Book Antiqua" w:eastAsia="SabonLTStd-Roman" w:hAnsi="Book Antiqua" w:cstheme="minorHAnsi"/>
          <w:sz w:val="24"/>
          <w:szCs w:val="24"/>
          <w:lang w:val="en-GB"/>
        </w:rPr>
        <w:t xml:space="preserve">the </w:t>
      </w:r>
      <w:r w:rsidR="005E5D85" w:rsidRPr="00CD4428">
        <w:rPr>
          <w:rFonts w:ascii="Book Antiqua" w:eastAsia="SabonLTStd-Roman" w:hAnsi="Book Antiqua" w:cstheme="minorHAnsi"/>
          <w:sz w:val="24"/>
          <w:szCs w:val="24"/>
          <w:lang w:val="en-GB"/>
        </w:rPr>
        <w:t>GEMINI LTS</w:t>
      </w:r>
      <w:r w:rsidR="002004F6" w:rsidRPr="00CD4428">
        <w:rPr>
          <w:rFonts w:ascii="Book Antiqua" w:eastAsia="SabonLTStd-Roman" w:hAnsi="Book Antiqua" w:cstheme="minorHAnsi"/>
          <w:sz w:val="24"/>
          <w:szCs w:val="24"/>
          <w:lang w:val="en-GB"/>
        </w:rPr>
        <w:t xml:space="preserve"> trial</w:t>
      </w:r>
      <w:r w:rsidR="005E5D85" w:rsidRPr="00CD4428">
        <w:rPr>
          <w:rFonts w:ascii="Book Antiqua" w:eastAsia="SabonLTStd-Roman" w:hAnsi="Book Antiqua" w:cstheme="minorHAnsi"/>
          <w:sz w:val="24"/>
          <w:szCs w:val="24"/>
          <w:lang w:val="en-GB"/>
        </w:rPr>
        <w:t>, resulted in remission rates of 28% and</w:t>
      </w:r>
      <w:r w:rsidR="00B34683">
        <w:rPr>
          <w:rFonts w:ascii="Book Antiqua" w:eastAsia="SabonLTStd-Roman" w:hAnsi="Book Antiqua" w:cstheme="minorHAnsi"/>
          <w:sz w:val="24"/>
          <w:szCs w:val="24"/>
          <w:lang w:val="en-GB"/>
        </w:rPr>
        <w:t xml:space="preserve"> 32%, respectively, after 52 wk</w:t>
      </w:r>
      <w:r w:rsidR="005E5D85" w:rsidRPr="00CD4428">
        <w:rPr>
          <w:rFonts w:ascii="Book Antiqua" w:eastAsia="SabonLTStd-Roman" w:hAnsi="Book Antiqua" w:cstheme="minorHAnsi"/>
          <w:sz w:val="24"/>
          <w:szCs w:val="24"/>
          <w:lang w:val="en-GB"/>
        </w:rPr>
        <w:t>.</w:t>
      </w:r>
      <w:r w:rsidR="00563C53" w:rsidRPr="00CD4428">
        <w:rPr>
          <w:rFonts w:ascii="Book Antiqua" w:eastAsia="SabonLTStd-Roman" w:hAnsi="Book Antiqua" w:cstheme="minorHAnsi"/>
          <w:sz w:val="24"/>
          <w:szCs w:val="24"/>
          <w:lang w:val="en-GB"/>
        </w:rPr>
        <w:t xml:space="preserve"> </w:t>
      </w:r>
      <w:r w:rsidR="00084DA9" w:rsidRPr="00CD4428">
        <w:rPr>
          <w:rFonts w:ascii="Book Antiqua" w:eastAsia="SabonLTStd-Roman" w:hAnsi="Book Antiqua" w:cstheme="minorHAnsi"/>
          <w:sz w:val="24"/>
          <w:szCs w:val="24"/>
          <w:lang w:val="en-GB"/>
        </w:rPr>
        <w:t>S</w:t>
      </w:r>
      <w:r w:rsidR="00B93F24" w:rsidRPr="00CD4428">
        <w:rPr>
          <w:rFonts w:ascii="Book Antiqua" w:eastAsia="SabonLTStd-Roman" w:hAnsi="Book Antiqua" w:cstheme="minorHAnsi"/>
          <w:sz w:val="24"/>
          <w:szCs w:val="24"/>
          <w:lang w:val="en-GB"/>
        </w:rPr>
        <w:t>imilar improvement</w:t>
      </w:r>
      <w:r w:rsidR="00084DA9" w:rsidRPr="00CD4428">
        <w:rPr>
          <w:rFonts w:ascii="Book Antiqua" w:eastAsia="SabonLTStd-Roman" w:hAnsi="Book Antiqua" w:cstheme="minorHAnsi"/>
          <w:sz w:val="24"/>
          <w:szCs w:val="24"/>
          <w:lang w:val="en-GB"/>
        </w:rPr>
        <w:t>s</w:t>
      </w:r>
      <w:r w:rsidR="00B93F24" w:rsidRPr="00CD4428">
        <w:rPr>
          <w:rFonts w:ascii="Book Antiqua" w:eastAsia="SabonLTStd-Roman" w:hAnsi="Book Antiqua" w:cstheme="minorHAnsi"/>
          <w:sz w:val="24"/>
          <w:szCs w:val="24"/>
          <w:lang w:val="en-GB"/>
        </w:rPr>
        <w:t xml:space="preserve"> w</w:t>
      </w:r>
      <w:r w:rsidR="00084DA9" w:rsidRPr="00CD4428">
        <w:rPr>
          <w:rFonts w:ascii="Book Antiqua" w:eastAsia="SabonLTStd-Roman" w:hAnsi="Book Antiqua" w:cstheme="minorHAnsi"/>
          <w:sz w:val="24"/>
          <w:szCs w:val="24"/>
          <w:lang w:val="en-GB"/>
        </w:rPr>
        <w:t>ere</w:t>
      </w:r>
      <w:r w:rsidR="00B93F24" w:rsidRPr="00CD4428">
        <w:rPr>
          <w:rFonts w:ascii="Book Antiqua" w:eastAsia="SabonLTStd-Roman" w:hAnsi="Book Antiqua" w:cstheme="minorHAnsi"/>
          <w:sz w:val="24"/>
          <w:szCs w:val="24"/>
          <w:lang w:val="en-GB"/>
        </w:rPr>
        <w:t xml:space="preserve"> observed regardless of previous anti-TNF</w:t>
      </w:r>
      <w:r w:rsidR="00984099" w:rsidRPr="00CD4428">
        <w:rPr>
          <w:rFonts w:ascii="Book Antiqua" w:eastAsia="SabonLTStd-Roman" w:hAnsi="Book Antiqua" w:cstheme="minorHAnsi"/>
          <w:sz w:val="24"/>
          <w:szCs w:val="24"/>
          <w:lang w:val="en-GB"/>
        </w:rPr>
        <w:t>α</w:t>
      </w:r>
      <w:r w:rsidR="00B93F24" w:rsidRPr="00CD4428">
        <w:rPr>
          <w:rFonts w:ascii="Book Antiqua" w:eastAsia="SabonLTStd-Roman" w:hAnsi="Book Antiqua" w:cstheme="minorHAnsi"/>
          <w:sz w:val="24"/>
          <w:szCs w:val="24"/>
          <w:lang w:val="en-GB"/>
        </w:rPr>
        <w:t xml:space="preserve"> therapy. </w:t>
      </w:r>
    </w:p>
    <w:p w14:paraId="25BB3C03" w14:textId="5A33F755" w:rsidR="000A247A" w:rsidRPr="00CD4428" w:rsidRDefault="004E1AF3" w:rsidP="00B34683">
      <w:pPr>
        <w:autoSpaceDE w:val="0"/>
        <w:autoSpaceDN w:val="0"/>
        <w:adjustRightInd w:val="0"/>
        <w:snapToGrid w:val="0"/>
        <w:spacing w:after="0" w:line="360" w:lineRule="auto"/>
        <w:ind w:firstLineChars="100" w:firstLine="24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 xml:space="preserve">A retrospective evaluation of mucosal healing </w:t>
      </w:r>
      <w:r w:rsidR="005C79B8" w:rsidRPr="00CD4428">
        <w:rPr>
          <w:rFonts w:ascii="Book Antiqua" w:eastAsia="SabonLTStd-Roman" w:hAnsi="Book Antiqua" w:cstheme="minorHAnsi"/>
          <w:sz w:val="24"/>
          <w:szCs w:val="24"/>
          <w:lang w:val="en-GB"/>
        </w:rPr>
        <w:t xml:space="preserve">after treatment </w:t>
      </w:r>
      <w:r w:rsidRPr="00CD4428">
        <w:rPr>
          <w:rFonts w:ascii="Book Antiqua" w:eastAsia="SabonLTStd-Roman" w:hAnsi="Book Antiqua" w:cstheme="minorHAnsi"/>
          <w:sz w:val="24"/>
          <w:szCs w:val="24"/>
          <w:lang w:val="en-GB"/>
        </w:rPr>
        <w:t xml:space="preserve">with </w:t>
      </w:r>
      <w:proofErr w:type="spellStart"/>
      <w:r w:rsidRPr="00CD4428">
        <w:rPr>
          <w:rFonts w:ascii="Book Antiqua" w:eastAsia="SabonLTStd-Roman" w:hAnsi="Book Antiqua" w:cstheme="minorHAnsi"/>
          <w:sz w:val="24"/>
          <w:szCs w:val="24"/>
          <w:lang w:val="en-GB"/>
        </w:rPr>
        <w:t>vedolizumab</w:t>
      </w:r>
      <w:proofErr w:type="spellEnd"/>
      <w:r w:rsidRPr="00CD4428">
        <w:rPr>
          <w:rFonts w:ascii="Book Antiqua" w:eastAsia="SabonLTStd-Roman" w:hAnsi="Book Antiqua" w:cstheme="minorHAnsi"/>
          <w:sz w:val="24"/>
          <w:szCs w:val="24"/>
          <w:lang w:val="en-GB"/>
        </w:rPr>
        <w:t xml:space="preserve"> in </w:t>
      </w:r>
      <w:r w:rsidR="005C79B8" w:rsidRPr="00CD4428">
        <w:rPr>
          <w:rFonts w:ascii="Book Antiqua" w:eastAsia="SabonLTStd-Roman" w:hAnsi="Book Antiqua" w:cstheme="minorHAnsi"/>
          <w:sz w:val="24"/>
          <w:szCs w:val="24"/>
          <w:lang w:val="en-GB"/>
        </w:rPr>
        <w:t xml:space="preserve">patients with </w:t>
      </w:r>
      <w:r w:rsidRPr="00CD4428">
        <w:rPr>
          <w:rFonts w:ascii="Book Antiqua" w:eastAsia="SabonLTStd-Roman" w:hAnsi="Book Antiqua" w:cstheme="minorHAnsi"/>
          <w:sz w:val="24"/>
          <w:szCs w:val="24"/>
          <w:lang w:val="en-GB"/>
        </w:rPr>
        <w:t xml:space="preserve">IBD enrolled in </w:t>
      </w:r>
      <w:r w:rsidR="005C79B8" w:rsidRPr="00CD4428">
        <w:rPr>
          <w:rFonts w:ascii="Book Antiqua" w:eastAsia="SabonLTStd-Roman" w:hAnsi="Book Antiqua" w:cstheme="minorHAnsi"/>
          <w:sz w:val="24"/>
          <w:szCs w:val="24"/>
          <w:lang w:val="en-GB"/>
        </w:rPr>
        <w:t xml:space="preserve">the </w:t>
      </w:r>
      <w:r w:rsidRPr="00CD4428">
        <w:rPr>
          <w:rFonts w:ascii="Book Antiqua" w:eastAsia="SabonLTStd-Roman" w:hAnsi="Book Antiqua" w:cstheme="minorHAnsi"/>
          <w:sz w:val="24"/>
          <w:szCs w:val="24"/>
          <w:lang w:val="en-GB"/>
        </w:rPr>
        <w:t xml:space="preserve">GEMINI LTS study at Leuven University Hospital was recently </w:t>
      </w:r>
      <w:proofErr w:type="gramStart"/>
      <w:r w:rsidRPr="00CD4428">
        <w:rPr>
          <w:rFonts w:ascii="Book Antiqua" w:eastAsia="SabonLTStd-Roman" w:hAnsi="Book Antiqua" w:cstheme="minorHAnsi"/>
          <w:sz w:val="24"/>
          <w:szCs w:val="24"/>
          <w:lang w:val="en-GB"/>
        </w:rPr>
        <w:t>reported</w:t>
      </w:r>
      <w:r w:rsidR="002E0420" w:rsidRPr="00CD4428">
        <w:rPr>
          <w:rFonts w:ascii="Book Antiqua" w:eastAsia="SabonLTStd-Roman" w:hAnsi="Book Antiqua" w:cstheme="minorHAnsi"/>
          <w:sz w:val="24"/>
          <w:szCs w:val="24"/>
          <w:vertAlign w:val="superscript"/>
          <w:lang w:val="en-GB"/>
        </w:rPr>
        <w:t>[</w:t>
      </w:r>
      <w:proofErr w:type="gramEnd"/>
      <w:r w:rsidR="00E01056" w:rsidRPr="00CD4428">
        <w:rPr>
          <w:rFonts w:ascii="Book Antiqua" w:eastAsia="SabonLTStd-Roman" w:hAnsi="Book Antiqua" w:cstheme="minorHAnsi"/>
          <w:sz w:val="24"/>
          <w:szCs w:val="24"/>
          <w:vertAlign w:val="superscript"/>
          <w:lang w:val="en-GB"/>
        </w:rPr>
        <w:t>3</w:t>
      </w:r>
      <w:r w:rsidR="00834467" w:rsidRPr="00CD4428">
        <w:rPr>
          <w:rFonts w:ascii="Book Antiqua" w:eastAsia="SabonLTStd-Roman" w:hAnsi="Book Antiqua" w:cstheme="minorHAnsi"/>
          <w:sz w:val="24"/>
          <w:szCs w:val="24"/>
          <w:vertAlign w:val="superscript"/>
          <w:lang w:val="en-GB"/>
        </w:rPr>
        <w:t>3</w:t>
      </w:r>
      <w:r w:rsidR="002E0420" w:rsidRPr="00CD4428">
        <w:rPr>
          <w:rFonts w:ascii="Book Antiqua" w:eastAsia="SabonLTStd-Roman" w:hAnsi="Book Antiqua" w:cstheme="minorHAnsi"/>
          <w:sz w:val="24"/>
          <w:szCs w:val="24"/>
          <w:vertAlign w:val="superscript"/>
          <w:lang w:val="en-GB"/>
        </w:rPr>
        <w:t>]</w:t>
      </w:r>
      <w:r w:rsidR="002E0420" w:rsidRPr="00CD4428">
        <w:rPr>
          <w:rFonts w:ascii="Book Antiqua" w:eastAsia="SabonLTStd-Roman" w:hAnsi="Book Antiqua" w:cstheme="minorHAnsi"/>
          <w:sz w:val="24"/>
          <w:szCs w:val="24"/>
          <w:lang w:val="en-GB"/>
        </w:rPr>
        <w:t>.</w:t>
      </w:r>
      <w:r w:rsidR="00590110" w:rsidRPr="00CD4428">
        <w:rPr>
          <w:rFonts w:ascii="Book Antiqua" w:eastAsia="SabonLTStd-Roman" w:hAnsi="Book Antiqua" w:cstheme="minorHAnsi"/>
          <w:sz w:val="24"/>
          <w:szCs w:val="24"/>
          <w:lang w:val="en-GB"/>
        </w:rPr>
        <w:t xml:space="preserve"> </w:t>
      </w:r>
      <w:proofErr w:type="gramStart"/>
      <w:r w:rsidRPr="00CD4428">
        <w:rPr>
          <w:rFonts w:ascii="Book Antiqua" w:eastAsia="SabonLTStd-Roman" w:hAnsi="Book Antiqua" w:cstheme="minorHAnsi"/>
          <w:sz w:val="24"/>
          <w:szCs w:val="24"/>
          <w:lang w:val="en-GB"/>
        </w:rPr>
        <w:t>A total of 58</w:t>
      </w:r>
      <w:proofErr w:type="gramEnd"/>
      <w:r w:rsidRPr="00CD4428">
        <w:rPr>
          <w:rFonts w:ascii="Book Antiqua" w:eastAsia="SabonLTStd-Roman" w:hAnsi="Book Antiqua" w:cstheme="minorHAnsi"/>
          <w:sz w:val="24"/>
          <w:szCs w:val="24"/>
          <w:lang w:val="en-GB"/>
        </w:rPr>
        <w:t xml:space="preserve"> patients (34 UC, 24 CD), </w:t>
      </w:r>
      <w:r w:rsidR="004F6ADB" w:rsidRPr="00CD4428">
        <w:rPr>
          <w:rFonts w:ascii="Book Antiqua" w:eastAsia="SabonLTStd-Roman" w:hAnsi="Book Antiqua" w:cstheme="minorHAnsi"/>
          <w:sz w:val="24"/>
          <w:szCs w:val="24"/>
          <w:lang w:val="en-GB"/>
        </w:rPr>
        <w:t xml:space="preserve">previously exposed </w:t>
      </w:r>
      <w:r w:rsidR="00A71D93" w:rsidRPr="00CD4428">
        <w:rPr>
          <w:rFonts w:ascii="Book Antiqua" w:eastAsia="SabonLTStd-Roman" w:hAnsi="Book Antiqua" w:cstheme="minorHAnsi"/>
          <w:sz w:val="24"/>
          <w:szCs w:val="24"/>
          <w:lang w:val="en-GB"/>
        </w:rPr>
        <w:t>to anti-TNF</w:t>
      </w:r>
      <w:r w:rsidR="00025FBE" w:rsidRPr="00CD4428">
        <w:rPr>
          <w:rFonts w:ascii="Book Antiqua" w:eastAsia="SabonLTStd-Roman" w:hAnsi="Book Antiqua" w:cstheme="minorHAnsi"/>
          <w:sz w:val="24"/>
          <w:szCs w:val="24"/>
          <w:lang w:val="en-GB"/>
        </w:rPr>
        <w:t>α</w:t>
      </w:r>
      <w:r w:rsidR="00A71D93" w:rsidRPr="00CD4428">
        <w:rPr>
          <w:rFonts w:ascii="Book Antiqua" w:eastAsia="SabonLTStd-Roman" w:hAnsi="Book Antiqua" w:cstheme="minorHAnsi"/>
          <w:sz w:val="24"/>
          <w:szCs w:val="24"/>
          <w:lang w:val="en-GB"/>
        </w:rPr>
        <w:t xml:space="preserve"> therapy, were endoscopically followed for a median duration of 3.2 years. Mucosal healing, corrected with non-responder imputation, </w:t>
      </w:r>
      <w:proofErr w:type="gramStart"/>
      <w:r w:rsidR="00A71D93" w:rsidRPr="00CD4428">
        <w:rPr>
          <w:rFonts w:ascii="Book Antiqua" w:eastAsia="SabonLTStd-Roman" w:hAnsi="Book Antiqua" w:cstheme="minorHAnsi"/>
          <w:sz w:val="24"/>
          <w:szCs w:val="24"/>
          <w:lang w:val="en-GB"/>
        </w:rPr>
        <w:t>was reported</w:t>
      </w:r>
      <w:proofErr w:type="gramEnd"/>
      <w:r w:rsidR="00A71D93" w:rsidRPr="00CD4428">
        <w:rPr>
          <w:rFonts w:ascii="Book Antiqua" w:eastAsia="SabonLTStd-Roman" w:hAnsi="Book Antiqua" w:cstheme="minorHAnsi"/>
          <w:sz w:val="24"/>
          <w:szCs w:val="24"/>
          <w:lang w:val="en-GB"/>
        </w:rPr>
        <w:t xml:space="preserve"> by 50% of </w:t>
      </w:r>
      <w:r w:rsidR="005C79B8" w:rsidRPr="00CD4428">
        <w:rPr>
          <w:rFonts w:ascii="Book Antiqua" w:eastAsia="SabonLTStd-Roman" w:hAnsi="Book Antiqua" w:cstheme="minorHAnsi"/>
          <w:sz w:val="24"/>
          <w:szCs w:val="24"/>
          <w:lang w:val="en-GB"/>
        </w:rPr>
        <w:t xml:space="preserve">patients with </w:t>
      </w:r>
      <w:r w:rsidR="00A71D93" w:rsidRPr="00CD4428">
        <w:rPr>
          <w:rFonts w:ascii="Book Antiqua" w:eastAsia="SabonLTStd-Roman" w:hAnsi="Book Antiqua" w:cstheme="minorHAnsi"/>
          <w:sz w:val="24"/>
          <w:szCs w:val="24"/>
          <w:lang w:val="en-GB"/>
        </w:rPr>
        <w:t xml:space="preserve">UC and 29% </w:t>
      </w:r>
      <w:r w:rsidR="005C79B8" w:rsidRPr="00CD4428">
        <w:rPr>
          <w:rFonts w:ascii="Book Antiqua" w:eastAsia="SabonLTStd-Roman" w:hAnsi="Book Antiqua" w:cstheme="minorHAnsi"/>
          <w:sz w:val="24"/>
          <w:szCs w:val="24"/>
          <w:lang w:val="en-GB"/>
        </w:rPr>
        <w:t xml:space="preserve">with </w:t>
      </w:r>
      <w:r w:rsidR="00A71D93" w:rsidRPr="00CD4428">
        <w:rPr>
          <w:rFonts w:ascii="Book Antiqua" w:eastAsia="SabonLTStd-Roman" w:hAnsi="Book Antiqua" w:cstheme="minorHAnsi"/>
          <w:sz w:val="24"/>
          <w:szCs w:val="24"/>
          <w:lang w:val="en-GB"/>
        </w:rPr>
        <w:t xml:space="preserve">CD. </w:t>
      </w:r>
      <w:r w:rsidR="002004F6" w:rsidRPr="00CD4428">
        <w:rPr>
          <w:rFonts w:ascii="Book Antiqua" w:eastAsia="SabonLTStd-Roman" w:hAnsi="Book Antiqua" w:cstheme="minorHAnsi"/>
          <w:sz w:val="24"/>
          <w:szCs w:val="24"/>
          <w:lang w:val="en-GB"/>
        </w:rPr>
        <w:t>A</w:t>
      </w:r>
      <w:r w:rsidR="00A71D93" w:rsidRPr="00CD4428">
        <w:rPr>
          <w:rFonts w:ascii="Book Antiqua" w:eastAsia="SabonLTStd-Roman" w:hAnsi="Book Antiqua" w:cstheme="minorHAnsi"/>
          <w:sz w:val="24"/>
          <w:szCs w:val="24"/>
          <w:lang w:val="en-GB"/>
        </w:rPr>
        <w:t>ddition</w:t>
      </w:r>
      <w:r w:rsidR="002004F6" w:rsidRPr="00CD4428">
        <w:rPr>
          <w:rFonts w:ascii="Book Antiqua" w:eastAsia="SabonLTStd-Roman" w:hAnsi="Book Antiqua" w:cstheme="minorHAnsi"/>
          <w:sz w:val="24"/>
          <w:szCs w:val="24"/>
          <w:lang w:val="en-GB"/>
        </w:rPr>
        <w:t>ally</w:t>
      </w:r>
      <w:r w:rsidR="00A71D93" w:rsidRPr="00CD4428">
        <w:rPr>
          <w:rFonts w:ascii="Book Antiqua" w:eastAsia="SabonLTStd-Roman" w:hAnsi="Book Antiqua" w:cstheme="minorHAnsi"/>
          <w:sz w:val="24"/>
          <w:szCs w:val="24"/>
          <w:lang w:val="en-GB"/>
        </w:rPr>
        <w:t xml:space="preserve">, 32.4% of patients </w:t>
      </w:r>
      <w:r w:rsidR="005C79B8" w:rsidRPr="00CD4428">
        <w:rPr>
          <w:rFonts w:ascii="Book Antiqua" w:eastAsia="SabonLTStd-Roman" w:hAnsi="Book Antiqua" w:cstheme="minorHAnsi"/>
          <w:sz w:val="24"/>
          <w:szCs w:val="24"/>
          <w:lang w:val="en-GB"/>
        </w:rPr>
        <w:t xml:space="preserve">with UC </w:t>
      </w:r>
      <w:r w:rsidR="00A71D93" w:rsidRPr="00CD4428">
        <w:rPr>
          <w:rFonts w:ascii="Book Antiqua" w:eastAsia="SabonLTStd-Roman" w:hAnsi="Book Antiqua" w:cstheme="minorHAnsi"/>
          <w:sz w:val="24"/>
          <w:szCs w:val="24"/>
          <w:lang w:val="en-GB"/>
        </w:rPr>
        <w:t xml:space="preserve">and 20.8% </w:t>
      </w:r>
      <w:r w:rsidR="005C79B8" w:rsidRPr="00CD4428">
        <w:rPr>
          <w:rFonts w:ascii="Book Antiqua" w:eastAsia="SabonLTStd-Roman" w:hAnsi="Book Antiqua" w:cstheme="minorHAnsi"/>
          <w:sz w:val="24"/>
          <w:szCs w:val="24"/>
          <w:lang w:val="en-GB"/>
        </w:rPr>
        <w:t xml:space="preserve">with </w:t>
      </w:r>
      <w:r w:rsidR="00A71D93" w:rsidRPr="00CD4428">
        <w:rPr>
          <w:rFonts w:ascii="Book Antiqua" w:eastAsia="SabonLTStd-Roman" w:hAnsi="Book Antiqua" w:cstheme="minorHAnsi"/>
          <w:sz w:val="24"/>
          <w:szCs w:val="24"/>
          <w:lang w:val="en-GB"/>
        </w:rPr>
        <w:t xml:space="preserve">CD achieved histological healing. </w:t>
      </w:r>
      <w:r w:rsidR="007476F4" w:rsidRPr="00CD4428">
        <w:rPr>
          <w:rFonts w:ascii="Book Antiqua" w:eastAsia="SabonLTStd-Roman" w:hAnsi="Book Antiqua" w:cstheme="minorHAnsi"/>
          <w:sz w:val="24"/>
          <w:szCs w:val="24"/>
          <w:lang w:val="en-GB"/>
        </w:rPr>
        <w:t xml:space="preserve">A significant correlation between mucosal and histological healing </w:t>
      </w:r>
      <w:proofErr w:type="gramStart"/>
      <w:r w:rsidR="007476F4" w:rsidRPr="00CD4428">
        <w:rPr>
          <w:rFonts w:ascii="Book Antiqua" w:eastAsia="SabonLTStd-Roman" w:hAnsi="Book Antiqua" w:cstheme="minorHAnsi"/>
          <w:sz w:val="24"/>
          <w:szCs w:val="24"/>
          <w:lang w:val="en-GB"/>
        </w:rPr>
        <w:t>was observed</w:t>
      </w:r>
      <w:proofErr w:type="gramEnd"/>
      <w:r w:rsidR="007476F4" w:rsidRPr="00CD4428">
        <w:rPr>
          <w:rFonts w:ascii="Book Antiqua" w:eastAsia="SabonLTStd-Roman" w:hAnsi="Book Antiqua" w:cstheme="minorHAnsi"/>
          <w:sz w:val="24"/>
          <w:szCs w:val="24"/>
          <w:lang w:val="en-GB"/>
        </w:rPr>
        <w:t xml:space="preserve"> in both</w:t>
      </w:r>
      <w:r w:rsidR="005C79B8" w:rsidRPr="00CD4428">
        <w:rPr>
          <w:rFonts w:ascii="Book Antiqua" w:eastAsia="SabonLTStd-Roman" w:hAnsi="Book Antiqua" w:cstheme="minorHAnsi"/>
          <w:sz w:val="24"/>
          <w:szCs w:val="24"/>
          <w:lang w:val="en-GB"/>
        </w:rPr>
        <w:t xml:space="preserve"> patients with</w:t>
      </w:r>
      <w:r w:rsidR="007476F4" w:rsidRPr="00CD4428">
        <w:rPr>
          <w:rFonts w:ascii="Book Antiqua" w:eastAsia="SabonLTStd-Roman" w:hAnsi="Book Antiqua" w:cstheme="minorHAnsi"/>
          <w:sz w:val="24"/>
          <w:szCs w:val="24"/>
          <w:lang w:val="en-GB"/>
        </w:rPr>
        <w:t xml:space="preserve"> UC and CD. </w:t>
      </w:r>
    </w:p>
    <w:p w14:paraId="0598AB49" w14:textId="4A58FE5B" w:rsidR="00E524D5" w:rsidRPr="005F1495" w:rsidRDefault="00E65569" w:rsidP="00E17439">
      <w:pPr>
        <w:autoSpaceDE w:val="0"/>
        <w:autoSpaceDN w:val="0"/>
        <w:adjustRightInd w:val="0"/>
        <w:snapToGrid w:val="0"/>
        <w:spacing w:after="0" w:line="360" w:lineRule="auto"/>
        <w:jc w:val="both"/>
        <w:rPr>
          <w:rFonts w:ascii="Book Antiqua" w:hAnsi="Book Antiqua" w:cstheme="minorHAnsi"/>
          <w:b/>
          <w:sz w:val="24"/>
          <w:szCs w:val="24"/>
          <w:lang w:val="en-GB" w:eastAsia="zh-CN"/>
        </w:rPr>
      </w:pPr>
      <w:r w:rsidRPr="00CD4428">
        <w:rPr>
          <w:rFonts w:ascii="Book Antiqua" w:eastAsia="SabonLTStd-Roman" w:hAnsi="Book Antiqua" w:cstheme="minorHAnsi"/>
          <w:sz w:val="24"/>
          <w:szCs w:val="24"/>
          <w:lang w:val="en-GB"/>
        </w:rPr>
        <w:t xml:space="preserve"> </w:t>
      </w:r>
    </w:p>
    <w:p w14:paraId="265793F5" w14:textId="5322BEED" w:rsidR="007E722B" w:rsidRPr="005F1495" w:rsidRDefault="00987030" w:rsidP="00E17439">
      <w:pPr>
        <w:autoSpaceDE w:val="0"/>
        <w:autoSpaceDN w:val="0"/>
        <w:adjustRightInd w:val="0"/>
        <w:snapToGrid w:val="0"/>
        <w:spacing w:after="0" w:line="360" w:lineRule="auto"/>
        <w:jc w:val="both"/>
        <w:rPr>
          <w:rFonts w:ascii="Book Antiqua" w:hAnsi="Book Antiqua" w:cstheme="minorHAnsi"/>
          <w:b/>
          <w:caps/>
          <w:sz w:val="24"/>
          <w:szCs w:val="24"/>
          <w:lang w:val="en-GB" w:eastAsia="zh-CN"/>
        </w:rPr>
      </w:pPr>
      <w:r w:rsidRPr="005F1495">
        <w:rPr>
          <w:rFonts w:ascii="Book Antiqua" w:eastAsia="SabonLTStd-Roman" w:hAnsi="Book Antiqua" w:cstheme="minorHAnsi"/>
          <w:b/>
          <w:caps/>
          <w:sz w:val="24"/>
          <w:szCs w:val="24"/>
          <w:lang w:val="en-GB"/>
        </w:rPr>
        <w:t>Eff</w:t>
      </w:r>
      <w:r w:rsidR="00FA1D3B" w:rsidRPr="005F1495">
        <w:rPr>
          <w:rFonts w:ascii="Book Antiqua" w:eastAsia="SabonLTStd-Roman" w:hAnsi="Book Antiqua" w:cstheme="minorHAnsi"/>
          <w:b/>
          <w:caps/>
          <w:sz w:val="24"/>
          <w:szCs w:val="24"/>
          <w:lang w:val="en-GB"/>
        </w:rPr>
        <w:t>ectiveness</w:t>
      </w:r>
      <w:r w:rsidRPr="005F1495">
        <w:rPr>
          <w:rFonts w:ascii="Book Antiqua" w:eastAsia="SabonLTStd-Roman" w:hAnsi="Book Antiqua" w:cstheme="minorHAnsi"/>
          <w:b/>
          <w:caps/>
          <w:sz w:val="24"/>
          <w:szCs w:val="24"/>
          <w:lang w:val="en-GB"/>
        </w:rPr>
        <w:t xml:space="preserve"> </w:t>
      </w:r>
      <w:r w:rsidR="002965FF" w:rsidRPr="005F1495">
        <w:rPr>
          <w:rFonts w:ascii="Book Antiqua" w:eastAsia="SabonLTStd-Roman" w:hAnsi="Book Antiqua" w:cstheme="minorHAnsi"/>
          <w:b/>
          <w:caps/>
          <w:sz w:val="24"/>
          <w:szCs w:val="24"/>
          <w:lang w:val="en-GB"/>
        </w:rPr>
        <w:t xml:space="preserve">of vedolizumab in </w:t>
      </w:r>
      <w:r w:rsidR="00183FF7" w:rsidRPr="005F1495">
        <w:rPr>
          <w:rFonts w:ascii="Book Antiqua" w:eastAsia="SabonLTStd-Roman" w:hAnsi="Book Antiqua" w:cstheme="minorHAnsi"/>
          <w:b/>
          <w:caps/>
          <w:sz w:val="24"/>
          <w:szCs w:val="24"/>
          <w:lang w:val="en-GB"/>
        </w:rPr>
        <w:t xml:space="preserve">patients with </w:t>
      </w:r>
      <w:r w:rsidR="002965FF" w:rsidRPr="005F1495">
        <w:rPr>
          <w:rFonts w:ascii="Book Antiqua" w:eastAsia="SabonLTStd-Roman" w:hAnsi="Book Antiqua" w:cstheme="minorHAnsi"/>
          <w:b/>
          <w:caps/>
          <w:sz w:val="24"/>
          <w:szCs w:val="24"/>
          <w:lang w:val="en-GB"/>
        </w:rPr>
        <w:t xml:space="preserve">IBD </w:t>
      </w:r>
      <w:r w:rsidRPr="005F1495">
        <w:rPr>
          <w:rFonts w:ascii="Book Antiqua" w:eastAsia="SabonLTStd-Roman" w:hAnsi="Book Antiqua" w:cstheme="minorHAnsi"/>
          <w:b/>
          <w:caps/>
          <w:sz w:val="24"/>
          <w:szCs w:val="24"/>
          <w:lang w:val="en-GB"/>
        </w:rPr>
        <w:t xml:space="preserve">from </w:t>
      </w:r>
      <w:r w:rsidR="00A44CF8" w:rsidRPr="005F1495">
        <w:rPr>
          <w:rFonts w:ascii="Book Antiqua" w:eastAsia="SabonLTStd-Roman" w:hAnsi="Book Antiqua" w:cstheme="minorHAnsi"/>
          <w:b/>
          <w:caps/>
          <w:sz w:val="24"/>
          <w:szCs w:val="24"/>
          <w:lang w:val="en-GB"/>
        </w:rPr>
        <w:t>real-world</w:t>
      </w:r>
      <w:r w:rsidR="007E722B" w:rsidRPr="005F1495">
        <w:rPr>
          <w:rFonts w:ascii="Book Antiqua" w:eastAsia="SabonLTStd-Roman" w:hAnsi="Book Antiqua" w:cstheme="minorHAnsi"/>
          <w:b/>
          <w:caps/>
          <w:sz w:val="24"/>
          <w:szCs w:val="24"/>
          <w:lang w:val="en-GB"/>
        </w:rPr>
        <w:t xml:space="preserve"> studies</w:t>
      </w:r>
      <w:r w:rsidR="004E2888" w:rsidRPr="005F1495">
        <w:rPr>
          <w:rFonts w:ascii="Book Antiqua" w:eastAsia="SabonLTStd-Roman" w:hAnsi="Book Antiqua" w:cstheme="minorHAnsi"/>
          <w:b/>
          <w:caps/>
          <w:sz w:val="24"/>
          <w:szCs w:val="24"/>
          <w:lang w:val="en-GB"/>
        </w:rPr>
        <w:t xml:space="preserve"> </w:t>
      </w:r>
    </w:p>
    <w:p w14:paraId="08D3D3F5" w14:textId="223CDDB0" w:rsidR="00A44CF8" w:rsidRPr="00CD4428" w:rsidRDefault="00475858" w:rsidP="00E17439">
      <w:pPr>
        <w:autoSpaceDE w:val="0"/>
        <w:autoSpaceDN w:val="0"/>
        <w:adjustRightInd w:val="0"/>
        <w:snapToGrid w:val="0"/>
        <w:spacing w:after="0" w:line="360" w:lineRule="auto"/>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 xml:space="preserve">Several </w:t>
      </w:r>
      <w:r w:rsidR="00FA1D3B" w:rsidRPr="00CD4428">
        <w:rPr>
          <w:rFonts w:ascii="Book Antiqua" w:eastAsia="SabonLTStd-Roman" w:hAnsi="Book Antiqua" w:cstheme="minorHAnsi"/>
          <w:sz w:val="24"/>
          <w:szCs w:val="24"/>
          <w:lang w:val="en-GB"/>
        </w:rPr>
        <w:t xml:space="preserve">prospective and retrospective real-life studies of </w:t>
      </w:r>
      <w:proofErr w:type="spellStart"/>
      <w:r w:rsidR="00FA1D3B" w:rsidRPr="00CD4428">
        <w:rPr>
          <w:rFonts w:ascii="Book Antiqua" w:eastAsia="SabonLTStd-Roman" w:hAnsi="Book Antiqua" w:cstheme="minorHAnsi"/>
          <w:sz w:val="24"/>
          <w:szCs w:val="24"/>
          <w:lang w:val="en-GB"/>
        </w:rPr>
        <w:t>vedolizumab</w:t>
      </w:r>
      <w:proofErr w:type="spellEnd"/>
      <w:r w:rsidR="00FA1D3B" w:rsidRPr="00CD4428">
        <w:rPr>
          <w:rFonts w:ascii="Book Antiqua" w:eastAsia="SabonLTStd-Roman" w:hAnsi="Book Antiqua" w:cstheme="minorHAnsi"/>
          <w:sz w:val="24"/>
          <w:szCs w:val="24"/>
          <w:lang w:val="en-GB"/>
        </w:rPr>
        <w:t xml:space="preserve"> in </w:t>
      </w:r>
      <w:r w:rsidR="0002480F" w:rsidRPr="00CD4428">
        <w:rPr>
          <w:rFonts w:ascii="Book Antiqua" w:eastAsia="SabonLTStd-Roman" w:hAnsi="Book Antiqua" w:cstheme="minorHAnsi"/>
          <w:sz w:val="24"/>
          <w:szCs w:val="24"/>
          <w:lang w:val="en-GB"/>
        </w:rPr>
        <w:t xml:space="preserve">patients with moderate-to-severe </w:t>
      </w:r>
      <w:r w:rsidR="00FA1D3B" w:rsidRPr="00CD4428">
        <w:rPr>
          <w:rFonts w:ascii="Book Antiqua" w:eastAsia="SabonLTStd-Roman" w:hAnsi="Book Antiqua" w:cstheme="minorHAnsi"/>
          <w:sz w:val="24"/>
          <w:szCs w:val="24"/>
          <w:lang w:val="en-GB"/>
        </w:rPr>
        <w:t xml:space="preserve">UC and CD </w:t>
      </w:r>
      <w:r w:rsidR="0002480F" w:rsidRPr="00CD4428">
        <w:rPr>
          <w:rFonts w:ascii="Book Antiqua" w:eastAsia="SabonLTStd-Roman" w:hAnsi="Book Antiqua" w:cstheme="minorHAnsi"/>
          <w:sz w:val="24"/>
          <w:szCs w:val="24"/>
          <w:lang w:val="en-GB"/>
        </w:rPr>
        <w:t xml:space="preserve">have been published by </w:t>
      </w:r>
      <w:r w:rsidR="002004F6" w:rsidRPr="00CD4428">
        <w:rPr>
          <w:rFonts w:ascii="Book Antiqua" w:eastAsia="SabonLTStd-Roman" w:hAnsi="Book Antiqua" w:cstheme="minorHAnsi"/>
          <w:sz w:val="24"/>
          <w:szCs w:val="24"/>
          <w:lang w:val="en-GB"/>
        </w:rPr>
        <w:t xml:space="preserve">authors from </w:t>
      </w:r>
      <w:r w:rsidR="0002480F" w:rsidRPr="00CD4428">
        <w:rPr>
          <w:rFonts w:ascii="Book Antiqua" w:eastAsia="SabonLTStd-Roman" w:hAnsi="Book Antiqua" w:cstheme="minorHAnsi"/>
          <w:sz w:val="24"/>
          <w:szCs w:val="24"/>
          <w:lang w:val="en-GB"/>
        </w:rPr>
        <w:t xml:space="preserve">Europe and </w:t>
      </w:r>
      <w:r w:rsidR="002004F6" w:rsidRPr="00CD4428">
        <w:rPr>
          <w:rFonts w:ascii="Book Antiqua" w:eastAsia="SabonLTStd-Roman" w:hAnsi="Book Antiqua" w:cstheme="minorHAnsi"/>
          <w:sz w:val="24"/>
          <w:szCs w:val="24"/>
          <w:lang w:val="en-GB"/>
        </w:rPr>
        <w:t xml:space="preserve">the </w:t>
      </w:r>
      <w:r w:rsidR="0002480F" w:rsidRPr="00CD4428">
        <w:rPr>
          <w:rFonts w:ascii="Book Antiqua" w:eastAsia="SabonLTStd-Roman" w:hAnsi="Book Antiqua" w:cstheme="minorHAnsi"/>
          <w:sz w:val="24"/>
          <w:szCs w:val="24"/>
          <w:lang w:val="en-GB"/>
        </w:rPr>
        <w:t xml:space="preserve">United </w:t>
      </w:r>
      <w:proofErr w:type="gramStart"/>
      <w:r w:rsidR="0002480F" w:rsidRPr="00CD4428">
        <w:rPr>
          <w:rFonts w:ascii="Book Antiqua" w:eastAsia="SabonLTStd-Roman" w:hAnsi="Book Antiqua" w:cstheme="minorHAnsi"/>
          <w:sz w:val="24"/>
          <w:szCs w:val="24"/>
          <w:lang w:val="en-GB"/>
        </w:rPr>
        <w:t>States</w:t>
      </w:r>
      <w:r w:rsidR="00FD0B90" w:rsidRPr="00CD4428">
        <w:rPr>
          <w:rFonts w:ascii="Book Antiqua" w:eastAsia="SabonLTStd-Roman" w:hAnsi="Book Antiqua" w:cstheme="minorHAnsi"/>
          <w:sz w:val="24"/>
          <w:szCs w:val="24"/>
          <w:vertAlign w:val="superscript"/>
          <w:lang w:val="en-GB"/>
        </w:rPr>
        <w:t>[</w:t>
      </w:r>
      <w:proofErr w:type="gramEnd"/>
      <w:r w:rsidR="00FD0B90" w:rsidRPr="00CD4428">
        <w:rPr>
          <w:rFonts w:ascii="Book Antiqua" w:eastAsia="SabonLTStd-Roman" w:hAnsi="Book Antiqua" w:cstheme="minorHAnsi"/>
          <w:sz w:val="24"/>
          <w:szCs w:val="24"/>
          <w:vertAlign w:val="superscript"/>
          <w:lang w:val="en-GB"/>
        </w:rPr>
        <w:t>1</w:t>
      </w:r>
      <w:r w:rsidR="00E01056" w:rsidRPr="00CD4428">
        <w:rPr>
          <w:rFonts w:ascii="Book Antiqua" w:eastAsia="SabonLTStd-Roman" w:hAnsi="Book Antiqua" w:cstheme="minorHAnsi"/>
          <w:sz w:val="24"/>
          <w:szCs w:val="24"/>
          <w:vertAlign w:val="superscript"/>
          <w:lang w:val="en-GB"/>
        </w:rPr>
        <w:t>5</w:t>
      </w:r>
      <w:r w:rsidR="00FD0B90" w:rsidRPr="00CD4428">
        <w:rPr>
          <w:rFonts w:ascii="Book Antiqua" w:eastAsia="SabonLTStd-Roman" w:hAnsi="Book Antiqua" w:cstheme="minorHAnsi"/>
          <w:sz w:val="24"/>
          <w:szCs w:val="24"/>
          <w:vertAlign w:val="superscript"/>
          <w:lang w:val="en-GB"/>
        </w:rPr>
        <w:t>-2</w:t>
      </w:r>
      <w:r w:rsidR="00E01056" w:rsidRPr="00CD4428">
        <w:rPr>
          <w:rFonts w:ascii="Book Antiqua" w:eastAsia="SabonLTStd-Roman" w:hAnsi="Book Antiqua" w:cstheme="minorHAnsi"/>
          <w:sz w:val="24"/>
          <w:szCs w:val="24"/>
          <w:vertAlign w:val="superscript"/>
          <w:lang w:val="en-GB"/>
        </w:rPr>
        <w:t>6</w:t>
      </w:r>
      <w:r w:rsidR="00FD0B90" w:rsidRPr="00CD4428">
        <w:rPr>
          <w:rFonts w:ascii="Book Antiqua" w:eastAsia="SabonLTStd-Roman" w:hAnsi="Book Antiqua" w:cstheme="minorHAnsi"/>
          <w:sz w:val="24"/>
          <w:szCs w:val="24"/>
          <w:vertAlign w:val="superscript"/>
          <w:lang w:val="en-GB"/>
        </w:rPr>
        <w:t>]</w:t>
      </w:r>
      <w:r w:rsidR="00FD0B90" w:rsidRPr="00CD4428">
        <w:rPr>
          <w:rFonts w:ascii="Book Antiqua" w:eastAsia="SabonLTStd-Roman" w:hAnsi="Book Antiqua" w:cstheme="minorHAnsi"/>
          <w:sz w:val="24"/>
          <w:szCs w:val="24"/>
          <w:lang w:val="en-GB"/>
        </w:rPr>
        <w:t>.</w:t>
      </w:r>
      <w:r w:rsidR="00936E0F">
        <w:rPr>
          <w:rFonts w:ascii="Book Antiqua" w:eastAsia="SabonLTStd-Roman" w:hAnsi="Book Antiqua" w:cstheme="minorHAnsi"/>
          <w:sz w:val="24"/>
          <w:szCs w:val="24"/>
          <w:lang w:val="en-GB"/>
        </w:rPr>
        <w:t xml:space="preserve"> </w:t>
      </w:r>
    </w:p>
    <w:p w14:paraId="41770917" w14:textId="77777777" w:rsidR="00A01C8B" w:rsidRPr="00CD4428" w:rsidRDefault="00A01C8B" w:rsidP="00E17439">
      <w:pPr>
        <w:autoSpaceDE w:val="0"/>
        <w:autoSpaceDN w:val="0"/>
        <w:adjustRightInd w:val="0"/>
        <w:snapToGrid w:val="0"/>
        <w:spacing w:after="0" w:line="360" w:lineRule="auto"/>
        <w:jc w:val="both"/>
        <w:rPr>
          <w:rFonts w:ascii="Book Antiqua" w:eastAsia="SabonLTStd-Roman" w:hAnsi="Book Antiqua" w:cstheme="minorHAnsi"/>
          <w:sz w:val="24"/>
          <w:szCs w:val="24"/>
          <w:lang w:val="en-GB"/>
        </w:rPr>
      </w:pPr>
    </w:p>
    <w:p w14:paraId="0EA47BD8" w14:textId="77777777" w:rsidR="00A44CF8" w:rsidRPr="00CD4428" w:rsidRDefault="00A44CF8" w:rsidP="00E17439">
      <w:pPr>
        <w:autoSpaceDE w:val="0"/>
        <w:autoSpaceDN w:val="0"/>
        <w:adjustRightInd w:val="0"/>
        <w:snapToGrid w:val="0"/>
        <w:spacing w:after="0" w:line="360" w:lineRule="auto"/>
        <w:jc w:val="both"/>
        <w:rPr>
          <w:rFonts w:ascii="Book Antiqua" w:eastAsia="SabonLTStd-Roman" w:hAnsi="Book Antiqua" w:cstheme="minorHAnsi"/>
          <w:b/>
          <w:i/>
          <w:sz w:val="24"/>
          <w:szCs w:val="24"/>
          <w:lang w:val="en-GB"/>
        </w:rPr>
      </w:pPr>
      <w:r w:rsidRPr="00CD4428">
        <w:rPr>
          <w:rFonts w:ascii="Book Antiqua" w:eastAsia="SabonLTStd-Roman" w:hAnsi="Book Antiqua" w:cstheme="minorHAnsi"/>
          <w:b/>
          <w:i/>
          <w:sz w:val="24"/>
          <w:szCs w:val="24"/>
          <w:lang w:val="en-GB"/>
        </w:rPr>
        <w:t>European real-life studies</w:t>
      </w:r>
    </w:p>
    <w:p w14:paraId="5E26944B" w14:textId="13A6D07D" w:rsidR="007C5844" w:rsidRPr="00CD4428" w:rsidRDefault="004249E8" w:rsidP="00E17439">
      <w:pPr>
        <w:autoSpaceDE w:val="0"/>
        <w:autoSpaceDN w:val="0"/>
        <w:adjustRightInd w:val="0"/>
        <w:snapToGrid w:val="0"/>
        <w:spacing w:after="0" w:line="360" w:lineRule="auto"/>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To date, t</w:t>
      </w:r>
      <w:r w:rsidR="00B63964" w:rsidRPr="00CD4428">
        <w:rPr>
          <w:rFonts w:ascii="Book Antiqua" w:eastAsia="SabonLTStd-Roman" w:hAnsi="Book Antiqua" w:cstheme="minorHAnsi"/>
          <w:sz w:val="24"/>
          <w:szCs w:val="24"/>
          <w:lang w:val="en-GB"/>
        </w:rPr>
        <w:t xml:space="preserve">he French GETAID group </w:t>
      </w:r>
      <w:r w:rsidR="006A7BD9" w:rsidRPr="00CD4428">
        <w:rPr>
          <w:rFonts w:ascii="Book Antiqua" w:eastAsia="SabonLTStd-Roman" w:hAnsi="Book Antiqua" w:cstheme="minorHAnsi"/>
          <w:sz w:val="24"/>
          <w:szCs w:val="24"/>
          <w:lang w:val="en-GB"/>
        </w:rPr>
        <w:t>(</w:t>
      </w:r>
      <w:proofErr w:type="spellStart"/>
      <w:r w:rsidR="006A7BD9" w:rsidRPr="00CD4428">
        <w:rPr>
          <w:rFonts w:ascii="Book Antiqua" w:eastAsia="SabonLTStd-Roman" w:hAnsi="Book Antiqua" w:cstheme="minorHAnsi"/>
          <w:sz w:val="24"/>
          <w:szCs w:val="24"/>
          <w:lang w:val="en-GB"/>
        </w:rPr>
        <w:t>Groupe</w:t>
      </w:r>
      <w:proofErr w:type="spellEnd"/>
      <w:r w:rsidR="006A7BD9" w:rsidRPr="00CD4428">
        <w:rPr>
          <w:rFonts w:ascii="Book Antiqua" w:eastAsia="SabonLTStd-Roman" w:hAnsi="Book Antiqua" w:cstheme="minorHAnsi"/>
          <w:sz w:val="24"/>
          <w:szCs w:val="24"/>
          <w:lang w:val="en-GB"/>
        </w:rPr>
        <w:t xml:space="preserve"> d’ Etude </w:t>
      </w:r>
      <w:proofErr w:type="spellStart"/>
      <w:r w:rsidR="006A7BD9" w:rsidRPr="00CD4428">
        <w:rPr>
          <w:rFonts w:ascii="Book Antiqua" w:eastAsia="SabonLTStd-Roman" w:hAnsi="Book Antiqua" w:cstheme="minorHAnsi"/>
          <w:sz w:val="24"/>
          <w:szCs w:val="24"/>
          <w:lang w:val="en-GB"/>
        </w:rPr>
        <w:t>Therapeutique</w:t>
      </w:r>
      <w:proofErr w:type="spellEnd"/>
      <w:r w:rsidR="006A7BD9" w:rsidRPr="00CD4428">
        <w:rPr>
          <w:rFonts w:ascii="Book Antiqua" w:eastAsia="SabonLTStd-Roman" w:hAnsi="Book Antiqua" w:cstheme="minorHAnsi"/>
          <w:sz w:val="24"/>
          <w:szCs w:val="24"/>
          <w:lang w:val="en-GB"/>
        </w:rPr>
        <w:t xml:space="preserve"> des Affections </w:t>
      </w:r>
      <w:proofErr w:type="spellStart"/>
      <w:r w:rsidR="006A7BD9" w:rsidRPr="00CD4428">
        <w:rPr>
          <w:rFonts w:ascii="Book Antiqua" w:eastAsia="SabonLTStd-Roman" w:hAnsi="Book Antiqua" w:cstheme="minorHAnsi"/>
          <w:sz w:val="24"/>
          <w:szCs w:val="24"/>
          <w:lang w:val="en-GB"/>
        </w:rPr>
        <w:t>Inflammatoires</w:t>
      </w:r>
      <w:proofErr w:type="spellEnd"/>
      <w:r w:rsidR="006A7BD9" w:rsidRPr="00CD4428">
        <w:rPr>
          <w:rFonts w:ascii="Book Antiqua" w:eastAsia="SabonLTStd-Roman" w:hAnsi="Book Antiqua" w:cstheme="minorHAnsi"/>
          <w:sz w:val="24"/>
          <w:szCs w:val="24"/>
          <w:lang w:val="en-GB"/>
        </w:rPr>
        <w:t xml:space="preserve"> du tube </w:t>
      </w:r>
      <w:proofErr w:type="spellStart"/>
      <w:r w:rsidR="006A7BD9" w:rsidRPr="00CD4428">
        <w:rPr>
          <w:rFonts w:ascii="Book Antiqua" w:eastAsia="SabonLTStd-Roman" w:hAnsi="Book Antiqua" w:cstheme="minorHAnsi"/>
          <w:sz w:val="24"/>
          <w:szCs w:val="24"/>
          <w:lang w:val="en-GB"/>
        </w:rPr>
        <w:t>Digestif</w:t>
      </w:r>
      <w:proofErr w:type="spellEnd"/>
      <w:r w:rsidR="006A7BD9" w:rsidRPr="00CD4428">
        <w:rPr>
          <w:rFonts w:ascii="Book Antiqua" w:eastAsia="SabonLTStd-Roman" w:hAnsi="Book Antiqua" w:cstheme="minorHAnsi"/>
          <w:sz w:val="24"/>
          <w:szCs w:val="24"/>
          <w:lang w:val="en-GB"/>
        </w:rPr>
        <w:t xml:space="preserve">) </w:t>
      </w:r>
      <w:r w:rsidR="002004F6" w:rsidRPr="00CD4428">
        <w:rPr>
          <w:rFonts w:ascii="Book Antiqua" w:eastAsia="SabonLTStd-Roman" w:hAnsi="Book Antiqua" w:cstheme="minorHAnsi"/>
          <w:sz w:val="24"/>
          <w:szCs w:val="24"/>
          <w:lang w:val="en-GB"/>
        </w:rPr>
        <w:t xml:space="preserve">has </w:t>
      </w:r>
      <w:r w:rsidRPr="00CD4428">
        <w:rPr>
          <w:rFonts w:ascii="Book Antiqua" w:eastAsia="SabonLTStd-Roman" w:hAnsi="Book Antiqua" w:cstheme="minorHAnsi"/>
          <w:sz w:val="24"/>
          <w:szCs w:val="24"/>
          <w:lang w:val="en-GB"/>
        </w:rPr>
        <w:t>published the largest real-</w:t>
      </w:r>
      <w:r w:rsidR="002004F6" w:rsidRPr="00CD4428">
        <w:rPr>
          <w:rFonts w:ascii="Book Antiqua" w:eastAsia="SabonLTStd-Roman" w:hAnsi="Book Antiqua" w:cstheme="minorHAnsi"/>
          <w:sz w:val="24"/>
          <w:szCs w:val="24"/>
          <w:lang w:val="en-GB"/>
        </w:rPr>
        <w:t xml:space="preserve">world </w:t>
      </w:r>
      <w:r w:rsidR="006E08BF" w:rsidRPr="00CD4428">
        <w:rPr>
          <w:rFonts w:ascii="Book Antiqua" w:eastAsia="SabonLTStd-Roman" w:hAnsi="Book Antiqua" w:cstheme="minorHAnsi"/>
          <w:sz w:val="24"/>
          <w:szCs w:val="24"/>
          <w:lang w:val="en-GB"/>
        </w:rPr>
        <w:t>cohort</w:t>
      </w:r>
      <w:r w:rsidR="002D4248" w:rsidRPr="00CD4428">
        <w:rPr>
          <w:rFonts w:ascii="Book Antiqua" w:eastAsia="SabonLTStd-Roman" w:hAnsi="Book Antiqua" w:cstheme="minorHAnsi"/>
          <w:sz w:val="24"/>
          <w:szCs w:val="24"/>
          <w:lang w:val="en-GB"/>
        </w:rPr>
        <w:t xml:space="preserve"> comprising</w:t>
      </w:r>
      <w:r w:rsidRPr="00CD4428">
        <w:rPr>
          <w:rFonts w:ascii="Book Antiqua" w:eastAsia="SabonLTStd-Roman" w:hAnsi="Book Antiqua" w:cstheme="minorHAnsi"/>
          <w:sz w:val="24"/>
          <w:szCs w:val="24"/>
          <w:lang w:val="en-GB"/>
        </w:rPr>
        <w:t xml:space="preserve"> 294</w:t>
      </w:r>
      <w:r w:rsidR="006E08BF" w:rsidRPr="00CD4428">
        <w:rPr>
          <w:rFonts w:ascii="Book Antiqua" w:eastAsia="SabonLTStd-Roman" w:hAnsi="Book Antiqua" w:cstheme="minorHAnsi"/>
          <w:sz w:val="24"/>
          <w:szCs w:val="24"/>
          <w:lang w:val="en-GB"/>
        </w:rPr>
        <w:t xml:space="preserve"> </w:t>
      </w:r>
      <w:r w:rsidRPr="00CD4428">
        <w:rPr>
          <w:rFonts w:ascii="Book Antiqua" w:eastAsia="SabonLTStd-Roman" w:hAnsi="Book Antiqua" w:cstheme="minorHAnsi"/>
          <w:sz w:val="24"/>
          <w:szCs w:val="24"/>
          <w:lang w:val="en-GB"/>
        </w:rPr>
        <w:t>patients</w:t>
      </w:r>
      <w:r w:rsidR="00590110" w:rsidRPr="00CD4428">
        <w:rPr>
          <w:rFonts w:ascii="Book Antiqua" w:eastAsia="SabonLTStd-Roman" w:hAnsi="Book Antiqua" w:cstheme="minorHAnsi"/>
          <w:sz w:val="24"/>
          <w:szCs w:val="24"/>
          <w:lang w:val="en-GB"/>
        </w:rPr>
        <w:t xml:space="preserve"> </w:t>
      </w:r>
      <w:r w:rsidR="006E08BF" w:rsidRPr="00CD4428">
        <w:rPr>
          <w:rFonts w:ascii="Book Antiqua" w:eastAsia="SabonLTStd-Roman" w:hAnsi="Book Antiqua" w:cstheme="minorHAnsi"/>
          <w:sz w:val="24"/>
          <w:szCs w:val="24"/>
          <w:lang w:val="en-GB"/>
        </w:rPr>
        <w:t xml:space="preserve">with </w:t>
      </w:r>
      <w:r w:rsidR="0090365F" w:rsidRPr="00CD4428">
        <w:rPr>
          <w:rFonts w:ascii="Book Antiqua" w:eastAsia="SabonLTStd-Roman" w:hAnsi="Book Antiqua" w:cstheme="minorHAnsi"/>
          <w:sz w:val="24"/>
          <w:szCs w:val="24"/>
          <w:lang w:val="en-GB"/>
        </w:rPr>
        <w:t xml:space="preserve">moderately to severely </w:t>
      </w:r>
      <w:r w:rsidR="006E08BF" w:rsidRPr="00CD4428">
        <w:rPr>
          <w:rFonts w:ascii="Book Antiqua" w:eastAsia="SabonLTStd-Roman" w:hAnsi="Book Antiqua" w:cstheme="minorHAnsi"/>
          <w:sz w:val="24"/>
          <w:szCs w:val="24"/>
          <w:lang w:val="en-GB"/>
        </w:rPr>
        <w:t>active</w:t>
      </w:r>
      <w:r w:rsidR="00590110" w:rsidRPr="00CD4428">
        <w:rPr>
          <w:rFonts w:ascii="Book Antiqua" w:eastAsia="SabonLTStd-Roman" w:hAnsi="Book Antiqua" w:cstheme="minorHAnsi"/>
          <w:sz w:val="24"/>
          <w:szCs w:val="24"/>
          <w:lang w:val="en-GB"/>
        </w:rPr>
        <w:t xml:space="preserve"> </w:t>
      </w:r>
      <w:r w:rsidR="006E08BF" w:rsidRPr="00CD4428">
        <w:rPr>
          <w:rFonts w:ascii="Book Antiqua" w:eastAsia="SabonLTStd-Roman" w:hAnsi="Book Antiqua" w:cstheme="minorHAnsi"/>
          <w:sz w:val="24"/>
          <w:szCs w:val="24"/>
          <w:lang w:val="en-GB"/>
        </w:rPr>
        <w:t xml:space="preserve">IBD </w:t>
      </w:r>
      <w:r w:rsidR="002D4248" w:rsidRPr="00CD4428">
        <w:rPr>
          <w:rFonts w:ascii="Book Antiqua" w:eastAsia="SabonLTStd-Roman" w:hAnsi="Book Antiqua" w:cstheme="minorHAnsi"/>
          <w:sz w:val="24"/>
          <w:szCs w:val="24"/>
          <w:lang w:val="en-GB"/>
        </w:rPr>
        <w:t xml:space="preserve">who were </w:t>
      </w:r>
      <w:r w:rsidR="00535527" w:rsidRPr="00CD4428">
        <w:rPr>
          <w:rFonts w:ascii="Book Antiqua" w:eastAsia="SabonLTStd-Roman" w:hAnsi="Book Antiqua" w:cstheme="minorHAnsi"/>
          <w:sz w:val="24"/>
          <w:szCs w:val="24"/>
          <w:lang w:val="en-GB"/>
        </w:rPr>
        <w:t>followed prospectively</w:t>
      </w:r>
      <w:r w:rsidR="00472842" w:rsidRPr="00CD4428">
        <w:rPr>
          <w:rFonts w:ascii="Book Antiqua" w:eastAsia="SabonLTStd-Roman" w:hAnsi="Book Antiqua" w:cstheme="minorHAnsi"/>
          <w:sz w:val="24"/>
          <w:szCs w:val="24"/>
          <w:lang w:val="en-GB"/>
        </w:rPr>
        <w:t xml:space="preserve"> </w:t>
      </w:r>
      <w:r w:rsidR="00472842" w:rsidRPr="00CD4428">
        <w:rPr>
          <w:rFonts w:ascii="Book Antiqua" w:eastAsia="SabonLTStd-Roman" w:hAnsi="Book Antiqua" w:cstheme="minorHAnsi"/>
          <w:sz w:val="24"/>
          <w:szCs w:val="24"/>
          <w:lang w:val="en-GB"/>
        </w:rPr>
        <w:lastRenderedPageBreak/>
        <w:t xml:space="preserve">until </w:t>
      </w:r>
      <w:r w:rsidR="00F15B8C" w:rsidRPr="00CD4428">
        <w:rPr>
          <w:rFonts w:ascii="Book Antiqua" w:eastAsia="SabonLTStd-Roman" w:hAnsi="Book Antiqua" w:cstheme="minorHAnsi"/>
          <w:sz w:val="24"/>
          <w:szCs w:val="24"/>
          <w:lang w:val="en-GB"/>
        </w:rPr>
        <w:t xml:space="preserve">week </w:t>
      </w:r>
      <w:r w:rsidR="00472842" w:rsidRPr="00CD4428">
        <w:rPr>
          <w:rFonts w:ascii="Book Antiqua" w:eastAsia="SabonLTStd-Roman" w:hAnsi="Book Antiqua" w:cstheme="minorHAnsi"/>
          <w:sz w:val="24"/>
          <w:szCs w:val="24"/>
          <w:lang w:val="en-GB"/>
        </w:rPr>
        <w:t>54</w:t>
      </w:r>
      <w:r w:rsidR="00E456B2" w:rsidRPr="00CD4428">
        <w:rPr>
          <w:rFonts w:ascii="Book Antiqua" w:eastAsia="SabonLTStd-Roman" w:hAnsi="Book Antiqua" w:cstheme="minorHAnsi"/>
          <w:sz w:val="24"/>
          <w:szCs w:val="24"/>
          <w:vertAlign w:val="superscript"/>
          <w:lang w:val="en-GB"/>
        </w:rPr>
        <w:t>[1</w:t>
      </w:r>
      <w:r w:rsidR="00E01056" w:rsidRPr="00CD4428">
        <w:rPr>
          <w:rFonts w:ascii="Book Antiqua" w:eastAsia="SabonLTStd-Roman" w:hAnsi="Book Antiqua" w:cstheme="minorHAnsi"/>
          <w:sz w:val="24"/>
          <w:szCs w:val="24"/>
          <w:vertAlign w:val="superscript"/>
          <w:lang w:val="en-GB"/>
        </w:rPr>
        <w:t>5</w:t>
      </w:r>
      <w:r w:rsidR="00E456B2" w:rsidRPr="00CD4428">
        <w:rPr>
          <w:rFonts w:ascii="Book Antiqua" w:eastAsia="SabonLTStd-Roman" w:hAnsi="Book Antiqua" w:cstheme="minorHAnsi"/>
          <w:sz w:val="24"/>
          <w:szCs w:val="24"/>
          <w:vertAlign w:val="superscript"/>
          <w:lang w:val="en-GB"/>
        </w:rPr>
        <w:t>,1</w:t>
      </w:r>
      <w:r w:rsidR="00E01056" w:rsidRPr="00CD4428">
        <w:rPr>
          <w:rFonts w:ascii="Book Antiqua" w:eastAsia="SabonLTStd-Roman" w:hAnsi="Book Antiqua" w:cstheme="minorHAnsi"/>
          <w:sz w:val="24"/>
          <w:szCs w:val="24"/>
          <w:vertAlign w:val="superscript"/>
          <w:lang w:val="en-GB"/>
        </w:rPr>
        <w:t>6</w:t>
      </w:r>
      <w:r w:rsidR="00E456B2" w:rsidRPr="00CD4428">
        <w:rPr>
          <w:rFonts w:ascii="Book Antiqua" w:eastAsia="SabonLTStd-Roman" w:hAnsi="Book Antiqua" w:cstheme="minorHAnsi"/>
          <w:sz w:val="24"/>
          <w:szCs w:val="24"/>
          <w:vertAlign w:val="superscript"/>
          <w:lang w:val="en-GB"/>
        </w:rPr>
        <w:t>]</w:t>
      </w:r>
      <w:r w:rsidR="00535527" w:rsidRPr="00CD4428">
        <w:rPr>
          <w:rFonts w:ascii="Book Antiqua" w:eastAsia="SabonLTStd-Roman" w:hAnsi="Book Antiqua" w:cstheme="minorHAnsi"/>
          <w:sz w:val="24"/>
          <w:szCs w:val="24"/>
          <w:lang w:val="en-GB"/>
        </w:rPr>
        <w:t xml:space="preserve"> </w:t>
      </w:r>
      <w:r w:rsidR="006E08BF" w:rsidRPr="00CD4428">
        <w:rPr>
          <w:rFonts w:ascii="Book Antiqua" w:eastAsia="SabonLTStd-Roman" w:hAnsi="Book Antiqua" w:cstheme="minorHAnsi"/>
          <w:sz w:val="24"/>
          <w:szCs w:val="24"/>
          <w:lang w:val="en-GB"/>
        </w:rPr>
        <w:t>(Table 2)</w:t>
      </w:r>
      <w:r w:rsidR="00E456B2" w:rsidRPr="00CD4428">
        <w:rPr>
          <w:rFonts w:ascii="Book Antiqua" w:eastAsia="SabonLTStd-Roman" w:hAnsi="Book Antiqua" w:cstheme="minorHAnsi"/>
          <w:sz w:val="24"/>
          <w:szCs w:val="24"/>
          <w:lang w:val="en-GB"/>
        </w:rPr>
        <w:t>.</w:t>
      </w:r>
      <w:r w:rsidR="006E08BF" w:rsidRPr="00CD4428">
        <w:rPr>
          <w:rFonts w:ascii="Book Antiqua" w:eastAsia="SabonLTStd-Roman" w:hAnsi="Book Antiqua" w:cstheme="minorHAnsi"/>
          <w:sz w:val="24"/>
          <w:szCs w:val="24"/>
          <w:lang w:val="en-GB"/>
        </w:rPr>
        <w:t xml:space="preserve"> </w:t>
      </w:r>
      <w:r w:rsidR="00535527" w:rsidRPr="00CD4428">
        <w:rPr>
          <w:rFonts w:ascii="Book Antiqua" w:eastAsia="SabonLTStd-Roman" w:hAnsi="Book Antiqua" w:cstheme="minorHAnsi"/>
          <w:sz w:val="24"/>
          <w:szCs w:val="24"/>
          <w:lang w:val="en-GB"/>
        </w:rPr>
        <w:t xml:space="preserve">Almost all </w:t>
      </w:r>
      <w:r w:rsidR="006E08BF" w:rsidRPr="00CD4428">
        <w:rPr>
          <w:rFonts w:ascii="Book Antiqua" w:eastAsia="SabonLTStd-Roman" w:hAnsi="Book Antiqua" w:cstheme="minorHAnsi"/>
          <w:sz w:val="24"/>
          <w:szCs w:val="24"/>
          <w:lang w:val="en-GB"/>
        </w:rPr>
        <w:t>patients had previously failed at least one anti-TNF</w:t>
      </w:r>
      <w:r w:rsidR="007444A0" w:rsidRPr="00CD4428">
        <w:rPr>
          <w:rFonts w:ascii="Book Antiqua" w:eastAsia="SabonLTStd-Roman" w:hAnsi="Book Antiqua" w:cstheme="minorHAnsi"/>
          <w:sz w:val="24"/>
          <w:szCs w:val="24"/>
          <w:lang w:val="en-GB"/>
        </w:rPr>
        <w:t>α</w:t>
      </w:r>
      <w:r w:rsidR="006E08BF" w:rsidRPr="00CD4428">
        <w:rPr>
          <w:rFonts w:ascii="Book Antiqua" w:eastAsia="SabonLTStd-Roman" w:hAnsi="Book Antiqua" w:cstheme="minorHAnsi"/>
          <w:sz w:val="24"/>
          <w:szCs w:val="24"/>
          <w:lang w:val="en-GB"/>
        </w:rPr>
        <w:t xml:space="preserve"> agent, </w:t>
      </w:r>
      <w:r w:rsidR="002D4248" w:rsidRPr="00CD4428">
        <w:rPr>
          <w:rFonts w:ascii="Book Antiqua" w:eastAsia="SabonLTStd-Roman" w:hAnsi="Book Antiqua" w:cstheme="minorHAnsi"/>
          <w:sz w:val="24"/>
          <w:szCs w:val="24"/>
          <w:lang w:val="en-GB"/>
        </w:rPr>
        <w:t xml:space="preserve">with </w:t>
      </w:r>
      <w:r w:rsidR="006E08BF" w:rsidRPr="00CD4428">
        <w:rPr>
          <w:rFonts w:ascii="Book Antiqua" w:eastAsia="SabonLTStd-Roman" w:hAnsi="Book Antiqua" w:cstheme="minorHAnsi"/>
          <w:sz w:val="24"/>
          <w:szCs w:val="24"/>
          <w:lang w:val="en-GB"/>
        </w:rPr>
        <w:t xml:space="preserve">91% having </w:t>
      </w:r>
      <w:r w:rsidR="0090365F" w:rsidRPr="00CD4428">
        <w:rPr>
          <w:rFonts w:ascii="Book Antiqua" w:eastAsia="SabonLTStd-Roman" w:hAnsi="Book Antiqua" w:cstheme="minorHAnsi"/>
          <w:sz w:val="24"/>
          <w:szCs w:val="24"/>
          <w:lang w:val="en-GB"/>
        </w:rPr>
        <w:t>failed</w:t>
      </w:r>
      <w:r w:rsidR="006E08BF" w:rsidRPr="00CD4428">
        <w:rPr>
          <w:rFonts w:ascii="Book Antiqua" w:eastAsia="SabonLTStd-Roman" w:hAnsi="Book Antiqua" w:cstheme="minorHAnsi"/>
          <w:sz w:val="24"/>
          <w:szCs w:val="24"/>
          <w:lang w:val="en-GB"/>
        </w:rPr>
        <w:t xml:space="preserve"> two. </w:t>
      </w:r>
      <w:r w:rsidR="00535527" w:rsidRPr="00CD4428">
        <w:rPr>
          <w:rFonts w:ascii="Book Antiqua" w:eastAsia="SabonLTStd-Roman" w:hAnsi="Book Antiqua" w:cstheme="minorHAnsi"/>
          <w:sz w:val="24"/>
          <w:szCs w:val="24"/>
          <w:lang w:val="en-GB"/>
        </w:rPr>
        <w:t xml:space="preserve">Patients received </w:t>
      </w:r>
      <w:proofErr w:type="spellStart"/>
      <w:r w:rsidR="00535527" w:rsidRPr="00CD4428">
        <w:rPr>
          <w:rFonts w:ascii="Book Antiqua" w:eastAsia="SabonLTStd-Roman" w:hAnsi="Book Antiqua" w:cstheme="minorHAnsi"/>
          <w:sz w:val="24"/>
          <w:szCs w:val="24"/>
          <w:lang w:val="en-GB"/>
        </w:rPr>
        <w:t>vedolizumab</w:t>
      </w:r>
      <w:proofErr w:type="spellEnd"/>
      <w:r w:rsidR="00535527" w:rsidRPr="00CD4428">
        <w:rPr>
          <w:rFonts w:ascii="Book Antiqua" w:eastAsia="SabonLTStd-Roman" w:hAnsi="Book Antiqua" w:cstheme="minorHAnsi"/>
          <w:sz w:val="24"/>
          <w:szCs w:val="24"/>
          <w:lang w:val="en-GB"/>
        </w:rPr>
        <w:t xml:space="preserve"> 300 mg </w:t>
      </w:r>
      <w:proofErr w:type="gramStart"/>
      <w:r w:rsidR="00535527" w:rsidRPr="00CD4428">
        <w:rPr>
          <w:rFonts w:ascii="Book Antiqua" w:eastAsia="SabonLTStd-Roman" w:hAnsi="Book Antiqua" w:cstheme="minorHAnsi"/>
          <w:sz w:val="24"/>
          <w:szCs w:val="24"/>
          <w:lang w:val="en-GB"/>
        </w:rPr>
        <w:t>iv</w:t>
      </w:r>
      <w:proofErr w:type="gramEnd"/>
      <w:r w:rsidR="00535527" w:rsidRPr="00CD4428">
        <w:rPr>
          <w:rFonts w:ascii="Book Antiqua" w:eastAsia="SabonLTStd-Roman" w:hAnsi="Book Antiqua" w:cstheme="minorHAnsi"/>
          <w:sz w:val="24"/>
          <w:szCs w:val="24"/>
          <w:lang w:val="en-GB"/>
        </w:rPr>
        <w:t xml:space="preserve"> at weeks 0, 2</w:t>
      </w:r>
      <w:r w:rsidR="002D4248" w:rsidRPr="00CD4428">
        <w:rPr>
          <w:rFonts w:ascii="Book Antiqua" w:eastAsia="SabonLTStd-Roman" w:hAnsi="Book Antiqua" w:cstheme="minorHAnsi"/>
          <w:sz w:val="24"/>
          <w:szCs w:val="24"/>
          <w:lang w:val="en-GB"/>
        </w:rPr>
        <w:t>,</w:t>
      </w:r>
      <w:r w:rsidR="00535527" w:rsidRPr="00CD4428">
        <w:rPr>
          <w:rFonts w:ascii="Book Antiqua" w:eastAsia="SabonLTStd-Roman" w:hAnsi="Book Antiqua" w:cstheme="minorHAnsi"/>
          <w:sz w:val="24"/>
          <w:szCs w:val="24"/>
          <w:lang w:val="en-GB"/>
        </w:rPr>
        <w:t xml:space="preserve"> and 6 then every 8 weeks</w:t>
      </w:r>
      <w:r w:rsidR="002D4248" w:rsidRPr="00CD4428">
        <w:rPr>
          <w:rFonts w:ascii="Book Antiqua" w:eastAsia="SabonLTStd-Roman" w:hAnsi="Book Antiqua" w:cstheme="minorHAnsi"/>
          <w:sz w:val="24"/>
          <w:szCs w:val="24"/>
          <w:lang w:val="en-GB"/>
        </w:rPr>
        <w:t xml:space="preserve"> afterward </w:t>
      </w:r>
      <w:r w:rsidR="00535527" w:rsidRPr="00CD4428">
        <w:rPr>
          <w:rFonts w:ascii="Book Antiqua" w:eastAsia="SabonLTStd-Roman" w:hAnsi="Book Antiqua" w:cstheme="minorHAnsi"/>
          <w:sz w:val="24"/>
          <w:szCs w:val="24"/>
          <w:lang w:val="en-GB"/>
        </w:rPr>
        <w:t xml:space="preserve">up to week 52. </w:t>
      </w:r>
      <w:r w:rsidR="00A02FEC" w:rsidRPr="00CD4428">
        <w:rPr>
          <w:rFonts w:ascii="Book Antiqua" w:eastAsia="SabonLTStd-Roman" w:hAnsi="Book Antiqua" w:cstheme="minorHAnsi"/>
          <w:sz w:val="24"/>
          <w:szCs w:val="24"/>
          <w:lang w:val="en-GB"/>
        </w:rPr>
        <w:t>At week 6, 32% of patients</w:t>
      </w:r>
      <w:r w:rsidR="002D4248" w:rsidRPr="00CD4428">
        <w:rPr>
          <w:rFonts w:ascii="Book Antiqua" w:eastAsia="SabonLTStd-Roman" w:hAnsi="Book Antiqua" w:cstheme="minorHAnsi"/>
          <w:sz w:val="24"/>
          <w:szCs w:val="24"/>
          <w:lang w:val="en-GB"/>
        </w:rPr>
        <w:t xml:space="preserve"> with</w:t>
      </w:r>
      <w:r w:rsidR="00A02FEC" w:rsidRPr="00CD4428">
        <w:rPr>
          <w:rFonts w:ascii="Book Antiqua" w:eastAsia="SabonLTStd-Roman" w:hAnsi="Book Antiqua" w:cstheme="minorHAnsi"/>
          <w:sz w:val="24"/>
          <w:szCs w:val="24"/>
          <w:lang w:val="en-GB"/>
        </w:rPr>
        <w:t xml:space="preserve"> </w:t>
      </w:r>
      <w:r w:rsidR="002D4248" w:rsidRPr="00CD4428">
        <w:rPr>
          <w:rFonts w:ascii="Book Antiqua" w:eastAsia="SabonLTStd-Roman" w:hAnsi="Book Antiqua" w:cstheme="minorHAnsi"/>
          <w:sz w:val="24"/>
          <w:szCs w:val="24"/>
          <w:lang w:val="en-GB"/>
        </w:rPr>
        <w:t xml:space="preserve">UC </w:t>
      </w:r>
      <w:r w:rsidR="00A02FEC" w:rsidRPr="00CD4428">
        <w:rPr>
          <w:rFonts w:ascii="Book Antiqua" w:eastAsia="SabonLTStd-Roman" w:hAnsi="Book Antiqua" w:cstheme="minorHAnsi"/>
          <w:sz w:val="24"/>
          <w:szCs w:val="24"/>
          <w:lang w:val="en-GB"/>
        </w:rPr>
        <w:t xml:space="preserve">and 31% </w:t>
      </w:r>
      <w:r w:rsidR="002D4248" w:rsidRPr="00CD4428">
        <w:rPr>
          <w:rFonts w:ascii="Book Antiqua" w:eastAsia="SabonLTStd-Roman" w:hAnsi="Book Antiqua" w:cstheme="minorHAnsi"/>
          <w:sz w:val="24"/>
          <w:szCs w:val="24"/>
          <w:lang w:val="en-GB"/>
        </w:rPr>
        <w:t xml:space="preserve">with </w:t>
      </w:r>
      <w:r w:rsidR="00A02FEC" w:rsidRPr="00CD4428">
        <w:rPr>
          <w:rFonts w:ascii="Book Antiqua" w:eastAsia="SabonLTStd-Roman" w:hAnsi="Book Antiqua" w:cstheme="minorHAnsi"/>
          <w:sz w:val="24"/>
          <w:szCs w:val="24"/>
          <w:lang w:val="en-GB"/>
        </w:rPr>
        <w:t xml:space="preserve">CD were in </w:t>
      </w:r>
      <w:r w:rsidR="0065028B" w:rsidRPr="00CD4428">
        <w:rPr>
          <w:rFonts w:ascii="Book Antiqua" w:eastAsia="SabonLTStd-Roman" w:hAnsi="Book Antiqua" w:cstheme="minorHAnsi"/>
          <w:sz w:val="24"/>
          <w:szCs w:val="24"/>
          <w:lang w:val="en-GB"/>
        </w:rPr>
        <w:t xml:space="preserve">clinical </w:t>
      </w:r>
      <w:r w:rsidR="00A02FEC" w:rsidRPr="00CD4428">
        <w:rPr>
          <w:rFonts w:ascii="Book Antiqua" w:eastAsia="SabonLTStd-Roman" w:hAnsi="Book Antiqua" w:cstheme="minorHAnsi"/>
          <w:sz w:val="24"/>
          <w:szCs w:val="24"/>
          <w:lang w:val="en-GB"/>
        </w:rPr>
        <w:t xml:space="preserve">remission. The primary </w:t>
      </w:r>
      <w:r w:rsidR="00B464E7" w:rsidRPr="00CD4428">
        <w:rPr>
          <w:rFonts w:ascii="Book Antiqua" w:eastAsia="SabonLTStd-Roman" w:hAnsi="Book Antiqua" w:cstheme="minorHAnsi"/>
          <w:sz w:val="24"/>
          <w:szCs w:val="24"/>
          <w:lang w:val="en-GB"/>
        </w:rPr>
        <w:t>outcome</w:t>
      </w:r>
      <w:r w:rsidR="00A02FEC" w:rsidRPr="00CD4428">
        <w:rPr>
          <w:rFonts w:ascii="Book Antiqua" w:eastAsia="SabonLTStd-Roman" w:hAnsi="Book Antiqua" w:cstheme="minorHAnsi"/>
          <w:sz w:val="24"/>
          <w:szCs w:val="24"/>
          <w:lang w:val="en-GB"/>
        </w:rPr>
        <w:t xml:space="preserve"> of the </w:t>
      </w:r>
      <w:r w:rsidR="00BE55ED" w:rsidRPr="00CD4428">
        <w:rPr>
          <w:rFonts w:ascii="Book Antiqua" w:eastAsia="SabonLTStd-Roman" w:hAnsi="Book Antiqua" w:cstheme="minorHAnsi"/>
          <w:sz w:val="24"/>
          <w:szCs w:val="24"/>
          <w:lang w:val="en-GB"/>
        </w:rPr>
        <w:t xml:space="preserve">induction </w:t>
      </w:r>
      <w:r w:rsidR="00A02FEC" w:rsidRPr="00CD4428">
        <w:rPr>
          <w:rFonts w:ascii="Book Antiqua" w:eastAsia="SabonLTStd-Roman" w:hAnsi="Book Antiqua" w:cstheme="minorHAnsi"/>
          <w:sz w:val="24"/>
          <w:szCs w:val="24"/>
          <w:lang w:val="en-GB"/>
        </w:rPr>
        <w:t>study, s</w:t>
      </w:r>
      <w:r w:rsidR="005F7979" w:rsidRPr="00CD4428">
        <w:rPr>
          <w:rFonts w:ascii="Book Antiqua" w:eastAsia="SabonLTStd-Roman" w:hAnsi="Book Antiqua" w:cstheme="minorHAnsi"/>
          <w:sz w:val="24"/>
          <w:szCs w:val="24"/>
          <w:lang w:val="en-GB"/>
        </w:rPr>
        <w:t xml:space="preserve">teroid-free </w:t>
      </w:r>
      <w:r w:rsidR="0065028B" w:rsidRPr="00CD4428">
        <w:rPr>
          <w:rFonts w:ascii="Book Antiqua" w:eastAsia="SabonLTStd-Roman" w:hAnsi="Book Antiqua" w:cstheme="minorHAnsi"/>
          <w:sz w:val="24"/>
          <w:szCs w:val="24"/>
          <w:lang w:val="en-GB"/>
        </w:rPr>
        <w:t xml:space="preserve">clinical </w:t>
      </w:r>
      <w:r w:rsidR="005F7979" w:rsidRPr="00CD4428">
        <w:rPr>
          <w:rFonts w:ascii="Book Antiqua" w:eastAsia="SabonLTStd-Roman" w:hAnsi="Book Antiqua" w:cstheme="minorHAnsi"/>
          <w:sz w:val="24"/>
          <w:szCs w:val="24"/>
          <w:lang w:val="en-GB"/>
        </w:rPr>
        <w:t xml:space="preserve">remission at week 14, was reported by 36% and 31% of </w:t>
      </w:r>
      <w:r w:rsidR="002D4248" w:rsidRPr="00CD4428">
        <w:rPr>
          <w:rFonts w:ascii="Book Antiqua" w:eastAsia="SabonLTStd-Roman" w:hAnsi="Book Antiqua" w:cstheme="minorHAnsi"/>
          <w:sz w:val="24"/>
          <w:szCs w:val="24"/>
          <w:lang w:val="en-GB"/>
        </w:rPr>
        <w:t xml:space="preserve">patients with </w:t>
      </w:r>
      <w:r w:rsidR="005F7979" w:rsidRPr="00CD4428">
        <w:rPr>
          <w:rFonts w:ascii="Book Antiqua" w:eastAsia="SabonLTStd-Roman" w:hAnsi="Book Antiqua" w:cstheme="minorHAnsi"/>
          <w:sz w:val="24"/>
          <w:szCs w:val="24"/>
          <w:lang w:val="en-GB"/>
        </w:rPr>
        <w:t xml:space="preserve">UC and CD, </w:t>
      </w:r>
      <w:proofErr w:type="gramStart"/>
      <w:r w:rsidR="005F7979" w:rsidRPr="00CD4428">
        <w:rPr>
          <w:rFonts w:ascii="Book Antiqua" w:eastAsia="SabonLTStd-Roman" w:hAnsi="Book Antiqua" w:cstheme="minorHAnsi"/>
          <w:sz w:val="24"/>
          <w:szCs w:val="24"/>
          <w:lang w:val="en-GB"/>
        </w:rPr>
        <w:t>respectively</w:t>
      </w:r>
      <w:r w:rsidR="00E456B2" w:rsidRPr="00CD4428">
        <w:rPr>
          <w:rFonts w:ascii="Book Antiqua" w:eastAsia="SabonLTStd-Roman" w:hAnsi="Book Antiqua" w:cstheme="minorHAnsi"/>
          <w:sz w:val="24"/>
          <w:szCs w:val="24"/>
          <w:vertAlign w:val="superscript"/>
          <w:lang w:val="en-GB"/>
        </w:rPr>
        <w:t>[</w:t>
      </w:r>
      <w:proofErr w:type="gramEnd"/>
      <w:r w:rsidR="00E456B2" w:rsidRPr="00CD4428">
        <w:rPr>
          <w:rFonts w:ascii="Book Antiqua" w:eastAsia="SabonLTStd-Roman" w:hAnsi="Book Antiqua" w:cstheme="minorHAnsi"/>
          <w:sz w:val="24"/>
          <w:szCs w:val="24"/>
          <w:vertAlign w:val="superscript"/>
          <w:lang w:val="en-GB"/>
        </w:rPr>
        <w:t>1</w:t>
      </w:r>
      <w:r w:rsidR="00E01056" w:rsidRPr="00CD4428">
        <w:rPr>
          <w:rFonts w:ascii="Book Antiqua" w:eastAsia="SabonLTStd-Roman" w:hAnsi="Book Antiqua" w:cstheme="minorHAnsi"/>
          <w:sz w:val="24"/>
          <w:szCs w:val="24"/>
          <w:vertAlign w:val="superscript"/>
          <w:lang w:val="en-GB"/>
        </w:rPr>
        <w:t>5</w:t>
      </w:r>
      <w:r w:rsidR="00E456B2" w:rsidRPr="00CD4428">
        <w:rPr>
          <w:rFonts w:ascii="Book Antiqua" w:eastAsia="SabonLTStd-Roman" w:hAnsi="Book Antiqua" w:cstheme="minorHAnsi"/>
          <w:sz w:val="24"/>
          <w:szCs w:val="24"/>
          <w:vertAlign w:val="superscript"/>
          <w:lang w:val="en-GB"/>
        </w:rPr>
        <w:t>]</w:t>
      </w:r>
      <w:r w:rsidR="00DF46BE" w:rsidRPr="00CD4428">
        <w:rPr>
          <w:rFonts w:ascii="Book Antiqua" w:eastAsia="SabonLTStd-Roman" w:hAnsi="Book Antiqua" w:cstheme="minorHAnsi"/>
          <w:sz w:val="24"/>
          <w:szCs w:val="24"/>
          <w:lang w:val="en-GB"/>
        </w:rPr>
        <w:t xml:space="preserve"> (</w:t>
      </w:r>
      <w:r w:rsidR="002C580C" w:rsidRPr="00E86DB9">
        <w:rPr>
          <w:rFonts w:ascii="Book Antiqua" w:eastAsia="SabonLTStd-Roman" w:hAnsi="Book Antiqua" w:cstheme="minorHAnsi"/>
          <w:sz w:val="24"/>
          <w:szCs w:val="24"/>
          <w:lang w:val="en-GB"/>
        </w:rPr>
        <w:t>Fig</w:t>
      </w:r>
      <w:r w:rsidR="002C580C" w:rsidRPr="00E86DB9">
        <w:rPr>
          <w:rFonts w:ascii="Book Antiqua" w:hAnsi="Book Antiqua" w:cstheme="minorHAnsi"/>
          <w:sz w:val="24"/>
          <w:szCs w:val="24"/>
          <w:lang w:val="en-GB" w:eastAsia="zh-CN"/>
        </w:rPr>
        <w:t>ure</w:t>
      </w:r>
      <w:r w:rsidR="002C580C">
        <w:rPr>
          <w:rFonts w:ascii="Book Antiqua" w:hAnsi="Book Antiqua" w:cstheme="minorHAnsi" w:hint="eastAsia"/>
          <w:sz w:val="24"/>
          <w:szCs w:val="24"/>
          <w:lang w:val="en-GB" w:eastAsia="zh-CN"/>
        </w:rPr>
        <w:t xml:space="preserve"> </w:t>
      </w:r>
      <w:r w:rsidR="002C580C" w:rsidRPr="00CD4428">
        <w:rPr>
          <w:rFonts w:ascii="Book Antiqua" w:eastAsia="SabonLTStd-Roman" w:hAnsi="Book Antiqua" w:cstheme="minorHAnsi"/>
          <w:sz w:val="24"/>
          <w:szCs w:val="24"/>
          <w:lang w:val="en-GB"/>
        </w:rPr>
        <w:t>2</w:t>
      </w:r>
      <w:r w:rsidR="002C580C">
        <w:rPr>
          <w:rFonts w:ascii="Book Antiqua" w:hAnsi="Book Antiqua" w:cstheme="minorHAnsi" w:hint="eastAsia"/>
          <w:sz w:val="24"/>
          <w:szCs w:val="24"/>
          <w:lang w:val="en-GB" w:eastAsia="zh-CN"/>
        </w:rPr>
        <w:t>A and B</w:t>
      </w:r>
      <w:r w:rsidR="00DF46BE" w:rsidRPr="00CD4428">
        <w:rPr>
          <w:rFonts w:ascii="Book Antiqua" w:eastAsia="SabonLTStd-Roman" w:hAnsi="Book Antiqua" w:cstheme="minorHAnsi"/>
          <w:sz w:val="24"/>
          <w:szCs w:val="24"/>
          <w:lang w:val="en-GB"/>
        </w:rPr>
        <w:t>)</w:t>
      </w:r>
      <w:r w:rsidR="005F7979" w:rsidRPr="00CD4428">
        <w:rPr>
          <w:rFonts w:ascii="Book Antiqua" w:eastAsia="SabonLTStd-Roman" w:hAnsi="Book Antiqua" w:cstheme="minorHAnsi"/>
          <w:sz w:val="24"/>
          <w:szCs w:val="24"/>
          <w:lang w:val="en-GB"/>
        </w:rPr>
        <w:t>.</w:t>
      </w:r>
      <w:r w:rsidR="00590110" w:rsidRPr="00CD4428">
        <w:rPr>
          <w:rFonts w:ascii="Book Antiqua" w:eastAsia="SabonLTStd-Roman" w:hAnsi="Book Antiqua" w:cstheme="minorHAnsi"/>
          <w:sz w:val="24"/>
          <w:szCs w:val="24"/>
          <w:lang w:val="en-GB"/>
        </w:rPr>
        <w:t xml:space="preserve"> </w:t>
      </w:r>
      <w:r w:rsidR="00CD7160" w:rsidRPr="00CD4428">
        <w:rPr>
          <w:rFonts w:ascii="Book Antiqua" w:eastAsia="SabonLTStd-Roman" w:hAnsi="Book Antiqua" w:cstheme="minorHAnsi"/>
          <w:sz w:val="24"/>
          <w:szCs w:val="24"/>
          <w:lang w:val="en-GB"/>
        </w:rPr>
        <w:t>At week 54</w:t>
      </w:r>
      <w:r w:rsidR="002D4248" w:rsidRPr="00CD4428">
        <w:rPr>
          <w:rFonts w:ascii="Book Antiqua" w:eastAsia="SabonLTStd-Roman" w:hAnsi="Book Antiqua" w:cstheme="minorHAnsi"/>
          <w:sz w:val="24"/>
          <w:szCs w:val="24"/>
          <w:lang w:val="en-GB"/>
        </w:rPr>
        <w:t>,</w:t>
      </w:r>
      <w:r w:rsidR="005F7979" w:rsidRPr="00CD4428">
        <w:rPr>
          <w:rFonts w:ascii="Book Antiqua" w:eastAsia="SabonLTStd-Roman" w:hAnsi="Book Antiqua" w:cstheme="minorHAnsi"/>
          <w:sz w:val="24"/>
          <w:szCs w:val="24"/>
          <w:lang w:val="en-GB"/>
        </w:rPr>
        <w:t xml:space="preserve"> </w:t>
      </w:r>
      <w:r w:rsidR="00CD7160" w:rsidRPr="00CD4428">
        <w:rPr>
          <w:rFonts w:ascii="Book Antiqua" w:eastAsia="SabonLTStd-Roman" w:hAnsi="Book Antiqua" w:cstheme="minorHAnsi"/>
          <w:sz w:val="24"/>
          <w:szCs w:val="24"/>
          <w:lang w:val="en-GB"/>
        </w:rPr>
        <w:t xml:space="preserve">steroid-free clinical remission rates were 40.5% in patients with UC and 27.2% in patients with </w:t>
      </w:r>
      <w:proofErr w:type="gramStart"/>
      <w:r w:rsidR="003606F2" w:rsidRPr="00CD4428">
        <w:rPr>
          <w:rFonts w:ascii="Book Antiqua" w:eastAsia="SabonLTStd-Roman" w:hAnsi="Book Antiqua" w:cstheme="minorHAnsi"/>
          <w:sz w:val="24"/>
          <w:szCs w:val="24"/>
          <w:lang w:val="en-GB"/>
        </w:rPr>
        <w:t>CD</w:t>
      </w:r>
      <w:r w:rsidR="00E456B2" w:rsidRPr="00CD4428">
        <w:rPr>
          <w:rFonts w:ascii="Book Antiqua" w:eastAsia="SabonLTStd-Roman" w:hAnsi="Book Antiqua" w:cstheme="minorHAnsi"/>
          <w:sz w:val="24"/>
          <w:szCs w:val="24"/>
          <w:vertAlign w:val="superscript"/>
          <w:lang w:val="en-GB"/>
        </w:rPr>
        <w:t>[</w:t>
      </w:r>
      <w:proofErr w:type="gramEnd"/>
      <w:r w:rsidR="00E456B2" w:rsidRPr="00CD4428">
        <w:rPr>
          <w:rFonts w:ascii="Book Antiqua" w:eastAsia="SabonLTStd-Roman" w:hAnsi="Book Antiqua" w:cstheme="minorHAnsi"/>
          <w:sz w:val="24"/>
          <w:szCs w:val="24"/>
          <w:vertAlign w:val="superscript"/>
          <w:lang w:val="en-GB"/>
        </w:rPr>
        <w:t>1</w:t>
      </w:r>
      <w:r w:rsidR="00E01056" w:rsidRPr="00CD4428">
        <w:rPr>
          <w:rFonts w:ascii="Book Antiqua" w:eastAsia="SabonLTStd-Roman" w:hAnsi="Book Antiqua" w:cstheme="minorHAnsi"/>
          <w:sz w:val="24"/>
          <w:szCs w:val="24"/>
          <w:vertAlign w:val="superscript"/>
          <w:lang w:val="en-GB"/>
        </w:rPr>
        <w:t>6</w:t>
      </w:r>
      <w:r w:rsidR="00E456B2" w:rsidRPr="00CD4428">
        <w:rPr>
          <w:rFonts w:ascii="Book Antiqua" w:eastAsia="SabonLTStd-Roman" w:hAnsi="Book Antiqua" w:cstheme="minorHAnsi"/>
          <w:sz w:val="24"/>
          <w:szCs w:val="24"/>
          <w:vertAlign w:val="superscript"/>
          <w:lang w:val="en-GB"/>
        </w:rPr>
        <w:t>]</w:t>
      </w:r>
      <w:r w:rsidR="00E456B2" w:rsidRPr="00CD4428">
        <w:rPr>
          <w:rFonts w:ascii="Book Antiqua" w:eastAsia="SabonLTStd-Roman" w:hAnsi="Book Antiqua" w:cstheme="minorHAnsi"/>
          <w:sz w:val="24"/>
          <w:szCs w:val="24"/>
          <w:lang w:val="en-GB"/>
        </w:rPr>
        <w:t>.</w:t>
      </w:r>
      <w:r w:rsidR="00590110" w:rsidRPr="00CD4428">
        <w:rPr>
          <w:rFonts w:ascii="Book Antiqua" w:eastAsia="SabonLTStd-Roman" w:hAnsi="Book Antiqua" w:cstheme="minorHAnsi"/>
          <w:sz w:val="24"/>
          <w:szCs w:val="24"/>
          <w:lang w:val="en-GB"/>
        </w:rPr>
        <w:t xml:space="preserve"> </w:t>
      </w:r>
      <w:r w:rsidR="00091977" w:rsidRPr="00CD4428">
        <w:rPr>
          <w:rFonts w:ascii="Book Antiqua" w:eastAsia="SabonLTStd-Roman" w:hAnsi="Book Antiqua" w:cstheme="minorHAnsi"/>
          <w:sz w:val="24"/>
          <w:szCs w:val="24"/>
          <w:lang w:val="en-GB"/>
        </w:rPr>
        <w:t>Mucosal healing</w:t>
      </w:r>
      <w:r w:rsidR="00190C48" w:rsidRPr="00CD4428">
        <w:rPr>
          <w:rFonts w:ascii="Book Antiqua" w:eastAsia="SabonLTStd-Roman" w:hAnsi="Book Antiqua" w:cstheme="minorHAnsi"/>
          <w:sz w:val="24"/>
          <w:szCs w:val="24"/>
          <w:lang w:val="en-GB"/>
        </w:rPr>
        <w:t xml:space="preserve">, assessed </w:t>
      </w:r>
      <w:r w:rsidR="000A2B76" w:rsidRPr="00CD4428">
        <w:rPr>
          <w:rFonts w:ascii="Book Antiqua" w:eastAsia="SabonLTStd-Roman" w:hAnsi="Book Antiqua" w:cstheme="minorHAnsi"/>
          <w:sz w:val="24"/>
          <w:szCs w:val="24"/>
          <w:lang w:val="en-GB"/>
        </w:rPr>
        <w:t>between week</w:t>
      </w:r>
      <w:r w:rsidR="002D4248" w:rsidRPr="00CD4428">
        <w:rPr>
          <w:rFonts w:ascii="Book Antiqua" w:eastAsia="SabonLTStd-Roman" w:hAnsi="Book Antiqua" w:cstheme="minorHAnsi"/>
          <w:sz w:val="24"/>
          <w:szCs w:val="24"/>
          <w:lang w:val="en-GB"/>
        </w:rPr>
        <w:t>s</w:t>
      </w:r>
      <w:r w:rsidR="000A2B76" w:rsidRPr="00CD4428">
        <w:rPr>
          <w:rFonts w:ascii="Book Antiqua" w:eastAsia="SabonLTStd-Roman" w:hAnsi="Book Antiqua" w:cstheme="minorHAnsi"/>
          <w:sz w:val="24"/>
          <w:szCs w:val="24"/>
          <w:lang w:val="en-GB"/>
        </w:rPr>
        <w:t xml:space="preserve"> 30 and 54</w:t>
      </w:r>
      <w:r w:rsidR="007E4DF9" w:rsidRPr="00CD4428">
        <w:rPr>
          <w:rFonts w:ascii="Book Antiqua" w:eastAsia="SabonLTStd-Roman" w:hAnsi="Book Antiqua" w:cstheme="minorHAnsi"/>
          <w:sz w:val="24"/>
          <w:szCs w:val="24"/>
          <w:lang w:val="en-GB"/>
        </w:rPr>
        <w:t>,</w:t>
      </w:r>
      <w:r w:rsidR="00091977" w:rsidRPr="00CD4428">
        <w:rPr>
          <w:rFonts w:ascii="Book Antiqua" w:eastAsia="SabonLTStd-Roman" w:hAnsi="Book Antiqua" w:cstheme="minorHAnsi"/>
          <w:sz w:val="24"/>
          <w:szCs w:val="24"/>
          <w:lang w:val="en-GB"/>
        </w:rPr>
        <w:t xml:space="preserve"> </w:t>
      </w:r>
      <w:r w:rsidR="007E4DF9" w:rsidRPr="00CD4428">
        <w:rPr>
          <w:rFonts w:ascii="Book Antiqua" w:eastAsia="SabonLTStd-Roman" w:hAnsi="Book Antiqua" w:cstheme="minorHAnsi"/>
          <w:sz w:val="24"/>
          <w:szCs w:val="24"/>
          <w:lang w:val="en-GB"/>
        </w:rPr>
        <w:t>occurred in</w:t>
      </w:r>
      <w:r w:rsidR="000A2B76" w:rsidRPr="00CD4428">
        <w:rPr>
          <w:rFonts w:ascii="Book Antiqua" w:eastAsia="SabonLTStd-Roman" w:hAnsi="Book Antiqua" w:cstheme="minorHAnsi"/>
          <w:sz w:val="24"/>
          <w:szCs w:val="24"/>
          <w:lang w:val="en-GB"/>
        </w:rPr>
        <w:t xml:space="preserve"> 54.8% </w:t>
      </w:r>
      <w:r w:rsidR="00C24224" w:rsidRPr="00CD4428">
        <w:rPr>
          <w:rFonts w:ascii="Book Antiqua" w:eastAsia="SabonLTStd-Roman" w:hAnsi="Book Antiqua" w:cstheme="minorHAnsi"/>
          <w:sz w:val="24"/>
          <w:szCs w:val="24"/>
          <w:lang w:val="en-GB"/>
        </w:rPr>
        <w:t xml:space="preserve">of </w:t>
      </w:r>
      <w:r w:rsidR="000A2B76" w:rsidRPr="00CD4428">
        <w:rPr>
          <w:rFonts w:ascii="Book Antiqua" w:eastAsia="SabonLTStd-Roman" w:hAnsi="Book Antiqua" w:cstheme="minorHAnsi"/>
          <w:sz w:val="24"/>
          <w:szCs w:val="24"/>
          <w:lang w:val="en-GB"/>
        </w:rPr>
        <w:t xml:space="preserve">patients </w:t>
      </w:r>
      <w:r w:rsidR="002D4248" w:rsidRPr="00CD4428">
        <w:rPr>
          <w:rFonts w:ascii="Book Antiqua" w:eastAsia="SabonLTStd-Roman" w:hAnsi="Book Antiqua" w:cstheme="minorHAnsi"/>
          <w:sz w:val="24"/>
          <w:szCs w:val="24"/>
          <w:lang w:val="en-GB"/>
        </w:rPr>
        <w:t xml:space="preserve">with UC </w:t>
      </w:r>
      <w:r w:rsidR="00091977" w:rsidRPr="00CD4428">
        <w:rPr>
          <w:rFonts w:ascii="Book Antiqua" w:eastAsia="SabonLTStd-Roman" w:hAnsi="Book Antiqua" w:cstheme="minorHAnsi"/>
          <w:sz w:val="24"/>
          <w:szCs w:val="24"/>
          <w:lang w:val="en-GB"/>
        </w:rPr>
        <w:t xml:space="preserve">and </w:t>
      </w:r>
      <w:r w:rsidR="00D15F7A" w:rsidRPr="00CD4428">
        <w:rPr>
          <w:rFonts w:ascii="Book Antiqua" w:eastAsia="SabonLTStd-Roman" w:hAnsi="Book Antiqua" w:cstheme="minorHAnsi"/>
          <w:sz w:val="24"/>
          <w:szCs w:val="24"/>
          <w:lang w:val="en-GB"/>
        </w:rPr>
        <w:t>29</w:t>
      </w:r>
      <w:r w:rsidR="000A2B76" w:rsidRPr="00CD4428">
        <w:rPr>
          <w:rFonts w:ascii="Book Antiqua" w:eastAsia="SabonLTStd-Roman" w:hAnsi="Book Antiqua" w:cstheme="minorHAnsi"/>
          <w:sz w:val="24"/>
          <w:szCs w:val="24"/>
          <w:lang w:val="en-GB"/>
        </w:rPr>
        <w:t>.</w:t>
      </w:r>
      <w:r w:rsidR="007E4DF9" w:rsidRPr="00CD4428">
        <w:rPr>
          <w:rFonts w:ascii="Book Antiqua" w:eastAsia="SabonLTStd-Roman" w:hAnsi="Book Antiqua" w:cstheme="minorHAnsi"/>
          <w:sz w:val="24"/>
          <w:szCs w:val="24"/>
          <w:lang w:val="en-GB"/>
        </w:rPr>
        <w:t>8</w:t>
      </w:r>
      <w:r w:rsidR="000A2B76" w:rsidRPr="00CD4428">
        <w:rPr>
          <w:rFonts w:ascii="Book Antiqua" w:eastAsia="SabonLTStd-Roman" w:hAnsi="Book Antiqua" w:cstheme="minorHAnsi"/>
          <w:sz w:val="24"/>
          <w:szCs w:val="24"/>
          <w:lang w:val="en-GB"/>
        </w:rPr>
        <w:t xml:space="preserve">% </w:t>
      </w:r>
      <w:r w:rsidR="002D4248" w:rsidRPr="00CD4428">
        <w:rPr>
          <w:rFonts w:ascii="Book Antiqua" w:eastAsia="SabonLTStd-Roman" w:hAnsi="Book Antiqua" w:cstheme="minorHAnsi"/>
          <w:sz w:val="24"/>
          <w:szCs w:val="24"/>
          <w:lang w:val="en-GB"/>
        </w:rPr>
        <w:t>with</w:t>
      </w:r>
      <w:r w:rsidR="00590110" w:rsidRPr="00CD4428">
        <w:rPr>
          <w:rFonts w:ascii="Book Antiqua" w:eastAsia="SabonLTStd-Roman" w:hAnsi="Book Antiqua" w:cstheme="minorHAnsi"/>
          <w:sz w:val="24"/>
          <w:szCs w:val="24"/>
          <w:lang w:val="en-GB"/>
        </w:rPr>
        <w:t xml:space="preserve"> </w:t>
      </w:r>
      <w:r w:rsidR="00091977" w:rsidRPr="00CD4428">
        <w:rPr>
          <w:rFonts w:ascii="Book Antiqua" w:eastAsia="SabonLTStd-Roman" w:hAnsi="Book Antiqua" w:cstheme="minorHAnsi"/>
          <w:sz w:val="24"/>
          <w:szCs w:val="24"/>
          <w:lang w:val="en-GB"/>
        </w:rPr>
        <w:t>CD.</w:t>
      </w:r>
      <w:r w:rsidR="00247043" w:rsidRPr="00CD4428">
        <w:rPr>
          <w:rFonts w:ascii="Book Antiqua" w:eastAsia="SabonLTStd-Roman" w:hAnsi="Book Antiqua" w:cstheme="minorHAnsi"/>
          <w:sz w:val="24"/>
          <w:szCs w:val="24"/>
          <w:lang w:val="en-GB"/>
        </w:rPr>
        <w:t xml:space="preserve"> However, it </w:t>
      </w:r>
      <w:proofErr w:type="gramStart"/>
      <w:r w:rsidR="00247043" w:rsidRPr="00CD4428">
        <w:rPr>
          <w:rFonts w:ascii="Book Antiqua" w:eastAsia="SabonLTStd-Roman" w:hAnsi="Book Antiqua" w:cstheme="minorHAnsi"/>
          <w:sz w:val="24"/>
          <w:szCs w:val="24"/>
          <w:lang w:val="en-GB"/>
        </w:rPr>
        <w:t>was evaluated</w:t>
      </w:r>
      <w:proofErr w:type="gramEnd"/>
      <w:r w:rsidR="00091977" w:rsidRPr="00CD4428">
        <w:rPr>
          <w:rFonts w:ascii="Book Antiqua" w:eastAsia="SabonLTStd-Roman" w:hAnsi="Book Antiqua" w:cstheme="minorHAnsi"/>
          <w:sz w:val="24"/>
          <w:szCs w:val="24"/>
          <w:lang w:val="en-GB"/>
        </w:rPr>
        <w:t xml:space="preserve"> </w:t>
      </w:r>
      <w:r w:rsidR="00247043" w:rsidRPr="00CD4428">
        <w:rPr>
          <w:rFonts w:ascii="Book Antiqua" w:eastAsia="SabonLTStd-Roman" w:hAnsi="Book Antiqua" w:cstheme="minorHAnsi"/>
          <w:sz w:val="24"/>
          <w:szCs w:val="24"/>
          <w:lang w:val="en-GB"/>
        </w:rPr>
        <w:t xml:space="preserve">in only a small proportion of the population, and it is </w:t>
      </w:r>
      <w:r w:rsidR="009E25FA" w:rsidRPr="00CD4428">
        <w:rPr>
          <w:rFonts w:ascii="Book Antiqua" w:eastAsia="SabonLTStd-Roman" w:hAnsi="Book Antiqua" w:cstheme="minorHAnsi"/>
          <w:sz w:val="24"/>
          <w:szCs w:val="24"/>
          <w:lang w:val="en-GB"/>
        </w:rPr>
        <w:t>po</w:t>
      </w:r>
      <w:r w:rsidR="002D4248" w:rsidRPr="00CD4428">
        <w:rPr>
          <w:rFonts w:ascii="Book Antiqua" w:eastAsia="SabonLTStd-Roman" w:hAnsi="Book Antiqua" w:cstheme="minorHAnsi"/>
          <w:sz w:val="24"/>
          <w:szCs w:val="24"/>
          <w:lang w:val="en-GB"/>
        </w:rPr>
        <w:t>ssible</w:t>
      </w:r>
      <w:r w:rsidR="009E25FA" w:rsidRPr="00CD4428">
        <w:rPr>
          <w:rFonts w:ascii="Book Antiqua" w:eastAsia="SabonLTStd-Roman" w:hAnsi="Book Antiqua" w:cstheme="minorHAnsi"/>
          <w:sz w:val="24"/>
          <w:szCs w:val="24"/>
          <w:lang w:val="en-GB"/>
        </w:rPr>
        <w:t xml:space="preserve"> that</w:t>
      </w:r>
      <w:r w:rsidR="00247043" w:rsidRPr="00CD4428">
        <w:rPr>
          <w:rFonts w:ascii="Book Antiqua" w:eastAsia="SabonLTStd-Roman" w:hAnsi="Book Antiqua" w:cstheme="minorHAnsi"/>
          <w:sz w:val="24"/>
          <w:szCs w:val="24"/>
          <w:lang w:val="en-GB"/>
        </w:rPr>
        <w:t xml:space="preserve"> </w:t>
      </w:r>
      <w:r w:rsidR="007E4DF9" w:rsidRPr="00CD4428">
        <w:rPr>
          <w:rFonts w:ascii="Book Antiqua" w:eastAsia="SabonLTStd-Roman" w:hAnsi="Book Antiqua" w:cstheme="minorHAnsi"/>
          <w:sz w:val="24"/>
          <w:szCs w:val="24"/>
          <w:lang w:val="en-GB"/>
        </w:rPr>
        <w:t>patients with active disease</w:t>
      </w:r>
      <w:r w:rsidR="000A152B" w:rsidRPr="00CD4428">
        <w:rPr>
          <w:rFonts w:ascii="Book Antiqua" w:eastAsia="SabonLTStd-Roman" w:hAnsi="Book Antiqua" w:cstheme="minorHAnsi"/>
          <w:sz w:val="24"/>
          <w:szCs w:val="24"/>
          <w:lang w:val="en-GB"/>
        </w:rPr>
        <w:t xml:space="preserve"> </w:t>
      </w:r>
      <w:r w:rsidR="007E4DF9" w:rsidRPr="00CD4428">
        <w:rPr>
          <w:rFonts w:ascii="Book Antiqua" w:eastAsia="SabonLTStd-Roman" w:hAnsi="Book Antiqua" w:cstheme="minorHAnsi"/>
          <w:sz w:val="24"/>
          <w:szCs w:val="24"/>
          <w:lang w:val="en-GB"/>
        </w:rPr>
        <w:t xml:space="preserve">were </w:t>
      </w:r>
      <w:r w:rsidR="002D4248" w:rsidRPr="00CD4428">
        <w:rPr>
          <w:rFonts w:ascii="Book Antiqua" w:eastAsia="SabonLTStd-Roman" w:hAnsi="Book Antiqua" w:cstheme="minorHAnsi"/>
          <w:sz w:val="24"/>
          <w:szCs w:val="24"/>
          <w:lang w:val="en-GB"/>
        </w:rPr>
        <w:t xml:space="preserve">reassessed </w:t>
      </w:r>
      <w:r w:rsidR="007E4DF9" w:rsidRPr="00CD4428">
        <w:rPr>
          <w:rFonts w:ascii="Book Antiqua" w:eastAsia="SabonLTStd-Roman" w:hAnsi="Book Antiqua" w:cstheme="minorHAnsi"/>
          <w:sz w:val="24"/>
          <w:szCs w:val="24"/>
          <w:lang w:val="en-GB"/>
        </w:rPr>
        <w:t>less frequently</w:t>
      </w:r>
      <w:r w:rsidR="000A152B" w:rsidRPr="00CD4428">
        <w:rPr>
          <w:rFonts w:ascii="Book Antiqua" w:eastAsia="SabonLTStd-Roman" w:hAnsi="Book Antiqua" w:cstheme="minorHAnsi"/>
          <w:sz w:val="24"/>
          <w:szCs w:val="24"/>
          <w:lang w:val="en-GB"/>
        </w:rPr>
        <w:t>.</w:t>
      </w:r>
      <w:r w:rsidR="00590110" w:rsidRPr="00CD4428">
        <w:rPr>
          <w:rFonts w:ascii="Book Antiqua" w:eastAsia="SabonLTStd-Roman" w:hAnsi="Book Antiqua" w:cstheme="minorHAnsi"/>
          <w:sz w:val="24"/>
          <w:szCs w:val="24"/>
          <w:lang w:val="en-GB"/>
        </w:rPr>
        <w:t xml:space="preserve"> </w:t>
      </w:r>
      <w:r w:rsidR="007C5844" w:rsidRPr="00CD4428">
        <w:rPr>
          <w:rFonts w:ascii="Book Antiqua" w:eastAsia="SabonLTStd-Roman" w:hAnsi="Book Antiqua" w:cstheme="minorHAnsi"/>
          <w:sz w:val="24"/>
          <w:szCs w:val="24"/>
          <w:lang w:val="en-GB"/>
        </w:rPr>
        <w:t>A</w:t>
      </w:r>
      <w:r w:rsidR="0017213B" w:rsidRPr="00CD4428">
        <w:rPr>
          <w:rFonts w:ascii="Book Antiqua" w:eastAsia="SabonLTStd-Roman" w:hAnsi="Book Antiqua" w:cstheme="minorHAnsi"/>
          <w:sz w:val="24"/>
          <w:szCs w:val="24"/>
          <w:lang w:val="en-GB"/>
        </w:rPr>
        <w:t xml:space="preserve"> significant number of patients experienced</w:t>
      </w:r>
      <w:r w:rsidR="007C5844" w:rsidRPr="00CD4428">
        <w:rPr>
          <w:rFonts w:ascii="Book Antiqua" w:eastAsia="SabonLTStd-Roman" w:hAnsi="Book Antiqua" w:cstheme="minorHAnsi"/>
          <w:sz w:val="24"/>
          <w:szCs w:val="24"/>
          <w:lang w:val="en-GB"/>
        </w:rPr>
        <w:t xml:space="preserve"> inadequate response or</w:t>
      </w:r>
      <w:r w:rsidR="0017213B" w:rsidRPr="00CD4428">
        <w:rPr>
          <w:rFonts w:ascii="Book Antiqua" w:eastAsia="SabonLTStd-Roman" w:hAnsi="Book Antiqua" w:cstheme="minorHAnsi"/>
          <w:sz w:val="24"/>
          <w:szCs w:val="24"/>
          <w:lang w:val="en-GB"/>
        </w:rPr>
        <w:t xml:space="preserve"> loss of response during the year of treatment</w:t>
      </w:r>
      <w:r w:rsidR="007C5844" w:rsidRPr="00CD4428">
        <w:rPr>
          <w:rFonts w:ascii="Book Antiqua" w:eastAsia="SabonLTStd-Roman" w:hAnsi="Book Antiqua" w:cstheme="minorHAnsi"/>
          <w:sz w:val="24"/>
          <w:szCs w:val="24"/>
          <w:lang w:val="en-GB"/>
        </w:rPr>
        <w:t xml:space="preserve">, and </w:t>
      </w:r>
      <w:proofErr w:type="spellStart"/>
      <w:r w:rsidR="007C5844" w:rsidRPr="00CD4428">
        <w:rPr>
          <w:rFonts w:ascii="Book Antiqua" w:eastAsia="SabonLTStd-Roman" w:hAnsi="Book Antiqua" w:cstheme="minorHAnsi"/>
          <w:sz w:val="24"/>
          <w:szCs w:val="24"/>
          <w:lang w:val="en-GB"/>
        </w:rPr>
        <w:t>vedolizumab</w:t>
      </w:r>
      <w:proofErr w:type="spellEnd"/>
      <w:r w:rsidR="007C5844" w:rsidRPr="00CD4428">
        <w:rPr>
          <w:rFonts w:ascii="Book Antiqua" w:eastAsia="SabonLTStd-Roman" w:hAnsi="Book Antiqua" w:cstheme="minorHAnsi"/>
          <w:sz w:val="24"/>
          <w:szCs w:val="24"/>
          <w:lang w:val="en-GB"/>
        </w:rPr>
        <w:t xml:space="preserve"> therapy w</w:t>
      </w:r>
      <w:r w:rsidR="0017653C">
        <w:rPr>
          <w:rFonts w:ascii="Book Antiqua" w:eastAsia="SabonLTStd-Roman" w:hAnsi="Book Antiqua" w:cstheme="minorHAnsi"/>
          <w:sz w:val="24"/>
          <w:szCs w:val="24"/>
          <w:lang w:val="en-GB"/>
        </w:rPr>
        <w:t xml:space="preserve">as optimized (300 mg every 4 </w:t>
      </w:r>
      <w:proofErr w:type="spellStart"/>
      <w:r w:rsidR="0017653C">
        <w:rPr>
          <w:rFonts w:ascii="Book Antiqua" w:eastAsia="SabonLTStd-Roman" w:hAnsi="Book Antiqua" w:cstheme="minorHAnsi"/>
          <w:sz w:val="24"/>
          <w:szCs w:val="24"/>
          <w:lang w:val="en-GB"/>
        </w:rPr>
        <w:t>wk</w:t>
      </w:r>
      <w:proofErr w:type="spellEnd"/>
      <w:r w:rsidR="007C5844" w:rsidRPr="00CD4428">
        <w:rPr>
          <w:rFonts w:ascii="Book Antiqua" w:eastAsia="SabonLTStd-Roman" w:hAnsi="Book Antiqua" w:cstheme="minorHAnsi"/>
          <w:sz w:val="24"/>
          <w:szCs w:val="24"/>
          <w:lang w:val="en-GB"/>
        </w:rPr>
        <w:t xml:space="preserve">) in 54% </w:t>
      </w:r>
      <w:r w:rsidR="00C24224" w:rsidRPr="00CD4428">
        <w:rPr>
          <w:rFonts w:ascii="Book Antiqua" w:eastAsia="SabonLTStd-Roman" w:hAnsi="Book Antiqua" w:cstheme="minorHAnsi"/>
          <w:sz w:val="24"/>
          <w:szCs w:val="24"/>
          <w:lang w:val="en-GB"/>
        </w:rPr>
        <w:t xml:space="preserve">of </w:t>
      </w:r>
      <w:r w:rsidR="007C5844" w:rsidRPr="00CD4428">
        <w:rPr>
          <w:rFonts w:ascii="Book Antiqua" w:eastAsia="SabonLTStd-Roman" w:hAnsi="Book Antiqua" w:cstheme="minorHAnsi"/>
          <w:sz w:val="24"/>
          <w:szCs w:val="24"/>
          <w:lang w:val="en-GB"/>
        </w:rPr>
        <w:t>patients</w:t>
      </w:r>
      <w:r w:rsidR="0017213B" w:rsidRPr="00CD4428">
        <w:rPr>
          <w:rFonts w:ascii="Book Antiqua" w:eastAsia="SabonLTStd-Roman" w:hAnsi="Book Antiqua" w:cstheme="minorHAnsi"/>
          <w:sz w:val="24"/>
          <w:szCs w:val="24"/>
          <w:lang w:val="en-GB"/>
        </w:rPr>
        <w:t>.</w:t>
      </w:r>
      <w:r w:rsidR="007C5844" w:rsidRPr="00CD4428">
        <w:rPr>
          <w:rFonts w:ascii="Book Antiqua" w:eastAsia="SabonLTStd-Roman" w:hAnsi="Book Antiqua" w:cstheme="minorHAnsi"/>
          <w:sz w:val="24"/>
          <w:szCs w:val="24"/>
          <w:lang w:val="en-GB"/>
        </w:rPr>
        <w:t xml:space="preserve"> Dose optimization induced or restored clinical response in 41% </w:t>
      </w:r>
      <w:r w:rsidR="00C24224" w:rsidRPr="00CD4428">
        <w:rPr>
          <w:rFonts w:ascii="Book Antiqua" w:eastAsia="SabonLTStd-Roman" w:hAnsi="Book Antiqua" w:cstheme="minorHAnsi"/>
          <w:sz w:val="24"/>
          <w:szCs w:val="24"/>
          <w:lang w:val="en-GB"/>
        </w:rPr>
        <w:t xml:space="preserve">of </w:t>
      </w:r>
      <w:r w:rsidR="007C5844" w:rsidRPr="00CD4428">
        <w:rPr>
          <w:rFonts w:ascii="Book Antiqua" w:eastAsia="SabonLTStd-Roman" w:hAnsi="Book Antiqua" w:cstheme="minorHAnsi"/>
          <w:sz w:val="24"/>
          <w:szCs w:val="24"/>
          <w:lang w:val="en-GB"/>
        </w:rPr>
        <w:t xml:space="preserve">patients, of whom 30% </w:t>
      </w:r>
      <w:r w:rsidR="002D4248" w:rsidRPr="00CD4428">
        <w:rPr>
          <w:rFonts w:ascii="Book Antiqua" w:eastAsia="SabonLTStd-Roman" w:hAnsi="Book Antiqua" w:cstheme="minorHAnsi"/>
          <w:sz w:val="24"/>
          <w:szCs w:val="24"/>
          <w:lang w:val="en-GB"/>
        </w:rPr>
        <w:t xml:space="preserve">achieved </w:t>
      </w:r>
      <w:r w:rsidR="007C5844" w:rsidRPr="00CD4428">
        <w:rPr>
          <w:rFonts w:ascii="Book Antiqua" w:eastAsia="SabonLTStd-Roman" w:hAnsi="Book Antiqua" w:cstheme="minorHAnsi"/>
          <w:sz w:val="24"/>
          <w:szCs w:val="24"/>
          <w:lang w:val="en-GB"/>
        </w:rPr>
        <w:t>clinical remission.</w:t>
      </w:r>
    </w:p>
    <w:p w14:paraId="0913D7CB" w14:textId="44823F54" w:rsidR="005F7979" w:rsidRPr="00CD4428" w:rsidRDefault="00BE55ED" w:rsidP="00E86DB9">
      <w:pPr>
        <w:autoSpaceDE w:val="0"/>
        <w:autoSpaceDN w:val="0"/>
        <w:adjustRightInd w:val="0"/>
        <w:snapToGrid w:val="0"/>
        <w:spacing w:after="0" w:line="360" w:lineRule="auto"/>
        <w:ind w:firstLineChars="100" w:firstLine="24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 xml:space="preserve">Predictors of clinical </w:t>
      </w:r>
      <w:r w:rsidR="004F6021" w:rsidRPr="00CD4428">
        <w:rPr>
          <w:rFonts w:ascii="Book Antiqua" w:eastAsia="SabonLTStd-Roman" w:hAnsi="Book Antiqua" w:cstheme="minorHAnsi"/>
          <w:sz w:val="24"/>
          <w:szCs w:val="24"/>
          <w:lang w:val="en-GB"/>
        </w:rPr>
        <w:t>effectiveness</w:t>
      </w:r>
      <w:r w:rsidRPr="00CD4428">
        <w:rPr>
          <w:rFonts w:ascii="Book Antiqua" w:eastAsia="SabonLTStd-Roman" w:hAnsi="Book Antiqua" w:cstheme="minorHAnsi"/>
          <w:sz w:val="24"/>
          <w:szCs w:val="24"/>
          <w:lang w:val="en-GB"/>
        </w:rPr>
        <w:t xml:space="preserve"> were assessed by the authors</w:t>
      </w:r>
      <w:r w:rsidR="002D4248" w:rsidRPr="00CD4428">
        <w:rPr>
          <w:rFonts w:ascii="Book Antiqua" w:eastAsia="SabonLTStd-Roman" w:hAnsi="Book Antiqua" w:cstheme="minorHAnsi"/>
          <w:sz w:val="24"/>
          <w:szCs w:val="24"/>
          <w:lang w:val="en-GB"/>
        </w:rPr>
        <w:t>,</w:t>
      </w:r>
      <w:r w:rsidRPr="00CD4428">
        <w:rPr>
          <w:rFonts w:ascii="Book Antiqua" w:eastAsia="SabonLTStd-Roman" w:hAnsi="Book Antiqua" w:cstheme="minorHAnsi"/>
          <w:sz w:val="24"/>
          <w:szCs w:val="24"/>
          <w:lang w:val="en-GB"/>
        </w:rPr>
        <w:t xml:space="preserve"> who </w:t>
      </w:r>
      <w:r w:rsidR="0065028B" w:rsidRPr="00CD4428">
        <w:rPr>
          <w:rFonts w:ascii="Book Antiqua" w:eastAsia="SabonLTStd-Roman" w:hAnsi="Book Antiqua" w:cstheme="minorHAnsi"/>
          <w:sz w:val="24"/>
          <w:szCs w:val="24"/>
          <w:lang w:val="en-GB"/>
        </w:rPr>
        <w:t>found that a clinical response at week 6</w:t>
      </w:r>
      <w:r w:rsidR="00A062EC" w:rsidRPr="00CD4428">
        <w:rPr>
          <w:rFonts w:ascii="Book Antiqua" w:eastAsia="SabonLTStd-Roman" w:hAnsi="Book Antiqua" w:cstheme="minorHAnsi"/>
          <w:sz w:val="24"/>
          <w:szCs w:val="24"/>
          <w:lang w:val="en-GB"/>
        </w:rPr>
        <w:t>,</w:t>
      </w:r>
      <w:r w:rsidR="00354B48" w:rsidRPr="00CD4428">
        <w:rPr>
          <w:rFonts w:ascii="Book Antiqua" w:eastAsia="SabonLTStd-Roman" w:hAnsi="Book Antiqua" w:cstheme="minorHAnsi"/>
          <w:sz w:val="24"/>
          <w:szCs w:val="24"/>
          <w:lang w:val="en-GB"/>
        </w:rPr>
        <w:t xml:space="preserve"> </w:t>
      </w:r>
      <w:r w:rsidR="00C86C08" w:rsidRPr="00CD4428">
        <w:rPr>
          <w:rFonts w:ascii="Book Antiqua" w:eastAsia="SabonLTStd-Roman" w:hAnsi="Book Antiqua" w:cstheme="minorHAnsi"/>
          <w:sz w:val="24"/>
          <w:szCs w:val="24"/>
          <w:lang w:val="en-GB"/>
        </w:rPr>
        <w:t>baseline</w:t>
      </w:r>
      <w:r w:rsidR="009D5F8B" w:rsidRPr="00CD4428">
        <w:rPr>
          <w:rFonts w:ascii="Book Antiqua" w:eastAsia="SabonLTStd-Roman" w:hAnsi="Book Antiqua" w:cstheme="minorHAnsi"/>
          <w:sz w:val="24"/>
          <w:szCs w:val="24"/>
          <w:lang w:val="en-GB"/>
        </w:rPr>
        <w:t xml:space="preserve"> </w:t>
      </w:r>
      <w:r w:rsidR="0065028B" w:rsidRPr="00CD4428">
        <w:rPr>
          <w:rFonts w:ascii="Book Antiqua" w:eastAsia="SabonLTStd-Roman" w:hAnsi="Book Antiqua" w:cstheme="minorHAnsi"/>
          <w:sz w:val="24"/>
          <w:szCs w:val="24"/>
          <w:lang w:val="en-GB"/>
        </w:rPr>
        <w:t>CRP &gt; 20 mg/L</w:t>
      </w:r>
      <w:r w:rsidR="002D4248" w:rsidRPr="00CD4428">
        <w:rPr>
          <w:rFonts w:ascii="Book Antiqua" w:eastAsia="SabonLTStd-Roman" w:hAnsi="Book Antiqua" w:cstheme="minorHAnsi"/>
          <w:sz w:val="24"/>
          <w:szCs w:val="24"/>
          <w:lang w:val="en-GB"/>
        </w:rPr>
        <w:t>,</w:t>
      </w:r>
      <w:r w:rsidR="0065028B" w:rsidRPr="00CD4428">
        <w:rPr>
          <w:rFonts w:ascii="Book Antiqua" w:eastAsia="SabonLTStd-Roman" w:hAnsi="Book Antiqua" w:cstheme="minorHAnsi"/>
          <w:sz w:val="24"/>
          <w:szCs w:val="24"/>
          <w:lang w:val="en-GB"/>
        </w:rPr>
        <w:t xml:space="preserve"> </w:t>
      </w:r>
      <w:r w:rsidR="00A062EC" w:rsidRPr="00CD4428">
        <w:rPr>
          <w:rFonts w:ascii="Book Antiqua" w:eastAsia="SabonLTStd-Roman" w:hAnsi="Book Antiqua" w:cstheme="minorHAnsi"/>
          <w:sz w:val="24"/>
          <w:szCs w:val="24"/>
          <w:lang w:val="en-GB"/>
        </w:rPr>
        <w:t xml:space="preserve">and a higher baseline disease activity </w:t>
      </w:r>
      <w:r w:rsidR="0065028B" w:rsidRPr="00CD4428">
        <w:rPr>
          <w:rFonts w:ascii="Book Antiqua" w:eastAsia="SabonLTStd-Roman" w:hAnsi="Book Antiqua" w:cstheme="minorHAnsi"/>
          <w:sz w:val="24"/>
          <w:szCs w:val="24"/>
          <w:lang w:val="en-GB"/>
        </w:rPr>
        <w:t xml:space="preserve">were predictive of steroid-free remission at week 14 in both </w:t>
      </w:r>
      <w:proofErr w:type="gramStart"/>
      <w:r w:rsidR="0065028B" w:rsidRPr="00CD4428">
        <w:rPr>
          <w:rFonts w:ascii="Book Antiqua" w:eastAsia="SabonLTStd-Roman" w:hAnsi="Book Antiqua" w:cstheme="minorHAnsi"/>
          <w:sz w:val="24"/>
          <w:szCs w:val="24"/>
          <w:lang w:val="en-GB"/>
        </w:rPr>
        <w:t>groups</w:t>
      </w:r>
      <w:r w:rsidR="00C24224" w:rsidRPr="00CD4428">
        <w:rPr>
          <w:rFonts w:ascii="Book Antiqua" w:eastAsia="SabonLTStd-Roman" w:hAnsi="Book Antiqua" w:cstheme="minorHAnsi"/>
          <w:sz w:val="24"/>
          <w:szCs w:val="24"/>
          <w:vertAlign w:val="superscript"/>
          <w:lang w:val="en-GB"/>
        </w:rPr>
        <w:t>[</w:t>
      </w:r>
      <w:proofErr w:type="gramEnd"/>
      <w:r w:rsidR="00C24224" w:rsidRPr="00CD4428">
        <w:rPr>
          <w:rFonts w:ascii="Book Antiqua" w:eastAsia="SabonLTStd-Roman" w:hAnsi="Book Antiqua" w:cstheme="minorHAnsi"/>
          <w:sz w:val="24"/>
          <w:szCs w:val="24"/>
          <w:vertAlign w:val="superscript"/>
          <w:lang w:val="en-GB"/>
        </w:rPr>
        <w:t>1</w:t>
      </w:r>
      <w:r w:rsidR="00E01056" w:rsidRPr="00CD4428">
        <w:rPr>
          <w:rFonts w:ascii="Book Antiqua" w:eastAsia="SabonLTStd-Roman" w:hAnsi="Book Antiqua" w:cstheme="minorHAnsi"/>
          <w:sz w:val="24"/>
          <w:szCs w:val="24"/>
          <w:vertAlign w:val="superscript"/>
          <w:lang w:val="en-GB"/>
        </w:rPr>
        <w:t>5</w:t>
      </w:r>
      <w:r w:rsidR="00C24224" w:rsidRPr="00CD4428">
        <w:rPr>
          <w:rFonts w:ascii="Book Antiqua" w:eastAsia="SabonLTStd-Roman" w:hAnsi="Book Antiqua" w:cstheme="minorHAnsi"/>
          <w:sz w:val="24"/>
          <w:szCs w:val="24"/>
          <w:vertAlign w:val="superscript"/>
          <w:lang w:val="en-GB"/>
        </w:rPr>
        <w:t>]</w:t>
      </w:r>
      <w:r w:rsidR="0065028B" w:rsidRPr="00CD4428">
        <w:rPr>
          <w:rFonts w:ascii="Book Antiqua" w:eastAsia="SabonLTStd-Roman" w:hAnsi="Book Antiqua" w:cstheme="minorHAnsi"/>
          <w:sz w:val="24"/>
          <w:szCs w:val="24"/>
          <w:lang w:val="en-GB"/>
        </w:rPr>
        <w:t>. In addition</w:t>
      </w:r>
      <w:r w:rsidR="00A062EC" w:rsidRPr="00CD4428">
        <w:rPr>
          <w:rFonts w:ascii="Book Antiqua" w:eastAsia="SabonLTStd-Roman" w:hAnsi="Book Antiqua" w:cstheme="minorHAnsi"/>
          <w:sz w:val="24"/>
          <w:szCs w:val="24"/>
          <w:lang w:val="en-GB"/>
        </w:rPr>
        <w:t>,</w:t>
      </w:r>
      <w:r w:rsidR="0065028B" w:rsidRPr="00CD4428">
        <w:rPr>
          <w:rFonts w:ascii="Book Antiqua" w:eastAsia="SabonLTStd-Roman" w:hAnsi="Book Antiqua" w:cstheme="minorHAnsi"/>
          <w:sz w:val="24"/>
          <w:szCs w:val="24"/>
          <w:lang w:val="en-GB"/>
        </w:rPr>
        <w:t xml:space="preserve"> </w:t>
      </w:r>
      <w:r w:rsidR="002D4248" w:rsidRPr="00CD4428">
        <w:rPr>
          <w:rFonts w:ascii="Book Antiqua" w:eastAsia="SabonLTStd-Roman" w:hAnsi="Book Antiqua" w:cstheme="minorHAnsi"/>
          <w:sz w:val="24"/>
          <w:szCs w:val="24"/>
          <w:lang w:val="en-GB"/>
        </w:rPr>
        <w:t xml:space="preserve">patients with </w:t>
      </w:r>
      <w:r w:rsidR="00A062EC" w:rsidRPr="00CD4428">
        <w:rPr>
          <w:rFonts w:ascii="Book Antiqua" w:eastAsia="SabonLTStd-Roman" w:hAnsi="Book Antiqua" w:cstheme="minorHAnsi"/>
          <w:sz w:val="24"/>
          <w:szCs w:val="24"/>
          <w:lang w:val="en-GB"/>
        </w:rPr>
        <w:t xml:space="preserve">UC and CD who </w:t>
      </w:r>
      <w:r w:rsidR="002D4248" w:rsidRPr="00CD4428">
        <w:rPr>
          <w:rFonts w:ascii="Book Antiqua" w:eastAsia="SabonLTStd-Roman" w:hAnsi="Book Antiqua" w:cstheme="minorHAnsi"/>
          <w:sz w:val="24"/>
          <w:szCs w:val="24"/>
          <w:lang w:val="en-GB"/>
        </w:rPr>
        <w:t xml:space="preserve">achieved </w:t>
      </w:r>
      <w:r w:rsidR="00A062EC" w:rsidRPr="00CD4428">
        <w:rPr>
          <w:rFonts w:ascii="Book Antiqua" w:eastAsia="SabonLTStd-Roman" w:hAnsi="Book Antiqua" w:cstheme="minorHAnsi"/>
          <w:sz w:val="24"/>
          <w:szCs w:val="24"/>
          <w:lang w:val="en-GB"/>
        </w:rPr>
        <w:t>a clinical response at week 6 were more likely to achieve steroid-free clinical remission at week 54 (</w:t>
      </w:r>
      <w:r w:rsidR="00A062EC" w:rsidRPr="00E86DB9">
        <w:rPr>
          <w:rFonts w:ascii="Book Antiqua" w:eastAsia="SabonLTStd-Roman" w:hAnsi="Book Antiqua" w:cstheme="minorHAnsi"/>
          <w:i/>
          <w:caps/>
          <w:sz w:val="24"/>
          <w:szCs w:val="24"/>
          <w:lang w:val="en-GB"/>
        </w:rPr>
        <w:t>p</w:t>
      </w:r>
      <w:r w:rsidR="00E86DB9">
        <w:rPr>
          <w:rFonts w:ascii="Book Antiqua" w:hAnsi="Book Antiqua" w:cstheme="minorHAnsi" w:hint="eastAsia"/>
          <w:i/>
          <w:caps/>
          <w:sz w:val="24"/>
          <w:szCs w:val="24"/>
          <w:lang w:val="en-GB" w:eastAsia="zh-CN"/>
        </w:rPr>
        <w:t xml:space="preserve"> </w:t>
      </w:r>
      <w:r w:rsidR="00A062EC" w:rsidRPr="00CD4428">
        <w:rPr>
          <w:rFonts w:ascii="Book Antiqua" w:eastAsia="SabonLTStd-Roman" w:hAnsi="Book Antiqua" w:cstheme="minorHAnsi"/>
          <w:sz w:val="24"/>
          <w:szCs w:val="24"/>
          <w:lang w:val="en-GB"/>
        </w:rPr>
        <w:t>&lt;</w:t>
      </w:r>
      <w:r w:rsidR="00E86DB9">
        <w:rPr>
          <w:rFonts w:ascii="Book Antiqua" w:hAnsi="Book Antiqua" w:cstheme="minorHAnsi" w:hint="eastAsia"/>
          <w:sz w:val="24"/>
          <w:szCs w:val="24"/>
          <w:lang w:val="en-GB" w:eastAsia="zh-CN"/>
        </w:rPr>
        <w:t xml:space="preserve"> </w:t>
      </w:r>
      <w:r w:rsidR="00A062EC" w:rsidRPr="00CD4428">
        <w:rPr>
          <w:rFonts w:ascii="Book Antiqua" w:eastAsia="SabonLTStd-Roman" w:hAnsi="Book Antiqua" w:cstheme="minorHAnsi"/>
          <w:sz w:val="24"/>
          <w:szCs w:val="24"/>
          <w:lang w:val="en-GB"/>
        </w:rPr>
        <w:t>0.001</w:t>
      </w:r>
      <w:proofErr w:type="gramStart"/>
      <w:r w:rsidR="00A062EC" w:rsidRPr="00CD4428">
        <w:rPr>
          <w:rFonts w:ascii="Book Antiqua" w:eastAsia="SabonLTStd-Roman" w:hAnsi="Book Antiqua" w:cstheme="minorHAnsi"/>
          <w:sz w:val="24"/>
          <w:szCs w:val="24"/>
          <w:lang w:val="en-GB"/>
        </w:rPr>
        <w:t>)</w:t>
      </w:r>
      <w:r w:rsidR="00C24224" w:rsidRPr="00CD4428">
        <w:rPr>
          <w:rFonts w:ascii="Book Antiqua" w:eastAsia="SabonLTStd-Roman" w:hAnsi="Book Antiqua" w:cstheme="minorHAnsi"/>
          <w:sz w:val="24"/>
          <w:szCs w:val="24"/>
          <w:vertAlign w:val="superscript"/>
          <w:lang w:val="en-GB"/>
        </w:rPr>
        <w:t>[</w:t>
      </w:r>
      <w:proofErr w:type="gramEnd"/>
      <w:r w:rsidR="00C24224" w:rsidRPr="00CD4428">
        <w:rPr>
          <w:rFonts w:ascii="Book Antiqua" w:eastAsia="SabonLTStd-Roman" w:hAnsi="Book Antiqua" w:cstheme="minorHAnsi"/>
          <w:sz w:val="24"/>
          <w:szCs w:val="24"/>
          <w:vertAlign w:val="superscript"/>
          <w:lang w:val="en-GB"/>
        </w:rPr>
        <w:t>1</w:t>
      </w:r>
      <w:r w:rsidR="00E01056" w:rsidRPr="00CD4428">
        <w:rPr>
          <w:rFonts w:ascii="Book Antiqua" w:eastAsia="SabonLTStd-Roman" w:hAnsi="Book Antiqua" w:cstheme="minorHAnsi"/>
          <w:sz w:val="24"/>
          <w:szCs w:val="24"/>
          <w:vertAlign w:val="superscript"/>
          <w:lang w:val="en-GB"/>
        </w:rPr>
        <w:t>6</w:t>
      </w:r>
      <w:r w:rsidR="00C24224" w:rsidRPr="00CD4428">
        <w:rPr>
          <w:rFonts w:ascii="Book Antiqua" w:eastAsia="SabonLTStd-Roman" w:hAnsi="Book Antiqua" w:cstheme="minorHAnsi"/>
          <w:sz w:val="24"/>
          <w:szCs w:val="24"/>
          <w:vertAlign w:val="superscript"/>
          <w:lang w:val="en-GB"/>
        </w:rPr>
        <w:t>]</w:t>
      </w:r>
      <w:r w:rsidR="00A062EC" w:rsidRPr="00CD4428">
        <w:rPr>
          <w:rFonts w:ascii="Book Antiqua" w:eastAsia="SabonLTStd-Roman" w:hAnsi="Book Antiqua" w:cstheme="minorHAnsi"/>
          <w:sz w:val="24"/>
          <w:szCs w:val="24"/>
          <w:lang w:val="en-GB"/>
        </w:rPr>
        <w:t>.</w:t>
      </w:r>
      <w:r w:rsidR="00091977" w:rsidRPr="00CD4428">
        <w:rPr>
          <w:rFonts w:ascii="Book Antiqua" w:eastAsia="SabonLTStd-Roman" w:hAnsi="Book Antiqua" w:cstheme="minorHAnsi"/>
          <w:sz w:val="24"/>
          <w:szCs w:val="24"/>
          <w:lang w:val="en-GB"/>
        </w:rPr>
        <w:t xml:space="preserve"> </w:t>
      </w:r>
    </w:p>
    <w:p w14:paraId="594A325A" w14:textId="67B32266" w:rsidR="002359D1" w:rsidRPr="00CD4428" w:rsidRDefault="002A5F3F" w:rsidP="00E86DB9">
      <w:pPr>
        <w:autoSpaceDE w:val="0"/>
        <w:autoSpaceDN w:val="0"/>
        <w:adjustRightInd w:val="0"/>
        <w:snapToGrid w:val="0"/>
        <w:spacing w:after="0" w:line="360" w:lineRule="auto"/>
        <w:ind w:firstLineChars="200" w:firstLine="48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A</w:t>
      </w:r>
      <w:r w:rsidR="00ED1D40" w:rsidRPr="00CD4428">
        <w:rPr>
          <w:rFonts w:ascii="Book Antiqua" w:eastAsia="SabonLTStd-Roman" w:hAnsi="Book Antiqua" w:cstheme="minorHAnsi"/>
          <w:sz w:val="24"/>
          <w:szCs w:val="24"/>
          <w:lang w:val="en-GB"/>
        </w:rPr>
        <w:t xml:space="preserve"> </w:t>
      </w:r>
      <w:r w:rsidR="00F15B8C" w:rsidRPr="00CD4428">
        <w:rPr>
          <w:rFonts w:ascii="Book Antiqua" w:eastAsia="SabonLTStd-Roman" w:hAnsi="Book Antiqua" w:cstheme="minorHAnsi"/>
          <w:sz w:val="24"/>
          <w:szCs w:val="24"/>
          <w:lang w:val="en-GB"/>
        </w:rPr>
        <w:t xml:space="preserve">German </w:t>
      </w:r>
      <w:r w:rsidR="00ED1D40" w:rsidRPr="00CD4428">
        <w:rPr>
          <w:rFonts w:ascii="Book Antiqua" w:eastAsia="SabonLTStd-Roman" w:hAnsi="Book Antiqua" w:cstheme="minorHAnsi"/>
          <w:sz w:val="24"/>
          <w:szCs w:val="24"/>
          <w:lang w:val="en-GB"/>
        </w:rPr>
        <w:t>National cohort stud</w:t>
      </w:r>
      <w:r w:rsidR="00A86D7E" w:rsidRPr="00CD4428">
        <w:rPr>
          <w:rFonts w:ascii="Book Antiqua" w:eastAsia="SabonLTStd-Roman" w:hAnsi="Book Antiqua" w:cstheme="minorHAnsi"/>
          <w:sz w:val="24"/>
          <w:szCs w:val="24"/>
          <w:lang w:val="en-GB"/>
        </w:rPr>
        <w:t xml:space="preserve">y </w:t>
      </w:r>
      <w:r w:rsidR="00352756" w:rsidRPr="00CD4428">
        <w:rPr>
          <w:rFonts w:ascii="Book Antiqua" w:eastAsia="SabonLTStd-Roman" w:hAnsi="Book Antiqua" w:cstheme="minorHAnsi"/>
          <w:sz w:val="24"/>
          <w:szCs w:val="24"/>
          <w:lang w:val="en-GB"/>
        </w:rPr>
        <w:t>prospectively includ</w:t>
      </w:r>
      <w:r w:rsidRPr="00CD4428">
        <w:rPr>
          <w:rFonts w:ascii="Book Antiqua" w:eastAsia="SabonLTStd-Roman" w:hAnsi="Book Antiqua" w:cstheme="minorHAnsi"/>
          <w:sz w:val="24"/>
          <w:szCs w:val="24"/>
          <w:lang w:val="en-GB"/>
        </w:rPr>
        <w:t>ed</w:t>
      </w:r>
      <w:r w:rsidR="00352756" w:rsidRPr="00CD4428">
        <w:rPr>
          <w:rFonts w:ascii="Book Antiqua" w:eastAsia="SabonLTStd-Roman" w:hAnsi="Book Antiqua" w:cstheme="minorHAnsi"/>
          <w:sz w:val="24"/>
          <w:szCs w:val="24"/>
          <w:lang w:val="en-GB"/>
        </w:rPr>
        <w:t xml:space="preserve"> </w:t>
      </w:r>
      <w:r w:rsidR="00A86D7E" w:rsidRPr="00CD4428">
        <w:rPr>
          <w:rFonts w:ascii="Book Antiqua" w:eastAsia="SabonLTStd-Roman" w:hAnsi="Book Antiqua" w:cstheme="minorHAnsi"/>
          <w:sz w:val="24"/>
          <w:szCs w:val="24"/>
          <w:lang w:val="en-GB"/>
        </w:rPr>
        <w:t>212 patients</w:t>
      </w:r>
      <w:r w:rsidR="002D4248" w:rsidRPr="00CD4428">
        <w:rPr>
          <w:rFonts w:ascii="Book Antiqua" w:eastAsia="SabonLTStd-Roman" w:hAnsi="Book Antiqua" w:cstheme="minorHAnsi"/>
          <w:sz w:val="24"/>
          <w:szCs w:val="24"/>
          <w:lang w:val="en-GB"/>
        </w:rPr>
        <w:t xml:space="preserve"> with IBD</w:t>
      </w:r>
      <w:r w:rsidR="00352756" w:rsidRPr="00CD4428">
        <w:rPr>
          <w:rFonts w:ascii="Book Antiqua" w:eastAsia="SabonLTStd-Roman" w:hAnsi="Book Antiqua" w:cstheme="minorHAnsi"/>
          <w:sz w:val="24"/>
          <w:szCs w:val="24"/>
          <w:lang w:val="en-GB"/>
        </w:rPr>
        <w:t xml:space="preserve">, </w:t>
      </w:r>
      <w:r w:rsidR="006634A6" w:rsidRPr="00CD4428">
        <w:rPr>
          <w:rFonts w:ascii="Book Antiqua" w:eastAsia="SabonLTStd-Roman" w:hAnsi="Book Antiqua" w:cstheme="minorHAnsi"/>
          <w:sz w:val="24"/>
          <w:szCs w:val="24"/>
          <w:lang w:val="en-GB"/>
        </w:rPr>
        <w:t xml:space="preserve">most of </w:t>
      </w:r>
      <w:r w:rsidR="002D4248" w:rsidRPr="00CD4428">
        <w:rPr>
          <w:rFonts w:ascii="Book Antiqua" w:eastAsia="SabonLTStd-Roman" w:hAnsi="Book Antiqua" w:cstheme="minorHAnsi"/>
          <w:sz w:val="24"/>
          <w:szCs w:val="24"/>
          <w:lang w:val="en-GB"/>
        </w:rPr>
        <w:t>whom were</w:t>
      </w:r>
      <w:r w:rsidR="00352756" w:rsidRPr="00CD4428">
        <w:rPr>
          <w:rFonts w:ascii="Book Antiqua" w:eastAsia="SabonLTStd-Roman" w:hAnsi="Book Antiqua" w:cstheme="minorHAnsi"/>
          <w:sz w:val="24"/>
          <w:szCs w:val="24"/>
          <w:lang w:val="en-GB"/>
        </w:rPr>
        <w:t xml:space="preserve"> anti-TNF</w:t>
      </w:r>
      <w:r w:rsidR="00ED1E59" w:rsidRPr="00CD4428">
        <w:rPr>
          <w:rFonts w:ascii="Book Antiqua" w:eastAsia="SabonLTStd-Roman" w:hAnsi="Book Antiqua" w:cstheme="minorHAnsi"/>
          <w:sz w:val="24"/>
          <w:szCs w:val="24"/>
          <w:lang w:val="en-GB"/>
        </w:rPr>
        <w:t>α</w:t>
      </w:r>
      <w:r w:rsidR="00352756" w:rsidRPr="00CD4428">
        <w:rPr>
          <w:rFonts w:ascii="Book Antiqua" w:eastAsia="SabonLTStd-Roman" w:hAnsi="Book Antiqua" w:cstheme="minorHAnsi"/>
          <w:sz w:val="24"/>
          <w:szCs w:val="24"/>
          <w:lang w:val="en-GB"/>
        </w:rPr>
        <w:t xml:space="preserve"> </w:t>
      </w:r>
      <w:proofErr w:type="gramStart"/>
      <w:r w:rsidR="009E0CE3" w:rsidRPr="00CD4428">
        <w:rPr>
          <w:rFonts w:ascii="Book Antiqua" w:eastAsia="SabonLTStd-Roman" w:hAnsi="Book Antiqua" w:cstheme="minorHAnsi"/>
          <w:sz w:val="24"/>
          <w:szCs w:val="24"/>
          <w:lang w:val="en-GB"/>
        </w:rPr>
        <w:t>e</w:t>
      </w:r>
      <w:r w:rsidR="00352756" w:rsidRPr="00CD4428">
        <w:rPr>
          <w:rFonts w:ascii="Book Antiqua" w:eastAsia="SabonLTStd-Roman" w:hAnsi="Book Antiqua" w:cstheme="minorHAnsi"/>
          <w:sz w:val="24"/>
          <w:szCs w:val="24"/>
          <w:lang w:val="en-GB"/>
        </w:rPr>
        <w:t>xperienced</w:t>
      </w:r>
      <w:r w:rsidR="00C24224" w:rsidRPr="00CD4428">
        <w:rPr>
          <w:rFonts w:ascii="Book Antiqua" w:eastAsia="SabonLTStd-Roman" w:hAnsi="Book Antiqua" w:cstheme="minorHAnsi"/>
          <w:sz w:val="24"/>
          <w:szCs w:val="24"/>
          <w:vertAlign w:val="superscript"/>
          <w:lang w:val="en-GB"/>
        </w:rPr>
        <w:t>[</w:t>
      </w:r>
      <w:proofErr w:type="gramEnd"/>
      <w:r w:rsidR="00C24224" w:rsidRPr="00CD4428">
        <w:rPr>
          <w:rFonts w:ascii="Book Antiqua" w:eastAsia="SabonLTStd-Roman" w:hAnsi="Book Antiqua" w:cstheme="minorHAnsi"/>
          <w:sz w:val="24"/>
          <w:szCs w:val="24"/>
          <w:vertAlign w:val="superscript"/>
          <w:lang w:val="en-GB"/>
        </w:rPr>
        <w:t>1</w:t>
      </w:r>
      <w:r w:rsidR="00E01056" w:rsidRPr="00CD4428">
        <w:rPr>
          <w:rFonts w:ascii="Book Antiqua" w:eastAsia="SabonLTStd-Roman" w:hAnsi="Book Antiqua" w:cstheme="minorHAnsi"/>
          <w:sz w:val="24"/>
          <w:szCs w:val="24"/>
          <w:vertAlign w:val="superscript"/>
          <w:lang w:val="en-GB"/>
        </w:rPr>
        <w:t>7</w:t>
      </w:r>
      <w:r w:rsidR="00C24224" w:rsidRPr="00CD4428">
        <w:rPr>
          <w:rFonts w:ascii="Book Antiqua" w:eastAsia="SabonLTStd-Roman" w:hAnsi="Book Antiqua" w:cstheme="minorHAnsi"/>
          <w:sz w:val="24"/>
          <w:szCs w:val="24"/>
          <w:vertAlign w:val="superscript"/>
          <w:lang w:val="en-GB"/>
        </w:rPr>
        <w:t>]</w:t>
      </w:r>
      <w:r w:rsidR="00C24224" w:rsidRPr="00CD4428">
        <w:rPr>
          <w:rFonts w:ascii="Book Antiqua" w:eastAsia="SabonLTStd-Roman" w:hAnsi="Book Antiqua" w:cstheme="minorHAnsi"/>
          <w:sz w:val="24"/>
          <w:szCs w:val="24"/>
          <w:lang w:val="en-GB"/>
        </w:rPr>
        <w:t xml:space="preserve"> </w:t>
      </w:r>
      <w:r w:rsidR="00352611" w:rsidRPr="00CD4428">
        <w:rPr>
          <w:rFonts w:ascii="Book Antiqua" w:eastAsia="SabonLTStd-Roman" w:hAnsi="Book Antiqua" w:cstheme="minorHAnsi"/>
          <w:sz w:val="24"/>
          <w:szCs w:val="24"/>
          <w:lang w:val="en-GB"/>
        </w:rPr>
        <w:t>(</w:t>
      </w:r>
      <w:r w:rsidR="002D4248" w:rsidRPr="00CD4428">
        <w:rPr>
          <w:rFonts w:ascii="Book Antiqua" w:eastAsia="SabonLTStd-Roman" w:hAnsi="Book Antiqua" w:cstheme="minorHAnsi"/>
          <w:sz w:val="24"/>
          <w:szCs w:val="24"/>
          <w:lang w:val="en-GB"/>
        </w:rPr>
        <w:t>T</w:t>
      </w:r>
      <w:r w:rsidR="00352611" w:rsidRPr="00CD4428">
        <w:rPr>
          <w:rFonts w:ascii="Book Antiqua" w:eastAsia="SabonLTStd-Roman" w:hAnsi="Book Antiqua" w:cstheme="minorHAnsi"/>
          <w:sz w:val="24"/>
          <w:szCs w:val="24"/>
          <w:lang w:val="en-GB"/>
        </w:rPr>
        <w:t>able 2)</w:t>
      </w:r>
      <w:r w:rsidRPr="00CD4428">
        <w:rPr>
          <w:rFonts w:ascii="Book Antiqua" w:eastAsia="SabonLTStd-Roman" w:hAnsi="Book Antiqua" w:cstheme="minorHAnsi"/>
          <w:sz w:val="24"/>
          <w:szCs w:val="24"/>
          <w:lang w:val="en-GB"/>
        </w:rPr>
        <w:t>. The results showed that</w:t>
      </w:r>
      <w:r w:rsidR="00352756" w:rsidRPr="00CD4428">
        <w:rPr>
          <w:rFonts w:ascii="Book Antiqua" w:eastAsia="SabonLTStd-Roman" w:hAnsi="Book Antiqua" w:cstheme="minorHAnsi"/>
          <w:sz w:val="24"/>
          <w:szCs w:val="24"/>
          <w:lang w:val="en-GB"/>
        </w:rPr>
        <w:t xml:space="preserve"> </w:t>
      </w:r>
      <w:r w:rsidRPr="00CD4428">
        <w:rPr>
          <w:rFonts w:ascii="Book Antiqua" w:eastAsia="SabonLTStd-Roman" w:hAnsi="Book Antiqua" w:cstheme="minorHAnsi"/>
          <w:sz w:val="24"/>
          <w:szCs w:val="24"/>
          <w:lang w:val="en-GB"/>
        </w:rPr>
        <w:t>clinical remission at week 6 was reached by</w:t>
      </w:r>
      <w:r w:rsidR="00A86D7E" w:rsidRPr="00CD4428">
        <w:rPr>
          <w:rFonts w:ascii="Book Antiqua" w:eastAsia="SabonLTStd-Roman" w:hAnsi="Book Antiqua" w:cstheme="minorHAnsi"/>
          <w:sz w:val="24"/>
          <w:szCs w:val="24"/>
          <w:lang w:val="en-GB"/>
        </w:rPr>
        <w:t xml:space="preserve"> </w:t>
      </w:r>
      <w:r w:rsidRPr="00CD4428">
        <w:rPr>
          <w:rFonts w:ascii="Book Antiqua" w:eastAsia="SabonLTStd-Roman" w:hAnsi="Book Antiqua" w:cstheme="minorHAnsi"/>
          <w:sz w:val="24"/>
          <w:szCs w:val="24"/>
          <w:lang w:val="en-GB"/>
        </w:rPr>
        <w:t xml:space="preserve">11.3% and </w:t>
      </w:r>
      <w:proofErr w:type="gramStart"/>
      <w:r w:rsidRPr="00CD4428">
        <w:rPr>
          <w:rFonts w:ascii="Book Antiqua" w:eastAsia="SabonLTStd-Roman" w:hAnsi="Book Antiqua" w:cstheme="minorHAnsi"/>
          <w:sz w:val="24"/>
          <w:szCs w:val="24"/>
          <w:lang w:val="en-GB"/>
        </w:rPr>
        <w:t>15.5%,</w:t>
      </w:r>
      <w:proofErr w:type="gramEnd"/>
      <w:r w:rsidRPr="00CD4428">
        <w:rPr>
          <w:rFonts w:ascii="Book Antiqua" w:eastAsia="SabonLTStd-Roman" w:hAnsi="Book Antiqua" w:cstheme="minorHAnsi"/>
          <w:sz w:val="24"/>
          <w:szCs w:val="24"/>
          <w:lang w:val="en-GB"/>
        </w:rPr>
        <w:t xml:space="preserve"> and at week 14 by 23.5% and 23.7%</w:t>
      </w:r>
      <w:r w:rsidR="002D4248" w:rsidRPr="00CD4428">
        <w:rPr>
          <w:rFonts w:ascii="Book Antiqua" w:eastAsia="SabonLTStd-Roman" w:hAnsi="Book Antiqua" w:cstheme="minorHAnsi"/>
          <w:sz w:val="24"/>
          <w:szCs w:val="24"/>
          <w:lang w:val="en-GB"/>
        </w:rPr>
        <w:t>,</w:t>
      </w:r>
      <w:r w:rsidRPr="00CD4428">
        <w:rPr>
          <w:rFonts w:ascii="Book Antiqua" w:eastAsia="SabonLTStd-Roman" w:hAnsi="Book Antiqua" w:cstheme="minorHAnsi"/>
          <w:sz w:val="24"/>
          <w:szCs w:val="24"/>
          <w:lang w:val="en-GB"/>
        </w:rPr>
        <w:t xml:space="preserve"> </w:t>
      </w:r>
      <w:r w:rsidR="004F6021" w:rsidRPr="00CD4428">
        <w:rPr>
          <w:rFonts w:ascii="Book Antiqua" w:eastAsia="SabonLTStd-Roman" w:hAnsi="Book Antiqua" w:cstheme="minorHAnsi"/>
          <w:sz w:val="24"/>
          <w:szCs w:val="24"/>
          <w:lang w:val="en-GB"/>
        </w:rPr>
        <w:t xml:space="preserve">of </w:t>
      </w:r>
      <w:r w:rsidR="002D4248" w:rsidRPr="00CD4428">
        <w:rPr>
          <w:rFonts w:ascii="Book Antiqua" w:eastAsia="SabonLTStd-Roman" w:hAnsi="Book Antiqua" w:cstheme="minorHAnsi"/>
          <w:sz w:val="24"/>
          <w:szCs w:val="24"/>
          <w:lang w:val="en-GB"/>
        </w:rPr>
        <w:t xml:space="preserve">patients with </w:t>
      </w:r>
      <w:r w:rsidR="004F6021" w:rsidRPr="00CD4428">
        <w:rPr>
          <w:rFonts w:ascii="Book Antiqua" w:eastAsia="SabonLTStd-Roman" w:hAnsi="Book Antiqua" w:cstheme="minorHAnsi"/>
          <w:sz w:val="24"/>
          <w:szCs w:val="24"/>
          <w:lang w:val="en-GB"/>
        </w:rPr>
        <w:t>UC and CD, respectively (</w:t>
      </w:r>
      <w:r w:rsidR="002C580C" w:rsidRPr="00E86DB9">
        <w:rPr>
          <w:rFonts w:ascii="Book Antiqua" w:eastAsia="SabonLTStd-Roman" w:hAnsi="Book Antiqua" w:cstheme="minorHAnsi"/>
          <w:sz w:val="24"/>
          <w:szCs w:val="24"/>
          <w:lang w:val="en-GB"/>
        </w:rPr>
        <w:t>Fig</w:t>
      </w:r>
      <w:r w:rsidR="002C580C" w:rsidRPr="00E86DB9">
        <w:rPr>
          <w:rFonts w:ascii="Book Antiqua" w:hAnsi="Book Antiqua" w:cstheme="minorHAnsi"/>
          <w:sz w:val="24"/>
          <w:szCs w:val="24"/>
          <w:lang w:val="en-GB" w:eastAsia="zh-CN"/>
        </w:rPr>
        <w:t>ure</w:t>
      </w:r>
      <w:r w:rsidR="002C580C">
        <w:rPr>
          <w:rFonts w:ascii="Book Antiqua" w:hAnsi="Book Antiqua" w:cstheme="minorHAnsi" w:hint="eastAsia"/>
          <w:sz w:val="24"/>
          <w:szCs w:val="24"/>
          <w:lang w:val="en-GB" w:eastAsia="zh-CN"/>
        </w:rPr>
        <w:t xml:space="preserve"> </w:t>
      </w:r>
      <w:r w:rsidR="002C580C" w:rsidRPr="00CD4428">
        <w:rPr>
          <w:rFonts w:ascii="Book Antiqua" w:eastAsia="SabonLTStd-Roman" w:hAnsi="Book Antiqua" w:cstheme="minorHAnsi"/>
          <w:sz w:val="24"/>
          <w:szCs w:val="24"/>
          <w:lang w:val="en-GB"/>
        </w:rPr>
        <w:t>2</w:t>
      </w:r>
      <w:r w:rsidR="002C580C">
        <w:rPr>
          <w:rFonts w:ascii="Book Antiqua" w:hAnsi="Book Antiqua" w:cstheme="minorHAnsi" w:hint="eastAsia"/>
          <w:sz w:val="24"/>
          <w:szCs w:val="24"/>
          <w:lang w:val="en-GB" w:eastAsia="zh-CN"/>
        </w:rPr>
        <w:t>A and B</w:t>
      </w:r>
      <w:r w:rsidR="004F6021" w:rsidRPr="00CD4428">
        <w:rPr>
          <w:rFonts w:ascii="Book Antiqua" w:eastAsia="SabonLTStd-Roman" w:hAnsi="Book Antiqua" w:cstheme="minorHAnsi"/>
          <w:sz w:val="24"/>
          <w:szCs w:val="24"/>
          <w:lang w:val="en-GB"/>
        </w:rPr>
        <w:t xml:space="preserve">). This </w:t>
      </w:r>
      <w:r w:rsidR="002D4248" w:rsidRPr="00CD4428">
        <w:rPr>
          <w:rFonts w:ascii="Book Antiqua" w:eastAsia="SabonLTStd-Roman" w:hAnsi="Book Antiqua" w:cstheme="minorHAnsi"/>
          <w:sz w:val="24"/>
          <w:szCs w:val="24"/>
          <w:lang w:val="en-GB"/>
        </w:rPr>
        <w:t>g</w:t>
      </w:r>
      <w:r w:rsidR="004F6021" w:rsidRPr="00CD4428">
        <w:rPr>
          <w:rFonts w:ascii="Book Antiqua" w:eastAsia="SabonLTStd-Roman" w:hAnsi="Book Antiqua" w:cstheme="minorHAnsi"/>
          <w:sz w:val="24"/>
          <w:szCs w:val="24"/>
          <w:lang w:val="en-GB"/>
        </w:rPr>
        <w:t xml:space="preserve">roup identified </w:t>
      </w:r>
      <w:r w:rsidR="00C24224" w:rsidRPr="00CD4428">
        <w:rPr>
          <w:rFonts w:ascii="Book Antiqua" w:eastAsia="SabonLTStd-Roman" w:hAnsi="Book Antiqua" w:cstheme="minorHAnsi"/>
          <w:sz w:val="24"/>
          <w:szCs w:val="24"/>
          <w:lang w:val="en-GB"/>
        </w:rPr>
        <w:t>a low HBI at baseline and hospitalization in</w:t>
      </w:r>
      <w:r w:rsidR="002D4248" w:rsidRPr="00CD4428">
        <w:rPr>
          <w:rFonts w:ascii="Book Antiqua" w:eastAsia="SabonLTStd-Roman" w:hAnsi="Book Antiqua" w:cstheme="minorHAnsi"/>
          <w:sz w:val="24"/>
          <w:szCs w:val="24"/>
          <w:lang w:val="en-GB"/>
        </w:rPr>
        <w:t xml:space="preserve"> the</w:t>
      </w:r>
      <w:r w:rsidR="00C24224" w:rsidRPr="00CD4428">
        <w:rPr>
          <w:rFonts w:ascii="Book Antiqua" w:eastAsia="SabonLTStd-Roman" w:hAnsi="Book Antiqua" w:cstheme="minorHAnsi"/>
          <w:sz w:val="24"/>
          <w:szCs w:val="24"/>
          <w:lang w:val="en-GB"/>
        </w:rPr>
        <w:t xml:space="preserve"> past 12 months as independent </w:t>
      </w:r>
      <w:r w:rsidR="006634A6" w:rsidRPr="00CD4428">
        <w:rPr>
          <w:rFonts w:ascii="Book Antiqua" w:eastAsia="SabonLTStd-Roman" w:hAnsi="Book Antiqua" w:cstheme="minorHAnsi"/>
          <w:sz w:val="24"/>
          <w:szCs w:val="24"/>
          <w:lang w:val="en-GB"/>
        </w:rPr>
        <w:t>predictors of clinical remission at week 14</w:t>
      </w:r>
      <w:r w:rsidR="00C24224" w:rsidRPr="00CD4428">
        <w:rPr>
          <w:rFonts w:ascii="Book Antiqua" w:eastAsia="SabonLTStd-Roman" w:hAnsi="Book Antiqua" w:cstheme="minorHAnsi"/>
          <w:sz w:val="24"/>
          <w:szCs w:val="24"/>
          <w:lang w:val="en-GB"/>
        </w:rPr>
        <w:t xml:space="preserve"> in </w:t>
      </w:r>
      <w:r w:rsidR="002D4248" w:rsidRPr="00CD4428">
        <w:rPr>
          <w:rFonts w:ascii="Book Antiqua" w:eastAsia="SabonLTStd-Roman" w:hAnsi="Book Antiqua" w:cstheme="minorHAnsi"/>
          <w:sz w:val="24"/>
          <w:szCs w:val="24"/>
          <w:lang w:val="en-GB"/>
        </w:rPr>
        <w:t xml:space="preserve">patients with </w:t>
      </w:r>
      <w:r w:rsidR="00C24224" w:rsidRPr="00CD4428">
        <w:rPr>
          <w:rFonts w:ascii="Book Antiqua" w:eastAsia="SabonLTStd-Roman" w:hAnsi="Book Antiqua" w:cstheme="minorHAnsi"/>
          <w:sz w:val="24"/>
          <w:szCs w:val="24"/>
          <w:lang w:val="en-GB"/>
        </w:rPr>
        <w:t>CD</w:t>
      </w:r>
      <w:r w:rsidR="006634A6" w:rsidRPr="00CD4428">
        <w:rPr>
          <w:rFonts w:ascii="Book Antiqua" w:eastAsia="SabonLTStd-Roman" w:hAnsi="Book Antiqua" w:cstheme="minorHAnsi"/>
          <w:sz w:val="24"/>
          <w:szCs w:val="24"/>
          <w:lang w:val="en-GB"/>
        </w:rPr>
        <w:t xml:space="preserve">. </w:t>
      </w:r>
    </w:p>
    <w:p w14:paraId="0E7A9BF6" w14:textId="2EB6F1DA" w:rsidR="008051BD" w:rsidRPr="00CD4428" w:rsidRDefault="008051BD" w:rsidP="00E86DB9">
      <w:pPr>
        <w:autoSpaceDE w:val="0"/>
        <w:autoSpaceDN w:val="0"/>
        <w:adjustRightInd w:val="0"/>
        <w:snapToGrid w:val="0"/>
        <w:spacing w:after="0" w:line="360" w:lineRule="auto"/>
        <w:ind w:firstLineChars="200" w:firstLine="48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 xml:space="preserve">These data were followed by a longer-term study that included some </w:t>
      </w:r>
      <w:r w:rsidR="00A17B03" w:rsidRPr="00CD4428">
        <w:rPr>
          <w:rFonts w:ascii="Book Antiqua" w:eastAsia="SabonLTStd-Roman" w:hAnsi="Book Antiqua" w:cstheme="minorHAnsi"/>
          <w:sz w:val="24"/>
          <w:szCs w:val="24"/>
          <w:lang w:val="en-GB"/>
        </w:rPr>
        <w:t>p</w:t>
      </w:r>
      <w:r w:rsidRPr="00CD4428">
        <w:rPr>
          <w:rFonts w:ascii="Book Antiqua" w:eastAsia="SabonLTStd-Roman" w:hAnsi="Book Antiqua" w:cstheme="minorHAnsi"/>
          <w:sz w:val="24"/>
          <w:szCs w:val="24"/>
          <w:lang w:val="en-GB"/>
        </w:rPr>
        <w:t xml:space="preserve">atients </w:t>
      </w:r>
      <w:r w:rsidR="00A17B03" w:rsidRPr="00CD4428">
        <w:rPr>
          <w:rFonts w:ascii="Book Antiqua" w:eastAsia="SabonLTStd-Roman" w:hAnsi="Book Antiqua" w:cstheme="minorHAnsi"/>
          <w:sz w:val="24"/>
          <w:szCs w:val="24"/>
          <w:lang w:val="en-GB"/>
        </w:rPr>
        <w:t xml:space="preserve">from the </w:t>
      </w:r>
      <w:r w:rsidR="00864C1A" w:rsidRPr="00CD4428">
        <w:rPr>
          <w:rFonts w:ascii="Book Antiqua" w:eastAsia="SabonLTStd-Roman" w:hAnsi="Book Antiqua" w:cstheme="minorHAnsi"/>
          <w:sz w:val="24"/>
          <w:szCs w:val="24"/>
          <w:lang w:val="en-GB"/>
        </w:rPr>
        <w:t xml:space="preserve">previous </w:t>
      </w:r>
      <w:r w:rsidR="002D4248" w:rsidRPr="00CD4428">
        <w:rPr>
          <w:rFonts w:ascii="Book Antiqua" w:eastAsia="SabonLTStd-Roman" w:hAnsi="Book Antiqua" w:cstheme="minorHAnsi"/>
          <w:sz w:val="24"/>
          <w:szCs w:val="24"/>
          <w:lang w:val="en-GB"/>
        </w:rPr>
        <w:t xml:space="preserve">German </w:t>
      </w:r>
      <w:r w:rsidR="00A17B03" w:rsidRPr="00CD4428">
        <w:rPr>
          <w:rFonts w:ascii="Book Antiqua" w:eastAsia="SabonLTStd-Roman" w:hAnsi="Book Antiqua" w:cstheme="minorHAnsi"/>
          <w:sz w:val="24"/>
          <w:szCs w:val="24"/>
          <w:lang w:val="en-GB"/>
        </w:rPr>
        <w:t xml:space="preserve">induction cohort as well as additional </w:t>
      </w:r>
      <w:r w:rsidR="002D4248" w:rsidRPr="00CD4428">
        <w:rPr>
          <w:rFonts w:ascii="Book Antiqua" w:eastAsia="SabonLTStd-Roman" w:hAnsi="Book Antiqua" w:cstheme="minorHAnsi"/>
          <w:sz w:val="24"/>
          <w:szCs w:val="24"/>
          <w:lang w:val="en-GB"/>
        </w:rPr>
        <w:t xml:space="preserve">patients with </w:t>
      </w:r>
      <w:proofErr w:type="gramStart"/>
      <w:r w:rsidR="00A17B03" w:rsidRPr="00CD4428">
        <w:rPr>
          <w:rFonts w:ascii="Book Antiqua" w:eastAsia="SabonLTStd-Roman" w:hAnsi="Book Antiqua" w:cstheme="minorHAnsi"/>
          <w:sz w:val="24"/>
          <w:szCs w:val="24"/>
          <w:lang w:val="en-GB"/>
        </w:rPr>
        <w:t>IBD</w:t>
      </w:r>
      <w:r w:rsidR="002D0062" w:rsidRPr="00CD4428">
        <w:rPr>
          <w:rFonts w:ascii="Book Antiqua" w:eastAsia="SabonLTStd-Roman" w:hAnsi="Book Antiqua" w:cstheme="minorHAnsi"/>
          <w:sz w:val="24"/>
          <w:szCs w:val="24"/>
          <w:vertAlign w:val="superscript"/>
          <w:lang w:val="en-GB"/>
        </w:rPr>
        <w:t>[</w:t>
      </w:r>
      <w:proofErr w:type="gramEnd"/>
      <w:r w:rsidR="002D0062" w:rsidRPr="00CD4428">
        <w:rPr>
          <w:rFonts w:ascii="Book Antiqua" w:eastAsia="SabonLTStd-Roman" w:hAnsi="Book Antiqua" w:cstheme="minorHAnsi"/>
          <w:sz w:val="24"/>
          <w:szCs w:val="24"/>
          <w:vertAlign w:val="superscript"/>
          <w:lang w:val="en-GB"/>
        </w:rPr>
        <w:t>1</w:t>
      </w:r>
      <w:r w:rsidR="00E01056" w:rsidRPr="00CD4428">
        <w:rPr>
          <w:rFonts w:ascii="Book Antiqua" w:eastAsia="SabonLTStd-Roman" w:hAnsi="Book Antiqua" w:cstheme="minorHAnsi"/>
          <w:sz w:val="24"/>
          <w:szCs w:val="24"/>
          <w:vertAlign w:val="superscript"/>
          <w:lang w:val="en-GB"/>
        </w:rPr>
        <w:t>8</w:t>
      </w:r>
      <w:r w:rsidR="002D0062" w:rsidRPr="00CD4428">
        <w:rPr>
          <w:rFonts w:ascii="Book Antiqua" w:eastAsia="SabonLTStd-Roman" w:hAnsi="Book Antiqua" w:cstheme="minorHAnsi"/>
          <w:sz w:val="24"/>
          <w:szCs w:val="24"/>
          <w:vertAlign w:val="superscript"/>
          <w:lang w:val="en-GB"/>
        </w:rPr>
        <w:t>]</w:t>
      </w:r>
      <w:r w:rsidR="002D0062" w:rsidRPr="00CD4428">
        <w:rPr>
          <w:rFonts w:ascii="Book Antiqua" w:eastAsia="SabonLTStd-Roman" w:hAnsi="Book Antiqua" w:cstheme="minorHAnsi"/>
          <w:sz w:val="24"/>
          <w:szCs w:val="24"/>
          <w:lang w:val="en-GB"/>
        </w:rPr>
        <w:t xml:space="preserve"> (</w:t>
      </w:r>
      <w:r w:rsidR="002D4248" w:rsidRPr="00CD4428">
        <w:rPr>
          <w:rFonts w:ascii="Book Antiqua" w:eastAsia="SabonLTStd-Roman" w:hAnsi="Book Antiqua" w:cstheme="minorHAnsi"/>
          <w:sz w:val="24"/>
          <w:szCs w:val="24"/>
          <w:lang w:val="en-GB"/>
        </w:rPr>
        <w:t>T</w:t>
      </w:r>
      <w:r w:rsidR="002D0062" w:rsidRPr="00CD4428">
        <w:rPr>
          <w:rFonts w:ascii="Book Antiqua" w:eastAsia="SabonLTStd-Roman" w:hAnsi="Book Antiqua" w:cstheme="minorHAnsi"/>
          <w:sz w:val="24"/>
          <w:szCs w:val="24"/>
          <w:lang w:val="en-GB"/>
        </w:rPr>
        <w:t>able 2).</w:t>
      </w:r>
      <w:r w:rsidR="00590110" w:rsidRPr="00CD4428">
        <w:rPr>
          <w:rFonts w:ascii="Book Antiqua" w:eastAsia="SabonLTStd-Roman" w:hAnsi="Book Antiqua" w:cstheme="minorHAnsi"/>
          <w:sz w:val="24"/>
          <w:szCs w:val="24"/>
          <w:lang w:val="en-GB"/>
        </w:rPr>
        <w:t xml:space="preserve"> </w:t>
      </w:r>
      <w:r w:rsidR="00032026" w:rsidRPr="00CD4428">
        <w:rPr>
          <w:rFonts w:ascii="Book Antiqua" w:eastAsia="SabonLTStd-Roman" w:hAnsi="Book Antiqua" w:cstheme="minorHAnsi"/>
          <w:sz w:val="24"/>
          <w:szCs w:val="24"/>
          <w:lang w:val="en-GB"/>
        </w:rPr>
        <w:t xml:space="preserve">Based on nonresponding imputation analysis, </w:t>
      </w:r>
      <w:r w:rsidR="008D319B" w:rsidRPr="00CD4428">
        <w:rPr>
          <w:rFonts w:ascii="Book Antiqua" w:eastAsia="SabonLTStd-Roman" w:hAnsi="Book Antiqua" w:cstheme="minorHAnsi"/>
          <w:sz w:val="24"/>
          <w:szCs w:val="24"/>
          <w:lang w:val="en-GB"/>
        </w:rPr>
        <w:t>clinical remission was observed in 2</w:t>
      </w:r>
      <w:r w:rsidR="0089318E" w:rsidRPr="00CD4428">
        <w:rPr>
          <w:rFonts w:ascii="Book Antiqua" w:eastAsia="SabonLTStd-Roman" w:hAnsi="Book Antiqua" w:cstheme="minorHAnsi"/>
          <w:sz w:val="24"/>
          <w:szCs w:val="24"/>
          <w:lang w:val="en-GB"/>
        </w:rPr>
        <w:t>2</w:t>
      </w:r>
      <w:r w:rsidR="008D319B" w:rsidRPr="00CD4428">
        <w:rPr>
          <w:rFonts w:ascii="Book Antiqua" w:eastAsia="SabonLTStd-Roman" w:hAnsi="Book Antiqua" w:cstheme="minorHAnsi"/>
          <w:sz w:val="24"/>
          <w:szCs w:val="24"/>
          <w:lang w:val="en-GB"/>
        </w:rPr>
        <w:t>% and 1</w:t>
      </w:r>
      <w:r w:rsidR="0089318E" w:rsidRPr="00CD4428">
        <w:rPr>
          <w:rFonts w:ascii="Book Antiqua" w:eastAsia="SabonLTStd-Roman" w:hAnsi="Book Antiqua" w:cstheme="minorHAnsi"/>
          <w:sz w:val="24"/>
          <w:szCs w:val="24"/>
          <w:lang w:val="en-GB"/>
        </w:rPr>
        <w:t>9</w:t>
      </w:r>
      <w:r w:rsidR="008D319B" w:rsidRPr="00CD4428">
        <w:rPr>
          <w:rFonts w:ascii="Book Antiqua" w:eastAsia="SabonLTStd-Roman" w:hAnsi="Book Antiqua" w:cstheme="minorHAnsi"/>
          <w:sz w:val="24"/>
          <w:szCs w:val="24"/>
          <w:lang w:val="en-GB"/>
        </w:rPr>
        <w:t xml:space="preserve">% of </w:t>
      </w:r>
      <w:r w:rsidR="002D4248" w:rsidRPr="00CD4428">
        <w:rPr>
          <w:rFonts w:ascii="Book Antiqua" w:eastAsia="SabonLTStd-Roman" w:hAnsi="Book Antiqua" w:cstheme="minorHAnsi"/>
          <w:sz w:val="24"/>
          <w:szCs w:val="24"/>
          <w:lang w:val="en-GB"/>
        </w:rPr>
        <w:t xml:space="preserve">patients with </w:t>
      </w:r>
      <w:r w:rsidR="008D319B" w:rsidRPr="00CD4428">
        <w:rPr>
          <w:rFonts w:ascii="Book Antiqua" w:eastAsia="SabonLTStd-Roman" w:hAnsi="Book Antiqua" w:cstheme="minorHAnsi"/>
          <w:sz w:val="24"/>
          <w:szCs w:val="24"/>
          <w:lang w:val="en-GB"/>
        </w:rPr>
        <w:t>UC and CD, respectively</w:t>
      </w:r>
      <w:r w:rsidR="002D4248" w:rsidRPr="00CD4428">
        <w:rPr>
          <w:rFonts w:ascii="Book Antiqua" w:eastAsia="SabonLTStd-Roman" w:hAnsi="Book Antiqua" w:cstheme="minorHAnsi"/>
          <w:sz w:val="24"/>
          <w:szCs w:val="24"/>
          <w:lang w:val="en-GB"/>
        </w:rPr>
        <w:t>,</w:t>
      </w:r>
      <w:r w:rsidR="00032026" w:rsidRPr="00CD4428">
        <w:rPr>
          <w:rFonts w:ascii="Book Antiqua" w:eastAsia="SabonLTStd-Roman" w:hAnsi="Book Antiqua" w:cstheme="minorHAnsi"/>
          <w:sz w:val="24"/>
          <w:szCs w:val="24"/>
          <w:lang w:val="en-GB"/>
        </w:rPr>
        <w:t xml:space="preserve"> at week 14</w:t>
      </w:r>
      <w:r w:rsidR="008D319B" w:rsidRPr="00CD4428">
        <w:rPr>
          <w:rFonts w:ascii="Book Antiqua" w:eastAsia="SabonLTStd-Roman" w:hAnsi="Book Antiqua" w:cstheme="minorHAnsi"/>
          <w:sz w:val="24"/>
          <w:szCs w:val="24"/>
          <w:lang w:val="en-GB"/>
        </w:rPr>
        <w:t xml:space="preserve"> (</w:t>
      </w:r>
      <w:r w:rsidR="002C580C" w:rsidRPr="00E86DB9">
        <w:rPr>
          <w:rFonts w:ascii="Book Antiqua" w:eastAsia="SabonLTStd-Roman" w:hAnsi="Book Antiqua" w:cstheme="minorHAnsi"/>
          <w:sz w:val="24"/>
          <w:szCs w:val="24"/>
          <w:lang w:val="en-GB"/>
        </w:rPr>
        <w:t>Fig</w:t>
      </w:r>
      <w:r w:rsidR="002C580C" w:rsidRPr="00E86DB9">
        <w:rPr>
          <w:rFonts w:ascii="Book Antiqua" w:hAnsi="Book Antiqua" w:cstheme="minorHAnsi"/>
          <w:sz w:val="24"/>
          <w:szCs w:val="24"/>
          <w:lang w:val="en-GB" w:eastAsia="zh-CN"/>
        </w:rPr>
        <w:t>ure</w:t>
      </w:r>
      <w:r w:rsidR="002C580C">
        <w:rPr>
          <w:rFonts w:ascii="Book Antiqua" w:hAnsi="Book Antiqua" w:cstheme="minorHAnsi" w:hint="eastAsia"/>
          <w:sz w:val="24"/>
          <w:szCs w:val="24"/>
          <w:lang w:val="en-GB" w:eastAsia="zh-CN"/>
        </w:rPr>
        <w:t xml:space="preserve"> </w:t>
      </w:r>
      <w:r w:rsidR="002C580C" w:rsidRPr="00CD4428">
        <w:rPr>
          <w:rFonts w:ascii="Book Antiqua" w:eastAsia="SabonLTStd-Roman" w:hAnsi="Book Antiqua" w:cstheme="minorHAnsi"/>
          <w:sz w:val="24"/>
          <w:szCs w:val="24"/>
          <w:lang w:val="en-GB"/>
        </w:rPr>
        <w:t>2</w:t>
      </w:r>
      <w:r w:rsidR="002C580C">
        <w:rPr>
          <w:rFonts w:ascii="Book Antiqua" w:hAnsi="Book Antiqua" w:cstheme="minorHAnsi" w:hint="eastAsia"/>
          <w:sz w:val="24"/>
          <w:szCs w:val="24"/>
          <w:lang w:val="en-GB" w:eastAsia="zh-CN"/>
        </w:rPr>
        <w:t>A and B</w:t>
      </w:r>
      <w:r w:rsidR="008D319B" w:rsidRPr="00CD4428">
        <w:rPr>
          <w:rFonts w:ascii="Book Antiqua" w:eastAsia="SabonLTStd-Roman" w:hAnsi="Book Antiqua" w:cstheme="minorHAnsi"/>
          <w:sz w:val="24"/>
          <w:szCs w:val="24"/>
          <w:lang w:val="en-GB"/>
        </w:rPr>
        <w:t xml:space="preserve">). </w:t>
      </w:r>
      <w:r w:rsidR="00864C1A" w:rsidRPr="00CD4428">
        <w:rPr>
          <w:rFonts w:ascii="Book Antiqua" w:eastAsia="SabonLTStd-Roman" w:hAnsi="Book Antiqua" w:cstheme="minorHAnsi"/>
          <w:sz w:val="24"/>
          <w:szCs w:val="24"/>
          <w:lang w:val="en-GB"/>
        </w:rPr>
        <w:t xml:space="preserve">Clinical remission at week 54 was reported by 15/60 (25%) patients with UC and 14/67 (21%) patients with CD. </w:t>
      </w:r>
      <w:r w:rsidR="004208C8" w:rsidRPr="00CD4428">
        <w:rPr>
          <w:rFonts w:ascii="Book Antiqua" w:eastAsia="SabonLTStd-Roman" w:hAnsi="Book Antiqua" w:cstheme="minorHAnsi"/>
          <w:sz w:val="24"/>
          <w:szCs w:val="24"/>
          <w:lang w:val="en-GB"/>
        </w:rPr>
        <w:t>Nonresp</w:t>
      </w:r>
      <w:r w:rsidR="00864C1A" w:rsidRPr="00CD4428">
        <w:rPr>
          <w:rFonts w:ascii="Book Antiqua" w:eastAsia="SabonLTStd-Roman" w:hAnsi="Book Antiqua" w:cstheme="minorHAnsi"/>
          <w:sz w:val="24"/>
          <w:szCs w:val="24"/>
          <w:lang w:val="en-GB"/>
        </w:rPr>
        <w:t>onse status at week 14 w</w:t>
      </w:r>
      <w:r w:rsidR="004208C8" w:rsidRPr="00CD4428">
        <w:rPr>
          <w:rFonts w:ascii="Book Antiqua" w:eastAsia="SabonLTStd-Roman" w:hAnsi="Book Antiqua" w:cstheme="minorHAnsi"/>
          <w:sz w:val="24"/>
          <w:szCs w:val="24"/>
          <w:lang w:val="en-GB"/>
        </w:rPr>
        <w:t>as an</w:t>
      </w:r>
      <w:r w:rsidR="00864C1A" w:rsidRPr="00CD4428">
        <w:rPr>
          <w:rFonts w:ascii="Book Antiqua" w:eastAsia="SabonLTStd-Roman" w:hAnsi="Book Antiqua" w:cstheme="minorHAnsi"/>
          <w:sz w:val="24"/>
          <w:szCs w:val="24"/>
          <w:lang w:val="en-GB"/>
        </w:rPr>
        <w:t xml:space="preserve"> indicator</w:t>
      </w:r>
      <w:r w:rsidR="004208C8" w:rsidRPr="00CD4428">
        <w:rPr>
          <w:rFonts w:ascii="Book Antiqua" w:eastAsia="SabonLTStd-Roman" w:hAnsi="Book Antiqua" w:cstheme="minorHAnsi"/>
          <w:sz w:val="24"/>
          <w:szCs w:val="24"/>
          <w:lang w:val="en-GB"/>
        </w:rPr>
        <w:t xml:space="preserve"> </w:t>
      </w:r>
      <w:r w:rsidR="00864C1A" w:rsidRPr="00CD4428">
        <w:rPr>
          <w:rFonts w:ascii="Book Antiqua" w:eastAsia="SabonLTStd-Roman" w:hAnsi="Book Antiqua" w:cstheme="minorHAnsi"/>
          <w:sz w:val="24"/>
          <w:szCs w:val="24"/>
          <w:lang w:val="en-GB"/>
        </w:rPr>
        <w:t xml:space="preserve">of </w:t>
      </w:r>
      <w:r w:rsidR="004208C8" w:rsidRPr="00CD4428">
        <w:rPr>
          <w:rFonts w:ascii="Book Antiqua" w:eastAsia="SabonLTStd-Roman" w:hAnsi="Book Antiqua" w:cstheme="minorHAnsi"/>
          <w:sz w:val="24"/>
          <w:szCs w:val="24"/>
          <w:lang w:val="en-GB"/>
        </w:rPr>
        <w:t xml:space="preserve">a low likelihood of clinical </w:t>
      </w:r>
      <w:r w:rsidR="0017213B" w:rsidRPr="00CD4428">
        <w:rPr>
          <w:rFonts w:ascii="Book Antiqua" w:eastAsia="SabonLTStd-Roman" w:hAnsi="Book Antiqua" w:cstheme="minorHAnsi"/>
          <w:sz w:val="24"/>
          <w:szCs w:val="24"/>
          <w:lang w:val="en-GB"/>
        </w:rPr>
        <w:t xml:space="preserve">response and </w:t>
      </w:r>
      <w:r w:rsidR="004208C8" w:rsidRPr="00CD4428">
        <w:rPr>
          <w:rFonts w:ascii="Book Antiqua" w:eastAsia="SabonLTStd-Roman" w:hAnsi="Book Antiqua" w:cstheme="minorHAnsi"/>
          <w:sz w:val="24"/>
          <w:szCs w:val="24"/>
          <w:lang w:val="en-GB"/>
        </w:rPr>
        <w:t>remi</w:t>
      </w:r>
      <w:r w:rsidR="00864C1A" w:rsidRPr="00CD4428">
        <w:rPr>
          <w:rFonts w:ascii="Book Antiqua" w:eastAsia="SabonLTStd-Roman" w:hAnsi="Book Antiqua" w:cstheme="minorHAnsi"/>
          <w:sz w:val="24"/>
          <w:szCs w:val="24"/>
          <w:lang w:val="en-GB"/>
        </w:rPr>
        <w:t xml:space="preserve">ssion at week 54 in </w:t>
      </w:r>
      <w:r w:rsidR="002D4248" w:rsidRPr="00CD4428">
        <w:rPr>
          <w:rFonts w:ascii="Book Antiqua" w:eastAsia="SabonLTStd-Roman" w:hAnsi="Book Antiqua" w:cstheme="minorHAnsi"/>
          <w:sz w:val="24"/>
          <w:szCs w:val="24"/>
          <w:lang w:val="en-GB"/>
        </w:rPr>
        <w:t xml:space="preserve">patients with </w:t>
      </w:r>
      <w:r w:rsidR="00864C1A" w:rsidRPr="00CD4428">
        <w:rPr>
          <w:rFonts w:ascii="Book Antiqua" w:eastAsia="SabonLTStd-Roman" w:hAnsi="Book Antiqua" w:cstheme="minorHAnsi"/>
          <w:sz w:val="24"/>
          <w:szCs w:val="24"/>
          <w:lang w:val="en-GB"/>
        </w:rPr>
        <w:t>both diseases</w:t>
      </w:r>
      <w:r w:rsidR="00AC0321" w:rsidRPr="00CD4428">
        <w:rPr>
          <w:rFonts w:ascii="Book Antiqua" w:eastAsia="SabonLTStd-Roman" w:hAnsi="Book Antiqua" w:cstheme="minorHAnsi"/>
          <w:sz w:val="24"/>
          <w:szCs w:val="24"/>
          <w:lang w:val="en-GB"/>
        </w:rPr>
        <w:t>.</w:t>
      </w:r>
      <w:r w:rsidR="00590110" w:rsidRPr="00CD4428">
        <w:rPr>
          <w:rFonts w:ascii="Book Antiqua" w:eastAsia="SabonLTStd-Roman" w:hAnsi="Book Antiqua" w:cstheme="minorHAnsi"/>
          <w:sz w:val="24"/>
          <w:szCs w:val="24"/>
          <w:lang w:val="en-GB"/>
        </w:rPr>
        <w:t xml:space="preserve"> </w:t>
      </w:r>
      <w:r w:rsidR="00916B30" w:rsidRPr="00CD4428">
        <w:rPr>
          <w:rFonts w:ascii="Book Antiqua" w:eastAsia="SabonLTStd-Roman" w:hAnsi="Book Antiqua" w:cstheme="minorHAnsi"/>
          <w:sz w:val="24"/>
          <w:szCs w:val="24"/>
          <w:lang w:val="en-GB"/>
        </w:rPr>
        <w:t xml:space="preserve">In addition, </w:t>
      </w:r>
      <w:r w:rsidR="00A60FBD" w:rsidRPr="00CD4428">
        <w:rPr>
          <w:rFonts w:ascii="Book Antiqua" w:eastAsia="SabonLTStd-Roman" w:hAnsi="Book Antiqua" w:cstheme="minorHAnsi"/>
          <w:sz w:val="24"/>
          <w:szCs w:val="24"/>
          <w:lang w:val="en-GB"/>
        </w:rPr>
        <w:t>the</w:t>
      </w:r>
      <w:r w:rsidR="005E09CA" w:rsidRPr="00CD4428">
        <w:rPr>
          <w:rFonts w:ascii="Book Antiqua" w:eastAsia="SabonLTStd-Roman" w:hAnsi="Book Antiqua" w:cstheme="minorHAnsi"/>
          <w:sz w:val="24"/>
          <w:szCs w:val="24"/>
          <w:lang w:val="en-GB"/>
        </w:rPr>
        <w:t xml:space="preserve"> </w:t>
      </w:r>
      <w:r w:rsidR="005E09CA" w:rsidRPr="00CD4428">
        <w:rPr>
          <w:rFonts w:ascii="Book Antiqua" w:eastAsia="SabonLTStd-Roman" w:hAnsi="Book Antiqua" w:cstheme="minorHAnsi"/>
          <w:sz w:val="24"/>
          <w:szCs w:val="24"/>
          <w:lang w:val="en-GB"/>
        </w:rPr>
        <w:lastRenderedPageBreak/>
        <w:t xml:space="preserve">reduction </w:t>
      </w:r>
      <w:r w:rsidR="002D4248" w:rsidRPr="00CD4428">
        <w:rPr>
          <w:rFonts w:ascii="Book Antiqua" w:eastAsia="SabonLTStd-Roman" w:hAnsi="Book Antiqua" w:cstheme="minorHAnsi"/>
          <w:sz w:val="24"/>
          <w:szCs w:val="24"/>
          <w:lang w:val="en-GB"/>
        </w:rPr>
        <w:t xml:space="preserve">of CRP </w:t>
      </w:r>
      <w:r w:rsidR="005E09CA" w:rsidRPr="00CD4428">
        <w:rPr>
          <w:rFonts w:ascii="Book Antiqua" w:eastAsia="SabonLTStd-Roman" w:hAnsi="Book Antiqua" w:cstheme="minorHAnsi"/>
          <w:sz w:val="24"/>
          <w:szCs w:val="24"/>
          <w:lang w:val="en-GB"/>
        </w:rPr>
        <w:t>at</w:t>
      </w:r>
      <w:r w:rsidR="00A60FBD" w:rsidRPr="00CD4428">
        <w:rPr>
          <w:rFonts w:ascii="Book Antiqua" w:eastAsia="SabonLTStd-Roman" w:hAnsi="Book Antiqua" w:cstheme="minorHAnsi"/>
          <w:sz w:val="24"/>
          <w:szCs w:val="24"/>
          <w:lang w:val="en-GB"/>
        </w:rPr>
        <w:t xml:space="preserve"> </w:t>
      </w:r>
      <w:r w:rsidR="005E09CA" w:rsidRPr="00CD4428">
        <w:rPr>
          <w:rFonts w:ascii="Book Antiqua" w:eastAsia="SabonLTStd-Roman" w:hAnsi="Book Antiqua" w:cstheme="minorHAnsi"/>
          <w:sz w:val="24"/>
          <w:szCs w:val="24"/>
          <w:lang w:val="en-GB"/>
        </w:rPr>
        <w:t xml:space="preserve">week 14 </w:t>
      </w:r>
      <w:r w:rsidR="00916B30" w:rsidRPr="00CD4428">
        <w:rPr>
          <w:rFonts w:ascii="Book Antiqua" w:eastAsia="SabonLTStd-Roman" w:hAnsi="Book Antiqua" w:cstheme="minorHAnsi"/>
          <w:sz w:val="24"/>
          <w:szCs w:val="24"/>
          <w:lang w:val="en-GB"/>
        </w:rPr>
        <w:t xml:space="preserve">in </w:t>
      </w:r>
      <w:r w:rsidR="002D4248" w:rsidRPr="00CD4428">
        <w:rPr>
          <w:rFonts w:ascii="Book Antiqua" w:eastAsia="SabonLTStd-Roman" w:hAnsi="Book Antiqua" w:cstheme="minorHAnsi"/>
          <w:sz w:val="24"/>
          <w:szCs w:val="24"/>
          <w:lang w:val="en-GB"/>
        </w:rPr>
        <w:t xml:space="preserve">patients with </w:t>
      </w:r>
      <w:r w:rsidR="00916B30" w:rsidRPr="00CD4428">
        <w:rPr>
          <w:rFonts w:ascii="Book Antiqua" w:eastAsia="SabonLTStd-Roman" w:hAnsi="Book Antiqua" w:cstheme="minorHAnsi"/>
          <w:sz w:val="24"/>
          <w:szCs w:val="24"/>
          <w:lang w:val="en-GB"/>
        </w:rPr>
        <w:t xml:space="preserve">UC and CD, and </w:t>
      </w:r>
      <w:r w:rsidR="005E09CA" w:rsidRPr="00CD4428">
        <w:rPr>
          <w:rFonts w:ascii="Book Antiqua" w:eastAsia="SabonLTStd-Roman" w:hAnsi="Book Antiqua" w:cstheme="minorHAnsi"/>
          <w:sz w:val="24"/>
          <w:szCs w:val="24"/>
          <w:lang w:val="en-GB"/>
        </w:rPr>
        <w:t>of</w:t>
      </w:r>
      <w:r w:rsidR="00916B30" w:rsidRPr="00CD4428">
        <w:rPr>
          <w:rFonts w:ascii="Book Antiqua" w:eastAsia="SabonLTStd-Roman" w:hAnsi="Book Antiqua" w:cstheme="minorHAnsi"/>
          <w:sz w:val="24"/>
          <w:szCs w:val="24"/>
          <w:lang w:val="en-GB"/>
        </w:rPr>
        <w:t xml:space="preserve"> f</w:t>
      </w:r>
      <w:r w:rsidR="00307CB6" w:rsidRPr="00CD4428">
        <w:rPr>
          <w:rFonts w:ascii="Book Antiqua" w:eastAsia="SabonLTStd-Roman" w:hAnsi="Book Antiqua" w:cstheme="minorHAnsi"/>
          <w:sz w:val="24"/>
          <w:szCs w:val="24"/>
          <w:lang w:val="en-GB"/>
        </w:rPr>
        <w:t>a</w:t>
      </w:r>
      <w:r w:rsidR="00916B30" w:rsidRPr="00CD4428">
        <w:rPr>
          <w:rFonts w:ascii="Book Antiqua" w:eastAsia="SabonLTStd-Roman" w:hAnsi="Book Antiqua" w:cstheme="minorHAnsi"/>
          <w:sz w:val="24"/>
          <w:szCs w:val="24"/>
          <w:lang w:val="en-GB"/>
        </w:rPr>
        <w:t xml:space="preserve">ecal calprotectin in </w:t>
      </w:r>
      <w:r w:rsidR="002D4248" w:rsidRPr="00CD4428">
        <w:rPr>
          <w:rFonts w:ascii="Book Antiqua" w:eastAsia="SabonLTStd-Roman" w:hAnsi="Book Antiqua" w:cstheme="minorHAnsi"/>
          <w:sz w:val="24"/>
          <w:szCs w:val="24"/>
          <w:lang w:val="en-GB"/>
        </w:rPr>
        <w:t xml:space="preserve">patients with </w:t>
      </w:r>
      <w:r w:rsidR="00916B30" w:rsidRPr="00CD4428">
        <w:rPr>
          <w:rFonts w:ascii="Book Antiqua" w:eastAsia="SabonLTStd-Roman" w:hAnsi="Book Antiqua" w:cstheme="minorHAnsi"/>
          <w:sz w:val="24"/>
          <w:szCs w:val="24"/>
          <w:lang w:val="en-GB"/>
        </w:rPr>
        <w:t>UC, w</w:t>
      </w:r>
      <w:r w:rsidR="005E09CA" w:rsidRPr="00CD4428">
        <w:rPr>
          <w:rFonts w:ascii="Book Antiqua" w:eastAsia="SabonLTStd-Roman" w:hAnsi="Book Antiqua" w:cstheme="minorHAnsi"/>
          <w:sz w:val="24"/>
          <w:szCs w:val="24"/>
          <w:lang w:val="en-GB"/>
        </w:rPr>
        <w:t>as</w:t>
      </w:r>
      <w:r w:rsidR="00916B30" w:rsidRPr="00CD4428">
        <w:rPr>
          <w:rFonts w:ascii="Book Antiqua" w:eastAsia="SabonLTStd-Roman" w:hAnsi="Book Antiqua" w:cstheme="minorHAnsi"/>
          <w:sz w:val="24"/>
          <w:szCs w:val="24"/>
          <w:lang w:val="en-GB"/>
        </w:rPr>
        <w:t xml:space="preserve"> predictive of clinical remission at week 54. </w:t>
      </w:r>
    </w:p>
    <w:p w14:paraId="10BDEA1C" w14:textId="7F30DF91" w:rsidR="0054731E" w:rsidRPr="00CD4428" w:rsidRDefault="00352611" w:rsidP="00E72F22">
      <w:pPr>
        <w:autoSpaceDE w:val="0"/>
        <w:autoSpaceDN w:val="0"/>
        <w:adjustRightInd w:val="0"/>
        <w:snapToGrid w:val="0"/>
        <w:spacing w:after="0" w:line="360" w:lineRule="auto"/>
        <w:ind w:firstLineChars="200" w:firstLine="48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More recently, a</w:t>
      </w:r>
      <w:r w:rsidR="00590110" w:rsidRPr="00CD4428">
        <w:rPr>
          <w:rFonts w:ascii="Book Antiqua" w:eastAsia="SabonLTStd-Roman" w:hAnsi="Book Antiqua" w:cstheme="minorHAnsi"/>
          <w:sz w:val="24"/>
          <w:szCs w:val="24"/>
          <w:lang w:val="en-GB"/>
        </w:rPr>
        <w:t xml:space="preserve"> </w:t>
      </w:r>
      <w:r w:rsidR="002D4248" w:rsidRPr="00CD4428">
        <w:rPr>
          <w:rFonts w:ascii="Book Antiqua" w:eastAsia="SabonLTStd-Roman" w:hAnsi="Book Antiqua" w:cstheme="minorHAnsi"/>
          <w:sz w:val="24"/>
          <w:szCs w:val="24"/>
          <w:lang w:val="en-GB"/>
        </w:rPr>
        <w:t xml:space="preserve">large </w:t>
      </w:r>
      <w:r w:rsidRPr="00CD4428">
        <w:rPr>
          <w:rFonts w:ascii="Book Antiqua" w:eastAsia="SabonLTStd-Roman" w:hAnsi="Book Antiqua" w:cstheme="minorHAnsi"/>
          <w:sz w:val="24"/>
          <w:szCs w:val="24"/>
          <w:lang w:val="en-GB"/>
        </w:rPr>
        <w:t>prospective</w:t>
      </w:r>
      <w:r w:rsidR="00590110" w:rsidRPr="00CD4428">
        <w:rPr>
          <w:rFonts w:ascii="Book Antiqua" w:eastAsia="SabonLTStd-Roman" w:hAnsi="Book Antiqua" w:cstheme="minorHAnsi"/>
          <w:sz w:val="24"/>
          <w:szCs w:val="24"/>
          <w:lang w:val="en-GB"/>
        </w:rPr>
        <w:t xml:space="preserve"> </w:t>
      </w:r>
      <w:r w:rsidRPr="00CD4428">
        <w:rPr>
          <w:rFonts w:ascii="Book Antiqua" w:eastAsia="SabonLTStd-Roman" w:hAnsi="Book Antiqua" w:cstheme="minorHAnsi"/>
          <w:sz w:val="24"/>
          <w:szCs w:val="24"/>
          <w:lang w:val="en-GB"/>
        </w:rPr>
        <w:t xml:space="preserve">cohort based on </w:t>
      </w:r>
      <w:r w:rsidR="002E6CDB" w:rsidRPr="00CD4428">
        <w:rPr>
          <w:rFonts w:ascii="Book Antiqua" w:eastAsia="SabonLTStd-Roman" w:hAnsi="Book Antiqua" w:cstheme="minorHAnsi"/>
          <w:sz w:val="24"/>
          <w:szCs w:val="24"/>
          <w:lang w:val="en-GB"/>
        </w:rPr>
        <w:t>the Swedish</w:t>
      </w:r>
      <w:r w:rsidR="00590110" w:rsidRPr="00CD4428">
        <w:rPr>
          <w:rFonts w:ascii="Book Antiqua" w:eastAsia="SabonLTStd-Roman" w:hAnsi="Book Antiqua" w:cstheme="minorHAnsi"/>
          <w:sz w:val="24"/>
          <w:szCs w:val="24"/>
          <w:lang w:val="en-GB"/>
        </w:rPr>
        <w:t xml:space="preserve"> </w:t>
      </w:r>
      <w:r w:rsidRPr="00CD4428">
        <w:rPr>
          <w:rFonts w:ascii="Book Antiqua" w:eastAsia="SabonLTStd-Roman" w:hAnsi="Book Antiqua" w:cstheme="minorHAnsi"/>
          <w:sz w:val="24"/>
          <w:szCs w:val="24"/>
          <w:lang w:val="en-GB"/>
        </w:rPr>
        <w:t xml:space="preserve">National </w:t>
      </w:r>
      <w:r w:rsidR="002E6CDB" w:rsidRPr="00CD4428">
        <w:rPr>
          <w:rFonts w:ascii="Book Antiqua" w:eastAsia="SabonLTStd-Roman" w:hAnsi="Book Antiqua" w:cstheme="minorHAnsi"/>
          <w:sz w:val="24"/>
          <w:szCs w:val="24"/>
          <w:lang w:val="en-GB"/>
        </w:rPr>
        <w:t xml:space="preserve">Quality </w:t>
      </w:r>
      <w:r w:rsidRPr="00CD4428">
        <w:rPr>
          <w:rFonts w:ascii="Book Antiqua" w:eastAsia="SabonLTStd-Roman" w:hAnsi="Book Antiqua" w:cstheme="minorHAnsi"/>
          <w:sz w:val="24"/>
          <w:szCs w:val="24"/>
          <w:lang w:val="en-GB"/>
        </w:rPr>
        <w:t>Registry</w:t>
      </w:r>
      <w:r w:rsidR="002E6CDB" w:rsidRPr="00CD4428">
        <w:rPr>
          <w:rFonts w:ascii="Book Antiqua" w:eastAsia="SabonLTStd-Roman" w:hAnsi="Book Antiqua" w:cstheme="minorHAnsi"/>
          <w:sz w:val="24"/>
          <w:szCs w:val="24"/>
          <w:lang w:val="en-GB"/>
        </w:rPr>
        <w:t xml:space="preserve"> for IBD (SWIBREG)</w:t>
      </w:r>
      <w:r w:rsidRPr="00CD4428">
        <w:rPr>
          <w:rFonts w:ascii="Book Antiqua" w:eastAsia="SabonLTStd-Roman" w:hAnsi="Book Antiqua" w:cstheme="minorHAnsi"/>
          <w:sz w:val="24"/>
          <w:szCs w:val="24"/>
          <w:lang w:val="en-GB"/>
        </w:rPr>
        <w:t xml:space="preserve">, evaluating the data at week 12, 52 and </w:t>
      </w:r>
      <w:r w:rsidR="002D4248" w:rsidRPr="00CD4428">
        <w:rPr>
          <w:rFonts w:ascii="Book Antiqua" w:eastAsia="SabonLTStd-Roman" w:hAnsi="Book Antiqua" w:cstheme="minorHAnsi"/>
          <w:sz w:val="24"/>
          <w:szCs w:val="24"/>
          <w:lang w:val="en-GB"/>
        </w:rPr>
        <w:t xml:space="preserve">the </w:t>
      </w:r>
      <w:r w:rsidRPr="00CD4428">
        <w:rPr>
          <w:rFonts w:ascii="Book Antiqua" w:eastAsia="SabonLTStd-Roman" w:hAnsi="Book Antiqua" w:cstheme="minorHAnsi"/>
          <w:sz w:val="24"/>
          <w:szCs w:val="24"/>
          <w:lang w:val="en-GB"/>
        </w:rPr>
        <w:t>last follow-up,</w:t>
      </w:r>
      <w:r w:rsidR="00590110" w:rsidRPr="00CD4428">
        <w:rPr>
          <w:rFonts w:ascii="Book Antiqua" w:eastAsia="SabonLTStd-Roman" w:hAnsi="Book Antiqua" w:cstheme="minorHAnsi"/>
          <w:sz w:val="24"/>
          <w:szCs w:val="24"/>
          <w:lang w:val="en-GB"/>
        </w:rPr>
        <w:t xml:space="preserve"> </w:t>
      </w:r>
      <w:r w:rsidRPr="00CD4428">
        <w:rPr>
          <w:rFonts w:ascii="Book Antiqua" w:eastAsia="SabonLTStd-Roman" w:hAnsi="Book Antiqua" w:cstheme="minorHAnsi"/>
          <w:sz w:val="24"/>
          <w:szCs w:val="24"/>
          <w:lang w:val="en-GB"/>
        </w:rPr>
        <w:t xml:space="preserve">reported </w:t>
      </w:r>
      <w:r w:rsidR="002D4248" w:rsidRPr="00CD4428">
        <w:rPr>
          <w:rFonts w:ascii="Book Antiqua" w:eastAsia="SabonLTStd-Roman" w:hAnsi="Book Antiqua" w:cstheme="minorHAnsi"/>
          <w:sz w:val="24"/>
          <w:szCs w:val="24"/>
          <w:lang w:val="en-GB"/>
        </w:rPr>
        <w:t>that</w:t>
      </w:r>
      <w:r w:rsidRPr="00CD4428">
        <w:rPr>
          <w:rFonts w:ascii="Book Antiqua" w:eastAsia="SabonLTStd-Roman" w:hAnsi="Book Antiqua" w:cstheme="minorHAnsi"/>
          <w:sz w:val="24"/>
          <w:szCs w:val="24"/>
          <w:lang w:val="en-GB"/>
        </w:rPr>
        <w:t xml:space="preserve"> clinical remission </w:t>
      </w:r>
      <w:r w:rsidR="002D4248" w:rsidRPr="00CD4428">
        <w:rPr>
          <w:rFonts w:ascii="Book Antiqua" w:eastAsia="SabonLTStd-Roman" w:hAnsi="Book Antiqua" w:cstheme="minorHAnsi"/>
          <w:sz w:val="24"/>
          <w:szCs w:val="24"/>
          <w:lang w:val="en-GB"/>
        </w:rPr>
        <w:t xml:space="preserve">was </w:t>
      </w:r>
      <w:r w:rsidR="00031E5A" w:rsidRPr="00CD4428">
        <w:rPr>
          <w:rFonts w:ascii="Book Antiqua" w:eastAsia="SabonLTStd-Roman" w:hAnsi="Book Antiqua" w:cstheme="minorHAnsi"/>
          <w:sz w:val="24"/>
          <w:szCs w:val="24"/>
          <w:lang w:val="en-GB"/>
        </w:rPr>
        <w:t xml:space="preserve">obtained with </w:t>
      </w:r>
      <w:proofErr w:type="spellStart"/>
      <w:r w:rsidR="00031E5A" w:rsidRPr="00CD4428">
        <w:rPr>
          <w:rFonts w:ascii="Book Antiqua" w:eastAsia="SabonLTStd-Roman" w:hAnsi="Book Antiqua" w:cstheme="minorHAnsi"/>
          <w:sz w:val="24"/>
          <w:szCs w:val="24"/>
          <w:lang w:val="en-GB"/>
        </w:rPr>
        <w:t>vedolizumab</w:t>
      </w:r>
      <w:proofErr w:type="spellEnd"/>
      <w:r w:rsidR="00031E5A" w:rsidRPr="00CD4428">
        <w:rPr>
          <w:rFonts w:ascii="Book Antiqua" w:eastAsia="SabonLTStd-Roman" w:hAnsi="Book Antiqua" w:cstheme="minorHAnsi"/>
          <w:sz w:val="24"/>
          <w:szCs w:val="24"/>
          <w:lang w:val="en-GB"/>
        </w:rPr>
        <w:t xml:space="preserve"> </w:t>
      </w:r>
      <w:r w:rsidR="002D4248" w:rsidRPr="00CD4428">
        <w:rPr>
          <w:rFonts w:ascii="Book Antiqua" w:eastAsia="SabonLTStd-Roman" w:hAnsi="Book Antiqua" w:cstheme="minorHAnsi"/>
          <w:sz w:val="24"/>
          <w:szCs w:val="24"/>
          <w:lang w:val="en-GB"/>
        </w:rPr>
        <w:t xml:space="preserve">after 52 weeks </w:t>
      </w:r>
      <w:r w:rsidRPr="00CD4428">
        <w:rPr>
          <w:rFonts w:ascii="Book Antiqua" w:eastAsia="SabonLTStd-Roman" w:hAnsi="Book Antiqua" w:cstheme="minorHAnsi"/>
          <w:sz w:val="24"/>
          <w:szCs w:val="24"/>
          <w:lang w:val="en-GB"/>
        </w:rPr>
        <w:t xml:space="preserve">in 64% and 60% of </w:t>
      </w:r>
      <w:r w:rsidR="002D4248" w:rsidRPr="00CD4428">
        <w:rPr>
          <w:rFonts w:ascii="Book Antiqua" w:eastAsia="SabonLTStd-Roman" w:hAnsi="Book Antiqua" w:cstheme="minorHAnsi"/>
          <w:sz w:val="24"/>
          <w:szCs w:val="24"/>
          <w:lang w:val="en-GB"/>
        </w:rPr>
        <w:t xml:space="preserve">patients with </w:t>
      </w:r>
      <w:r w:rsidRPr="00CD4428">
        <w:rPr>
          <w:rFonts w:ascii="Book Antiqua" w:eastAsia="SabonLTStd-Roman" w:hAnsi="Book Antiqua" w:cstheme="minorHAnsi"/>
          <w:sz w:val="24"/>
          <w:szCs w:val="24"/>
          <w:lang w:val="en-GB"/>
        </w:rPr>
        <w:t>UC and CD, respectively, 86% of wh</w:t>
      </w:r>
      <w:r w:rsidR="002D4248" w:rsidRPr="00CD4428">
        <w:rPr>
          <w:rFonts w:ascii="Book Antiqua" w:eastAsia="SabonLTStd-Roman" w:hAnsi="Book Antiqua" w:cstheme="minorHAnsi"/>
          <w:sz w:val="24"/>
          <w:szCs w:val="24"/>
          <w:lang w:val="en-GB"/>
        </w:rPr>
        <w:t>om</w:t>
      </w:r>
      <w:r w:rsidRPr="00CD4428">
        <w:rPr>
          <w:rFonts w:ascii="Book Antiqua" w:eastAsia="SabonLTStd-Roman" w:hAnsi="Book Antiqua" w:cstheme="minorHAnsi"/>
          <w:sz w:val="24"/>
          <w:szCs w:val="24"/>
          <w:lang w:val="en-GB"/>
        </w:rPr>
        <w:t xml:space="preserve"> had </w:t>
      </w:r>
      <w:r w:rsidR="00C86C08" w:rsidRPr="00CD4428">
        <w:rPr>
          <w:rFonts w:ascii="Book Antiqua" w:eastAsia="SabonLTStd-Roman" w:hAnsi="Book Antiqua" w:cstheme="minorHAnsi"/>
          <w:sz w:val="24"/>
          <w:szCs w:val="24"/>
          <w:lang w:val="en-GB"/>
        </w:rPr>
        <w:t>p</w:t>
      </w:r>
      <w:r w:rsidRPr="00CD4428">
        <w:rPr>
          <w:rFonts w:ascii="Book Antiqua" w:eastAsia="SabonLTStd-Roman" w:hAnsi="Book Antiqua" w:cstheme="minorHAnsi"/>
          <w:sz w:val="24"/>
          <w:szCs w:val="24"/>
          <w:lang w:val="en-GB"/>
        </w:rPr>
        <w:t>reviously</w:t>
      </w:r>
      <w:r w:rsidR="00C86C08" w:rsidRPr="00CD4428">
        <w:rPr>
          <w:rFonts w:ascii="Book Antiqua" w:eastAsia="SabonLTStd-Roman" w:hAnsi="Book Antiqua" w:cstheme="minorHAnsi"/>
          <w:sz w:val="24"/>
          <w:szCs w:val="24"/>
          <w:lang w:val="en-GB"/>
        </w:rPr>
        <w:t xml:space="preserve"> </w:t>
      </w:r>
      <w:r w:rsidR="002D4248" w:rsidRPr="00CD4428">
        <w:rPr>
          <w:rFonts w:ascii="Book Antiqua" w:eastAsia="SabonLTStd-Roman" w:hAnsi="Book Antiqua" w:cstheme="minorHAnsi"/>
          <w:sz w:val="24"/>
          <w:szCs w:val="24"/>
          <w:lang w:val="en-GB"/>
        </w:rPr>
        <w:t>us</w:t>
      </w:r>
      <w:r w:rsidR="00C86C08" w:rsidRPr="00CD4428">
        <w:rPr>
          <w:rFonts w:ascii="Book Antiqua" w:eastAsia="SabonLTStd-Roman" w:hAnsi="Book Antiqua" w:cstheme="minorHAnsi"/>
          <w:sz w:val="24"/>
          <w:szCs w:val="24"/>
          <w:lang w:val="en-GB"/>
        </w:rPr>
        <w:t>ed TNF</w:t>
      </w:r>
      <w:r w:rsidR="007444A0" w:rsidRPr="00CD4428">
        <w:rPr>
          <w:rFonts w:ascii="Book Antiqua" w:eastAsia="SabonLTStd-Roman" w:hAnsi="Book Antiqua" w:cstheme="minorHAnsi"/>
          <w:sz w:val="24"/>
          <w:szCs w:val="24"/>
          <w:lang w:val="en-GB"/>
        </w:rPr>
        <w:t>α</w:t>
      </w:r>
      <w:r w:rsidR="00C86C08" w:rsidRPr="00CD4428">
        <w:rPr>
          <w:rFonts w:ascii="Book Antiqua" w:eastAsia="SabonLTStd-Roman" w:hAnsi="Book Antiqua" w:cstheme="minorHAnsi"/>
          <w:sz w:val="24"/>
          <w:szCs w:val="24"/>
          <w:lang w:val="en-GB"/>
        </w:rPr>
        <w:t xml:space="preserve"> inhibitors</w:t>
      </w:r>
      <w:r w:rsidR="00C834C3" w:rsidRPr="00CD4428">
        <w:rPr>
          <w:rFonts w:ascii="Book Antiqua" w:eastAsia="SabonLTStd-Roman" w:hAnsi="Book Antiqua" w:cstheme="minorHAnsi"/>
          <w:sz w:val="24"/>
          <w:szCs w:val="24"/>
          <w:vertAlign w:val="superscript"/>
          <w:lang w:val="en-GB"/>
        </w:rPr>
        <w:t>[1</w:t>
      </w:r>
      <w:r w:rsidR="00E01056" w:rsidRPr="00CD4428">
        <w:rPr>
          <w:rFonts w:ascii="Book Antiqua" w:eastAsia="SabonLTStd-Roman" w:hAnsi="Book Antiqua" w:cstheme="minorHAnsi"/>
          <w:sz w:val="24"/>
          <w:szCs w:val="24"/>
          <w:vertAlign w:val="superscript"/>
          <w:lang w:val="en-GB"/>
        </w:rPr>
        <w:t>9</w:t>
      </w:r>
      <w:r w:rsidR="00C834C3" w:rsidRPr="00CD4428">
        <w:rPr>
          <w:rFonts w:ascii="Book Antiqua" w:eastAsia="SabonLTStd-Roman" w:hAnsi="Book Antiqua" w:cstheme="minorHAnsi"/>
          <w:sz w:val="24"/>
          <w:szCs w:val="24"/>
          <w:vertAlign w:val="superscript"/>
          <w:lang w:val="en-GB"/>
        </w:rPr>
        <w:t>]</w:t>
      </w:r>
      <w:r w:rsidR="00C834C3" w:rsidRPr="00CD4428">
        <w:rPr>
          <w:rFonts w:ascii="Book Antiqua" w:eastAsia="SabonLTStd-Roman" w:hAnsi="Book Antiqua" w:cstheme="minorHAnsi"/>
          <w:sz w:val="24"/>
          <w:szCs w:val="24"/>
          <w:lang w:val="en-GB"/>
        </w:rPr>
        <w:t xml:space="preserve"> (</w:t>
      </w:r>
      <w:r w:rsidR="002D4248" w:rsidRPr="00CD4428">
        <w:rPr>
          <w:rFonts w:ascii="Book Antiqua" w:eastAsia="SabonLTStd-Roman" w:hAnsi="Book Antiqua" w:cstheme="minorHAnsi"/>
          <w:sz w:val="24"/>
          <w:szCs w:val="24"/>
          <w:lang w:val="en-GB"/>
        </w:rPr>
        <w:t>T</w:t>
      </w:r>
      <w:r w:rsidR="00C834C3" w:rsidRPr="00CD4428">
        <w:rPr>
          <w:rFonts w:ascii="Book Antiqua" w:eastAsia="SabonLTStd-Roman" w:hAnsi="Book Antiqua" w:cstheme="minorHAnsi"/>
          <w:sz w:val="24"/>
          <w:szCs w:val="24"/>
          <w:lang w:val="en-GB"/>
        </w:rPr>
        <w:t>able 2)</w:t>
      </w:r>
      <w:r w:rsidR="00C86C08" w:rsidRPr="00CD4428">
        <w:rPr>
          <w:rFonts w:ascii="Book Antiqua" w:eastAsia="SabonLTStd-Roman" w:hAnsi="Book Antiqua" w:cstheme="minorHAnsi"/>
          <w:sz w:val="24"/>
          <w:szCs w:val="24"/>
          <w:lang w:val="en-GB"/>
        </w:rPr>
        <w:t>.</w:t>
      </w:r>
      <w:r w:rsidR="00590110" w:rsidRPr="00CD4428">
        <w:rPr>
          <w:rFonts w:ascii="Book Antiqua" w:eastAsia="SabonLTStd-Roman" w:hAnsi="Book Antiqua" w:cstheme="minorHAnsi"/>
          <w:sz w:val="24"/>
          <w:szCs w:val="24"/>
          <w:lang w:val="en-GB"/>
        </w:rPr>
        <w:t xml:space="preserve"> </w:t>
      </w:r>
      <w:r w:rsidR="00C86C08" w:rsidRPr="00CD4428">
        <w:rPr>
          <w:rFonts w:ascii="Book Antiqua" w:eastAsia="SabonLTStd-Roman" w:hAnsi="Book Antiqua" w:cstheme="minorHAnsi"/>
          <w:sz w:val="24"/>
          <w:szCs w:val="24"/>
          <w:lang w:val="en-GB"/>
        </w:rPr>
        <w:t xml:space="preserve">Elevated </w:t>
      </w:r>
      <w:r w:rsidR="00707A25" w:rsidRPr="00CD4428">
        <w:rPr>
          <w:rFonts w:ascii="Book Antiqua" w:eastAsia="SabonLTStd-Roman" w:hAnsi="Book Antiqua" w:cstheme="minorHAnsi"/>
          <w:sz w:val="24"/>
          <w:szCs w:val="24"/>
          <w:lang w:val="en-GB"/>
        </w:rPr>
        <w:t>C</w:t>
      </w:r>
      <w:r w:rsidR="00C86C08" w:rsidRPr="00CD4428">
        <w:rPr>
          <w:rFonts w:ascii="Book Antiqua" w:eastAsia="SabonLTStd-Roman" w:hAnsi="Book Antiqua" w:cstheme="minorHAnsi"/>
          <w:sz w:val="24"/>
          <w:szCs w:val="24"/>
          <w:lang w:val="en-GB"/>
        </w:rPr>
        <w:t>RP</w:t>
      </w:r>
      <w:r w:rsidR="00590110" w:rsidRPr="00CD4428">
        <w:rPr>
          <w:rFonts w:ascii="Book Antiqua" w:eastAsia="SabonLTStd-Roman" w:hAnsi="Book Antiqua" w:cstheme="minorHAnsi"/>
          <w:sz w:val="24"/>
          <w:szCs w:val="24"/>
          <w:lang w:val="en-GB"/>
        </w:rPr>
        <w:t xml:space="preserve"> </w:t>
      </w:r>
      <w:r w:rsidR="00C86C08" w:rsidRPr="00CD4428">
        <w:rPr>
          <w:rFonts w:ascii="Book Antiqua" w:eastAsia="SabonLTStd-Roman" w:hAnsi="Book Antiqua" w:cstheme="minorHAnsi"/>
          <w:sz w:val="24"/>
          <w:szCs w:val="24"/>
          <w:lang w:val="en-GB"/>
        </w:rPr>
        <w:t>at</w:t>
      </w:r>
      <w:r w:rsidR="009E0CE3" w:rsidRPr="00CD4428">
        <w:rPr>
          <w:rFonts w:ascii="Book Antiqua" w:eastAsia="SabonLTStd-Roman" w:hAnsi="Book Antiqua" w:cstheme="minorHAnsi"/>
          <w:sz w:val="24"/>
          <w:szCs w:val="24"/>
          <w:lang w:val="en-GB"/>
        </w:rPr>
        <w:t xml:space="preserve"> </w:t>
      </w:r>
      <w:r w:rsidR="00C86C08" w:rsidRPr="00CD4428">
        <w:rPr>
          <w:rFonts w:ascii="Book Antiqua" w:eastAsia="SabonLTStd-Roman" w:hAnsi="Book Antiqua" w:cstheme="minorHAnsi"/>
          <w:sz w:val="24"/>
          <w:szCs w:val="24"/>
          <w:lang w:val="en-GB"/>
        </w:rPr>
        <w:t>baseline and prior use of anti-TNF</w:t>
      </w:r>
      <w:r w:rsidR="00707A25" w:rsidRPr="00CD4428">
        <w:rPr>
          <w:rFonts w:ascii="Book Antiqua" w:eastAsia="SabonLTStd-Roman" w:hAnsi="Book Antiqua" w:cstheme="minorHAnsi"/>
          <w:sz w:val="24"/>
          <w:szCs w:val="24"/>
          <w:lang w:val="en-GB"/>
        </w:rPr>
        <w:t>α</w:t>
      </w:r>
      <w:r w:rsidR="00C86C08" w:rsidRPr="00CD4428">
        <w:rPr>
          <w:rFonts w:ascii="Book Antiqua" w:eastAsia="SabonLTStd-Roman" w:hAnsi="Book Antiqua" w:cstheme="minorHAnsi"/>
          <w:sz w:val="24"/>
          <w:szCs w:val="24"/>
          <w:lang w:val="en-GB"/>
        </w:rPr>
        <w:t xml:space="preserve"> were </w:t>
      </w:r>
      <w:r w:rsidR="00AD1E14" w:rsidRPr="00CD4428">
        <w:rPr>
          <w:rFonts w:ascii="Book Antiqua" w:eastAsia="SabonLTStd-Roman" w:hAnsi="Book Antiqua" w:cstheme="minorHAnsi"/>
          <w:sz w:val="24"/>
          <w:szCs w:val="24"/>
          <w:lang w:val="en-GB"/>
        </w:rPr>
        <w:t xml:space="preserve">associated with a higher risk </w:t>
      </w:r>
      <w:r w:rsidR="002D4248" w:rsidRPr="00CD4428">
        <w:rPr>
          <w:rFonts w:ascii="Book Antiqua" w:eastAsia="SabonLTStd-Roman" w:hAnsi="Book Antiqua" w:cstheme="minorHAnsi"/>
          <w:sz w:val="24"/>
          <w:szCs w:val="24"/>
          <w:lang w:val="en-GB"/>
        </w:rPr>
        <w:t>of</w:t>
      </w:r>
      <w:r w:rsidR="00590110" w:rsidRPr="00CD4428">
        <w:rPr>
          <w:rFonts w:ascii="Book Antiqua" w:eastAsia="SabonLTStd-Roman" w:hAnsi="Book Antiqua" w:cstheme="minorHAnsi"/>
          <w:sz w:val="24"/>
          <w:szCs w:val="24"/>
          <w:lang w:val="en-GB"/>
        </w:rPr>
        <w:t xml:space="preserve"> </w:t>
      </w:r>
      <w:proofErr w:type="spellStart"/>
      <w:r w:rsidR="0002356B" w:rsidRPr="00CD4428">
        <w:rPr>
          <w:rFonts w:ascii="Book Antiqua" w:eastAsia="SabonLTStd-Roman" w:hAnsi="Book Antiqua" w:cstheme="minorHAnsi"/>
          <w:sz w:val="24"/>
          <w:szCs w:val="24"/>
          <w:lang w:val="en-GB"/>
        </w:rPr>
        <w:t>vedolizumab</w:t>
      </w:r>
      <w:proofErr w:type="spellEnd"/>
      <w:r w:rsidR="0002356B" w:rsidRPr="00CD4428">
        <w:rPr>
          <w:rFonts w:ascii="Book Antiqua" w:eastAsia="SabonLTStd-Roman" w:hAnsi="Book Antiqua" w:cstheme="minorHAnsi"/>
          <w:sz w:val="24"/>
          <w:szCs w:val="24"/>
          <w:lang w:val="en-GB"/>
        </w:rPr>
        <w:t xml:space="preserve"> </w:t>
      </w:r>
      <w:r w:rsidR="00AD1E14" w:rsidRPr="00CD4428">
        <w:rPr>
          <w:rFonts w:ascii="Book Antiqua" w:eastAsia="SabonLTStd-Roman" w:hAnsi="Book Antiqua" w:cstheme="minorHAnsi"/>
          <w:sz w:val="24"/>
          <w:szCs w:val="24"/>
          <w:lang w:val="en-GB"/>
        </w:rPr>
        <w:t xml:space="preserve">discontinuation. </w:t>
      </w:r>
    </w:p>
    <w:p w14:paraId="6702707D" w14:textId="6A37623B" w:rsidR="00744B92" w:rsidRPr="00CD4428" w:rsidRDefault="0054731E" w:rsidP="00E72F22">
      <w:pPr>
        <w:autoSpaceDE w:val="0"/>
        <w:autoSpaceDN w:val="0"/>
        <w:adjustRightInd w:val="0"/>
        <w:snapToGrid w:val="0"/>
        <w:spacing w:after="0" w:line="360" w:lineRule="auto"/>
        <w:ind w:firstLineChars="200" w:firstLine="48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 xml:space="preserve">The </w:t>
      </w:r>
      <w:r w:rsidR="0002356B" w:rsidRPr="00CD4428">
        <w:rPr>
          <w:rFonts w:ascii="Book Antiqua" w:eastAsia="SabonLTStd-Roman" w:hAnsi="Book Antiqua" w:cstheme="minorHAnsi"/>
          <w:sz w:val="24"/>
          <w:szCs w:val="24"/>
          <w:lang w:val="en-GB"/>
        </w:rPr>
        <w:t xml:space="preserve">large, Israeli, </w:t>
      </w:r>
      <w:r w:rsidRPr="00CD4428">
        <w:rPr>
          <w:rFonts w:ascii="Book Antiqua" w:eastAsia="SabonLTStd-Roman" w:hAnsi="Book Antiqua" w:cstheme="minorHAnsi"/>
          <w:sz w:val="24"/>
          <w:szCs w:val="24"/>
          <w:lang w:val="en-GB"/>
        </w:rPr>
        <w:t>real-</w:t>
      </w:r>
      <w:r w:rsidR="00307CB6" w:rsidRPr="00CD4428">
        <w:rPr>
          <w:rFonts w:ascii="Book Antiqua" w:eastAsia="SabonLTStd-Roman" w:hAnsi="Book Antiqua" w:cstheme="minorHAnsi"/>
          <w:sz w:val="24"/>
          <w:szCs w:val="24"/>
          <w:lang w:val="en-GB"/>
        </w:rPr>
        <w:t xml:space="preserve">world </w:t>
      </w:r>
      <w:r w:rsidRPr="00CD4428">
        <w:rPr>
          <w:rFonts w:ascii="Book Antiqua" w:eastAsia="SabonLTStd-Roman" w:hAnsi="Book Antiqua" w:cstheme="minorHAnsi"/>
          <w:sz w:val="24"/>
          <w:szCs w:val="24"/>
          <w:lang w:val="en-GB"/>
        </w:rPr>
        <w:t xml:space="preserve">study in </w:t>
      </w:r>
      <w:r w:rsidR="0002356B" w:rsidRPr="00CD4428">
        <w:rPr>
          <w:rFonts w:ascii="Book Antiqua" w:eastAsia="SabonLTStd-Roman" w:hAnsi="Book Antiqua" w:cstheme="minorHAnsi"/>
          <w:sz w:val="24"/>
          <w:szCs w:val="24"/>
          <w:lang w:val="en-GB"/>
        </w:rPr>
        <w:t xml:space="preserve">patients with </w:t>
      </w:r>
      <w:r w:rsidRPr="00CD4428">
        <w:rPr>
          <w:rFonts w:ascii="Book Antiqua" w:eastAsia="SabonLTStd-Roman" w:hAnsi="Book Antiqua" w:cstheme="minorHAnsi"/>
          <w:sz w:val="24"/>
          <w:szCs w:val="24"/>
          <w:lang w:val="en-GB"/>
        </w:rPr>
        <w:t xml:space="preserve">IBD </w:t>
      </w:r>
      <w:r w:rsidR="0002356B" w:rsidRPr="00CD4428">
        <w:rPr>
          <w:rFonts w:ascii="Book Antiqua" w:eastAsia="SabonLTStd-Roman" w:hAnsi="Book Antiqua" w:cstheme="minorHAnsi"/>
          <w:sz w:val="24"/>
          <w:szCs w:val="24"/>
          <w:lang w:val="en-GB"/>
        </w:rPr>
        <w:t>who had</w:t>
      </w:r>
      <w:r w:rsidRPr="00CD4428">
        <w:rPr>
          <w:rFonts w:ascii="Book Antiqua" w:eastAsia="SabonLTStd-Roman" w:hAnsi="Book Antiqua" w:cstheme="minorHAnsi"/>
          <w:sz w:val="24"/>
          <w:szCs w:val="24"/>
          <w:lang w:val="en-GB"/>
        </w:rPr>
        <w:t xml:space="preserve"> </w:t>
      </w:r>
      <w:r w:rsidR="00E34588" w:rsidRPr="00CD4428">
        <w:rPr>
          <w:rFonts w:ascii="Book Antiqua" w:eastAsia="SabonLTStd-Roman" w:hAnsi="Book Antiqua" w:cstheme="minorHAnsi"/>
          <w:sz w:val="24"/>
          <w:szCs w:val="24"/>
          <w:lang w:val="en-GB"/>
        </w:rPr>
        <w:t>high rates of previous anti-TNF</w:t>
      </w:r>
      <w:r w:rsidR="007444A0" w:rsidRPr="00CD4428">
        <w:rPr>
          <w:rFonts w:ascii="Book Antiqua" w:eastAsia="SabonLTStd-Roman" w:hAnsi="Book Antiqua" w:cstheme="minorHAnsi"/>
          <w:sz w:val="24"/>
          <w:szCs w:val="24"/>
          <w:lang w:val="en-GB"/>
        </w:rPr>
        <w:t>α</w:t>
      </w:r>
      <w:r w:rsidR="00E34588" w:rsidRPr="00CD4428">
        <w:rPr>
          <w:rFonts w:ascii="Book Antiqua" w:eastAsia="SabonLTStd-Roman" w:hAnsi="Book Antiqua" w:cstheme="minorHAnsi"/>
          <w:sz w:val="24"/>
          <w:szCs w:val="24"/>
          <w:lang w:val="en-GB"/>
        </w:rPr>
        <w:t xml:space="preserve"> therapy, showed </w:t>
      </w:r>
      <w:r w:rsidR="00F459D8" w:rsidRPr="00CD4428">
        <w:rPr>
          <w:rFonts w:ascii="Book Antiqua" w:eastAsia="SabonLTStd-Roman" w:hAnsi="Book Antiqua" w:cstheme="minorHAnsi"/>
          <w:sz w:val="24"/>
          <w:szCs w:val="24"/>
          <w:lang w:val="en-GB"/>
        </w:rPr>
        <w:t xml:space="preserve">similar efficacy of </w:t>
      </w:r>
      <w:proofErr w:type="spellStart"/>
      <w:r w:rsidR="00F459D8" w:rsidRPr="00CD4428">
        <w:rPr>
          <w:rFonts w:ascii="Book Antiqua" w:eastAsia="SabonLTStd-Roman" w:hAnsi="Book Antiqua" w:cstheme="minorHAnsi"/>
          <w:sz w:val="24"/>
          <w:szCs w:val="24"/>
          <w:lang w:val="en-GB"/>
        </w:rPr>
        <w:t>vedolizumab</w:t>
      </w:r>
      <w:proofErr w:type="spellEnd"/>
      <w:r w:rsidR="00F459D8" w:rsidRPr="00CD4428">
        <w:rPr>
          <w:rFonts w:ascii="Book Antiqua" w:eastAsia="SabonLTStd-Roman" w:hAnsi="Book Antiqua" w:cstheme="minorHAnsi"/>
          <w:sz w:val="24"/>
          <w:szCs w:val="24"/>
          <w:lang w:val="en-GB"/>
        </w:rPr>
        <w:t xml:space="preserve"> in </w:t>
      </w:r>
      <w:r w:rsidR="0002356B" w:rsidRPr="00CD4428">
        <w:rPr>
          <w:rFonts w:ascii="Book Antiqua" w:eastAsia="SabonLTStd-Roman" w:hAnsi="Book Antiqua" w:cstheme="minorHAnsi"/>
          <w:sz w:val="24"/>
          <w:szCs w:val="24"/>
          <w:lang w:val="en-GB"/>
        </w:rPr>
        <w:t xml:space="preserve">patients with </w:t>
      </w:r>
      <w:r w:rsidR="00F459D8" w:rsidRPr="00CD4428">
        <w:rPr>
          <w:rFonts w:ascii="Book Antiqua" w:eastAsia="SabonLTStd-Roman" w:hAnsi="Book Antiqua" w:cstheme="minorHAnsi"/>
          <w:sz w:val="24"/>
          <w:szCs w:val="24"/>
          <w:lang w:val="en-GB"/>
        </w:rPr>
        <w:t>UC and CD</w:t>
      </w:r>
      <w:r w:rsidR="00707A25" w:rsidRPr="00CD4428">
        <w:rPr>
          <w:rFonts w:ascii="Book Antiqua" w:eastAsia="SabonLTStd-Roman" w:hAnsi="Book Antiqua" w:cstheme="minorHAnsi"/>
          <w:sz w:val="24"/>
          <w:szCs w:val="24"/>
          <w:vertAlign w:val="superscript"/>
          <w:lang w:val="en-GB"/>
        </w:rPr>
        <w:t>[</w:t>
      </w:r>
      <w:r w:rsidR="00E01056" w:rsidRPr="00CD4428">
        <w:rPr>
          <w:rFonts w:ascii="Book Antiqua" w:eastAsia="SabonLTStd-Roman" w:hAnsi="Book Antiqua" w:cstheme="minorHAnsi"/>
          <w:sz w:val="24"/>
          <w:szCs w:val="24"/>
          <w:vertAlign w:val="superscript"/>
          <w:lang w:val="en-GB"/>
        </w:rPr>
        <w:t>20</w:t>
      </w:r>
      <w:r w:rsidR="00707A25" w:rsidRPr="00CD4428">
        <w:rPr>
          <w:rFonts w:ascii="Book Antiqua" w:eastAsia="SabonLTStd-Roman" w:hAnsi="Book Antiqua" w:cstheme="minorHAnsi"/>
          <w:sz w:val="24"/>
          <w:szCs w:val="24"/>
          <w:vertAlign w:val="superscript"/>
          <w:lang w:val="en-GB"/>
        </w:rPr>
        <w:t>]</w:t>
      </w:r>
      <w:r w:rsidR="00E34588" w:rsidRPr="00CD4428">
        <w:rPr>
          <w:rFonts w:ascii="Book Antiqua" w:eastAsia="SabonLTStd-Roman" w:hAnsi="Book Antiqua" w:cstheme="minorHAnsi"/>
          <w:sz w:val="24"/>
          <w:szCs w:val="24"/>
          <w:lang w:val="en-GB"/>
        </w:rPr>
        <w:t xml:space="preserve"> </w:t>
      </w:r>
      <w:r w:rsidR="00707A25" w:rsidRPr="00CD4428">
        <w:rPr>
          <w:rFonts w:ascii="Book Antiqua" w:eastAsia="SabonLTStd-Roman" w:hAnsi="Book Antiqua" w:cstheme="minorHAnsi"/>
          <w:sz w:val="24"/>
          <w:szCs w:val="24"/>
          <w:lang w:val="en-GB"/>
        </w:rPr>
        <w:t>(</w:t>
      </w:r>
      <w:r w:rsidR="0002356B" w:rsidRPr="00CD4428">
        <w:rPr>
          <w:rFonts w:ascii="Book Antiqua" w:eastAsia="SabonLTStd-Roman" w:hAnsi="Book Antiqua" w:cstheme="minorHAnsi"/>
          <w:sz w:val="24"/>
          <w:szCs w:val="24"/>
          <w:lang w:val="en-GB"/>
        </w:rPr>
        <w:t>T</w:t>
      </w:r>
      <w:r w:rsidR="00707A25" w:rsidRPr="00CD4428">
        <w:rPr>
          <w:rFonts w:ascii="Book Antiqua" w:eastAsia="SabonLTStd-Roman" w:hAnsi="Book Antiqua" w:cstheme="minorHAnsi"/>
          <w:sz w:val="24"/>
          <w:szCs w:val="24"/>
          <w:lang w:val="en-GB"/>
        </w:rPr>
        <w:t>able 2</w:t>
      </w:r>
      <w:r w:rsidR="0002356B" w:rsidRPr="00CD4428">
        <w:rPr>
          <w:rFonts w:ascii="Book Antiqua" w:eastAsia="SabonLTStd-Roman" w:hAnsi="Book Antiqua" w:cstheme="minorHAnsi"/>
          <w:sz w:val="24"/>
          <w:szCs w:val="24"/>
          <w:lang w:val="en-GB"/>
        </w:rPr>
        <w:t xml:space="preserve">; </w:t>
      </w:r>
      <w:r w:rsidR="00E72F22" w:rsidRPr="00E86DB9">
        <w:rPr>
          <w:rFonts w:ascii="Book Antiqua" w:eastAsia="SabonLTStd-Roman" w:hAnsi="Book Antiqua" w:cstheme="minorHAnsi"/>
          <w:sz w:val="24"/>
          <w:szCs w:val="24"/>
          <w:lang w:val="en-GB"/>
        </w:rPr>
        <w:t>Fig</w:t>
      </w:r>
      <w:r w:rsidR="00E72F22" w:rsidRPr="00E86DB9">
        <w:rPr>
          <w:rFonts w:ascii="Book Antiqua" w:hAnsi="Book Antiqua" w:cstheme="minorHAnsi"/>
          <w:sz w:val="24"/>
          <w:szCs w:val="24"/>
          <w:lang w:val="en-GB" w:eastAsia="zh-CN"/>
        </w:rPr>
        <w:t>ure</w:t>
      </w:r>
      <w:r w:rsidR="00EC159A">
        <w:rPr>
          <w:rFonts w:ascii="Book Antiqua" w:hAnsi="Book Antiqua" w:cstheme="minorHAnsi" w:hint="eastAsia"/>
          <w:sz w:val="24"/>
          <w:szCs w:val="24"/>
          <w:lang w:val="en-GB" w:eastAsia="zh-CN"/>
        </w:rPr>
        <w:t xml:space="preserve"> </w:t>
      </w:r>
      <w:r w:rsidR="00EC163F" w:rsidRPr="00CD4428">
        <w:rPr>
          <w:rFonts w:ascii="Book Antiqua" w:eastAsia="SabonLTStd-Roman" w:hAnsi="Book Antiqua" w:cstheme="minorHAnsi"/>
          <w:sz w:val="24"/>
          <w:szCs w:val="24"/>
          <w:lang w:val="en-GB"/>
        </w:rPr>
        <w:t>2</w:t>
      </w:r>
      <w:r w:rsidR="002C580C">
        <w:rPr>
          <w:rFonts w:ascii="Book Antiqua" w:hAnsi="Book Antiqua" w:cstheme="minorHAnsi" w:hint="eastAsia"/>
          <w:sz w:val="24"/>
          <w:szCs w:val="24"/>
          <w:lang w:val="en-GB" w:eastAsia="zh-CN"/>
        </w:rPr>
        <w:t>A and B</w:t>
      </w:r>
      <w:r w:rsidR="00F459D8" w:rsidRPr="00CD4428">
        <w:rPr>
          <w:rFonts w:ascii="Book Antiqua" w:eastAsia="SabonLTStd-Roman" w:hAnsi="Book Antiqua" w:cstheme="minorHAnsi"/>
          <w:sz w:val="24"/>
          <w:szCs w:val="24"/>
          <w:lang w:val="en-GB"/>
        </w:rPr>
        <w:t>)</w:t>
      </w:r>
      <w:r w:rsidR="00744B92" w:rsidRPr="00CD4428">
        <w:rPr>
          <w:rFonts w:ascii="Book Antiqua" w:eastAsia="SabonLTStd-Roman" w:hAnsi="Book Antiqua" w:cstheme="minorHAnsi"/>
          <w:sz w:val="24"/>
          <w:szCs w:val="24"/>
          <w:lang w:val="en-GB"/>
        </w:rPr>
        <w:t>.</w:t>
      </w:r>
      <w:r w:rsidR="0002356B" w:rsidRPr="00CD4428">
        <w:rPr>
          <w:rFonts w:ascii="Book Antiqua" w:eastAsia="SabonLTStd-Roman" w:hAnsi="Book Antiqua" w:cstheme="minorHAnsi"/>
          <w:sz w:val="24"/>
          <w:szCs w:val="24"/>
          <w:lang w:val="en-GB"/>
        </w:rPr>
        <w:t xml:space="preserve"> </w:t>
      </w:r>
      <w:r w:rsidR="00744B92" w:rsidRPr="00CD4428">
        <w:rPr>
          <w:rFonts w:ascii="Book Antiqua" w:eastAsia="SabonLTStd-Roman" w:hAnsi="Book Antiqua" w:cstheme="minorHAnsi"/>
          <w:sz w:val="24"/>
          <w:szCs w:val="24"/>
          <w:lang w:val="en-GB"/>
        </w:rPr>
        <w:t xml:space="preserve">A retrospective cohort of 50 patients </w:t>
      </w:r>
      <w:r w:rsidR="0002356B" w:rsidRPr="00CD4428">
        <w:rPr>
          <w:rFonts w:ascii="Book Antiqua" w:eastAsia="SabonLTStd-Roman" w:hAnsi="Book Antiqua" w:cstheme="minorHAnsi"/>
          <w:sz w:val="24"/>
          <w:szCs w:val="24"/>
          <w:lang w:val="en-GB"/>
        </w:rPr>
        <w:t xml:space="preserve">with IBD </w:t>
      </w:r>
      <w:r w:rsidR="00744B92" w:rsidRPr="00CD4428">
        <w:rPr>
          <w:rFonts w:ascii="Book Antiqua" w:eastAsia="SabonLTStd-Roman" w:hAnsi="Book Antiqua" w:cstheme="minorHAnsi"/>
          <w:sz w:val="24"/>
          <w:szCs w:val="24"/>
          <w:lang w:val="en-GB"/>
        </w:rPr>
        <w:t xml:space="preserve">from </w:t>
      </w:r>
      <w:r w:rsidR="0002356B" w:rsidRPr="00CD4428">
        <w:rPr>
          <w:rFonts w:ascii="Book Antiqua" w:eastAsia="SabonLTStd-Roman" w:hAnsi="Book Antiqua" w:cstheme="minorHAnsi"/>
          <w:sz w:val="24"/>
          <w:szCs w:val="24"/>
          <w:lang w:val="en-GB"/>
        </w:rPr>
        <w:t xml:space="preserve">the </w:t>
      </w:r>
      <w:r w:rsidR="00744B92" w:rsidRPr="00CD4428">
        <w:rPr>
          <w:rFonts w:ascii="Book Antiqua" w:eastAsia="SabonLTStd-Roman" w:hAnsi="Book Antiqua" w:cstheme="minorHAnsi"/>
          <w:sz w:val="24"/>
          <w:szCs w:val="24"/>
          <w:lang w:val="en-GB"/>
        </w:rPr>
        <w:t xml:space="preserve">UK demonstrated similar rates of effectiveness compared to the other real-world </w:t>
      </w:r>
      <w:proofErr w:type="gramStart"/>
      <w:r w:rsidR="00744B92" w:rsidRPr="00CD4428">
        <w:rPr>
          <w:rFonts w:ascii="Book Antiqua" w:eastAsia="SabonLTStd-Roman" w:hAnsi="Book Antiqua" w:cstheme="minorHAnsi"/>
          <w:sz w:val="24"/>
          <w:szCs w:val="24"/>
          <w:lang w:val="en-GB"/>
        </w:rPr>
        <w:t>studies</w:t>
      </w:r>
      <w:r w:rsidR="00707A25" w:rsidRPr="00CD4428">
        <w:rPr>
          <w:rFonts w:ascii="Book Antiqua" w:eastAsia="SabonLTStd-Roman" w:hAnsi="Book Antiqua" w:cstheme="minorHAnsi"/>
          <w:sz w:val="24"/>
          <w:szCs w:val="24"/>
          <w:vertAlign w:val="superscript"/>
          <w:lang w:val="en-GB"/>
        </w:rPr>
        <w:t>[</w:t>
      </w:r>
      <w:proofErr w:type="gramEnd"/>
      <w:r w:rsidR="00E01056" w:rsidRPr="00CD4428">
        <w:rPr>
          <w:rFonts w:ascii="Book Antiqua" w:eastAsia="SabonLTStd-Roman" w:hAnsi="Book Antiqua" w:cstheme="minorHAnsi"/>
          <w:sz w:val="24"/>
          <w:szCs w:val="24"/>
          <w:vertAlign w:val="superscript"/>
          <w:lang w:val="en-GB"/>
        </w:rPr>
        <w:t>2</w:t>
      </w:r>
      <w:r w:rsidR="00707A25" w:rsidRPr="00CD4428">
        <w:rPr>
          <w:rFonts w:ascii="Book Antiqua" w:eastAsia="SabonLTStd-Roman" w:hAnsi="Book Antiqua" w:cstheme="minorHAnsi"/>
          <w:sz w:val="24"/>
          <w:szCs w:val="24"/>
          <w:vertAlign w:val="superscript"/>
          <w:lang w:val="en-GB"/>
        </w:rPr>
        <w:t>1]</w:t>
      </w:r>
      <w:r w:rsidR="00590110" w:rsidRPr="00CD4428">
        <w:rPr>
          <w:rFonts w:ascii="Book Antiqua" w:eastAsia="SabonLTStd-Roman" w:hAnsi="Book Antiqua" w:cstheme="minorHAnsi"/>
          <w:sz w:val="24"/>
          <w:szCs w:val="24"/>
          <w:lang w:val="en-GB"/>
        </w:rPr>
        <w:t xml:space="preserve"> </w:t>
      </w:r>
      <w:r w:rsidR="00707A25" w:rsidRPr="00CD4428">
        <w:rPr>
          <w:rFonts w:ascii="Book Antiqua" w:eastAsia="SabonLTStd-Roman" w:hAnsi="Book Antiqua" w:cstheme="minorHAnsi"/>
          <w:sz w:val="24"/>
          <w:szCs w:val="24"/>
          <w:lang w:val="en-GB"/>
        </w:rPr>
        <w:t>(</w:t>
      </w:r>
      <w:r w:rsidR="0002356B" w:rsidRPr="00CD4428">
        <w:rPr>
          <w:rFonts w:ascii="Book Antiqua" w:eastAsia="SabonLTStd-Roman" w:hAnsi="Book Antiqua" w:cstheme="minorHAnsi"/>
          <w:sz w:val="24"/>
          <w:szCs w:val="24"/>
          <w:lang w:val="en-GB"/>
        </w:rPr>
        <w:t>T</w:t>
      </w:r>
      <w:r w:rsidR="00707A25" w:rsidRPr="00CD4428">
        <w:rPr>
          <w:rFonts w:ascii="Book Antiqua" w:eastAsia="SabonLTStd-Roman" w:hAnsi="Book Antiqua" w:cstheme="minorHAnsi"/>
          <w:sz w:val="24"/>
          <w:szCs w:val="24"/>
          <w:lang w:val="en-GB"/>
        </w:rPr>
        <w:t>able 2</w:t>
      </w:r>
      <w:r w:rsidR="0002356B" w:rsidRPr="00CD4428">
        <w:rPr>
          <w:rFonts w:ascii="Book Antiqua" w:eastAsia="SabonLTStd-Roman" w:hAnsi="Book Antiqua" w:cstheme="minorHAnsi"/>
          <w:sz w:val="24"/>
          <w:szCs w:val="24"/>
          <w:lang w:val="en-GB"/>
        </w:rPr>
        <w:t xml:space="preserve">; </w:t>
      </w:r>
      <w:r w:rsidR="002C580C" w:rsidRPr="00E86DB9">
        <w:rPr>
          <w:rFonts w:ascii="Book Antiqua" w:eastAsia="SabonLTStd-Roman" w:hAnsi="Book Antiqua" w:cstheme="minorHAnsi"/>
          <w:sz w:val="24"/>
          <w:szCs w:val="24"/>
          <w:lang w:val="en-GB"/>
        </w:rPr>
        <w:t>Fig</w:t>
      </w:r>
      <w:r w:rsidR="002C580C" w:rsidRPr="00E86DB9">
        <w:rPr>
          <w:rFonts w:ascii="Book Antiqua" w:hAnsi="Book Antiqua" w:cstheme="minorHAnsi"/>
          <w:sz w:val="24"/>
          <w:szCs w:val="24"/>
          <w:lang w:val="en-GB" w:eastAsia="zh-CN"/>
        </w:rPr>
        <w:t>ure</w:t>
      </w:r>
      <w:r w:rsidR="002C580C">
        <w:rPr>
          <w:rFonts w:ascii="Book Antiqua" w:hAnsi="Book Antiqua" w:cstheme="minorHAnsi" w:hint="eastAsia"/>
          <w:sz w:val="24"/>
          <w:szCs w:val="24"/>
          <w:lang w:val="en-GB" w:eastAsia="zh-CN"/>
        </w:rPr>
        <w:t xml:space="preserve"> </w:t>
      </w:r>
      <w:r w:rsidR="002C580C" w:rsidRPr="00CD4428">
        <w:rPr>
          <w:rFonts w:ascii="Book Antiqua" w:eastAsia="SabonLTStd-Roman" w:hAnsi="Book Antiqua" w:cstheme="minorHAnsi"/>
          <w:sz w:val="24"/>
          <w:szCs w:val="24"/>
          <w:lang w:val="en-GB"/>
        </w:rPr>
        <w:t>2</w:t>
      </w:r>
      <w:r w:rsidR="002C580C">
        <w:rPr>
          <w:rFonts w:ascii="Book Antiqua" w:hAnsi="Book Antiqua" w:cstheme="minorHAnsi" w:hint="eastAsia"/>
          <w:sz w:val="24"/>
          <w:szCs w:val="24"/>
          <w:lang w:val="en-GB" w:eastAsia="zh-CN"/>
        </w:rPr>
        <w:t>A and B</w:t>
      </w:r>
      <w:r w:rsidR="00744B92" w:rsidRPr="00CD4428">
        <w:rPr>
          <w:rFonts w:ascii="Book Antiqua" w:eastAsia="SabonLTStd-Roman" w:hAnsi="Book Antiqua" w:cstheme="minorHAnsi"/>
          <w:sz w:val="24"/>
          <w:szCs w:val="24"/>
          <w:lang w:val="en-GB"/>
        </w:rPr>
        <w:t>).</w:t>
      </w:r>
    </w:p>
    <w:p w14:paraId="63A24699" w14:textId="681D5DD0" w:rsidR="007E7424" w:rsidRPr="00CD4428" w:rsidRDefault="00EA0619" w:rsidP="00DE7AA7">
      <w:pPr>
        <w:autoSpaceDE w:val="0"/>
        <w:autoSpaceDN w:val="0"/>
        <w:adjustRightInd w:val="0"/>
        <w:snapToGrid w:val="0"/>
        <w:spacing w:after="0" w:line="360" w:lineRule="auto"/>
        <w:ind w:firstLineChars="200" w:firstLine="48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Very recently</w:t>
      </w:r>
      <w:r w:rsidR="0002356B" w:rsidRPr="00CD4428">
        <w:rPr>
          <w:rFonts w:ascii="Book Antiqua" w:eastAsia="SabonLTStd-Roman" w:hAnsi="Book Antiqua" w:cstheme="minorHAnsi"/>
          <w:sz w:val="24"/>
          <w:szCs w:val="24"/>
          <w:lang w:val="en-GB"/>
        </w:rPr>
        <w:t>,</w:t>
      </w:r>
      <w:r w:rsidR="008D319B" w:rsidRPr="00CD4428">
        <w:rPr>
          <w:rFonts w:ascii="Book Antiqua" w:eastAsia="SabonLTStd-Roman" w:hAnsi="Book Antiqua" w:cstheme="minorHAnsi"/>
          <w:sz w:val="24"/>
          <w:szCs w:val="24"/>
          <w:lang w:val="en-GB"/>
        </w:rPr>
        <w:t xml:space="preserve"> </w:t>
      </w:r>
      <w:r w:rsidR="00C67173" w:rsidRPr="00CD4428">
        <w:rPr>
          <w:rFonts w:ascii="Book Antiqua" w:eastAsia="SabonLTStd-Roman" w:hAnsi="Book Antiqua" w:cstheme="minorHAnsi"/>
          <w:sz w:val="24"/>
          <w:szCs w:val="24"/>
          <w:lang w:val="en-GB"/>
        </w:rPr>
        <w:t xml:space="preserve">real-world data on the effectiveness of </w:t>
      </w:r>
      <w:proofErr w:type="spellStart"/>
      <w:r w:rsidR="00C67173" w:rsidRPr="00CD4428">
        <w:rPr>
          <w:rFonts w:ascii="Book Antiqua" w:eastAsia="SabonLTStd-Roman" w:hAnsi="Book Antiqua" w:cstheme="minorHAnsi"/>
          <w:sz w:val="24"/>
          <w:szCs w:val="24"/>
          <w:lang w:val="en-GB"/>
        </w:rPr>
        <w:t>vedolizumab</w:t>
      </w:r>
      <w:proofErr w:type="spellEnd"/>
      <w:r w:rsidR="00C67173" w:rsidRPr="00CD4428">
        <w:rPr>
          <w:rFonts w:ascii="Book Antiqua" w:eastAsia="SabonLTStd-Roman" w:hAnsi="Book Antiqua" w:cstheme="minorHAnsi"/>
          <w:sz w:val="24"/>
          <w:szCs w:val="24"/>
          <w:lang w:val="en-GB"/>
        </w:rPr>
        <w:t xml:space="preserve"> on gut and articular symptoms </w:t>
      </w:r>
      <w:r w:rsidR="00E961E2" w:rsidRPr="00CD4428">
        <w:rPr>
          <w:rFonts w:ascii="Book Antiqua" w:eastAsia="SabonLTStd-Roman" w:hAnsi="Book Antiqua" w:cstheme="minorHAnsi"/>
          <w:sz w:val="24"/>
          <w:szCs w:val="24"/>
          <w:lang w:val="en-GB"/>
        </w:rPr>
        <w:t xml:space="preserve">in 163 patients </w:t>
      </w:r>
      <w:r w:rsidR="0002356B" w:rsidRPr="00CD4428">
        <w:rPr>
          <w:rFonts w:ascii="Book Antiqua" w:eastAsia="SabonLTStd-Roman" w:hAnsi="Book Antiqua" w:cstheme="minorHAnsi"/>
          <w:sz w:val="24"/>
          <w:szCs w:val="24"/>
          <w:lang w:val="en-GB"/>
        </w:rPr>
        <w:t>with IBD were</w:t>
      </w:r>
      <w:r w:rsidR="00C67173" w:rsidRPr="00CD4428">
        <w:rPr>
          <w:rFonts w:ascii="Book Antiqua" w:eastAsia="SabonLTStd-Roman" w:hAnsi="Book Antiqua" w:cstheme="minorHAnsi"/>
          <w:sz w:val="24"/>
          <w:szCs w:val="24"/>
          <w:lang w:val="en-GB"/>
        </w:rPr>
        <w:t xml:space="preserve"> reported by an Italian </w:t>
      </w:r>
      <w:proofErr w:type="gramStart"/>
      <w:r w:rsidR="00C67173" w:rsidRPr="00CD4428">
        <w:rPr>
          <w:rFonts w:ascii="Book Antiqua" w:eastAsia="SabonLTStd-Roman" w:hAnsi="Book Antiqua" w:cstheme="minorHAnsi"/>
          <w:sz w:val="24"/>
          <w:szCs w:val="24"/>
          <w:lang w:val="en-GB"/>
        </w:rPr>
        <w:t>group</w:t>
      </w:r>
      <w:r w:rsidR="00707A25" w:rsidRPr="00CD4428">
        <w:rPr>
          <w:rFonts w:ascii="Book Antiqua" w:eastAsia="SabonLTStd-Roman" w:hAnsi="Book Antiqua" w:cstheme="minorHAnsi"/>
          <w:sz w:val="24"/>
          <w:szCs w:val="24"/>
          <w:vertAlign w:val="superscript"/>
          <w:lang w:val="en-GB"/>
        </w:rPr>
        <w:t>[</w:t>
      </w:r>
      <w:proofErr w:type="gramEnd"/>
      <w:r w:rsidR="00E01056" w:rsidRPr="00CD4428">
        <w:rPr>
          <w:rFonts w:ascii="Book Antiqua" w:eastAsia="SabonLTStd-Roman" w:hAnsi="Book Antiqua" w:cstheme="minorHAnsi"/>
          <w:sz w:val="24"/>
          <w:szCs w:val="24"/>
          <w:vertAlign w:val="superscript"/>
          <w:lang w:val="en-GB"/>
        </w:rPr>
        <w:t>22</w:t>
      </w:r>
      <w:r w:rsidR="00707A25" w:rsidRPr="00CD4428">
        <w:rPr>
          <w:rFonts w:ascii="Book Antiqua" w:eastAsia="SabonLTStd-Roman" w:hAnsi="Book Antiqua" w:cstheme="minorHAnsi"/>
          <w:sz w:val="24"/>
          <w:szCs w:val="24"/>
          <w:vertAlign w:val="superscript"/>
          <w:lang w:val="en-GB"/>
        </w:rPr>
        <w:t>]</w:t>
      </w:r>
      <w:r w:rsidR="00707A25" w:rsidRPr="00CD4428">
        <w:rPr>
          <w:rFonts w:ascii="Book Antiqua" w:eastAsia="SabonLTStd-Roman" w:hAnsi="Book Antiqua" w:cstheme="minorHAnsi"/>
          <w:sz w:val="24"/>
          <w:szCs w:val="24"/>
          <w:lang w:val="en-GB"/>
        </w:rPr>
        <w:t xml:space="preserve"> (</w:t>
      </w:r>
      <w:r w:rsidR="0002356B" w:rsidRPr="00CD4428">
        <w:rPr>
          <w:rFonts w:ascii="Book Antiqua" w:eastAsia="SabonLTStd-Roman" w:hAnsi="Book Antiqua" w:cstheme="minorHAnsi"/>
          <w:sz w:val="24"/>
          <w:szCs w:val="24"/>
          <w:lang w:val="en-GB"/>
        </w:rPr>
        <w:t>T</w:t>
      </w:r>
      <w:r w:rsidR="00707A25" w:rsidRPr="00CD4428">
        <w:rPr>
          <w:rFonts w:ascii="Book Antiqua" w:eastAsia="SabonLTStd-Roman" w:hAnsi="Book Antiqua" w:cstheme="minorHAnsi"/>
          <w:sz w:val="24"/>
          <w:szCs w:val="24"/>
          <w:lang w:val="en-GB"/>
        </w:rPr>
        <w:t>able 2)</w:t>
      </w:r>
      <w:r w:rsidR="00E961E2" w:rsidRPr="00CD4428">
        <w:rPr>
          <w:rFonts w:ascii="Book Antiqua" w:eastAsia="SabonLTStd-Roman" w:hAnsi="Book Antiqua" w:cstheme="minorHAnsi"/>
          <w:sz w:val="24"/>
          <w:szCs w:val="24"/>
          <w:lang w:val="en-GB"/>
        </w:rPr>
        <w:t xml:space="preserve">. Steroid-free remission was observed in </w:t>
      </w:r>
      <w:r w:rsidR="00BA4042" w:rsidRPr="00CD4428">
        <w:rPr>
          <w:rFonts w:ascii="Book Antiqua" w:eastAsia="SabonLTStd-Roman" w:hAnsi="Book Antiqua" w:cstheme="minorHAnsi"/>
          <w:sz w:val="24"/>
          <w:szCs w:val="24"/>
          <w:lang w:val="en-GB"/>
        </w:rPr>
        <w:t>71 (</w:t>
      </w:r>
      <w:r w:rsidR="00E961E2" w:rsidRPr="00CD4428">
        <w:rPr>
          <w:rFonts w:ascii="Book Antiqua" w:eastAsia="SabonLTStd-Roman" w:hAnsi="Book Antiqua" w:cstheme="minorHAnsi"/>
          <w:sz w:val="24"/>
          <w:szCs w:val="24"/>
          <w:lang w:val="en-GB"/>
        </w:rPr>
        <w:t>43.6%</w:t>
      </w:r>
      <w:r w:rsidR="00BA4042" w:rsidRPr="00CD4428">
        <w:rPr>
          <w:rFonts w:ascii="Book Antiqua" w:eastAsia="SabonLTStd-Roman" w:hAnsi="Book Antiqua" w:cstheme="minorHAnsi"/>
          <w:sz w:val="24"/>
          <w:szCs w:val="24"/>
          <w:lang w:val="en-GB"/>
        </w:rPr>
        <w:t>; UC: 45.6%, CD:</w:t>
      </w:r>
      <w:r w:rsidR="009E0CE3" w:rsidRPr="00CD4428">
        <w:rPr>
          <w:rFonts w:ascii="Book Antiqua" w:eastAsia="SabonLTStd-Roman" w:hAnsi="Book Antiqua" w:cstheme="minorHAnsi"/>
          <w:sz w:val="24"/>
          <w:szCs w:val="24"/>
          <w:lang w:val="en-GB"/>
        </w:rPr>
        <w:t xml:space="preserve"> </w:t>
      </w:r>
      <w:r w:rsidR="00BA4042" w:rsidRPr="00CD4428">
        <w:rPr>
          <w:rFonts w:ascii="Book Antiqua" w:eastAsia="SabonLTStd-Roman" w:hAnsi="Book Antiqua" w:cstheme="minorHAnsi"/>
          <w:sz w:val="24"/>
          <w:szCs w:val="24"/>
          <w:lang w:val="en-GB"/>
        </w:rPr>
        <w:t>41.7%) and 29 (</w:t>
      </w:r>
      <w:r w:rsidR="00E961E2" w:rsidRPr="00CD4428">
        <w:rPr>
          <w:rFonts w:ascii="Book Antiqua" w:eastAsia="SabonLTStd-Roman" w:hAnsi="Book Antiqua" w:cstheme="minorHAnsi"/>
          <w:sz w:val="24"/>
          <w:szCs w:val="24"/>
          <w:lang w:val="en-GB"/>
        </w:rPr>
        <w:t>40.8%</w:t>
      </w:r>
      <w:r w:rsidR="00BA4042" w:rsidRPr="00CD4428">
        <w:rPr>
          <w:rFonts w:ascii="Book Antiqua" w:eastAsia="SabonLTStd-Roman" w:hAnsi="Book Antiqua" w:cstheme="minorHAnsi"/>
          <w:sz w:val="24"/>
          <w:szCs w:val="24"/>
          <w:lang w:val="en-GB"/>
        </w:rPr>
        <w:t>; UC: 40.0 %, CD: 41.7%)</w:t>
      </w:r>
      <w:r w:rsidR="00E961E2" w:rsidRPr="00CD4428">
        <w:rPr>
          <w:rFonts w:ascii="Book Antiqua" w:eastAsia="SabonLTStd-Roman" w:hAnsi="Book Antiqua" w:cstheme="minorHAnsi"/>
          <w:sz w:val="24"/>
          <w:szCs w:val="24"/>
          <w:lang w:val="en-GB"/>
        </w:rPr>
        <w:t xml:space="preserve"> </w:t>
      </w:r>
      <w:r w:rsidR="0002356B" w:rsidRPr="00CD4428">
        <w:rPr>
          <w:rFonts w:ascii="Book Antiqua" w:eastAsia="SabonLTStd-Roman" w:hAnsi="Book Antiqua" w:cstheme="minorHAnsi"/>
          <w:sz w:val="24"/>
          <w:szCs w:val="24"/>
          <w:lang w:val="en-GB"/>
        </w:rPr>
        <w:t xml:space="preserve">patients </w:t>
      </w:r>
      <w:r w:rsidR="00E961E2" w:rsidRPr="00CD4428">
        <w:rPr>
          <w:rFonts w:ascii="Book Antiqua" w:eastAsia="SabonLTStd-Roman" w:hAnsi="Book Antiqua" w:cstheme="minorHAnsi"/>
          <w:sz w:val="24"/>
          <w:szCs w:val="24"/>
          <w:lang w:val="en-GB"/>
        </w:rPr>
        <w:t>at week</w:t>
      </w:r>
      <w:r w:rsidR="0002356B" w:rsidRPr="00CD4428">
        <w:rPr>
          <w:rFonts w:ascii="Book Antiqua" w:eastAsia="SabonLTStd-Roman" w:hAnsi="Book Antiqua" w:cstheme="minorHAnsi"/>
          <w:sz w:val="24"/>
          <w:szCs w:val="24"/>
          <w:lang w:val="en-GB"/>
        </w:rPr>
        <w:t>s</w:t>
      </w:r>
      <w:r w:rsidR="00E961E2" w:rsidRPr="00CD4428">
        <w:rPr>
          <w:rFonts w:ascii="Book Antiqua" w:eastAsia="SabonLTStd-Roman" w:hAnsi="Book Antiqua" w:cstheme="minorHAnsi"/>
          <w:sz w:val="24"/>
          <w:szCs w:val="24"/>
          <w:lang w:val="en-GB"/>
        </w:rPr>
        <w:t xml:space="preserve"> 10 and 22, respectively.</w:t>
      </w:r>
      <w:r w:rsidR="00280846" w:rsidRPr="00CD4428">
        <w:rPr>
          <w:rFonts w:ascii="Book Antiqua" w:eastAsia="SabonLTStd-Roman" w:hAnsi="Book Antiqua" w:cstheme="minorHAnsi"/>
          <w:sz w:val="24"/>
          <w:szCs w:val="24"/>
          <w:lang w:val="en-GB"/>
        </w:rPr>
        <w:t xml:space="preserve"> At the same time points</w:t>
      </w:r>
      <w:r w:rsidR="0002356B" w:rsidRPr="00CD4428">
        <w:rPr>
          <w:rFonts w:ascii="Book Antiqua" w:eastAsia="SabonLTStd-Roman" w:hAnsi="Book Antiqua" w:cstheme="minorHAnsi"/>
          <w:sz w:val="24"/>
          <w:szCs w:val="24"/>
          <w:lang w:val="en-GB"/>
        </w:rPr>
        <w:t>,</w:t>
      </w:r>
      <w:r w:rsidR="00280846" w:rsidRPr="00CD4428">
        <w:rPr>
          <w:rFonts w:ascii="Book Antiqua" w:eastAsia="SabonLTStd-Roman" w:hAnsi="Book Antiqua" w:cstheme="minorHAnsi"/>
          <w:sz w:val="24"/>
          <w:szCs w:val="24"/>
          <w:lang w:val="en-GB"/>
        </w:rPr>
        <w:t xml:space="preserve"> a</w:t>
      </w:r>
      <w:r w:rsidR="00147112" w:rsidRPr="00CD4428">
        <w:rPr>
          <w:rFonts w:ascii="Book Antiqua" w:eastAsia="SabonLTStd-Roman" w:hAnsi="Book Antiqua" w:cstheme="minorHAnsi"/>
          <w:sz w:val="24"/>
          <w:szCs w:val="24"/>
          <w:lang w:val="en-GB"/>
        </w:rPr>
        <w:t xml:space="preserve"> response on articular symptoms </w:t>
      </w:r>
      <w:proofErr w:type="gramStart"/>
      <w:r w:rsidR="00147112" w:rsidRPr="00CD4428">
        <w:rPr>
          <w:rFonts w:ascii="Book Antiqua" w:eastAsia="SabonLTStd-Roman" w:hAnsi="Book Antiqua" w:cstheme="minorHAnsi"/>
          <w:sz w:val="24"/>
          <w:szCs w:val="24"/>
          <w:lang w:val="en-GB"/>
        </w:rPr>
        <w:t>was achieved</w:t>
      </w:r>
      <w:proofErr w:type="gramEnd"/>
      <w:r w:rsidR="00147112" w:rsidRPr="00CD4428">
        <w:rPr>
          <w:rFonts w:ascii="Book Antiqua" w:eastAsia="SabonLTStd-Roman" w:hAnsi="Book Antiqua" w:cstheme="minorHAnsi"/>
          <w:sz w:val="24"/>
          <w:szCs w:val="24"/>
          <w:lang w:val="en-GB"/>
        </w:rPr>
        <w:t xml:space="preserve"> in 39.5% and 45.4% of</w:t>
      </w:r>
      <w:r w:rsidR="00280846" w:rsidRPr="00CD4428">
        <w:rPr>
          <w:rFonts w:ascii="Book Antiqua" w:eastAsia="SabonLTStd-Roman" w:hAnsi="Book Antiqua" w:cstheme="minorHAnsi"/>
          <w:sz w:val="24"/>
          <w:szCs w:val="24"/>
          <w:lang w:val="en-GB"/>
        </w:rPr>
        <w:t xml:space="preserve"> </w:t>
      </w:r>
      <w:r w:rsidR="00147112" w:rsidRPr="00CD4428">
        <w:rPr>
          <w:rFonts w:ascii="Book Antiqua" w:eastAsia="SabonLTStd-Roman" w:hAnsi="Book Antiqua" w:cstheme="minorHAnsi"/>
          <w:sz w:val="24"/>
          <w:szCs w:val="24"/>
          <w:lang w:val="en-GB"/>
        </w:rPr>
        <w:t xml:space="preserve">patients </w:t>
      </w:r>
      <w:r w:rsidR="0002356B" w:rsidRPr="00CD4428">
        <w:rPr>
          <w:rFonts w:ascii="Book Antiqua" w:eastAsia="SabonLTStd-Roman" w:hAnsi="Book Antiqua" w:cstheme="minorHAnsi"/>
          <w:sz w:val="24"/>
          <w:szCs w:val="24"/>
          <w:lang w:val="en-GB"/>
        </w:rPr>
        <w:t xml:space="preserve">with IBD who had </w:t>
      </w:r>
      <w:r w:rsidR="00147112" w:rsidRPr="00CD4428">
        <w:rPr>
          <w:rFonts w:ascii="Book Antiqua" w:eastAsia="SabonLTStd-Roman" w:hAnsi="Book Antiqua" w:cstheme="minorHAnsi"/>
          <w:sz w:val="24"/>
          <w:szCs w:val="24"/>
          <w:lang w:val="en-GB"/>
        </w:rPr>
        <w:t xml:space="preserve">active </w:t>
      </w:r>
      <w:proofErr w:type="spellStart"/>
      <w:r w:rsidR="00147112" w:rsidRPr="00CD4428">
        <w:rPr>
          <w:rFonts w:ascii="Book Antiqua" w:eastAsia="SabonLTStd-Roman" w:hAnsi="Book Antiqua" w:cstheme="minorHAnsi"/>
          <w:sz w:val="24"/>
          <w:szCs w:val="24"/>
          <w:lang w:val="en-GB"/>
        </w:rPr>
        <w:t>spondyloarthritis</w:t>
      </w:r>
      <w:proofErr w:type="spellEnd"/>
      <w:r w:rsidR="00147112" w:rsidRPr="00CD4428">
        <w:rPr>
          <w:rFonts w:ascii="Book Antiqua" w:eastAsia="SabonLTStd-Roman" w:hAnsi="Book Antiqua" w:cstheme="minorHAnsi"/>
          <w:sz w:val="24"/>
          <w:szCs w:val="24"/>
          <w:lang w:val="en-GB"/>
        </w:rPr>
        <w:t xml:space="preserve"> at baseline. The only factor associated with response on articular manifestations was the coexistence of </w:t>
      </w:r>
      <w:r w:rsidR="006237F0" w:rsidRPr="00CD4428">
        <w:rPr>
          <w:rFonts w:ascii="Book Antiqua" w:eastAsia="SabonLTStd-Roman" w:hAnsi="Book Antiqua" w:cstheme="minorHAnsi"/>
          <w:sz w:val="24"/>
          <w:szCs w:val="24"/>
          <w:lang w:val="en-GB"/>
        </w:rPr>
        <w:t>a concomitant intestinal benefit</w:t>
      </w:r>
      <w:r w:rsidR="00147112" w:rsidRPr="00CD4428">
        <w:rPr>
          <w:rFonts w:ascii="Book Antiqua" w:eastAsia="SabonLTStd-Roman" w:hAnsi="Book Antiqua" w:cstheme="minorHAnsi"/>
          <w:sz w:val="24"/>
          <w:szCs w:val="24"/>
          <w:lang w:val="en-GB"/>
        </w:rPr>
        <w:t xml:space="preserve"> at</w:t>
      </w:r>
      <w:r w:rsidR="00590110" w:rsidRPr="00CD4428">
        <w:rPr>
          <w:rFonts w:ascii="Book Antiqua" w:eastAsia="SabonLTStd-Roman" w:hAnsi="Book Antiqua" w:cstheme="minorHAnsi"/>
          <w:sz w:val="24"/>
          <w:szCs w:val="24"/>
          <w:lang w:val="en-GB"/>
        </w:rPr>
        <w:t xml:space="preserve"> </w:t>
      </w:r>
      <w:r w:rsidR="0002356B" w:rsidRPr="00CD4428">
        <w:rPr>
          <w:rFonts w:ascii="Book Antiqua" w:eastAsia="SabonLTStd-Roman" w:hAnsi="Book Antiqua" w:cstheme="minorHAnsi"/>
          <w:sz w:val="24"/>
          <w:szCs w:val="24"/>
          <w:lang w:val="en-GB"/>
        </w:rPr>
        <w:t xml:space="preserve">both </w:t>
      </w:r>
      <w:r w:rsidR="00147112" w:rsidRPr="00CD4428">
        <w:rPr>
          <w:rFonts w:ascii="Book Antiqua" w:eastAsia="SabonLTStd-Roman" w:hAnsi="Book Antiqua" w:cstheme="minorHAnsi"/>
          <w:sz w:val="24"/>
          <w:szCs w:val="24"/>
          <w:lang w:val="en-GB"/>
        </w:rPr>
        <w:t>week</w:t>
      </w:r>
      <w:r w:rsidR="0002356B" w:rsidRPr="00CD4428">
        <w:rPr>
          <w:rFonts w:ascii="Book Antiqua" w:eastAsia="SabonLTStd-Roman" w:hAnsi="Book Antiqua" w:cstheme="minorHAnsi"/>
          <w:sz w:val="24"/>
          <w:szCs w:val="24"/>
          <w:lang w:val="en-GB"/>
        </w:rPr>
        <w:t>s</w:t>
      </w:r>
      <w:r w:rsidR="00147112" w:rsidRPr="00CD4428">
        <w:rPr>
          <w:rFonts w:ascii="Book Antiqua" w:eastAsia="SabonLTStd-Roman" w:hAnsi="Book Antiqua" w:cstheme="minorHAnsi"/>
          <w:sz w:val="24"/>
          <w:szCs w:val="24"/>
          <w:lang w:val="en-GB"/>
        </w:rPr>
        <w:t xml:space="preserve"> 10 and 22.</w:t>
      </w:r>
      <w:r w:rsidR="00590110" w:rsidRPr="00CD4428">
        <w:rPr>
          <w:rFonts w:ascii="Book Antiqua" w:eastAsia="SabonLTStd-Roman" w:hAnsi="Book Antiqua" w:cstheme="minorHAnsi"/>
          <w:sz w:val="24"/>
          <w:szCs w:val="24"/>
          <w:lang w:val="en-GB"/>
        </w:rPr>
        <w:t xml:space="preserve"> </w:t>
      </w:r>
      <w:r w:rsidR="008D53A9" w:rsidRPr="00CD4428">
        <w:rPr>
          <w:rFonts w:ascii="Book Antiqua" w:eastAsia="SabonLTStd-Roman" w:hAnsi="Book Antiqua" w:cstheme="minorHAnsi"/>
          <w:sz w:val="24"/>
          <w:szCs w:val="24"/>
          <w:lang w:val="en-GB"/>
        </w:rPr>
        <w:t xml:space="preserve">These data suggest that the improvement of articular symptoms </w:t>
      </w:r>
      <w:proofErr w:type="gramStart"/>
      <w:r w:rsidR="008D53A9" w:rsidRPr="00CD4428">
        <w:rPr>
          <w:rFonts w:ascii="Book Antiqua" w:eastAsia="SabonLTStd-Roman" w:hAnsi="Book Antiqua" w:cstheme="minorHAnsi"/>
          <w:sz w:val="24"/>
          <w:szCs w:val="24"/>
          <w:lang w:val="en-GB"/>
        </w:rPr>
        <w:t>could be mainly related</w:t>
      </w:r>
      <w:proofErr w:type="gramEnd"/>
      <w:r w:rsidR="008D53A9" w:rsidRPr="00CD4428">
        <w:rPr>
          <w:rFonts w:ascii="Book Antiqua" w:eastAsia="SabonLTStd-Roman" w:hAnsi="Book Antiqua" w:cstheme="minorHAnsi"/>
          <w:sz w:val="24"/>
          <w:szCs w:val="24"/>
          <w:lang w:val="en-GB"/>
        </w:rPr>
        <w:t xml:space="preserve"> to the intestinal response.</w:t>
      </w:r>
      <w:r w:rsidR="00936E0F">
        <w:rPr>
          <w:rFonts w:ascii="Book Antiqua" w:eastAsia="SabonLTStd-Roman" w:hAnsi="Book Antiqua" w:cstheme="minorHAnsi"/>
          <w:sz w:val="24"/>
          <w:szCs w:val="24"/>
          <w:lang w:val="en-GB"/>
        </w:rPr>
        <w:t xml:space="preserve"> </w:t>
      </w:r>
    </w:p>
    <w:p w14:paraId="637B3798" w14:textId="77777777" w:rsidR="00EB6020" w:rsidRPr="00CD4428" w:rsidRDefault="00EB6020" w:rsidP="00E17439">
      <w:pPr>
        <w:autoSpaceDE w:val="0"/>
        <w:autoSpaceDN w:val="0"/>
        <w:adjustRightInd w:val="0"/>
        <w:snapToGrid w:val="0"/>
        <w:spacing w:after="0" w:line="360" w:lineRule="auto"/>
        <w:jc w:val="both"/>
        <w:rPr>
          <w:rFonts w:ascii="Book Antiqua" w:eastAsia="SabonLTStd-Roman" w:hAnsi="Book Antiqua" w:cstheme="minorHAnsi"/>
          <w:sz w:val="24"/>
          <w:szCs w:val="24"/>
          <w:lang w:val="en-GB"/>
        </w:rPr>
      </w:pPr>
    </w:p>
    <w:p w14:paraId="5D903980" w14:textId="19F2EFD4" w:rsidR="00C57D79" w:rsidRPr="00DE7AA7" w:rsidRDefault="007E7424" w:rsidP="00E17439">
      <w:pPr>
        <w:autoSpaceDE w:val="0"/>
        <w:autoSpaceDN w:val="0"/>
        <w:adjustRightInd w:val="0"/>
        <w:snapToGrid w:val="0"/>
        <w:spacing w:after="0" w:line="360" w:lineRule="auto"/>
        <w:jc w:val="both"/>
        <w:rPr>
          <w:rFonts w:ascii="Book Antiqua" w:hAnsi="Book Antiqua" w:cstheme="minorHAnsi"/>
          <w:b/>
          <w:i/>
          <w:sz w:val="24"/>
          <w:szCs w:val="24"/>
          <w:lang w:val="en-GB" w:eastAsia="zh-CN"/>
        </w:rPr>
      </w:pPr>
      <w:r w:rsidRPr="00CD4428">
        <w:rPr>
          <w:rFonts w:ascii="Book Antiqua" w:eastAsia="SabonLTStd-Roman" w:hAnsi="Book Antiqua" w:cstheme="minorHAnsi"/>
          <w:b/>
          <w:i/>
          <w:sz w:val="24"/>
          <w:szCs w:val="24"/>
          <w:lang w:val="en-GB"/>
        </w:rPr>
        <w:t>U</w:t>
      </w:r>
      <w:r w:rsidR="007107F8" w:rsidRPr="00CD4428">
        <w:rPr>
          <w:rFonts w:ascii="Book Antiqua" w:eastAsia="SabonLTStd-Roman" w:hAnsi="Book Antiqua" w:cstheme="minorHAnsi"/>
          <w:b/>
          <w:i/>
          <w:sz w:val="24"/>
          <w:szCs w:val="24"/>
          <w:lang w:val="en-GB"/>
        </w:rPr>
        <w:t>nited States</w:t>
      </w:r>
      <w:r w:rsidRPr="00CD4428">
        <w:rPr>
          <w:rFonts w:ascii="Book Antiqua" w:eastAsia="SabonLTStd-Roman" w:hAnsi="Book Antiqua" w:cstheme="minorHAnsi"/>
          <w:sz w:val="24"/>
          <w:szCs w:val="24"/>
          <w:lang w:val="en-GB"/>
        </w:rPr>
        <w:t xml:space="preserve"> </w:t>
      </w:r>
      <w:r w:rsidRPr="00CD4428">
        <w:rPr>
          <w:rFonts w:ascii="Book Antiqua" w:eastAsia="SabonLTStd-Roman" w:hAnsi="Book Antiqua" w:cstheme="minorHAnsi"/>
          <w:b/>
          <w:i/>
          <w:sz w:val="24"/>
          <w:szCs w:val="24"/>
          <w:lang w:val="en-GB"/>
        </w:rPr>
        <w:t>real-</w:t>
      </w:r>
      <w:r w:rsidR="00307CB6" w:rsidRPr="00CD4428">
        <w:rPr>
          <w:rFonts w:ascii="Book Antiqua" w:eastAsia="SabonLTStd-Roman" w:hAnsi="Book Antiqua" w:cstheme="minorHAnsi"/>
          <w:b/>
          <w:i/>
          <w:sz w:val="24"/>
          <w:szCs w:val="24"/>
          <w:lang w:val="en-GB"/>
        </w:rPr>
        <w:t xml:space="preserve">world </w:t>
      </w:r>
      <w:r w:rsidRPr="00CD4428">
        <w:rPr>
          <w:rFonts w:ascii="Book Antiqua" w:eastAsia="SabonLTStd-Roman" w:hAnsi="Book Antiqua" w:cstheme="minorHAnsi"/>
          <w:b/>
          <w:i/>
          <w:sz w:val="24"/>
          <w:szCs w:val="24"/>
          <w:lang w:val="en-GB"/>
        </w:rPr>
        <w:t>studies</w:t>
      </w:r>
    </w:p>
    <w:p w14:paraId="00FABC98" w14:textId="108DC056" w:rsidR="00F0170D" w:rsidRPr="00CD4428" w:rsidRDefault="00E12E7D" w:rsidP="00E17439">
      <w:pPr>
        <w:autoSpaceDE w:val="0"/>
        <w:autoSpaceDN w:val="0"/>
        <w:adjustRightInd w:val="0"/>
        <w:snapToGrid w:val="0"/>
        <w:spacing w:after="0" w:line="360" w:lineRule="auto"/>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A large</w:t>
      </w:r>
      <w:r w:rsidR="00E8497C" w:rsidRPr="00CD4428">
        <w:rPr>
          <w:rFonts w:ascii="Book Antiqua" w:eastAsia="SabonLTStd-Roman" w:hAnsi="Book Antiqua" w:cstheme="minorHAnsi"/>
          <w:sz w:val="24"/>
          <w:szCs w:val="24"/>
          <w:lang w:val="en-GB"/>
        </w:rPr>
        <w:t xml:space="preserve"> real-</w:t>
      </w:r>
      <w:r w:rsidR="00307CB6" w:rsidRPr="00CD4428">
        <w:rPr>
          <w:rFonts w:ascii="Book Antiqua" w:eastAsia="SabonLTStd-Roman" w:hAnsi="Book Antiqua" w:cstheme="minorHAnsi"/>
          <w:sz w:val="24"/>
          <w:szCs w:val="24"/>
          <w:lang w:val="en-GB"/>
        </w:rPr>
        <w:t>world</w:t>
      </w:r>
      <w:r w:rsidR="00E8497C" w:rsidRPr="00CD4428">
        <w:rPr>
          <w:rFonts w:ascii="Book Antiqua" w:eastAsia="SabonLTStd-Roman" w:hAnsi="Book Antiqua" w:cstheme="minorHAnsi"/>
          <w:sz w:val="24"/>
          <w:szCs w:val="24"/>
          <w:lang w:val="en-GB"/>
        </w:rPr>
        <w:t xml:space="preserve"> cohort </w:t>
      </w:r>
      <w:r w:rsidR="00C954DC" w:rsidRPr="00CD4428">
        <w:rPr>
          <w:rFonts w:ascii="Book Antiqua" w:eastAsia="SabonLTStd-Roman" w:hAnsi="Book Antiqua" w:cstheme="minorHAnsi"/>
          <w:sz w:val="24"/>
          <w:szCs w:val="24"/>
          <w:lang w:val="en-GB"/>
        </w:rPr>
        <w:t xml:space="preserve">in the </w:t>
      </w:r>
      <w:r w:rsidR="00DE7AA7" w:rsidRPr="00DE7AA7">
        <w:rPr>
          <w:rFonts w:ascii="Book Antiqua" w:eastAsia="SabonLTStd-Roman" w:hAnsi="Book Antiqua" w:cstheme="minorHAnsi"/>
          <w:sz w:val="24"/>
          <w:szCs w:val="24"/>
          <w:lang w:val="en-GB"/>
        </w:rPr>
        <w:t>United States</w:t>
      </w:r>
      <w:r w:rsidR="00DE7AA7">
        <w:rPr>
          <w:rFonts w:ascii="Book Antiqua" w:hAnsi="Book Antiqua" w:cstheme="minorHAnsi" w:hint="eastAsia"/>
          <w:sz w:val="24"/>
          <w:szCs w:val="24"/>
          <w:lang w:val="en-GB" w:eastAsia="zh-CN"/>
        </w:rPr>
        <w:t xml:space="preserve"> </w:t>
      </w:r>
      <w:r w:rsidR="00C954DC" w:rsidRPr="00CD4428">
        <w:rPr>
          <w:rFonts w:ascii="Book Antiqua" w:eastAsia="SabonLTStd-Roman" w:hAnsi="Book Antiqua" w:cstheme="minorHAnsi"/>
          <w:sz w:val="24"/>
          <w:szCs w:val="24"/>
          <w:lang w:val="en-GB"/>
        </w:rPr>
        <w:t>was</w:t>
      </w:r>
      <w:r w:rsidR="00E8497C" w:rsidRPr="00CD4428">
        <w:rPr>
          <w:rFonts w:ascii="Book Antiqua" w:eastAsia="SabonLTStd-Roman" w:hAnsi="Book Antiqua" w:cstheme="minorHAnsi"/>
          <w:sz w:val="24"/>
          <w:szCs w:val="24"/>
          <w:lang w:val="en-GB"/>
        </w:rPr>
        <w:t xml:space="preserve"> published by the US VICTORY </w:t>
      </w:r>
      <w:r w:rsidR="00D81BE1" w:rsidRPr="00CD4428">
        <w:rPr>
          <w:rFonts w:ascii="Book Antiqua" w:eastAsia="SabonLTStd-Roman" w:hAnsi="Book Antiqua" w:cstheme="minorHAnsi"/>
          <w:sz w:val="24"/>
          <w:szCs w:val="24"/>
          <w:lang w:val="en-GB"/>
        </w:rPr>
        <w:t>(</w:t>
      </w:r>
      <w:proofErr w:type="spellStart"/>
      <w:r w:rsidR="00D81BE1" w:rsidRPr="00CD4428">
        <w:rPr>
          <w:rFonts w:ascii="Book Antiqua" w:eastAsia="SabonLTStd-Roman" w:hAnsi="Book Antiqua" w:cstheme="minorHAnsi"/>
          <w:sz w:val="24"/>
          <w:szCs w:val="24"/>
          <w:lang w:val="en-GB"/>
        </w:rPr>
        <w:t>Vedolizumab</w:t>
      </w:r>
      <w:proofErr w:type="spellEnd"/>
      <w:r w:rsidR="00D81BE1" w:rsidRPr="00CD4428">
        <w:rPr>
          <w:rFonts w:ascii="Book Antiqua" w:eastAsia="SabonLTStd-Roman" w:hAnsi="Book Antiqua" w:cstheme="minorHAnsi"/>
          <w:sz w:val="24"/>
          <w:szCs w:val="24"/>
          <w:lang w:val="en-GB"/>
        </w:rPr>
        <w:t xml:space="preserve"> for Health Outcomes in Inflammatory Bowel Diseases) </w:t>
      </w:r>
      <w:r w:rsidR="00455A6F" w:rsidRPr="00CD4428">
        <w:rPr>
          <w:rFonts w:ascii="Book Antiqua" w:eastAsia="SabonLTStd-Roman" w:hAnsi="Book Antiqua" w:cstheme="minorHAnsi"/>
          <w:sz w:val="24"/>
          <w:szCs w:val="24"/>
          <w:lang w:val="en-GB"/>
        </w:rPr>
        <w:t>c</w:t>
      </w:r>
      <w:r w:rsidR="00E8497C" w:rsidRPr="00CD4428">
        <w:rPr>
          <w:rFonts w:ascii="Book Antiqua" w:eastAsia="SabonLTStd-Roman" w:hAnsi="Book Antiqua" w:cstheme="minorHAnsi"/>
          <w:sz w:val="24"/>
          <w:szCs w:val="24"/>
          <w:lang w:val="en-GB"/>
        </w:rPr>
        <w:t xml:space="preserve">onsortium </w:t>
      </w:r>
      <w:r w:rsidR="001C7A31" w:rsidRPr="00CD4428">
        <w:rPr>
          <w:rFonts w:ascii="Book Antiqua" w:eastAsia="SabonLTStd-Roman" w:hAnsi="Book Antiqua" w:cstheme="minorHAnsi"/>
          <w:sz w:val="24"/>
          <w:szCs w:val="24"/>
          <w:lang w:val="en-GB"/>
        </w:rPr>
        <w:t>and</w:t>
      </w:r>
      <w:r w:rsidR="00E8497C" w:rsidRPr="00CD4428">
        <w:rPr>
          <w:rFonts w:ascii="Book Antiqua" w:eastAsia="SabonLTStd-Roman" w:hAnsi="Book Antiqua" w:cstheme="minorHAnsi"/>
          <w:sz w:val="24"/>
          <w:szCs w:val="24"/>
          <w:lang w:val="en-GB"/>
        </w:rPr>
        <w:t xml:space="preserve"> included 212</w:t>
      </w:r>
      <w:r w:rsidR="00590110" w:rsidRPr="00CD4428">
        <w:rPr>
          <w:rFonts w:ascii="Book Antiqua" w:eastAsia="SabonLTStd-Roman" w:hAnsi="Book Antiqua" w:cstheme="minorHAnsi"/>
          <w:sz w:val="24"/>
          <w:szCs w:val="24"/>
          <w:lang w:val="en-GB"/>
        </w:rPr>
        <w:t xml:space="preserve"> </w:t>
      </w:r>
      <w:r w:rsidR="00C954DC" w:rsidRPr="00CD4428">
        <w:rPr>
          <w:rFonts w:ascii="Book Antiqua" w:eastAsia="SabonLTStd-Roman" w:hAnsi="Book Antiqua" w:cstheme="minorHAnsi"/>
          <w:sz w:val="24"/>
          <w:szCs w:val="24"/>
          <w:lang w:val="en-GB"/>
        </w:rPr>
        <w:t xml:space="preserve">patients with </w:t>
      </w:r>
      <w:r w:rsidR="00E8497C" w:rsidRPr="00CD4428">
        <w:rPr>
          <w:rFonts w:ascii="Book Antiqua" w:eastAsia="SabonLTStd-Roman" w:hAnsi="Book Antiqua" w:cstheme="minorHAnsi"/>
          <w:sz w:val="24"/>
          <w:szCs w:val="24"/>
          <w:lang w:val="en-GB"/>
        </w:rPr>
        <w:t xml:space="preserve">CD, 90% of </w:t>
      </w:r>
      <w:r w:rsidR="00C954DC" w:rsidRPr="00CD4428">
        <w:rPr>
          <w:rFonts w:ascii="Book Antiqua" w:eastAsia="SabonLTStd-Roman" w:hAnsi="Book Antiqua" w:cstheme="minorHAnsi"/>
          <w:sz w:val="24"/>
          <w:szCs w:val="24"/>
          <w:lang w:val="en-GB"/>
        </w:rPr>
        <w:t xml:space="preserve">whom were </w:t>
      </w:r>
      <w:r w:rsidR="00E8497C" w:rsidRPr="00CD4428">
        <w:rPr>
          <w:rFonts w:ascii="Book Antiqua" w:eastAsia="SabonLTStd-Roman" w:hAnsi="Book Antiqua" w:cstheme="minorHAnsi"/>
          <w:sz w:val="24"/>
          <w:szCs w:val="24"/>
          <w:lang w:val="en-GB"/>
        </w:rPr>
        <w:t>TNF</w:t>
      </w:r>
      <w:r w:rsidR="007444A0" w:rsidRPr="00CD4428">
        <w:rPr>
          <w:rFonts w:ascii="Book Antiqua" w:eastAsia="SabonLTStd-Roman" w:hAnsi="Book Antiqua" w:cstheme="minorHAnsi"/>
          <w:sz w:val="24"/>
          <w:szCs w:val="24"/>
          <w:lang w:val="en-GB"/>
        </w:rPr>
        <w:t>α</w:t>
      </w:r>
      <w:r w:rsidR="00E8497C" w:rsidRPr="00CD4428">
        <w:rPr>
          <w:rFonts w:ascii="Book Antiqua" w:eastAsia="SabonLTStd-Roman" w:hAnsi="Book Antiqua" w:cstheme="minorHAnsi"/>
          <w:sz w:val="24"/>
          <w:szCs w:val="24"/>
          <w:lang w:val="en-GB"/>
        </w:rPr>
        <w:t>-antagonist exposed</w:t>
      </w:r>
      <w:r w:rsidR="00517B53" w:rsidRPr="00CD4428">
        <w:rPr>
          <w:rFonts w:ascii="Book Antiqua" w:eastAsia="SabonLTStd-Roman" w:hAnsi="Book Antiqua" w:cstheme="minorHAnsi"/>
          <w:sz w:val="24"/>
          <w:szCs w:val="24"/>
          <w:vertAlign w:val="superscript"/>
          <w:lang w:val="en-GB"/>
        </w:rPr>
        <w:t>[</w:t>
      </w:r>
      <w:r w:rsidR="00351C90" w:rsidRPr="00CD4428">
        <w:rPr>
          <w:rFonts w:ascii="Book Antiqua" w:eastAsia="SabonLTStd-Roman" w:hAnsi="Book Antiqua" w:cstheme="minorHAnsi"/>
          <w:sz w:val="24"/>
          <w:szCs w:val="24"/>
          <w:vertAlign w:val="superscript"/>
          <w:lang w:val="en-GB"/>
        </w:rPr>
        <w:t>23</w:t>
      </w:r>
      <w:r w:rsidR="00517B53" w:rsidRPr="00CD4428">
        <w:rPr>
          <w:rFonts w:ascii="Book Antiqua" w:eastAsia="SabonLTStd-Roman" w:hAnsi="Book Antiqua" w:cstheme="minorHAnsi"/>
          <w:sz w:val="24"/>
          <w:szCs w:val="24"/>
          <w:vertAlign w:val="superscript"/>
          <w:lang w:val="en-GB"/>
        </w:rPr>
        <w:t>]</w:t>
      </w:r>
      <w:r w:rsidR="00517B53" w:rsidRPr="00CD4428">
        <w:rPr>
          <w:rFonts w:ascii="Book Antiqua" w:eastAsia="SabonLTStd-Roman" w:hAnsi="Book Antiqua" w:cstheme="minorHAnsi"/>
          <w:sz w:val="24"/>
          <w:szCs w:val="24"/>
          <w:lang w:val="en-GB"/>
        </w:rPr>
        <w:t xml:space="preserve"> (</w:t>
      </w:r>
      <w:r w:rsidR="00C954DC" w:rsidRPr="00CD4428">
        <w:rPr>
          <w:rFonts w:ascii="Book Antiqua" w:eastAsia="SabonLTStd-Roman" w:hAnsi="Book Antiqua" w:cstheme="minorHAnsi"/>
          <w:sz w:val="24"/>
          <w:szCs w:val="24"/>
          <w:lang w:val="en-GB"/>
        </w:rPr>
        <w:t>T</w:t>
      </w:r>
      <w:r w:rsidR="00517B53" w:rsidRPr="00CD4428">
        <w:rPr>
          <w:rFonts w:ascii="Book Antiqua" w:eastAsia="SabonLTStd-Roman" w:hAnsi="Book Antiqua" w:cstheme="minorHAnsi"/>
          <w:sz w:val="24"/>
          <w:szCs w:val="24"/>
          <w:lang w:val="en-GB"/>
        </w:rPr>
        <w:t>able 2)</w:t>
      </w:r>
      <w:r w:rsidR="00E8497C" w:rsidRPr="00CD4428">
        <w:rPr>
          <w:rFonts w:ascii="Book Antiqua" w:eastAsia="SabonLTStd-Roman" w:hAnsi="Book Antiqua" w:cstheme="minorHAnsi"/>
          <w:sz w:val="24"/>
          <w:szCs w:val="24"/>
          <w:lang w:val="en-GB"/>
        </w:rPr>
        <w:t xml:space="preserve">. This retrospective study of seven </w:t>
      </w:r>
      <w:r w:rsidR="00D81BE1" w:rsidRPr="00CD4428">
        <w:rPr>
          <w:rFonts w:ascii="Book Antiqua" w:eastAsia="SabonLTStd-Roman" w:hAnsi="Book Antiqua" w:cstheme="minorHAnsi"/>
          <w:sz w:val="24"/>
          <w:szCs w:val="24"/>
          <w:lang w:val="en-GB"/>
        </w:rPr>
        <w:t xml:space="preserve">medical </w:t>
      </w:r>
      <w:r w:rsidR="00E8497C" w:rsidRPr="00CD4428">
        <w:rPr>
          <w:rFonts w:ascii="Book Antiqua" w:eastAsia="SabonLTStd-Roman" w:hAnsi="Book Antiqua" w:cstheme="minorHAnsi"/>
          <w:sz w:val="24"/>
          <w:szCs w:val="24"/>
          <w:lang w:val="en-GB"/>
        </w:rPr>
        <w:t>centr</w:t>
      </w:r>
      <w:r w:rsidR="00307CB6" w:rsidRPr="00CD4428">
        <w:rPr>
          <w:rFonts w:ascii="Book Antiqua" w:eastAsia="SabonLTStd-Roman" w:hAnsi="Book Antiqua" w:cstheme="minorHAnsi"/>
          <w:sz w:val="24"/>
          <w:szCs w:val="24"/>
          <w:lang w:val="en-GB"/>
        </w:rPr>
        <w:t>e</w:t>
      </w:r>
      <w:r w:rsidR="00E8497C" w:rsidRPr="00CD4428">
        <w:rPr>
          <w:rFonts w:ascii="Book Antiqua" w:eastAsia="SabonLTStd-Roman" w:hAnsi="Book Antiqua" w:cstheme="minorHAnsi"/>
          <w:sz w:val="24"/>
          <w:szCs w:val="24"/>
          <w:lang w:val="en-GB"/>
        </w:rPr>
        <w:t xml:space="preserve">s </w:t>
      </w:r>
      <w:r w:rsidRPr="00CD4428">
        <w:rPr>
          <w:rFonts w:ascii="Book Antiqua" w:eastAsia="SabonLTStd-Roman" w:hAnsi="Book Antiqua" w:cstheme="minorHAnsi"/>
          <w:sz w:val="24"/>
          <w:szCs w:val="24"/>
          <w:lang w:val="en-GB"/>
        </w:rPr>
        <w:t xml:space="preserve">from across the </w:t>
      </w:r>
      <w:r w:rsidR="00DE7AA7" w:rsidRPr="00DE7AA7">
        <w:rPr>
          <w:rFonts w:ascii="Book Antiqua" w:eastAsia="SabonLTStd-Roman" w:hAnsi="Book Antiqua" w:cstheme="minorHAnsi"/>
          <w:sz w:val="24"/>
          <w:szCs w:val="24"/>
          <w:lang w:val="en-GB"/>
        </w:rPr>
        <w:t>United States</w:t>
      </w:r>
      <w:r w:rsidRPr="00CD4428">
        <w:rPr>
          <w:rFonts w:ascii="Book Antiqua" w:eastAsia="SabonLTStd-Roman" w:hAnsi="Book Antiqua" w:cstheme="minorHAnsi"/>
          <w:sz w:val="24"/>
          <w:szCs w:val="24"/>
          <w:lang w:val="en-GB"/>
        </w:rPr>
        <w:t xml:space="preserve"> </w:t>
      </w:r>
      <w:r w:rsidR="00CB3B48" w:rsidRPr="00CD4428">
        <w:rPr>
          <w:rFonts w:ascii="Book Antiqua" w:eastAsia="SabonLTStd-Roman" w:hAnsi="Book Antiqua" w:cstheme="minorHAnsi"/>
          <w:sz w:val="24"/>
          <w:szCs w:val="24"/>
          <w:lang w:val="en-GB"/>
        </w:rPr>
        <w:t xml:space="preserve">reported </w:t>
      </w:r>
      <w:r w:rsidRPr="00CD4428">
        <w:rPr>
          <w:rFonts w:ascii="Book Antiqua" w:eastAsia="SabonLTStd-Roman" w:hAnsi="Book Antiqua" w:cstheme="minorHAnsi"/>
          <w:sz w:val="24"/>
          <w:szCs w:val="24"/>
          <w:lang w:val="en-GB"/>
        </w:rPr>
        <w:t>rates of clinical remission of 18%, 35%, and 54% at 6, 12 and 18 months, respectively</w:t>
      </w:r>
      <w:r w:rsidR="00702E39" w:rsidRPr="00CD4428">
        <w:rPr>
          <w:rFonts w:ascii="Book Antiqua" w:eastAsia="SabonLTStd-Roman" w:hAnsi="Book Antiqua" w:cstheme="minorHAnsi"/>
          <w:sz w:val="24"/>
          <w:szCs w:val="24"/>
          <w:lang w:val="en-GB"/>
        </w:rPr>
        <w:t>.</w:t>
      </w:r>
      <w:r w:rsidR="00590110" w:rsidRPr="00CD4428">
        <w:rPr>
          <w:rFonts w:ascii="Book Antiqua" w:eastAsia="SabonLTStd-Roman" w:hAnsi="Book Antiqua" w:cstheme="minorHAnsi"/>
          <w:sz w:val="24"/>
          <w:szCs w:val="24"/>
          <w:lang w:val="en-GB"/>
        </w:rPr>
        <w:t xml:space="preserve"> </w:t>
      </w:r>
      <w:r w:rsidR="006E0E51" w:rsidRPr="00CD4428">
        <w:rPr>
          <w:rFonts w:ascii="Book Antiqua" w:eastAsia="SabonLTStd-Roman" w:hAnsi="Book Antiqua" w:cstheme="minorHAnsi"/>
          <w:sz w:val="24"/>
          <w:szCs w:val="24"/>
          <w:lang w:val="en-GB"/>
        </w:rPr>
        <w:t>Prior TNF</w:t>
      </w:r>
      <w:r w:rsidR="007444A0" w:rsidRPr="00CD4428">
        <w:rPr>
          <w:rFonts w:ascii="Book Antiqua" w:eastAsia="SabonLTStd-Roman" w:hAnsi="Book Antiqua" w:cstheme="minorHAnsi"/>
          <w:sz w:val="24"/>
          <w:szCs w:val="24"/>
          <w:lang w:val="en-GB"/>
        </w:rPr>
        <w:t>α</w:t>
      </w:r>
      <w:r w:rsidR="006E0E51" w:rsidRPr="00CD4428">
        <w:rPr>
          <w:rFonts w:ascii="Book Antiqua" w:eastAsia="SabonLTStd-Roman" w:hAnsi="Book Antiqua" w:cstheme="minorHAnsi"/>
          <w:sz w:val="24"/>
          <w:szCs w:val="24"/>
          <w:lang w:val="en-GB"/>
        </w:rPr>
        <w:t xml:space="preserve">-inhibitor use, severe disease activity, active perianal disease, </w:t>
      </w:r>
      <w:r w:rsidR="00C954DC" w:rsidRPr="00CD4428">
        <w:rPr>
          <w:rFonts w:ascii="Book Antiqua" w:eastAsia="SabonLTStd-Roman" w:hAnsi="Book Antiqua" w:cstheme="minorHAnsi"/>
          <w:sz w:val="24"/>
          <w:szCs w:val="24"/>
          <w:lang w:val="en-GB"/>
        </w:rPr>
        <w:t xml:space="preserve">and </w:t>
      </w:r>
      <w:r w:rsidR="006E0E51" w:rsidRPr="00CD4428">
        <w:rPr>
          <w:rFonts w:ascii="Book Antiqua" w:eastAsia="SabonLTStd-Roman" w:hAnsi="Book Antiqua" w:cstheme="minorHAnsi"/>
          <w:sz w:val="24"/>
          <w:szCs w:val="24"/>
          <w:lang w:val="en-GB"/>
        </w:rPr>
        <w:t>smoking history were associated with a lower like</w:t>
      </w:r>
      <w:r w:rsidR="002B1D19" w:rsidRPr="00CD4428">
        <w:rPr>
          <w:rFonts w:ascii="Book Antiqua" w:eastAsia="SabonLTStd-Roman" w:hAnsi="Book Antiqua" w:cstheme="minorHAnsi"/>
          <w:sz w:val="24"/>
          <w:szCs w:val="24"/>
          <w:lang w:val="en-GB"/>
        </w:rPr>
        <w:t>li</w:t>
      </w:r>
      <w:r w:rsidR="006E0E51" w:rsidRPr="00CD4428">
        <w:rPr>
          <w:rFonts w:ascii="Book Antiqua" w:eastAsia="SabonLTStd-Roman" w:hAnsi="Book Antiqua" w:cstheme="minorHAnsi"/>
          <w:sz w:val="24"/>
          <w:szCs w:val="24"/>
          <w:lang w:val="en-GB"/>
        </w:rPr>
        <w:t>hood of achieving clinical rem</w:t>
      </w:r>
      <w:r w:rsidR="002B1D19" w:rsidRPr="00CD4428">
        <w:rPr>
          <w:rFonts w:ascii="Book Antiqua" w:eastAsia="SabonLTStd-Roman" w:hAnsi="Book Antiqua" w:cstheme="minorHAnsi"/>
          <w:sz w:val="24"/>
          <w:szCs w:val="24"/>
          <w:lang w:val="en-GB"/>
        </w:rPr>
        <w:t>i</w:t>
      </w:r>
      <w:r w:rsidR="006E0E51" w:rsidRPr="00CD4428">
        <w:rPr>
          <w:rFonts w:ascii="Book Antiqua" w:eastAsia="SabonLTStd-Roman" w:hAnsi="Book Antiqua" w:cstheme="minorHAnsi"/>
          <w:sz w:val="24"/>
          <w:szCs w:val="24"/>
          <w:lang w:val="en-GB"/>
        </w:rPr>
        <w:t xml:space="preserve">ssion. </w:t>
      </w:r>
      <w:r w:rsidR="002B1D19" w:rsidRPr="00CD4428">
        <w:rPr>
          <w:rFonts w:ascii="Book Antiqua" w:eastAsia="SabonLTStd-Roman" w:hAnsi="Book Antiqua" w:cstheme="minorHAnsi"/>
          <w:sz w:val="24"/>
          <w:szCs w:val="24"/>
          <w:lang w:val="en-GB"/>
        </w:rPr>
        <w:t>Cumulative rates of mucosal healing</w:t>
      </w:r>
      <w:r w:rsidR="00DF7B36" w:rsidRPr="00CD4428">
        <w:rPr>
          <w:rFonts w:ascii="Book Antiqua" w:eastAsia="SabonLTStd-Roman" w:hAnsi="Book Antiqua" w:cstheme="minorHAnsi"/>
          <w:sz w:val="24"/>
          <w:szCs w:val="24"/>
          <w:lang w:val="en-GB"/>
        </w:rPr>
        <w:t xml:space="preserve"> and “deep remission” (defined as a combination of clinical remission </w:t>
      </w:r>
      <w:r w:rsidR="00DF7B36" w:rsidRPr="00CD4428">
        <w:rPr>
          <w:rFonts w:ascii="Book Antiqua" w:eastAsia="SabonLTStd-Roman" w:hAnsi="Book Antiqua" w:cstheme="minorHAnsi"/>
          <w:sz w:val="24"/>
          <w:szCs w:val="24"/>
          <w:lang w:val="en-GB"/>
        </w:rPr>
        <w:lastRenderedPageBreak/>
        <w:t xml:space="preserve">and mucosal healing) </w:t>
      </w:r>
      <w:r w:rsidR="003974FD" w:rsidRPr="00CD4428">
        <w:rPr>
          <w:rFonts w:ascii="Book Antiqua" w:eastAsia="SabonLTStd-Roman" w:hAnsi="Book Antiqua" w:cstheme="minorHAnsi"/>
          <w:sz w:val="24"/>
          <w:szCs w:val="24"/>
          <w:lang w:val="en-GB"/>
        </w:rPr>
        <w:t xml:space="preserve">after </w:t>
      </w:r>
      <w:r w:rsidR="002B1D19" w:rsidRPr="00CD4428">
        <w:rPr>
          <w:rFonts w:ascii="Book Antiqua" w:eastAsia="SabonLTStd-Roman" w:hAnsi="Book Antiqua" w:cstheme="minorHAnsi"/>
          <w:sz w:val="24"/>
          <w:szCs w:val="24"/>
          <w:lang w:val="en-GB"/>
        </w:rPr>
        <w:t xml:space="preserve">12 months </w:t>
      </w:r>
      <w:proofErr w:type="gramStart"/>
      <w:r w:rsidR="002B1D19" w:rsidRPr="00CD4428">
        <w:rPr>
          <w:rFonts w:ascii="Book Antiqua" w:eastAsia="SabonLTStd-Roman" w:hAnsi="Book Antiqua" w:cstheme="minorHAnsi"/>
          <w:sz w:val="24"/>
          <w:szCs w:val="24"/>
          <w:lang w:val="en-GB"/>
        </w:rPr>
        <w:t>were observed</w:t>
      </w:r>
      <w:proofErr w:type="gramEnd"/>
      <w:r w:rsidR="002B1D19" w:rsidRPr="00CD4428">
        <w:rPr>
          <w:rFonts w:ascii="Book Antiqua" w:eastAsia="SabonLTStd-Roman" w:hAnsi="Book Antiqua" w:cstheme="minorHAnsi"/>
          <w:sz w:val="24"/>
          <w:szCs w:val="24"/>
          <w:lang w:val="en-GB"/>
        </w:rPr>
        <w:t xml:space="preserve"> in </w:t>
      </w:r>
      <w:r w:rsidR="00DF7B36" w:rsidRPr="00CD4428">
        <w:rPr>
          <w:rFonts w:ascii="Book Antiqua" w:eastAsia="SabonLTStd-Roman" w:hAnsi="Book Antiqua" w:cstheme="minorHAnsi"/>
          <w:sz w:val="24"/>
          <w:szCs w:val="24"/>
          <w:lang w:val="en-GB"/>
        </w:rPr>
        <w:t>63</w:t>
      </w:r>
      <w:r w:rsidR="002B1D19" w:rsidRPr="00CD4428">
        <w:rPr>
          <w:rFonts w:ascii="Book Antiqua" w:eastAsia="SabonLTStd-Roman" w:hAnsi="Book Antiqua" w:cstheme="minorHAnsi"/>
          <w:sz w:val="24"/>
          <w:szCs w:val="24"/>
          <w:lang w:val="en-GB"/>
        </w:rPr>
        <w:t xml:space="preserve">% and </w:t>
      </w:r>
      <w:r w:rsidR="00DF7B36" w:rsidRPr="00CD4428">
        <w:rPr>
          <w:rFonts w:ascii="Book Antiqua" w:eastAsia="SabonLTStd-Roman" w:hAnsi="Book Antiqua" w:cstheme="minorHAnsi"/>
          <w:sz w:val="24"/>
          <w:szCs w:val="24"/>
          <w:lang w:val="en-GB"/>
        </w:rPr>
        <w:t>2</w:t>
      </w:r>
      <w:r w:rsidR="002B1D19" w:rsidRPr="00CD4428">
        <w:rPr>
          <w:rFonts w:ascii="Book Antiqua" w:eastAsia="SabonLTStd-Roman" w:hAnsi="Book Antiqua" w:cstheme="minorHAnsi"/>
          <w:sz w:val="24"/>
          <w:szCs w:val="24"/>
          <w:lang w:val="en-GB"/>
        </w:rPr>
        <w:t>6% of patients</w:t>
      </w:r>
      <w:r w:rsidR="00C954DC" w:rsidRPr="00CD4428">
        <w:rPr>
          <w:rFonts w:ascii="Book Antiqua" w:eastAsia="SabonLTStd-Roman" w:hAnsi="Book Antiqua" w:cstheme="minorHAnsi"/>
          <w:sz w:val="24"/>
          <w:szCs w:val="24"/>
          <w:lang w:val="en-GB"/>
        </w:rPr>
        <w:t xml:space="preserve"> with CD</w:t>
      </w:r>
      <w:r w:rsidR="002B1D19" w:rsidRPr="00CD4428">
        <w:rPr>
          <w:rFonts w:ascii="Book Antiqua" w:eastAsia="SabonLTStd-Roman" w:hAnsi="Book Antiqua" w:cstheme="minorHAnsi"/>
          <w:sz w:val="24"/>
          <w:szCs w:val="24"/>
          <w:lang w:val="en-GB"/>
        </w:rPr>
        <w:t xml:space="preserve">, respectively. </w:t>
      </w:r>
      <w:r w:rsidR="00537FF8" w:rsidRPr="00CD4428">
        <w:rPr>
          <w:rFonts w:ascii="Book Antiqua" w:eastAsia="SabonLTStd-Roman" w:hAnsi="Book Antiqua" w:cstheme="minorHAnsi"/>
          <w:sz w:val="24"/>
          <w:szCs w:val="24"/>
          <w:lang w:val="en-GB"/>
        </w:rPr>
        <w:t>Patients with p</w:t>
      </w:r>
      <w:r w:rsidR="002B1D19" w:rsidRPr="00CD4428">
        <w:rPr>
          <w:rFonts w:ascii="Book Antiqua" w:eastAsia="SabonLTStd-Roman" w:hAnsi="Book Antiqua" w:cstheme="minorHAnsi"/>
          <w:sz w:val="24"/>
          <w:szCs w:val="24"/>
          <w:lang w:val="en-GB"/>
        </w:rPr>
        <w:t xml:space="preserve">revious </w:t>
      </w:r>
      <w:r w:rsidR="00537FF8" w:rsidRPr="00CD4428">
        <w:rPr>
          <w:rFonts w:ascii="Book Antiqua" w:eastAsia="SabonLTStd-Roman" w:hAnsi="Book Antiqua" w:cstheme="minorHAnsi"/>
          <w:sz w:val="24"/>
          <w:szCs w:val="24"/>
          <w:lang w:val="en-GB"/>
        </w:rPr>
        <w:t>anti-TNF</w:t>
      </w:r>
      <w:r w:rsidR="009108C7" w:rsidRPr="00CD4428">
        <w:rPr>
          <w:rFonts w:ascii="Book Antiqua" w:eastAsia="SabonLTStd-Roman" w:hAnsi="Book Antiqua" w:cstheme="minorHAnsi"/>
          <w:sz w:val="24"/>
          <w:szCs w:val="24"/>
          <w:lang w:val="en-GB"/>
        </w:rPr>
        <w:t>α</w:t>
      </w:r>
      <w:r w:rsidR="00590110" w:rsidRPr="00CD4428">
        <w:rPr>
          <w:rFonts w:ascii="Book Antiqua" w:eastAsia="SabonLTStd-Roman" w:hAnsi="Book Antiqua" w:cstheme="minorHAnsi"/>
          <w:sz w:val="24"/>
          <w:szCs w:val="24"/>
          <w:lang w:val="en-GB"/>
        </w:rPr>
        <w:t xml:space="preserve"> </w:t>
      </w:r>
      <w:r w:rsidR="002B1D19" w:rsidRPr="00CD4428">
        <w:rPr>
          <w:rFonts w:ascii="Book Antiqua" w:eastAsia="SabonLTStd-Roman" w:hAnsi="Book Antiqua" w:cstheme="minorHAnsi"/>
          <w:sz w:val="24"/>
          <w:szCs w:val="24"/>
          <w:lang w:val="en-GB"/>
        </w:rPr>
        <w:t xml:space="preserve">treatment </w:t>
      </w:r>
      <w:r w:rsidR="00537FF8" w:rsidRPr="00CD4428">
        <w:rPr>
          <w:rFonts w:ascii="Book Antiqua" w:eastAsia="SabonLTStd-Roman" w:hAnsi="Book Antiqua" w:cstheme="minorHAnsi"/>
          <w:sz w:val="24"/>
          <w:szCs w:val="24"/>
          <w:lang w:val="en-GB"/>
        </w:rPr>
        <w:t>and</w:t>
      </w:r>
      <w:r w:rsidR="002B1D19" w:rsidRPr="00CD4428">
        <w:rPr>
          <w:rFonts w:ascii="Book Antiqua" w:eastAsia="SabonLTStd-Roman" w:hAnsi="Book Antiqua" w:cstheme="minorHAnsi"/>
          <w:sz w:val="24"/>
          <w:szCs w:val="24"/>
          <w:lang w:val="en-GB"/>
        </w:rPr>
        <w:t xml:space="preserve"> severe disease activity were </w:t>
      </w:r>
      <w:r w:rsidR="00537FF8" w:rsidRPr="00CD4428">
        <w:rPr>
          <w:rFonts w:ascii="Book Antiqua" w:eastAsia="SabonLTStd-Roman" w:hAnsi="Book Antiqua" w:cstheme="minorHAnsi"/>
          <w:sz w:val="24"/>
          <w:szCs w:val="24"/>
          <w:lang w:val="en-GB"/>
        </w:rPr>
        <w:t>less likely to obtain</w:t>
      </w:r>
      <w:r w:rsidR="002B1D19" w:rsidRPr="00CD4428">
        <w:rPr>
          <w:rFonts w:ascii="Book Antiqua" w:eastAsia="SabonLTStd-Roman" w:hAnsi="Book Antiqua" w:cstheme="minorHAnsi"/>
          <w:sz w:val="24"/>
          <w:szCs w:val="24"/>
          <w:lang w:val="en-GB"/>
        </w:rPr>
        <w:t xml:space="preserve"> mucosal healing. </w:t>
      </w:r>
    </w:p>
    <w:p w14:paraId="2E21C592" w14:textId="3CC926ED" w:rsidR="00A30C7E" w:rsidRPr="00CD4428" w:rsidRDefault="00BB2824" w:rsidP="00AA1B38">
      <w:pPr>
        <w:autoSpaceDE w:val="0"/>
        <w:autoSpaceDN w:val="0"/>
        <w:adjustRightInd w:val="0"/>
        <w:snapToGrid w:val="0"/>
        <w:spacing w:after="0" w:line="360" w:lineRule="auto"/>
        <w:ind w:firstLineChars="200" w:firstLine="48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 xml:space="preserve">In another study </w:t>
      </w:r>
      <w:r w:rsidR="00C954DC" w:rsidRPr="00CD4428">
        <w:rPr>
          <w:rFonts w:ascii="Book Antiqua" w:eastAsia="SabonLTStd-Roman" w:hAnsi="Book Antiqua" w:cstheme="minorHAnsi"/>
          <w:sz w:val="24"/>
          <w:szCs w:val="24"/>
          <w:lang w:val="en-GB"/>
        </w:rPr>
        <w:t xml:space="preserve">from the </w:t>
      </w:r>
      <w:r w:rsidR="00AA1B38" w:rsidRPr="00DE7AA7">
        <w:rPr>
          <w:rFonts w:ascii="Book Antiqua" w:eastAsia="SabonLTStd-Roman" w:hAnsi="Book Antiqua" w:cstheme="minorHAnsi"/>
          <w:sz w:val="24"/>
          <w:szCs w:val="24"/>
          <w:lang w:val="en-GB"/>
        </w:rPr>
        <w:t>United States</w:t>
      </w:r>
      <w:r w:rsidR="00C954DC" w:rsidRPr="00CD4428">
        <w:rPr>
          <w:rFonts w:ascii="Book Antiqua" w:eastAsia="SabonLTStd-Roman" w:hAnsi="Book Antiqua" w:cstheme="minorHAnsi"/>
          <w:sz w:val="24"/>
          <w:szCs w:val="24"/>
          <w:lang w:val="en-GB"/>
        </w:rPr>
        <w:t xml:space="preserve">, </w:t>
      </w:r>
      <w:r w:rsidRPr="00CD4428">
        <w:rPr>
          <w:rFonts w:ascii="Book Antiqua" w:eastAsia="SabonLTStd-Roman" w:hAnsi="Book Antiqua" w:cstheme="minorHAnsi"/>
          <w:sz w:val="24"/>
          <w:szCs w:val="24"/>
          <w:lang w:val="en-GB"/>
        </w:rPr>
        <w:t xml:space="preserve">two </w:t>
      </w:r>
      <w:r w:rsidR="00307CB6" w:rsidRPr="00CD4428">
        <w:rPr>
          <w:rFonts w:ascii="Book Antiqua" w:eastAsia="SabonLTStd-Roman" w:hAnsi="Book Antiqua" w:cstheme="minorHAnsi"/>
          <w:sz w:val="24"/>
          <w:szCs w:val="24"/>
          <w:lang w:val="en-GB"/>
        </w:rPr>
        <w:t>c</w:t>
      </w:r>
      <w:r w:rsidRPr="00CD4428">
        <w:rPr>
          <w:rFonts w:ascii="Book Antiqua" w:eastAsia="SabonLTStd-Roman" w:hAnsi="Book Antiqua" w:cstheme="minorHAnsi"/>
          <w:sz w:val="24"/>
          <w:szCs w:val="24"/>
          <w:lang w:val="en-GB"/>
        </w:rPr>
        <w:t>entr</w:t>
      </w:r>
      <w:r w:rsidR="00307CB6" w:rsidRPr="00CD4428">
        <w:rPr>
          <w:rFonts w:ascii="Book Antiqua" w:eastAsia="SabonLTStd-Roman" w:hAnsi="Book Antiqua" w:cstheme="minorHAnsi"/>
          <w:sz w:val="24"/>
          <w:szCs w:val="24"/>
          <w:lang w:val="en-GB"/>
        </w:rPr>
        <w:t>e</w:t>
      </w:r>
      <w:r w:rsidRPr="00CD4428">
        <w:rPr>
          <w:rFonts w:ascii="Book Antiqua" w:eastAsia="SabonLTStd-Roman" w:hAnsi="Book Antiqua" w:cstheme="minorHAnsi"/>
          <w:sz w:val="24"/>
          <w:szCs w:val="24"/>
          <w:lang w:val="en-GB"/>
        </w:rPr>
        <w:t xml:space="preserve">s </w:t>
      </w:r>
      <w:r w:rsidR="00C954DC" w:rsidRPr="00CD4428">
        <w:rPr>
          <w:rFonts w:ascii="Book Antiqua" w:eastAsia="SabonLTStd-Roman" w:hAnsi="Book Antiqua" w:cstheme="minorHAnsi"/>
          <w:sz w:val="24"/>
          <w:szCs w:val="24"/>
          <w:lang w:val="en-GB"/>
        </w:rPr>
        <w:t>in</w:t>
      </w:r>
      <w:r w:rsidRPr="00CD4428">
        <w:rPr>
          <w:rFonts w:ascii="Book Antiqua" w:eastAsia="SabonLTStd-Roman" w:hAnsi="Book Antiqua" w:cstheme="minorHAnsi"/>
          <w:sz w:val="24"/>
          <w:szCs w:val="24"/>
          <w:lang w:val="en-GB"/>
        </w:rPr>
        <w:t xml:space="preserve"> Boston enrolled 172 patients</w:t>
      </w:r>
      <w:r w:rsidR="00C954DC" w:rsidRPr="00CD4428">
        <w:rPr>
          <w:rFonts w:ascii="Book Antiqua" w:eastAsia="SabonLTStd-Roman" w:hAnsi="Book Antiqua" w:cstheme="minorHAnsi"/>
          <w:sz w:val="24"/>
          <w:szCs w:val="24"/>
          <w:lang w:val="en-GB"/>
        </w:rPr>
        <w:t xml:space="preserve"> with IBD</w:t>
      </w:r>
      <w:r w:rsidRPr="00CD4428">
        <w:rPr>
          <w:rFonts w:ascii="Book Antiqua" w:eastAsia="SabonLTStd-Roman" w:hAnsi="Book Antiqua" w:cstheme="minorHAnsi"/>
          <w:sz w:val="24"/>
          <w:szCs w:val="24"/>
          <w:lang w:val="en-GB"/>
        </w:rPr>
        <w:t>, almost all with previous use of TNF</w:t>
      </w:r>
      <w:r w:rsidR="005636EE" w:rsidRPr="00CD4428">
        <w:rPr>
          <w:rFonts w:ascii="Book Antiqua" w:eastAsia="SabonLTStd-Roman" w:hAnsi="Book Antiqua" w:cstheme="minorHAnsi"/>
          <w:sz w:val="24"/>
          <w:szCs w:val="24"/>
          <w:lang w:val="en-GB"/>
        </w:rPr>
        <w:t>α</w:t>
      </w:r>
      <w:r w:rsidRPr="00CD4428">
        <w:rPr>
          <w:rFonts w:ascii="Book Antiqua" w:eastAsia="SabonLTStd-Roman" w:hAnsi="Book Antiqua" w:cstheme="minorHAnsi"/>
          <w:sz w:val="24"/>
          <w:szCs w:val="24"/>
          <w:lang w:val="en-GB"/>
        </w:rPr>
        <w:t xml:space="preserve"> </w:t>
      </w:r>
      <w:proofErr w:type="gramStart"/>
      <w:r w:rsidRPr="00CD4428">
        <w:rPr>
          <w:rFonts w:ascii="Book Antiqua" w:eastAsia="SabonLTStd-Roman" w:hAnsi="Book Antiqua" w:cstheme="minorHAnsi"/>
          <w:sz w:val="24"/>
          <w:szCs w:val="24"/>
          <w:lang w:val="en-GB"/>
        </w:rPr>
        <w:t>antagonist</w:t>
      </w:r>
      <w:r w:rsidR="005636EE" w:rsidRPr="00CD4428">
        <w:rPr>
          <w:rFonts w:ascii="Book Antiqua" w:eastAsia="SabonLTStd-Roman" w:hAnsi="Book Antiqua" w:cstheme="minorHAnsi"/>
          <w:sz w:val="24"/>
          <w:szCs w:val="24"/>
          <w:vertAlign w:val="superscript"/>
          <w:lang w:val="en-GB"/>
        </w:rPr>
        <w:t>[</w:t>
      </w:r>
      <w:proofErr w:type="gramEnd"/>
      <w:r w:rsidR="00351C90" w:rsidRPr="00CD4428">
        <w:rPr>
          <w:rFonts w:ascii="Book Antiqua" w:eastAsia="SabonLTStd-Roman" w:hAnsi="Book Antiqua" w:cstheme="minorHAnsi"/>
          <w:sz w:val="24"/>
          <w:szCs w:val="24"/>
          <w:vertAlign w:val="superscript"/>
          <w:lang w:val="en-GB"/>
        </w:rPr>
        <w:t>24</w:t>
      </w:r>
      <w:r w:rsidR="005636EE" w:rsidRPr="00CD4428">
        <w:rPr>
          <w:rFonts w:ascii="Book Antiqua" w:eastAsia="SabonLTStd-Roman" w:hAnsi="Book Antiqua" w:cstheme="minorHAnsi"/>
          <w:sz w:val="24"/>
          <w:szCs w:val="24"/>
          <w:vertAlign w:val="superscript"/>
          <w:lang w:val="en-GB"/>
        </w:rPr>
        <w:t>]</w:t>
      </w:r>
      <w:r w:rsidR="005636EE" w:rsidRPr="00CD4428">
        <w:rPr>
          <w:rFonts w:ascii="Book Antiqua" w:eastAsia="SabonLTStd-Roman" w:hAnsi="Book Antiqua" w:cstheme="minorHAnsi"/>
          <w:sz w:val="24"/>
          <w:szCs w:val="24"/>
          <w:lang w:val="en-GB"/>
        </w:rPr>
        <w:t xml:space="preserve"> </w:t>
      </w:r>
      <w:r w:rsidRPr="00CD4428">
        <w:rPr>
          <w:rFonts w:ascii="Book Antiqua" w:eastAsia="SabonLTStd-Roman" w:hAnsi="Book Antiqua" w:cstheme="minorHAnsi"/>
          <w:sz w:val="24"/>
          <w:szCs w:val="24"/>
          <w:lang w:val="en-GB"/>
        </w:rPr>
        <w:t>(Tab</w:t>
      </w:r>
      <w:r w:rsidR="005636EE" w:rsidRPr="00CD4428">
        <w:rPr>
          <w:rFonts w:ascii="Book Antiqua" w:eastAsia="SabonLTStd-Roman" w:hAnsi="Book Antiqua" w:cstheme="minorHAnsi"/>
          <w:sz w:val="24"/>
          <w:szCs w:val="24"/>
          <w:lang w:val="en-GB"/>
        </w:rPr>
        <w:t xml:space="preserve">le </w:t>
      </w:r>
      <w:r w:rsidRPr="00CD4428">
        <w:rPr>
          <w:rFonts w:ascii="Book Antiqua" w:eastAsia="SabonLTStd-Roman" w:hAnsi="Book Antiqua" w:cstheme="minorHAnsi"/>
          <w:sz w:val="24"/>
          <w:szCs w:val="24"/>
          <w:lang w:val="en-GB"/>
        </w:rPr>
        <w:t xml:space="preserve">2). </w:t>
      </w:r>
      <w:proofErr w:type="gramStart"/>
      <w:r w:rsidRPr="00CD4428">
        <w:rPr>
          <w:rFonts w:ascii="Book Antiqua" w:eastAsia="SabonLTStd-Roman" w:hAnsi="Book Antiqua" w:cstheme="minorHAnsi"/>
          <w:sz w:val="24"/>
          <w:szCs w:val="24"/>
          <w:lang w:val="en-GB"/>
        </w:rPr>
        <w:t>Similar rates of clinical response, clinical remission</w:t>
      </w:r>
      <w:r w:rsidR="00C954DC" w:rsidRPr="00CD4428">
        <w:rPr>
          <w:rFonts w:ascii="Book Antiqua" w:eastAsia="SabonLTStd-Roman" w:hAnsi="Book Antiqua" w:cstheme="minorHAnsi"/>
          <w:sz w:val="24"/>
          <w:szCs w:val="24"/>
          <w:lang w:val="en-GB"/>
        </w:rPr>
        <w:t>,</w:t>
      </w:r>
      <w:r w:rsidRPr="00CD4428">
        <w:rPr>
          <w:rFonts w:ascii="Book Antiqua" w:eastAsia="SabonLTStd-Roman" w:hAnsi="Book Antiqua" w:cstheme="minorHAnsi"/>
          <w:sz w:val="24"/>
          <w:szCs w:val="24"/>
          <w:lang w:val="en-GB"/>
        </w:rPr>
        <w:t xml:space="preserve"> and steroid-free remission at week 14 were reported </w:t>
      </w:r>
      <w:r w:rsidR="00687670" w:rsidRPr="00CD4428">
        <w:rPr>
          <w:rFonts w:ascii="Book Antiqua" w:eastAsia="SabonLTStd-Roman" w:hAnsi="Book Antiqua" w:cstheme="minorHAnsi"/>
          <w:sz w:val="24"/>
          <w:szCs w:val="24"/>
          <w:lang w:val="en-GB"/>
        </w:rPr>
        <w:t>by</w:t>
      </w:r>
      <w:r w:rsidRPr="00CD4428">
        <w:rPr>
          <w:rFonts w:ascii="Book Antiqua" w:eastAsia="SabonLTStd-Roman" w:hAnsi="Book Antiqua" w:cstheme="minorHAnsi"/>
          <w:sz w:val="24"/>
          <w:szCs w:val="24"/>
          <w:lang w:val="en-GB"/>
        </w:rPr>
        <w:t xml:space="preserve"> </w:t>
      </w:r>
      <w:r w:rsidR="00C954DC" w:rsidRPr="00CD4428">
        <w:rPr>
          <w:rFonts w:ascii="Book Antiqua" w:eastAsia="SabonLTStd-Roman" w:hAnsi="Book Antiqua" w:cstheme="minorHAnsi"/>
          <w:sz w:val="24"/>
          <w:szCs w:val="24"/>
          <w:lang w:val="en-GB"/>
        </w:rPr>
        <w:t xml:space="preserve">patients with </w:t>
      </w:r>
      <w:r w:rsidRPr="00CD4428">
        <w:rPr>
          <w:rFonts w:ascii="Book Antiqua" w:eastAsia="SabonLTStd-Roman" w:hAnsi="Book Antiqua" w:cstheme="minorHAnsi"/>
          <w:sz w:val="24"/>
          <w:szCs w:val="24"/>
          <w:lang w:val="en-GB"/>
        </w:rPr>
        <w:t>UC and CD (</w:t>
      </w:r>
      <w:r w:rsidR="00C954DC" w:rsidRPr="00CD4428">
        <w:rPr>
          <w:rFonts w:ascii="Book Antiqua" w:eastAsia="SabonLTStd-Roman" w:hAnsi="Book Antiqua" w:cstheme="minorHAnsi"/>
          <w:sz w:val="24"/>
          <w:szCs w:val="24"/>
          <w:lang w:val="en-GB"/>
        </w:rPr>
        <w:t>F</w:t>
      </w:r>
      <w:r w:rsidRPr="00CD4428">
        <w:rPr>
          <w:rFonts w:ascii="Book Antiqua" w:eastAsia="SabonLTStd-Roman" w:hAnsi="Book Antiqua" w:cstheme="minorHAnsi"/>
          <w:sz w:val="24"/>
          <w:szCs w:val="24"/>
          <w:lang w:val="en-GB"/>
        </w:rPr>
        <w:t>ig</w:t>
      </w:r>
      <w:r w:rsidR="00C954DC" w:rsidRPr="00CD4428">
        <w:rPr>
          <w:rFonts w:ascii="Book Antiqua" w:eastAsia="SabonLTStd-Roman" w:hAnsi="Book Antiqua" w:cstheme="minorHAnsi"/>
          <w:sz w:val="24"/>
          <w:szCs w:val="24"/>
          <w:lang w:val="en-GB"/>
        </w:rPr>
        <w:t>s</w:t>
      </w:r>
      <w:r w:rsidRPr="00CD4428">
        <w:rPr>
          <w:rFonts w:ascii="Book Antiqua" w:eastAsia="SabonLTStd-Roman" w:hAnsi="Book Antiqua" w:cstheme="minorHAnsi"/>
          <w:sz w:val="24"/>
          <w:szCs w:val="24"/>
          <w:lang w:val="en-GB"/>
        </w:rPr>
        <w:t xml:space="preserve">. </w:t>
      </w:r>
      <w:r w:rsidR="00EC163F" w:rsidRPr="00CD4428">
        <w:rPr>
          <w:rFonts w:ascii="Book Antiqua" w:eastAsia="SabonLTStd-Roman" w:hAnsi="Book Antiqua" w:cstheme="minorHAnsi"/>
          <w:sz w:val="24"/>
          <w:szCs w:val="24"/>
          <w:lang w:val="en-GB"/>
        </w:rPr>
        <w:t>2</w:t>
      </w:r>
      <w:r w:rsidR="00C954DC" w:rsidRPr="00CD4428">
        <w:rPr>
          <w:rFonts w:ascii="Book Antiqua" w:eastAsia="SabonLTStd-Roman" w:hAnsi="Book Antiqua" w:cstheme="minorHAnsi"/>
          <w:sz w:val="24"/>
          <w:szCs w:val="24"/>
          <w:lang w:val="en-GB"/>
        </w:rPr>
        <w:t xml:space="preserve"> and </w:t>
      </w:r>
      <w:r w:rsidR="00EC163F" w:rsidRPr="00CD4428">
        <w:rPr>
          <w:rFonts w:ascii="Book Antiqua" w:eastAsia="SabonLTStd-Roman" w:hAnsi="Book Antiqua" w:cstheme="minorHAnsi"/>
          <w:sz w:val="24"/>
          <w:szCs w:val="24"/>
          <w:lang w:val="en-GB"/>
        </w:rPr>
        <w:t>3</w:t>
      </w:r>
      <w:r w:rsidRPr="00CD4428">
        <w:rPr>
          <w:rFonts w:ascii="Book Antiqua" w:eastAsia="SabonLTStd-Roman" w:hAnsi="Book Antiqua" w:cstheme="minorHAnsi"/>
          <w:sz w:val="24"/>
          <w:szCs w:val="24"/>
          <w:lang w:val="en-GB"/>
        </w:rPr>
        <w:t>)</w:t>
      </w:r>
      <w:proofErr w:type="gramEnd"/>
      <w:r w:rsidRPr="00CD4428">
        <w:rPr>
          <w:rFonts w:ascii="Book Antiqua" w:eastAsia="SabonLTStd-Roman" w:hAnsi="Book Antiqua" w:cstheme="minorHAnsi"/>
          <w:sz w:val="24"/>
          <w:szCs w:val="24"/>
          <w:lang w:val="en-GB"/>
        </w:rPr>
        <w:t xml:space="preserve">. </w:t>
      </w:r>
      <w:r w:rsidR="009828C4" w:rsidRPr="00CD4428">
        <w:rPr>
          <w:rFonts w:ascii="Book Antiqua" w:eastAsia="SabonLTStd-Roman" w:hAnsi="Book Antiqua" w:cstheme="minorHAnsi"/>
          <w:sz w:val="24"/>
          <w:szCs w:val="24"/>
          <w:lang w:val="en-GB"/>
        </w:rPr>
        <w:t xml:space="preserve">Early response at week 6 was a significant predictive factor of week 14 response/remission </w:t>
      </w:r>
      <w:proofErr w:type="gramStart"/>
      <w:r w:rsidR="009828C4" w:rsidRPr="00CD4428">
        <w:rPr>
          <w:rFonts w:ascii="Book Antiqua" w:eastAsia="SabonLTStd-Roman" w:hAnsi="Book Antiqua" w:cstheme="minorHAnsi"/>
          <w:sz w:val="24"/>
          <w:szCs w:val="24"/>
          <w:lang w:val="en-GB"/>
        </w:rPr>
        <w:t xml:space="preserve">in </w:t>
      </w:r>
      <w:r w:rsidR="00C954DC" w:rsidRPr="00CD4428">
        <w:rPr>
          <w:rFonts w:ascii="Book Antiqua" w:eastAsia="SabonLTStd-Roman" w:hAnsi="Book Antiqua" w:cstheme="minorHAnsi"/>
          <w:sz w:val="24"/>
          <w:szCs w:val="24"/>
          <w:lang w:val="en-GB"/>
        </w:rPr>
        <w:t xml:space="preserve">patients with </w:t>
      </w:r>
      <w:r w:rsidR="009828C4" w:rsidRPr="00CD4428">
        <w:rPr>
          <w:rFonts w:ascii="Book Antiqua" w:eastAsia="SabonLTStd-Roman" w:hAnsi="Book Antiqua" w:cstheme="minorHAnsi"/>
          <w:sz w:val="24"/>
          <w:szCs w:val="24"/>
          <w:lang w:val="en-GB"/>
        </w:rPr>
        <w:t xml:space="preserve">UC, with a trend toward significance in </w:t>
      </w:r>
      <w:r w:rsidR="00C954DC" w:rsidRPr="00CD4428">
        <w:rPr>
          <w:rFonts w:ascii="Book Antiqua" w:eastAsia="SabonLTStd-Roman" w:hAnsi="Book Antiqua" w:cstheme="minorHAnsi"/>
          <w:sz w:val="24"/>
          <w:szCs w:val="24"/>
          <w:lang w:val="en-GB"/>
        </w:rPr>
        <w:t xml:space="preserve">those with </w:t>
      </w:r>
      <w:r w:rsidR="009828C4" w:rsidRPr="00CD4428">
        <w:rPr>
          <w:rFonts w:ascii="Book Antiqua" w:eastAsia="SabonLTStd-Roman" w:hAnsi="Book Antiqua" w:cstheme="minorHAnsi"/>
          <w:sz w:val="24"/>
          <w:szCs w:val="24"/>
          <w:lang w:val="en-GB"/>
        </w:rPr>
        <w:t>CD.</w:t>
      </w:r>
      <w:proofErr w:type="gramEnd"/>
      <w:r w:rsidR="009828C4" w:rsidRPr="00CD4428">
        <w:rPr>
          <w:rFonts w:ascii="Book Antiqua" w:eastAsia="SabonLTStd-Roman" w:hAnsi="Book Antiqua" w:cstheme="minorHAnsi"/>
          <w:sz w:val="24"/>
          <w:szCs w:val="24"/>
          <w:lang w:val="en-GB"/>
        </w:rPr>
        <w:t xml:space="preserve"> Elevate</w:t>
      </w:r>
      <w:r w:rsidR="00C954DC" w:rsidRPr="00CD4428">
        <w:rPr>
          <w:rFonts w:ascii="Book Antiqua" w:eastAsia="SabonLTStd-Roman" w:hAnsi="Book Antiqua" w:cstheme="minorHAnsi"/>
          <w:sz w:val="24"/>
          <w:szCs w:val="24"/>
          <w:lang w:val="en-GB"/>
        </w:rPr>
        <w:t>d</w:t>
      </w:r>
      <w:r w:rsidR="009828C4" w:rsidRPr="00CD4428">
        <w:rPr>
          <w:rFonts w:ascii="Book Antiqua" w:eastAsia="SabonLTStd-Roman" w:hAnsi="Book Antiqua" w:cstheme="minorHAnsi"/>
          <w:sz w:val="24"/>
          <w:szCs w:val="24"/>
          <w:lang w:val="en-GB"/>
        </w:rPr>
        <w:t xml:space="preserve"> CRP (&gt; 8 mg/L) at baseline</w:t>
      </w:r>
      <w:r w:rsidRPr="00CD4428">
        <w:rPr>
          <w:rFonts w:ascii="Book Antiqua" w:eastAsia="SabonLTStd-Roman" w:hAnsi="Book Antiqua" w:cstheme="minorHAnsi"/>
          <w:sz w:val="24"/>
          <w:szCs w:val="24"/>
          <w:lang w:val="en-GB"/>
        </w:rPr>
        <w:t xml:space="preserve"> </w:t>
      </w:r>
      <w:r w:rsidR="009828C4" w:rsidRPr="00CD4428">
        <w:rPr>
          <w:rFonts w:ascii="Book Antiqua" w:eastAsia="SabonLTStd-Roman" w:hAnsi="Book Antiqua" w:cstheme="minorHAnsi"/>
          <w:sz w:val="24"/>
          <w:szCs w:val="24"/>
          <w:lang w:val="en-GB"/>
        </w:rPr>
        <w:t>was associated with a low</w:t>
      </w:r>
      <w:r w:rsidR="00C954DC" w:rsidRPr="00CD4428">
        <w:rPr>
          <w:rFonts w:ascii="Book Antiqua" w:eastAsia="SabonLTStd-Roman" w:hAnsi="Book Antiqua" w:cstheme="minorHAnsi"/>
          <w:sz w:val="24"/>
          <w:szCs w:val="24"/>
          <w:lang w:val="en-GB"/>
        </w:rPr>
        <w:t>er</w:t>
      </w:r>
      <w:r w:rsidR="009828C4" w:rsidRPr="00CD4428">
        <w:rPr>
          <w:rFonts w:ascii="Book Antiqua" w:eastAsia="SabonLTStd-Roman" w:hAnsi="Book Antiqua" w:cstheme="minorHAnsi"/>
          <w:sz w:val="24"/>
          <w:szCs w:val="24"/>
          <w:lang w:val="en-GB"/>
        </w:rPr>
        <w:t xml:space="preserve"> likelihood of achieving clinical response/remission in </w:t>
      </w:r>
      <w:r w:rsidR="00C954DC" w:rsidRPr="00CD4428">
        <w:rPr>
          <w:rFonts w:ascii="Book Antiqua" w:eastAsia="SabonLTStd-Roman" w:hAnsi="Book Antiqua" w:cstheme="minorHAnsi"/>
          <w:sz w:val="24"/>
          <w:szCs w:val="24"/>
          <w:lang w:val="en-GB"/>
        </w:rPr>
        <w:t>patients with</w:t>
      </w:r>
      <w:r w:rsidR="00590110" w:rsidRPr="00CD4428">
        <w:rPr>
          <w:rFonts w:ascii="Book Antiqua" w:eastAsia="SabonLTStd-Roman" w:hAnsi="Book Antiqua" w:cstheme="minorHAnsi"/>
          <w:sz w:val="24"/>
          <w:szCs w:val="24"/>
          <w:lang w:val="en-GB"/>
        </w:rPr>
        <w:t xml:space="preserve"> </w:t>
      </w:r>
      <w:r w:rsidR="009828C4" w:rsidRPr="00CD4428">
        <w:rPr>
          <w:rFonts w:ascii="Book Antiqua" w:eastAsia="SabonLTStd-Roman" w:hAnsi="Book Antiqua" w:cstheme="minorHAnsi"/>
          <w:sz w:val="24"/>
          <w:szCs w:val="24"/>
          <w:lang w:val="en-GB"/>
        </w:rPr>
        <w:t>both</w:t>
      </w:r>
      <w:r w:rsidR="00C954DC" w:rsidRPr="00CD4428">
        <w:rPr>
          <w:rFonts w:ascii="Book Antiqua" w:eastAsia="SabonLTStd-Roman" w:hAnsi="Book Antiqua" w:cstheme="minorHAnsi"/>
          <w:sz w:val="24"/>
          <w:szCs w:val="24"/>
          <w:lang w:val="en-GB"/>
        </w:rPr>
        <w:t xml:space="preserve"> </w:t>
      </w:r>
      <w:r w:rsidR="009828C4" w:rsidRPr="00CD4428">
        <w:rPr>
          <w:rFonts w:ascii="Book Antiqua" w:eastAsia="SabonLTStd-Roman" w:hAnsi="Book Antiqua" w:cstheme="minorHAnsi"/>
          <w:sz w:val="24"/>
          <w:szCs w:val="24"/>
          <w:lang w:val="en-GB"/>
        </w:rPr>
        <w:t>diseases.</w:t>
      </w:r>
    </w:p>
    <w:p w14:paraId="60A54E46" w14:textId="03562119" w:rsidR="006E0E51" w:rsidRPr="00CD4428" w:rsidRDefault="00A30C7E" w:rsidP="00760B6C">
      <w:pPr>
        <w:autoSpaceDE w:val="0"/>
        <w:autoSpaceDN w:val="0"/>
        <w:adjustRightInd w:val="0"/>
        <w:snapToGrid w:val="0"/>
        <w:spacing w:after="0" w:line="360" w:lineRule="auto"/>
        <w:ind w:firstLineChars="200" w:firstLine="480"/>
        <w:jc w:val="both"/>
        <w:rPr>
          <w:rFonts w:ascii="Book Antiqua" w:eastAsia="SabonLTStd-Roman" w:hAnsi="Book Antiqua" w:cstheme="minorHAnsi"/>
          <w:sz w:val="24"/>
          <w:szCs w:val="24"/>
          <w:lang w:val="en-GB"/>
        </w:rPr>
      </w:pPr>
      <w:proofErr w:type="spellStart"/>
      <w:r w:rsidRPr="00CD4428">
        <w:rPr>
          <w:rFonts w:ascii="Book Antiqua" w:eastAsia="SabonLTStd-Roman" w:hAnsi="Book Antiqua" w:cstheme="minorHAnsi"/>
          <w:sz w:val="24"/>
          <w:szCs w:val="24"/>
          <w:lang w:val="en-GB"/>
        </w:rPr>
        <w:t>Vivio</w:t>
      </w:r>
      <w:proofErr w:type="spellEnd"/>
      <w:r w:rsidRPr="00CD4428">
        <w:rPr>
          <w:rFonts w:ascii="Book Antiqua" w:eastAsia="SabonLTStd-Roman" w:hAnsi="Book Antiqua" w:cstheme="minorHAnsi"/>
          <w:sz w:val="24"/>
          <w:szCs w:val="24"/>
          <w:lang w:val="en-GB"/>
        </w:rPr>
        <w:t xml:space="preserve"> </w:t>
      </w:r>
      <w:r w:rsidRPr="00760B6C">
        <w:rPr>
          <w:rFonts w:ascii="Book Antiqua" w:eastAsia="SabonLTStd-Roman" w:hAnsi="Book Antiqua" w:cstheme="minorHAnsi"/>
          <w:i/>
          <w:sz w:val="24"/>
          <w:szCs w:val="24"/>
          <w:lang w:val="en-GB"/>
        </w:rPr>
        <w:t xml:space="preserve">et </w:t>
      </w:r>
      <w:proofErr w:type="gramStart"/>
      <w:r w:rsidRPr="00760B6C">
        <w:rPr>
          <w:rFonts w:ascii="Book Antiqua" w:eastAsia="SabonLTStd-Roman" w:hAnsi="Book Antiqua" w:cstheme="minorHAnsi"/>
          <w:i/>
          <w:sz w:val="24"/>
          <w:szCs w:val="24"/>
          <w:lang w:val="en-GB"/>
        </w:rPr>
        <w:t>al</w:t>
      </w:r>
      <w:r w:rsidR="00760B6C" w:rsidRPr="00CD4428">
        <w:rPr>
          <w:rFonts w:ascii="Book Antiqua" w:eastAsia="SabonLTStd-Roman" w:hAnsi="Book Antiqua" w:cstheme="minorHAnsi"/>
          <w:sz w:val="24"/>
          <w:szCs w:val="24"/>
          <w:vertAlign w:val="superscript"/>
          <w:lang w:val="en-GB"/>
        </w:rPr>
        <w:t>[</w:t>
      </w:r>
      <w:proofErr w:type="gramEnd"/>
      <w:r w:rsidR="00760B6C" w:rsidRPr="00CD4428">
        <w:rPr>
          <w:rFonts w:ascii="Book Antiqua" w:eastAsia="SabonLTStd-Roman" w:hAnsi="Book Antiqua" w:cstheme="minorHAnsi"/>
          <w:sz w:val="24"/>
          <w:szCs w:val="24"/>
          <w:vertAlign w:val="superscript"/>
          <w:lang w:val="en-GB"/>
        </w:rPr>
        <w:t>25]</w:t>
      </w:r>
      <w:r w:rsidR="00760B6C" w:rsidRPr="00CD4428">
        <w:rPr>
          <w:rFonts w:ascii="Book Antiqua" w:eastAsia="SabonLTStd-Roman" w:hAnsi="Book Antiqua" w:cstheme="minorHAnsi"/>
          <w:sz w:val="24"/>
          <w:szCs w:val="24"/>
          <w:lang w:val="en-GB"/>
        </w:rPr>
        <w:t xml:space="preserve"> </w:t>
      </w:r>
      <w:r w:rsidRPr="00CD4428">
        <w:rPr>
          <w:rFonts w:ascii="Book Antiqua" w:eastAsia="SabonLTStd-Roman" w:hAnsi="Book Antiqua" w:cstheme="minorHAnsi"/>
          <w:sz w:val="24"/>
          <w:szCs w:val="24"/>
          <w:lang w:val="en-GB"/>
        </w:rPr>
        <w:t xml:space="preserve"> reported data on </w:t>
      </w:r>
      <w:r w:rsidR="002359D1" w:rsidRPr="00CD4428">
        <w:rPr>
          <w:rFonts w:ascii="Book Antiqua" w:eastAsia="SabonLTStd-Roman" w:hAnsi="Book Antiqua" w:cstheme="minorHAnsi"/>
          <w:sz w:val="24"/>
          <w:szCs w:val="24"/>
          <w:lang w:val="en-GB"/>
        </w:rPr>
        <w:t>102 patients</w:t>
      </w:r>
      <w:r w:rsidR="00C954DC" w:rsidRPr="00CD4428">
        <w:rPr>
          <w:rFonts w:ascii="Book Antiqua" w:eastAsia="SabonLTStd-Roman" w:hAnsi="Book Antiqua" w:cstheme="minorHAnsi"/>
          <w:sz w:val="24"/>
          <w:szCs w:val="24"/>
          <w:lang w:val="en-GB"/>
        </w:rPr>
        <w:t xml:space="preserve"> with IBD</w:t>
      </w:r>
      <w:r w:rsidR="002359D1" w:rsidRPr="00CD4428">
        <w:rPr>
          <w:rFonts w:ascii="Book Antiqua" w:eastAsia="SabonLTStd-Roman" w:hAnsi="Book Antiqua" w:cstheme="minorHAnsi"/>
          <w:sz w:val="24"/>
          <w:szCs w:val="24"/>
          <w:lang w:val="en-GB"/>
        </w:rPr>
        <w:t xml:space="preserve">, of </w:t>
      </w:r>
      <w:r w:rsidR="00C954DC" w:rsidRPr="00CD4428">
        <w:rPr>
          <w:rFonts w:ascii="Book Antiqua" w:eastAsia="SabonLTStd-Roman" w:hAnsi="Book Antiqua" w:cstheme="minorHAnsi"/>
          <w:sz w:val="24"/>
          <w:szCs w:val="24"/>
          <w:lang w:val="en-GB"/>
        </w:rPr>
        <w:t xml:space="preserve">whom </w:t>
      </w:r>
      <w:r w:rsidRPr="00CD4428">
        <w:rPr>
          <w:rFonts w:ascii="Book Antiqua" w:eastAsia="SabonLTStd-Roman" w:hAnsi="Book Antiqua" w:cstheme="minorHAnsi"/>
          <w:sz w:val="24"/>
          <w:szCs w:val="24"/>
          <w:lang w:val="en-GB"/>
        </w:rPr>
        <w:t xml:space="preserve">51 </w:t>
      </w:r>
      <w:r w:rsidR="00C954DC" w:rsidRPr="00CD4428">
        <w:rPr>
          <w:rFonts w:ascii="Book Antiqua" w:eastAsia="SabonLTStd-Roman" w:hAnsi="Book Antiqua" w:cstheme="minorHAnsi"/>
          <w:sz w:val="24"/>
          <w:szCs w:val="24"/>
          <w:lang w:val="en-GB"/>
        </w:rPr>
        <w:t xml:space="preserve">were </w:t>
      </w:r>
      <w:r w:rsidR="002359D1" w:rsidRPr="00CD4428">
        <w:rPr>
          <w:rFonts w:ascii="Book Antiqua" w:eastAsia="SabonLTStd-Roman" w:hAnsi="Book Antiqua" w:cstheme="minorHAnsi"/>
          <w:sz w:val="24"/>
          <w:szCs w:val="24"/>
          <w:lang w:val="en-GB"/>
        </w:rPr>
        <w:t>followed prospectively</w:t>
      </w:r>
      <w:r w:rsidR="00590110" w:rsidRPr="00CD4428">
        <w:rPr>
          <w:rFonts w:ascii="Book Antiqua" w:eastAsia="SabonLTStd-Roman" w:hAnsi="Book Antiqua" w:cstheme="minorHAnsi"/>
          <w:sz w:val="24"/>
          <w:szCs w:val="24"/>
          <w:lang w:val="en-GB"/>
        </w:rPr>
        <w:t xml:space="preserve"> </w:t>
      </w:r>
      <w:r w:rsidR="002359D1" w:rsidRPr="00CD4428">
        <w:rPr>
          <w:rFonts w:ascii="Book Antiqua" w:eastAsia="SabonLTStd-Roman" w:hAnsi="Book Antiqua" w:cstheme="minorHAnsi"/>
          <w:sz w:val="24"/>
          <w:szCs w:val="24"/>
          <w:lang w:val="en-GB"/>
        </w:rPr>
        <w:t>(Tab</w:t>
      </w:r>
      <w:r w:rsidR="005636EE" w:rsidRPr="00CD4428">
        <w:rPr>
          <w:rFonts w:ascii="Book Antiqua" w:eastAsia="SabonLTStd-Roman" w:hAnsi="Book Antiqua" w:cstheme="minorHAnsi"/>
          <w:sz w:val="24"/>
          <w:szCs w:val="24"/>
          <w:lang w:val="en-GB"/>
        </w:rPr>
        <w:t xml:space="preserve">le </w:t>
      </w:r>
      <w:r w:rsidR="002359D1" w:rsidRPr="00CD4428">
        <w:rPr>
          <w:rFonts w:ascii="Book Antiqua" w:eastAsia="SabonLTStd-Roman" w:hAnsi="Book Antiqua" w:cstheme="minorHAnsi"/>
          <w:sz w:val="24"/>
          <w:szCs w:val="24"/>
          <w:lang w:val="en-GB"/>
        </w:rPr>
        <w:t xml:space="preserve">2). At week 14, 55% of the patients </w:t>
      </w:r>
      <w:r w:rsidR="00C954DC" w:rsidRPr="00CD4428">
        <w:rPr>
          <w:rFonts w:ascii="Book Antiqua" w:eastAsia="SabonLTStd-Roman" w:hAnsi="Book Antiqua" w:cstheme="minorHAnsi"/>
          <w:sz w:val="24"/>
          <w:szCs w:val="24"/>
          <w:lang w:val="en-GB"/>
        </w:rPr>
        <w:t xml:space="preserve">with UC </w:t>
      </w:r>
      <w:r w:rsidR="002359D1" w:rsidRPr="00CD4428">
        <w:rPr>
          <w:rFonts w:ascii="Book Antiqua" w:eastAsia="SabonLTStd-Roman" w:hAnsi="Book Antiqua" w:cstheme="minorHAnsi"/>
          <w:sz w:val="24"/>
          <w:szCs w:val="24"/>
          <w:lang w:val="en-GB"/>
        </w:rPr>
        <w:t xml:space="preserve">in the prospective cohort achieved clinical remission. Rates of mucosal healing and endoscopic improvement </w:t>
      </w:r>
      <w:r w:rsidR="00307CB6" w:rsidRPr="00CD4428">
        <w:rPr>
          <w:rFonts w:ascii="Book Antiqua" w:eastAsia="SabonLTStd-Roman" w:hAnsi="Book Antiqua" w:cstheme="minorHAnsi"/>
          <w:sz w:val="24"/>
          <w:szCs w:val="24"/>
          <w:lang w:val="en-GB"/>
        </w:rPr>
        <w:t xml:space="preserve">after </w:t>
      </w:r>
      <w:r w:rsidR="00C954DC" w:rsidRPr="00CD4428">
        <w:rPr>
          <w:rFonts w:ascii="Book Antiqua" w:eastAsia="SabonLTStd-Roman" w:hAnsi="Book Antiqua" w:cstheme="minorHAnsi"/>
          <w:sz w:val="24"/>
          <w:szCs w:val="24"/>
          <w:lang w:val="en-GB"/>
        </w:rPr>
        <w:t xml:space="preserve">a </w:t>
      </w:r>
      <w:r w:rsidR="007D54CD" w:rsidRPr="00CD4428">
        <w:rPr>
          <w:rFonts w:ascii="Book Antiqua" w:eastAsia="SabonLTStd-Roman" w:hAnsi="Book Antiqua" w:cstheme="minorHAnsi"/>
          <w:sz w:val="24"/>
          <w:szCs w:val="24"/>
          <w:lang w:val="en-GB"/>
        </w:rPr>
        <w:t>med</w:t>
      </w:r>
      <w:r w:rsidR="00760B6C">
        <w:rPr>
          <w:rFonts w:ascii="Book Antiqua" w:eastAsia="SabonLTStd-Roman" w:hAnsi="Book Antiqua" w:cstheme="minorHAnsi"/>
          <w:sz w:val="24"/>
          <w:szCs w:val="24"/>
          <w:lang w:val="en-GB"/>
        </w:rPr>
        <w:t xml:space="preserve">ian treatment duration of 22 </w:t>
      </w:r>
      <w:proofErr w:type="spellStart"/>
      <w:r w:rsidR="00760B6C">
        <w:rPr>
          <w:rFonts w:ascii="Book Antiqua" w:eastAsia="SabonLTStd-Roman" w:hAnsi="Book Antiqua" w:cstheme="minorHAnsi"/>
          <w:sz w:val="24"/>
          <w:szCs w:val="24"/>
          <w:lang w:val="en-GB"/>
        </w:rPr>
        <w:t>w</w:t>
      </w:r>
      <w:r w:rsidR="007D54CD" w:rsidRPr="00CD4428">
        <w:rPr>
          <w:rFonts w:ascii="Book Antiqua" w:eastAsia="SabonLTStd-Roman" w:hAnsi="Book Antiqua" w:cstheme="minorHAnsi"/>
          <w:sz w:val="24"/>
          <w:szCs w:val="24"/>
          <w:lang w:val="en-GB"/>
        </w:rPr>
        <w:t>k</w:t>
      </w:r>
      <w:proofErr w:type="spellEnd"/>
      <w:r w:rsidR="00760B6C">
        <w:rPr>
          <w:rFonts w:ascii="Book Antiqua" w:hAnsi="Book Antiqua" w:cstheme="minorHAnsi" w:hint="eastAsia"/>
          <w:sz w:val="24"/>
          <w:szCs w:val="24"/>
          <w:lang w:val="en-GB" w:eastAsia="zh-CN"/>
        </w:rPr>
        <w:t xml:space="preserve"> </w:t>
      </w:r>
      <w:r w:rsidR="002359D1" w:rsidRPr="00CD4428">
        <w:rPr>
          <w:rFonts w:ascii="Book Antiqua" w:eastAsia="SabonLTStd-Roman" w:hAnsi="Book Antiqua" w:cstheme="minorHAnsi"/>
          <w:sz w:val="24"/>
          <w:szCs w:val="24"/>
          <w:lang w:val="en-GB"/>
        </w:rPr>
        <w:t xml:space="preserve">were higher in </w:t>
      </w:r>
      <w:r w:rsidR="00C954DC" w:rsidRPr="00CD4428">
        <w:rPr>
          <w:rFonts w:ascii="Book Antiqua" w:eastAsia="SabonLTStd-Roman" w:hAnsi="Book Antiqua" w:cstheme="minorHAnsi"/>
          <w:sz w:val="24"/>
          <w:szCs w:val="24"/>
          <w:lang w:val="en-GB"/>
        </w:rPr>
        <w:t xml:space="preserve">patients with </w:t>
      </w:r>
      <w:r w:rsidR="002359D1" w:rsidRPr="00CD4428">
        <w:rPr>
          <w:rFonts w:ascii="Book Antiqua" w:eastAsia="SabonLTStd-Roman" w:hAnsi="Book Antiqua" w:cstheme="minorHAnsi"/>
          <w:sz w:val="24"/>
          <w:szCs w:val="24"/>
          <w:lang w:val="en-GB"/>
        </w:rPr>
        <w:t xml:space="preserve">UC (69% and 76%) than in </w:t>
      </w:r>
      <w:r w:rsidR="00C954DC" w:rsidRPr="00CD4428">
        <w:rPr>
          <w:rFonts w:ascii="Book Antiqua" w:eastAsia="SabonLTStd-Roman" w:hAnsi="Book Antiqua" w:cstheme="minorHAnsi"/>
          <w:sz w:val="24"/>
          <w:szCs w:val="24"/>
          <w:lang w:val="en-GB"/>
        </w:rPr>
        <w:t xml:space="preserve">patients with </w:t>
      </w:r>
      <w:r w:rsidR="002359D1" w:rsidRPr="00CD4428">
        <w:rPr>
          <w:rFonts w:ascii="Book Antiqua" w:eastAsia="SabonLTStd-Roman" w:hAnsi="Book Antiqua" w:cstheme="minorHAnsi"/>
          <w:sz w:val="24"/>
          <w:szCs w:val="24"/>
          <w:lang w:val="en-GB"/>
        </w:rPr>
        <w:t>CD (30% and 52%).</w:t>
      </w:r>
      <w:r w:rsidR="00590110" w:rsidRPr="00CD4428">
        <w:rPr>
          <w:rFonts w:ascii="Book Antiqua" w:eastAsia="SabonLTStd-Roman" w:hAnsi="Book Antiqua" w:cstheme="minorHAnsi"/>
          <w:sz w:val="24"/>
          <w:szCs w:val="24"/>
          <w:lang w:val="en-GB"/>
        </w:rPr>
        <w:t xml:space="preserve"> </w:t>
      </w:r>
    </w:p>
    <w:p w14:paraId="0D07B626" w14:textId="77777777" w:rsidR="00E524D5" w:rsidRPr="00CD4428" w:rsidRDefault="00E524D5" w:rsidP="00E17439">
      <w:pPr>
        <w:autoSpaceDE w:val="0"/>
        <w:autoSpaceDN w:val="0"/>
        <w:adjustRightInd w:val="0"/>
        <w:snapToGrid w:val="0"/>
        <w:spacing w:after="0" w:line="360" w:lineRule="auto"/>
        <w:jc w:val="both"/>
        <w:rPr>
          <w:rFonts w:ascii="Book Antiqua" w:eastAsia="SabonLTStd-Roman" w:hAnsi="Book Antiqua" w:cstheme="minorHAnsi"/>
          <w:sz w:val="24"/>
          <w:szCs w:val="24"/>
          <w:lang w:val="en-GB"/>
        </w:rPr>
      </w:pPr>
    </w:p>
    <w:p w14:paraId="6567DADE" w14:textId="77777777" w:rsidR="005A1845" w:rsidRPr="00760B6C" w:rsidRDefault="005A1845" w:rsidP="00E17439">
      <w:pPr>
        <w:autoSpaceDE w:val="0"/>
        <w:autoSpaceDN w:val="0"/>
        <w:adjustRightInd w:val="0"/>
        <w:snapToGrid w:val="0"/>
        <w:spacing w:after="0" w:line="360" w:lineRule="auto"/>
        <w:jc w:val="both"/>
        <w:rPr>
          <w:rFonts w:ascii="Book Antiqua" w:eastAsia="SabonLTStd-Roman" w:hAnsi="Book Antiqua" w:cstheme="minorHAnsi"/>
          <w:b/>
          <w:caps/>
          <w:sz w:val="24"/>
          <w:szCs w:val="24"/>
          <w:lang w:val="en-GB"/>
        </w:rPr>
      </w:pPr>
      <w:r w:rsidRPr="00760B6C">
        <w:rPr>
          <w:rFonts w:ascii="Book Antiqua" w:eastAsia="SabonLTStd-Roman" w:hAnsi="Book Antiqua" w:cstheme="minorHAnsi"/>
          <w:b/>
          <w:caps/>
          <w:sz w:val="24"/>
          <w:szCs w:val="24"/>
          <w:lang w:val="en-GB"/>
        </w:rPr>
        <w:t>Combination of vedolizumab and anti-TNFα agents in the treatment of IBD</w:t>
      </w:r>
    </w:p>
    <w:p w14:paraId="48628872" w14:textId="08FC6C3E" w:rsidR="005A1845" w:rsidRPr="00760B6C" w:rsidRDefault="00F20CC6" w:rsidP="00E17439">
      <w:pPr>
        <w:autoSpaceDE w:val="0"/>
        <w:autoSpaceDN w:val="0"/>
        <w:adjustRightInd w:val="0"/>
        <w:snapToGrid w:val="0"/>
        <w:spacing w:after="0" w:line="360" w:lineRule="auto"/>
        <w:jc w:val="both"/>
        <w:rPr>
          <w:rFonts w:ascii="Book Antiqua" w:eastAsia="SabonLTStd-Roman" w:hAnsi="Book Antiqua" w:cstheme="minorHAnsi"/>
          <w:sz w:val="24"/>
          <w:szCs w:val="24"/>
          <w:lang w:val="en-GB"/>
        </w:rPr>
      </w:pPr>
      <w:r w:rsidRPr="00760B6C">
        <w:rPr>
          <w:rFonts w:ascii="Book Antiqua" w:eastAsia="SabonLTStd-Roman" w:hAnsi="Book Antiqua" w:cstheme="minorHAnsi"/>
          <w:sz w:val="24"/>
          <w:szCs w:val="24"/>
          <w:lang w:val="en-GB"/>
        </w:rPr>
        <w:t>T</w:t>
      </w:r>
      <w:r w:rsidR="005A1845" w:rsidRPr="00760B6C">
        <w:rPr>
          <w:rFonts w:ascii="Book Antiqua" w:eastAsia="SabonLTStd-Roman" w:hAnsi="Book Antiqua" w:cstheme="minorHAnsi"/>
          <w:sz w:val="24"/>
          <w:szCs w:val="24"/>
          <w:lang w:val="en-GB"/>
        </w:rPr>
        <w:t xml:space="preserve">he combination of </w:t>
      </w:r>
      <w:proofErr w:type="spellStart"/>
      <w:r w:rsidR="005A1845" w:rsidRPr="00760B6C">
        <w:rPr>
          <w:rFonts w:ascii="Book Antiqua" w:eastAsia="SabonLTStd-Roman" w:hAnsi="Book Antiqua" w:cstheme="minorHAnsi"/>
          <w:sz w:val="24"/>
          <w:szCs w:val="24"/>
          <w:lang w:val="en-GB"/>
        </w:rPr>
        <w:t>vedolizumab</w:t>
      </w:r>
      <w:proofErr w:type="spellEnd"/>
      <w:r w:rsidR="005A1845" w:rsidRPr="00760B6C">
        <w:rPr>
          <w:rFonts w:ascii="Book Antiqua" w:eastAsia="SabonLTStd-Roman" w:hAnsi="Book Antiqua" w:cstheme="minorHAnsi"/>
          <w:sz w:val="24"/>
          <w:szCs w:val="24"/>
          <w:lang w:val="en-GB"/>
        </w:rPr>
        <w:t xml:space="preserve"> and anti-TNFα drug</w:t>
      </w:r>
      <w:r w:rsidR="00C00B01" w:rsidRPr="00760B6C">
        <w:rPr>
          <w:rFonts w:ascii="Book Antiqua" w:eastAsia="SabonLTStd-Roman" w:hAnsi="Book Antiqua" w:cstheme="minorHAnsi"/>
          <w:sz w:val="24"/>
          <w:szCs w:val="24"/>
          <w:lang w:val="en-GB"/>
        </w:rPr>
        <w:t>s</w:t>
      </w:r>
      <w:r w:rsidR="005A1845" w:rsidRPr="00760B6C">
        <w:rPr>
          <w:rFonts w:ascii="Book Antiqua" w:eastAsia="SabonLTStd-Roman" w:hAnsi="Book Antiqua" w:cstheme="minorHAnsi"/>
          <w:sz w:val="24"/>
          <w:szCs w:val="24"/>
          <w:lang w:val="en-GB"/>
        </w:rPr>
        <w:t xml:space="preserve"> (infliximab or adalimumab) </w:t>
      </w:r>
      <w:r w:rsidR="008E3285" w:rsidRPr="00760B6C">
        <w:rPr>
          <w:rFonts w:ascii="Book Antiqua" w:eastAsia="SabonLTStd-Roman" w:hAnsi="Book Antiqua" w:cstheme="minorHAnsi"/>
          <w:sz w:val="24"/>
          <w:szCs w:val="24"/>
          <w:lang w:val="en-GB"/>
        </w:rPr>
        <w:t>in</w:t>
      </w:r>
      <w:r w:rsidR="005A1845" w:rsidRPr="00760B6C">
        <w:rPr>
          <w:rFonts w:ascii="Book Antiqua" w:eastAsia="SabonLTStd-Roman" w:hAnsi="Book Antiqua" w:cstheme="minorHAnsi"/>
          <w:sz w:val="24"/>
          <w:szCs w:val="24"/>
          <w:lang w:val="en-GB"/>
        </w:rPr>
        <w:t xml:space="preserve"> the treatment of IBD was </w:t>
      </w:r>
      <w:r w:rsidRPr="00760B6C">
        <w:rPr>
          <w:rFonts w:ascii="Book Antiqua" w:eastAsia="SabonLTStd-Roman" w:hAnsi="Book Antiqua" w:cstheme="minorHAnsi"/>
          <w:sz w:val="24"/>
          <w:szCs w:val="24"/>
          <w:lang w:val="en-GB"/>
        </w:rPr>
        <w:t>very recently</w:t>
      </w:r>
      <w:r w:rsidR="005A1845" w:rsidRPr="00760B6C">
        <w:rPr>
          <w:rFonts w:ascii="Book Antiqua" w:eastAsia="SabonLTStd-Roman" w:hAnsi="Book Antiqua" w:cstheme="minorHAnsi"/>
          <w:sz w:val="24"/>
          <w:szCs w:val="24"/>
          <w:lang w:val="en-GB"/>
        </w:rPr>
        <w:t xml:space="preserve"> reported by a case series of 6 patients with UC and 4 patients with </w:t>
      </w:r>
      <w:proofErr w:type="gramStart"/>
      <w:r w:rsidR="005A1845" w:rsidRPr="00760B6C">
        <w:rPr>
          <w:rFonts w:ascii="Book Antiqua" w:eastAsia="SabonLTStd-Roman" w:hAnsi="Book Antiqua" w:cstheme="minorHAnsi"/>
          <w:sz w:val="24"/>
          <w:szCs w:val="24"/>
          <w:lang w:val="en-GB"/>
        </w:rPr>
        <w:t>CD</w:t>
      </w:r>
      <w:r w:rsidR="005A1845" w:rsidRPr="00760B6C">
        <w:rPr>
          <w:rFonts w:ascii="Book Antiqua" w:eastAsia="SabonLTStd-Roman" w:hAnsi="Book Antiqua" w:cstheme="minorHAnsi"/>
          <w:sz w:val="24"/>
          <w:szCs w:val="24"/>
          <w:vertAlign w:val="superscript"/>
          <w:lang w:val="en-GB"/>
        </w:rPr>
        <w:t>[</w:t>
      </w:r>
      <w:proofErr w:type="gramEnd"/>
      <w:r w:rsidR="00A9423A" w:rsidRPr="00760B6C">
        <w:rPr>
          <w:rFonts w:ascii="Book Antiqua" w:eastAsia="SabonLTStd-Roman" w:hAnsi="Book Antiqua" w:cstheme="minorHAnsi"/>
          <w:sz w:val="24"/>
          <w:szCs w:val="24"/>
          <w:vertAlign w:val="superscript"/>
          <w:lang w:val="en-GB"/>
        </w:rPr>
        <w:t>34</w:t>
      </w:r>
      <w:r w:rsidR="005A1845" w:rsidRPr="00760B6C">
        <w:rPr>
          <w:rFonts w:ascii="Book Antiqua" w:eastAsia="SabonLTStd-Roman" w:hAnsi="Book Antiqua" w:cstheme="minorHAnsi"/>
          <w:sz w:val="24"/>
          <w:szCs w:val="24"/>
          <w:vertAlign w:val="superscript"/>
          <w:lang w:val="en-GB"/>
        </w:rPr>
        <w:t>]</w:t>
      </w:r>
      <w:r w:rsidR="005A1845" w:rsidRPr="00760B6C">
        <w:rPr>
          <w:rFonts w:ascii="Book Antiqua" w:eastAsia="SabonLTStd-Roman" w:hAnsi="Book Antiqua" w:cstheme="minorHAnsi"/>
          <w:sz w:val="24"/>
          <w:szCs w:val="24"/>
          <w:lang w:val="en-GB"/>
        </w:rPr>
        <w:t xml:space="preserve">. Before combination therapy, all patients </w:t>
      </w:r>
      <w:r w:rsidR="00C00B01" w:rsidRPr="00760B6C">
        <w:rPr>
          <w:rFonts w:ascii="Book Antiqua" w:eastAsia="SabonLTStd-Roman" w:hAnsi="Book Antiqua" w:cstheme="minorHAnsi"/>
          <w:sz w:val="24"/>
          <w:szCs w:val="24"/>
          <w:lang w:val="en-GB"/>
        </w:rPr>
        <w:t>were treated with</w:t>
      </w:r>
      <w:r w:rsidR="00936E0F" w:rsidRPr="00760B6C">
        <w:rPr>
          <w:rFonts w:ascii="Book Antiqua" w:eastAsia="SabonLTStd-Roman" w:hAnsi="Book Antiqua" w:cstheme="minorHAnsi"/>
          <w:sz w:val="24"/>
          <w:szCs w:val="24"/>
          <w:lang w:val="en-GB"/>
        </w:rPr>
        <w:t xml:space="preserve"> </w:t>
      </w:r>
      <w:r w:rsidR="005A1845" w:rsidRPr="00760B6C">
        <w:rPr>
          <w:rFonts w:ascii="Book Antiqua" w:eastAsia="SabonLTStd-Roman" w:hAnsi="Book Antiqua" w:cstheme="minorHAnsi"/>
          <w:sz w:val="24"/>
          <w:szCs w:val="24"/>
          <w:lang w:val="en-GB"/>
        </w:rPr>
        <w:t>anti-</w:t>
      </w:r>
      <w:proofErr w:type="gramStart"/>
      <w:r w:rsidR="005A1845" w:rsidRPr="00760B6C">
        <w:rPr>
          <w:rFonts w:ascii="Book Antiqua" w:eastAsia="SabonLTStd-Roman" w:hAnsi="Book Antiqua" w:cstheme="minorHAnsi"/>
          <w:sz w:val="24"/>
          <w:szCs w:val="24"/>
          <w:lang w:val="en-GB"/>
        </w:rPr>
        <w:t>TNFα,</w:t>
      </w:r>
      <w:proofErr w:type="gramEnd"/>
      <w:r w:rsidR="005A1845" w:rsidRPr="00760B6C">
        <w:rPr>
          <w:rFonts w:ascii="Book Antiqua" w:eastAsia="SabonLTStd-Roman" w:hAnsi="Book Antiqua" w:cstheme="minorHAnsi"/>
          <w:sz w:val="24"/>
          <w:szCs w:val="24"/>
          <w:lang w:val="en-GB"/>
        </w:rPr>
        <w:t xml:space="preserve"> however</w:t>
      </w:r>
      <w:r w:rsidR="004E2A68" w:rsidRPr="00760B6C">
        <w:rPr>
          <w:rFonts w:ascii="Book Antiqua" w:eastAsia="SabonLTStd-Roman" w:hAnsi="Book Antiqua" w:cstheme="minorHAnsi"/>
          <w:sz w:val="24"/>
          <w:szCs w:val="24"/>
          <w:lang w:val="en-GB"/>
        </w:rPr>
        <w:t xml:space="preserve"> they</w:t>
      </w:r>
      <w:r w:rsidR="005A1845" w:rsidRPr="00760B6C">
        <w:rPr>
          <w:rFonts w:ascii="Book Antiqua" w:eastAsia="SabonLTStd-Roman" w:hAnsi="Book Antiqua" w:cstheme="minorHAnsi"/>
          <w:sz w:val="24"/>
          <w:szCs w:val="24"/>
          <w:lang w:val="en-GB"/>
        </w:rPr>
        <w:t xml:space="preserve"> still had </w:t>
      </w:r>
      <w:r w:rsidR="00AE6957" w:rsidRPr="00760B6C">
        <w:rPr>
          <w:rFonts w:ascii="Book Antiqua" w:eastAsia="SabonLTStd-Roman" w:hAnsi="Book Antiqua" w:cstheme="minorHAnsi"/>
          <w:sz w:val="24"/>
          <w:szCs w:val="24"/>
          <w:lang w:val="en-GB"/>
        </w:rPr>
        <w:t xml:space="preserve">an active </w:t>
      </w:r>
      <w:r w:rsidR="005A1845" w:rsidRPr="00760B6C">
        <w:rPr>
          <w:rFonts w:ascii="Book Antiqua" w:eastAsia="SabonLTStd-Roman" w:hAnsi="Book Antiqua" w:cstheme="minorHAnsi"/>
          <w:sz w:val="24"/>
          <w:szCs w:val="24"/>
          <w:lang w:val="en-GB"/>
        </w:rPr>
        <w:t xml:space="preserve">disease even after the optimization of the dosage and/or the infusion interval. At the time of </w:t>
      </w:r>
      <w:proofErr w:type="gramStart"/>
      <w:r w:rsidR="005A1845" w:rsidRPr="00760B6C">
        <w:rPr>
          <w:rFonts w:ascii="Book Antiqua" w:eastAsia="SabonLTStd-Roman" w:hAnsi="Book Antiqua" w:cstheme="minorHAnsi"/>
          <w:sz w:val="24"/>
          <w:szCs w:val="24"/>
          <w:lang w:val="en-GB"/>
        </w:rPr>
        <w:t>inclusion</w:t>
      </w:r>
      <w:proofErr w:type="gramEnd"/>
      <w:r w:rsidR="005A1845" w:rsidRPr="00760B6C">
        <w:rPr>
          <w:rFonts w:ascii="Book Antiqua" w:eastAsia="SabonLTStd-Roman" w:hAnsi="Book Antiqua" w:cstheme="minorHAnsi"/>
          <w:sz w:val="24"/>
          <w:szCs w:val="24"/>
          <w:lang w:val="en-GB"/>
        </w:rPr>
        <w:t xml:space="preserve"> 4 patients received </w:t>
      </w:r>
      <w:r w:rsidR="00676993" w:rsidRPr="00760B6C">
        <w:rPr>
          <w:rFonts w:ascii="Book Antiqua" w:eastAsia="SabonLTStd-Roman" w:hAnsi="Book Antiqua" w:cstheme="minorHAnsi"/>
          <w:sz w:val="24"/>
          <w:szCs w:val="24"/>
          <w:lang w:val="en-GB"/>
        </w:rPr>
        <w:t>concomitant</w:t>
      </w:r>
      <w:r w:rsidR="00936E0F" w:rsidRPr="00760B6C">
        <w:rPr>
          <w:rFonts w:ascii="Book Antiqua" w:eastAsia="SabonLTStd-Roman" w:hAnsi="Book Antiqua" w:cstheme="minorHAnsi"/>
          <w:sz w:val="24"/>
          <w:szCs w:val="24"/>
          <w:lang w:val="en-GB"/>
        </w:rPr>
        <w:t xml:space="preserve"> </w:t>
      </w:r>
      <w:proofErr w:type="spellStart"/>
      <w:r w:rsidR="005A1845" w:rsidRPr="00760B6C">
        <w:rPr>
          <w:rFonts w:ascii="Book Antiqua" w:eastAsia="SabonLTStd-Roman" w:hAnsi="Book Antiqua" w:cstheme="minorHAnsi"/>
          <w:sz w:val="24"/>
          <w:szCs w:val="24"/>
          <w:lang w:val="en-GB"/>
        </w:rPr>
        <w:t>immunomodulators</w:t>
      </w:r>
      <w:proofErr w:type="spellEnd"/>
      <w:r w:rsidR="005A1845" w:rsidRPr="00760B6C">
        <w:rPr>
          <w:rFonts w:ascii="Book Antiqua" w:eastAsia="SabonLTStd-Roman" w:hAnsi="Book Antiqua" w:cstheme="minorHAnsi"/>
          <w:sz w:val="24"/>
          <w:szCs w:val="24"/>
          <w:lang w:val="en-GB"/>
        </w:rPr>
        <w:t xml:space="preserve"> and 1 patient received systemic corticosteroid. The patients </w:t>
      </w:r>
      <w:proofErr w:type="gramStart"/>
      <w:r w:rsidR="005A1845" w:rsidRPr="00760B6C">
        <w:rPr>
          <w:rFonts w:ascii="Book Antiqua" w:eastAsia="SabonLTStd-Roman" w:hAnsi="Book Antiqua" w:cstheme="minorHAnsi"/>
          <w:sz w:val="24"/>
          <w:szCs w:val="24"/>
          <w:lang w:val="en-GB"/>
        </w:rPr>
        <w:t>were prospectively followed</w:t>
      </w:r>
      <w:proofErr w:type="gramEnd"/>
      <w:r w:rsidR="005A1845" w:rsidRPr="00760B6C">
        <w:rPr>
          <w:rFonts w:ascii="Book Antiqua" w:eastAsia="SabonLTStd-Roman" w:hAnsi="Book Antiqua" w:cstheme="minorHAnsi"/>
          <w:sz w:val="24"/>
          <w:szCs w:val="24"/>
          <w:lang w:val="en-GB"/>
        </w:rPr>
        <w:t xml:space="preserve"> for at least 12 months (median 17 months) and at the end of </w:t>
      </w:r>
      <w:r w:rsidR="00B342C0" w:rsidRPr="00760B6C">
        <w:rPr>
          <w:rFonts w:ascii="Book Antiqua" w:eastAsia="SabonLTStd-Roman" w:hAnsi="Book Antiqua" w:cstheme="minorHAnsi"/>
          <w:sz w:val="24"/>
          <w:szCs w:val="24"/>
          <w:lang w:val="en-GB"/>
        </w:rPr>
        <w:t xml:space="preserve">the </w:t>
      </w:r>
      <w:r w:rsidR="005A1845" w:rsidRPr="00760B6C">
        <w:rPr>
          <w:rFonts w:ascii="Book Antiqua" w:eastAsia="SabonLTStd-Roman" w:hAnsi="Book Antiqua" w:cstheme="minorHAnsi"/>
          <w:sz w:val="24"/>
          <w:szCs w:val="24"/>
          <w:lang w:val="en-GB"/>
        </w:rPr>
        <w:t xml:space="preserve">follow-up </w:t>
      </w:r>
      <w:r w:rsidR="00B342C0" w:rsidRPr="00760B6C">
        <w:rPr>
          <w:rFonts w:ascii="Book Antiqua" w:eastAsia="SabonLTStd-Roman" w:hAnsi="Book Antiqua" w:cstheme="minorHAnsi"/>
          <w:sz w:val="24"/>
          <w:szCs w:val="24"/>
          <w:lang w:val="en-GB"/>
        </w:rPr>
        <w:t xml:space="preserve">period </w:t>
      </w:r>
      <w:r w:rsidR="005A1845" w:rsidRPr="00760B6C">
        <w:rPr>
          <w:rFonts w:ascii="Book Antiqua" w:eastAsia="SabonLTStd-Roman" w:hAnsi="Book Antiqua" w:cstheme="minorHAnsi"/>
          <w:sz w:val="24"/>
          <w:szCs w:val="24"/>
          <w:lang w:val="en-GB"/>
        </w:rPr>
        <w:t xml:space="preserve">all patients achieved clinical remission, and </w:t>
      </w:r>
      <w:r w:rsidR="00C00B01" w:rsidRPr="00760B6C">
        <w:rPr>
          <w:rFonts w:ascii="Book Antiqua" w:eastAsia="SabonLTStd-Roman" w:hAnsi="Book Antiqua" w:cstheme="minorHAnsi"/>
          <w:sz w:val="24"/>
          <w:szCs w:val="24"/>
          <w:lang w:val="en-GB"/>
        </w:rPr>
        <w:t>8</w:t>
      </w:r>
      <w:r w:rsidR="005A1845" w:rsidRPr="00760B6C">
        <w:rPr>
          <w:rFonts w:ascii="Book Antiqua" w:eastAsia="SabonLTStd-Roman" w:hAnsi="Book Antiqua" w:cstheme="minorHAnsi"/>
          <w:sz w:val="24"/>
          <w:szCs w:val="24"/>
          <w:lang w:val="en-GB"/>
        </w:rPr>
        <w:t xml:space="preserve"> out of </w:t>
      </w:r>
      <w:r w:rsidR="00C00B01" w:rsidRPr="00760B6C">
        <w:rPr>
          <w:rFonts w:ascii="Book Antiqua" w:eastAsia="SabonLTStd-Roman" w:hAnsi="Book Antiqua" w:cstheme="minorHAnsi"/>
          <w:sz w:val="24"/>
          <w:szCs w:val="24"/>
          <w:lang w:val="en-GB"/>
        </w:rPr>
        <w:t>10</w:t>
      </w:r>
      <w:r w:rsidR="005A1845" w:rsidRPr="00760B6C">
        <w:rPr>
          <w:rFonts w:ascii="Book Antiqua" w:eastAsia="SabonLTStd-Roman" w:hAnsi="Book Antiqua" w:cstheme="minorHAnsi"/>
          <w:sz w:val="24"/>
          <w:szCs w:val="24"/>
          <w:lang w:val="en-GB"/>
        </w:rPr>
        <w:t xml:space="preserve"> could stop </w:t>
      </w:r>
      <w:r w:rsidR="009B18D2" w:rsidRPr="00760B6C">
        <w:rPr>
          <w:rFonts w:ascii="Book Antiqua" w:eastAsia="SabonLTStd-Roman" w:hAnsi="Book Antiqua" w:cstheme="minorHAnsi"/>
          <w:sz w:val="24"/>
          <w:szCs w:val="24"/>
          <w:lang w:val="en-GB"/>
        </w:rPr>
        <w:t xml:space="preserve">the </w:t>
      </w:r>
      <w:r w:rsidR="005A1845" w:rsidRPr="00760B6C">
        <w:rPr>
          <w:rFonts w:ascii="Book Antiqua" w:eastAsia="SabonLTStd-Roman" w:hAnsi="Book Antiqua" w:cstheme="minorHAnsi"/>
          <w:sz w:val="24"/>
          <w:szCs w:val="24"/>
          <w:lang w:val="en-GB"/>
        </w:rPr>
        <w:t xml:space="preserve">anti-TNFα treatment. </w:t>
      </w:r>
    </w:p>
    <w:p w14:paraId="07196186" w14:textId="36F8BC1F" w:rsidR="005A1845" w:rsidRPr="00760B6C" w:rsidRDefault="005A1845" w:rsidP="00760B6C">
      <w:pPr>
        <w:autoSpaceDE w:val="0"/>
        <w:autoSpaceDN w:val="0"/>
        <w:adjustRightInd w:val="0"/>
        <w:snapToGrid w:val="0"/>
        <w:spacing w:after="0" w:line="360" w:lineRule="auto"/>
        <w:ind w:firstLineChars="200" w:firstLine="480"/>
        <w:jc w:val="both"/>
        <w:rPr>
          <w:rFonts w:ascii="Book Antiqua" w:eastAsia="SabonLTStd-Roman" w:hAnsi="Book Antiqua" w:cstheme="minorHAnsi"/>
          <w:sz w:val="24"/>
          <w:szCs w:val="24"/>
          <w:lang w:val="en-GB"/>
        </w:rPr>
      </w:pPr>
      <w:r w:rsidRPr="00760B6C">
        <w:rPr>
          <w:rFonts w:ascii="Book Antiqua" w:eastAsia="SabonLTStd-Roman" w:hAnsi="Book Antiqua" w:cstheme="minorHAnsi"/>
          <w:sz w:val="24"/>
          <w:szCs w:val="24"/>
          <w:lang w:val="en-GB"/>
        </w:rPr>
        <w:t xml:space="preserve">In 2 case reports previously published </w:t>
      </w:r>
      <w:proofErr w:type="spellStart"/>
      <w:r w:rsidRPr="00760B6C">
        <w:rPr>
          <w:rFonts w:ascii="Book Antiqua" w:eastAsia="SabonLTStd-Roman" w:hAnsi="Book Antiqua" w:cstheme="minorHAnsi"/>
          <w:sz w:val="24"/>
          <w:szCs w:val="24"/>
          <w:lang w:val="en-GB"/>
        </w:rPr>
        <w:t>vedolizumab</w:t>
      </w:r>
      <w:proofErr w:type="spellEnd"/>
      <w:r w:rsidRPr="00760B6C">
        <w:rPr>
          <w:rFonts w:ascii="Book Antiqua" w:eastAsia="SabonLTStd-Roman" w:hAnsi="Book Antiqua" w:cstheme="minorHAnsi"/>
          <w:sz w:val="24"/>
          <w:szCs w:val="24"/>
          <w:lang w:val="en-GB"/>
        </w:rPr>
        <w:t xml:space="preserve"> was successfully used in </w:t>
      </w:r>
      <w:r w:rsidR="00B36ECD" w:rsidRPr="00760B6C">
        <w:rPr>
          <w:rFonts w:ascii="Book Antiqua" w:eastAsia="SabonLTStd-Roman" w:hAnsi="Book Antiqua" w:cstheme="minorHAnsi"/>
          <w:sz w:val="24"/>
          <w:szCs w:val="24"/>
          <w:lang w:val="en-GB"/>
        </w:rPr>
        <w:t>association</w:t>
      </w:r>
      <w:r w:rsidRPr="00760B6C">
        <w:rPr>
          <w:rFonts w:ascii="Book Antiqua" w:eastAsia="SabonLTStd-Roman" w:hAnsi="Book Antiqua" w:cstheme="minorHAnsi"/>
          <w:sz w:val="24"/>
          <w:szCs w:val="24"/>
          <w:lang w:val="en-GB"/>
        </w:rPr>
        <w:t xml:space="preserve"> with </w:t>
      </w:r>
      <w:r w:rsidR="000D3CF9" w:rsidRPr="00760B6C">
        <w:rPr>
          <w:rFonts w:ascii="Book Antiqua" w:eastAsia="SabonLTStd-Roman" w:hAnsi="Book Antiqua" w:cstheme="minorHAnsi"/>
          <w:sz w:val="24"/>
          <w:szCs w:val="24"/>
          <w:lang w:val="en-GB"/>
        </w:rPr>
        <w:t xml:space="preserve">an </w:t>
      </w:r>
      <w:r w:rsidRPr="00760B6C">
        <w:rPr>
          <w:rFonts w:ascii="Book Antiqua" w:eastAsia="SabonLTStd-Roman" w:hAnsi="Book Antiqua" w:cstheme="minorHAnsi"/>
          <w:sz w:val="24"/>
          <w:szCs w:val="24"/>
          <w:lang w:val="en-GB"/>
        </w:rPr>
        <w:t xml:space="preserve">anti-TNFα </w:t>
      </w:r>
      <w:r w:rsidR="000D3CF9" w:rsidRPr="00760B6C">
        <w:rPr>
          <w:rFonts w:ascii="Book Antiqua" w:eastAsia="SabonLTStd-Roman" w:hAnsi="Book Antiqua" w:cstheme="minorHAnsi"/>
          <w:sz w:val="24"/>
          <w:szCs w:val="24"/>
          <w:lang w:val="en-GB"/>
        </w:rPr>
        <w:t>drug</w:t>
      </w:r>
      <w:r w:rsidR="00997DBF" w:rsidRPr="00760B6C">
        <w:rPr>
          <w:rFonts w:ascii="Book Antiqua" w:eastAsia="SabonLTStd-Roman" w:hAnsi="Book Antiqua" w:cstheme="minorHAnsi"/>
          <w:sz w:val="24"/>
          <w:szCs w:val="24"/>
          <w:lang w:val="en-GB"/>
        </w:rPr>
        <w:t xml:space="preserve"> </w:t>
      </w:r>
      <w:r w:rsidRPr="00760B6C">
        <w:rPr>
          <w:rFonts w:ascii="Book Antiqua" w:eastAsia="SabonLTStd-Roman" w:hAnsi="Book Antiqua" w:cstheme="minorHAnsi"/>
          <w:sz w:val="24"/>
          <w:szCs w:val="24"/>
          <w:lang w:val="en-GB"/>
        </w:rPr>
        <w:t xml:space="preserve">for the treatment of a patient with </w:t>
      </w:r>
      <w:r w:rsidR="00620CF5" w:rsidRPr="00760B6C">
        <w:rPr>
          <w:rFonts w:ascii="Book Antiqua" w:eastAsia="SabonLTStd-Roman" w:hAnsi="Book Antiqua" w:cstheme="minorHAnsi"/>
          <w:sz w:val="24"/>
          <w:szCs w:val="24"/>
          <w:lang w:val="en-GB"/>
        </w:rPr>
        <w:t xml:space="preserve">chronic refractory </w:t>
      </w:r>
      <w:proofErr w:type="spellStart"/>
      <w:r w:rsidRPr="00760B6C">
        <w:rPr>
          <w:rFonts w:ascii="Book Antiqua" w:eastAsia="SabonLTStd-Roman" w:hAnsi="Book Antiqua" w:cstheme="minorHAnsi"/>
          <w:sz w:val="24"/>
          <w:szCs w:val="24"/>
          <w:lang w:val="en-GB"/>
        </w:rPr>
        <w:t>pouchitis</w:t>
      </w:r>
      <w:proofErr w:type="spellEnd"/>
      <w:r w:rsidRPr="00760B6C">
        <w:rPr>
          <w:rFonts w:ascii="Book Antiqua" w:eastAsia="SabonLTStd-Roman" w:hAnsi="Book Antiqua" w:cstheme="minorHAnsi"/>
          <w:sz w:val="24"/>
          <w:szCs w:val="24"/>
          <w:lang w:val="en-GB"/>
        </w:rPr>
        <w:t xml:space="preserve"> and axial </w:t>
      </w:r>
      <w:proofErr w:type="spellStart"/>
      <w:r w:rsidRPr="00760B6C">
        <w:rPr>
          <w:rFonts w:ascii="Book Antiqua" w:eastAsia="SabonLTStd-Roman" w:hAnsi="Book Antiqua" w:cstheme="minorHAnsi"/>
          <w:sz w:val="24"/>
          <w:szCs w:val="24"/>
          <w:lang w:val="en-GB"/>
        </w:rPr>
        <w:t>spondylarthritis</w:t>
      </w:r>
      <w:proofErr w:type="spellEnd"/>
      <w:r w:rsidRPr="00760B6C">
        <w:rPr>
          <w:rFonts w:ascii="Book Antiqua" w:eastAsia="SabonLTStd-Roman" w:hAnsi="Book Antiqua" w:cstheme="minorHAnsi"/>
          <w:sz w:val="24"/>
          <w:szCs w:val="24"/>
          <w:lang w:val="en-GB"/>
        </w:rPr>
        <w:t xml:space="preserve"> and a patie</w:t>
      </w:r>
      <w:r w:rsidR="00760B6C">
        <w:rPr>
          <w:rFonts w:ascii="Book Antiqua" w:eastAsia="SabonLTStd-Roman" w:hAnsi="Book Antiqua" w:cstheme="minorHAnsi"/>
          <w:sz w:val="24"/>
          <w:szCs w:val="24"/>
          <w:lang w:val="en-GB"/>
        </w:rPr>
        <w:t xml:space="preserve">nt with CD and erythema </w:t>
      </w:r>
      <w:proofErr w:type="spellStart"/>
      <w:proofErr w:type="gramStart"/>
      <w:r w:rsidR="00760B6C">
        <w:rPr>
          <w:rFonts w:ascii="Book Antiqua" w:eastAsia="SabonLTStd-Roman" w:hAnsi="Book Antiqua" w:cstheme="minorHAnsi"/>
          <w:sz w:val="24"/>
          <w:szCs w:val="24"/>
          <w:lang w:val="en-GB"/>
        </w:rPr>
        <w:t>nodosum</w:t>
      </w:r>
      <w:proofErr w:type="spellEnd"/>
      <w:r w:rsidRPr="00760B6C">
        <w:rPr>
          <w:rFonts w:ascii="Book Antiqua" w:eastAsia="SabonLTStd-Roman" w:hAnsi="Book Antiqua" w:cstheme="minorHAnsi"/>
          <w:sz w:val="24"/>
          <w:szCs w:val="24"/>
          <w:vertAlign w:val="superscript"/>
          <w:lang w:val="en-GB"/>
        </w:rPr>
        <w:t>[</w:t>
      </w:r>
      <w:proofErr w:type="gramEnd"/>
      <w:r w:rsidR="00A9423A" w:rsidRPr="00760B6C">
        <w:rPr>
          <w:rFonts w:ascii="Book Antiqua" w:eastAsia="SabonLTStd-Roman" w:hAnsi="Book Antiqua" w:cstheme="minorHAnsi"/>
          <w:sz w:val="24"/>
          <w:szCs w:val="24"/>
          <w:vertAlign w:val="superscript"/>
          <w:lang w:val="en-GB"/>
        </w:rPr>
        <w:t>35</w:t>
      </w:r>
      <w:r w:rsidRPr="00760B6C">
        <w:rPr>
          <w:rFonts w:ascii="Book Antiqua" w:eastAsia="SabonLTStd-Roman" w:hAnsi="Book Antiqua" w:cstheme="minorHAnsi"/>
          <w:sz w:val="24"/>
          <w:szCs w:val="24"/>
          <w:vertAlign w:val="superscript"/>
          <w:lang w:val="en-GB"/>
        </w:rPr>
        <w:t>,</w:t>
      </w:r>
      <w:r w:rsidR="00A9423A" w:rsidRPr="00760B6C">
        <w:rPr>
          <w:rFonts w:ascii="Book Antiqua" w:eastAsia="SabonLTStd-Roman" w:hAnsi="Book Antiqua" w:cstheme="minorHAnsi"/>
          <w:sz w:val="24"/>
          <w:szCs w:val="24"/>
          <w:vertAlign w:val="superscript"/>
          <w:lang w:val="en-GB"/>
        </w:rPr>
        <w:t>36</w:t>
      </w:r>
      <w:r w:rsidRPr="00760B6C">
        <w:rPr>
          <w:rFonts w:ascii="Book Antiqua" w:eastAsia="SabonLTStd-Roman" w:hAnsi="Book Antiqua" w:cstheme="minorHAnsi"/>
          <w:sz w:val="24"/>
          <w:szCs w:val="24"/>
          <w:vertAlign w:val="superscript"/>
          <w:lang w:val="en-GB"/>
        </w:rPr>
        <w:t>]</w:t>
      </w:r>
      <w:r w:rsidRPr="00760B6C">
        <w:rPr>
          <w:rFonts w:ascii="Book Antiqua" w:eastAsia="SabonLTStd-Roman" w:hAnsi="Book Antiqua" w:cstheme="minorHAnsi"/>
          <w:sz w:val="24"/>
          <w:szCs w:val="24"/>
          <w:lang w:val="en-GB"/>
        </w:rPr>
        <w:t>.</w:t>
      </w:r>
    </w:p>
    <w:p w14:paraId="32265BDD" w14:textId="34461CB0" w:rsidR="005A1845" w:rsidRPr="00760B6C" w:rsidRDefault="005A1845" w:rsidP="00760B6C">
      <w:pPr>
        <w:autoSpaceDE w:val="0"/>
        <w:autoSpaceDN w:val="0"/>
        <w:adjustRightInd w:val="0"/>
        <w:snapToGrid w:val="0"/>
        <w:spacing w:after="0" w:line="360" w:lineRule="auto"/>
        <w:ind w:firstLineChars="200" w:firstLine="480"/>
        <w:jc w:val="both"/>
        <w:rPr>
          <w:rFonts w:ascii="Book Antiqua" w:eastAsia="SabonLTStd-Roman" w:hAnsi="Book Antiqua" w:cstheme="minorHAnsi"/>
          <w:sz w:val="24"/>
          <w:szCs w:val="24"/>
          <w:lang w:val="en-GB"/>
        </w:rPr>
      </w:pPr>
      <w:r w:rsidRPr="00760B6C">
        <w:rPr>
          <w:rFonts w:ascii="Book Antiqua" w:eastAsia="SabonLTStd-Roman" w:hAnsi="Book Antiqua" w:cstheme="minorHAnsi"/>
          <w:sz w:val="24"/>
          <w:szCs w:val="24"/>
          <w:lang w:val="en-GB"/>
        </w:rPr>
        <w:lastRenderedPageBreak/>
        <w:t xml:space="preserve">These data suggest that </w:t>
      </w:r>
      <w:r w:rsidR="005639FC" w:rsidRPr="00760B6C">
        <w:rPr>
          <w:rFonts w:ascii="Book Antiqua" w:eastAsia="SabonLTStd-Roman" w:hAnsi="Book Antiqua" w:cstheme="minorHAnsi"/>
          <w:sz w:val="24"/>
          <w:szCs w:val="24"/>
          <w:lang w:val="en-GB"/>
        </w:rPr>
        <w:t xml:space="preserve">combination treatment of </w:t>
      </w:r>
      <w:proofErr w:type="spellStart"/>
      <w:r w:rsidRPr="00760B6C">
        <w:rPr>
          <w:rFonts w:ascii="Book Antiqua" w:eastAsia="SabonLTStd-Roman" w:hAnsi="Book Antiqua" w:cstheme="minorHAnsi"/>
          <w:sz w:val="24"/>
          <w:szCs w:val="24"/>
          <w:lang w:val="en-GB"/>
        </w:rPr>
        <w:t>vedolizuma</w:t>
      </w:r>
      <w:r w:rsidR="005639FC" w:rsidRPr="00760B6C">
        <w:rPr>
          <w:rFonts w:ascii="Book Antiqua" w:eastAsia="SabonLTStd-Roman" w:hAnsi="Book Antiqua" w:cstheme="minorHAnsi"/>
          <w:sz w:val="24"/>
          <w:szCs w:val="24"/>
          <w:lang w:val="en-GB"/>
        </w:rPr>
        <w:t>b</w:t>
      </w:r>
      <w:proofErr w:type="spellEnd"/>
      <w:r w:rsidR="005639FC" w:rsidRPr="00760B6C">
        <w:rPr>
          <w:rFonts w:ascii="Book Antiqua" w:eastAsia="SabonLTStd-Roman" w:hAnsi="Book Antiqua" w:cstheme="minorHAnsi"/>
          <w:sz w:val="24"/>
          <w:szCs w:val="24"/>
          <w:lang w:val="en-GB"/>
        </w:rPr>
        <w:t xml:space="preserve"> a</w:t>
      </w:r>
      <w:r w:rsidRPr="00760B6C">
        <w:rPr>
          <w:rFonts w:ascii="Book Antiqua" w:eastAsia="SabonLTStd-Roman" w:hAnsi="Book Antiqua" w:cstheme="minorHAnsi"/>
          <w:sz w:val="24"/>
          <w:szCs w:val="24"/>
          <w:lang w:val="en-GB"/>
        </w:rPr>
        <w:t xml:space="preserve">nd </w:t>
      </w:r>
      <w:r w:rsidR="000D3CF9" w:rsidRPr="00760B6C">
        <w:rPr>
          <w:rFonts w:ascii="Book Antiqua" w:eastAsia="SabonLTStd-Roman" w:hAnsi="Book Antiqua" w:cstheme="minorHAnsi"/>
          <w:sz w:val="24"/>
          <w:szCs w:val="24"/>
          <w:lang w:val="en-GB"/>
        </w:rPr>
        <w:t>anti-</w:t>
      </w:r>
      <w:r w:rsidRPr="00760B6C">
        <w:rPr>
          <w:rFonts w:ascii="Book Antiqua" w:eastAsia="SabonLTStd-Roman" w:hAnsi="Book Antiqua" w:cstheme="minorHAnsi"/>
          <w:sz w:val="24"/>
          <w:szCs w:val="24"/>
          <w:lang w:val="en-GB"/>
        </w:rPr>
        <w:t xml:space="preserve">TNFα </w:t>
      </w:r>
      <w:r w:rsidR="000D3CF9" w:rsidRPr="00760B6C">
        <w:rPr>
          <w:rFonts w:ascii="Book Antiqua" w:eastAsia="SabonLTStd-Roman" w:hAnsi="Book Antiqua" w:cstheme="minorHAnsi"/>
          <w:sz w:val="24"/>
          <w:szCs w:val="24"/>
          <w:lang w:val="en-GB"/>
        </w:rPr>
        <w:t>therapy</w:t>
      </w:r>
      <w:r w:rsidR="00997DBF" w:rsidRPr="00760B6C">
        <w:rPr>
          <w:rFonts w:ascii="Book Antiqua" w:eastAsia="SabonLTStd-Roman" w:hAnsi="Book Antiqua" w:cstheme="minorHAnsi"/>
          <w:sz w:val="24"/>
          <w:szCs w:val="24"/>
          <w:lang w:val="en-GB"/>
        </w:rPr>
        <w:t xml:space="preserve"> </w:t>
      </w:r>
      <w:r w:rsidRPr="00760B6C">
        <w:rPr>
          <w:rFonts w:ascii="Book Antiqua" w:eastAsia="SabonLTStd-Roman" w:hAnsi="Book Antiqua" w:cstheme="minorHAnsi"/>
          <w:sz w:val="24"/>
          <w:szCs w:val="24"/>
          <w:lang w:val="en-GB"/>
        </w:rPr>
        <w:t xml:space="preserve">might represent a therapeutic option in selected patients with IBD, however further larger </w:t>
      </w:r>
      <w:r w:rsidR="00B073E1" w:rsidRPr="00760B6C">
        <w:rPr>
          <w:rFonts w:ascii="Book Antiqua" w:eastAsia="SabonLTStd-Roman" w:hAnsi="Book Antiqua" w:cstheme="minorHAnsi"/>
          <w:sz w:val="24"/>
          <w:szCs w:val="24"/>
          <w:lang w:val="en-GB"/>
        </w:rPr>
        <w:t>studies</w:t>
      </w:r>
      <w:r w:rsidRPr="00760B6C">
        <w:rPr>
          <w:rFonts w:ascii="Book Antiqua" w:eastAsia="SabonLTStd-Roman" w:hAnsi="Book Antiqua" w:cstheme="minorHAnsi"/>
          <w:sz w:val="24"/>
          <w:szCs w:val="24"/>
          <w:lang w:val="en-GB"/>
        </w:rPr>
        <w:t xml:space="preserve"> </w:t>
      </w:r>
      <w:proofErr w:type="gramStart"/>
      <w:r w:rsidRPr="00760B6C">
        <w:rPr>
          <w:rFonts w:ascii="Book Antiqua" w:eastAsia="SabonLTStd-Roman" w:hAnsi="Book Antiqua" w:cstheme="minorHAnsi"/>
          <w:sz w:val="24"/>
          <w:szCs w:val="24"/>
          <w:lang w:val="en-GB"/>
        </w:rPr>
        <w:t>are needed</w:t>
      </w:r>
      <w:proofErr w:type="gramEnd"/>
      <w:r w:rsidRPr="00760B6C">
        <w:rPr>
          <w:rFonts w:ascii="Book Antiqua" w:eastAsia="SabonLTStd-Roman" w:hAnsi="Book Antiqua" w:cstheme="minorHAnsi"/>
          <w:sz w:val="24"/>
          <w:szCs w:val="24"/>
          <w:lang w:val="en-GB"/>
        </w:rPr>
        <w:t>.</w:t>
      </w:r>
      <w:r w:rsidR="00936E0F" w:rsidRPr="00760B6C">
        <w:rPr>
          <w:rFonts w:ascii="Book Antiqua" w:eastAsia="SabonLTStd-Roman" w:hAnsi="Book Antiqua" w:cstheme="minorHAnsi"/>
          <w:sz w:val="24"/>
          <w:szCs w:val="24"/>
          <w:lang w:val="en-GB"/>
        </w:rPr>
        <w:t xml:space="preserve"> </w:t>
      </w:r>
    </w:p>
    <w:p w14:paraId="70092441" w14:textId="77777777" w:rsidR="005A1845" w:rsidRPr="00760B6C" w:rsidRDefault="005A1845" w:rsidP="00E17439">
      <w:pPr>
        <w:autoSpaceDE w:val="0"/>
        <w:autoSpaceDN w:val="0"/>
        <w:adjustRightInd w:val="0"/>
        <w:snapToGrid w:val="0"/>
        <w:spacing w:after="0" w:line="360" w:lineRule="auto"/>
        <w:jc w:val="both"/>
        <w:rPr>
          <w:rFonts w:ascii="Book Antiqua" w:hAnsi="Book Antiqua" w:cstheme="minorHAnsi"/>
          <w:sz w:val="24"/>
          <w:szCs w:val="24"/>
          <w:lang w:val="en-GB" w:eastAsia="zh-CN"/>
        </w:rPr>
      </w:pPr>
    </w:p>
    <w:p w14:paraId="64A89660" w14:textId="7F55B01F" w:rsidR="00567AD5" w:rsidRPr="00760B6C" w:rsidRDefault="00B550A1" w:rsidP="00E17439">
      <w:pPr>
        <w:autoSpaceDE w:val="0"/>
        <w:autoSpaceDN w:val="0"/>
        <w:adjustRightInd w:val="0"/>
        <w:snapToGrid w:val="0"/>
        <w:spacing w:after="0" w:line="360" w:lineRule="auto"/>
        <w:jc w:val="both"/>
        <w:rPr>
          <w:rFonts w:ascii="Book Antiqua" w:hAnsi="Book Antiqua" w:cstheme="minorHAnsi"/>
          <w:b/>
          <w:caps/>
          <w:sz w:val="24"/>
          <w:szCs w:val="24"/>
          <w:lang w:val="en-GB" w:eastAsia="zh-CN"/>
        </w:rPr>
      </w:pPr>
      <w:r w:rsidRPr="00760B6C">
        <w:rPr>
          <w:rFonts w:ascii="Book Antiqua" w:eastAsia="SabonLTStd-Roman" w:hAnsi="Book Antiqua" w:cstheme="minorHAnsi"/>
          <w:b/>
          <w:caps/>
          <w:sz w:val="24"/>
          <w:szCs w:val="24"/>
          <w:lang w:val="en-GB"/>
        </w:rPr>
        <w:t>Predictors of response to vedolizumab</w:t>
      </w:r>
    </w:p>
    <w:p w14:paraId="329DC881" w14:textId="7845CB97" w:rsidR="00B550A1" w:rsidRPr="00CD4428" w:rsidRDefault="00B550A1" w:rsidP="00E17439">
      <w:pPr>
        <w:autoSpaceDE w:val="0"/>
        <w:autoSpaceDN w:val="0"/>
        <w:adjustRightInd w:val="0"/>
        <w:snapToGrid w:val="0"/>
        <w:spacing w:after="0" w:line="360" w:lineRule="auto"/>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 xml:space="preserve">Several factors have been evaluated as predictors of response and remission to </w:t>
      </w:r>
      <w:proofErr w:type="spellStart"/>
      <w:r w:rsidRPr="00CD4428">
        <w:rPr>
          <w:rFonts w:ascii="Book Antiqua" w:eastAsia="SabonLTStd-Roman" w:hAnsi="Book Antiqua" w:cstheme="minorHAnsi"/>
          <w:sz w:val="24"/>
          <w:szCs w:val="24"/>
          <w:lang w:val="en-GB"/>
        </w:rPr>
        <w:t>vedolizumab</w:t>
      </w:r>
      <w:proofErr w:type="spellEnd"/>
      <w:r w:rsidRPr="00CD4428">
        <w:rPr>
          <w:rFonts w:ascii="Book Antiqua" w:eastAsia="SabonLTStd-Roman" w:hAnsi="Book Antiqua" w:cstheme="minorHAnsi"/>
          <w:sz w:val="24"/>
          <w:szCs w:val="24"/>
          <w:lang w:val="en-GB"/>
        </w:rPr>
        <w:t xml:space="preserve"> and a recent review summarized the current </w:t>
      </w:r>
      <w:proofErr w:type="gramStart"/>
      <w:r w:rsidRPr="00CD4428">
        <w:rPr>
          <w:rFonts w:ascii="Book Antiqua" w:eastAsia="SabonLTStd-Roman" w:hAnsi="Book Antiqua" w:cstheme="minorHAnsi"/>
          <w:sz w:val="24"/>
          <w:szCs w:val="24"/>
          <w:lang w:val="en-GB"/>
        </w:rPr>
        <w:t>data</w:t>
      </w:r>
      <w:r w:rsidRPr="00CD4428">
        <w:rPr>
          <w:rFonts w:ascii="Book Antiqua" w:eastAsia="SabonLTStd-Roman" w:hAnsi="Book Antiqua" w:cstheme="minorHAnsi"/>
          <w:sz w:val="24"/>
          <w:szCs w:val="24"/>
          <w:vertAlign w:val="superscript"/>
          <w:lang w:val="en-GB"/>
        </w:rPr>
        <w:t>[</w:t>
      </w:r>
      <w:proofErr w:type="gramEnd"/>
      <w:r w:rsidR="00351C90" w:rsidRPr="00CD4428">
        <w:rPr>
          <w:rFonts w:ascii="Book Antiqua" w:eastAsia="SabonLTStd-Roman" w:hAnsi="Book Antiqua" w:cstheme="minorHAnsi"/>
          <w:sz w:val="24"/>
          <w:szCs w:val="24"/>
          <w:vertAlign w:val="superscript"/>
          <w:lang w:val="en-GB"/>
        </w:rPr>
        <w:t>3</w:t>
      </w:r>
      <w:r w:rsidR="005A1845" w:rsidRPr="00CD4428">
        <w:rPr>
          <w:rFonts w:ascii="Book Antiqua" w:eastAsia="SabonLTStd-Roman" w:hAnsi="Book Antiqua" w:cstheme="minorHAnsi"/>
          <w:sz w:val="24"/>
          <w:szCs w:val="24"/>
          <w:vertAlign w:val="superscript"/>
          <w:lang w:val="en-GB"/>
        </w:rPr>
        <w:t>7</w:t>
      </w:r>
      <w:r w:rsidRPr="00CD4428">
        <w:rPr>
          <w:rFonts w:ascii="Book Antiqua" w:eastAsia="SabonLTStd-Roman" w:hAnsi="Book Antiqua" w:cstheme="minorHAnsi"/>
          <w:b/>
          <w:sz w:val="24"/>
          <w:szCs w:val="24"/>
          <w:vertAlign w:val="superscript"/>
          <w:lang w:val="en-GB"/>
        </w:rPr>
        <w:t>]</w:t>
      </w:r>
      <w:r w:rsidRPr="00CD4428">
        <w:rPr>
          <w:rFonts w:ascii="Book Antiqua" w:eastAsia="SabonLTStd-Roman" w:hAnsi="Book Antiqua" w:cstheme="minorHAnsi"/>
          <w:b/>
          <w:sz w:val="24"/>
          <w:szCs w:val="24"/>
          <w:lang w:val="en-GB"/>
        </w:rPr>
        <w:t>.</w:t>
      </w:r>
      <w:r w:rsidR="00590110" w:rsidRPr="00CD4428">
        <w:rPr>
          <w:rFonts w:ascii="Book Antiqua" w:eastAsia="SabonLTStd-Roman" w:hAnsi="Book Antiqua" w:cstheme="minorHAnsi"/>
          <w:b/>
          <w:sz w:val="24"/>
          <w:szCs w:val="24"/>
          <w:lang w:val="en-GB"/>
        </w:rPr>
        <w:t xml:space="preserve"> </w:t>
      </w:r>
      <w:r w:rsidRPr="00CD4428">
        <w:rPr>
          <w:rFonts w:ascii="Book Antiqua" w:eastAsia="SabonLTStd-Roman" w:hAnsi="Book Antiqua" w:cstheme="minorHAnsi"/>
          <w:sz w:val="24"/>
          <w:szCs w:val="24"/>
          <w:lang w:val="en-GB"/>
        </w:rPr>
        <w:t>Overall, patients with less disease activity</w:t>
      </w:r>
      <w:r w:rsidR="005B2858" w:rsidRPr="00CD4428">
        <w:rPr>
          <w:rFonts w:ascii="Book Antiqua" w:eastAsia="SabonLTStd-Roman" w:hAnsi="Book Antiqua" w:cstheme="minorHAnsi"/>
          <w:sz w:val="24"/>
          <w:szCs w:val="24"/>
          <w:lang w:val="en-GB"/>
        </w:rPr>
        <w:t xml:space="preserve"> (by clinical and </w:t>
      </w:r>
      <w:r w:rsidR="00171F99" w:rsidRPr="00CD4428">
        <w:rPr>
          <w:rFonts w:ascii="Book Antiqua" w:eastAsia="SabonLTStd-Roman" w:hAnsi="Book Antiqua" w:cstheme="minorHAnsi"/>
          <w:sz w:val="24"/>
          <w:szCs w:val="24"/>
          <w:lang w:val="en-GB"/>
        </w:rPr>
        <w:t>inflammatory</w:t>
      </w:r>
      <w:r w:rsidR="005B2858" w:rsidRPr="00CD4428">
        <w:rPr>
          <w:rFonts w:ascii="Book Antiqua" w:eastAsia="SabonLTStd-Roman" w:hAnsi="Book Antiqua" w:cstheme="minorHAnsi"/>
          <w:sz w:val="24"/>
          <w:szCs w:val="24"/>
          <w:lang w:val="en-GB"/>
        </w:rPr>
        <w:t xml:space="preserve"> </w:t>
      </w:r>
      <w:r w:rsidR="00171F99" w:rsidRPr="00CD4428">
        <w:rPr>
          <w:rFonts w:ascii="Book Antiqua" w:eastAsia="SabonLTStd-Roman" w:hAnsi="Book Antiqua" w:cstheme="minorHAnsi"/>
          <w:sz w:val="24"/>
          <w:szCs w:val="24"/>
          <w:lang w:val="en-GB"/>
        </w:rPr>
        <w:t>indices</w:t>
      </w:r>
      <w:r w:rsidR="005B2858" w:rsidRPr="00CD4428">
        <w:rPr>
          <w:rFonts w:ascii="Book Antiqua" w:eastAsia="SabonLTStd-Roman" w:hAnsi="Book Antiqua" w:cstheme="minorHAnsi"/>
          <w:sz w:val="24"/>
          <w:szCs w:val="24"/>
          <w:lang w:val="en-GB"/>
        </w:rPr>
        <w:t>)</w:t>
      </w:r>
      <w:r w:rsidRPr="00CD4428">
        <w:rPr>
          <w:rFonts w:ascii="Book Antiqua" w:eastAsia="SabonLTStd-Roman" w:hAnsi="Book Antiqua" w:cstheme="minorHAnsi"/>
          <w:sz w:val="24"/>
          <w:szCs w:val="24"/>
          <w:lang w:val="en-GB"/>
        </w:rPr>
        <w:t>, naïve to TNFα inhibitors</w:t>
      </w:r>
      <w:r w:rsidR="00C954DC" w:rsidRPr="00CD4428">
        <w:rPr>
          <w:rFonts w:ascii="Book Antiqua" w:eastAsia="SabonLTStd-Roman" w:hAnsi="Book Antiqua" w:cstheme="minorHAnsi"/>
          <w:sz w:val="24"/>
          <w:szCs w:val="24"/>
          <w:lang w:val="en-GB"/>
        </w:rPr>
        <w:t>,</w:t>
      </w:r>
      <w:r w:rsidRPr="00CD4428">
        <w:rPr>
          <w:rFonts w:ascii="Book Antiqua" w:eastAsia="SabonLTStd-Roman" w:hAnsi="Book Antiqua" w:cstheme="minorHAnsi"/>
          <w:sz w:val="24"/>
          <w:szCs w:val="24"/>
          <w:lang w:val="en-GB"/>
        </w:rPr>
        <w:t xml:space="preserve"> and </w:t>
      </w:r>
      <w:r w:rsidR="00C954DC" w:rsidRPr="00CD4428">
        <w:rPr>
          <w:rFonts w:ascii="Book Antiqua" w:eastAsia="SabonLTStd-Roman" w:hAnsi="Book Antiqua" w:cstheme="minorHAnsi"/>
          <w:sz w:val="24"/>
          <w:szCs w:val="24"/>
          <w:lang w:val="en-GB"/>
        </w:rPr>
        <w:t xml:space="preserve">having </w:t>
      </w:r>
      <w:r w:rsidRPr="00CD4428">
        <w:rPr>
          <w:rFonts w:ascii="Book Antiqua" w:eastAsia="SabonLTStd-Roman" w:hAnsi="Book Antiqua" w:cstheme="minorHAnsi"/>
          <w:sz w:val="24"/>
          <w:szCs w:val="24"/>
          <w:lang w:val="en-GB"/>
        </w:rPr>
        <w:t xml:space="preserve">higher </w:t>
      </w:r>
      <w:proofErr w:type="spellStart"/>
      <w:r w:rsidRPr="00CD4428">
        <w:rPr>
          <w:rFonts w:ascii="Book Antiqua" w:eastAsia="SabonLTStd-Roman" w:hAnsi="Book Antiqua" w:cstheme="minorHAnsi"/>
          <w:sz w:val="24"/>
          <w:szCs w:val="24"/>
          <w:lang w:val="en-GB"/>
        </w:rPr>
        <w:t>vedolizumab</w:t>
      </w:r>
      <w:proofErr w:type="spellEnd"/>
      <w:r w:rsidRPr="00CD4428">
        <w:rPr>
          <w:rFonts w:ascii="Book Antiqua" w:eastAsia="SabonLTStd-Roman" w:hAnsi="Book Antiqua" w:cstheme="minorHAnsi"/>
          <w:sz w:val="24"/>
          <w:szCs w:val="24"/>
          <w:lang w:val="en-GB"/>
        </w:rPr>
        <w:t xml:space="preserve"> trough levels at </w:t>
      </w:r>
      <w:proofErr w:type="gramStart"/>
      <w:r w:rsidRPr="00CD4428">
        <w:rPr>
          <w:rFonts w:ascii="Book Antiqua" w:eastAsia="SabonLTStd-Roman" w:hAnsi="Book Antiqua" w:cstheme="minorHAnsi"/>
          <w:sz w:val="24"/>
          <w:szCs w:val="24"/>
          <w:lang w:val="en-GB"/>
        </w:rPr>
        <w:t>induction</w:t>
      </w:r>
      <w:r w:rsidRPr="00CD4428">
        <w:rPr>
          <w:rFonts w:ascii="Book Antiqua" w:eastAsia="SabonLTStd-Roman" w:hAnsi="Book Antiqua" w:cstheme="minorHAnsi"/>
          <w:sz w:val="24"/>
          <w:szCs w:val="24"/>
          <w:vertAlign w:val="superscript"/>
          <w:lang w:val="en-GB"/>
        </w:rPr>
        <w:t>[</w:t>
      </w:r>
      <w:proofErr w:type="gramEnd"/>
      <w:r w:rsidR="00351C90" w:rsidRPr="00CD4428">
        <w:rPr>
          <w:rFonts w:ascii="Book Antiqua" w:eastAsia="SabonLTStd-Roman" w:hAnsi="Book Antiqua" w:cstheme="minorHAnsi"/>
          <w:sz w:val="24"/>
          <w:szCs w:val="24"/>
          <w:vertAlign w:val="superscript"/>
          <w:lang w:val="en-GB"/>
        </w:rPr>
        <w:t>3</w:t>
      </w:r>
      <w:r w:rsidR="005A1845" w:rsidRPr="00CD4428">
        <w:rPr>
          <w:rFonts w:ascii="Book Antiqua" w:eastAsia="SabonLTStd-Roman" w:hAnsi="Book Antiqua" w:cstheme="minorHAnsi"/>
          <w:sz w:val="24"/>
          <w:szCs w:val="24"/>
          <w:vertAlign w:val="superscript"/>
          <w:lang w:val="en-GB"/>
        </w:rPr>
        <w:t>8</w:t>
      </w:r>
      <w:r w:rsidR="00E7781C" w:rsidRPr="00CD4428">
        <w:rPr>
          <w:rFonts w:ascii="Book Antiqua" w:eastAsia="SabonLTStd-Roman" w:hAnsi="Book Antiqua" w:cstheme="minorHAnsi"/>
          <w:sz w:val="24"/>
          <w:szCs w:val="24"/>
          <w:vertAlign w:val="superscript"/>
          <w:lang w:val="en-GB"/>
        </w:rPr>
        <w:t>-</w:t>
      </w:r>
      <w:r w:rsidR="005A1845" w:rsidRPr="00CD4428">
        <w:rPr>
          <w:rFonts w:ascii="Book Antiqua" w:eastAsia="SabonLTStd-Roman" w:hAnsi="Book Antiqua" w:cstheme="minorHAnsi"/>
          <w:sz w:val="24"/>
          <w:szCs w:val="24"/>
          <w:vertAlign w:val="superscript"/>
          <w:lang w:val="en-GB"/>
        </w:rPr>
        <w:t>40</w:t>
      </w:r>
      <w:r w:rsidRPr="00CD4428">
        <w:rPr>
          <w:rFonts w:ascii="Book Antiqua" w:eastAsia="SabonLTStd-Roman" w:hAnsi="Book Antiqua" w:cstheme="minorHAnsi"/>
          <w:sz w:val="24"/>
          <w:szCs w:val="24"/>
          <w:vertAlign w:val="superscript"/>
          <w:lang w:val="en-GB"/>
        </w:rPr>
        <w:t>]</w:t>
      </w:r>
      <w:r w:rsidR="00590110" w:rsidRPr="00CD4428">
        <w:rPr>
          <w:rFonts w:ascii="Book Antiqua" w:eastAsia="SabonLTStd-Roman" w:hAnsi="Book Antiqua" w:cstheme="minorHAnsi"/>
          <w:sz w:val="24"/>
          <w:szCs w:val="24"/>
          <w:lang w:val="en-GB"/>
        </w:rPr>
        <w:t xml:space="preserve"> </w:t>
      </w:r>
      <w:r w:rsidR="00C954DC" w:rsidRPr="00CD4428">
        <w:rPr>
          <w:rFonts w:ascii="Book Antiqua" w:eastAsia="SabonLTStd-Roman" w:hAnsi="Book Antiqua" w:cstheme="minorHAnsi"/>
          <w:sz w:val="24"/>
          <w:szCs w:val="24"/>
          <w:lang w:val="en-GB"/>
        </w:rPr>
        <w:t xml:space="preserve">had </w:t>
      </w:r>
      <w:r w:rsidRPr="00CD4428">
        <w:rPr>
          <w:rFonts w:ascii="Book Antiqua" w:eastAsia="SabonLTStd-Roman" w:hAnsi="Book Antiqua" w:cstheme="minorHAnsi"/>
          <w:sz w:val="24"/>
          <w:szCs w:val="24"/>
          <w:lang w:val="en-GB"/>
        </w:rPr>
        <w:t>a greater likelihood of responding to treatment in both disease</w:t>
      </w:r>
      <w:r w:rsidR="00C954DC" w:rsidRPr="00CD4428">
        <w:rPr>
          <w:rFonts w:ascii="Book Antiqua" w:eastAsia="SabonLTStd-Roman" w:hAnsi="Book Antiqua" w:cstheme="minorHAnsi"/>
          <w:sz w:val="24"/>
          <w:szCs w:val="24"/>
          <w:lang w:val="en-GB"/>
        </w:rPr>
        <w:t xml:space="preserve"> groups</w:t>
      </w:r>
      <w:r w:rsidRPr="00CD4428">
        <w:rPr>
          <w:rFonts w:ascii="Book Antiqua" w:eastAsia="SabonLTStd-Roman" w:hAnsi="Book Antiqua" w:cstheme="minorHAnsi"/>
          <w:sz w:val="24"/>
          <w:szCs w:val="24"/>
          <w:lang w:val="en-GB"/>
        </w:rPr>
        <w:t xml:space="preserve">. </w:t>
      </w:r>
    </w:p>
    <w:p w14:paraId="6A21B85B" w14:textId="00E22286" w:rsidR="00567AD5" w:rsidRPr="00CD4428" w:rsidRDefault="009513C7" w:rsidP="00760B6C">
      <w:pPr>
        <w:autoSpaceDE w:val="0"/>
        <w:autoSpaceDN w:val="0"/>
        <w:adjustRightInd w:val="0"/>
        <w:snapToGrid w:val="0"/>
        <w:spacing w:after="0" w:line="360" w:lineRule="auto"/>
        <w:ind w:firstLineChars="200" w:firstLine="48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C</w:t>
      </w:r>
      <w:r w:rsidR="00567AD5" w:rsidRPr="00CD4428">
        <w:rPr>
          <w:rFonts w:ascii="Book Antiqua" w:eastAsia="SabonLTStd-Roman" w:hAnsi="Book Antiqua" w:cstheme="minorHAnsi"/>
          <w:sz w:val="24"/>
          <w:szCs w:val="24"/>
          <w:lang w:val="en-GB"/>
        </w:rPr>
        <w:t xml:space="preserve">oncomitant immunomodulatory treatment was not associated with improved results </w:t>
      </w:r>
      <w:r w:rsidR="00B550A1" w:rsidRPr="00CD4428">
        <w:rPr>
          <w:rFonts w:ascii="Book Antiqua" w:eastAsia="SabonLTStd-Roman" w:hAnsi="Book Antiqua" w:cstheme="minorHAnsi"/>
          <w:sz w:val="24"/>
          <w:szCs w:val="24"/>
          <w:lang w:val="en-GB"/>
        </w:rPr>
        <w:t xml:space="preserve">in </w:t>
      </w:r>
      <w:r w:rsidRPr="00CD4428">
        <w:rPr>
          <w:rFonts w:ascii="Book Antiqua" w:eastAsia="SabonLTStd-Roman" w:hAnsi="Book Antiqua" w:cstheme="minorHAnsi"/>
          <w:sz w:val="24"/>
          <w:szCs w:val="24"/>
          <w:lang w:val="en-GB"/>
        </w:rPr>
        <w:t xml:space="preserve">the </w:t>
      </w:r>
      <w:r w:rsidR="00B550A1" w:rsidRPr="00CD4428">
        <w:rPr>
          <w:rFonts w:ascii="Book Antiqua" w:eastAsia="SabonLTStd-Roman" w:hAnsi="Book Antiqua" w:cstheme="minorHAnsi"/>
          <w:sz w:val="24"/>
          <w:szCs w:val="24"/>
          <w:lang w:val="en-GB"/>
        </w:rPr>
        <w:t xml:space="preserve">GEMINI 1 and 2 </w:t>
      </w:r>
      <w:proofErr w:type="gramStart"/>
      <w:r w:rsidR="00B550A1" w:rsidRPr="00CD4428">
        <w:rPr>
          <w:rFonts w:ascii="Book Antiqua" w:eastAsia="SabonLTStd-Roman" w:hAnsi="Book Antiqua" w:cstheme="minorHAnsi"/>
          <w:sz w:val="24"/>
          <w:szCs w:val="24"/>
          <w:lang w:val="en-GB"/>
        </w:rPr>
        <w:t>studies</w:t>
      </w:r>
      <w:r w:rsidR="005B50ED" w:rsidRPr="00CD4428">
        <w:rPr>
          <w:rFonts w:ascii="Book Antiqua" w:eastAsia="SabonLTStd-Roman" w:hAnsi="Book Antiqua" w:cstheme="minorHAnsi"/>
          <w:sz w:val="24"/>
          <w:szCs w:val="24"/>
          <w:vertAlign w:val="superscript"/>
          <w:lang w:val="en-GB"/>
        </w:rPr>
        <w:t>[</w:t>
      </w:r>
      <w:proofErr w:type="gramEnd"/>
      <w:r w:rsidR="00351C90" w:rsidRPr="00CD4428">
        <w:rPr>
          <w:rFonts w:ascii="Book Antiqua" w:eastAsia="SabonLTStd-Roman" w:hAnsi="Book Antiqua" w:cstheme="minorHAnsi"/>
          <w:sz w:val="24"/>
          <w:szCs w:val="24"/>
          <w:vertAlign w:val="superscript"/>
          <w:lang w:val="en-GB"/>
        </w:rPr>
        <w:t>10</w:t>
      </w:r>
      <w:r w:rsidR="005B50ED" w:rsidRPr="00CD4428">
        <w:rPr>
          <w:rFonts w:ascii="Book Antiqua" w:eastAsia="SabonLTStd-Roman" w:hAnsi="Book Antiqua" w:cstheme="minorHAnsi"/>
          <w:sz w:val="24"/>
          <w:szCs w:val="24"/>
          <w:vertAlign w:val="superscript"/>
          <w:lang w:val="en-GB"/>
        </w:rPr>
        <w:t>,</w:t>
      </w:r>
      <w:r w:rsidR="00351C90" w:rsidRPr="00CD4428">
        <w:rPr>
          <w:rFonts w:ascii="Book Antiqua" w:eastAsia="SabonLTStd-Roman" w:hAnsi="Book Antiqua" w:cstheme="minorHAnsi"/>
          <w:sz w:val="24"/>
          <w:szCs w:val="24"/>
          <w:vertAlign w:val="superscript"/>
          <w:lang w:val="en-GB"/>
        </w:rPr>
        <w:t>11</w:t>
      </w:r>
      <w:r w:rsidR="005B50ED" w:rsidRPr="00CD4428">
        <w:rPr>
          <w:rFonts w:ascii="Book Antiqua" w:eastAsia="SabonLTStd-Roman" w:hAnsi="Book Antiqua" w:cstheme="minorHAnsi"/>
          <w:sz w:val="24"/>
          <w:szCs w:val="24"/>
          <w:vertAlign w:val="superscript"/>
          <w:lang w:val="en-GB"/>
        </w:rPr>
        <w:t>]</w:t>
      </w:r>
      <w:r w:rsidR="00567AD5" w:rsidRPr="00CD4428">
        <w:rPr>
          <w:rFonts w:ascii="Book Antiqua" w:eastAsia="SabonLTStd-Roman" w:hAnsi="Book Antiqua" w:cstheme="minorHAnsi"/>
          <w:sz w:val="24"/>
          <w:szCs w:val="24"/>
          <w:lang w:val="en-GB"/>
        </w:rPr>
        <w:t xml:space="preserve">. However, the interpretation of </w:t>
      </w:r>
      <w:r w:rsidR="00307CB6" w:rsidRPr="00CD4428">
        <w:rPr>
          <w:rFonts w:ascii="Book Antiqua" w:eastAsia="SabonLTStd-Roman" w:hAnsi="Book Antiqua" w:cstheme="minorHAnsi"/>
          <w:sz w:val="24"/>
          <w:szCs w:val="24"/>
          <w:lang w:val="en-GB"/>
        </w:rPr>
        <w:t xml:space="preserve">these </w:t>
      </w:r>
      <w:r w:rsidR="00567AD5" w:rsidRPr="00CD4428">
        <w:rPr>
          <w:rFonts w:ascii="Book Antiqua" w:eastAsia="SabonLTStd-Roman" w:hAnsi="Book Antiqua" w:cstheme="minorHAnsi"/>
          <w:sz w:val="24"/>
          <w:szCs w:val="24"/>
          <w:lang w:val="en-GB"/>
        </w:rPr>
        <w:t xml:space="preserve">data </w:t>
      </w:r>
      <w:proofErr w:type="gramStart"/>
      <w:r w:rsidR="00567AD5" w:rsidRPr="00CD4428">
        <w:rPr>
          <w:rFonts w:ascii="Book Antiqua" w:eastAsia="SabonLTStd-Roman" w:hAnsi="Book Antiqua" w:cstheme="minorHAnsi"/>
          <w:sz w:val="24"/>
          <w:szCs w:val="24"/>
          <w:lang w:val="en-GB"/>
        </w:rPr>
        <w:t>is limited</w:t>
      </w:r>
      <w:proofErr w:type="gramEnd"/>
      <w:r w:rsidR="00567AD5" w:rsidRPr="00CD4428">
        <w:rPr>
          <w:rFonts w:ascii="Book Antiqua" w:eastAsia="SabonLTStd-Roman" w:hAnsi="Book Antiqua" w:cstheme="minorHAnsi"/>
          <w:sz w:val="24"/>
          <w:szCs w:val="24"/>
          <w:lang w:val="en-GB"/>
        </w:rPr>
        <w:t xml:space="preserve"> by the small sample size of patients receiving concomitant </w:t>
      </w:r>
      <w:proofErr w:type="spellStart"/>
      <w:r w:rsidR="00567AD5" w:rsidRPr="00CD4428">
        <w:rPr>
          <w:rFonts w:ascii="Book Antiqua" w:eastAsia="SabonLTStd-Roman" w:hAnsi="Book Antiqua" w:cstheme="minorHAnsi"/>
          <w:sz w:val="24"/>
          <w:szCs w:val="24"/>
          <w:lang w:val="en-GB"/>
        </w:rPr>
        <w:t>immunomodulators</w:t>
      </w:r>
      <w:proofErr w:type="spellEnd"/>
      <w:r w:rsidR="00567AD5" w:rsidRPr="00CD4428">
        <w:rPr>
          <w:rFonts w:ascii="Book Antiqua" w:eastAsia="SabonLTStd-Roman" w:hAnsi="Book Antiqua" w:cstheme="minorHAnsi"/>
          <w:sz w:val="24"/>
          <w:szCs w:val="24"/>
          <w:lang w:val="en-GB"/>
        </w:rPr>
        <w:t xml:space="preserve"> and their interruption during </w:t>
      </w:r>
      <w:r w:rsidR="00307CB6" w:rsidRPr="00CD4428">
        <w:rPr>
          <w:rFonts w:ascii="Book Antiqua" w:eastAsia="SabonLTStd-Roman" w:hAnsi="Book Antiqua" w:cstheme="minorHAnsi"/>
          <w:sz w:val="24"/>
          <w:szCs w:val="24"/>
          <w:lang w:val="en-GB"/>
        </w:rPr>
        <w:t xml:space="preserve">the </w:t>
      </w:r>
      <w:r w:rsidR="00567AD5" w:rsidRPr="00CD4428">
        <w:rPr>
          <w:rFonts w:ascii="Book Antiqua" w:eastAsia="SabonLTStd-Roman" w:hAnsi="Book Antiqua" w:cstheme="minorHAnsi"/>
          <w:sz w:val="24"/>
          <w:szCs w:val="24"/>
          <w:lang w:val="en-GB"/>
        </w:rPr>
        <w:t xml:space="preserve">maintenance period in both trials. In addition, the studies </w:t>
      </w:r>
      <w:proofErr w:type="gramStart"/>
      <w:r w:rsidR="00567AD5" w:rsidRPr="00CD4428">
        <w:rPr>
          <w:rFonts w:ascii="Book Antiqua" w:eastAsia="SabonLTStd-Roman" w:hAnsi="Book Antiqua" w:cstheme="minorHAnsi"/>
          <w:sz w:val="24"/>
          <w:szCs w:val="24"/>
          <w:lang w:val="en-GB"/>
        </w:rPr>
        <w:t>were not designed</w:t>
      </w:r>
      <w:proofErr w:type="gramEnd"/>
      <w:r w:rsidR="00567AD5" w:rsidRPr="00CD4428">
        <w:rPr>
          <w:rFonts w:ascii="Book Antiqua" w:eastAsia="SabonLTStd-Roman" w:hAnsi="Book Antiqua" w:cstheme="minorHAnsi"/>
          <w:sz w:val="24"/>
          <w:szCs w:val="24"/>
          <w:lang w:val="en-GB"/>
        </w:rPr>
        <w:t xml:space="preserve"> to address outcomes in patients on combination immunosuppressive therapy. No consistent benefit of adding</w:t>
      </w:r>
      <w:r w:rsidR="009E0CE3" w:rsidRPr="00CD4428">
        <w:rPr>
          <w:rFonts w:ascii="Book Antiqua" w:eastAsia="SabonLTStd-Roman" w:hAnsi="Book Antiqua" w:cstheme="minorHAnsi"/>
          <w:sz w:val="24"/>
          <w:szCs w:val="24"/>
          <w:lang w:val="en-GB"/>
        </w:rPr>
        <w:t xml:space="preserve"> </w:t>
      </w:r>
      <w:r w:rsidR="00567AD5" w:rsidRPr="00CD4428">
        <w:rPr>
          <w:rFonts w:ascii="Book Antiqua" w:eastAsia="SabonLTStd-Roman" w:hAnsi="Book Antiqua" w:cstheme="minorHAnsi"/>
          <w:sz w:val="24"/>
          <w:szCs w:val="24"/>
          <w:lang w:val="en-GB"/>
        </w:rPr>
        <w:t>an</w:t>
      </w:r>
      <w:r w:rsidR="00590110" w:rsidRPr="00CD4428">
        <w:rPr>
          <w:rFonts w:ascii="Book Antiqua" w:eastAsia="SabonLTStd-Roman" w:hAnsi="Book Antiqua" w:cstheme="minorHAnsi"/>
          <w:sz w:val="24"/>
          <w:szCs w:val="24"/>
          <w:lang w:val="en-GB"/>
        </w:rPr>
        <w:t xml:space="preserve"> </w:t>
      </w:r>
      <w:r w:rsidR="00567AD5" w:rsidRPr="00CD4428">
        <w:rPr>
          <w:rFonts w:ascii="Book Antiqua" w:eastAsia="SabonLTStd-Roman" w:hAnsi="Book Antiqua" w:cstheme="minorHAnsi"/>
          <w:sz w:val="24"/>
          <w:szCs w:val="24"/>
          <w:lang w:val="en-GB"/>
        </w:rPr>
        <w:t>immunomodulatory</w:t>
      </w:r>
      <w:r w:rsidRPr="00CD4428">
        <w:rPr>
          <w:rFonts w:ascii="Book Antiqua" w:eastAsia="SabonLTStd-Roman" w:hAnsi="Book Antiqua" w:cstheme="minorHAnsi"/>
          <w:sz w:val="24"/>
          <w:szCs w:val="24"/>
          <w:lang w:val="en-GB"/>
        </w:rPr>
        <w:t xml:space="preserve"> agent</w:t>
      </w:r>
      <w:r w:rsidR="00567AD5" w:rsidRPr="00CD4428">
        <w:rPr>
          <w:rFonts w:ascii="Book Antiqua" w:eastAsia="SabonLTStd-Roman" w:hAnsi="Book Antiqua" w:cstheme="minorHAnsi"/>
          <w:sz w:val="24"/>
          <w:szCs w:val="24"/>
          <w:lang w:val="en-GB"/>
        </w:rPr>
        <w:t xml:space="preserve"> to </w:t>
      </w:r>
      <w:proofErr w:type="spellStart"/>
      <w:r w:rsidR="00567AD5" w:rsidRPr="00CD4428">
        <w:rPr>
          <w:rFonts w:ascii="Book Antiqua" w:eastAsia="SabonLTStd-Roman" w:hAnsi="Book Antiqua" w:cstheme="minorHAnsi"/>
          <w:sz w:val="24"/>
          <w:szCs w:val="24"/>
          <w:lang w:val="en-GB"/>
        </w:rPr>
        <w:t>vedolizumab</w:t>
      </w:r>
      <w:proofErr w:type="spellEnd"/>
      <w:r w:rsidR="00567AD5" w:rsidRPr="00CD4428">
        <w:rPr>
          <w:rFonts w:ascii="Book Antiqua" w:eastAsia="SabonLTStd-Roman" w:hAnsi="Book Antiqua" w:cstheme="minorHAnsi"/>
          <w:sz w:val="24"/>
          <w:szCs w:val="24"/>
          <w:lang w:val="en-GB"/>
        </w:rPr>
        <w:t xml:space="preserve"> was observed in some real-world studies and in a small group of patients </w:t>
      </w:r>
      <w:r w:rsidRPr="00CD4428">
        <w:rPr>
          <w:rFonts w:ascii="Book Antiqua" w:eastAsia="SabonLTStd-Roman" w:hAnsi="Book Antiqua" w:cstheme="minorHAnsi"/>
          <w:sz w:val="24"/>
          <w:szCs w:val="24"/>
          <w:lang w:val="en-GB"/>
        </w:rPr>
        <w:t>with</w:t>
      </w:r>
      <w:r w:rsidR="00567AD5" w:rsidRPr="00CD4428">
        <w:rPr>
          <w:rFonts w:ascii="Book Antiqua" w:eastAsia="SabonLTStd-Roman" w:hAnsi="Book Antiqua" w:cstheme="minorHAnsi"/>
          <w:sz w:val="24"/>
          <w:szCs w:val="24"/>
          <w:lang w:val="en-GB"/>
        </w:rPr>
        <w:t xml:space="preserve"> </w:t>
      </w:r>
      <w:proofErr w:type="gramStart"/>
      <w:r w:rsidRPr="00CD4428">
        <w:rPr>
          <w:rFonts w:ascii="Book Antiqua" w:eastAsia="SabonLTStd-Roman" w:hAnsi="Book Antiqua" w:cstheme="minorHAnsi"/>
          <w:sz w:val="24"/>
          <w:szCs w:val="24"/>
          <w:lang w:val="en-GB"/>
        </w:rPr>
        <w:t>IBD</w:t>
      </w:r>
      <w:r w:rsidR="005B50ED" w:rsidRPr="00CD4428">
        <w:rPr>
          <w:rFonts w:ascii="Book Antiqua" w:eastAsia="SabonLTStd-Roman" w:hAnsi="Book Antiqua" w:cstheme="minorHAnsi"/>
          <w:sz w:val="24"/>
          <w:szCs w:val="24"/>
          <w:vertAlign w:val="superscript"/>
          <w:lang w:val="en-GB"/>
        </w:rPr>
        <w:t>[</w:t>
      </w:r>
      <w:proofErr w:type="gramEnd"/>
      <w:r w:rsidR="005B50ED" w:rsidRPr="00CD4428">
        <w:rPr>
          <w:rFonts w:ascii="Book Antiqua" w:eastAsia="SabonLTStd-Roman" w:hAnsi="Book Antiqua" w:cstheme="minorHAnsi"/>
          <w:sz w:val="24"/>
          <w:szCs w:val="24"/>
          <w:vertAlign w:val="superscript"/>
          <w:lang w:val="en-GB"/>
        </w:rPr>
        <w:t>1</w:t>
      </w:r>
      <w:r w:rsidR="00351C90" w:rsidRPr="00CD4428">
        <w:rPr>
          <w:rFonts w:ascii="Book Antiqua" w:eastAsia="SabonLTStd-Roman" w:hAnsi="Book Antiqua" w:cstheme="minorHAnsi"/>
          <w:sz w:val="24"/>
          <w:szCs w:val="24"/>
          <w:vertAlign w:val="superscript"/>
          <w:lang w:val="en-GB"/>
        </w:rPr>
        <w:t>5</w:t>
      </w:r>
      <w:r w:rsidR="005B50ED" w:rsidRPr="00CD4428">
        <w:rPr>
          <w:rFonts w:ascii="Book Antiqua" w:eastAsia="SabonLTStd-Roman" w:hAnsi="Book Antiqua" w:cstheme="minorHAnsi"/>
          <w:sz w:val="24"/>
          <w:szCs w:val="24"/>
          <w:vertAlign w:val="superscript"/>
          <w:lang w:val="en-GB"/>
        </w:rPr>
        <w:t>,</w:t>
      </w:r>
      <w:r w:rsidR="00351C90" w:rsidRPr="00CD4428">
        <w:rPr>
          <w:rFonts w:ascii="Book Antiqua" w:eastAsia="SabonLTStd-Roman" w:hAnsi="Book Antiqua" w:cstheme="minorHAnsi"/>
          <w:sz w:val="24"/>
          <w:szCs w:val="24"/>
          <w:vertAlign w:val="superscript"/>
          <w:lang w:val="en-GB"/>
        </w:rPr>
        <w:t>20</w:t>
      </w:r>
      <w:r w:rsidR="00705D5D" w:rsidRPr="00CD4428">
        <w:rPr>
          <w:rFonts w:ascii="Book Antiqua" w:eastAsia="SabonLTStd-Roman" w:hAnsi="Book Antiqua" w:cstheme="minorHAnsi"/>
          <w:sz w:val="24"/>
          <w:szCs w:val="24"/>
          <w:vertAlign w:val="superscript"/>
          <w:lang w:val="en-GB"/>
        </w:rPr>
        <w:t>,</w:t>
      </w:r>
      <w:r w:rsidR="00351C90" w:rsidRPr="00CD4428">
        <w:rPr>
          <w:rFonts w:ascii="Book Antiqua" w:eastAsia="SabonLTStd-Roman" w:hAnsi="Book Antiqua" w:cstheme="minorHAnsi"/>
          <w:sz w:val="24"/>
          <w:szCs w:val="24"/>
          <w:vertAlign w:val="superscript"/>
          <w:lang w:val="en-GB"/>
        </w:rPr>
        <w:t>23</w:t>
      </w:r>
      <w:r w:rsidR="00705D5D" w:rsidRPr="00CD4428">
        <w:rPr>
          <w:rFonts w:ascii="Book Antiqua" w:eastAsia="SabonLTStd-Roman" w:hAnsi="Book Antiqua" w:cstheme="minorHAnsi"/>
          <w:sz w:val="24"/>
          <w:szCs w:val="24"/>
          <w:vertAlign w:val="superscript"/>
          <w:lang w:val="en-GB"/>
        </w:rPr>
        <w:t>,</w:t>
      </w:r>
      <w:r w:rsidR="00351C90" w:rsidRPr="00CD4428">
        <w:rPr>
          <w:rFonts w:ascii="Book Antiqua" w:eastAsia="SabonLTStd-Roman" w:hAnsi="Book Antiqua" w:cstheme="minorHAnsi"/>
          <w:sz w:val="24"/>
          <w:szCs w:val="24"/>
          <w:vertAlign w:val="superscript"/>
          <w:lang w:val="en-GB"/>
        </w:rPr>
        <w:t>24</w:t>
      </w:r>
      <w:r w:rsidR="00705D5D" w:rsidRPr="00CD4428">
        <w:rPr>
          <w:rFonts w:ascii="Book Antiqua" w:eastAsia="SabonLTStd-Roman" w:hAnsi="Book Antiqua" w:cstheme="minorHAnsi"/>
          <w:sz w:val="24"/>
          <w:szCs w:val="24"/>
          <w:vertAlign w:val="superscript"/>
          <w:lang w:val="en-GB"/>
        </w:rPr>
        <w:t>,</w:t>
      </w:r>
      <w:r w:rsidR="005A1845" w:rsidRPr="00CD4428">
        <w:rPr>
          <w:rFonts w:ascii="Book Antiqua" w:eastAsia="SabonLTStd-Roman" w:hAnsi="Book Antiqua" w:cstheme="minorHAnsi"/>
          <w:sz w:val="24"/>
          <w:szCs w:val="24"/>
          <w:vertAlign w:val="superscript"/>
          <w:lang w:val="en-GB"/>
        </w:rPr>
        <w:t>41</w:t>
      </w:r>
      <w:r w:rsidR="005B50ED" w:rsidRPr="00CD4428">
        <w:rPr>
          <w:rFonts w:ascii="Book Antiqua" w:eastAsia="SabonLTStd-Roman" w:hAnsi="Book Antiqua" w:cstheme="minorHAnsi"/>
          <w:sz w:val="24"/>
          <w:szCs w:val="24"/>
          <w:vertAlign w:val="superscript"/>
          <w:lang w:val="en-GB"/>
        </w:rPr>
        <w:t>]</w:t>
      </w:r>
      <w:r w:rsidR="00567AD5" w:rsidRPr="00CD4428">
        <w:rPr>
          <w:rFonts w:ascii="Book Antiqua" w:eastAsia="SabonLTStd-Roman" w:hAnsi="Book Antiqua" w:cstheme="minorHAnsi"/>
          <w:sz w:val="24"/>
          <w:szCs w:val="24"/>
          <w:lang w:val="en-GB"/>
        </w:rPr>
        <w:t xml:space="preserve">. These data are in line with the finding that combination therapy did not lead to higher </w:t>
      </w:r>
      <w:r w:rsidR="00440D84" w:rsidRPr="00CD4428">
        <w:rPr>
          <w:rFonts w:ascii="Book Antiqua" w:eastAsia="SabonLTStd-Roman" w:hAnsi="Book Antiqua" w:cstheme="minorHAnsi"/>
          <w:sz w:val="24"/>
          <w:szCs w:val="24"/>
          <w:lang w:val="en-GB"/>
        </w:rPr>
        <w:t xml:space="preserve">early </w:t>
      </w:r>
      <w:proofErr w:type="spellStart"/>
      <w:r w:rsidR="00567AD5" w:rsidRPr="00CD4428">
        <w:rPr>
          <w:rFonts w:ascii="Book Antiqua" w:eastAsia="SabonLTStd-Roman" w:hAnsi="Book Antiqua" w:cstheme="minorHAnsi"/>
          <w:sz w:val="24"/>
          <w:szCs w:val="24"/>
          <w:lang w:val="en-GB"/>
        </w:rPr>
        <w:t>vedolizumab</w:t>
      </w:r>
      <w:proofErr w:type="spellEnd"/>
      <w:r w:rsidR="00567AD5" w:rsidRPr="00CD4428">
        <w:rPr>
          <w:rFonts w:ascii="Book Antiqua" w:eastAsia="SabonLTStd-Roman" w:hAnsi="Book Antiqua" w:cstheme="minorHAnsi"/>
          <w:sz w:val="24"/>
          <w:szCs w:val="24"/>
          <w:lang w:val="en-GB"/>
        </w:rPr>
        <w:t xml:space="preserve"> trough </w:t>
      </w:r>
      <w:proofErr w:type="gramStart"/>
      <w:r w:rsidR="00567AD5" w:rsidRPr="00CD4428">
        <w:rPr>
          <w:rFonts w:ascii="Book Antiqua" w:eastAsia="SabonLTStd-Roman" w:hAnsi="Book Antiqua" w:cstheme="minorHAnsi"/>
          <w:sz w:val="24"/>
          <w:szCs w:val="24"/>
          <w:lang w:val="en-GB"/>
        </w:rPr>
        <w:t>levels</w:t>
      </w:r>
      <w:r w:rsidR="00880708" w:rsidRPr="00CD4428">
        <w:rPr>
          <w:rFonts w:ascii="Book Antiqua" w:eastAsia="SabonLTStd-Roman" w:hAnsi="Book Antiqua" w:cstheme="minorHAnsi"/>
          <w:sz w:val="24"/>
          <w:szCs w:val="24"/>
          <w:vertAlign w:val="superscript"/>
          <w:lang w:val="en-GB"/>
        </w:rPr>
        <w:t>[</w:t>
      </w:r>
      <w:proofErr w:type="gramEnd"/>
      <w:r w:rsidR="00351C90" w:rsidRPr="00CD4428">
        <w:rPr>
          <w:rFonts w:ascii="Book Antiqua" w:eastAsia="SabonLTStd-Roman" w:hAnsi="Book Antiqua" w:cstheme="minorHAnsi"/>
          <w:sz w:val="24"/>
          <w:szCs w:val="24"/>
          <w:vertAlign w:val="superscript"/>
          <w:lang w:val="en-GB"/>
        </w:rPr>
        <w:t>3</w:t>
      </w:r>
      <w:r w:rsidR="005A1845" w:rsidRPr="00CD4428">
        <w:rPr>
          <w:rFonts w:ascii="Book Antiqua" w:eastAsia="SabonLTStd-Roman" w:hAnsi="Book Antiqua" w:cstheme="minorHAnsi"/>
          <w:sz w:val="24"/>
          <w:szCs w:val="24"/>
          <w:vertAlign w:val="superscript"/>
          <w:lang w:val="en-GB"/>
        </w:rPr>
        <w:t>8</w:t>
      </w:r>
      <w:r w:rsidR="00880708" w:rsidRPr="00CD4428">
        <w:rPr>
          <w:rFonts w:ascii="Book Antiqua" w:eastAsia="SabonLTStd-Roman" w:hAnsi="Book Antiqua" w:cstheme="minorHAnsi"/>
          <w:sz w:val="24"/>
          <w:szCs w:val="24"/>
          <w:vertAlign w:val="superscript"/>
          <w:lang w:val="en-GB"/>
        </w:rPr>
        <w:t>]</w:t>
      </w:r>
      <w:r w:rsidR="00567AD5" w:rsidRPr="00CD4428">
        <w:rPr>
          <w:rFonts w:ascii="Book Antiqua" w:eastAsia="SabonLTStd-Roman" w:hAnsi="Book Antiqua" w:cstheme="minorHAnsi"/>
          <w:sz w:val="24"/>
          <w:szCs w:val="24"/>
          <w:lang w:val="en-GB"/>
        </w:rPr>
        <w:t xml:space="preserve">. A potential explanation is </w:t>
      </w:r>
      <w:r w:rsidR="00440D84" w:rsidRPr="00CD4428">
        <w:rPr>
          <w:rFonts w:ascii="Book Antiqua" w:eastAsia="SabonLTStd-Roman" w:hAnsi="Book Antiqua" w:cstheme="minorHAnsi"/>
          <w:sz w:val="24"/>
          <w:szCs w:val="24"/>
          <w:lang w:val="en-GB"/>
        </w:rPr>
        <w:t xml:space="preserve">the low immunogenic profile of </w:t>
      </w:r>
      <w:proofErr w:type="spellStart"/>
      <w:r w:rsidR="00440D84" w:rsidRPr="00CD4428">
        <w:rPr>
          <w:rFonts w:ascii="Book Antiqua" w:eastAsia="SabonLTStd-Roman" w:hAnsi="Book Antiqua" w:cstheme="minorHAnsi"/>
          <w:sz w:val="24"/>
          <w:szCs w:val="24"/>
          <w:lang w:val="en-GB"/>
        </w:rPr>
        <w:t>vedolizumab</w:t>
      </w:r>
      <w:proofErr w:type="spellEnd"/>
      <w:r w:rsidR="00440D84" w:rsidRPr="00CD4428">
        <w:rPr>
          <w:rFonts w:ascii="Book Antiqua" w:eastAsia="SabonLTStd-Roman" w:hAnsi="Book Antiqua" w:cstheme="minorHAnsi"/>
          <w:sz w:val="24"/>
          <w:szCs w:val="24"/>
          <w:lang w:val="en-GB"/>
        </w:rPr>
        <w:t>,</w:t>
      </w:r>
      <w:r w:rsidR="00567AD5" w:rsidRPr="00CD4428">
        <w:rPr>
          <w:rFonts w:ascii="Book Antiqua" w:eastAsia="SabonLTStd-Roman" w:hAnsi="Book Antiqua" w:cstheme="minorHAnsi"/>
          <w:sz w:val="24"/>
          <w:szCs w:val="24"/>
          <w:lang w:val="en-GB"/>
        </w:rPr>
        <w:t xml:space="preserve"> </w:t>
      </w:r>
      <w:r w:rsidRPr="00CD4428">
        <w:rPr>
          <w:rFonts w:ascii="Book Antiqua" w:eastAsia="SabonLTStd-Roman" w:hAnsi="Book Antiqua" w:cstheme="minorHAnsi"/>
          <w:sz w:val="24"/>
          <w:szCs w:val="24"/>
          <w:lang w:val="en-GB"/>
        </w:rPr>
        <w:t xml:space="preserve">which </w:t>
      </w:r>
      <w:r w:rsidR="00567AD5" w:rsidRPr="00CD4428">
        <w:rPr>
          <w:rFonts w:ascii="Book Antiqua" w:eastAsia="SabonLTStd-Roman" w:hAnsi="Book Antiqua" w:cstheme="minorHAnsi"/>
          <w:sz w:val="24"/>
          <w:szCs w:val="24"/>
          <w:lang w:val="en-GB"/>
        </w:rPr>
        <w:t>differ</w:t>
      </w:r>
      <w:r w:rsidRPr="00CD4428">
        <w:rPr>
          <w:rFonts w:ascii="Book Antiqua" w:eastAsia="SabonLTStd-Roman" w:hAnsi="Book Antiqua" w:cstheme="minorHAnsi"/>
          <w:sz w:val="24"/>
          <w:szCs w:val="24"/>
          <w:lang w:val="en-GB"/>
        </w:rPr>
        <w:t>s</w:t>
      </w:r>
      <w:r w:rsidR="00567AD5" w:rsidRPr="00CD4428">
        <w:rPr>
          <w:rFonts w:ascii="Book Antiqua" w:eastAsia="SabonLTStd-Roman" w:hAnsi="Book Antiqua" w:cstheme="minorHAnsi"/>
          <w:sz w:val="24"/>
          <w:szCs w:val="24"/>
          <w:lang w:val="en-GB"/>
        </w:rPr>
        <w:t xml:space="preserve"> from </w:t>
      </w:r>
      <w:r w:rsidRPr="00CD4428">
        <w:rPr>
          <w:rFonts w:ascii="Book Antiqua" w:eastAsia="SabonLTStd-Roman" w:hAnsi="Book Antiqua" w:cstheme="minorHAnsi"/>
          <w:sz w:val="24"/>
          <w:szCs w:val="24"/>
          <w:lang w:val="en-GB"/>
        </w:rPr>
        <w:t xml:space="preserve">that of </w:t>
      </w:r>
      <w:r w:rsidR="00567AD5" w:rsidRPr="00CD4428">
        <w:rPr>
          <w:rFonts w:ascii="Book Antiqua" w:eastAsia="SabonLTStd-Roman" w:hAnsi="Book Antiqua" w:cstheme="minorHAnsi"/>
          <w:sz w:val="24"/>
          <w:szCs w:val="24"/>
          <w:lang w:val="en-GB"/>
        </w:rPr>
        <w:t xml:space="preserve">anti-TNFα </w:t>
      </w:r>
      <w:proofErr w:type="gramStart"/>
      <w:r w:rsidR="00567AD5" w:rsidRPr="00CD4428">
        <w:rPr>
          <w:rFonts w:ascii="Book Antiqua" w:eastAsia="SabonLTStd-Roman" w:hAnsi="Book Antiqua" w:cstheme="minorHAnsi"/>
          <w:sz w:val="24"/>
          <w:szCs w:val="24"/>
          <w:lang w:val="en-GB"/>
        </w:rPr>
        <w:t>agents</w:t>
      </w:r>
      <w:r w:rsidR="003D2981" w:rsidRPr="00CD4428">
        <w:rPr>
          <w:rFonts w:ascii="Book Antiqua" w:eastAsia="SabonLTStd-Roman" w:hAnsi="Book Antiqua" w:cstheme="minorHAnsi"/>
          <w:sz w:val="24"/>
          <w:szCs w:val="24"/>
          <w:vertAlign w:val="superscript"/>
          <w:lang w:val="en-GB"/>
        </w:rPr>
        <w:t>[</w:t>
      </w:r>
      <w:proofErr w:type="gramEnd"/>
      <w:r w:rsidR="005A1845" w:rsidRPr="00CD4428">
        <w:rPr>
          <w:rFonts w:ascii="Book Antiqua" w:eastAsia="SabonLTStd-Roman" w:hAnsi="Book Antiqua" w:cstheme="minorHAnsi"/>
          <w:sz w:val="24"/>
          <w:szCs w:val="24"/>
          <w:vertAlign w:val="superscript"/>
          <w:lang w:val="en-GB"/>
        </w:rPr>
        <w:t>42</w:t>
      </w:r>
      <w:r w:rsidR="003D2981" w:rsidRPr="00CD4428">
        <w:rPr>
          <w:rFonts w:ascii="Book Antiqua" w:eastAsia="SabonLTStd-Roman" w:hAnsi="Book Antiqua" w:cstheme="minorHAnsi"/>
          <w:sz w:val="24"/>
          <w:szCs w:val="24"/>
          <w:vertAlign w:val="superscript"/>
          <w:lang w:val="en-GB"/>
        </w:rPr>
        <w:t>,4</w:t>
      </w:r>
      <w:r w:rsidR="005A1845" w:rsidRPr="00CD4428">
        <w:rPr>
          <w:rFonts w:ascii="Book Antiqua" w:eastAsia="SabonLTStd-Roman" w:hAnsi="Book Antiqua" w:cstheme="minorHAnsi"/>
          <w:sz w:val="24"/>
          <w:szCs w:val="24"/>
          <w:vertAlign w:val="superscript"/>
          <w:lang w:val="en-GB"/>
        </w:rPr>
        <w:t>3</w:t>
      </w:r>
      <w:r w:rsidR="003D2981" w:rsidRPr="00CD4428">
        <w:rPr>
          <w:rFonts w:ascii="Book Antiqua" w:eastAsia="SabonLTStd-Roman" w:hAnsi="Book Antiqua" w:cstheme="minorHAnsi"/>
          <w:sz w:val="24"/>
          <w:szCs w:val="24"/>
          <w:vertAlign w:val="superscript"/>
          <w:lang w:val="en-GB"/>
        </w:rPr>
        <w:t>]</w:t>
      </w:r>
      <w:r w:rsidR="003D2981" w:rsidRPr="00CD4428">
        <w:rPr>
          <w:rFonts w:ascii="Book Antiqua" w:eastAsia="SabonLTStd-Roman" w:hAnsi="Book Antiqua" w:cstheme="minorHAnsi"/>
          <w:sz w:val="24"/>
          <w:szCs w:val="24"/>
          <w:lang w:val="en-GB"/>
        </w:rPr>
        <w:t>.</w:t>
      </w:r>
      <w:r w:rsidR="00590110" w:rsidRPr="00CD4428">
        <w:rPr>
          <w:rFonts w:ascii="Book Antiqua" w:eastAsia="SabonLTStd-Roman" w:hAnsi="Book Antiqua" w:cstheme="minorHAnsi"/>
          <w:sz w:val="24"/>
          <w:szCs w:val="24"/>
          <w:lang w:val="en-GB"/>
        </w:rPr>
        <w:t xml:space="preserve"> </w:t>
      </w:r>
      <w:r w:rsidR="00567AD5" w:rsidRPr="00CD4428">
        <w:rPr>
          <w:rFonts w:ascii="Book Antiqua" w:eastAsia="SabonLTStd-Roman" w:hAnsi="Book Antiqua" w:cstheme="minorHAnsi"/>
          <w:sz w:val="24"/>
          <w:szCs w:val="24"/>
          <w:lang w:val="en-GB"/>
        </w:rPr>
        <w:t>Currently, only a multicentre study and a recent case series showed that the addition of an immunomodulatory</w:t>
      </w:r>
      <w:r w:rsidR="00D57D35" w:rsidRPr="00CD4428">
        <w:rPr>
          <w:rFonts w:ascii="Book Antiqua" w:eastAsia="SabonLTStd-Roman" w:hAnsi="Book Antiqua" w:cstheme="minorHAnsi"/>
          <w:sz w:val="24"/>
          <w:szCs w:val="24"/>
          <w:lang w:val="en-GB"/>
        </w:rPr>
        <w:t xml:space="preserve"> agent</w:t>
      </w:r>
      <w:r w:rsidR="00567AD5" w:rsidRPr="00CD4428">
        <w:rPr>
          <w:rFonts w:ascii="Book Antiqua" w:eastAsia="SabonLTStd-Roman" w:hAnsi="Book Antiqua" w:cstheme="minorHAnsi"/>
          <w:sz w:val="24"/>
          <w:szCs w:val="24"/>
          <w:lang w:val="en-GB"/>
        </w:rPr>
        <w:t xml:space="preserve"> to </w:t>
      </w:r>
      <w:proofErr w:type="spellStart"/>
      <w:r w:rsidR="00567AD5" w:rsidRPr="00CD4428">
        <w:rPr>
          <w:rFonts w:ascii="Book Antiqua" w:eastAsia="SabonLTStd-Roman" w:hAnsi="Book Antiqua" w:cstheme="minorHAnsi"/>
          <w:sz w:val="24"/>
          <w:szCs w:val="24"/>
          <w:lang w:val="en-GB"/>
        </w:rPr>
        <w:t>vedolizumab</w:t>
      </w:r>
      <w:proofErr w:type="spellEnd"/>
      <w:r w:rsidR="00567AD5" w:rsidRPr="00CD4428">
        <w:rPr>
          <w:rFonts w:ascii="Book Antiqua" w:eastAsia="SabonLTStd-Roman" w:hAnsi="Book Antiqua" w:cstheme="minorHAnsi"/>
          <w:sz w:val="24"/>
          <w:szCs w:val="24"/>
          <w:lang w:val="en-GB"/>
        </w:rPr>
        <w:t xml:space="preserve"> was associated with an increased clinical response and remission in </w:t>
      </w:r>
      <w:r w:rsidRPr="00CD4428">
        <w:rPr>
          <w:rFonts w:ascii="Book Antiqua" w:eastAsia="SabonLTStd-Roman" w:hAnsi="Book Antiqua" w:cstheme="minorHAnsi"/>
          <w:sz w:val="24"/>
          <w:szCs w:val="24"/>
          <w:lang w:val="en-GB"/>
        </w:rPr>
        <w:t xml:space="preserve">patients with </w:t>
      </w:r>
      <w:r w:rsidR="00567AD5" w:rsidRPr="00CD4428">
        <w:rPr>
          <w:rFonts w:ascii="Book Antiqua" w:eastAsia="SabonLTStd-Roman" w:hAnsi="Book Antiqua" w:cstheme="minorHAnsi"/>
          <w:sz w:val="24"/>
          <w:szCs w:val="24"/>
          <w:lang w:val="en-GB"/>
        </w:rPr>
        <w:t xml:space="preserve">CD and </w:t>
      </w:r>
      <w:proofErr w:type="gramStart"/>
      <w:r w:rsidR="00567AD5" w:rsidRPr="00CD4428">
        <w:rPr>
          <w:rFonts w:ascii="Book Antiqua" w:eastAsia="SabonLTStd-Roman" w:hAnsi="Book Antiqua" w:cstheme="minorHAnsi"/>
          <w:sz w:val="24"/>
          <w:szCs w:val="24"/>
          <w:lang w:val="en-GB"/>
        </w:rPr>
        <w:t>UC</w:t>
      </w:r>
      <w:r w:rsidR="00880708" w:rsidRPr="00CD4428">
        <w:rPr>
          <w:rFonts w:ascii="Book Antiqua" w:eastAsia="SabonLTStd-Roman" w:hAnsi="Book Antiqua" w:cstheme="minorHAnsi"/>
          <w:sz w:val="24"/>
          <w:szCs w:val="24"/>
          <w:vertAlign w:val="superscript"/>
          <w:lang w:val="en-GB"/>
        </w:rPr>
        <w:t>[</w:t>
      </w:r>
      <w:proofErr w:type="gramEnd"/>
      <w:r w:rsidR="00880708" w:rsidRPr="00CD4428">
        <w:rPr>
          <w:rFonts w:ascii="Book Antiqua" w:eastAsia="SabonLTStd-Roman" w:hAnsi="Book Antiqua" w:cstheme="minorHAnsi"/>
          <w:sz w:val="24"/>
          <w:szCs w:val="24"/>
          <w:vertAlign w:val="superscript"/>
          <w:lang w:val="en-GB"/>
        </w:rPr>
        <w:t>2</w:t>
      </w:r>
      <w:r w:rsidR="00351C90" w:rsidRPr="00CD4428">
        <w:rPr>
          <w:rFonts w:ascii="Book Antiqua" w:eastAsia="SabonLTStd-Roman" w:hAnsi="Book Antiqua" w:cstheme="minorHAnsi"/>
          <w:sz w:val="24"/>
          <w:szCs w:val="24"/>
          <w:vertAlign w:val="superscript"/>
          <w:lang w:val="en-GB"/>
        </w:rPr>
        <w:t>6</w:t>
      </w:r>
      <w:r w:rsidR="00880708" w:rsidRPr="00CD4428">
        <w:rPr>
          <w:rFonts w:ascii="Book Antiqua" w:eastAsia="SabonLTStd-Roman" w:hAnsi="Book Antiqua" w:cstheme="minorHAnsi"/>
          <w:sz w:val="24"/>
          <w:szCs w:val="24"/>
          <w:vertAlign w:val="superscript"/>
          <w:lang w:val="en-GB"/>
        </w:rPr>
        <w:t>,</w:t>
      </w:r>
      <w:r w:rsidR="003D2981" w:rsidRPr="00CD4428">
        <w:rPr>
          <w:rFonts w:ascii="Book Antiqua" w:eastAsia="SabonLTStd-Roman" w:hAnsi="Book Antiqua" w:cstheme="minorHAnsi"/>
          <w:sz w:val="24"/>
          <w:szCs w:val="24"/>
          <w:vertAlign w:val="superscript"/>
          <w:lang w:val="en-GB"/>
        </w:rPr>
        <w:t>4</w:t>
      </w:r>
      <w:r w:rsidR="005A1845" w:rsidRPr="00CD4428">
        <w:rPr>
          <w:rFonts w:ascii="Book Antiqua" w:eastAsia="SabonLTStd-Roman" w:hAnsi="Book Antiqua" w:cstheme="minorHAnsi"/>
          <w:sz w:val="24"/>
          <w:szCs w:val="24"/>
          <w:vertAlign w:val="superscript"/>
          <w:lang w:val="en-GB"/>
        </w:rPr>
        <w:t>4</w:t>
      </w:r>
      <w:r w:rsidR="00880708" w:rsidRPr="00CD4428">
        <w:rPr>
          <w:rFonts w:ascii="Book Antiqua" w:eastAsia="SabonLTStd-Roman" w:hAnsi="Book Antiqua" w:cstheme="minorHAnsi"/>
          <w:sz w:val="24"/>
          <w:szCs w:val="24"/>
          <w:vertAlign w:val="superscript"/>
          <w:lang w:val="en-GB"/>
        </w:rPr>
        <w:t>]</w:t>
      </w:r>
      <w:r w:rsidR="00567AD5" w:rsidRPr="00CD4428">
        <w:rPr>
          <w:rFonts w:ascii="Book Antiqua" w:eastAsia="SabonLTStd-Roman" w:hAnsi="Book Antiqua" w:cstheme="minorHAnsi"/>
          <w:sz w:val="24"/>
          <w:szCs w:val="24"/>
          <w:lang w:val="en-GB"/>
        </w:rPr>
        <w:t xml:space="preserve">. Further studies </w:t>
      </w:r>
      <w:proofErr w:type="gramStart"/>
      <w:r w:rsidR="00567AD5" w:rsidRPr="00CD4428">
        <w:rPr>
          <w:rFonts w:ascii="Book Antiqua" w:eastAsia="SabonLTStd-Roman" w:hAnsi="Book Antiqua" w:cstheme="minorHAnsi"/>
          <w:sz w:val="24"/>
          <w:szCs w:val="24"/>
          <w:lang w:val="en-GB"/>
        </w:rPr>
        <w:t>are needed</w:t>
      </w:r>
      <w:proofErr w:type="gramEnd"/>
      <w:r w:rsidR="00590110" w:rsidRPr="00CD4428">
        <w:rPr>
          <w:rFonts w:ascii="Book Antiqua" w:eastAsia="SabonLTStd-Roman" w:hAnsi="Book Antiqua" w:cstheme="minorHAnsi"/>
          <w:sz w:val="24"/>
          <w:szCs w:val="24"/>
          <w:lang w:val="en-GB"/>
        </w:rPr>
        <w:t xml:space="preserve"> </w:t>
      </w:r>
      <w:r w:rsidR="00567AD5" w:rsidRPr="00CD4428">
        <w:rPr>
          <w:rFonts w:ascii="Book Antiqua" w:eastAsia="SabonLTStd-Roman" w:hAnsi="Book Antiqua" w:cstheme="minorHAnsi"/>
          <w:sz w:val="24"/>
          <w:szCs w:val="24"/>
          <w:lang w:val="en-GB"/>
        </w:rPr>
        <w:t>to better define this aspect.</w:t>
      </w:r>
    </w:p>
    <w:p w14:paraId="70B86859" w14:textId="77777777" w:rsidR="002F40E1" w:rsidRPr="00760B6C" w:rsidRDefault="002F40E1" w:rsidP="00760B6C">
      <w:pPr>
        <w:autoSpaceDE w:val="0"/>
        <w:autoSpaceDN w:val="0"/>
        <w:adjustRightInd w:val="0"/>
        <w:snapToGrid w:val="0"/>
        <w:spacing w:after="0" w:line="360" w:lineRule="auto"/>
        <w:jc w:val="both"/>
        <w:rPr>
          <w:rFonts w:ascii="Book Antiqua" w:hAnsi="Book Antiqua" w:cstheme="minorHAnsi"/>
          <w:sz w:val="24"/>
          <w:szCs w:val="24"/>
          <w:lang w:val="en-GB" w:eastAsia="zh-CN"/>
        </w:rPr>
      </w:pPr>
    </w:p>
    <w:p w14:paraId="77624B34" w14:textId="1552A4AD" w:rsidR="00E72201" w:rsidRPr="00760B6C" w:rsidRDefault="00E72201" w:rsidP="00E17439">
      <w:pPr>
        <w:autoSpaceDE w:val="0"/>
        <w:autoSpaceDN w:val="0"/>
        <w:adjustRightInd w:val="0"/>
        <w:snapToGrid w:val="0"/>
        <w:spacing w:after="0" w:line="360" w:lineRule="auto"/>
        <w:jc w:val="both"/>
        <w:rPr>
          <w:rFonts w:ascii="Book Antiqua" w:hAnsi="Book Antiqua" w:cstheme="minorHAnsi"/>
          <w:b/>
          <w:caps/>
          <w:sz w:val="24"/>
          <w:szCs w:val="24"/>
          <w:lang w:val="en-GB" w:eastAsia="zh-CN"/>
        </w:rPr>
      </w:pPr>
      <w:r w:rsidRPr="00760B6C">
        <w:rPr>
          <w:rFonts w:ascii="Book Antiqua" w:eastAsia="SabonLTStd-Roman" w:hAnsi="Book Antiqua" w:cstheme="minorHAnsi"/>
          <w:b/>
          <w:caps/>
          <w:sz w:val="24"/>
          <w:szCs w:val="24"/>
          <w:lang w:val="en-GB"/>
        </w:rPr>
        <w:t>Safety</w:t>
      </w:r>
      <w:r w:rsidR="00E77E1E" w:rsidRPr="00760B6C">
        <w:rPr>
          <w:rFonts w:ascii="Book Antiqua" w:eastAsia="SabonLTStd-Roman" w:hAnsi="Book Antiqua" w:cstheme="minorHAnsi"/>
          <w:b/>
          <w:caps/>
          <w:sz w:val="24"/>
          <w:szCs w:val="24"/>
          <w:lang w:val="en-GB"/>
        </w:rPr>
        <w:t xml:space="preserve"> </w:t>
      </w:r>
      <w:r w:rsidR="003869BE" w:rsidRPr="00760B6C">
        <w:rPr>
          <w:rFonts w:ascii="Book Antiqua" w:eastAsia="SabonLTStd-Roman" w:hAnsi="Book Antiqua" w:cstheme="minorHAnsi"/>
          <w:b/>
          <w:caps/>
          <w:sz w:val="24"/>
          <w:szCs w:val="24"/>
          <w:lang w:val="en-GB"/>
        </w:rPr>
        <w:t xml:space="preserve">of vedolizumab </w:t>
      </w:r>
      <w:r w:rsidR="00E77E1E" w:rsidRPr="00760B6C">
        <w:rPr>
          <w:rFonts w:ascii="Book Antiqua" w:eastAsia="SabonLTStd-Roman" w:hAnsi="Book Antiqua" w:cstheme="minorHAnsi"/>
          <w:b/>
          <w:caps/>
          <w:sz w:val="24"/>
          <w:szCs w:val="24"/>
          <w:lang w:val="en-GB"/>
        </w:rPr>
        <w:t>from randomized controlled trials and real-world studies</w:t>
      </w:r>
    </w:p>
    <w:p w14:paraId="10EC108A" w14:textId="4D2DC05F" w:rsidR="00FE6294" w:rsidRPr="00CD4428" w:rsidRDefault="00B510FE" w:rsidP="00E17439">
      <w:pPr>
        <w:autoSpaceDE w:val="0"/>
        <w:autoSpaceDN w:val="0"/>
        <w:adjustRightInd w:val="0"/>
        <w:snapToGrid w:val="0"/>
        <w:spacing w:after="0" w:line="360" w:lineRule="auto"/>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 xml:space="preserve">Safety data </w:t>
      </w:r>
      <w:r w:rsidR="00A939D4" w:rsidRPr="00CD4428">
        <w:rPr>
          <w:rFonts w:ascii="Book Antiqua" w:eastAsia="SabonLTStd-Roman" w:hAnsi="Book Antiqua" w:cstheme="minorHAnsi"/>
          <w:sz w:val="24"/>
          <w:szCs w:val="24"/>
          <w:lang w:val="en-GB"/>
        </w:rPr>
        <w:t>o</w:t>
      </w:r>
      <w:r w:rsidR="00497001" w:rsidRPr="00CD4428">
        <w:rPr>
          <w:rFonts w:ascii="Book Antiqua" w:eastAsia="SabonLTStd-Roman" w:hAnsi="Book Antiqua" w:cstheme="minorHAnsi"/>
          <w:sz w:val="24"/>
          <w:szCs w:val="24"/>
          <w:lang w:val="en-GB"/>
        </w:rPr>
        <w:t>n</w:t>
      </w:r>
      <w:r w:rsidR="00A939D4" w:rsidRPr="00CD4428">
        <w:rPr>
          <w:rFonts w:ascii="Book Antiqua" w:eastAsia="SabonLTStd-Roman" w:hAnsi="Book Antiqua" w:cstheme="minorHAnsi"/>
          <w:sz w:val="24"/>
          <w:szCs w:val="24"/>
          <w:lang w:val="en-GB"/>
        </w:rPr>
        <w:t xml:space="preserve"> </w:t>
      </w:r>
      <w:proofErr w:type="spellStart"/>
      <w:r w:rsidR="00A939D4" w:rsidRPr="00CD4428">
        <w:rPr>
          <w:rFonts w:ascii="Book Antiqua" w:eastAsia="SabonLTStd-Roman" w:hAnsi="Book Antiqua" w:cstheme="minorHAnsi"/>
          <w:sz w:val="24"/>
          <w:szCs w:val="24"/>
          <w:lang w:val="en-GB"/>
        </w:rPr>
        <w:t>vedolizumab</w:t>
      </w:r>
      <w:proofErr w:type="spellEnd"/>
      <w:r w:rsidR="00A939D4" w:rsidRPr="00CD4428">
        <w:rPr>
          <w:rFonts w:ascii="Book Antiqua" w:eastAsia="SabonLTStd-Roman" w:hAnsi="Book Antiqua" w:cstheme="minorHAnsi"/>
          <w:sz w:val="24"/>
          <w:szCs w:val="24"/>
          <w:lang w:val="en-GB"/>
        </w:rPr>
        <w:t xml:space="preserve"> have been evaluated </w:t>
      </w:r>
      <w:r w:rsidRPr="00CD4428">
        <w:rPr>
          <w:rFonts w:ascii="Book Antiqua" w:eastAsia="SabonLTStd-Roman" w:hAnsi="Book Antiqua" w:cstheme="minorHAnsi"/>
          <w:sz w:val="24"/>
          <w:szCs w:val="24"/>
          <w:lang w:val="en-GB"/>
        </w:rPr>
        <w:t xml:space="preserve">from </w:t>
      </w:r>
      <w:r w:rsidR="00970BBE" w:rsidRPr="00CD4428">
        <w:rPr>
          <w:rFonts w:ascii="Book Antiqua" w:eastAsia="SabonLTStd-Roman" w:hAnsi="Book Antiqua" w:cstheme="minorHAnsi"/>
          <w:sz w:val="24"/>
          <w:szCs w:val="24"/>
          <w:lang w:val="en-GB"/>
        </w:rPr>
        <w:t>four</w:t>
      </w:r>
      <w:r w:rsidRPr="00CD4428">
        <w:rPr>
          <w:rFonts w:ascii="Book Antiqua" w:eastAsia="SabonLTStd-Roman" w:hAnsi="Book Antiqua" w:cstheme="minorHAnsi"/>
          <w:sz w:val="24"/>
          <w:szCs w:val="24"/>
          <w:lang w:val="en-GB"/>
        </w:rPr>
        <w:t xml:space="preserve"> </w:t>
      </w:r>
      <w:r w:rsidR="00A939D4" w:rsidRPr="00CD4428">
        <w:rPr>
          <w:rFonts w:ascii="Book Antiqua" w:eastAsia="SabonLTStd-Roman" w:hAnsi="Book Antiqua" w:cstheme="minorHAnsi"/>
          <w:sz w:val="24"/>
          <w:szCs w:val="24"/>
          <w:lang w:val="en-GB"/>
        </w:rPr>
        <w:t xml:space="preserve">double-blind </w:t>
      </w:r>
      <w:r w:rsidR="00970BBE" w:rsidRPr="00CD4428">
        <w:rPr>
          <w:rFonts w:ascii="Book Antiqua" w:eastAsia="SabonLTStd-Roman" w:hAnsi="Book Antiqua" w:cstheme="minorHAnsi"/>
          <w:sz w:val="24"/>
          <w:szCs w:val="24"/>
          <w:lang w:val="en-GB"/>
        </w:rPr>
        <w:t>and two</w:t>
      </w:r>
      <w:r w:rsidR="00A939D4" w:rsidRPr="00CD4428">
        <w:rPr>
          <w:rFonts w:ascii="Book Antiqua" w:eastAsia="SabonLTStd-Roman" w:hAnsi="Book Antiqua" w:cstheme="minorHAnsi"/>
          <w:sz w:val="24"/>
          <w:szCs w:val="24"/>
          <w:lang w:val="en-GB"/>
        </w:rPr>
        <w:t xml:space="preserve"> open-label trials</w:t>
      </w:r>
      <w:r w:rsidR="00590110" w:rsidRPr="00CD4428">
        <w:rPr>
          <w:rFonts w:ascii="Book Antiqua" w:eastAsia="SabonLTStd-Roman" w:hAnsi="Book Antiqua" w:cstheme="minorHAnsi"/>
          <w:sz w:val="24"/>
          <w:szCs w:val="24"/>
          <w:lang w:val="en-GB"/>
        </w:rPr>
        <w:t xml:space="preserve"> </w:t>
      </w:r>
      <w:r w:rsidR="00A939D4" w:rsidRPr="00CD4428">
        <w:rPr>
          <w:rFonts w:ascii="Book Antiqua" w:eastAsia="SabonLTStd-Roman" w:hAnsi="Book Antiqua" w:cstheme="minorHAnsi"/>
          <w:sz w:val="24"/>
          <w:szCs w:val="24"/>
          <w:lang w:val="en-GB"/>
        </w:rPr>
        <w:t>in a</w:t>
      </w:r>
      <w:r w:rsidR="00490AE2" w:rsidRPr="00CD4428">
        <w:rPr>
          <w:rFonts w:ascii="Book Antiqua" w:eastAsia="SabonLTStd-Roman" w:hAnsi="Book Antiqua" w:cstheme="minorHAnsi"/>
          <w:sz w:val="24"/>
          <w:szCs w:val="24"/>
          <w:lang w:val="en-GB"/>
        </w:rPr>
        <w:t>n analysis</w:t>
      </w:r>
      <w:r w:rsidR="00A939D4" w:rsidRPr="00CD4428">
        <w:rPr>
          <w:rFonts w:ascii="Book Antiqua" w:eastAsia="SabonLTStd-Roman" w:hAnsi="Book Antiqua" w:cstheme="minorHAnsi"/>
          <w:sz w:val="24"/>
          <w:szCs w:val="24"/>
          <w:lang w:val="en-GB"/>
        </w:rPr>
        <w:t xml:space="preserve"> that included over 2</w:t>
      </w:r>
      <w:r w:rsidR="00240A03" w:rsidRPr="00CD4428">
        <w:rPr>
          <w:rFonts w:ascii="Book Antiqua" w:eastAsia="SabonLTStd-Roman" w:hAnsi="Book Antiqua" w:cstheme="minorHAnsi"/>
          <w:sz w:val="24"/>
          <w:szCs w:val="24"/>
          <w:lang w:val="en-GB"/>
        </w:rPr>
        <w:t>8</w:t>
      </w:r>
      <w:r w:rsidR="00A939D4" w:rsidRPr="00CD4428">
        <w:rPr>
          <w:rFonts w:ascii="Book Antiqua" w:eastAsia="SabonLTStd-Roman" w:hAnsi="Book Antiqua" w:cstheme="minorHAnsi"/>
          <w:sz w:val="24"/>
          <w:szCs w:val="24"/>
          <w:lang w:val="en-GB"/>
        </w:rPr>
        <w:t xml:space="preserve">00 </w:t>
      </w:r>
      <w:proofErr w:type="spellStart"/>
      <w:r w:rsidR="00240A03" w:rsidRPr="00CD4428">
        <w:rPr>
          <w:rFonts w:ascii="Book Antiqua" w:eastAsia="SabonLTStd-Roman" w:hAnsi="Book Antiqua" w:cstheme="minorHAnsi"/>
          <w:sz w:val="24"/>
          <w:szCs w:val="24"/>
          <w:lang w:val="en-GB"/>
        </w:rPr>
        <w:t>vedolizumab</w:t>
      </w:r>
      <w:proofErr w:type="spellEnd"/>
      <w:r w:rsidR="00240A03" w:rsidRPr="00CD4428">
        <w:rPr>
          <w:rFonts w:ascii="Book Antiqua" w:eastAsia="SabonLTStd-Roman" w:hAnsi="Book Antiqua" w:cstheme="minorHAnsi"/>
          <w:sz w:val="24"/>
          <w:szCs w:val="24"/>
          <w:lang w:val="en-GB"/>
        </w:rPr>
        <w:t xml:space="preserve">-exposed </w:t>
      </w:r>
      <w:r w:rsidR="00A939D4" w:rsidRPr="00CD4428">
        <w:rPr>
          <w:rFonts w:ascii="Book Antiqua" w:eastAsia="SabonLTStd-Roman" w:hAnsi="Book Antiqua" w:cstheme="minorHAnsi"/>
          <w:sz w:val="24"/>
          <w:szCs w:val="24"/>
          <w:lang w:val="en-GB"/>
        </w:rPr>
        <w:t xml:space="preserve">patients </w:t>
      </w:r>
      <w:r w:rsidR="00497001" w:rsidRPr="00CD4428">
        <w:rPr>
          <w:rFonts w:ascii="Book Antiqua" w:eastAsia="SabonLTStd-Roman" w:hAnsi="Book Antiqua" w:cstheme="minorHAnsi"/>
          <w:sz w:val="24"/>
          <w:szCs w:val="24"/>
          <w:lang w:val="en-GB"/>
        </w:rPr>
        <w:t xml:space="preserve">with IBD who were </w:t>
      </w:r>
      <w:r w:rsidR="00A939D4" w:rsidRPr="00CD4428">
        <w:rPr>
          <w:rFonts w:ascii="Book Antiqua" w:eastAsia="SabonLTStd-Roman" w:hAnsi="Book Antiqua" w:cstheme="minorHAnsi"/>
          <w:sz w:val="24"/>
          <w:szCs w:val="24"/>
          <w:lang w:val="en-GB"/>
        </w:rPr>
        <w:t xml:space="preserve">treated for up to 5 </w:t>
      </w:r>
      <w:proofErr w:type="gramStart"/>
      <w:r w:rsidR="00A939D4" w:rsidRPr="00CD4428">
        <w:rPr>
          <w:rFonts w:ascii="Book Antiqua" w:eastAsia="SabonLTStd-Roman" w:hAnsi="Book Antiqua" w:cstheme="minorHAnsi"/>
          <w:sz w:val="24"/>
          <w:szCs w:val="24"/>
          <w:lang w:val="en-GB"/>
        </w:rPr>
        <w:t>years</w:t>
      </w:r>
      <w:r w:rsidR="00880708" w:rsidRPr="00CD4428">
        <w:rPr>
          <w:rFonts w:ascii="Book Antiqua" w:eastAsia="SabonLTStd-Roman" w:hAnsi="Book Antiqua" w:cstheme="minorHAnsi"/>
          <w:sz w:val="24"/>
          <w:szCs w:val="24"/>
          <w:vertAlign w:val="superscript"/>
          <w:lang w:val="en-GB"/>
        </w:rPr>
        <w:t>[</w:t>
      </w:r>
      <w:proofErr w:type="gramEnd"/>
      <w:r w:rsidR="0044690F" w:rsidRPr="00CD4428">
        <w:rPr>
          <w:rFonts w:ascii="Book Antiqua" w:eastAsia="SabonLTStd-Roman" w:hAnsi="Book Antiqua" w:cstheme="minorHAnsi"/>
          <w:sz w:val="24"/>
          <w:szCs w:val="24"/>
          <w:vertAlign w:val="superscript"/>
          <w:lang w:val="en-GB"/>
        </w:rPr>
        <w:t>4</w:t>
      </w:r>
      <w:r w:rsidR="001853E8" w:rsidRPr="00CD4428">
        <w:rPr>
          <w:rFonts w:ascii="Book Antiqua" w:eastAsia="SabonLTStd-Roman" w:hAnsi="Book Antiqua" w:cstheme="minorHAnsi"/>
          <w:sz w:val="24"/>
          <w:szCs w:val="24"/>
          <w:vertAlign w:val="superscript"/>
          <w:lang w:val="en-GB"/>
        </w:rPr>
        <w:t>5</w:t>
      </w:r>
      <w:r w:rsidR="00880708" w:rsidRPr="00CD4428">
        <w:rPr>
          <w:rFonts w:ascii="Book Antiqua" w:eastAsia="SabonLTStd-Roman" w:hAnsi="Book Antiqua" w:cstheme="minorHAnsi"/>
          <w:sz w:val="24"/>
          <w:szCs w:val="24"/>
          <w:vertAlign w:val="superscript"/>
          <w:lang w:val="en-GB"/>
        </w:rPr>
        <w:t>]</w:t>
      </w:r>
      <w:r w:rsidR="00A939D4" w:rsidRPr="00CD4428">
        <w:rPr>
          <w:rFonts w:ascii="Book Antiqua" w:eastAsia="SabonLTStd-Roman" w:hAnsi="Book Antiqua" w:cstheme="minorHAnsi"/>
          <w:sz w:val="24"/>
          <w:szCs w:val="24"/>
          <w:lang w:val="en-GB"/>
        </w:rPr>
        <w:t>.</w:t>
      </w:r>
      <w:r w:rsidR="00590110" w:rsidRPr="00CD4428">
        <w:rPr>
          <w:rFonts w:ascii="Book Antiqua" w:eastAsia="SabonLTStd-Roman" w:hAnsi="Book Antiqua" w:cstheme="minorHAnsi"/>
          <w:sz w:val="24"/>
          <w:szCs w:val="24"/>
          <w:lang w:val="en-GB"/>
        </w:rPr>
        <w:t xml:space="preserve"> </w:t>
      </w:r>
      <w:r w:rsidR="004C3E54" w:rsidRPr="00CD4428">
        <w:rPr>
          <w:rFonts w:ascii="Book Antiqua" w:eastAsia="SabonLTStd-Roman" w:hAnsi="Book Antiqua" w:cstheme="minorHAnsi"/>
          <w:sz w:val="24"/>
          <w:szCs w:val="24"/>
          <w:lang w:val="en-GB"/>
        </w:rPr>
        <w:t>A</w:t>
      </w:r>
      <w:r w:rsidR="00E72201" w:rsidRPr="00CD4428">
        <w:rPr>
          <w:rFonts w:ascii="Book Antiqua" w:eastAsia="SabonLTStd-Roman" w:hAnsi="Book Antiqua" w:cstheme="minorHAnsi"/>
          <w:sz w:val="24"/>
          <w:szCs w:val="24"/>
          <w:lang w:val="en-GB"/>
        </w:rPr>
        <w:t xml:space="preserve"> </w:t>
      </w:r>
      <w:r w:rsidR="00007266" w:rsidRPr="00CD4428">
        <w:rPr>
          <w:rFonts w:ascii="Book Antiqua" w:eastAsia="SabonLTStd-Roman" w:hAnsi="Book Antiqua" w:cstheme="minorHAnsi"/>
          <w:sz w:val="24"/>
          <w:szCs w:val="24"/>
          <w:lang w:val="en-GB"/>
        </w:rPr>
        <w:t xml:space="preserve">very </w:t>
      </w:r>
      <w:r w:rsidR="00E72201" w:rsidRPr="00CD4428">
        <w:rPr>
          <w:rFonts w:ascii="Book Antiqua" w:eastAsia="SabonLTStd-Roman" w:hAnsi="Book Antiqua" w:cstheme="minorHAnsi"/>
          <w:sz w:val="24"/>
          <w:szCs w:val="24"/>
          <w:lang w:val="en-GB"/>
        </w:rPr>
        <w:t>good safety profile and minimal immunogenicity</w:t>
      </w:r>
      <w:r w:rsidR="004C3E54" w:rsidRPr="00CD4428">
        <w:rPr>
          <w:rFonts w:ascii="Book Antiqua" w:eastAsia="SabonLTStd-Roman" w:hAnsi="Book Antiqua" w:cstheme="minorHAnsi"/>
          <w:sz w:val="24"/>
          <w:szCs w:val="24"/>
          <w:lang w:val="en-GB"/>
        </w:rPr>
        <w:t xml:space="preserve"> </w:t>
      </w:r>
      <w:proofErr w:type="gramStart"/>
      <w:r w:rsidR="004C3E54" w:rsidRPr="00CD4428">
        <w:rPr>
          <w:rFonts w:ascii="Book Antiqua" w:eastAsia="SabonLTStd-Roman" w:hAnsi="Book Antiqua" w:cstheme="minorHAnsi"/>
          <w:sz w:val="24"/>
          <w:szCs w:val="24"/>
          <w:lang w:val="en-GB"/>
        </w:rPr>
        <w:t>were reported</w:t>
      </w:r>
      <w:proofErr w:type="gramEnd"/>
      <w:r w:rsidR="004C3E54" w:rsidRPr="00CD4428">
        <w:rPr>
          <w:rFonts w:ascii="Book Antiqua" w:eastAsia="SabonLTStd-Roman" w:hAnsi="Book Antiqua" w:cstheme="minorHAnsi"/>
          <w:sz w:val="24"/>
          <w:szCs w:val="24"/>
          <w:lang w:val="en-GB"/>
        </w:rPr>
        <w:t xml:space="preserve">. </w:t>
      </w:r>
    </w:p>
    <w:p w14:paraId="4B434158" w14:textId="76EBDC0F" w:rsidR="00007266" w:rsidRPr="00CD4428" w:rsidRDefault="004C3E54" w:rsidP="00760B6C">
      <w:pPr>
        <w:autoSpaceDE w:val="0"/>
        <w:autoSpaceDN w:val="0"/>
        <w:adjustRightInd w:val="0"/>
        <w:snapToGrid w:val="0"/>
        <w:spacing w:after="0" w:line="360" w:lineRule="auto"/>
        <w:ind w:firstLineChars="200" w:firstLine="48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lastRenderedPageBreak/>
        <w:t xml:space="preserve">The risk of </w:t>
      </w:r>
      <w:r w:rsidR="00FE6294" w:rsidRPr="00CD4428">
        <w:rPr>
          <w:rFonts w:ascii="Book Antiqua" w:eastAsia="SabonLTStd-Roman" w:hAnsi="Book Antiqua" w:cstheme="minorHAnsi"/>
          <w:sz w:val="24"/>
          <w:szCs w:val="24"/>
          <w:lang w:val="en-GB"/>
        </w:rPr>
        <w:t>progressive multifocal leukoencephalopathy (</w:t>
      </w:r>
      <w:r w:rsidRPr="00CD4428">
        <w:rPr>
          <w:rFonts w:ascii="Book Antiqua" w:eastAsia="SabonLTStd-Roman" w:hAnsi="Book Antiqua" w:cstheme="minorHAnsi"/>
          <w:sz w:val="24"/>
          <w:szCs w:val="24"/>
          <w:lang w:val="en-GB"/>
        </w:rPr>
        <w:t>PML</w:t>
      </w:r>
      <w:r w:rsidR="00FE6294" w:rsidRPr="00CD4428">
        <w:rPr>
          <w:rFonts w:ascii="Book Antiqua" w:eastAsia="SabonLTStd-Roman" w:hAnsi="Book Antiqua" w:cstheme="minorHAnsi"/>
          <w:sz w:val="24"/>
          <w:szCs w:val="24"/>
          <w:lang w:val="en-GB"/>
        </w:rPr>
        <w:t>)</w:t>
      </w:r>
      <w:r w:rsidRPr="00CD4428">
        <w:rPr>
          <w:rFonts w:ascii="Book Antiqua" w:eastAsia="SabonLTStd-Roman" w:hAnsi="Book Antiqua" w:cstheme="minorHAnsi"/>
          <w:sz w:val="24"/>
          <w:szCs w:val="24"/>
          <w:lang w:val="en-GB"/>
        </w:rPr>
        <w:t xml:space="preserve"> is a potential sa</w:t>
      </w:r>
      <w:r w:rsidR="00614FE5" w:rsidRPr="00CD4428">
        <w:rPr>
          <w:rFonts w:ascii="Book Antiqua" w:eastAsia="SabonLTStd-Roman" w:hAnsi="Book Antiqua" w:cstheme="minorHAnsi"/>
          <w:sz w:val="24"/>
          <w:szCs w:val="24"/>
          <w:lang w:val="en-GB"/>
        </w:rPr>
        <w:t>fety concern fo</w:t>
      </w:r>
      <w:r w:rsidR="00FE6294" w:rsidRPr="00CD4428">
        <w:rPr>
          <w:rFonts w:ascii="Book Antiqua" w:eastAsia="SabonLTStd-Roman" w:hAnsi="Book Antiqua" w:cstheme="minorHAnsi"/>
          <w:sz w:val="24"/>
          <w:szCs w:val="24"/>
          <w:lang w:val="en-GB"/>
        </w:rPr>
        <w:t>r</w:t>
      </w:r>
      <w:r w:rsidR="00614FE5" w:rsidRPr="00CD4428">
        <w:rPr>
          <w:rFonts w:ascii="Book Antiqua" w:eastAsia="SabonLTStd-Roman" w:hAnsi="Book Antiqua" w:cstheme="minorHAnsi"/>
          <w:sz w:val="24"/>
          <w:szCs w:val="24"/>
          <w:lang w:val="en-GB"/>
        </w:rPr>
        <w:t xml:space="preserve"> drugs</w:t>
      </w:r>
      <w:r w:rsidR="00497001" w:rsidRPr="00CD4428">
        <w:rPr>
          <w:rFonts w:ascii="Book Antiqua" w:eastAsia="SabonLTStd-Roman" w:hAnsi="Book Antiqua" w:cstheme="minorHAnsi"/>
          <w:sz w:val="24"/>
          <w:szCs w:val="24"/>
          <w:lang w:val="en-GB"/>
        </w:rPr>
        <w:t xml:space="preserve"> that</w:t>
      </w:r>
      <w:r w:rsidR="00614FE5" w:rsidRPr="00CD4428">
        <w:rPr>
          <w:rFonts w:ascii="Book Antiqua" w:eastAsia="SabonLTStd-Roman" w:hAnsi="Book Antiqua" w:cstheme="minorHAnsi"/>
          <w:sz w:val="24"/>
          <w:szCs w:val="24"/>
          <w:lang w:val="en-GB"/>
        </w:rPr>
        <w:t xml:space="preserve"> block lymphocyte </w:t>
      </w:r>
      <w:r w:rsidR="00FE6294" w:rsidRPr="00CD4428">
        <w:rPr>
          <w:rFonts w:ascii="Book Antiqua" w:eastAsia="SabonLTStd-Roman" w:hAnsi="Book Antiqua" w:cstheme="minorHAnsi"/>
          <w:sz w:val="24"/>
          <w:szCs w:val="24"/>
          <w:lang w:val="en-GB"/>
        </w:rPr>
        <w:t>migration</w:t>
      </w:r>
      <w:r w:rsidR="00497001" w:rsidRPr="00CD4428">
        <w:rPr>
          <w:rFonts w:ascii="Book Antiqua" w:eastAsia="SabonLTStd-Roman" w:hAnsi="Book Antiqua" w:cstheme="minorHAnsi"/>
          <w:sz w:val="24"/>
          <w:szCs w:val="24"/>
          <w:lang w:val="en-GB"/>
        </w:rPr>
        <w:t>. M</w:t>
      </w:r>
      <w:r w:rsidR="00FE6294" w:rsidRPr="00CD4428">
        <w:rPr>
          <w:rFonts w:ascii="Book Antiqua" w:eastAsia="SabonLTStd-Roman" w:hAnsi="Book Antiqua" w:cstheme="minorHAnsi"/>
          <w:sz w:val="24"/>
          <w:szCs w:val="24"/>
          <w:lang w:val="en-GB"/>
        </w:rPr>
        <w:t xml:space="preserve">ore than 500 cases have occurred in </w:t>
      </w:r>
      <w:proofErr w:type="spellStart"/>
      <w:r w:rsidR="00FE6294" w:rsidRPr="00CD4428">
        <w:rPr>
          <w:rFonts w:ascii="Book Antiqua" w:eastAsia="SabonLTStd-Roman" w:hAnsi="Book Antiqua" w:cstheme="minorHAnsi"/>
          <w:sz w:val="24"/>
          <w:szCs w:val="24"/>
          <w:lang w:val="en-GB"/>
        </w:rPr>
        <w:t>natalizumab</w:t>
      </w:r>
      <w:proofErr w:type="spellEnd"/>
      <w:r w:rsidR="00497001" w:rsidRPr="00CD4428">
        <w:rPr>
          <w:rFonts w:ascii="Book Antiqua" w:eastAsia="SabonLTStd-Roman" w:hAnsi="Book Antiqua" w:cstheme="minorHAnsi"/>
          <w:sz w:val="24"/>
          <w:szCs w:val="24"/>
          <w:lang w:val="en-GB"/>
        </w:rPr>
        <w:t>-</w:t>
      </w:r>
      <w:r w:rsidR="00FE6294" w:rsidRPr="00CD4428">
        <w:rPr>
          <w:rFonts w:ascii="Book Antiqua" w:eastAsia="SabonLTStd-Roman" w:hAnsi="Book Antiqua" w:cstheme="minorHAnsi"/>
          <w:sz w:val="24"/>
          <w:szCs w:val="24"/>
          <w:lang w:val="en-GB"/>
        </w:rPr>
        <w:t xml:space="preserve">treated </w:t>
      </w:r>
      <w:proofErr w:type="gramStart"/>
      <w:r w:rsidR="00FE6294" w:rsidRPr="00CD4428">
        <w:rPr>
          <w:rFonts w:ascii="Book Antiqua" w:eastAsia="SabonLTStd-Roman" w:hAnsi="Book Antiqua" w:cstheme="minorHAnsi"/>
          <w:sz w:val="24"/>
          <w:szCs w:val="24"/>
          <w:lang w:val="en-GB"/>
        </w:rPr>
        <w:t>patients</w:t>
      </w:r>
      <w:r w:rsidR="00351C90" w:rsidRPr="00CD4428">
        <w:rPr>
          <w:rFonts w:ascii="Book Antiqua" w:eastAsia="SabonLTStd-Roman" w:hAnsi="Book Antiqua" w:cstheme="minorHAnsi"/>
          <w:sz w:val="24"/>
          <w:szCs w:val="24"/>
          <w:vertAlign w:val="superscript"/>
          <w:lang w:val="en-GB"/>
        </w:rPr>
        <w:t>[</w:t>
      </w:r>
      <w:proofErr w:type="gramEnd"/>
      <w:r w:rsidR="00351C90" w:rsidRPr="00CD4428">
        <w:rPr>
          <w:rFonts w:ascii="Book Antiqua" w:eastAsia="SabonLTStd-Roman" w:hAnsi="Book Antiqua" w:cstheme="minorHAnsi"/>
          <w:sz w:val="24"/>
          <w:szCs w:val="24"/>
          <w:vertAlign w:val="superscript"/>
          <w:lang w:val="en-GB"/>
        </w:rPr>
        <w:t>4</w:t>
      </w:r>
      <w:r w:rsidR="001853E8" w:rsidRPr="00CD4428">
        <w:rPr>
          <w:rFonts w:ascii="Book Antiqua" w:eastAsia="SabonLTStd-Roman" w:hAnsi="Book Antiqua" w:cstheme="minorHAnsi"/>
          <w:sz w:val="24"/>
          <w:szCs w:val="24"/>
          <w:vertAlign w:val="superscript"/>
          <w:lang w:val="en-GB"/>
        </w:rPr>
        <w:t>6</w:t>
      </w:r>
      <w:r w:rsidR="00351C90" w:rsidRPr="00CD4428">
        <w:rPr>
          <w:rFonts w:ascii="Book Antiqua" w:eastAsia="SabonLTStd-Roman" w:hAnsi="Book Antiqua" w:cstheme="minorHAnsi"/>
          <w:sz w:val="24"/>
          <w:szCs w:val="24"/>
          <w:vertAlign w:val="superscript"/>
          <w:lang w:val="en-GB"/>
        </w:rPr>
        <w:t>]</w:t>
      </w:r>
      <w:r w:rsidR="00FE6294" w:rsidRPr="00CD4428">
        <w:rPr>
          <w:rFonts w:ascii="Book Antiqua" w:eastAsia="SabonLTStd-Roman" w:hAnsi="Book Antiqua" w:cstheme="minorHAnsi"/>
          <w:sz w:val="24"/>
          <w:szCs w:val="24"/>
          <w:lang w:val="en-GB"/>
        </w:rPr>
        <w:t xml:space="preserve">. </w:t>
      </w:r>
      <w:r w:rsidR="00497001" w:rsidRPr="00CD4428">
        <w:rPr>
          <w:rFonts w:ascii="Book Antiqua" w:eastAsia="SabonLTStd-Roman" w:hAnsi="Book Antiqua" w:cstheme="minorHAnsi"/>
          <w:sz w:val="24"/>
          <w:szCs w:val="24"/>
          <w:lang w:val="en-GB"/>
        </w:rPr>
        <w:t>However</w:t>
      </w:r>
      <w:r w:rsidR="00FE6294" w:rsidRPr="00CD4428">
        <w:rPr>
          <w:rFonts w:ascii="Book Antiqua" w:eastAsia="SabonLTStd-Roman" w:hAnsi="Book Antiqua" w:cstheme="minorHAnsi"/>
          <w:sz w:val="24"/>
          <w:szCs w:val="24"/>
          <w:lang w:val="en-GB"/>
        </w:rPr>
        <w:t xml:space="preserve">, no cases of PML have been observed during treatment with </w:t>
      </w:r>
      <w:proofErr w:type="spellStart"/>
      <w:r w:rsidR="00FE6294" w:rsidRPr="00CD4428">
        <w:rPr>
          <w:rFonts w:ascii="Book Antiqua" w:eastAsia="SabonLTStd-Roman" w:hAnsi="Book Antiqua" w:cstheme="minorHAnsi"/>
          <w:sz w:val="24"/>
          <w:szCs w:val="24"/>
          <w:lang w:val="en-GB"/>
        </w:rPr>
        <w:t>vedolizumab</w:t>
      </w:r>
      <w:proofErr w:type="spellEnd"/>
      <w:r w:rsidR="00FE6294" w:rsidRPr="00CD4428">
        <w:rPr>
          <w:rFonts w:ascii="Book Antiqua" w:eastAsia="SabonLTStd-Roman" w:hAnsi="Book Antiqua" w:cstheme="minorHAnsi"/>
          <w:sz w:val="24"/>
          <w:szCs w:val="24"/>
          <w:lang w:val="en-GB"/>
        </w:rPr>
        <w:t xml:space="preserve"> according to the concept that the gut selectivity of </w:t>
      </w:r>
      <w:proofErr w:type="spellStart"/>
      <w:r w:rsidR="00FE6294" w:rsidRPr="00CD4428">
        <w:rPr>
          <w:rFonts w:ascii="Book Antiqua" w:eastAsia="SabonLTStd-Roman" w:hAnsi="Book Antiqua" w:cstheme="minorHAnsi"/>
          <w:sz w:val="24"/>
          <w:szCs w:val="24"/>
          <w:lang w:val="en-GB"/>
        </w:rPr>
        <w:t>vedolizumab</w:t>
      </w:r>
      <w:proofErr w:type="spellEnd"/>
      <w:r w:rsidR="00FE6294" w:rsidRPr="00CD4428">
        <w:rPr>
          <w:rFonts w:ascii="Book Antiqua" w:eastAsia="SabonLTStd-Roman" w:hAnsi="Book Antiqua" w:cstheme="minorHAnsi"/>
          <w:sz w:val="24"/>
          <w:szCs w:val="24"/>
          <w:lang w:val="en-GB"/>
        </w:rPr>
        <w:t xml:space="preserve"> is protective against the development of </w:t>
      </w:r>
      <w:proofErr w:type="gramStart"/>
      <w:r w:rsidR="00FE6294" w:rsidRPr="00CD4428">
        <w:rPr>
          <w:rFonts w:ascii="Book Antiqua" w:eastAsia="SabonLTStd-Roman" w:hAnsi="Book Antiqua" w:cstheme="minorHAnsi"/>
          <w:sz w:val="24"/>
          <w:szCs w:val="24"/>
          <w:lang w:val="en-GB"/>
        </w:rPr>
        <w:t>PML</w:t>
      </w:r>
      <w:r w:rsidR="007759CC" w:rsidRPr="00CD4428">
        <w:rPr>
          <w:rFonts w:ascii="Book Antiqua" w:eastAsia="SabonLTStd-Roman" w:hAnsi="Book Antiqua" w:cstheme="minorHAnsi"/>
          <w:sz w:val="24"/>
          <w:szCs w:val="24"/>
          <w:vertAlign w:val="superscript"/>
          <w:lang w:val="en-GB"/>
        </w:rPr>
        <w:t>[</w:t>
      </w:r>
      <w:proofErr w:type="gramEnd"/>
      <w:r w:rsidR="007759CC" w:rsidRPr="00CD4428">
        <w:rPr>
          <w:rFonts w:ascii="Book Antiqua" w:eastAsia="SabonLTStd-Roman" w:hAnsi="Book Antiqua" w:cstheme="minorHAnsi"/>
          <w:sz w:val="24"/>
          <w:szCs w:val="24"/>
          <w:vertAlign w:val="superscript"/>
          <w:lang w:val="en-GB"/>
        </w:rPr>
        <w:t>4</w:t>
      </w:r>
      <w:r w:rsidR="00652548" w:rsidRPr="00CD4428">
        <w:rPr>
          <w:rFonts w:ascii="Book Antiqua" w:eastAsia="SabonLTStd-Roman" w:hAnsi="Book Antiqua" w:cstheme="minorHAnsi"/>
          <w:sz w:val="24"/>
          <w:szCs w:val="24"/>
          <w:vertAlign w:val="superscript"/>
          <w:lang w:val="en-GB"/>
        </w:rPr>
        <w:t>7</w:t>
      </w:r>
      <w:r w:rsidR="007759CC" w:rsidRPr="00CD4428">
        <w:rPr>
          <w:rFonts w:ascii="Book Antiqua" w:eastAsia="SabonLTStd-Roman" w:hAnsi="Book Antiqua" w:cstheme="minorHAnsi"/>
          <w:sz w:val="24"/>
          <w:szCs w:val="24"/>
          <w:vertAlign w:val="superscript"/>
          <w:lang w:val="en-GB"/>
        </w:rPr>
        <w:t>]</w:t>
      </w:r>
      <w:r w:rsidR="007759CC" w:rsidRPr="00CD4428">
        <w:rPr>
          <w:rFonts w:ascii="Book Antiqua" w:eastAsia="SabonLTStd-Roman" w:hAnsi="Book Antiqua" w:cstheme="minorHAnsi"/>
          <w:sz w:val="24"/>
          <w:szCs w:val="24"/>
          <w:lang w:val="en-GB"/>
        </w:rPr>
        <w:t>.</w:t>
      </w:r>
      <w:r w:rsidR="00FE6294" w:rsidRPr="00CD4428">
        <w:rPr>
          <w:rFonts w:ascii="Book Antiqua" w:eastAsia="SabonLTStd-Roman" w:hAnsi="Book Antiqua" w:cstheme="minorHAnsi"/>
          <w:sz w:val="24"/>
          <w:szCs w:val="24"/>
          <w:lang w:val="en-GB"/>
        </w:rPr>
        <w:t xml:space="preserve"> </w:t>
      </w:r>
    </w:p>
    <w:p w14:paraId="6E2EA42F" w14:textId="010A29F8" w:rsidR="00007266" w:rsidRPr="00CD4428" w:rsidRDefault="008E60CB" w:rsidP="00760B6C">
      <w:pPr>
        <w:autoSpaceDE w:val="0"/>
        <w:autoSpaceDN w:val="0"/>
        <w:adjustRightInd w:val="0"/>
        <w:snapToGrid w:val="0"/>
        <w:spacing w:after="0" w:line="360" w:lineRule="auto"/>
        <w:ind w:firstLineChars="200" w:firstLine="480"/>
        <w:jc w:val="both"/>
        <w:rPr>
          <w:rFonts w:ascii="Book Antiqua" w:eastAsia="SabonLTStd-Roman" w:hAnsi="Book Antiqua" w:cstheme="minorHAnsi"/>
          <w:sz w:val="24"/>
          <w:szCs w:val="24"/>
          <w:lang w:val="en-GB"/>
        </w:rPr>
      </w:pPr>
      <w:proofErr w:type="spellStart"/>
      <w:r w:rsidRPr="00CD4428">
        <w:rPr>
          <w:rFonts w:ascii="Book Antiqua" w:eastAsia="SabonLTStd-Roman" w:hAnsi="Book Antiqua" w:cstheme="minorHAnsi"/>
          <w:sz w:val="24"/>
          <w:szCs w:val="24"/>
          <w:lang w:val="en-GB"/>
        </w:rPr>
        <w:t>Vedolizumab</w:t>
      </w:r>
      <w:proofErr w:type="spellEnd"/>
      <w:r w:rsidRPr="00CD4428">
        <w:rPr>
          <w:rFonts w:ascii="Book Antiqua" w:eastAsia="SabonLTStd-Roman" w:hAnsi="Book Antiqua" w:cstheme="minorHAnsi"/>
          <w:sz w:val="24"/>
          <w:szCs w:val="24"/>
          <w:lang w:val="en-GB"/>
        </w:rPr>
        <w:t xml:space="preserve"> is not associated with an increased risk of serious or opportunistic infections, and few patients (&lt;</w:t>
      </w:r>
      <w:r w:rsidR="00D57D35" w:rsidRPr="00CD4428">
        <w:rPr>
          <w:rFonts w:ascii="Book Antiqua" w:eastAsia="SabonLTStd-Roman" w:hAnsi="Book Antiqua" w:cstheme="minorHAnsi"/>
          <w:sz w:val="24"/>
          <w:szCs w:val="24"/>
          <w:lang w:val="en-GB"/>
        </w:rPr>
        <w:t xml:space="preserve"> </w:t>
      </w:r>
      <w:proofErr w:type="gramStart"/>
      <w:r w:rsidRPr="00CD4428">
        <w:rPr>
          <w:rFonts w:ascii="Book Antiqua" w:eastAsia="SabonLTStd-Roman" w:hAnsi="Book Antiqua" w:cstheme="minorHAnsi"/>
          <w:sz w:val="24"/>
          <w:szCs w:val="24"/>
          <w:lang w:val="en-GB"/>
        </w:rPr>
        <w:t>1%</w:t>
      </w:r>
      <w:proofErr w:type="gramEnd"/>
      <w:r w:rsidRPr="00CD4428">
        <w:rPr>
          <w:rFonts w:ascii="Book Antiqua" w:eastAsia="SabonLTStd-Roman" w:hAnsi="Book Antiqua" w:cstheme="minorHAnsi"/>
          <w:sz w:val="24"/>
          <w:szCs w:val="24"/>
          <w:lang w:val="en-GB"/>
        </w:rPr>
        <w:t>) discontinued therapy because of infection.</w:t>
      </w:r>
      <w:r w:rsidR="00590110" w:rsidRPr="00CD4428">
        <w:rPr>
          <w:rFonts w:ascii="Book Antiqua" w:eastAsia="SabonLTStd-Roman" w:hAnsi="Book Antiqua" w:cstheme="minorHAnsi"/>
          <w:sz w:val="24"/>
          <w:szCs w:val="24"/>
          <w:lang w:val="en-GB"/>
        </w:rPr>
        <w:t xml:space="preserve"> </w:t>
      </w:r>
      <w:r w:rsidRPr="00CD4428">
        <w:rPr>
          <w:rFonts w:ascii="Book Antiqua" w:eastAsia="SabonLTStd-Roman" w:hAnsi="Book Antiqua" w:cstheme="minorHAnsi"/>
          <w:sz w:val="24"/>
          <w:szCs w:val="24"/>
          <w:lang w:val="en-GB"/>
        </w:rPr>
        <w:t>The most common events were upper respiratory tract infections, which accounted for approximately half of the total infections. Lower respiratory tract</w:t>
      </w:r>
      <w:r w:rsidR="009B26EC" w:rsidRPr="00CD4428">
        <w:rPr>
          <w:rFonts w:ascii="Book Antiqua" w:eastAsia="SabonLTStd-Roman" w:hAnsi="Book Antiqua" w:cstheme="minorHAnsi"/>
          <w:sz w:val="24"/>
          <w:szCs w:val="24"/>
          <w:lang w:val="en-GB"/>
        </w:rPr>
        <w:t>,</w:t>
      </w:r>
      <w:r w:rsidRPr="00CD4428">
        <w:rPr>
          <w:rFonts w:ascii="Book Antiqua" w:eastAsia="SabonLTStd-Roman" w:hAnsi="Book Antiqua" w:cstheme="minorHAnsi"/>
          <w:sz w:val="24"/>
          <w:szCs w:val="24"/>
          <w:lang w:val="en-GB"/>
        </w:rPr>
        <w:t xml:space="preserve"> lung infections</w:t>
      </w:r>
      <w:r w:rsidR="00490AE2" w:rsidRPr="00CD4428">
        <w:rPr>
          <w:rFonts w:ascii="Book Antiqua" w:eastAsia="SabonLTStd-Roman" w:hAnsi="Book Antiqua" w:cstheme="minorHAnsi"/>
          <w:sz w:val="24"/>
          <w:szCs w:val="24"/>
          <w:lang w:val="en-GB"/>
        </w:rPr>
        <w:t xml:space="preserve">, </w:t>
      </w:r>
      <w:r w:rsidR="00497001" w:rsidRPr="00CD4428">
        <w:rPr>
          <w:rFonts w:ascii="Book Antiqua" w:eastAsia="SabonLTStd-Roman" w:hAnsi="Book Antiqua" w:cstheme="minorHAnsi"/>
          <w:sz w:val="24"/>
          <w:szCs w:val="24"/>
          <w:lang w:val="en-GB"/>
        </w:rPr>
        <w:t xml:space="preserve">and </w:t>
      </w:r>
      <w:r w:rsidR="00490AE2" w:rsidRPr="00CD4428">
        <w:rPr>
          <w:rFonts w:ascii="Book Antiqua" w:eastAsia="SabonLTStd-Roman" w:hAnsi="Book Antiqua" w:cstheme="minorHAnsi"/>
          <w:sz w:val="24"/>
          <w:szCs w:val="24"/>
          <w:lang w:val="en-GB"/>
        </w:rPr>
        <w:t>abdominal</w:t>
      </w:r>
      <w:r w:rsidRPr="00CD4428">
        <w:rPr>
          <w:rFonts w:ascii="Book Antiqua" w:eastAsia="SabonLTStd-Roman" w:hAnsi="Book Antiqua" w:cstheme="minorHAnsi"/>
          <w:sz w:val="24"/>
          <w:szCs w:val="24"/>
          <w:lang w:val="en-GB"/>
        </w:rPr>
        <w:t xml:space="preserve"> and </w:t>
      </w:r>
      <w:r w:rsidR="009B26EC" w:rsidRPr="00CD4428">
        <w:rPr>
          <w:rFonts w:ascii="Book Antiqua" w:eastAsia="SabonLTStd-Roman" w:hAnsi="Book Antiqua" w:cstheme="minorHAnsi"/>
          <w:sz w:val="24"/>
          <w:szCs w:val="24"/>
          <w:lang w:val="en-GB"/>
        </w:rPr>
        <w:t>e</w:t>
      </w:r>
      <w:r w:rsidRPr="00CD4428">
        <w:rPr>
          <w:rFonts w:ascii="Book Antiqua" w:eastAsia="SabonLTStd-Roman" w:hAnsi="Book Antiqua" w:cstheme="minorHAnsi"/>
          <w:sz w:val="24"/>
          <w:szCs w:val="24"/>
          <w:lang w:val="en-GB"/>
        </w:rPr>
        <w:t xml:space="preserve">nteric infections </w:t>
      </w:r>
      <w:proofErr w:type="gramStart"/>
      <w:r w:rsidR="009B26EC" w:rsidRPr="00CD4428">
        <w:rPr>
          <w:rFonts w:ascii="Book Antiqua" w:eastAsia="SabonLTStd-Roman" w:hAnsi="Book Antiqua" w:cstheme="minorHAnsi"/>
          <w:sz w:val="24"/>
          <w:szCs w:val="24"/>
          <w:lang w:val="en-GB"/>
        </w:rPr>
        <w:t>were reported</w:t>
      </w:r>
      <w:proofErr w:type="gramEnd"/>
      <w:r w:rsidR="009B26EC" w:rsidRPr="00CD4428">
        <w:rPr>
          <w:rFonts w:ascii="Book Antiqua" w:eastAsia="SabonLTStd-Roman" w:hAnsi="Book Antiqua" w:cstheme="minorHAnsi"/>
          <w:sz w:val="24"/>
          <w:szCs w:val="24"/>
          <w:lang w:val="en-GB"/>
        </w:rPr>
        <w:t xml:space="preserve"> with similar rates</w:t>
      </w:r>
      <w:r w:rsidR="00007266" w:rsidRPr="00CD4428">
        <w:rPr>
          <w:rFonts w:ascii="Book Antiqua" w:eastAsia="SabonLTStd-Roman" w:hAnsi="Book Antiqua" w:cstheme="minorHAnsi"/>
          <w:sz w:val="24"/>
          <w:szCs w:val="24"/>
          <w:lang w:val="en-GB"/>
        </w:rPr>
        <w:t xml:space="preserve"> as </w:t>
      </w:r>
      <w:r w:rsidR="00497001" w:rsidRPr="00CD4428">
        <w:rPr>
          <w:rFonts w:ascii="Book Antiqua" w:eastAsia="SabonLTStd-Roman" w:hAnsi="Book Antiqua" w:cstheme="minorHAnsi"/>
          <w:sz w:val="24"/>
          <w:szCs w:val="24"/>
          <w:lang w:val="en-GB"/>
        </w:rPr>
        <w:t xml:space="preserve">those in the </w:t>
      </w:r>
      <w:r w:rsidR="00007266" w:rsidRPr="00CD4428">
        <w:rPr>
          <w:rFonts w:ascii="Book Antiqua" w:eastAsia="SabonLTStd-Roman" w:hAnsi="Book Antiqua" w:cstheme="minorHAnsi"/>
          <w:sz w:val="24"/>
          <w:szCs w:val="24"/>
          <w:lang w:val="en-GB"/>
        </w:rPr>
        <w:t>placebo</w:t>
      </w:r>
      <w:r w:rsidR="00497001" w:rsidRPr="00CD4428">
        <w:rPr>
          <w:rFonts w:ascii="Book Antiqua" w:eastAsia="SabonLTStd-Roman" w:hAnsi="Book Antiqua" w:cstheme="minorHAnsi"/>
          <w:sz w:val="24"/>
          <w:szCs w:val="24"/>
          <w:lang w:val="en-GB"/>
        </w:rPr>
        <w:t xml:space="preserve"> group</w:t>
      </w:r>
      <w:r w:rsidR="00007266" w:rsidRPr="00CD4428">
        <w:rPr>
          <w:rFonts w:ascii="Book Antiqua" w:eastAsia="SabonLTStd-Roman" w:hAnsi="Book Antiqua" w:cstheme="minorHAnsi"/>
          <w:sz w:val="24"/>
          <w:szCs w:val="24"/>
          <w:lang w:val="en-GB"/>
        </w:rPr>
        <w:t>.</w:t>
      </w:r>
      <w:r w:rsidR="009B26EC" w:rsidRPr="00CD4428">
        <w:rPr>
          <w:rFonts w:ascii="Book Antiqua" w:eastAsia="SabonLTStd-Roman" w:hAnsi="Book Antiqua" w:cstheme="minorHAnsi"/>
          <w:sz w:val="24"/>
          <w:szCs w:val="24"/>
          <w:lang w:val="en-GB"/>
        </w:rPr>
        <w:t xml:space="preserve"> Serious infections including sepsis, </w:t>
      </w:r>
      <w:r w:rsidR="009B26EC" w:rsidRPr="00CD4428">
        <w:rPr>
          <w:rFonts w:ascii="Book Antiqua" w:eastAsia="SabonLTStd-Roman" w:hAnsi="Book Antiqua" w:cstheme="minorHAnsi"/>
          <w:i/>
          <w:sz w:val="24"/>
          <w:szCs w:val="24"/>
          <w:lang w:val="en-GB"/>
        </w:rPr>
        <w:t>Clostridium difficile</w:t>
      </w:r>
      <w:r w:rsidR="009B26EC" w:rsidRPr="00CD4428">
        <w:rPr>
          <w:rFonts w:ascii="Book Antiqua" w:eastAsia="SabonLTStd-Roman" w:hAnsi="Book Antiqua" w:cstheme="minorHAnsi"/>
          <w:sz w:val="24"/>
          <w:szCs w:val="24"/>
          <w:lang w:val="en-GB"/>
        </w:rPr>
        <w:t xml:space="preserve"> infections</w:t>
      </w:r>
      <w:r w:rsidR="00D57D35" w:rsidRPr="00CD4428">
        <w:rPr>
          <w:rFonts w:ascii="Book Antiqua" w:eastAsia="SabonLTStd-Roman" w:hAnsi="Book Antiqua" w:cstheme="minorHAnsi"/>
          <w:sz w:val="24"/>
          <w:szCs w:val="24"/>
          <w:lang w:val="en-GB"/>
        </w:rPr>
        <w:t>,</w:t>
      </w:r>
      <w:r w:rsidR="009B26EC" w:rsidRPr="00CD4428">
        <w:rPr>
          <w:rFonts w:ascii="Book Antiqua" w:eastAsia="SabonLTStd-Roman" w:hAnsi="Book Antiqua" w:cstheme="minorHAnsi"/>
          <w:sz w:val="24"/>
          <w:szCs w:val="24"/>
          <w:lang w:val="en-GB"/>
        </w:rPr>
        <w:t xml:space="preserve"> and tuberculosis occurred very rarely (≤ 0.6% of patients). </w:t>
      </w:r>
      <w:r w:rsidR="005676E0" w:rsidRPr="00CD4428">
        <w:rPr>
          <w:rFonts w:ascii="Book Antiqua" w:eastAsia="SabonLTStd-Roman" w:hAnsi="Book Antiqua" w:cstheme="minorHAnsi"/>
          <w:sz w:val="24"/>
          <w:szCs w:val="24"/>
          <w:lang w:val="en-GB"/>
        </w:rPr>
        <w:t>Ind</w:t>
      </w:r>
      <w:r w:rsidR="00115D4A" w:rsidRPr="00CD4428">
        <w:rPr>
          <w:rFonts w:ascii="Book Antiqua" w:eastAsia="SabonLTStd-Roman" w:hAnsi="Book Antiqua" w:cstheme="minorHAnsi"/>
          <w:sz w:val="24"/>
          <w:szCs w:val="24"/>
          <w:lang w:val="en-GB"/>
        </w:rPr>
        <w:t>e</w:t>
      </w:r>
      <w:r w:rsidR="005676E0" w:rsidRPr="00CD4428">
        <w:rPr>
          <w:rFonts w:ascii="Book Antiqua" w:eastAsia="SabonLTStd-Roman" w:hAnsi="Book Antiqua" w:cstheme="minorHAnsi"/>
          <w:sz w:val="24"/>
          <w:szCs w:val="24"/>
          <w:lang w:val="en-GB"/>
        </w:rPr>
        <w:t>pendent r</w:t>
      </w:r>
      <w:r w:rsidR="00115D4A" w:rsidRPr="00CD4428">
        <w:rPr>
          <w:rFonts w:ascii="Book Antiqua" w:eastAsia="SabonLTStd-Roman" w:hAnsi="Book Antiqua" w:cstheme="minorHAnsi"/>
          <w:sz w:val="24"/>
          <w:szCs w:val="24"/>
          <w:lang w:val="en-GB"/>
        </w:rPr>
        <w:t>isk factors for serious infections were younger age (HR</w:t>
      </w:r>
      <w:r w:rsidR="00D57D35" w:rsidRPr="00CD4428">
        <w:rPr>
          <w:rFonts w:ascii="Book Antiqua" w:eastAsia="SabonLTStd-Roman" w:hAnsi="Book Antiqua" w:cstheme="minorHAnsi"/>
          <w:sz w:val="24"/>
          <w:szCs w:val="24"/>
          <w:lang w:val="en-GB"/>
        </w:rPr>
        <w:t xml:space="preserve"> =</w:t>
      </w:r>
      <w:r w:rsidR="00115D4A" w:rsidRPr="00CD4428">
        <w:rPr>
          <w:rFonts w:ascii="Book Antiqua" w:eastAsia="SabonLTStd-Roman" w:hAnsi="Book Antiqua" w:cstheme="minorHAnsi"/>
          <w:sz w:val="24"/>
          <w:szCs w:val="24"/>
          <w:lang w:val="en-GB"/>
        </w:rPr>
        <w:t xml:space="preserve"> 0.97)</w:t>
      </w:r>
      <w:r w:rsidR="00007266" w:rsidRPr="00CD4428">
        <w:rPr>
          <w:rFonts w:ascii="Book Antiqua" w:eastAsia="SabonLTStd-Roman" w:hAnsi="Book Antiqua" w:cstheme="minorHAnsi"/>
          <w:sz w:val="24"/>
          <w:szCs w:val="24"/>
          <w:lang w:val="en-GB"/>
        </w:rPr>
        <w:t xml:space="preserve"> and</w:t>
      </w:r>
      <w:r w:rsidR="00115D4A" w:rsidRPr="00CD4428">
        <w:rPr>
          <w:rFonts w:ascii="Book Antiqua" w:eastAsia="SabonLTStd-Roman" w:hAnsi="Book Antiqua" w:cstheme="minorHAnsi"/>
          <w:sz w:val="24"/>
          <w:szCs w:val="24"/>
          <w:lang w:val="en-GB"/>
        </w:rPr>
        <w:t xml:space="preserve"> concomitant steroid use (HR</w:t>
      </w:r>
      <w:r w:rsidR="00D57D35" w:rsidRPr="00CD4428">
        <w:rPr>
          <w:rFonts w:ascii="Book Antiqua" w:eastAsia="SabonLTStd-Roman" w:hAnsi="Book Antiqua" w:cstheme="minorHAnsi"/>
          <w:sz w:val="24"/>
          <w:szCs w:val="24"/>
          <w:lang w:val="en-GB"/>
        </w:rPr>
        <w:t xml:space="preserve"> =</w:t>
      </w:r>
      <w:r w:rsidR="00115D4A" w:rsidRPr="00CD4428">
        <w:rPr>
          <w:rFonts w:ascii="Book Antiqua" w:eastAsia="SabonLTStd-Roman" w:hAnsi="Book Antiqua" w:cstheme="minorHAnsi"/>
          <w:sz w:val="24"/>
          <w:szCs w:val="24"/>
          <w:lang w:val="en-GB"/>
        </w:rPr>
        <w:t xml:space="preserve"> 1.88) in patients</w:t>
      </w:r>
      <w:r w:rsidR="00497001" w:rsidRPr="00CD4428">
        <w:rPr>
          <w:rFonts w:ascii="Book Antiqua" w:eastAsia="SabonLTStd-Roman" w:hAnsi="Book Antiqua" w:cstheme="minorHAnsi"/>
          <w:sz w:val="24"/>
          <w:szCs w:val="24"/>
          <w:lang w:val="en-GB"/>
        </w:rPr>
        <w:t xml:space="preserve"> with CD</w:t>
      </w:r>
      <w:r w:rsidR="00115D4A" w:rsidRPr="00CD4428">
        <w:rPr>
          <w:rFonts w:ascii="Book Antiqua" w:eastAsia="SabonLTStd-Roman" w:hAnsi="Book Antiqua" w:cstheme="minorHAnsi"/>
          <w:sz w:val="24"/>
          <w:szCs w:val="24"/>
          <w:lang w:val="en-GB"/>
        </w:rPr>
        <w:t>, and prior anti-TNF</w:t>
      </w:r>
      <w:r w:rsidR="007444A0" w:rsidRPr="00CD4428">
        <w:rPr>
          <w:rFonts w:ascii="Book Antiqua" w:eastAsia="SabonLTStd-Roman" w:hAnsi="Book Antiqua" w:cstheme="minorHAnsi"/>
          <w:sz w:val="24"/>
          <w:szCs w:val="24"/>
          <w:lang w:val="en-GB"/>
        </w:rPr>
        <w:t>α</w:t>
      </w:r>
      <w:r w:rsidR="00115D4A" w:rsidRPr="00CD4428">
        <w:rPr>
          <w:rFonts w:ascii="Book Antiqua" w:eastAsia="SabonLTStd-Roman" w:hAnsi="Book Antiqua" w:cstheme="minorHAnsi"/>
          <w:sz w:val="24"/>
          <w:szCs w:val="24"/>
          <w:lang w:val="en-GB"/>
        </w:rPr>
        <w:t xml:space="preserve"> failure (HR</w:t>
      </w:r>
      <w:r w:rsidR="00D57D35" w:rsidRPr="00CD4428">
        <w:rPr>
          <w:rFonts w:ascii="Book Antiqua" w:eastAsia="SabonLTStd-Roman" w:hAnsi="Book Antiqua" w:cstheme="minorHAnsi"/>
          <w:sz w:val="24"/>
          <w:szCs w:val="24"/>
          <w:lang w:val="en-GB"/>
        </w:rPr>
        <w:t xml:space="preserve"> =</w:t>
      </w:r>
      <w:r w:rsidR="00115D4A" w:rsidRPr="00CD4428">
        <w:rPr>
          <w:rFonts w:ascii="Book Antiqua" w:eastAsia="SabonLTStd-Roman" w:hAnsi="Book Antiqua" w:cstheme="minorHAnsi"/>
          <w:sz w:val="24"/>
          <w:szCs w:val="24"/>
          <w:lang w:val="en-GB"/>
        </w:rPr>
        <w:t xml:space="preserve"> 1.99) in patients</w:t>
      </w:r>
      <w:r w:rsidR="00497001" w:rsidRPr="00CD4428">
        <w:rPr>
          <w:rFonts w:ascii="Book Antiqua" w:eastAsia="SabonLTStd-Roman" w:hAnsi="Book Antiqua" w:cstheme="minorHAnsi"/>
          <w:sz w:val="24"/>
          <w:szCs w:val="24"/>
          <w:lang w:val="en-GB"/>
        </w:rPr>
        <w:t xml:space="preserve"> with UC</w:t>
      </w:r>
      <w:r w:rsidR="00115D4A" w:rsidRPr="00CD4428">
        <w:rPr>
          <w:rFonts w:ascii="Book Antiqua" w:eastAsia="SabonLTStd-Roman" w:hAnsi="Book Antiqua" w:cstheme="minorHAnsi"/>
          <w:sz w:val="24"/>
          <w:szCs w:val="24"/>
          <w:lang w:val="en-GB"/>
        </w:rPr>
        <w:t xml:space="preserve">. Concomitant narcotic analgesic use was a risk factor for </w:t>
      </w:r>
      <w:r w:rsidR="00497001" w:rsidRPr="00CD4428">
        <w:rPr>
          <w:rFonts w:ascii="Book Antiqua" w:eastAsia="SabonLTStd-Roman" w:hAnsi="Book Antiqua" w:cstheme="minorHAnsi"/>
          <w:sz w:val="24"/>
          <w:szCs w:val="24"/>
          <w:lang w:val="en-GB"/>
        </w:rPr>
        <w:t xml:space="preserve">patients with </w:t>
      </w:r>
      <w:r w:rsidR="00115D4A" w:rsidRPr="00CD4428">
        <w:rPr>
          <w:rFonts w:ascii="Book Antiqua" w:eastAsia="SabonLTStd-Roman" w:hAnsi="Book Antiqua" w:cstheme="minorHAnsi"/>
          <w:sz w:val="24"/>
          <w:szCs w:val="24"/>
          <w:lang w:val="en-GB"/>
        </w:rPr>
        <w:t xml:space="preserve">both CD and UC (HR </w:t>
      </w:r>
      <w:r w:rsidR="00D57D35" w:rsidRPr="00CD4428">
        <w:rPr>
          <w:rFonts w:ascii="Book Antiqua" w:eastAsia="SabonLTStd-Roman" w:hAnsi="Book Antiqua" w:cstheme="minorHAnsi"/>
          <w:sz w:val="24"/>
          <w:szCs w:val="24"/>
          <w:lang w:val="en-GB"/>
        </w:rPr>
        <w:t xml:space="preserve">= </w:t>
      </w:r>
      <w:r w:rsidR="00115D4A" w:rsidRPr="00CD4428">
        <w:rPr>
          <w:rFonts w:ascii="Book Antiqua" w:eastAsia="SabonLTStd-Roman" w:hAnsi="Book Antiqua" w:cstheme="minorHAnsi"/>
          <w:sz w:val="24"/>
          <w:szCs w:val="24"/>
          <w:lang w:val="en-GB"/>
        </w:rPr>
        <w:t>2.72 and HR</w:t>
      </w:r>
      <w:r w:rsidR="00D57D35" w:rsidRPr="00CD4428">
        <w:rPr>
          <w:rFonts w:ascii="Book Antiqua" w:eastAsia="SabonLTStd-Roman" w:hAnsi="Book Antiqua" w:cstheme="minorHAnsi"/>
          <w:sz w:val="24"/>
          <w:szCs w:val="24"/>
          <w:lang w:val="en-GB"/>
        </w:rPr>
        <w:t xml:space="preserve"> =</w:t>
      </w:r>
      <w:r w:rsidR="00115D4A" w:rsidRPr="00CD4428">
        <w:rPr>
          <w:rFonts w:ascii="Book Antiqua" w:eastAsia="SabonLTStd-Roman" w:hAnsi="Book Antiqua" w:cstheme="minorHAnsi"/>
          <w:sz w:val="24"/>
          <w:szCs w:val="24"/>
          <w:lang w:val="en-GB"/>
        </w:rPr>
        <w:t xml:space="preserve"> 2.</w:t>
      </w:r>
      <w:r w:rsidR="00880708" w:rsidRPr="00CD4428">
        <w:rPr>
          <w:rFonts w:ascii="Book Antiqua" w:eastAsia="SabonLTStd-Roman" w:hAnsi="Book Antiqua" w:cstheme="minorHAnsi"/>
          <w:sz w:val="24"/>
          <w:szCs w:val="24"/>
          <w:lang w:val="en-GB"/>
        </w:rPr>
        <w:t>6</w:t>
      </w:r>
      <w:r w:rsidR="00115D4A" w:rsidRPr="00CD4428">
        <w:rPr>
          <w:rFonts w:ascii="Book Antiqua" w:eastAsia="SabonLTStd-Roman" w:hAnsi="Book Antiqua" w:cstheme="minorHAnsi"/>
          <w:sz w:val="24"/>
          <w:szCs w:val="24"/>
          <w:lang w:val="en-GB"/>
        </w:rPr>
        <w:t>8, respectively</w:t>
      </w:r>
      <w:r w:rsidR="00007266" w:rsidRPr="00CD4428">
        <w:rPr>
          <w:rFonts w:ascii="Book Antiqua" w:eastAsia="SabonLTStd-Roman" w:hAnsi="Book Antiqua" w:cstheme="minorHAnsi"/>
          <w:sz w:val="24"/>
          <w:szCs w:val="24"/>
          <w:lang w:val="en-GB"/>
        </w:rPr>
        <w:t>)</w:t>
      </w:r>
      <w:r w:rsidR="00115D4A" w:rsidRPr="00CD4428">
        <w:rPr>
          <w:rFonts w:ascii="Book Antiqua" w:eastAsia="SabonLTStd-Roman" w:hAnsi="Book Antiqua" w:cstheme="minorHAnsi"/>
          <w:sz w:val="24"/>
          <w:szCs w:val="24"/>
          <w:lang w:val="en-GB"/>
        </w:rPr>
        <w:t>.</w:t>
      </w:r>
    </w:p>
    <w:p w14:paraId="0E5D8967" w14:textId="5B068D62" w:rsidR="00007266" w:rsidRPr="00CD4428" w:rsidRDefault="00B74632" w:rsidP="00760B6C">
      <w:pPr>
        <w:autoSpaceDE w:val="0"/>
        <w:autoSpaceDN w:val="0"/>
        <w:adjustRightInd w:val="0"/>
        <w:snapToGrid w:val="0"/>
        <w:spacing w:after="0" w:line="360" w:lineRule="auto"/>
        <w:ind w:firstLineChars="200" w:firstLine="48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 xml:space="preserve">The rate of malignancy </w:t>
      </w:r>
      <w:r w:rsidR="00497001" w:rsidRPr="00CD4428">
        <w:rPr>
          <w:rFonts w:ascii="Book Antiqua" w:eastAsia="SabonLTStd-Roman" w:hAnsi="Book Antiqua" w:cstheme="minorHAnsi"/>
          <w:sz w:val="24"/>
          <w:szCs w:val="24"/>
          <w:lang w:val="en-GB"/>
        </w:rPr>
        <w:t>wa</w:t>
      </w:r>
      <w:r w:rsidRPr="00CD4428">
        <w:rPr>
          <w:rFonts w:ascii="Book Antiqua" w:eastAsia="SabonLTStd-Roman" w:hAnsi="Book Antiqua" w:cstheme="minorHAnsi"/>
          <w:sz w:val="24"/>
          <w:szCs w:val="24"/>
          <w:lang w:val="en-GB"/>
        </w:rPr>
        <w:t xml:space="preserve">s consistent with that </w:t>
      </w:r>
      <w:r w:rsidR="00497001" w:rsidRPr="00CD4428">
        <w:rPr>
          <w:rFonts w:ascii="Book Antiqua" w:eastAsia="SabonLTStd-Roman" w:hAnsi="Book Antiqua" w:cstheme="minorHAnsi"/>
          <w:sz w:val="24"/>
          <w:szCs w:val="24"/>
          <w:lang w:val="en-GB"/>
        </w:rPr>
        <w:t xml:space="preserve">generally </w:t>
      </w:r>
      <w:r w:rsidRPr="00CD4428">
        <w:rPr>
          <w:rFonts w:ascii="Book Antiqua" w:eastAsia="SabonLTStd-Roman" w:hAnsi="Book Antiqua" w:cstheme="minorHAnsi"/>
          <w:sz w:val="24"/>
          <w:szCs w:val="24"/>
          <w:lang w:val="en-GB"/>
        </w:rPr>
        <w:t xml:space="preserve">reported </w:t>
      </w:r>
      <w:r w:rsidR="00497001" w:rsidRPr="00CD4428">
        <w:rPr>
          <w:rFonts w:ascii="Book Antiqua" w:eastAsia="SabonLTStd-Roman" w:hAnsi="Book Antiqua" w:cstheme="minorHAnsi"/>
          <w:sz w:val="24"/>
          <w:szCs w:val="24"/>
          <w:lang w:val="en-GB"/>
        </w:rPr>
        <w:t xml:space="preserve">in </w:t>
      </w:r>
      <w:r w:rsidRPr="00CD4428">
        <w:rPr>
          <w:rFonts w:ascii="Book Antiqua" w:eastAsia="SabonLTStd-Roman" w:hAnsi="Book Antiqua" w:cstheme="minorHAnsi"/>
          <w:sz w:val="24"/>
          <w:szCs w:val="24"/>
          <w:lang w:val="en-GB"/>
        </w:rPr>
        <w:t>patients</w:t>
      </w:r>
      <w:r w:rsidR="00497001" w:rsidRPr="00CD4428">
        <w:rPr>
          <w:rFonts w:ascii="Book Antiqua" w:eastAsia="SabonLTStd-Roman" w:hAnsi="Book Antiqua" w:cstheme="minorHAnsi"/>
          <w:sz w:val="24"/>
          <w:szCs w:val="24"/>
          <w:lang w:val="en-GB"/>
        </w:rPr>
        <w:t xml:space="preserve"> with</w:t>
      </w:r>
      <w:r w:rsidRPr="00CD4428">
        <w:rPr>
          <w:rFonts w:ascii="Book Antiqua" w:eastAsia="SabonLTStd-Roman" w:hAnsi="Book Antiqua" w:cstheme="minorHAnsi"/>
          <w:sz w:val="24"/>
          <w:szCs w:val="24"/>
          <w:lang w:val="en-GB"/>
        </w:rPr>
        <w:t xml:space="preserve"> </w:t>
      </w:r>
      <w:r w:rsidR="00497001" w:rsidRPr="00CD4428">
        <w:rPr>
          <w:rFonts w:ascii="Book Antiqua" w:eastAsia="SabonLTStd-Roman" w:hAnsi="Book Antiqua" w:cstheme="minorHAnsi"/>
          <w:sz w:val="24"/>
          <w:szCs w:val="24"/>
          <w:lang w:val="en-GB"/>
        </w:rPr>
        <w:t>IBD</w:t>
      </w:r>
      <w:r w:rsidRPr="00CD4428">
        <w:rPr>
          <w:rFonts w:ascii="Book Antiqua" w:eastAsia="SabonLTStd-Roman" w:hAnsi="Book Antiqua" w:cstheme="minorHAnsi"/>
          <w:sz w:val="24"/>
          <w:szCs w:val="24"/>
          <w:lang w:val="en-GB"/>
        </w:rPr>
        <w:t>.</w:t>
      </w:r>
      <w:r w:rsidR="00115D4A" w:rsidRPr="00CD4428">
        <w:rPr>
          <w:rFonts w:ascii="Book Antiqua" w:eastAsia="SabonLTStd-Roman" w:hAnsi="Book Antiqua" w:cstheme="minorHAnsi"/>
          <w:sz w:val="24"/>
          <w:szCs w:val="24"/>
          <w:lang w:val="en-GB"/>
        </w:rPr>
        <w:t xml:space="preserve"> </w:t>
      </w:r>
    </w:p>
    <w:p w14:paraId="356CDE4E" w14:textId="3BC40D51" w:rsidR="00490AE2" w:rsidRPr="00CD4428" w:rsidRDefault="00420344" w:rsidP="00760B6C">
      <w:pPr>
        <w:autoSpaceDE w:val="0"/>
        <w:autoSpaceDN w:val="0"/>
        <w:adjustRightInd w:val="0"/>
        <w:snapToGrid w:val="0"/>
        <w:spacing w:after="0" w:line="360" w:lineRule="auto"/>
        <w:ind w:firstLineChars="200" w:firstLine="480"/>
        <w:jc w:val="both"/>
        <w:rPr>
          <w:rFonts w:ascii="Book Antiqua" w:eastAsia="SabonLTStd-Roman" w:hAnsi="Book Antiqua" w:cstheme="minorHAnsi"/>
          <w:sz w:val="24"/>
          <w:szCs w:val="24"/>
          <w:lang w:val="en-GB"/>
        </w:rPr>
      </w:pPr>
      <w:proofErr w:type="gramStart"/>
      <w:r w:rsidRPr="00CD4428">
        <w:rPr>
          <w:rFonts w:ascii="Book Antiqua" w:eastAsia="SabonLTStd-Roman" w:hAnsi="Book Antiqua" w:cstheme="minorHAnsi"/>
          <w:sz w:val="24"/>
          <w:szCs w:val="24"/>
          <w:lang w:val="en-GB"/>
        </w:rPr>
        <w:t>A total of 23</w:t>
      </w:r>
      <w:proofErr w:type="gramEnd"/>
      <w:r w:rsidRPr="00CD4428">
        <w:rPr>
          <w:rFonts w:ascii="Book Antiqua" w:eastAsia="SabonLTStd-Roman" w:hAnsi="Book Antiqua" w:cstheme="minorHAnsi"/>
          <w:sz w:val="24"/>
          <w:szCs w:val="24"/>
          <w:lang w:val="en-GB"/>
        </w:rPr>
        <w:t xml:space="preserve"> hepatobiliary events </w:t>
      </w:r>
      <w:r w:rsidR="005349E5" w:rsidRPr="00CD4428">
        <w:rPr>
          <w:rFonts w:ascii="Book Antiqua" w:eastAsia="SabonLTStd-Roman" w:hAnsi="Book Antiqua" w:cstheme="minorHAnsi"/>
          <w:sz w:val="24"/>
          <w:szCs w:val="24"/>
          <w:lang w:val="en-GB"/>
        </w:rPr>
        <w:t xml:space="preserve">were observed </w:t>
      </w:r>
      <w:r w:rsidRPr="00CD4428">
        <w:rPr>
          <w:rFonts w:ascii="Book Antiqua" w:eastAsia="SabonLTStd-Roman" w:hAnsi="Book Antiqua" w:cstheme="minorHAnsi"/>
          <w:sz w:val="24"/>
          <w:szCs w:val="24"/>
          <w:lang w:val="en-GB"/>
        </w:rPr>
        <w:t xml:space="preserve">among </w:t>
      </w:r>
      <w:proofErr w:type="spellStart"/>
      <w:r w:rsidRPr="00CD4428">
        <w:rPr>
          <w:rFonts w:ascii="Book Antiqua" w:eastAsia="SabonLTStd-Roman" w:hAnsi="Book Antiqua" w:cstheme="minorHAnsi"/>
          <w:sz w:val="24"/>
          <w:szCs w:val="24"/>
          <w:lang w:val="en-GB"/>
        </w:rPr>
        <w:t>vedolizumab</w:t>
      </w:r>
      <w:proofErr w:type="spellEnd"/>
      <w:r w:rsidRPr="00CD4428">
        <w:rPr>
          <w:rFonts w:ascii="Book Antiqua" w:eastAsia="SabonLTStd-Roman" w:hAnsi="Book Antiqua" w:cstheme="minorHAnsi"/>
          <w:sz w:val="24"/>
          <w:szCs w:val="24"/>
          <w:lang w:val="en-GB"/>
        </w:rPr>
        <w:t>-treated patients,</w:t>
      </w:r>
      <w:r w:rsidR="00332ADF" w:rsidRPr="00CD4428">
        <w:rPr>
          <w:rFonts w:ascii="Book Antiqua" w:eastAsia="SabonLTStd-Roman" w:hAnsi="Book Antiqua" w:cstheme="minorHAnsi"/>
          <w:sz w:val="24"/>
          <w:szCs w:val="24"/>
          <w:lang w:val="en-GB"/>
        </w:rPr>
        <w:t xml:space="preserve"> most of which were hepatic steatosis and </w:t>
      </w:r>
      <w:r w:rsidR="009D23E0" w:rsidRPr="00CD4428">
        <w:rPr>
          <w:rFonts w:ascii="Book Antiqua" w:eastAsia="SabonLTStd-Roman" w:hAnsi="Book Antiqua" w:cstheme="minorHAnsi"/>
          <w:sz w:val="24"/>
          <w:szCs w:val="24"/>
          <w:lang w:val="en-GB"/>
        </w:rPr>
        <w:t>transaminase increase</w:t>
      </w:r>
      <w:r w:rsidR="00497001" w:rsidRPr="00CD4428">
        <w:rPr>
          <w:rFonts w:ascii="Book Antiqua" w:eastAsia="SabonLTStd-Roman" w:hAnsi="Book Antiqua" w:cstheme="minorHAnsi"/>
          <w:sz w:val="24"/>
          <w:szCs w:val="24"/>
          <w:lang w:val="en-GB"/>
        </w:rPr>
        <w:t>s</w:t>
      </w:r>
      <w:r w:rsidR="009D23E0" w:rsidRPr="00CD4428">
        <w:rPr>
          <w:rFonts w:ascii="Book Antiqua" w:eastAsia="SabonLTStd-Roman" w:hAnsi="Book Antiqua" w:cstheme="minorHAnsi"/>
          <w:sz w:val="24"/>
          <w:szCs w:val="24"/>
          <w:lang w:val="en-GB"/>
        </w:rPr>
        <w:t>. Five hep</w:t>
      </w:r>
      <w:r w:rsidR="005349E5" w:rsidRPr="00CD4428">
        <w:rPr>
          <w:rFonts w:ascii="Book Antiqua" w:eastAsia="SabonLTStd-Roman" w:hAnsi="Book Antiqua" w:cstheme="minorHAnsi"/>
          <w:sz w:val="24"/>
          <w:szCs w:val="24"/>
          <w:lang w:val="en-GB"/>
        </w:rPr>
        <w:t>a</w:t>
      </w:r>
      <w:r w:rsidR="009D23E0" w:rsidRPr="00CD4428">
        <w:rPr>
          <w:rFonts w:ascii="Book Antiqua" w:eastAsia="SabonLTStd-Roman" w:hAnsi="Book Antiqua" w:cstheme="minorHAnsi"/>
          <w:sz w:val="24"/>
          <w:szCs w:val="24"/>
          <w:lang w:val="en-GB"/>
        </w:rPr>
        <w:t xml:space="preserve">tic events </w:t>
      </w:r>
      <w:proofErr w:type="gramStart"/>
      <w:r w:rsidR="009D23E0" w:rsidRPr="00CD4428">
        <w:rPr>
          <w:rFonts w:ascii="Book Antiqua" w:eastAsia="SabonLTStd-Roman" w:hAnsi="Book Antiqua" w:cstheme="minorHAnsi"/>
          <w:sz w:val="24"/>
          <w:szCs w:val="24"/>
          <w:lang w:val="en-GB"/>
        </w:rPr>
        <w:t>were considered</w:t>
      </w:r>
      <w:proofErr w:type="gramEnd"/>
      <w:r w:rsidR="009D23E0" w:rsidRPr="00CD4428">
        <w:rPr>
          <w:rFonts w:ascii="Book Antiqua" w:eastAsia="SabonLTStd-Roman" w:hAnsi="Book Antiqua" w:cstheme="minorHAnsi"/>
          <w:sz w:val="24"/>
          <w:szCs w:val="24"/>
          <w:lang w:val="en-GB"/>
        </w:rPr>
        <w:t xml:space="preserve"> serious</w:t>
      </w:r>
      <w:r w:rsidR="005349E5" w:rsidRPr="00CD4428">
        <w:rPr>
          <w:rFonts w:ascii="Book Antiqua" w:eastAsia="SabonLTStd-Roman" w:hAnsi="Book Antiqua" w:cstheme="minorHAnsi"/>
          <w:sz w:val="24"/>
          <w:szCs w:val="24"/>
          <w:lang w:val="en-GB"/>
        </w:rPr>
        <w:t xml:space="preserve"> </w:t>
      </w:r>
      <w:r w:rsidR="009D23E0" w:rsidRPr="00CD4428">
        <w:rPr>
          <w:rFonts w:ascii="Book Antiqua" w:eastAsia="SabonLTStd-Roman" w:hAnsi="Book Antiqua" w:cstheme="minorHAnsi"/>
          <w:sz w:val="24"/>
          <w:szCs w:val="24"/>
          <w:lang w:val="en-GB"/>
        </w:rPr>
        <w:t xml:space="preserve">and </w:t>
      </w:r>
      <w:proofErr w:type="spellStart"/>
      <w:r w:rsidR="009D23E0" w:rsidRPr="00CD4428">
        <w:rPr>
          <w:rFonts w:ascii="Book Antiqua" w:eastAsia="SabonLTStd-Roman" w:hAnsi="Book Antiqua" w:cstheme="minorHAnsi"/>
          <w:sz w:val="24"/>
          <w:szCs w:val="24"/>
          <w:lang w:val="en-GB"/>
        </w:rPr>
        <w:t>vedolizumab</w:t>
      </w:r>
      <w:proofErr w:type="spellEnd"/>
      <w:r w:rsidR="009D23E0" w:rsidRPr="00CD4428">
        <w:rPr>
          <w:rFonts w:ascii="Book Antiqua" w:eastAsia="SabonLTStd-Roman" w:hAnsi="Book Antiqua" w:cstheme="minorHAnsi"/>
          <w:sz w:val="24"/>
          <w:szCs w:val="24"/>
          <w:lang w:val="en-GB"/>
        </w:rPr>
        <w:t xml:space="preserve"> was interrupted. Appropriate treatment resulted in resolution or near resolution of the liver abnormalities.</w:t>
      </w:r>
      <w:r w:rsidR="00590110" w:rsidRPr="00CD4428">
        <w:rPr>
          <w:rFonts w:ascii="Book Antiqua" w:eastAsia="SabonLTStd-Roman" w:hAnsi="Book Antiqua" w:cstheme="minorHAnsi"/>
          <w:sz w:val="24"/>
          <w:szCs w:val="24"/>
          <w:lang w:val="en-GB"/>
        </w:rPr>
        <w:t xml:space="preserve"> </w:t>
      </w:r>
    </w:p>
    <w:p w14:paraId="0930BEAC" w14:textId="3DC6CAE3" w:rsidR="004C3E54" w:rsidRPr="00CD4428" w:rsidRDefault="00B74632" w:rsidP="00760B6C">
      <w:pPr>
        <w:autoSpaceDE w:val="0"/>
        <w:autoSpaceDN w:val="0"/>
        <w:adjustRightInd w:val="0"/>
        <w:snapToGrid w:val="0"/>
        <w:spacing w:after="0" w:line="360" w:lineRule="auto"/>
        <w:ind w:firstLineChars="200" w:firstLine="48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 xml:space="preserve">Infusion-related reactions occurred in ≤ 5% of patients, and </w:t>
      </w:r>
      <w:r w:rsidR="00D57D35" w:rsidRPr="00CD4428">
        <w:rPr>
          <w:rFonts w:ascii="Book Antiqua" w:eastAsia="SabonLTStd-Roman" w:hAnsi="Book Antiqua" w:cstheme="minorHAnsi"/>
          <w:sz w:val="24"/>
          <w:szCs w:val="24"/>
          <w:lang w:val="en-GB"/>
        </w:rPr>
        <w:t>&lt;</w:t>
      </w:r>
      <w:r w:rsidRPr="00CD4428">
        <w:rPr>
          <w:rFonts w:ascii="Book Antiqua" w:eastAsia="SabonLTStd-Roman" w:hAnsi="Book Antiqua" w:cstheme="minorHAnsi"/>
          <w:sz w:val="24"/>
          <w:szCs w:val="24"/>
          <w:lang w:val="en-GB"/>
        </w:rPr>
        <w:t xml:space="preserve"> </w:t>
      </w:r>
      <w:proofErr w:type="gramStart"/>
      <w:r w:rsidRPr="00CD4428">
        <w:rPr>
          <w:rFonts w:ascii="Book Antiqua" w:eastAsia="SabonLTStd-Roman" w:hAnsi="Book Antiqua" w:cstheme="minorHAnsi"/>
          <w:sz w:val="24"/>
          <w:szCs w:val="24"/>
          <w:lang w:val="en-GB"/>
        </w:rPr>
        <w:t>1%</w:t>
      </w:r>
      <w:proofErr w:type="gramEnd"/>
      <w:r w:rsidRPr="00CD4428">
        <w:rPr>
          <w:rFonts w:ascii="Book Antiqua" w:eastAsia="SabonLTStd-Roman" w:hAnsi="Book Antiqua" w:cstheme="minorHAnsi"/>
          <w:sz w:val="24"/>
          <w:szCs w:val="24"/>
          <w:lang w:val="en-GB"/>
        </w:rPr>
        <w:t xml:space="preserve"> of patients</w:t>
      </w:r>
      <w:r w:rsidR="005349E5" w:rsidRPr="00CD4428">
        <w:rPr>
          <w:rFonts w:ascii="Book Antiqua" w:eastAsia="SabonLTStd-Roman" w:hAnsi="Book Antiqua" w:cstheme="minorHAnsi"/>
          <w:sz w:val="24"/>
          <w:szCs w:val="24"/>
          <w:lang w:val="en-GB"/>
        </w:rPr>
        <w:t xml:space="preserve"> discontinued</w:t>
      </w:r>
      <w:r w:rsidR="004C115F" w:rsidRPr="00CD4428">
        <w:rPr>
          <w:rFonts w:ascii="Book Antiqua" w:eastAsia="SabonLTStd-Roman" w:hAnsi="Book Antiqua" w:cstheme="minorHAnsi"/>
          <w:sz w:val="24"/>
          <w:szCs w:val="24"/>
          <w:lang w:val="en-GB"/>
        </w:rPr>
        <w:t xml:space="preserve"> the infusion or received an incomplete dose.</w:t>
      </w:r>
      <w:r w:rsidR="00A264BD" w:rsidRPr="00CD4428">
        <w:rPr>
          <w:rFonts w:ascii="Book Antiqua" w:eastAsia="SabonLTStd-Roman" w:hAnsi="Book Antiqua" w:cstheme="minorHAnsi"/>
          <w:sz w:val="24"/>
          <w:szCs w:val="24"/>
          <w:lang w:val="en-GB"/>
        </w:rPr>
        <w:t xml:space="preserve"> T</w:t>
      </w:r>
      <w:r w:rsidRPr="00CD4428">
        <w:rPr>
          <w:rFonts w:ascii="Book Antiqua" w:eastAsia="SabonLTStd-Roman" w:hAnsi="Book Antiqua" w:cstheme="minorHAnsi"/>
          <w:sz w:val="24"/>
          <w:szCs w:val="24"/>
          <w:lang w:val="en-GB"/>
        </w:rPr>
        <w:t>ransient ant</w:t>
      </w:r>
      <w:r w:rsidR="00A264BD" w:rsidRPr="00CD4428">
        <w:rPr>
          <w:rFonts w:ascii="Book Antiqua" w:eastAsia="SabonLTStd-Roman" w:hAnsi="Book Antiqua" w:cstheme="minorHAnsi"/>
          <w:sz w:val="24"/>
          <w:szCs w:val="24"/>
          <w:lang w:val="en-GB"/>
        </w:rPr>
        <w:t>i</w:t>
      </w:r>
      <w:r w:rsidRPr="00CD4428">
        <w:rPr>
          <w:rFonts w:ascii="Book Antiqua" w:eastAsia="SabonLTStd-Roman" w:hAnsi="Book Antiqua" w:cstheme="minorHAnsi"/>
          <w:sz w:val="24"/>
          <w:szCs w:val="24"/>
          <w:lang w:val="en-GB"/>
        </w:rPr>
        <w:t xml:space="preserve">-drug antibodies </w:t>
      </w:r>
      <w:proofErr w:type="gramStart"/>
      <w:r w:rsidRPr="00CD4428">
        <w:rPr>
          <w:rFonts w:ascii="Book Antiqua" w:eastAsia="SabonLTStd-Roman" w:hAnsi="Book Antiqua" w:cstheme="minorHAnsi"/>
          <w:sz w:val="24"/>
          <w:szCs w:val="24"/>
          <w:lang w:val="en-GB"/>
        </w:rPr>
        <w:t>were reported</w:t>
      </w:r>
      <w:proofErr w:type="gramEnd"/>
      <w:r w:rsidRPr="00CD4428">
        <w:rPr>
          <w:rFonts w:ascii="Book Antiqua" w:eastAsia="SabonLTStd-Roman" w:hAnsi="Book Antiqua" w:cstheme="minorHAnsi"/>
          <w:sz w:val="24"/>
          <w:szCs w:val="24"/>
          <w:lang w:val="en-GB"/>
        </w:rPr>
        <w:t xml:space="preserve"> </w:t>
      </w:r>
      <w:r w:rsidR="00007266" w:rsidRPr="00CD4428">
        <w:rPr>
          <w:rFonts w:ascii="Book Antiqua" w:eastAsia="SabonLTStd-Roman" w:hAnsi="Book Antiqua" w:cstheme="minorHAnsi"/>
          <w:sz w:val="24"/>
          <w:szCs w:val="24"/>
          <w:lang w:val="en-GB"/>
        </w:rPr>
        <w:t>by</w:t>
      </w:r>
      <w:r w:rsidRPr="00CD4428">
        <w:rPr>
          <w:rFonts w:ascii="Book Antiqua" w:eastAsia="SabonLTStd-Roman" w:hAnsi="Book Antiqua" w:cstheme="minorHAnsi"/>
          <w:sz w:val="24"/>
          <w:szCs w:val="24"/>
          <w:lang w:val="en-GB"/>
        </w:rPr>
        <w:t xml:space="preserve"> 4% of subjects</w:t>
      </w:r>
      <w:r w:rsidR="00A264BD" w:rsidRPr="00CD4428">
        <w:rPr>
          <w:rFonts w:ascii="Book Antiqua" w:eastAsia="SabonLTStd-Roman" w:hAnsi="Book Antiqua" w:cstheme="minorHAnsi"/>
          <w:sz w:val="24"/>
          <w:szCs w:val="24"/>
          <w:lang w:val="en-GB"/>
        </w:rPr>
        <w:t xml:space="preserve"> enrolled in </w:t>
      </w:r>
      <w:r w:rsidR="005951CD" w:rsidRPr="00CD4428">
        <w:rPr>
          <w:rFonts w:ascii="Book Antiqua" w:eastAsia="SabonLTStd-Roman" w:hAnsi="Book Antiqua" w:cstheme="minorHAnsi"/>
          <w:sz w:val="24"/>
          <w:szCs w:val="24"/>
          <w:lang w:val="en-GB"/>
        </w:rPr>
        <w:t xml:space="preserve">the </w:t>
      </w:r>
      <w:r w:rsidR="00A264BD" w:rsidRPr="00CD4428">
        <w:rPr>
          <w:rFonts w:ascii="Book Antiqua" w:eastAsia="SabonLTStd-Roman" w:hAnsi="Book Antiqua" w:cstheme="minorHAnsi"/>
          <w:sz w:val="24"/>
          <w:szCs w:val="24"/>
          <w:lang w:val="en-GB"/>
        </w:rPr>
        <w:t xml:space="preserve">GEMINI </w:t>
      </w:r>
      <w:r w:rsidR="00C11F69" w:rsidRPr="00CD4428">
        <w:rPr>
          <w:rFonts w:ascii="Book Antiqua" w:eastAsia="SabonLTStd-Roman" w:hAnsi="Book Antiqua" w:cstheme="minorHAnsi"/>
          <w:sz w:val="24"/>
          <w:szCs w:val="24"/>
          <w:lang w:val="en-GB"/>
        </w:rPr>
        <w:t>1</w:t>
      </w:r>
      <w:r w:rsidR="00A264BD" w:rsidRPr="00CD4428">
        <w:rPr>
          <w:rFonts w:ascii="Book Antiqua" w:eastAsia="SabonLTStd-Roman" w:hAnsi="Book Antiqua" w:cstheme="minorHAnsi"/>
          <w:sz w:val="24"/>
          <w:szCs w:val="24"/>
          <w:lang w:val="en-GB"/>
        </w:rPr>
        <w:t xml:space="preserve"> and GEMINI</w:t>
      </w:r>
      <w:r w:rsidR="00C11F69" w:rsidRPr="00CD4428">
        <w:rPr>
          <w:rFonts w:ascii="Book Antiqua" w:eastAsia="SabonLTStd-Roman" w:hAnsi="Book Antiqua" w:cstheme="minorHAnsi"/>
          <w:sz w:val="24"/>
          <w:szCs w:val="24"/>
          <w:lang w:val="en-GB"/>
        </w:rPr>
        <w:t xml:space="preserve"> 2</w:t>
      </w:r>
      <w:r w:rsidR="00A264BD" w:rsidRPr="00CD4428">
        <w:rPr>
          <w:rFonts w:ascii="Book Antiqua" w:eastAsia="SabonLTStd-Roman" w:hAnsi="Book Antiqua" w:cstheme="minorHAnsi"/>
          <w:sz w:val="24"/>
          <w:szCs w:val="24"/>
          <w:lang w:val="en-GB"/>
        </w:rPr>
        <w:t xml:space="preserve"> trials</w:t>
      </w:r>
      <w:r w:rsidRPr="00CD4428">
        <w:rPr>
          <w:rFonts w:ascii="Book Antiqua" w:eastAsia="SabonLTStd-Roman" w:hAnsi="Book Antiqua" w:cstheme="minorHAnsi"/>
          <w:sz w:val="24"/>
          <w:szCs w:val="24"/>
          <w:lang w:val="en-GB"/>
        </w:rPr>
        <w:t>, suggesting that loss of response related to the development of anti-drug antibodies may be a rare event.</w:t>
      </w:r>
    </w:p>
    <w:p w14:paraId="2E0F911F" w14:textId="1E844DA7" w:rsidR="00C11F69" w:rsidRPr="00CD4428" w:rsidRDefault="00D57D35" w:rsidP="00760B6C">
      <w:pPr>
        <w:autoSpaceDE w:val="0"/>
        <w:autoSpaceDN w:val="0"/>
        <w:adjustRightInd w:val="0"/>
        <w:snapToGrid w:val="0"/>
        <w:spacing w:after="0" w:line="360" w:lineRule="auto"/>
        <w:ind w:firstLineChars="200" w:firstLine="48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A</w:t>
      </w:r>
      <w:r w:rsidR="00C11F69" w:rsidRPr="00CD4428">
        <w:rPr>
          <w:rFonts w:ascii="Book Antiqua" w:eastAsia="SabonLTStd-Roman" w:hAnsi="Book Antiqua" w:cstheme="minorHAnsi"/>
          <w:sz w:val="24"/>
          <w:szCs w:val="24"/>
          <w:lang w:val="en-GB"/>
        </w:rPr>
        <w:t>ddition</w:t>
      </w:r>
      <w:r w:rsidRPr="00CD4428">
        <w:rPr>
          <w:rFonts w:ascii="Book Antiqua" w:eastAsia="SabonLTStd-Roman" w:hAnsi="Book Antiqua" w:cstheme="minorHAnsi"/>
          <w:sz w:val="24"/>
          <w:szCs w:val="24"/>
          <w:lang w:val="en-GB"/>
        </w:rPr>
        <w:t>ally</w:t>
      </w:r>
      <w:r w:rsidR="00C11F69" w:rsidRPr="00CD4428">
        <w:rPr>
          <w:rFonts w:ascii="Book Antiqua" w:eastAsia="SabonLTStd-Roman" w:hAnsi="Book Antiqua" w:cstheme="minorHAnsi"/>
          <w:sz w:val="24"/>
          <w:szCs w:val="24"/>
          <w:lang w:val="en-GB"/>
        </w:rPr>
        <w:t xml:space="preserve">, </w:t>
      </w:r>
      <w:r w:rsidR="00C84EF5" w:rsidRPr="00CD4428">
        <w:rPr>
          <w:rFonts w:ascii="Book Antiqua" w:eastAsia="SabonLTStd-Roman" w:hAnsi="Book Antiqua" w:cstheme="minorHAnsi"/>
          <w:sz w:val="24"/>
          <w:szCs w:val="24"/>
          <w:lang w:val="en-GB"/>
        </w:rPr>
        <w:t xml:space="preserve">a </w:t>
      </w:r>
      <w:r w:rsidR="00C11F69" w:rsidRPr="00CD4428">
        <w:rPr>
          <w:rFonts w:ascii="Book Antiqua" w:eastAsia="SabonLTStd-Roman" w:hAnsi="Book Antiqua" w:cstheme="minorHAnsi"/>
          <w:sz w:val="24"/>
          <w:szCs w:val="24"/>
          <w:lang w:val="en-GB"/>
        </w:rPr>
        <w:t>post-hoc analyses of the GEMINI 1</w:t>
      </w:r>
      <w:r w:rsidR="00590110" w:rsidRPr="00CD4428">
        <w:rPr>
          <w:rFonts w:ascii="Book Antiqua" w:eastAsia="SabonLTStd-Roman" w:hAnsi="Book Antiqua" w:cstheme="minorHAnsi"/>
          <w:sz w:val="24"/>
          <w:szCs w:val="24"/>
          <w:lang w:val="en-GB"/>
        </w:rPr>
        <w:t xml:space="preserve"> </w:t>
      </w:r>
      <w:r w:rsidR="00C11F69" w:rsidRPr="00CD4428">
        <w:rPr>
          <w:rFonts w:ascii="Book Antiqua" w:eastAsia="SabonLTStd-Roman" w:hAnsi="Book Antiqua" w:cstheme="minorHAnsi"/>
          <w:sz w:val="24"/>
          <w:szCs w:val="24"/>
          <w:lang w:val="en-GB"/>
        </w:rPr>
        <w:t>and GEMINI 2 studies did not report any significant difference</w:t>
      </w:r>
      <w:r w:rsidR="005951CD" w:rsidRPr="00CD4428">
        <w:rPr>
          <w:rFonts w:ascii="Book Antiqua" w:eastAsia="SabonLTStd-Roman" w:hAnsi="Book Antiqua" w:cstheme="minorHAnsi"/>
          <w:sz w:val="24"/>
          <w:szCs w:val="24"/>
          <w:lang w:val="en-GB"/>
        </w:rPr>
        <w:t>s</w:t>
      </w:r>
      <w:r w:rsidR="00C11F69" w:rsidRPr="00CD4428">
        <w:rPr>
          <w:rFonts w:ascii="Book Antiqua" w:eastAsia="SabonLTStd-Roman" w:hAnsi="Book Antiqua" w:cstheme="minorHAnsi"/>
          <w:sz w:val="24"/>
          <w:szCs w:val="24"/>
          <w:lang w:val="en-GB"/>
        </w:rPr>
        <w:t xml:space="preserve"> in infections or other adverse events amongst the </w:t>
      </w:r>
      <w:r w:rsidR="00861826" w:rsidRPr="00CD4428">
        <w:rPr>
          <w:rFonts w:ascii="Book Antiqua" w:eastAsia="SabonLTStd-Roman" w:hAnsi="Book Antiqua" w:cstheme="minorHAnsi"/>
          <w:sz w:val="24"/>
          <w:szCs w:val="24"/>
          <w:lang w:val="en-GB"/>
        </w:rPr>
        <w:t>age groups,</w:t>
      </w:r>
      <w:r w:rsidR="00590110" w:rsidRPr="00CD4428">
        <w:rPr>
          <w:rFonts w:ascii="Book Antiqua" w:eastAsia="SabonLTStd-Roman" w:hAnsi="Book Antiqua" w:cstheme="minorHAnsi"/>
          <w:sz w:val="24"/>
          <w:szCs w:val="24"/>
          <w:lang w:val="en-GB"/>
        </w:rPr>
        <w:t xml:space="preserve"> </w:t>
      </w:r>
      <w:r w:rsidR="00861826" w:rsidRPr="00CD4428">
        <w:rPr>
          <w:rFonts w:ascii="Book Antiqua" w:eastAsia="SabonLTStd-Roman" w:hAnsi="Book Antiqua" w:cstheme="minorHAnsi"/>
          <w:sz w:val="24"/>
          <w:szCs w:val="24"/>
          <w:lang w:val="en-GB"/>
        </w:rPr>
        <w:t>confirming a good safety profile</w:t>
      </w:r>
      <w:r w:rsidR="00590110" w:rsidRPr="00CD4428">
        <w:rPr>
          <w:rFonts w:ascii="Book Antiqua" w:eastAsia="SabonLTStd-Roman" w:hAnsi="Book Antiqua" w:cstheme="minorHAnsi"/>
          <w:sz w:val="24"/>
          <w:szCs w:val="24"/>
          <w:lang w:val="en-GB"/>
        </w:rPr>
        <w:t xml:space="preserve"> </w:t>
      </w:r>
      <w:r w:rsidR="00861826" w:rsidRPr="00CD4428">
        <w:rPr>
          <w:rFonts w:ascii="Book Antiqua" w:eastAsia="SabonLTStd-Roman" w:hAnsi="Book Antiqua" w:cstheme="minorHAnsi"/>
          <w:sz w:val="24"/>
          <w:szCs w:val="24"/>
          <w:lang w:val="en-GB"/>
        </w:rPr>
        <w:t>in older (&gt;</w:t>
      </w:r>
      <w:r w:rsidR="00760B6C">
        <w:rPr>
          <w:rFonts w:ascii="Book Antiqua" w:hAnsi="Book Antiqua" w:cstheme="minorHAnsi" w:hint="eastAsia"/>
          <w:sz w:val="24"/>
          <w:szCs w:val="24"/>
          <w:lang w:val="en-GB" w:eastAsia="zh-CN"/>
        </w:rPr>
        <w:t xml:space="preserve"> </w:t>
      </w:r>
      <w:r w:rsidR="00861826" w:rsidRPr="00CD4428">
        <w:rPr>
          <w:rFonts w:ascii="Book Antiqua" w:eastAsia="SabonLTStd-Roman" w:hAnsi="Book Antiqua" w:cstheme="minorHAnsi"/>
          <w:sz w:val="24"/>
          <w:szCs w:val="24"/>
          <w:lang w:val="en-GB"/>
        </w:rPr>
        <w:t xml:space="preserve">55 years) </w:t>
      </w:r>
      <w:proofErr w:type="gramStart"/>
      <w:r w:rsidR="00880708" w:rsidRPr="00CD4428">
        <w:rPr>
          <w:rFonts w:ascii="Book Antiqua" w:eastAsia="SabonLTStd-Roman" w:hAnsi="Book Antiqua" w:cstheme="minorHAnsi"/>
          <w:sz w:val="24"/>
          <w:szCs w:val="24"/>
          <w:lang w:val="en-GB"/>
        </w:rPr>
        <w:t>patients</w:t>
      </w:r>
      <w:r w:rsidR="00880708" w:rsidRPr="00CD4428">
        <w:rPr>
          <w:rFonts w:ascii="Book Antiqua" w:eastAsia="SabonLTStd-Roman" w:hAnsi="Book Antiqua" w:cstheme="minorHAnsi"/>
          <w:sz w:val="24"/>
          <w:szCs w:val="24"/>
          <w:vertAlign w:val="superscript"/>
          <w:lang w:val="en-GB"/>
        </w:rPr>
        <w:t>[</w:t>
      </w:r>
      <w:proofErr w:type="gramEnd"/>
      <w:r w:rsidR="00E7781C" w:rsidRPr="00CD4428">
        <w:rPr>
          <w:rFonts w:ascii="Book Antiqua" w:eastAsia="SabonLTStd-Roman" w:hAnsi="Book Antiqua" w:cstheme="minorHAnsi"/>
          <w:sz w:val="24"/>
          <w:szCs w:val="24"/>
          <w:vertAlign w:val="superscript"/>
          <w:lang w:val="en-GB"/>
        </w:rPr>
        <w:t>4</w:t>
      </w:r>
      <w:r w:rsidR="00652548" w:rsidRPr="00CD4428">
        <w:rPr>
          <w:rFonts w:ascii="Book Antiqua" w:eastAsia="SabonLTStd-Roman" w:hAnsi="Book Antiqua" w:cstheme="minorHAnsi"/>
          <w:sz w:val="24"/>
          <w:szCs w:val="24"/>
          <w:vertAlign w:val="superscript"/>
          <w:lang w:val="en-GB"/>
        </w:rPr>
        <w:t>8</w:t>
      </w:r>
      <w:r w:rsidR="00880708" w:rsidRPr="00CD4428">
        <w:rPr>
          <w:rFonts w:ascii="Book Antiqua" w:eastAsia="SabonLTStd-Roman" w:hAnsi="Book Antiqua" w:cstheme="minorHAnsi"/>
          <w:sz w:val="24"/>
          <w:szCs w:val="24"/>
          <w:vertAlign w:val="superscript"/>
          <w:lang w:val="en-GB"/>
        </w:rPr>
        <w:t>]</w:t>
      </w:r>
      <w:r w:rsidR="00861826" w:rsidRPr="00CD4428">
        <w:rPr>
          <w:rFonts w:ascii="Book Antiqua" w:eastAsia="SabonLTStd-Roman" w:hAnsi="Book Antiqua" w:cstheme="minorHAnsi"/>
          <w:sz w:val="24"/>
          <w:szCs w:val="24"/>
          <w:lang w:val="en-GB"/>
        </w:rPr>
        <w:t>.</w:t>
      </w:r>
      <w:r w:rsidR="00590110" w:rsidRPr="00CD4428">
        <w:rPr>
          <w:rFonts w:ascii="Book Antiqua" w:eastAsia="SabonLTStd-Roman" w:hAnsi="Book Antiqua" w:cstheme="minorHAnsi"/>
          <w:sz w:val="24"/>
          <w:szCs w:val="24"/>
          <w:lang w:val="en-GB"/>
        </w:rPr>
        <w:t xml:space="preserve"> </w:t>
      </w:r>
    </w:p>
    <w:p w14:paraId="4678F4E0" w14:textId="7DAC488C" w:rsidR="005735ED" w:rsidRPr="00760B6C" w:rsidRDefault="005735ED" w:rsidP="00760B6C">
      <w:pPr>
        <w:autoSpaceDE w:val="0"/>
        <w:autoSpaceDN w:val="0"/>
        <w:adjustRightInd w:val="0"/>
        <w:snapToGrid w:val="0"/>
        <w:spacing w:after="0" w:line="360" w:lineRule="auto"/>
        <w:ind w:firstLineChars="200" w:firstLine="480"/>
        <w:jc w:val="both"/>
        <w:rPr>
          <w:rFonts w:ascii="Book Antiqua" w:eastAsia="SabonLTStd-Roman" w:hAnsi="Book Antiqua" w:cstheme="minorHAnsi"/>
          <w:sz w:val="24"/>
          <w:szCs w:val="24"/>
          <w:lang w:val="en-GB"/>
        </w:rPr>
      </w:pPr>
      <w:r w:rsidRPr="00760B6C">
        <w:rPr>
          <w:rFonts w:ascii="Book Antiqua" w:eastAsia="SabonLTStd-Roman" w:hAnsi="Book Antiqua" w:cstheme="minorHAnsi"/>
          <w:sz w:val="24"/>
          <w:szCs w:val="24"/>
          <w:lang w:val="en-GB"/>
        </w:rPr>
        <w:lastRenderedPageBreak/>
        <w:t xml:space="preserve">No </w:t>
      </w:r>
      <w:r w:rsidR="00997DBF" w:rsidRPr="00760B6C">
        <w:rPr>
          <w:rFonts w:ascii="Book Antiqua" w:eastAsia="SabonLTStd-Roman" w:hAnsi="Book Antiqua" w:cstheme="minorHAnsi"/>
          <w:sz w:val="24"/>
          <w:szCs w:val="24"/>
          <w:lang w:val="en-GB"/>
        </w:rPr>
        <w:t xml:space="preserve">higher rate of </w:t>
      </w:r>
      <w:r w:rsidRPr="00760B6C">
        <w:rPr>
          <w:rFonts w:ascii="Book Antiqua" w:eastAsia="SabonLTStd-Roman" w:hAnsi="Book Antiqua" w:cstheme="minorHAnsi"/>
          <w:sz w:val="24"/>
          <w:szCs w:val="24"/>
          <w:lang w:val="en-GB"/>
        </w:rPr>
        <w:t xml:space="preserve">adverse events than </w:t>
      </w:r>
      <w:r w:rsidR="00CA46D8" w:rsidRPr="00760B6C">
        <w:rPr>
          <w:rFonts w:ascii="Book Antiqua" w:eastAsia="SabonLTStd-Roman" w:hAnsi="Book Antiqua" w:cstheme="minorHAnsi"/>
          <w:sz w:val="24"/>
          <w:szCs w:val="24"/>
          <w:lang w:val="en-GB"/>
        </w:rPr>
        <w:t>the one</w:t>
      </w:r>
      <w:r w:rsidRPr="00760B6C">
        <w:rPr>
          <w:rFonts w:ascii="Book Antiqua" w:eastAsia="SabonLTStd-Roman" w:hAnsi="Book Antiqua" w:cstheme="minorHAnsi"/>
          <w:sz w:val="24"/>
          <w:szCs w:val="24"/>
          <w:lang w:val="en-GB"/>
        </w:rPr>
        <w:t xml:space="preserve"> expected with anti-TNFα therapy </w:t>
      </w:r>
      <w:r w:rsidR="00F016B3" w:rsidRPr="00760B6C">
        <w:rPr>
          <w:rFonts w:ascii="Book Antiqua" w:eastAsia="SabonLTStd-Roman" w:hAnsi="Book Antiqua" w:cstheme="minorHAnsi"/>
          <w:sz w:val="24"/>
          <w:szCs w:val="24"/>
          <w:lang w:val="en-GB"/>
        </w:rPr>
        <w:t xml:space="preserve">alone </w:t>
      </w:r>
      <w:proofErr w:type="gramStart"/>
      <w:r w:rsidRPr="00760B6C">
        <w:rPr>
          <w:rFonts w:ascii="Book Antiqua" w:eastAsia="SabonLTStd-Roman" w:hAnsi="Book Antiqua" w:cstheme="minorHAnsi"/>
          <w:sz w:val="24"/>
          <w:szCs w:val="24"/>
          <w:lang w:val="en-GB"/>
        </w:rPr>
        <w:t>w</w:t>
      </w:r>
      <w:r w:rsidR="00997DBF" w:rsidRPr="00760B6C">
        <w:rPr>
          <w:rFonts w:ascii="Book Antiqua" w:eastAsia="SabonLTStd-Roman" w:hAnsi="Book Antiqua" w:cstheme="minorHAnsi"/>
          <w:sz w:val="24"/>
          <w:szCs w:val="24"/>
          <w:lang w:val="en-GB"/>
        </w:rPr>
        <w:t>as</w:t>
      </w:r>
      <w:r w:rsidRPr="00760B6C">
        <w:rPr>
          <w:rFonts w:ascii="Book Antiqua" w:eastAsia="SabonLTStd-Roman" w:hAnsi="Book Antiqua" w:cstheme="minorHAnsi"/>
          <w:sz w:val="24"/>
          <w:szCs w:val="24"/>
          <w:lang w:val="en-GB"/>
        </w:rPr>
        <w:t xml:space="preserve"> observed</w:t>
      </w:r>
      <w:proofErr w:type="gramEnd"/>
      <w:r w:rsidRPr="00760B6C">
        <w:rPr>
          <w:rFonts w:ascii="Book Antiqua" w:eastAsia="SabonLTStd-Roman" w:hAnsi="Book Antiqua" w:cstheme="minorHAnsi"/>
          <w:sz w:val="24"/>
          <w:szCs w:val="24"/>
          <w:lang w:val="en-GB"/>
        </w:rPr>
        <w:t xml:space="preserve"> in the small series of pat</w:t>
      </w:r>
      <w:r w:rsidR="00F016B3" w:rsidRPr="00760B6C">
        <w:rPr>
          <w:rFonts w:ascii="Book Antiqua" w:eastAsia="SabonLTStd-Roman" w:hAnsi="Book Antiqua" w:cstheme="minorHAnsi"/>
          <w:sz w:val="24"/>
          <w:szCs w:val="24"/>
          <w:lang w:val="en-GB"/>
        </w:rPr>
        <w:t>ients treated with a</w:t>
      </w:r>
      <w:r w:rsidRPr="00760B6C">
        <w:rPr>
          <w:rFonts w:ascii="Book Antiqua" w:eastAsia="SabonLTStd-Roman" w:hAnsi="Book Antiqua" w:cstheme="minorHAnsi"/>
          <w:sz w:val="24"/>
          <w:szCs w:val="24"/>
          <w:lang w:val="en-GB"/>
        </w:rPr>
        <w:t xml:space="preserve"> combination of </w:t>
      </w:r>
      <w:proofErr w:type="spellStart"/>
      <w:r w:rsidRPr="00760B6C">
        <w:rPr>
          <w:rFonts w:ascii="Book Antiqua" w:eastAsia="SabonLTStd-Roman" w:hAnsi="Book Antiqua" w:cstheme="minorHAnsi"/>
          <w:sz w:val="24"/>
          <w:szCs w:val="24"/>
          <w:lang w:val="en-GB"/>
        </w:rPr>
        <w:t>vedolizumab</w:t>
      </w:r>
      <w:proofErr w:type="spellEnd"/>
      <w:r w:rsidRPr="00760B6C">
        <w:rPr>
          <w:rFonts w:ascii="Book Antiqua" w:eastAsia="SabonLTStd-Roman" w:hAnsi="Book Antiqua" w:cstheme="minorHAnsi"/>
          <w:sz w:val="24"/>
          <w:szCs w:val="24"/>
          <w:lang w:val="en-GB"/>
        </w:rPr>
        <w:t xml:space="preserve"> </w:t>
      </w:r>
      <w:r w:rsidR="00F016B3" w:rsidRPr="00760B6C">
        <w:rPr>
          <w:rFonts w:ascii="Book Antiqua" w:eastAsia="SabonLTStd-Roman" w:hAnsi="Book Antiqua" w:cstheme="minorHAnsi"/>
          <w:sz w:val="24"/>
          <w:szCs w:val="24"/>
          <w:lang w:val="en-GB"/>
        </w:rPr>
        <w:t>and</w:t>
      </w:r>
      <w:r w:rsidR="00936E0F" w:rsidRPr="00760B6C">
        <w:rPr>
          <w:rFonts w:ascii="Book Antiqua" w:eastAsia="SabonLTStd-Roman" w:hAnsi="Book Antiqua" w:cstheme="minorHAnsi"/>
          <w:sz w:val="24"/>
          <w:szCs w:val="24"/>
          <w:lang w:val="en-GB"/>
        </w:rPr>
        <w:t xml:space="preserve"> </w:t>
      </w:r>
      <w:r w:rsidRPr="00760B6C">
        <w:rPr>
          <w:rFonts w:ascii="Book Antiqua" w:eastAsia="SabonLTStd-Roman" w:hAnsi="Book Antiqua" w:cstheme="minorHAnsi"/>
          <w:sz w:val="24"/>
          <w:szCs w:val="24"/>
          <w:lang w:val="en-GB"/>
        </w:rPr>
        <w:t xml:space="preserve">anti-TNFα </w:t>
      </w:r>
      <w:r w:rsidR="001615C8" w:rsidRPr="00760B6C">
        <w:rPr>
          <w:rFonts w:ascii="Book Antiqua" w:eastAsia="SabonLTStd-Roman" w:hAnsi="Book Antiqua" w:cstheme="minorHAnsi"/>
          <w:sz w:val="24"/>
          <w:szCs w:val="24"/>
          <w:lang w:val="en-GB"/>
        </w:rPr>
        <w:t>agents</w:t>
      </w:r>
      <w:r w:rsidR="00F016B3" w:rsidRPr="00760B6C">
        <w:rPr>
          <w:rFonts w:ascii="Book Antiqua" w:eastAsia="SabonLTStd-Roman" w:hAnsi="Book Antiqua" w:cstheme="minorHAnsi"/>
          <w:sz w:val="24"/>
          <w:szCs w:val="24"/>
          <w:lang w:val="en-GB"/>
        </w:rPr>
        <w:t>.</w:t>
      </w:r>
    </w:p>
    <w:p w14:paraId="263F146D" w14:textId="4F6BA9BE" w:rsidR="00037343" w:rsidRPr="00CD4428" w:rsidRDefault="00037343" w:rsidP="00760B6C">
      <w:pPr>
        <w:autoSpaceDE w:val="0"/>
        <w:autoSpaceDN w:val="0"/>
        <w:adjustRightInd w:val="0"/>
        <w:snapToGrid w:val="0"/>
        <w:spacing w:after="0" w:line="360" w:lineRule="auto"/>
        <w:ind w:firstLineChars="200" w:firstLine="48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 xml:space="preserve">The </w:t>
      </w:r>
      <w:r w:rsidR="00D709C6" w:rsidRPr="00CD4428">
        <w:rPr>
          <w:rFonts w:ascii="Book Antiqua" w:eastAsia="SabonLTStd-Roman" w:hAnsi="Book Antiqua" w:cstheme="minorHAnsi"/>
          <w:sz w:val="24"/>
          <w:szCs w:val="24"/>
          <w:lang w:val="en-GB"/>
        </w:rPr>
        <w:t xml:space="preserve">good </w:t>
      </w:r>
      <w:r w:rsidRPr="00CD4428">
        <w:rPr>
          <w:rFonts w:ascii="Book Antiqua" w:eastAsia="SabonLTStd-Roman" w:hAnsi="Book Antiqua" w:cstheme="minorHAnsi"/>
          <w:sz w:val="24"/>
          <w:szCs w:val="24"/>
          <w:lang w:val="en-GB"/>
        </w:rPr>
        <w:t xml:space="preserve">safety profile of </w:t>
      </w:r>
      <w:proofErr w:type="spellStart"/>
      <w:r w:rsidRPr="00CD4428">
        <w:rPr>
          <w:rFonts w:ascii="Book Antiqua" w:eastAsia="SabonLTStd-Roman" w:hAnsi="Book Antiqua" w:cstheme="minorHAnsi"/>
          <w:sz w:val="24"/>
          <w:szCs w:val="24"/>
          <w:lang w:val="en-GB"/>
        </w:rPr>
        <w:t>vedolizumab</w:t>
      </w:r>
      <w:proofErr w:type="spellEnd"/>
      <w:r w:rsidRPr="00CD4428">
        <w:rPr>
          <w:rFonts w:ascii="Book Antiqua" w:eastAsia="SabonLTStd-Roman" w:hAnsi="Book Antiqua" w:cstheme="minorHAnsi"/>
          <w:sz w:val="24"/>
          <w:szCs w:val="24"/>
          <w:lang w:val="en-GB"/>
        </w:rPr>
        <w:t xml:space="preserve"> </w:t>
      </w:r>
      <w:proofErr w:type="gramStart"/>
      <w:r w:rsidR="005951CD" w:rsidRPr="00CD4428">
        <w:rPr>
          <w:rFonts w:ascii="Book Antiqua" w:eastAsia="SabonLTStd-Roman" w:hAnsi="Book Antiqua" w:cstheme="minorHAnsi"/>
          <w:sz w:val="24"/>
          <w:szCs w:val="24"/>
          <w:lang w:val="en-GB"/>
        </w:rPr>
        <w:t xml:space="preserve">may </w:t>
      </w:r>
      <w:r w:rsidRPr="00CD4428">
        <w:rPr>
          <w:rFonts w:ascii="Book Antiqua" w:eastAsia="SabonLTStd-Roman" w:hAnsi="Book Antiqua" w:cstheme="minorHAnsi"/>
          <w:sz w:val="24"/>
          <w:szCs w:val="24"/>
          <w:lang w:val="en-GB"/>
        </w:rPr>
        <w:t>be related</w:t>
      </w:r>
      <w:proofErr w:type="gramEnd"/>
      <w:r w:rsidRPr="00CD4428">
        <w:rPr>
          <w:rFonts w:ascii="Book Antiqua" w:eastAsia="SabonLTStd-Roman" w:hAnsi="Book Antiqua" w:cstheme="minorHAnsi"/>
          <w:sz w:val="24"/>
          <w:szCs w:val="24"/>
          <w:lang w:val="en-GB"/>
        </w:rPr>
        <w:t xml:space="preserve"> to its mechanism of action</w:t>
      </w:r>
      <w:r w:rsidR="005951CD" w:rsidRPr="00CD4428">
        <w:rPr>
          <w:rFonts w:ascii="Book Antiqua" w:eastAsia="SabonLTStd-Roman" w:hAnsi="Book Antiqua" w:cstheme="minorHAnsi"/>
          <w:sz w:val="24"/>
          <w:szCs w:val="24"/>
          <w:lang w:val="en-GB"/>
        </w:rPr>
        <w:t>, which is</w:t>
      </w:r>
      <w:r w:rsidRPr="00CD4428">
        <w:rPr>
          <w:rFonts w:ascii="Book Antiqua" w:eastAsia="SabonLTStd-Roman" w:hAnsi="Book Antiqua" w:cstheme="minorHAnsi"/>
          <w:sz w:val="24"/>
          <w:szCs w:val="24"/>
          <w:lang w:val="en-GB"/>
        </w:rPr>
        <w:t xml:space="preserve"> characterized by a gut-selectivity, without systemic action.</w:t>
      </w:r>
      <w:r w:rsidR="00590110" w:rsidRPr="00CD4428">
        <w:rPr>
          <w:rFonts w:ascii="Book Antiqua" w:eastAsia="SabonLTStd-Roman" w:hAnsi="Book Antiqua" w:cstheme="minorHAnsi"/>
          <w:sz w:val="24"/>
          <w:szCs w:val="24"/>
          <w:lang w:val="en-GB"/>
        </w:rPr>
        <w:t xml:space="preserve"> </w:t>
      </w:r>
    </w:p>
    <w:p w14:paraId="5CFF5BFC" w14:textId="69FEF7AD" w:rsidR="004C3E54" w:rsidRPr="00CD4428" w:rsidRDefault="00240A03" w:rsidP="00760B6C">
      <w:pPr>
        <w:autoSpaceDE w:val="0"/>
        <w:autoSpaceDN w:val="0"/>
        <w:adjustRightInd w:val="0"/>
        <w:snapToGrid w:val="0"/>
        <w:spacing w:after="0" w:line="360" w:lineRule="auto"/>
        <w:ind w:firstLineChars="200" w:firstLine="48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 xml:space="preserve">Cumulative </w:t>
      </w:r>
      <w:r w:rsidR="00332F4A" w:rsidRPr="00CD4428">
        <w:rPr>
          <w:rFonts w:ascii="Book Antiqua" w:eastAsia="SabonLTStd-Roman" w:hAnsi="Book Antiqua" w:cstheme="minorHAnsi"/>
          <w:sz w:val="24"/>
          <w:szCs w:val="24"/>
          <w:lang w:val="en-GB"/>
        </w:rPr>
        <w:t xml:space="preserve">evidence from </w:t>
      </w:r>
      <w:r w:rsidRPr="00CD4428">
        <w:rPr>
          <w:rFonts w:ascii="Book Antiqua" w:eastAsia="SabonLTStd-Roman" w:hAnsi="Book Antiqua" w:cstheme="minorHAnsi"/>
          <w:sz w:val="24"/>
          <w:szCs w:val="24"/>
          <w:lang w:val="en-GB"/>
        </w:rPr>
        <w:t xml:space="preserve">real-world </w:t>
      </w:r>
      <w:r w:rsidR="00332F4A" w:rsidRPr="00CD4428">
        <w:rPr>
          <w:rFonts w:ascii="Book Antiqua" w:eastAsia="SabonLTStd-Roman" w:hAnsi="Book Antiqua" w:cstheme="minorHAnsi"/>
          <w:sz w:val="24"/>
          <w:szCs w:val="24"/>
          <w:lang w:val="en-GB"/>
        </w:rPr>
        <w:t xml:space="preserve">studies </w:t>
      </w:r>
      <w:r w:rsidRPr="00CD4428">
        <w:rPr>
          <w:rFonts w:ascii="Book Antiqua" w:eastAsia="SabonLTStd-Roman" w:hAnsi="Book Antiqua" w:cstheme="minorHAnsi"/>
          <w:sz w:val="24"/>
          <w:szCs w:val="24"/>
          <w:lang w:val="en-GB"/>
        </w:rPr>
        <w:t>ha</w:t>
      </w:r>
      <w:r w:rsidR="00332F4A" w:rsidRPr="00CD4428">
        <w:rPr>
          <w:rFonts w:ascii="Book Antiqua" w:eastAsia="SabonLTStd-Roman" w:hAnsi="Book Antiqua" w:cstheme="minorHAnsi"/>
          <w:sz w:val="24"/>
          <w:szCs w:val="24"/>
          <w:lang w:val="en-GB"/>
        </w:rPr>
        <w:t>s</w:t>
      </w:r>
      <w:r w:rsidRPr="00CD4428">
        <w:rPr>
          <w:rFonts w:ascii="Book Antiqua" w:eastAsia="SabonLTStd-Roman" w:hAnsi="Book Antiqua" w:cstheme="minorHAnsi"/>
          <w:sz w:val="24"/>
          <w:szCs w:val="24"/>
          <w:lang w:val="en-GB"/>
        </w:rPr>
        <w:t xml:space="preserve"> no</w:t>
      </w:r>
      <w:r w:rsidR="00007556" w:rsidRPr="00CD4428">
        <w:rPr>
          <w:rFonts w:ascii="Book Antiqua" w:eastAsia="SabonLTStd-Roman" w:hAnsi="Book Antiqua" w:cstheme="minorHAnsi"/>
          <w:sz w:val="24"/>
          <w:szCs w:val="24"/>
          <w:lang w:val="en-GB"/>
        </w:rPr>
        <w:t>t pointed out any relevant difference</w:t>
      </w:r>
      <w:r w:rsidR="005951CD" w:rsidRPr="00CD4428">
        <w:rPr>
          <w:rFonts w:ascii="Book Antiqua" w:eastAsia="SabonLTStd-Roman" w:hAnsi="Book Antiqua" w:cstheme="minorHAnsi"/>
          <w:sz w:val="24"/>
          <w:szCs w:val="24"/>
          <w:lang w:val="en-GB"/>
        </w:rPr>
        <w:t>s</w:t>
      </w:r>
      <w:r w:rsidR="00007556" w:rsidRPr="00CD4428">
        <w:rPr>
          <w:rFonts w:ascii="Book Antiqua" w:eastAsia="SabonLTStd-Roman" w:hAnsi="Book Antiqua" w:cstheme="minorHAnsi"/>
          <w:sz w:val="24"/>
          <w:szCs w:val="24"/>
          <w:lang w:val="en-GB"/>
        </w:rPr>
        <w:t xml:space="preserve"> in infectious and </w:t>
      </w:r>
      <w:proofErr w:type="spellStart"/>
      <w:r w:rsidR="00007556" w:rsidRPr="00CD4428">
        <w:rPr>
          <w:rFonts w:ascii="Book Antiqua" w:eastAsia="SabonLTStd-Roman" w:hAnsi="Book Antiqua" w:cstheme="minorHAnsi"/>
          <w:sz w:val="24"/>
          <w:szCs w:val="24"/>
          <w:lang w:val="en-GB"/>
        </w:rPr>
        <w:t>no</w:t>
      </w:r>
      <w:r w:rsidR="005951CD" w:rsidRPr="00CD4428">
        <w:rPr>
          <w:rFonts w:ascii="Book Antiqua" w:eastAsia="SabonLTStd-Roman" w:hAnsi="Book Antiqua" w:cstheme="minorHAnsi"/>
          <w:sz w:val="24"/>
          <w:szCs w:val="24"/>
          <w:lang w:val="en-GB"/>
        </w:rPr>
        <w:t>n</w:t>
      </w:r>
      <w:r w:rsidR="00007556" w:rsidRPr="00CD4428">
        <w:rPr>
          <w:rFonts w:ascii="Book Antiqua" w:eastAsia="SabonLTStd-Roman" w:hAnsi="Book Antiqua" w:cstheme="minorHAnsi"/>
          <w:sz w:val="24"/>
          <w:szCs w:val="24"/>
          <w:lang w:val="en-GB"/>
        </w:rPr>
        <w:t>infectious</w:t>
      </w:r>
      <w:proofErr w:type="spellEnd"/>
      <w:r w:rsidR="00007556" w:rsidRPr="00CD4428">
        <w:rPr>
          <w:rFonts w:ascii="Book Antiqua" w:eastAsia="SabonLTStd-Roman" w:hAnsi="Book Antiqua" w:cstheme="minorHAnsi"/>
          <w:sz w:val="24"/>
          <w:szCs w:val="24"/>
          <w:lang w:val="en-GB"/>
        </w:rPr>
        <w:t xml:space="preserve"> adverse events compared to </w:t>
      </w:r>
      <w:r w:rsidR="005951CD" w:rsidRPr="00CD4428">
        <w:rPr>
          <w:rFonts w:ascii="Book Antiqua" w:eastAsia="SabonLTStd-Roman" w:hAnsi="Book Antiqua" w:cstheme="minorHAnsi"/>
          <w:sz w:val="24"/>
          <w:szCs w:val="24"/>
          <w:lang w:val="en-GB"/>
        </w:rPr>
        <w:t xml:space="preserve">those seen in </w:t>
      </w:r>
      <w:r w:rsidR="00007556" w:rsidRPr="00CD4428">
        <w:rPr>
          <w:rFonts w:ascii="Book Antiqua" w:eastAsia="SabonLTStd-Roman" w:hAnsi="Book Antiqua" w:cstheme="minorHAnsi"/>
          <w:sz w:val="24"/>
          <w:szCs w:val="24"/>
          <w:lang w:val="en-GB"/>
        </w:rPr>
        <w:t xml:space="preserve">the </w:t>
      </w:r>
      <w:proofErr w:type="gramStart"/>
      <w:r w:rsidR="00D57D35" w:rsidRPr="00CD4428">
        <w:rPr>
          <w:rFonts w:ascii="Book Antiqua" w:eastAsia="SabonLTStd-Roman" w:hAnsi="Book Antiqua" w:cstheme="minorHAnsi"/>
          <w:sz w:val="24"/>
          <w:szCs w:val="24"/>
          <w:lang w:val="en-GB"/>
        </w:rPr>
        <w:t>RCTs</w:t>
      </w:r>
      <w:r w:rsidR="00880708" w:rsidRPr="00CD4428">
        <w:rPr>
          <w:rFonts w:ascii="Book Antiqua" w:eastAsia="SabonLTStd-Roman" w:hAnsi="Book Antiqua" w:cstheme="minorHAnsi"/>
          <w:sz w:val="24"/>
          <w:szCs w:val="24"/>
          <w:vertAlign w:val="superscript"/>
          <w:lang w:val="en-GB"/>
        </w:rPr>
        <w:t>[</w:t>
      </w:r>
      <w:proofErr w:type="gramEnd"/>
      <w:r w:rsidR="00351C90" w:rsidRPr="00CD4428">
        <w:rPr>
          <w:rFonts w:ascii="Book Antiqua" w:eastAsia="SabonLTStd-Roman" w:hAnsi="Book Antiqua" w:cstheme="minorHAnsi"/>
          <w:sz w:val="24"/>
          <w:szCs w:val="24"/>
          <w:vertAlign w:val="superscript"/>
          <w:lang w:val="en-GB"/>
        </w:rPr>
        <w:t>4</w:t>
      </w:r>
      <w:r w:rsidR="00652548" w:rsidRPr="00CD4428">
        <w:rPr>
          <w:rFonts w:ascii="Book Antiqua" w:eastAsia="SabonLTStd-Roman" w:hAnsi="Book Antiqua" w:cstheme="minorHAnsi"/>
          <w:sz w:val="24"/>
          <w:szCs w:val="24"/>
          <w:vertAlign w:val="superscript"/>
          <w:lang w:val="en-GB"/>
        </w:rPr>
        <w:t>9</w:t>
      </w:r>
      <w:r w:rsidR="00880708" w:rsidRPr="00CD4428">
        <w:rPr>
          <w:rFonts w:ascii="Book Antiqua" w:eastAsia="SabonLTStd-Roman" w:hAnsi="Book Antiqua" w:cstheme="minorHAnsi"/>
          <w:sz w:val="24"/>
          <w:szCs w:val="24"/>
          <w:vertAlign w:val="superscript"/>
          <w:lang w:val="en-GB"/>
        </w:rPr>
        <w:t>]</w:t>
      </w:r>
      <w:r w:rsidR="00007556" w:rsidRPr="00CD4428">
        <w:rPr>
          <w:rFonts w:ascii="Book Antiqua" w:eastAsia="SabonLTStd-Roman" w:hAnsi="Book Antiqua" w:cstheme="minorHAnsi"/>
          <w:sz w:val="24"/>
          <w:szCs w:val="24"/>
          <w:lang w:val="en-GB"/>
        </w:rPr>
        <w:t>.</w:t>
      </w:r>
      <w:r w:rsidR="00321822" w:rsidRPr="00CD4428">
        <w:rPr>
          <w:rFonts w:ascii="Book Antiqua" w:eastAsia="SabonLTStd-Roman" w:hAnsi="Book Antiqua" w:cstheme="minorHAnsi"/>
          <w:sz w:val="24"/>
          <w:szCs w:val="24"/>
          <w:lang w:val="en-GB"/>
        </w:rPr>
        <w:t xml:space="preserve"> Therefore, </w:t>
      </w:r>
      <w:proofErr w:type="spellStart"/>
      <w:r w:rsidR="00321822" w:rsidRPr="00CD4428">
        <w:rPr>
          <w:rFonts w:ascii="Book Antiqua" w:eastAsia="SabonLTStd-Roman" w:hAnsi="Book Antiqua" w:cstheme="minorHAnsi"/>
          <w:sz w:val="24"/>
          <w:szCs w:val="24"/>
          <w:lang w:val="en-GB"/>
        </w:rPr>
        <w:t>postmarketing</w:t>
      </w:r>
      <w:proofErr w:type="spellEnd"/>
      <w:r w:rsidR="00321822" w:rsidRPr="00CD4428">
        <w:rPr>
          <w:rFonts w:ascii="Book Antiqua" w:eastAsia="SabonLTStd-Roman" w:hAnsi="Book Antiqua" w:cstheme="minorHAnsi"/>
          <w:sz w:val="24"/>
          <w:szCs w:val="24"/>
          <w:lang w:val="en-GB"/>
        </w:rPr>
        <w:t xml:space="preserve"> data have confirmed the </w:t>
      </w:r>
      <w:r w:rsidR="00B76AC0" w:rsidRPr="00CD4428">
        <w:rPr>
          <w:rFonts w:ascii="Book Antiqua" w:eastAsia="SabonLTStd-Roman" w:hAnsi="Book Antiqua" w:cstheme="minorHAnsi"/>
          <w:sz w:val="24"/>
          <w:szCs w:val="24"/>
          <w:lang w:val="en-GB"/>
        </w:rPr>
        <w:t>favourable</w:t>
      </w:r>
      <w:r w:rsidR="00321822" w:rsidRPr="00CD4428">
        <w:rPr>
          <w:rFonts w:ascii="Book Antiqua" w:eastAsia="SabonLTStd-Roman" w:hAnsi="Book Antiqua" w:cstheme="minorHAnsi"/>
          <w:sz w:val="24"/>
          <w:szCs w:val="24"/>
          <w:lang w:val="en-GB"/>
        </w:rPr>
        <w:t xml:space="preserve"> safe</w:t>
      </w:r>
      <w:r w:rsidR="00D57D35" w:rsidRPr="00CD4428">
        <w:rPr>
          <w:rFonts w:ascii="Book Antiqua" w:eastAsia="SabonLTStd-Roman" w:hAnsi="Book Antiqua" w:cstheme="minorHAnsi"/>
          <w:sz w:val="24"/>
          <w:szCs w:val="24"/>
          <w:lang w:val="en-GB"/>
        </w:rPr>
        <w:t>t</w:t>
      </w:r>
      <w:r w:rsidR="00321822" w:rsidRPr="00CD4428">
        <w:rPr>
          <w:rFonts w:ascii="Book Antiqua" w:eastAsia="SabonLTStd-Roman" w:hAnsi="Book Antiqua" w:cstheme="minorHAnsi"/>
          <w:sz w:val="24"/>
          <w:szCs w:val="24"/>
          <w:lang w:val="en-GB"/>
        </w:rPr>
        <w:t xml:space="preserve">y profile of </w:t>
      </w:r>
      <w:proofErr w:type="spellStart"/>
      <w:r w:rsidR="00321822" w:rsidRPr="00CD4428">
        <w:rPr>
          <w:rFonts w:ascii="Book Antiqua" w:eastAsia="SabonLTStd-Roman" w:hAnsi="Book Antiqua" w:cstheme="minorHAnsi"/>
          <w:sz w:val="24"/>
          <w:szCs w:val="24"/>
          <w:lang w:val="en-GB"/>
        </w:rPr>
        <w:t>vedolizumab</w:t>
      </w:r>
      <w:proofErr w:type="spellEnd"/>
      <w:r w:rsidR="00321822" w:rsidRPr="00CD4428">
        <w:rPr>
          <w:rFonts w:ascii="Book Antiqua" w:eastAsia="SabonLTStd-Roman" w:hAnsi="Book Antiqua" w:cstheme="minorHAnsi"/>
          <w:sz w:val="24"/>
          <w:szCs w:val="24"/>
          <w:lang w:val="en-GB"/>
        </w:rPr>
        <w:t xml:space="preserve"> observed in the GEMINI </w:t>
      </w:r>
      <w:r w:rsidR="00C11F69" w:rsidRPr="00CD4428">
        <w:rPr>
          <w:rFonts w:ascii="Book Antiqua" w:eastAsia="SabonLTStd-Roman" w:hAnsi="Book Antiqua" w:cstheme="minorHAnsi"/>
          <w:sz w:val="24"/>
          <w:szCs w:val="24"/>
          <w:lang w:val="en-GB"/>
        </w:rPr>
        <w:t>program</w:t>
      </w:r>
      <w:r w:rsidR="00321822" w:rsidRPr="00CD4428">
        <w:rPr>
          <w:rFonts w:ascii="Book Antiqua" w:eastAsia="SabonLTStd-Roman" w:hAnsi="Book Antiqua" w:cstheme="minorHAnsi"/>
          <w:sz w:val="24"/>
          <w:szCs w:val="24"/>
          <w:lang w:val="en-GB"/>
        </w:rPr>
        <w:t>.</w:t>
      </w:r>
    </w:p>
    <w:p w14:paraId="6F186808" w14:textId="77777777" w:rsidR="00E524D5" w:rsidRPr="00760B6C" w:rsidRDefault="00E524D5" w:rsidP="00E17439">
      <w:pPr>
        <w:autoSpaceDE w:val="0"/>
        <w:autoSpaceDN w:val="0"/>
        <w:adjustRightInd w:val="0"/>
        <w:snapToGrid w:val="0"/>
        <w:spacing w:after="0" w:line="360" w:lineRule="auto"/>
        <w:jc w:val="both"/>
        <w:rPr>
          <w:rFonts w:ascii="Book Antiqua" w:hAnsi="Book Antiqua" w:cstheme="minorHAnsi"/>
          <w:sz w:val="24"/>
          <w:szCs w:val="24"/>
          <w:lang w:val="en-GB" w:eastAsia="zh-CN"/>
        </w:rPr>
      </w:pPr>
    </w:p>
    <w:p w14:paraId="5FAC4AB7" w14:textId="778CC62D" w:rsidR="00987030" w:rsidRPr="00760B6C" w:rsidRDefault="00760B6C" w:rsidP="00E17439">
      <w:pPr>
        <w:autoSpaceDE w:val="0"/>
        <w:autoSpaceDN w:val="0"/>
        <w:adjustRightInd w:val="0"/>
        <w:snapToGrid w:val="0"/>
        <w:spacing w:after="0" w:line="360" w:lineRule="auto"/>
        <w:jc w:val="both"/>
        <w:rPr>
          <w:rFonts w:ascii="Book Antiqua" w:hAnsi="Book Antiqua" w:cstheme="minorHAnsi"/>
          <w:b/>
          <w:caps/>
          <w:sz w:val="24"/>
          <w:szCs w:val="24"/>
          <w:lang w:val="en-GB" w:eastAsia="zh-CN"/>
        </w:rPr>
      </w:pPr>
      <w:r w:rsidRPr="00760B6C">
        <w:rPr>
          <w:rFonts w:ascii="Book Antiqua" w:eastAsia="SabonLTStd-Roman" w:hAnsi="Book Antiqua" w:cstheme="minorHAnsi"/>
          <w:b/>
          <w:caps/>
          <w:sz w:val="24"/>
          <w:szCs w:val="24"/>
          <w:lang w:val="en-GB"/>
        </w:rPr>
        <w:t>Conclusion</w:t>
      </w:r>
    </w:p>
    <w:p w14:paraId="79A7C7BA" w14:textId="65C4488E" w:rsidR="009A00E3" w:rsidRPr="00CD4428" w:rsidRDefault="005951CD" w:rsidP="00E17439">
      <w:pPr>
        <w:autoSpaceDE w:val="0"/>
        <w:autoSpaceDN w:val="0"/>
        <w:adjustRightInd w:val="0"/>
        <w:snapToGrid w:val="0"/>
        <w:spacing w:after="0" w:line="360" w:lineRule="auto"/>
        <w:jc w:val="both"/>
        <w:rPr>
          <w:rFonts w:ascii="Book Antiqua" w:eastAsia="SabonLTStd-Roman" w:hAnsi="Book Antiqua" w:cstheme="minorHAnsi"/>
          <w:sz w:val="24"/>
          <w:szCs w:val="24"/>
          <w:lang w:val="en-GB"/>
        </w:rPr>
      </w:pPr>
      <w:proofErr w:type="spellStart"/>
      <w:r w:rsidRPr="00CD4428">
        <w:rPr>
          <w:rFonts w:ascii="Book Antiqua" w:eastAsia="SabonLTStd-Roman" w:hAnsi="Book Antiqua" w:cstheme="minorHAnsi"/>
          <w:sz w:val="24"/>
          <w:szCs w:val="24"/>
          <w:lang w:val="en-GB"/>
        </w:rPr>
        <w:t>V</w:t>
      </w:r>
      <w:r w:rsidR="00B16017" w:rsidRPr="00CD4428">
        <w:rPr>
          <w:rFonts w:ascii="Book Antiqua" w:eastAsia="SabonLTStd-Roman" w:hAnsi="Book Antiqua" w:cstheme="minorHAnsi"/>
          <w:sz w:val="24"/>
          <w:szCs w:val="24"/>
          <w:lang w:val="en-GB"/>
        </w:rPr>
        <w:t>edolizumab</w:t>
      </w:r>
      <w:proofErr w:type="spellEnd"/>
      <w:r w:rsidR="00B16017" w:rsidRPr="00CD4428">
        <w:rPr>
          <w:rFonts w:ascii="Book Antiqua" w:eastAsia="SabonLTStd-Roman" w:hAnsi="Book Antiqua" w:cstheme="minorHAnsi"/>
          <w:sz w:val="24"/>
          <w:szCs w:val="24"/>
          <w:lang w:val="en-GB"/>
        </w:rPr>
        <w:t xml:space="preserve"> </w:t>
      </w:r>
      <w:r w:rsidRPr="00CD4428">
        <w:rPr>
          <w:rFonts w:ascii="Book Antiqua" w:eastAsia="SabonLTStd-Roman" w:hAnsi="Book Antiqua" w:cstheme="minorHAnsi"/>
          <w:sz w:val="24"/>
          <w:szCs w:val="24"/>
          <w:lang w:val="en-GB"/>
        </w:rPr>
        <w:t xml:space="preserve">represents </w:t>
      </w:r>
      <w:r w:rsidR="00B16017" w:rsidRPr="00CD4428">
        <w:rPr>
          <w:rFonts w:ascii="Book Antiqua" w:eastAsia="SabonLTStd-Roman" w:hAnsi="Book Antiqua" w:cstheme="minorHAnsi"/>
          <w:sz w:val="24"/>
          <w:szCs w:val="24"/>
          <w:lang w:val="en-GB"/>
        </w:rPr>
        <w:t>a</w:t>
      </w:r>
      <w:r w:rsidR="00483069" w:rsidRPr="00CD4428">
        <w:rPr>
          <w:rFonts w:ascii="Book Antiqua" w:eastAsia="SabonLTStd-Roman" w:hAnsi="Book Antiqua" w:cstheme="minorHAnsi"/>
          <w:sz w:val="24"/>
          <w:szCs w:val="24"/>
          <w:lang w:val="en-GB"/>
        </w:rPr>
        <w:t xml:space="preserve">n interesting </w:t>
      </w:r>
      <w:r w:rsidR="00B16017" w:rsidRPr="00CD4428">
        <w:rPr>
          <w:rFonts w:ascii="Book Antiqua" w:eastAsia="SabonLTStd-Roman" w:hAnsi="Book Antiqua" w:cstheme="minorHAnsi"/>
          <w:sz w:val="24"/>
          <w:szCs w:val="24"/>
          <w:lang w:val="en-GB"/>
        </w:rPr>
        <w:t>new therapeutic option for the treatment of patients with UC and CD</w:t>
      </w:r>
      <w:r w:rsidR="009D6BEC" w:rsidRPr="00CD4428">
        <w:rPr>
          <w:rFonts w:ascii="Book Antiqua" w:eastAsia="SabonLTStd-Roman" w:hAnsi="Book Antiqua" w:cstheme="minorHAnsi"/>
          <w:sz w:val="24"/>
          <w:szCs w:val="24"/>
          <w:lang w:val="en-GB"/>
        </w:rPr>
        <w:t xml:space="preserve"> </w:t>
      </w:r>
      <w:r w:rsidRPr="00CD4428">
        <w:rPr>
          <w:rFonts w:ascii="Book Antiqua" w:eastAsia="SabonLTStd-Roman" w:hAnsi="Book Antiqua" w:cstheme="minorHAnsi"/>
          <w:sz w:val="24"/>
          <w:szCs w:val="24"/>
          <w:lang w:val="en-GB"/>
        </w:rPr>
        <w:t xml:space="preserve">that </w:t>
      </w:r>
      <w:r w:rsidR="00BD566D" w:rsidRPr="00CD4428">
        <w:rPr>
          <w:rFonts w:ascii="Book Antiqua" w:eastAsia="SabonLTStd-Roman" w:hAnsi="Book Antiqua" w:cstheme="minorHAnsi"/>
          <w:sz w:val="24"/>
          <w:szCs w:val="24"/>
          <w:lang w:val="en-GB"/>
        </w:rPr>
        <w:t xml:space="preserve">are </w:t>
      </w:r>
      <w:r w:rsidR="009D6BEC" w:rsidRPr="00CD4428">
        <w:rPr>
          <w:rFonts w:ascii="Book Antiqua" w:eastAsia="SabonLTStd-Roman" w:hAnsi="Book Antiqua" w:cstheme="minorHAnsi"/>
          <w:sz w:val="24"/>
          <w:szCs w:val="24"/>
          <w:lang w:val="en-GB"/>
        </w:rPr>
        <w:t>refractory to either conventional treatments or TNF</w:t>
      </w:r>
      <w:r w:rsidR="007444A0" w:rsidRPr="00CD4428">
        <w:rPr>
          <w:rFonts w:ascii="Book Antiqua" w:eastAsia="SabonLTStd-Roman" w:hAnsi="Book Antiqua" w:cstheme="minorHAnsi"/>
          <w:sz w:val="24"/>
          <w:szCs w:val="24"/>
          <w:lang w:val="en-GB"/>
        </w:rPr>
        <w:t>α</w:t>
      </w:r>
      <w:r w:rsidR="00590110" w:rsidRPr="00CD4428">
        <w:rPr>
          <w:rFonts w:ascii="Book Antiqua" w:eastAsia="SabonLTStd-Roman" w:hAnsi="Book Antiqua" w:cstheme="minorHAnsi"/>
          <w:sz w:val="24"/>
          <w:szCs w:val="24"/>
          <w:lang w:val="en-GB"/>
        </w:rPr>
        <w:t xml:space="preserve"> </w:t>
      </w:r>
      <w:proofErr w:type="gramStart"/>
      <w:r w:rsidR="009D6BEC" w:rsidRPr="00CD4428">
        <w:rPr>
          <w:rFonts w:ascii="Book Antiqua" w:eastAsia="SabonLTStd-Roman" w:hAnsi="Book Antiqua" w:cstheme="minorHAnsi"/>
          <w:sz w:val="24"/>
          <w:szCs w:val="24"/>
          <w:lang w:val="en-GB"/>
        </w:rPr>
        <w:t>inhibitors</w:t>
      </w:r>
      <w:r w:rsidR="00880708" w:rsidRPr="00CD4428">
        <w:rPr>
          <w:rFonts w:ascii="Book Antiqua" w:eastAsia="SabonLTStd-Roman" w:hAnsi="Book Antiqua" w:cstheme="minorHAnsi"/>
          <w:sz w:val="24"/>
          <w:szCs w:val="24"/>
          <w:vertAlign w:val="superscript"/>
          <w:lang w:val="en-GB"/>
        </w:rPr>
        <w:t>[</w:t>
      </w:r>
      <w:proofErr w:type="gramEnd"/>
      <w:r w:rsidR="00652548" w:rsidRPr="00CD4428">
        <w:rPr>
          <w:rFonts w:ascii="Book Antiqua" w:eastAsia="SabonLTStd-Roman" w:hAnsi="Book Antiqua" w:cstheme="minorHAnsi"/>
          <w:sz w:val="24"/>
          <w:szCs w:val="24"/>
          <w:vertAlign w:val="superscript"/>
          <w:lang w:val="en-GB"/>
        </w:rPr>
        <w:t>50</w:t>
      </w:r>
      <w:r w:rsidR="00880708" w:rsidRPr="00CD4428">
        <w:rPr>
          <w:rFonts w:ascii="Book Antiqua" w:eastAsia="SabonLTStd-Roman" w:hAnsi="Book Antiqua" w:cstheme="minorHAnsi"/>
          <w:sz w:val="24"/>
          <w:szCs w:val="24"/>
          <w:vertAlign w:val="superscript"/>
          <w:lang w:val="en-GB"/>
        </w:rPr>
        <w:t>]</w:t>
      </w:r>
      <w:r w:rsidR="00483069" w:rsidRPr="00CD4428">
        <w:rPr>
          <w:rFonts w:ascii="Book Antiqua" w:eastAsia="SabonLTStd-Roman" w:hAnsi="Book Antiqua" w:cstheme="minorHAnsi"/>
          <w:sz w:val="24"/>
          <w:szCs w:val="24"/>
          <w:lang w:val="en-GB"/>
        </w:rPr>
        <w:t>.</w:t>
      </w:r>
      <w:r w:rsidR="00B16017" w:rsidRPr="00CD4428">
        <w:rPr>
          <w:rFonts w:ascii="Book Antiqua" w:eastAsia="SabonLTStd-Roman" w:hAnsi="Book Antiqua" w:cstheme="minorHAnsi"/>
          <w:sz w:val="24"/>
          <w:szCs w:val="24"/>
          <w:lang w:val="en-GB"/>
        </w:rPr>
        <w:t xml:space="preserve"> </w:t>
      </w:r>
      <w:r w:rsidR="00447895" w:rsidRPr="00CD4428">
        <w:rPr>
          <w:rFonts w:ascii="Book Antiqua" w:eastAsia="SabonLTStd-Roman" w:hAnsi="Book Antiqua" w:cstheme="minorHAnsi"/>
          <w:sz w:val="24"/>
          <w:szCs w:val="24"/>
          <w:lang w:val="en-GB"/>
        </w:rPr>
        <w:t xml:space="preserve">The efficacy and safety of </w:t>
      </w:r>
      <w:proofErr w:type="spellStart"/>
      <w:r w:rsidR="00447895" w:rsidRPr="00CD4428">
        <w:rPr>
          <w:rFonts w:ascii="Book Antiqua" w:eastAsia="SabonLTStd-Roman" w:hAnsi="Book Antiqua" w:cstheme="minorHAnsi"/>
          <w:sz w:val="24"/>
          <w:szCs w:val="24"/>
          <w:lang w:val="en-GB"/>
        </w:rPr>
        <w:t>vedolizumab</w:t>
      </w:r>
      <w:proofErr w:type="spellEnd"/>
      <w:r w:rsidR="00447895" w:rsidRPr="00CD4428">
        <w:rPr>
          <w:rFonts w:ascii="Book Antiqua" w:eastAsia="SabonLTStd-Roman" w:hAnsi="Book Antiqua" w:cstheme="minorHAnsi"/>
          <w:sz w:val="24"/>
          <w:szCs w:val="24"/>
          <w:lang w:val="en-GB"/>
        </w:rPr>
        <w:t xml:space="preserve"> in </w:t>
      </w:r>
      <w:r w:rsidRPr="00CD4428">
        <w:rPr>
          <w:rFonts w:ascii="Book Antiqua" w:eastAsia="SabonLTStd-Roman" w:hAnsi="Book Antiqua" w:cstheme="minorHAnsi"/>
          <w:sz w:val="24"/>
          <w:szCs w:val="24"/>
          <w:lang w:val="en-GB"/>
        </w:rPr>
        <w:t xml:space="preserve">patients with </w:t>
      </w:r>
      <w:r w:rsidR="00447895" w:rsidRPr="00CD4428">
        <w:rPr>
          <w:rFonts w:ascii="Book Antiqua" w:eastAsia="SabonLTStd-Roman" w:hAnsi="Book Antiqua" w:cstheme="minorHAnsi"/>
          <w:sz w:val="24"/>
          <w:szCs w:val="24"/>
          <w:lang w:val="en-GB"/>
        </w:rPr>
        <w:t>IBD</w:t>
      </w:r>
      <w:r w:rsidR="00760B6C">
        <w:rPr>
          <w:rFonts w:ascii="Book Antiqua" w:hAnsi="Book Antiqua" w:cstheme="minorHAnsi" w:hint="eastAsia"/>
          <w:sz w:val="24"/>
          <w:szCs w:val="24"/>
          <w:lang w:val="en-GB" w:eastAsia="zh-CN"/>
        </w:rPr>
        <w:t xml:space="preserve"> </w:t>
      </w:r>
      <w:proofErr w:type="gramStart"/>
      <w:r w:rsidRPr="00CD4428">
        <w:rPr>
          <w:rFonts w:ascii="Book Antiqua" w:eastAsia="SabonLTStd-Roman" w:hAnsi="Book Antiqua" w:cstheme="minorHAnsi"/>
          <w:sz w:val="24"/>
          <w:szCs w:val="24"/>
          <w:lang w:val="en-GB"/>
        </w:rPr>
        <w:t>were</w:t>
      </w:r>
      <w:r w:rsidR="00447895" w:rsidRPr="00CD4428">
        <w:rPr>
          <w:rFonts w:ascii="Book Antiqua" w:eastAsia="SabonLTStd-Roman" w:hAnsi="Book Antiqua" w:cstheme="minorHAnsi"/>
          <w:sz w:val="24"/>
          <w:szCs w:val="24"/>
          <w:lang w:val="en-GB"/>
        </w:rPr>
        <w:t xml:space="preserve"> demonstrated</w:t>
      </w:r>
      <w:proofErr w:type="gramEnd"/>
      <w:r w:rsidR="00447895" w:rsidRPr="00CD4428">
        <w:rPr>
          <w:rFonts w:ascii="Book Antiqua" w:eastAsia="SabonLTStd-Roman" w:hAnsi="Book Antiqua" w:cstheme="minorHAnsi"/>
          <w:sz w:val="24"/>
          <w:szCs w:val="24"/>
          <w:lang w:val="en-GB"/>
        </w:rPr>
        <w:t xml:space="preserve"> </w:t>
      </w:r>
      <w:r w:rsidRPr="00CD4428">
        <w:rPr>
          <w:rFonts w:ascii="Book Antiqua" w:eastAsia="SabonLTStd-Roman" w:hAnsi="Book Antiqua" w:cstheme="minorHAnsi"/>
          <w:sz w:val="24"/>
          <w:szCs w:val="24"/>
          <w:lang w:val="en-GB"/>
        </w:rPr>
        <w:t xml:space="preserve">in </w:t>
      </w:r>
      <w:r w:rsidR="00447895" w:rsidRPr="00CD4428">
        <w:rPr>
          <w:rFonts w:ascii="Book Antiqua" w:eastAsia="SabonLTStd-Roman" w:hAnsi="Book Antiqua" w:cstheme="minorHAnsi"/>
          <w:sz w:val="24"/>
          <w:szCs w:val="24"/>
          <w:lang w:val="en-GB"/>
        </w:rPr>
        <w:t xml:space="preserve">the pivotal GEMINI studies. </w:t>
      </w:r>
      <w:r w:rsidR="009A00E3" w:rsidRPr="00CD4428">
        <w:rPr>
          <w:rFonts w:ascii="Book Antiqua" w:eastAsia="SabonLTStd-Roman" w:hAnsi="Book Antiqua" w:cstheme="minorHAnsi"/>
          <w:sz w:val="24"/>
          <w:szCs w:val="24"/>
          <w:lang w:val="en-GB"/>
        </w:rPr>
        <w:t xml:space="preserve">However, the stringent and restrictive inclusion and exclusion criteria in </w:t>
      </w:r>
      <w:r w:rsidRPr="00CD4428">
        <w:rPr>
          <w:rFonts w:ascii="Book Antiqua" w:eastAsia="SabonLTStd-Roman" w:hAnsi="Book Antiqua" w:cstheme="minorHAnsi"/>
          <w:sz w:val="24"/>
          <w:szCs w:val="24"/>
          <w:lang w:val="en-GB"/>
        </w:rPr>
        <w:t xml:space="preserve">the </w:t>
      </w:r>
      <w:r w:rsidR="009A00E3" w:rsidRPr="00CD4428">
        <w:rPr>
          <w:rFonts w:ascii="Book Antiqua" w:eastAsia="SabonLTStd-Roman" w:hAnsi="Book Antiqua" w:cstheme="minorHAnsi"/>
          <w:sz w:val="24"/>
          <w:szCs w:val="24"/>
          <w:lang w:val="en-GB"/>
        </w:rPr>
        <w:t>study design</w:t>
      </w:r>
      <w:r w:rsidR="00D57D35" w:rsidRPr="00CD4428">
        <w:rPr>
          <w:rFonts w:ascii="Book Antiqua" w:eastAsia="SabonLTStd-Roman" w:hAnsi="Book Antiqua" w:cstheme="minorHAnsi"/>
          <w:sz w:val="24"/>
          <w:szCs w:val="24"/>
          <w:lang w:val="en-GB"/>
        </w:rPr>
        <w:t>s</w:t>
      </w:r>
      <w:r w:rsidR="009A00E3" w:rsidRPr="00CD4428">
        <w:rPr>
          <w:rFonts w:ascii="Book Antiqua" w:eastAsia="SabonLTStd-Roman" w:hAnsi="Book Antiqua" w:cstheme="minorHAnsi"/>
          <w:sz w:val="24"/>
          <w:szCs w:val="24"/>
          <w:lang w:val="en-GB"/>
        </w:rPr>
        <w:t xml:space="preserve"> m</w:t>
      </w:r>
      <w:r w:rsidRPr="00CD4428">
        <w:rPr>
          <w:rFonts w:ascii="Book Antiqua" w:eastAsia="SabonLTStd-Roman" w:hAnsi="Book Antiqua" w:cstheme="minorHAnsi"/>
          <w:sz w:val="24"/>
          <w:szCs w:val="24"/>
          <w:lang w:val="en-GB"/>
        </w:rPr>
        <w:t>a</w:t>
      </w:r>
      <w:r w:rsidR="009A00E3" w:rsidRPr="00CD4428">
        <w:rPr>
          <w:rFonts w:ascii="Book Antiqua" w:eastAsia="SabonLTStd-Roman" w:hAnsi="Book Antiqua" w:cstheme="minorHAnsi"/>
          <w:sz w:val="24"/>
          <w:szCs w:val="24"/>
          <w:lang w:val="en-GB"/>
        </w:rPr>
        <w:t xml:space="preserve">y limit the translation of clinical trial results </w:t>
      </w:r>
      <w:r w:rsidRPr="00CD4428">
        <w:rPr>
          <w:rFonts w:ascii="Book Antiqua" w:eastAsia="SabonLTStd-Roman" w:hAnsi="Book Antiqua" w:cstheme="minorHAnsi"/>
          <w:sz w:val="24"/>
          <w:szCs w:val="24"/>
          <w:lang w:val="en-GB"/>
        </w:rPr>
        <w:t>in</w:t>
      </w:r>
      <w:r w:rsidR="009A00E3" w:rsidRPr="00CD4428">
        <w:rPr>
          <w:rFonts w:ascii="Book Antiqua" w:eastAsia="SabonLTStd-Roman" w:hAnsi="Book Antiqua" w:cstheme="minorHAnsi"/>
          <w:sz w:val="24"/>
          <w:szCs w:val="24"/>
          <w:lang w:val="en-GB"/>
        </w:rPr>
        <w:t>to patients</w:t>
      </w:r>
      <w:r w:rsidRPr="00CD4428">
        <w:rPr>
          <w:rFonts w:ascii="Book Antiqua" w:eastAsia="SabonLTStd-Roman" w:hAnsi="Book Antiqua" w:cstheme="minorHAnsi"/>
          <w:sz w:val="24"/>
          <w:szCs w:val="24"/>
          <w:lang w:val="en-GB"/>
        </w:rPr>
        <w:t xml:space="preserve"> commonly seen in the clinic</w:t>
      </w:r>
      <w:r w:rsidR="009A00E3" w:rsidRPr="00CD4428">
        <w:rPr>
          <w:rFonts w:ascii="Book Antiqua" w:eastAsia="SabonLTStd-Roman" w:hAnsi="Book Antiqua" w:cstheme="minorHAnsi"/>
          <w:sz w:val="24"/>
          <w:szCs w:val="24"/>
          <w:lang w:val="en-GB"/>
        </w:rPr>
        <w:t xml:space="preserve">. In fact, patients enrolled in </w:t>
      </w:r>
      <w:r w:rsidR="00D57D35" w:rsidRPr="00CD4428">
        <w:rPr>
          <w:rFonts w:ascii="Book Antiqua" w:eastAsia="SabonLTStd-Roman" w:hAnsi="Book Antiqua" w:cstheme="minorHAnsi"/>
          <w:sz w:val="24"/>
          <w:szCs w:val="24"/>
          <w:lang w:val="en-GB"/>
        </w:rPr>
        <w:t>RCTs</w:t>
      </w:r>
      <w:r w:rsidR="009A00E3" w:rsidRPr="00CD4428">
        <w:rPr>
          <w:rFonts w:ascii="Book Antiqua" w:eastAsia="SabonLTStd-Roman" w:hAnsi="Book Antiqua" w:cstheme="minorHAnsi"/>
          <w:sz w:val="24"/>
          <w:szCs w:val="24"/>
          <w:lang w:val="en-GB"/>
        </w:rPr>
        <w:t xml:space="preserve"> only partially represent the IBD population encountered during routine clinical </w:t>
      </w:r>
      <w:proofErr w:type="gramStart"/>
      <w:r w:rsidR="009A00E3" w:rsidRPr="00CD4428">
        <w:rPr>
          <w:rFonts w:ascii="Book Antiqua" w:eastAsia="SabonLTStd-Roman" w:hAnsi="Book Antiqua" w:cstheme="minorHAnsi"/>
          <w:sz w:val="24"/>
          <w:szCs w:val="24"/>
          <w:lang w:val="en-GB"/>
        </w:rPr>
        <w:t>practice</w:t>
      </w:r>
      <w:r w:rsidR="00880708" w:rsidRPr="00CD4428">
        <w:rPr>
          <w:rFonts w:ascii="Book Antiqua" w:eastAsia="SabonLTStd-Roman" w:hAnsi="Book Antiqua" w:cstheme="minorHAnsi"/>
          <w:sz w:val="24"/>
          <w:szCs w:val="24"/>
          <w:vertAlign w:val="superscript"/>
          <w:lang w:val="en-GB"/>
        </w:rPr>
        <w:t>[</w:t>
      </w:r>
      <w:proofErr w:type="gramEnd"/>
      <w:r w:rsidR="00351C90" w:rsidRPr="00CD4428">
        <w:rPr>
          <w:rFonts w:ascii="Book Antiqua" w:eastAsia="SabonLTStd-Roman" w:hAnsi="Book Antiqua" w:cstheme="minorHAnsi"/>
          <w:sz w:val="24"/>
          <w:szCs w:val="24"/>
          <w:vertAlign w:val="superscript"/>
          <w:lang w:val="en-GB"/>
        </w:rPr>
        <w:t>13</w:t>
      </w:r>
      <w:r w:rsidR="00880708" w:rsidRPr="00CD4428">
        <w:rPr>
          <w:rFonts w:ascii="Book Antiqua" w:eastAsia="SabonLTStd-Roman" w:hAnsi="Book Antiqua" w:cstheme="minorHAnsi"/>
          <w:sz w:val="24"/>
          <w:szCs w:val="24"/>
          <w:vertAlign w:val="superscript"/>
          <w:lang w:val="en-GB"/>
        </w:rPr>
        <w:t>]</w:t>
      </w:r>
      <w:r w:rsidR="009A00E3" w:rsidRPr="00CD4428">
        <w:rPr>
          <w:rFonts w:ascii="Book Antiqua" w:eastAsia="SabonLTStd-Roman" w:hAnsi="Book Antiqua" w:cstheme="minorHAnsi"/>
          <w:sz w:val="24"/>
          <w:szCs w:val="24"/>
          <w:lang w:val="en-GB"/>
        </w:rPr>
        <w:t>.</w:t>
      </w:r>
    </w:p>
    <w:p w14:paraId="34A618F1" w14:textId="18536242" w:rsidR="00447895" w:rsidRPr="00CD4428" w:rsidRDefault="009A00E3" w:rsidP="00760B6C">
      <w:pPr>
        <w:autoSpaceDE w:val="0"/>
        <w:autoSpaceDN w:val="0"/>
        <w:adjustRightInd w:val="0"/>
        <w:snapToGrid w:val="0"/>
        <w:spacing w:after="0" w:line="360" w:lineRule="auto"/>
        <w:ind w:firstLineChars="200" w:firstLine="48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R</w:t>
      </w:r>
      <w:r w:rsidR="00357616" w:rsidRPr="00CD4428">
        <w:rPr>
          <w:rFonts w:ascii="Book Antiqua" w:eastAsia="SabonLTStd-Roman" w:hAnsi="Book Antiqua" w:cstheme="minorHAnsi"/>
          <w:sz w:val="24"/>
          <w:szCs w:val="24"/>
          <w:lang w:val="en-GB"/>
        </w:rPr>
        <w:t>eal-</w:t>
      </w:r>
      <w:r w:rsidR="003654F9" w:rsidRPr="00CD4428">
        <w:rPr>
          <w:rFonts w:ascii="Book Antiqua" w:eastAsia="SabonLTStd-Roman" w:hAnsi="Book Antiqua" w:cstheme="minorHAnsi"/>
          <w:sz w:val="24"/>
          <w:szCs w:val="24"/>
          <w:lang w:val="en-GB"/>
        </w:rPr>
        <w:t xml:space="preserve">world </w:t>
      </w:r>
      <w:r w:rsidRPr="00CD4428">
        <w:rPr>
          <w:rFonts w:ascii="Book Antiqua" w:eastAsia="SabonLTStd-Roman" w:hAnsi="Book Antiqua" w:cstheme="minorHAnsi"/>
          <w:sz w:val="24"/>
          <w:szCs w:val="24"/>
          <w:lang w:val="en-GB"/>
        </w:rPr>
        <w:t>studies</w:t>
      </w:r>
      <w:r w:rsidR="003654F9" w:rsidRPr="00CD4428">
        <w:rPr>
          <w:rFonts w:ascii="Book Antiqua" w:eastAsia="SabonLTStd-Roman" w:hAnsi="Book Antiqua" w:cstheme="minorHAnsi"/>
          <w:sz w:val="24"/>
          <w:szCs w:val="24"/>
          <w:lang w:val="en-GB"/>
        </w:rPr>
        <w:t xml:space="preserve"> </w:t>
      </w:r>
      <w:r w:rsidR="00D25BD3" w:rsidRPr="00CD4428">
        <w:rPr>
          <w:rFonts w:ascii="Book Antiqua" w:eastAsia="SabonLTStd-Roman" w:hAnsi="Book Antiqua" w:cstheme="minorHAnsi"/>
          <w:sz w:val="24"/>
          <w:szCs w:val="24"/>
          <w:lang w:val="en-GB"/>
        </w:rPr>
        <w:t>confirm the eff</w:t>
      </w:r>
      <w:r w:rsidR="00FF7FA9" w:rsidRPr="00CD4428">
        <w:rPr>
          <w:rFonts w:ascii="Book Antiqua" w:eastAsia="SabonLTStd-Roman" w:hAnsi="Book Antiqua" w:cstheme="minorHAnsi"/>
          <w:sz w:val="24"/>
          <w:szCs w:val="24"/>
          <w:lang w:val="en-GB"/>
        </w:rPr>
        <w:t>ectiveness</w:t>
      </w:r>
      <w:r w:rsidR="00D25BD3" w:rsidRPr="00CD4428">
        <w:rPr>
          <w:rFonts w:ascii="Book Antiqua" w:eastAsia="SabonLTStd-Roman" w:hAnsi="Book Antiqua" w:cstheme="minorHAnsi"/>
          <w:sz w:val="24"/>
          <w:szCs w:val="24"/>
          <w:lang w:val="en-GB"/>
        </w:rPr>
        <w:t xml:space="preserve"> of </w:t>
      </w:r>
      <w:proofErr w:type="spellStart"/>
      <w:r w:rsidR="00D25BD3" w:rsidRPr="00CD4428">
        <w:rPr>
          <w:rFonts w:ascii="Book Antiqua" w:eastAsia="SabonLTStd-Roman" w:hAnsi="Book Antiqua" w:cstheme="minorHAnsi"/>
          <w:sz w:val="24"/>
          <w:szCs w:val="24"/>
          <w:lang w:val="en-GB"/>
        </w:rPr>
        <w:t>vedolizumab</w:t>
      </w:r>
      <w:proofErr w:type="spellEnd"/>
      <w:r w:rsidR="00D25BD3" w:rsidRPr="00CD4428">
        <w:rPr>
          <w:rFonts w:ascii="Book Antiqua" w:eastAsia="SabonLTStd-Roman" w:hAnsi="Book Antiqua" w:cstheme="minorHAnsi"/>
          <w:sz w:val="24"/>
          <w:szCs w:val="24"/>
          <w:lang w:val="en-GB"/>
        </w:rPr>
        <w:t xml:space="preserve"> in the clinical practice setting and </w:t>
      </w:r>
      <w:proofErr w:type="gramStart"/>
      <w:r w:rsidR="003654F9" w:rsidRPr="00CD4428">
        <w:rPr>
          <w:rFonts w:ascii="Book Antiqua" w:eastAsia="SabonLTStd-Roman" w:hAnsi="Book Antiqua" w:cstheme="minorHAnsi"/>
          <w:sz w:val="24"/>
          <w:szCs w:val="24"/>
          <w:lang w:val="en-GB"/>
        </w:rPr>
        <w:t>have also</w:t>
      </w:r>
      <w:proofErr w:type="gramEnd"/>
      <w:r w:rsidR="003654F9" w:rsidRPr="00CD4428">
        <w:rPr>
          <w:rFonts w:ascii="Book Antiqua" w:eastAsia="SabonLTStd-Roman" w:hAnsi="Book Antiqua" w:cstheme="minorHAnsi"/>
          <w:sz w:val="24"/>
          <w:szCs w:val="24"/>
          <w:lang w:val="en-GB"/>
        </w:rPr>
        <w:t xml:space="preserve"> </w:t>
      </w:r>
      <w:r w:rsidR="00692698" w:rsidRPr="00CD4428">
        <w:rPr>
          <w:rFonts w:ascii="Book Antiqua" w:eastAsia="SabonLTStd-Roman" w:hAnsi="Book Antiqua" w:cstheme="minorHAnsi"/>
          <w:sz w:val="24"/>
          <w:szCs w:val="24"/>
          <w:lang w:val="en-GB"/>
        </w:rPr>
        <w:t xml:space="preserve">evaluated </w:t>
      </w:r>
      <w:r w:rsidR="00D25BD3" w:rsidRPr="00CD4428">
        <w:rPr>
          <w:rFonts w:ascii="Book Antiqua" w:eastAsia="SabonLTStd-Roman" w:hAnsi="Book Antiqua" w:cstheme="minorHAnsi"/>
          <w:sz w:val="24"/>
          <w:szCs w:val="24"/>
          <w:lang w:val="en-GB"/>
        </w:rPr>
        <w:t xml:space="preserve">long-term data. </w:t>
      </w:r>
      <w:r w:rsidRPr="00CD4428">
        <w:rPr>
          <w:rFonts w:ascii="Book Antiqua" w:eastAsia="SabonLTStd-Roman" w:hAnsi="Book Antiqua" w:cstheme="minorHAnsi"/>
          <w:sz w:val="24"/>
          <w:szCs w:val="24"/>
          <w:lang w:val="en-GB"/>
        </w:rPr>
        <w:t xml:space="preserve">Even </w:t>
      </w:r>
      <w:r w:rsidR="005951CD" w:rsidRPr="00CD4428">
        <w:rPr>
          <w:rFonts w:ascii="Book Antiqua" w:eastAsia="SabonLTStd-Roman" w:hAnsi="Book Antiqua" w:cstheme="minorHAnsi"/>
          <w:sz w:val="24"/>
          <w:szCs w:val="24"/>
          <w:lang w:val="en-GB"/>
        </w:rPr>
        <w:t xml:space="preserve">though </w:t>
      </w:r>
      <w:r w:rsidRPr="00CD4428">
        <w:rPr>
          <w:rFonts w:ascii="Book Antiqua" w:eastAsia="SabonLTStd-Roman" w:hAnsi="Book Antiqua" w:cstheme="minorHAnsi"/>
          <w:sz w:val="24"/>
          <w:szCs w:val="24"/>
          <w:lang w:val="en-GB"/>
        </w:rPr>
        <w:t>t</w:t>
      </w:r>
      <w:r w:rsidR="00B079D1" w:rsidRPr="00CD4428">
        <w:rPr>
          <w:rFonts w:ascii="Book Antiqua" w:eastAsia="SabonLTStd-Roman" w:hAnsi="Book Antiqua" w:cstheme="minorHAnsi"/>
          <w:sz w:val="24"/>
          <w:szCs w:val="24"/>
          <w:lang w:val="en-GB"/>
        </w:rPr>
        <w:t>he</w:t>
      </w:r>
      <w:r w:rsidR="006613CD" w:rsidRPr="00CD4428">
        <w:rPr>
          <w:rFonts w:ascii="Book Antiqua" w:eastAsia="SabonLTStd-Roman" w:hAnsi="Book Antiqua" w:cstheme="minorHAnsi"/>
          <w:sz w:val="24"/>
          <w:szCs w:val="24"/>
          <w:lang w:val="en-GB"/>
        </w:rPr>
        <w:t xml:space="preserve"> interpretation of </w:t>
      </w:r>
      <w:r w:rsidR="005951CD" w:rsidRPr="00CD4428">
        <w:rPr>
          <w:rFonts w:ascii="Book Antiqua" w:eastAsia="SabonLTStd-Roman" w:hAnsi="Book Antiqua" w:cstheme="minorHAnsi"/>
          <w:sz w:val="24"/>
          <w:szCs w:val="24"/>
          <w:lang w:val="en-GB"/>
        </w:rPr>
        <w:t xml:space="preserve">the </w:t>
      </w:r>
      <w:r w:rsidR="006613CD" w:rsidRPr="00CD4428">
        <w:rPr>
          <w:rFonts w:ascii="Book Antiqua" w:eastAsia="SabonLTStd-Roman" w:hAnsi="Book Antiqua" w:cstheme="minorHAnsi"/>
          <w:sz w:val="24"/>
          <w:szCs w:val="24"/>
          <w:lang w:val="en-GB"/>
        </w:rPr>
        <w:t xml:space="preserve">data </w:t>
      </w:r>
      <w:r w:rsidR="005951CD" w:rsidRPr="00CD4428">
        <w:rPr>
          <w:rFonts w:ascii="Book Antiqua" w:eastAsia="SabonLTStd-Roman" w:hAnsi="Book Antiqua" w:cstheme="minorHAnsi"/>
          <w:sz w:val="24"/>
          <w:szCs w:val="24"/>
          <w:lang w:val="en-GB"/>
        </w:rPr>
        <w:t>is</w:t>
      </w:r>
      <w:r w:rsidR="00B079D1" w:rsidRPr="00CD4428">
        <w:rPr>
          <w:rFonts w:ascii="Book Antiqua" w:eastAsia="SabonLTStd-Roman" w:hAnsi="Book Antiqua" w:cstheme="minorHAnsi"/>
          <w:sz w:val="24"/>
          <w:szCs w:val="24"/>
          <w:lang w:val="en-GB"/>
        </w:rPr>
        <w:t xml:space="preserve"> limited by significant heterogeneity in </w:t>
      </w:r>
      <w:r w:rsidR="005951CD" w:rsidRPr="00CD4428">
        <w:rPr>
          <w:rFonts w:ascii="Book Antiqua" w:eastAsia="SabonLTStd-Roman" w:hAnsi="Book Antiqua" w:cstheme="minorHAnsi"/>
          <w:sz w:val="24"/>
          <w:szCs w:val="24"/>
          <w:lang w:val="en-GB"/>
        </w:rPr>
        <w:t xml:space="preserve">the </w:t>
      </w:r>
      <w:r w:rsidR="00B079D1" w:rsidRPr="00CD4428">
        <w:rPr>
          <w:rFonts w:ascii="Book Antiqua" w:eastAsia="SabonLTStd-Roman" w:hAnsi="Book Antiqua" w:cstheme="minorHAnsi"/>
          <w:sz w:val="24"/>
          <w:szCs w:val="24"/>
          <w:lang w:val="en-GB"/>
        </w:rPr>
        <w:t>study design</w:t>
      </w:r>
      <w:r w:rsidR="005951CD" w:rsidRPr="00CD4428">
        <w:rPr>
          <w:rFonts w:ascii="Book Antiqua" w:eastAsia="SabonLTStd-Roman" w:hAnsi="Book Antiqua" w:cstheme="minorHAnsi"/>
          <w:sz w:val="24"/>
          <w:szCs w:val="24"/>
          <w:lang w:val="en-GB"/>
        </w:rPr>
        <w:t>s</w:t>
      </w:r>
      <w:r w:rsidRPr="00CD4428">
        <w:rPr>
          <w:rFonts w:ascii="Book Antiqua" w:eastAsia="SabonLTStd-Roman" w:hAnsi="Book Antiqua" w:cstheme="minorHAnsi"/>
          <w:sz w:val="24"/>
          <w:szCs w:val="24"/>
          <w:lang w:val="en-GB"/>
        </w:rPr>
        <w:t>, real-</w:t>
      </w:r>
      <w:r w:rsidR="005951CD" w:rsidRPr="00CD4428">
        <w:rPr>
          <w:rFonts w:ascii="Book Antiqua" w:eastAsia="SabonLTStd-Roman" w:hAnsi="Book Antiqua" w:cstheme="minorHAnsi"/>
          <w:sz w:val="24"/>
          <w:szCs w:val="24"/>
          <w:lang w:val="en-GB"/>
        </w:rPr>
        <w:t xml:space="preserve">world </w:t>
      </w:r>
      <w:r w:rsidRPr="00CD4428">
        <w:rPr>
          <w:rFonts w:ascii="Book Antiqua" w:eastAsia="SabonLTStd-Roman" w:hAnsi="Book Antiqua" w:cstheme="minorHAnsi"/>
          <w:sz w:val="24"/>
          <w:szCs w:val="24"/>
          <w:lang w:val="en-GB"/>
        </w:rPr>
        <w:t xml:space="preserve">experience series </w:t>
      </w:r>
      <w:r w:rsidR="00B92939" w:rsidRPr="00CD4428">
        <w:rPr>
          <w:rFonts w:ascii="Book Antiqua" w:eastAsia="SabonLTStd-Roman" w:hAnsi="Book Antiqua" w:cstheme="minorHAnsi"/>
          <w:sz w:val="24"/>
          <w:szCs w:val="24"/>
          <w:lang w:val="en-GB"/>
        </w:rPr>
        <w:t xml:space="preserve">provide </w:t>
      </w:r>
      <w:r w:rsidR="005951CD" w:rsidRPr="00CD4428">
        <w:rPr>
          <w:rFonts w:ascii="Book Antiqua" w:eastAsia="SabonLTStd-Roman" w:hAnsi="Book Antiqua" w:cstheme="minorHAnsi"/>
          <w:sz w:val="24"/>
          <w:szCs w:val="24"/>
          <w:lang w:val="en-GB"/>
        </w:rPr>
        <w:t xml:space="preserve">additional </w:t>
      </w:r>
      <w:r w:rsidR="00692698" w:rsidRPr="00CD4428">
        <w:rPr>
          <w:rFonts w:ascii="Book Antiqua" w:eastAsia="SabonLTStd-Roman" w:hAnsi="Book Antiqua" w:cstheme="minorHAnsi"/>
          <w:sz w:val="24"/>
          <w:szCs w:val="24"/>
          <w:lang w:val="en-GB"/>
        </w:rPr>
        <w:t xml:space="preserve">relevant </w:t>
      </w:r>
      <w:proofErr w:type="gramStart"/>
      <w:r w:rsidR="00692698" w:rsidRPr="00CD4428">
        <w:rPr>
          <w:rFonts w:ascii="Book Antiqua" w:eastAsia="SabonLTStd-Roman" w:hAnsi="Book Antiqua" w:cstheme="minorHAnsi"/>
          <w:sz w:val="24"/>
          <w:szCs w:val="24"/>
          <w:lang w:val="en-GB"/>
        </w:rPr>
        <w:t>evidence</w:t>
      </w:r>
      <w:r w:rsidR="005A52D4" w:rsidRPr="00CD4428">
        <w:rPr>
          <w:rFonts w:ascii="Book Antiqua" w:eastAsia="SabonLTStd-Roman" w:hAnsi="Book Antiqua" w:cstheme="minorHAnsi"/>
          <w:sz w:val="24"/>
          <w:szCs w:val="24"/>
          <w:vertAlign w:val="superscript"/>
          <w:lang w:val="en-GB"/>
        </w:rPr>
        <w:t>[</w:t>
      </w:r>
      <w:proofErr w:type="gramEnd"/>
      <w:r w:rsidR="00652548" w:rsidRPr="00CD4428">
        <w:rPr>
          <w:rFonts w:ascii="Book Antiqua" w:eastAsia="SabonLTStd-Roman" w:hAnsi="Book Antiqua" w:cstheme="minorHAnsi"/>
          <w:sz w:val="24"/>
          <w:szCs w:val="24"/>
          <w:vertAlign w:val="superscript"/>
          <w:lang w:val="en-GB"/>
        </w:rPr>
        <w:t>51</w:t>
      </w:r>
      <w:r w:rsidR="005A52D4" w:rsidRPr="00CD4428">
        <w:rPr>
          <w:rFonts w:ascii="Book Antiqua" w:eastAsia="SabonLTStd-Roman" w:hAnsi="Book Antiqua" w:cstheme="minorHAnsi"/>
          <w:sz w:val="24"/>
          <w:szCs w:val="24"/>
          <w:vertAlign w:val="superscript"/>
          <w:lang w:val="en-GB"/>
        </w:rPr>
        <w:t>]</w:t>
      </w:r>
      <w:r w:rsidR="00B92939" w:rsidRPr="00CD4428">
        <w:rPr>
          <w:rFonts w:ascii="Book Antiqua" w:eastAsia="SabonLTStd-Roman" w:hAnsi="Book Antiqua" w:cstheme="minorHAnsi"/>
          <w:sz w:val="24"/>
          <w:szCs w:val="24"/>
          <w:lang w:val="en-GB"/>
        </w:rPr>
        <w:t xml:space="preserve">. </w:t>
      </w:r>
      <w:r w:rsidR="004A4837" w:rsidRPr="00CD4428">
        <w:rPr>
          <w:rFonts w:ascii="Book Antiqua" w:eastAsia="SabonLTStd-Roman" w:hAnsi="Book Antiqua" w:cstheme="minorHAnsi"/>
          <w:sz w:val="24"/>
          <w:szCs w:val="24"/>
          <w:lang w:val="en-GB"/>
        </w:rPr>
        <w:t xml:space="preserve">A systematic review and pooled analysis on </w:t>
      </w:r>
      <w:r w:rsidR="005951CD" w:rsidRPr="00CD4428">
        <w:rPr>
          <w:rFonts w:ascii="Book Antiqua" w:eastAsia="SabonLTStd-Roman" w:hAnsi="Book Antiqua" w:cstheme="minorHAnsi"/>
          <w:sz w:val="24"/>
          <w:szCs w:val="24"/>
          <w:lang w:val="en-GB"/>
        </w:rPr>
        <w:t xml:space="preserve">the </w:t>
      </w:r>
      <w:r w:rsidR="004A4837" w:rsidRPr="00CD4428">
        <w:rPr>
          <w:rFonts w:ascii="Book Antiqua" w:eastAsia="SabonLTStd-Roman" w:hAnsi="Book Antiqua" w:cstheme="minorHAnsi"/>
          <w:sz w:val="24"/>
          <w:szCs w:val="24"/>
          <w:lang w:val="en-GB"/>
        </w:rPr>
        <w:t xml:space="preserve">effectiveness and safety of real-world studies has recently </w:t>
      </w:r>
      <w:r w:rsidR="005951CD" w:rsidRPr="00CD4428">
        <w:rPr>
          <w:rFonts w:ascii="Book Antiqua" w:eastAsia="SabonLTStd-Roman" w:hAnsi="Book Antiqua" w:cstheme="minorHAnsi"/>
          <w:sz w:val="24"/>
          <w:szCs w:val="24"/>
          <w:lang w:val="en-GB"/>
        </w:rPr>
        <w:t xml:space="preserve">been </w:t>
      </w:r>
      <w:proofErr w:type="gramStart"/>
      <w:r w:rsidR="004A4837" w:rsidRPr="00CD4428">
        <w:rPr>
          <w:rFonts w:ascii="Book Antiqua" w:eastAsia="SabonLTStd-Roman" w:hAnsi="Book Antiqua" w:cstheme="minorHAnsi"/>
          <w:sz w:val="24"/>
          <w:szCs w:val="24"/>
          <w:lang w:val="en-GB"/>
        </w:rPr>
        <w:t>published</w:t>
      </w:r>
      <w:r w:rsidR="004A4837" w:rsidRPr="00CD4428">
        <w:rPr>
          <w:rFonts w:ascii="Book Antiqua" w:eastAsia="SabonLTStd-Roman" w:hAnsi="Book Antiqua" w:cstheme="minorHAnsi"/>
          <w:sz w:val="24"/>
          <w:szCs w:val="24"/>
          <w:vertAlign w:val="superscript"/>
          <w:lang w:val="en-GB"/>
        </w:rPr>
        <w:t>[</w:t>
      </w:r>
      <w:proofErr w:type="gramEnd"/>
      <w:r w:rsidR="00652548" w:rsidRPr="00CD4428">
        <w:rPr>
          <w:rFonts w:ascii="Book Antiqua" w:eastAsia="SabonLTStd-Roman" w:hAnsi="Book Antiqua" w:cstheme="minorHAnsi"/>
          <w:sz w:val="24"/>
          <w:szCs w:val="24"/>
          <w:vertAlign w:val="superscript"/>
          <w:lang w:val="en-GB"/>
        </w:rPr>
        <w:t>52</w:t>
      </w:r>
      <w:r w:rsidR="004A4837" w:rsidRPr="00CD4428">
        <w:rPr>
          <w:rFonts w:ascii="Book Antiqua" w:eastAsia="SabonLTStd-Roman" w:hAnsi="Book Antiqua" w:cstheme="minorHAnsi"/>
          <w:sz w:val="24"/>
          <w:szCs w:val="24"/>
          <w:vertAlign w:val="superscript"/>
          <w:lang w:val="en-GB"/>
        </w:rPr>
        <w:t>]</w:t>
      </w:r>
      <w:r w:rsidR="004A4837" w:rsidRPr="00CD4428">
        <w:rPr>
          <w:rFonts w:ascii="Book Antiqua" w:eastAsia="SabonLTStd-Roman" w:hAnsi="Book Antiqua" w:cstheme="minorHAnsi"/>
          <w:sz w:val="24"/>
          <w:szCs w:val="24"/>
          <w:lang w:val="en-GB"/>
        </w:rPr>
        <w:t>.</w:t>
      </w:r>
    </w:p>
    <w:p w14:paraId="63179E74" w14:textId="0DF1341F" w:rsidR="00F033AB" w:rsidRPr="00CD4428" w:rsidRDefault="00E26F78" w:rsidP="00760B6C">
      <w:pPr>
        <w:autoSpaceDE w:val="0"/>
        <w:autoSpaceDN w:val="0"/>
        <w:adjustRightInd w:val="0"/>
        <w:snapToGrid w:val="0"/>
        <w:spacing w:after="0" w:line="360" w:lineRule="auto"/>
        <w:ind w:firstLineChars="200" w:firstLine="48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Mucosa</w:t>
      </w:r>
      <w:r w:rsidR="00656D2E" w:rsidRPr="00CD4428">
        <w:rPr>
          <w:rFonts w:ascii="Book Antiqua" w:eastAsia="SabonLTStd-Roman" w:hAnsi="Book Antiqua" w:cstheme="minorHAnsi"/>
          <w:sz w:val="24"/>
          <w:szCs w:val="24"/>
          <w:lang w:val="en-GB"/>
        </w:rPr>
        <w:t>l</w:t>
      </w:r>
      <w:r w:rsidRPr="00CD4428">
        <w:rPr>
          <w:rFonts w:ascii="Book Antiqua" w:eastAsia="SabonLTStd-Roman" w:hAnsi="Book Antiqua" w:cstheme="minorHAnsi"/>
          <w:sz w:val="24"/>
          <w:szCs w:val="24"/>
          <w:lang w:val="en-GB"/>
        </w:rPr>
        <w:t xml:space="preserve"> healing is a relevant </w:t>
      </w:r>
      <w:r w:rsidR="00656D2E" w:rsidRPr="00CD4428">
        <w:rPr>
          <w:rFonts w:ascii="Book Antiqua" w:eastAsia="SabonLTStd-Roman" w:hAnsi="Book Antiqua" w:cstheme="minorHAnsi"/>
          <w:sz w:val="24"/>
          <w:szCs w:val="24"/>
          <w:lang w:val="en-GB"/>
        </w:rPr>
        <w:t xml:space="preserve">therapeutic </w:t>
      </w:r>
      <w:r w:rsidRPr="00CD4428">
        <w:rPr>
          <w:rFonts w:ascii="Book Antiqua" w:eastAsia="SabonLTStd-Roman" w:hAnsi="Book Antiqua" w:cstheme="minorHAnsi"/>
          <w:sz w:val="24"/>
          <w:szCs w:val="24"/>
          <w:lang w:val="en-GB"/>
        </w:rPr>
        <w:t xml:space="preserve">target in patients with IBD </w:t>
      </w:r>
      <w:r w:rsidR="005951CD" w:rsidRPr="00CD4428">
        <w:rPr>
          <w:rFonts w:ascii="Book Antiqua" w:eastAsia="SabonLTStd-Roman" w:hAnsi="Book Antiqua" w:cstheme="minorHAnsi"/>
          <w:sz w:val="24"/>
          <w:szCs w:val="24"/>
          <w:lang w:val="en-GB"/>
        </w:rPr>
        <w:t xml:space="preserve">because </w:t>
      </w:r>
      <w:r w:rsidRPr="00CD4428">
        <w:rPr>
          <w:rFonts w:ascii="Book Antiqua" w:eastAsia="SabonLTStd-Roman" w:hAnsi="Book Antiqua" w:cstheme="minorHAnsi"/>
          <w:sz w:val="24"/>
          <w:szCs w:val="24"/>
          <w:lang w:val="en-GB"/>
        </w:rPr>
        <w:t xml:space="preserve">it </w:t>
      </w:r>
      <w:r w:rsidR="00656D2E" w:rsidRPr="00CD4428">
        <w:rPr>
          <w:rFonts w:ascii="Book Antiqua" w:eastAsia="SabonLTStd-Roman" w:hAnsi="Book Antiqua" w:cstheme="minorHAnsi"/>
          <w:sz w:val="24"/>
          <w:szCs w:val="24"/>
          <w:lang w:val="en-GB"/>
        </w:rPr>
        <w:t xml:space="preserve">is </w:t>
      </w:r>
      <w:r w:rsidRPr="00CD4428">
        <w:rPr>
          <w:rFonts w:ascii="Book Antiqua" w:eastAsia="SabonLTStd-Roman" w:hAnsi="Book Antiqua" w:cstheme="minorHAnsi"/>
          <w:sz w:val="24"/>
          <w:szCs w:val="24"/>
          <w:lang w:val="en-GB"/>
        </w:rPr>
        <w:t xml:space="preserve">associated with a reduction </w:t>
      </w:r>
      <w:r w:rsidR="005951CD" w:rsidRPr="00CD4428">
        <w:rPr>
          <w:rFonts w:ascii="Book Antiqua" w:eastAsia="SabonLTStd-Roman" w:hAnsi="Book Antiqua" w:cstheme="minorHAnsi"/>
          <w:sz w:val="24"/>
          <w:szCs w:val="24"/>
          <w:lang w:val="en-GB"/>
        </w:rPr>
        <w:t xml:space="preserve">in </w:t>
      </w:r>
      <w:r w:rsidRPr="00CD4428">
        <w:rPr>
          <w:rFonts w:ascii="Book Antiqua" w:eastAsia="SabonLTStd-Roman" w:hAnsi="Book Antiqua" w:cstheme="minorHAnsi"/>
          <w:sz w:val="24"/>
          <w:szCs w:val="24"/>
          <w:lang w:val="en-GB"/>
        </w:rPr>
        <w:t xml:space="preserve">hospitalization, </w:t>
      </w:r>
      <w:r w:rsidR="00373B2F" w:rsidRPr="00CD4428">
        <w:rPr>
          <w:rFonts w:ascii="Book Antiqua" w:eastAsia="SabonLTStd-Roman" w:hAnsi="Book Antiqua" w:cstheme="minorHAnsi"/>
          <w:sz w:val="24"/>
          <w:szCs w:val="24"/>
          <w:lang w:val="en-GB"/>
        </w:rPr>
        <w:t>IBD</w:t>
      </w:r>
      <w:r w:rsidR="005951CD" w:rsidRPr="00CD4428">
        <w:rPr>
          <w:rFonts w:ascii="Book Antiqua" w:eastAsia="SabonLTStd-Roman" w:hAnsi="Book Antiqua" w:cstheme="minorHAnsi"/>
          <w:sz w:val="24"/>
          <w:szCs w:val="24"/>
          <w:lang w:val="en-GB"/>
        </w:rPr>
        <w:t>-</w:t>
      </w:r>
      <w:r w:rsidR="00373B2F" w:rsidRPr="00CD4428">
        <w:rPr>
          <w:rFonts w:ascii="Book Antiqua" w:eastAsia="SabonLTStd-Roman" w:hAnsi="Book Antiqua" w:cstheme="minorHAnsi"/>
          <w:sz w:val="24"/>
          <w:szCs w:val="24"/>
          <w:lang w:val="en-GB"/>
        </w:rPr>
        <w:t xml:space="preserve">related </w:t>
      </w:r>
      <w:r w:rsidRPr="00CD4428">
        <w:rPr>
          <w:rFonts w:ascii="Book Antiqua" w:eastAsia="SabonLTStd-Roman" w:hAnsi="Book Antiqua" w:cstheme="minorHAnsi"/>
          <w:sz w:val="24"/>
          <w:szCs w:val="24"/>
          <w:lang w:val="en-GB"/>
        </w:rPr>
        <w:t>surgery</w:t>
      </w:r>
      <w:r w:rsidR="00656D2E" w:rsidRPr="00CD4428">
        <w:rPr>
          <w:rFonts w:ascii="Book Antiqua" w:eastAsia="SabonLTStd-Roman" w:hAnsi="Book Antiqua" w:cstheme="minorHAnsi"/>
          <w:sz w:val="24"/>
          <w:szCs w:val="24"/>
          <w:lang w:val="en-GB"/>
        </w:rPr>
        <w:t>, bowel damage</w:t>
      </w:r>
      <w:r w:rsidR="005951CD" w:rsidRPr="00CD4428">
        <w:rPr>
          <w:rFonts w:ascii="Book Antiqua" w:eastAsia="SabonLTStd-Roman" w:hAnsi="Book Antiqua" w:cstheme="minorHAnsi"/>
          <w:sz w:val="24"/>
          <w:szCs w:val="24"/>
          <w:lang w:val="en-GB"/>
        </w:rPr>
        <w:t>,</w:t>
      </w:r>
      <w:r w:rsidRPr="00CD4428">
        <w:rPr>
          <w:rFonts w:ascii="Book Antiqua" w:eastAsia="SabonLTStd-Roman" w:hAnsi="Book Antiqua" w:cstheme="minorHAnsi"/>
          <w:sz w:val="24"/>
          <w:szCs w:val="24"/>
          <w:lang w:val="en-GB"/>
        </w:rPr>
        <w:t xml:space="preserve"> and risk of colonic dysplasia.</w:t>
      </w:r>
      <w:r w:rsidR="00B461F7" w:rsidRPr="00CD4428">
        <w:rPr>
          <w:rFonts w:ascii="Book Antiqua" w:eastAsia="SabonLTStd-Roman" w:hAnsi="Book Antiqua" w:cstheme="minorHAnsi"/>
          <w:sz w:val="24"/>
          <w:szCs w:val="24"/>
          <w:lang w:val="en-GB"/>
        </w:rPr>
        <w:t xml:space="preserve"> </w:t>
      </w:r>
      <w:r w:rsidR="00656D2E" w:rsidRPr="00CD4428">
        <w:rPr>
          <w:rFonts w:ascii="Book Antiqua" w:eastAsia="SabonLTStd-Roman" w:hAnsi="Book Antiqua" w:cstheme="minorHAnsi"/>
          <w:sz w:val="24"/>
          <w:szCs w:val="24"/>
          <w:lang w:val="en-GB"/>
        </w:rPr>
        <w:t>There is increasing evidence that achieving mucosa</w:t>
      </w:r>
      <w:r w:rsidR="005951CD" w:rsidRPr="00CD4428">
        <w:rPr>
          <w:rFonts w:ascii="Book Antiqua" w:eastAsia="SabonLTStd-Roman" w:hAnsi="Book Antiqua" w:cstheme="minorHAnsi"/>
          <w:sz w:val="24"/>
          <w:szCs w:val="24"/>
          <w:lang w:val="en-GB"/>
        </w:rPr>
        <w:t>l</w:t>
      </w:r>
      <w:r w:rsidR="00656D2E" w:rsidRPr="00CD4428">
        <w:rPr>
          <w:rFonts w:ascii="Book Antiqua" w:eastAsia="SabonLTStd-Roman" w:hAnsi="Book Antiqua" w:cstheme="minorHAnsi"/>
          <w:sz w:val="24"/>
          <w:szCs w:val="24"/>
          <w:lang w:val="en-GB"/>
        </w:rPr>
        <w:t xml:space="preserve"> healing can favourably alter the natural course of </w:t>
      </w:r>
      <w:proofErr w:type="gramStart"/>
      <w:r w:rsidR="00656D2E" w:rsidRPr="00CD4428">
        <w:rPr>
          <w:rFonts w:ascii="Book Antiqua" w:eastAsia="SabonLTStd-Roman" w:hAnsi="Book Antiqua" w:cstheme="minorHAnsi"/>
          <w:sz w:val="24"/>
          <w:szCs w:val="24"/>
          <w:lang w:val="en-GB"/>
        </w:rPr>
        <w:t>IBD</w:t>
      </w:r>
      <w:r w:rsidR="00373B2F" w:rsidRPr="00CD4428">
        <w:rPr>
          <w:rFonts w:ascii="Book Antiqua" w:eastAsia="SabonLTStd-Roman" w:hAnsi="Book Antiqua" w:cstheme="minorHAnsi"/>
          <w:sz w:val="24"/>
          <w:szCs w:val="24"/>
          <w:vertAlign w:val="superscript"/>
          <w:lang w:val="en-GB"/>
        </w:rPr>
        <w:t>[</w:t>
      </w:r>
      <w:proofErr w:type="gramEnd"/>
      <w:r w:rsidR="003D2981" w:rsidRPr="00CD4428">
        <w:rPr>
          <w:rFonts w:ascii="Book Antiqua" w:eastAsia="SabonLTStd-Roman" w:hAnsi="Book Antiqua" w:cstheme="minorHAnsi"/>
          <w:sz w:val="24"/>
          <w:szCs w:val="24"/>
          <w:vertAlign w:val="superscript"/>
          <w:lang w:val="en-GB"/>
        </w:rPr>
        <w:t>5</w:t>
      </w:r>
      <w:r w:rsidR="00652548" w:rsidRPr="00CD4428">
        <w:rPr>
          <w:rFonts w:ascii="Book Antiqua" w:eastAsia="SabonLTStd-Roman" w:hAnsi="Book Antiqua" w:cstheme="minorHAnsi"/>
          <w:sz w:val="24"/>
          <w:szCs w:val="24"/>
          <w:vertAlign w:val="superscript"/>
          <w:lang w:val="en-GB"/>
        </w:rPr>
        <w:t>3</w:t>
      </w:r>
      <w:r w:rsidR="003D2981" w:rsidRPr="00CD4428">
        <w:rPr>
          <w:rFonts w:ascii="Book Antiqua" w:eastAsia="SabonLTStd-Roman" w:hAnsi="Book Antiqua" w:cstheme="minorHAnsi"/>
          <w:sz w:val="24"/>
          <w:szCs w:val="24"/>
          <w:vertAlign w:val="superscript"/>
          <w:lang w:val="en-GB"/>
        </w:rPr>
        <w:t>,5</w:t>
      </w:r>
      <w:r w:rsidR="00652548" w:rsidRPr="00CD4428">
        <w:rPr>
          <w:rFonts w:ascii="Book Antiqua" w:eastAsia="SabonLTStd-Roman" w:hAnsi="Book Antiqua" w:cstheme="minorHAnsi"/>
          <w:sz w:val="24"/>
          <w:szCs w:val="24"/>
          <w:vertAlign w:val="superscript"/>
          <w:lang w:val="en-GB"/>
        </w:rPr>
        <w:t>4</w:t>
      </w:r>
      <w:r w:rsidR="00373B2F" w:rsidRPr="00CD4428">
        <w:rPr>
          <w:rFonts w:ascii="Book Antiqua" w:eastAsia="SabonLTStd-Roman" w:hAnsi="Book Antiqua" w:cstheme="minorHAnsi"/>
          <w:sz w:val="24"/>
          <w:szCs w:val="24"/>
          <w:vertAlign w:val="superscript"/>
          <w:lang w:val="en-GB"/>
        </w:rPr>
        <w:t>]</w:t>
      </w:r>
      <w:r w:rsidR="00656D2E" w:rsidRPr="00CD4428">
        <w:rPr>
          <w:rFonts w:ascii="Book Antiqua" w:eastAsia="SabonLTStd-Roman" w:hAnsi="Book Antiqua" w:cstheme="minorHAnsi"/>
          <w:sz w:val="24"/>
          <w:szCs w:val="24"/>
          <w:lang w:val="en-GB"/>
        </w:rPr>
        <w:t xml:space="preserve">. </w:t>
      </w:r>
      <w:r w:rsidR="00455A6F" w:rsidRPr="00CD4428">
        <w:rPr>
          <w:rFonts w:ascii="Book Antiqua" w:eastAsia="SabonLTStd-Roman" w:hAnsi="Book Antiqua" w:cstheme="minorHAnsi"/>
          <w:sz w:val="24"/>
          <w:szCs w:val="24"/>
          <w:lang w:val="en-GB"/>
        </w:rPr>
        <w:t>The</w:t>
      </w:r>
      <w:r w:rsidR="00656D2E" w:rsidRPr="00CD4428">
        <w:rPr>
          <w:rFonts w:ascii="Book Antiqua" w:eastAsia="SabonLTStd-Roman" w:hAnsi="Book Antiqua" w:cstheme="minorHAnsi"/>
          <w:sz w:val="24"/>
          <w:szCs w:val="24"/>
          <w:lang w:val="en-GB"/>
        </w:rPr>
        <w:t>refore, the</w:t>
      </w:r>
      <w:r w:rsidR="00455A6F" w:rsidRPr="00CD4428">
        <w:rPr>
          <w:rFonts w:ascii="Book Antiqua" w:eastAsia="SabonLTStd-Roman" w:hAnsi="Book Antiqua" w:cstheme="minorHAnsi"/>
          <w:sz w:val="24"/>
          <w:szCs w:val="24"/>
          <w:lang w:val="en-GB"/>
        </w:rPr>
        <w:t xml:space="preserve"> rates of </w:t>
      </w:r>
      <w:r w:rsidR="00C2352F" w:rsidRPr="00CD4428">
        <w:rPr>
          <w:rFonts w:ascii="Book Antiqua" w:eastAsia="SabonLTStd-Roman" w:hAnsi="Book Antiqua" w:cstheme="minorHAnsi"/>
          <w:sz w:val="24"/>
          <w:szCs w:val="24"/>
          <w:lang w:val="en-GB"/>
        </w:rPr>
        <w:t xml:space="preserve">long-term </w:t>
      </w:r>
      <w:r w:rsidR="00455A6F" w:rsidRPr="00CD4428">
        <w:rPr>
          <w:rFonts w:ascii="Book Antiqua" w:eastAsia="SabonLTStd-Roman" w:hAnsi="Book Antiqua" w:cstheme="minorHAnsi"/>
          <w:sz w:val="24"/>
          <w:szCs w:val="24"/>
          <w:lang w:val="en-GB"/>
        </w:rPr>
        <w:t xml:space="preserve">mucosal healing with </w:t>
      </w:r>
      <w:proofErr w:type="spellStart"/>
      <w:r w:rsidR="00455A6F" w:rsidRPr="00CD4428">
        <w:rPr>
          <w:rFonts w:ascii="Book Antiqua" w:eastAsia="SabonLTStd-Roman" w:hAnsi="Book Antiqua" w:cstheme="minorHAnsi"/>
          <w:sz w:val="24"/>
          <w:szCs w:val="24"/>
          <w:lang w:val="en-GB"/>
        </w:rPr>
        <w:t>vedolizumab</w:t>
      </w:r>
      <w:proofErr w:type="spellEnd"/>
      <w:r w:rsidR="00455A6F" w:rsidRPr="00CD4428">
        <w:rPr>
          <w:rFonts w:ascii="Book Antiqua" w:eastAsia="SabonLTStd-Roman" w:hAnsi="Book Antiqua" w:cstheme="minorHAnsi"/>
          <w:sz w:val="24"/>
          <w:szCs w:val="24"/>
          <w:lang w:val="en-GB"/>
        </w:rPr>
        <w:t xml:space="preserve"> reported by Noman et al</w:t>
      </w:r>
      <w:r w:rsidR="00656D2E" w:rsidRPr="00CD4428">
        <w:rPr>
          <w:rFonts w:ascii="Book Antiqua" w:eastAsia="SabonLTStd-Roman" w:hAnsi="Book Antiqua" w:cstheme="minorHAnsi"/>
          <w:sz w:val="24"/>
          <w:szCs w:val="24"/>
          <w:lang w:val="en-GB"/>
        </w:rPr>
        <w:t>,</w:t>
      </w:r>
      <w:r w:rsidR="00455A6F" w:rsidRPr="00CD4428">
        <w:rPr>
          <w:rFonts w:ascii="Book Antiqua" w:eastAsia="SabonLTStd-Roman" w:hAnsi="Book Antiqua" w:cstheme="minorHAnsi"/>
          <w:sz w:val="24"/>
          <w:szCs w:val="24"/>
          <w:lang w:val="en-GB"/>
        </w:rPr>
        <w:t xml:space="preserve"> in keeping with the one-year mucosal healing data observed in </w:t>
      </w:r>
      <w:r w:rsidR="00D57D35" w:rsidRPr="00CD4428">
        <w:rPr>
          <w:rFonts w:ascii="Book Antiqua" w:eastAsia="SabonLTStd-Roman" w:hAnsi="Book Antiqua" w:cstheme="minorHAnsi"/>
          <w:sz w:val="24"/>
          <w:szCs w:val="24"/>
          <w:lang w:val="en-GB"/>
        </w:rPr>
        <w:t xml:space="preserve">the </w:t>
      </w:r>
      <w:r w:rsidR="00455A6F" w:rsidRPr="00CD4428">
        <w:rPr>
          <w:rFonts w:ascii="Book Antiqua" w:eastAsia="SabonLTStd-Roman" w:hAnsi="Book Antiqua" w:cstheme="minorHAnsi"/>
          <w:sz w:val="24"/>
          <w:szCs w:val="24"/>
          <w:lang w:val="en-GB"/>
        </w:rPr>
        <w:t>GEMINI 1 trial and in the real-world US VICTORY consortium stud</w:t>
      </w:r>
      <w:r w:rsidR="008659F5" w:rsidRPr="00CD4428">
        <w:rPr>
          <w:rFonts w:ascii="Book Antiqua" w:eastAsia="SabonLTStd-Roman" w:hAnsi="Book Antiqua" w:cstheme="minorHAnsi"/>
          <w:sz w:val="24"/>
          <w:szCs w:val="24"/>
          <w:lang w:val="en-GB"/>
        </w:rPr>
        <w:t>y</w:t>
      </w:r>
      <w:r w:rsidR="00656D2E" w:rsidRPr="00CD4428">
        <w:rPr>
          <w:rFonts w:ascii="Book Antiqua" w:eastAsia="SabonLTStd-Roman" w:hAnsi="Book Antiqua" w:cstheme="minorHAnsi"/>
          <w:sz w:val="24"/>
          <w:szCs w:val="24"/>
          <w:lang w:val="en-GB"/>
        </w:rPr>
        <w:t xml:space="preserve">, appear very </w:t>
      </w:r>
      <w:r w:rsidR="007E3E0D" w:rsidRPr="00CD4428">
        <w:rPr>
          <w:rFonts w:ascii="Book Antiqua" w:eastAsia="SabonLTStd-Roman" w:hAnsi="Book Antiqua" w:cstheme="minorHAnsi"/>
          <w:sz w:val="24"/>
          <w:szCs w:val="24"/>
          <w:lang w:val="en-GB"/>
        </w:rPr>
        <w:t>promising</w:t>
      </w:r>
      <w:r w:rsidR="00455A6F" w:rsidRPr="00CD4428">
        <w:rPr>
          <w:rFonts w:ascii="Book Antiqua" w:eastAsia="SabonLTStd-Roman" w:hAnsi="Book Antiqua" w:cstheme="minorHAnsi"/>
          <w:sz w:val="24"/>
          <w:szCs w:val="24"/>
          <w:lang w:val="en-GB"/>
        </w:rPr>
        <w:t>.</w:t>
      </w:r>
    </w:p>
    <w:p w14:paraId="1C26BE3B" w14:textId="53D6259F" w:rsidR="00B449EF" w:rsidRPr="00CD4428" w:rsidRDefault="00447895" w:rsidP="00760B6C">
      <w:pPr>
        <w:autoSpaceDE w:val="0"/>
        <w:autoSpaceDN w:val="0"/>
        <w:adjustRightInd w:val="0"/>
        <w:snapToGrid w:val="0"/>
        <w:spacing w:after="0" w:line="360" w:lineRule="auto"/>
        <w:ind w:firstLineChars="200" w:firstLine="48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 xml:space="preserve">Safety </w:t>
      </w:r>
      <w:r w:rsidR="006633D9" w:rsidRPr="00CD4428">
        <w:rPr>
          <w:rFonts w:ascii="Book Antiqua" w:eastAsia="SabonLTStd-Roman" w:hAnsi="Book Antiqua" w:cstheme="minorHAnsi"/>
          <w:sz w:val="24"/>
          <w:szCs w:val="24"/>
          <w:lang w:val="en-GB"/>
        </w:rPr>
        <w:t>data</w:t>
      </w:r>
      <w:r w:rsidRPr="00CD4428">
        <w:rPr>
          <w:rFonts w:ascii="Book Antiqua" w:eastAsia="SabonLTStd-Roman" w:hAnsi="Book Antiqua" w:cstheme="minorHAnsi"/>
          <w:sz w:val="24"/>
          <w:szCs w:val="24"/>
          <w:lang w:val="en-GB"/>
        </w:rPr>
        <w:t xml:space="preserve"> from all </w:t>
      </w:r>
      <w:r w:rsidR="00D57D35" w:rsidRPr="00CD4428">
        <w:rPr>
          <w:rFonts w:ascii="Book Antiqua" w:eastAsia="SabonLTStd-Roman" w:hAnsi="Book Antiqua" w:cstheme="minorHAnsi"/>
          <w:sz w:val="24"/>
          <w:szCs w:val="24"/>
          <w:lang w:val="en-GB"/>
        </w:rPr>
        <w:t xml:space="preserve">the </w:t>
      </w:r>
      <w:r w:rsidRPr="00CD4428">
        <w:rPr>
          <w:rFonts w:ascii="Book Antiqua" w:eastAsia="SabonLTStd-Roman" w:hAnsi="Book Antiqua" w:cstheme="minorHAnsi"/>
          <w:sz w:val="24"/>
          <w:szCs w:val="24"/>
          <w:lang w:val="en-GB"/>
        </w:rPr>
        <w:t xml:space="preserve">GEMINI studies </w:t>
      </w:r>
      <w:r w:rsidR="003B071A" w:rsidRPr="00CD4428">
        <w:rPr>
          <w:rFonts w:ascii="Book Antiqua" w:eastAsia="SabonLTStd-Roman" w:hAnsi="Book Antiqua" w:cstheme="minorHAnsi"/>
          <w:sz w:val="24"/>
          <w:szCs w:val="24"/>
          <w:lang w:val="en-GB"/>
        </w:rPr>
        <w:t>showed</w:t>
      </w:r>
      <w:r w:rsidRPr="00CD4428">
        <w:rPr>
          <w:rFonts w:ascii="Book Antiqua" w:eastAsia="SabonLTStd-Roman" w:hAnsi="Book Antiqua" w:cstheme="minorHAnsi"/>
          <w:sz w:val="24"/>
          <w:szCs w:val="24"/>
          <w:lang w:val="en-GB"/>
        </w:rPr>
        <w:t xml:space="preserve"> an overall rate of adverse events similar to </w:t>
      </w:r>
      <w:r w:rsidR="006633D9" w:rsidRPr="00CD4428">
        <w:rPr>
          <w:rFonts w:ascii="Book Antiqua" w:eastAsia="SabonLTStd-Roman" w:hAnsi="Book Antiqua" w:cstheme="minorHAnsi"/>
          <w:sz w:val="24"/>
          <w:szCs w:val="24"/>
          <w:lang w:val="en-GB"/>
        </w:rPr>
        <w:t xml:space="preserve">that reported </w:t>
      </w:r>
      <w:r w:rsidR="005951CD" w:rsidRPr="00CD4428">
        <w:rPr>
          <w:rFonts w:ascii="Book Antiqua" w:eastAsia="SabonLTStd-Roman" w:hAnsi="Book Antiqua" w:cstheme="minorHAnsi"/>
          <w:sz w:val="24"/>
          <w:szCs w:val="24"/>
          <w:lang w:val="en-GB"/>
        </w:rPr>
        <w:t xml:space="preserve">in the </w:t>
      </w:r>
      <w:r w:rsidR="006633D9" w:rsidRPr="00CD4428">
        <w:rPr>
          <w:rFonts w:ascii="Book Antiqua" w:eastAsia="SabonLTStd-Roman" w:hAnsi="Book Antiqua" w:cstheme="minorHAnsi"/>
          <w:sz w:val="24"/>
          <w:szCs w:val="24"/>
          <w:lang w:val="en-GB"/>
        </w:rPr>
        <w:t>placebo</w:t>
      </w:r>
      <w:r w:rsidR="005951CD" w:rsidRPr="00CD4428">
        <w:rPr>
          <w:rFonts w:ascii="Book Antiqua" w:eastAsia="SabonLTStd-Roman" w:hAnsi="Book Antiqua" w:cstheme="minorHAnsi"/>
          <w:sz w:val="24"/>
          <w:szCs w:val="24"/>
          <w:lang w:val="en-GB"/>
        </w:rPr>
        <w:t xml:space="preserve"> group</w:t>
      </w:r>
      <w:r w:rsidR="006633D9" w:rsidRPr="00CD4428">
        <w:rPr>
          <w:rFonts w:ascii="Book Antiqua" w:eastAsia="SabonLTStd-Roman" w:hAnsi="Book Antiqua" w:cstheme="minorHAnsi"/>
          <w:sz w:val="24"/>
          <w:szCs w:val="24"/>
          <w:lang w:val="en-GB"/>
        </w:rPr>
        <w:t xml:space="preserve">. </w:t>
      </w:r>
      <w:r w:rsidR="00B449EF" w:rsidRPr="00CD4428">
        <w:rPr>
          <w:rFonts w:ascii="Book Antiqua" w:eastAsia="SabonLTStd-Roman" w:hAnsi="Book Antiqua" w:cstheme="minorHAnsi"/>
          <w:sz w:val="24"/>
          <w:szCs w:val="24"/>
          <w:lang w:val="en-GB"/>
        </w:rPr>
        <w:t xml:space="preserve">In addition, an increasing </w:t>
      </w:r>
      <w:r w:rsidR="005951CD" w:rsidRPr="00CD4428">
        <w:rPr>
          <w:rFonts w:ascii="Book Antiqua" w:eastAsia="SabonLTStd-Roman" w:hAnsi="Book Antiqua" w:cstheme="minorHAnsi"/>
          <w:sz w:val="24"/>
          <w:szCs w:val="24"/>
          <w:lang w:val="en-GB"/>
        </w:rPr>
        <w:t xml:space="preserve">amount </w:t>
      </w:r>
      <w:r w:rsidR="00B449EF" w:rsidRPr="00CD4428">
        <w:rPr>
          <w:rFonts w:ascii="Book Antiqua" w:eastAsia="SabonLTStd-Roman" w:hAnsi="Book Antiqua" w:cstheme="minorHAnsi"/>
          <w:sz w:val="24"/>
          <w:szCs w:val="24"/>
          <w:lang w:val="en-GB"/>
        </w:rPr>
        <w:t>of real-</w:t>
      </w:r>
      <w:r w:rsidR="00B449EF" w:rsidRPr="00CD4428">
        <w:rPr>
          <w:rFonts w:ascii="Book Antiqua" w:eastAsia="SabonLTStd-Roman" w:hAnsi="Book Antiqua" w:cstheme="minorHAnsi"/>
          <w:sz w:val="24"/>
          <w:szCs w:val="24"/>
          <w:lang w:val="en-GB"/>
        </w:rPr>
        <w:lastRenderedPageBreak/>
        <w:t xml:space="preserve">world data </w:t>
      </w:r>
      <w:r w:rsidR="00D57D35" w:rsidRPr="00CD4428">
        <w:rPr>
          <w:rFonts w:ascii="Book Antiqua" w:eastAsia="SabonLTStd-Roman" w:hAnsi="Book Antiqua" w:cstheme="minorHAnsi"/>
          <w:sz w:val="24"/>
          <w:szCs w:val="24"/>
          <w:lang w:val="en-GB"/>
        </w:rPr>
        <w:t xml:space="preserve">has </w:t>
      </w:r>
      <w:r w:rsidR="00B5465C" w:rsidRPr="00CD4428">
        <w:rPr>
          <w:rFonts w:ascii="Book Antiqua" w:eastAsia="SabonLTStd-Roman" w:hAnsi="Book Antiqua" w:cstheme="minorHAnsi"/>
          <w:sz w:val="24"/>
          <w:szCs w:val="24"/>
          <w:lang w:val="en-GB"/>
        </w:rPr>
        <w:t>confirmed</w:t>
      </w:r>
      <w:r w:rsidR="00B449EF" w:rsidRPr="00CD4428">
        <w:rPr>
          <w:rFonts w:ascii="Book Antiqua" w:eastAsia="SabonLTStd-Roman" w:hAnsi="Book Antiqua" w:cstheme="minorHAnsi"/>
          <w:sz w:val="24"/>
          <w:szCs w:val="24"/>
          <w:lang w:val="en-GB"/>
        </w:rPr>
        <w:t xml:space="preserve"> the </w:t>
      </w:r>
      <w:r w:rsidR="00B76AC0" w:rsidRPr="00CD4428">
        <w:rPr>
          <w:rFonts w:ascii="Book Antiqua" w:eastAsia="SabonLTStd-Roman" w:hAnsi="Book Antiqua" w:cstheme="minorHAnsi"/>
          <w:sz w:val="24"/>
          <w:szCs w:val="24"/>
          <w:lang w:val="en-GB"/>
        </w:rPr>
        <w:t>reassuring</w:t>
      </w:r>
      <w:r w:rsidR="00B449EF" w:rsidRPr="00CD4428">
        <w:rPr>
          <w:rFonts w:ascii="Book Antiqua" w:eastAsia="SabonLTStd-Roman" w:hAnsi="Book Antiqua" w:cstheme="minorHAnsi"/>
          <w:sz w:val="24"/>
          <w:szCs w:val="24"/>
          <w:lang w:val="en-GB"/>
        </w:rPr>
        <w:t xml:space="preserve"> safety profile of </w:t>
      </w:r>
      <w:proofErr w:type="spellStart"/>
      <w:r w:rsidR="00B449EF" w:rsidRPr="00CD4428">
        <w:rPr>
          <w:rFonts w:ascii="Book Antiqua" w:eastAsia="SabonLTStd-Roman" w:hAnsi="Book Antiqua" w:cstheme="minorHAnsi"/>
          <w:sz w:val="24"/>
          <w:szCs w:val="24"/>
          <w:lang w:val="en-GB"/>
        </w:rPr>
        <w:t>vedolizumab</w:t>
      </w:r>
      <w:proofErr w:type="spellEnd"/>
      <w:r w:rsidR="00B449EF" w:rsidRPr="00CD4428">
        <w:rPr>
          <w:rFonts w:ascii="Book Antiqua" w:eastAsia="SabonLTStd-Roman" w:hAnsi="Book Antiqua" w:cstheme="minorHAnsi"/>
          <w:sz w:val="24"/>
          <w:szCs w:val="24"/>
          <w:lang w:val="en-GB"/>
        </w:rPr>
        <w:t xml:space="preserve"> </w:t>
      </w:r>
      <w:r w:rsidR="009740BB" w:rsidRPr="00CD4428">
        <w:rPr>
          <w:rFonts w:ascii="Book Antiqua" w:eastAsia="SabonLTStd-Roman" w:hAnsi="Book Antiqua" w:cstheme="minorHAnsi"/>
          <w:sz w:val="24"/>
          <w:szCs w:val="24"/>
          <w:lang w:val="en-GB"/>
        </w:rPr>
        <w:t>over an extended treatment period.</w:t>
      </w:r>
      <w:r w:rsidR="00590110" w:rsidRPr="00CD4428">
        <w:rPr>
          <w:rFonts w:ascii="Book Antiqua" w:eastAsia="SabonLTStd-Roman" w:hAnsi="Book Antiqua" w:cstheme="minorHAnsi"/>
          <w:sz w:val="24"/>
          <w:szCs w:val="24"/>
          <w:lang w:val="en-GB"/>
        </w:rPr>
        <w:t xml:space="preserve"> </w:t>
      </w:r>
    </w:p>
    <w:p w14:paraId="155C9B1A" w14:textId="09E75E29" w:rsidR="00533715" w:rsidRPr="00CD4428" w:rsidRDefault="008D0712" w:rsidP="00760B6C">
      <w:pPr>
        <w:autoSpaceDE w:val="0"/>
        <w:autoSpaceDN w:val="0"/>
        <w:adjustRightInd w:val="0"/>
        <w:snapToGrid w:val="0"/>
        <w:spacing w:after="0" w:line="360" w:lineRule="auto"/>
        <w:ind w:firstLineChars="200" w:firstLine="480"/>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 xml:space="preserve">In conclusion, </w:t>
      </w:r>
      <w:proofErr w:type="spellStart"/>
      <w:r w:rsidRPr="00CD4428">
        <w:rPr>
          <w:rFonts w:ascii="Book Antiqua" w:eastAsia="SabonLTStd-Roman" w:hAnsi="Book Antiqua" w:cstheme="minorHAnsi"/>
          <w:sz w:val="24"/>
          <w:szCs w:val="24"/>
          <w:lang w:val="en-GB"/>
        </w:rPr>
        <w:t>v</w:t>
      </w:r>
      <w:r w:rsidR="00533715" w:rsidRPr="00CD4428">
        <w:rPr>
          <w:rFonts w:ascii="Book Antiqua" w:eastAsia="SabonLTStd-Roman" w:hAnsi="Book Antiqua" w:cstheme="minorHAnsi"/>
          <w:sz w:val="24"/>
          <w:szCs w:val="24"/>
          <w:lang w:val="en-GB"/>
        </w:rPr>
        <w:t>edolizumab</w:t>
      </w:r>
      <w:proofErr w:type="spellEnd"/>
      <w:r w:rsidR="00533715" w:rsidRPr="00CD4428">
        <w:rPr>
          <w:rFonts w:ascii="Book Antiqua" w:eastAsia="SabonLTStd-Roman" w:hAnsi="Book Antiqua" w:cstheme="minorHAnsi"/>
          <w:sz w:val="24"/>
          <w:szCs w:val="24"/>
          <w:lang w:val="en-GB"/>
        </w:rPr>
        <w:t xml:space="preserve"> has demonstrated efficacy and safety in patients </w:t>
      </w:r>
      <w:r w:rsidR="005951CD" w:rsidRPr="00CD4428">
        <w:rPr>
          <w:rFonts w:ascii="Book Antiqua" w:eastAsia="SabonLTStd-Roman" w:hAnsi="Book Antiqua" w:cstheme="minorHAnsi"/>
          <w:sz w:val="24"/>
          <w:szCs w:val="24"/>
          <w:lang w:val="en-GB"/>
        </w:rPr>
        <w:t xml:space="preserve">who </w:t>
      </w:r>
      <w:r w:rsidR="00533715" w:rsidRPr="00CD4428">
        <w:rPr>
          <w:rFonts w:ascii="Book Antiqua" w:eastAsia="SabonLTStd-Roman" w:hAnsi="Book Antiqua" w:cstheme="minorHAnsi"/>
          <w:sz w:val="24"/>
          <w:szCs w:val="24"/>
          <w:lang w:val="en-GB"/>
        </w:rPr>
        <w:t>fail</w:t>
      </w:r>
      <w:r w:rsidR="005951CD" w:rsidRPr="00CD4428">
        <w:rPr>
          <w:rFonts w:ascii="Book Antiqua" w:eastAsia="SabonLTStd-Roman" w:hAnsi="Book Antiqua" w:cstheme="minorHAnsi"/>
          <w:sz w:val="24"/>
          <w:szCs w:val="24"/>
          <w:lang w:val="en-GB"/>
        </w:rPr>
        <w:t>ed</w:t>
      </w:r>
      <w:r w:rsidR="00533715" w:rsidRPr="00CD4428">
        <w:rPr>
          <w:rFonts w:ascii="Book Antiqua" w:eastAsia="SabonLTStd-Roman" w:hAnsi="Book Antiqua" w:cstheme="minorHAnsi"/>
          <w:sz w:val="24"/>
          <w:szCs w:val="24"/>
          <w:lang w:val="en-GB"/>
        </w:rPr>
        <w:t xml:space="preserve"> TNF</w:t>
      </w:r>
      <w:r w:rsidR="00D57D35" w:rsidRPr="00CD4428">
        <w:rPr>
          <w:rFonts w:ascii="Book Antiqua" w:eastAsia="SabonLTStd-Roman" w:hAnsi="Book Antiqua" w:cstheme="minorHAnsi"/>
          <w:sz w:val="24"/>
          <w:szCs w:val="24"/>
          <w:lang w:val="en-GB"/>
        </w:rPr>
        <w:t>-</w:t>
      </w:r>
      <w:r w:rsidR="007444A0" w:rsidRPr="00CD4428">
        <w:rPr>
          <w:rFonts w:ascii="Book Antiqua" w:eastAsia="SabonLTStd-Roman" w:hAnsi="Book Antiqua" w:cstheme="minorHAnsi"/>
          <w:sz w:val="24"/>
          <w:szCs w:val="24"/>
          <w:lang w:val="en-GB"/>
        </w:rPr>
        <w:t xml:space="preserve">α </w:t>
      </w:r>
      <w:proofErr w:type="gramStart"/>
      <w:r w:rsidR="00533715" w:rsidRPr="00CD4428">
        <w:rPr>
          <w:rFonts w:ascii="Book Antiqua" w:eastAsia="SabonLTStd-Roman" w:hAnsi="Book Antiqua" w:cstheme="minorHAnsi"/>
          <w:sz w:val="24"/>
          <w:szCs w:val="24"/>
          <w:lang w:val="en-GB"/>
        </w:rPr>
        <w:t>antagonists</w:t>
      </w:r>
      <w:proofErr w:type="gramEnd"/>
      <w:r w:rsidR="00533715" w:rsidRPr="00CD4428">
        <w:rPr>
          <w:rFonts w:ascii="Book Antiqua" w:eastAsia="SabonLTStd-Roman" w:hAnsi="Book Antiqua" w:cstheme="minorHAnsi"/>
          <w:sz w:val="24"/>
          <w:szCs w:val="24"/>
          <w:lang w:val="en-GB"/>
        </w:rPr>
        <w:t xml:space="preserve">, </w:t>
      </w:r>
      <w:r w:rsidR="00217BE7" w:rsidRPr="00CD4428">
        <w:rPr>
          <w:rFonts w:ascii="Book Antiqua" w:eastAsia="SabonLTStd-Roman" w:hAnsi="Book Antiqua" w:cstheme="minorHAnsi"/>
          <w:sz w:val="24"/>
          <w:szCs w:val="24"/>
          <w:lang w:val="en-GB"/>
        </w:rPr>
        <w:t xml:space="preserve">and should </w:t>
      </w:r>
      <w:r w:rsidR="005951CD" w:rsidRPr="00CD4428">
        <w:rPr>
          <w:rFonts w:ascii="Book Antiqua" w:eastAsia="SabonLTStd-Roman" w:hAnsi="Book Antiqua" w:cstheme="minorHAnsi"/>
          <w:sz w:val="24"/>
          <w:szCs w:val="24"/>
          <w:lang w:val="en-GB"/>
        </w:rPr>
        <w:t xml:space="preserve">therefore </w:t>
      </w:r>
      <w:r w:rsidR="00217BE7" w:rsidRPr="00CD4428">
        <w:rPr>
          <w:rFonts w:ascii="Book Antiqua" w:eastAsia="SabonLTStd-Roman" w:hAnsi="Book Antiqua" w:cstheme="minorHAnsi"/>
          <w:sz w:val="24"/>
          <w:szCs w:val="24"/>
          <w:lang w:val="en-GB"/>
        </w:rPr>
        <w:t xml:space="preserve">be considered a valid second-line induction and maintenance therapy for these patients. </w:t>
      </w:r>
      <w:r w:rsidR="00533715" w:rsidRPr="00CD4428">
        <w:rPr>
          <w:rFonts w:ascii="Book Antiqua" w:eastAsia="SabonLTStd-Roman" w:hAnsi="Book Antiqua" w:cstheme="minorHAnsi"/>
          <w:sz w:val="24"/>
          <w:szCs w:val="24"/>
          <w:lang w:val="en-GB"/>
        </w:rPr>
        <w:t xml:space="preserve">In addition, along with other biologic drugs, </w:t>
      </w:r>
      <w:proofErr w:type="spellStart"/>
      <w:r w:rsidR="00533715" w:rsidRPr="00CD4428">
        <w:rPr>
          <w:rFonts w:ascii="Book Antiqua" w:eastAsia="SabonLTStd-Roman" w:hAnsi="Book Antiqua" w:cstheme="minorHAnsi"/>
          <w:sz w:val="24"/>
          <w:szCs w:val="24"/>
          <w:lang w:val="en-GB"/>
        </w:rPr>
        <w:t>vedolizumab</w:t>
      </w:r>
      <w:proofErr w:type="spellEnd"/>
      <w:r w:rsidR="00533715" w:rsidRPr="00CD4428">
        <w:rPr>
          <w:rFonts w:ascii="Book Antiqua" w:eastAsia="SabonLTStd-Roman" w:hAnsi="Book Antiqua" w:cstheme="minorHAnsi"/>
          <w:sz w:val="24"/>
          <w:szCs w:val="24"/>
          <w:lang w:val="en-GB"/>
        </w:rPr>
        <w:t xml:space="preserve"> </w:t>
      </w:r>
      <w:proofErr w:type="gramStart"/>
      <w:r w:rsidR="00533715" w:rsidRPr="00CD4428">
        <w:rPr>
          <w:rFonts w:ascii="Book Antiqua" w:eastAsia="SabonLTStd-Roman" w:hAnsi="Book Antiqua" w:cstheme="minorHAnsi"/>
          <w:sz w:val="24"/>
          <w:szCs w:val="24"/>
          <w:lang w:val="en-GB"/>
        </w:rPr>
        <w:t>should</w:t>
      </w:r>
      <w:r w:rsidR="00760B6C">
        <w:rPr>
          <w:rFonts w:ascii="Book Antiqua" w:hAnsi="Book Antiqua" w:cstheme="minorHAnsi" w:hint="eastAsia"/>
          <w:sz w:val="24"/>
          <w:szCs w:val="24"/>
          <w:lang w:val="en-GB" w:eastAsia="zh-CN"/>
        </w:rPr>
        <w:t xml:space="preserve"> </w:t>
      </w:r>
      <w:r w:rsidR="00533715" w:rsidRPr="00CD4428">
        <w:rPr>
          <w:rFonts w:ascii="Book Antiqua" w:eastAsia="SabonLTStd-Roman" w:hAnsi="Book Antiqua" w:cstheme="minorHAnsi"/>
          <w:sz w:val="24"/>
          <w:szCs w:val="24"/>
          <w:lang w:val="en-GB"/>
        </w:rPr>
        <w:t>be considered</w:t>
      </w:r>
      <w:proofErr w:type="gramEnd"/>
      <w:r w:rsidR="00533715" w:rsidRPr="00CD4428">
        <w:rPr>
          <w:rFonts w:ascii="Book Antiqua" w:eastAsia="SabonLTStd-Roman" w:hAnsi="Book Antiqua" w:cstheme="minorHAnsi"/>
          <w:sz w:val="24"/>
          <w:szCs w:val="24"/>
          <w:lang w:val="en-GB"/>
        </w:rPr>
        <w:t xml:space="preserve"> </w:t>
      </w:r>
      <w:r w:rsidR="00217BE7" w:rsidRPr="00CD4428">
        <w:rPr>
          <w:rFonts w:ascii="Book Antiqua" w:eastAsia="SabonLTStd-Roman" w:hAnsi="Book Antiqua" w:cstheme="minorHAnsi"/>
          <w:sz w:val="24"/>
          <w:szCs w:val="24"/>
          <w:lang w:val="en-GB"/>
        </w:rPr>
        <w:t>as a</w:t>
      </w:r>
      <w:r w:rsidR="00533715" w:rsidRPr="00CD4428">
        <w:rPr>
          <w:rFonts w:ascii="Book Antiqua" w:eastAsia="SabonLTStd-Roman" w:hAnsi="Book Antiqua" w:cstheme="minorHAnsi"/>
          <w:sz w:val="24"/>
          <w:szCs w:val="24"/>
          <w:lang w:val="en-GB"/>
        </w:rPr>
        <w:t xml:space="preserve"> </w:t>
      </w:r>
      <w:r w:rsidR="00217BE7" w:rsidRPr="00CD4428">
        <w:rPr>
          <w:rFonts w:ascii="Book Antiqua" w:eastAsia="SabonLTStd-Roman" w:hAnsi="Book Antiqua" w:cstheme="minorHAnsi"/>
          <w:sz w:val="24"/>
          <w:szCs w:val="24"/>
          <w:lang w:val="en-GB"/>
        </w:rPr>
        <w:t>first</w:t>
      </w:r>
      <w:r w:rsidR="005951CD" w:rsidRPr="00CD4428">
        <w:rPr>
          <w:rFonts w:ascii="Book Antiqua" w:eastAsia="SabonLTStd-Roman" w:hAnsi="Book Antiqua" w:cstheme="minorHAnsi"/>
          <w:sz w:val="24"/>
          <w:szCs w:val="24"/>
          <w:lang w:val="en-GB"/>
        </w:rPr>
        <w:t>-</w:t>
      </w:r>
      <w:r w:rsidR="00217BE7" w:rsidRPr="00CD4428">
        <w:rPr>
          <w:rFonts w:ascii="Book Antiqua" w:eastAsia="SabonLTStd-Roman" w:hAnsi="Book Antiqua" w:cstheme="minorHAnsi"/>
          <w:sz w:val="24"/>
          <w:szCs w:val="24"/>
          <w:lang w:val="en-GB"/>
        </w:rPr>
        <w:t>line treatment for steroid-dependent and steroid-refractory patients and for patients not responding or intolerant to immunosuppress</w:t>
      </w:r>
      <w:r w:rsidR="00D57D35" w:rsidRPr="00CD4428">
        <w:rPr>
          <w:rFonts w:ascii="Book Antiqua" w:eastAsia="SabonLTStd-Roman" w:hAnsi="Book Antiqua" w:cstheme="minorHAnsi"/>
          <w:sz w:val="24"/>
          <w:szCs w:val="24"/>
          <w:lang w:val="en-GB"/>
        </w:rPr>
        <w:t>ant agents,</w:t>
      </w:r>
      <w:r w:rsidR="004B53A9" w:rsidRPr="00CD4428">
        <w:rPr>
          <w:rFonts w:ascii="Book Antiqua" w:eastAsia="SabonLTStd-Roman" w:hAnsi="Book Antiqua" w:cstheme="minorHAnsi"/>
          <w:sz w:val="24"/>
          <w:szCs w:val="24"/>
          <w:lang w:val="en-GB"/>
        </w:rPr>
        <w:t xml:space="preserve"> t</w:t>
      </w:r>
      <w:r w:rsidR="00217BE7" w:rsidRPr="00CD4428">
        <w:rPr>
          <w:rFonts w:ascii="Book Antiqua" w:eastAsia="SabonLTStd-Roman" w:hAnsi="Book Antiqua" w:cstheme="minorHAnsi"/>
          <w:sz w:val="24"/>
          <w:szCs w:val="24"/>
          <w:lang w:val="en-GB"/>
        </w:rPr>
        <w:t>hanks to its favourable safety profile</w:t>
      </w:r>
      <w:r w:rsidR="004B53A9" w:rsidRPr="00CD4428">
        <w:rPr>
          <w:rFonts w:ascii="Book Antiqua" w:eastAsia="SabonLTStd-Roman" w:hAnsi="Book Antiqua" w:cstheme="minorHAnsi"/>
          <w:sz w:val="24"/>
          <w:szCs w:val="24"/>
          <w:lang w:val="en-GB"/>
        </w:rPr>
        <w:t>.</w:t>
      </w:r>
      <w:r w:rsidR="00217BE7" w:rsidRPr="00CD4428">
        <w:rPr>
          <w:rFonts w:ascii="Book Antiqua" w:eastAsia="SabonLTStd-Roman" w:hAnsi="Book Antiqua" w:cstheme="minorHAnsi"/>
          <w:sz w:val="24"/>
          <w:szCs w:val="24"/>
          <w:lang w:val="en-GB"/>
        </w:rPr>
        <w:t xml:space="preserve"> </w:t>
      </w:r>
      <w:r w:rsidR="002203D3" w:rsidRPr="00CD4428">
        <w:rPr>
          <w:rFonts w:ascii="Book Antiqua" w:eastAsia="SabonLTStd-Roman" w:hAnsi="Book Antiqua" w:cstheme="minorHAnsi"/>
          <w:sz w:val="24"/>
          <w:szCs w:val="24"/>
          <w:lang w:val="en-GB"/>
        </w:rPr>
        <w:t xml:space="preserve">Although head-to-head prospective trials to compare the safety </w:t>
      </w:r>
      <w:r w:rsidR="005951CD" w:rsidRPr="00CD4428">
        <w:rPr>
          <w:rFonts w:ascii="Book Antiqua" w:eastAsia="SabonLTStd-Roman" w:hAnsi="Book Antiqua" w:cstheme="minorHAnsi"/>
          <w:sz w:val="24"/>
          <w:szCs w:val="24"/>
          <w:lang w:val="en-GB"/>
        </w:rPr>
        <w:t xml:space="preserve">of </w:t>
      </w:r>
      <w:r w:rsidR="002203D3" w:rsidRPr="00CD4428">
        <w:rPr>
          <w:rFonts w:ascii="Book Antiqua" w:eastAsia="SabonLTStd-Roman" w:hAnsi="Book Antiqua" w:cstheme="minorHAnsi"/>
          <w:sz w:val="24"/>
          <w:szCs w:val="24"/>
          <w:lang w:val="en-GB"/>
        </w:rPr>
        <w:t xml:space="preserve">biologic drugs are not available, in patients in whom </w:t>
      </w:r>
      <w:r w:rsidR="005951CD" w:rsidRPr="00CD4428">
        <w:rPr>
          <w:rFonts w:ascii="Book Antiqua" w:eastAsia="SabonLTStd-Roman" w:hAnsi="Book Antiqua" w:cstheme="minorHAnsi"/>
          <w:sz w:val="24"/>
          <w:szCs w:val="24"/>
          <w:lang w:val="en-GB"/>
        </w:rPr>
        <w:t xml:space="preserve">it </w:t>
      </w:r>
      <w:r w:rsidR="002203D3" w:rsidRPr="00CD4428">
        <w:rPr>
          <w:rFonts w:ascii="Book Antiqua" w:eastAsia="SabonLTStd-Roman" w:hAnsi="Book Antiqua" w:cstheme="minorHAnsi"/>
          <w:sz w:val="24"/>
          <w:szCs w:val="24"/>
          <w:lang w:val="en-GB"/>
        </w:rPr>
        <w:t>is preferable to avoid systemic immunosuppression (</w:t>
      </w:r>
      <w:r w:rsidR="0056543D" w:rsidRPr="00CD4428">
        <w:rPr>
          <w:rFonts w:ascii="Book Antiqua" w:eastAsia="SabonLTStd-Roman" w:hAnsi="Book Antiqua" w:cstheme="minorHAnsi"/>
          <w:sz w:val="24"/>
          <w:szCs w:val="24"/>
          <w:lang w:val="en-GB"/>
        </w:rPr>
        <w:t>patients with high risk of opportunistic infections</w:t>
      </w:r>
      <w:r w:rsidR="005951CD" w:rsidRPr="00CD4428">
        <w:rPr>
          <w:rFonts w:ascii="Book Antiqua" w:eastAsia="SabonLTStd-Roman" w:hAnsi="Book Antiqua" w:cstheme="minorHAnsi"/>
          <w:sz w:val="24"/>
          <w:szCs w:val="24"/>
          <w:lang w:val="en-GB"/>
        </w:rPr>
        <w:t xml:space="preserve"> or the</w:t>
      </w:r>
      <w:r w:rsidR="0056543D" w:rsidRPr="00CD4428">
        <w:rPr>
          <w:rFonts w:ascii="Book Antiqua" w:eastAsia="SabonLTStd-Roman" w:hAnsi="Book Antiqua" w:cstheme="minorHAnsi"/>
          <w:sz w:val="24"/>
          <w:szCs w:val="24"/>
          <w:lang w:val="en-GB"/>
        </w:rPr>
        <w:t xml:space="preserve"> </w:t>
      </w:r>
      <w:proofErr w:type="gramStart"/>
      <w:r w:rsidR="002203D3" w:rsidRPr="00CD4428">
        <w:rPr>
          <w:rFonts w:ascii="Book Antiqua" w:eastAsia="SabonLTStd-Roman" w:hAnsi="Book Antiqua" w:cstheme="minorHAnsi"/>
          <w:sz w:val="24"/>
          <w:szCs w:val="24"/>
          <w:lang w:val="en-GB"/>
        </w:rPr>
        <w:t>elderly</w:t>
      </w:r>
      <w:r w:rsidR="00351C90" w:rsidRPr="00CD4428">
        <w:rPr>
          <w:rFonts w:ascii="Book Antiqua" w:eastAsia="SabonLTStd-Roman" w:hAnsi="Book Antiqua" w:cstheme="minorHAnsi"/>
          <w:sz w:val="24"/>
          <w:szCs w:val="24"/>
          <w:vertAlign w:val="superscript"/>
          <w:lang w:val="en-GB"/>
        </w:rPr>
        <w:t>[</w:t>
      </w:r>
      <w:proofErr w:type="gramEnd"/>
      <w:r w:rsidR="00351C90" w:rsidRPr="00CD4428">
        <w:rPr>
          <w:rFonts w:ascii="Book Antiqua" w:eastAsia="SabonLTStd-Roman" w:hAnsi="Book Antiqua" w:cstheme="minorHAnsi"/>
          <w:sz w:val="24"/>
          <w:szCs w:val="24"/>
          <w:vertAlign w:val="superscript"/>
          <w:lang w:val="en-GB"/>
        </w:rPr>
        <w:t>5</w:t>
      </w:r>
      <w:r w:rsidR="00652548" w:rsidRPr="00CD4428">
        <w:rPr>
          <w:rFonts w:ascii="Book Antiqua" w:eastAsia="SabonLTStd-Roman" w:hAnsi="Book Antiqua" w:cstheme="minorHAnsi"/>
          <w:sz w:val="24"/>
          <w:szCs w:val="24"/>
          <w:vertAlign w:val="superscript"/>
          <w:lang w:val="en-GB"/>
        </w:rPr>
        <w:t>5</w:t>
      </w:r>
      <w:r w:rsidR="00351C90" w:rsidRPr="00CD4428">
        <w:rPr>
          <w:rFonts w:ascii="Book Antiqua" w:eastAsia="SabonLTStd-Roman" w:hAnsi="Book Antiqua" w:cstheme="minorHAnsi"/>
          <w:sz w:val="24"/>
          <w:szCs w:val="24"/>
          <w:vertAlign w:val="superscript"/>
          <w:lang w:val="en-GB"/>
        </w:rPr>
        <w:t>,5</w:t>
      </w:r>
      <w:r w:rsidR="00652548" w:rsidRPr="00CD4428">
        <w:rPr>
          <w:rFonts w:ascii="Book Antiqua" w:eastAsia="SabonLTStd-Roman" w:hAnsi="Book Antiqua" w:cstheme="minorHAnsi"/>
          <w:sz w:val="24"/>
          <w:szCs w:val="24"/>
          <w:vertAlign w:val="superscript"/>
          <w:lang w:val="en-GB"/>
        </w:rPr>
        <w:t>6</w:t>
      </w:r>
      <w:r w:rsidR="00351C90" w:rsidRPr="00CD4428">
        <w:rPr>
          <w:rFonts w:ascii="Book Antiqua" w:eastAsia="SabonLTStd-Roman" w:hAnsi="Book Antiqua" w:cstheme="minorHAnsi"/>
          <w:sz w:val="24"/>
          <w:szCs w:val="24"/>
          <w:vertAlign w:val="superscript"/>
          <w:lang w:val="en-GB"/>
        </w:rPr>
        <w:t>]</w:t>
      </w:r>
      <w:r w:rsidR="002203D3" w:rsidRPr="00CD4428">
        <w:rPr>
          <w:rFonts w:ascii="Book Antiqua" w:eastAsia="SabonLTStd-Roman" w:hAnsi="Book Antiqua" w:cstheme="minorHAnsi"/>
          <w:sz w:val="24"/>
          <w:szCs w:val="24"/>
          <w:lang w:val="en-GB"/>
        </w:rPr>
        <w:t>)</w:t>
      </w:r>
      <w:r w:rsidR="00D57D35" w:rsidRPr="00CD4428">
        <w:rPr>
          <w:rFonts w:ascii="Book Antiqua" w:eastAsia="SabonLTStd-Roman" w:hAnsi="Book Antiqua" w:cstheme="minorHAnsi"/>
          <w:sz w:val="24"/>
          <w:szCs w:val="24"/>
          <w:lang w:val="en-GB"/>
        </w:rPr>
        <w:t>,</w:t>
      </w:r>
      <w:r w:rsidR="002203D3" w:rsidRPr="00CD4428">
        <w:rPr>
          <w:rFonts w:ascii="Book Antiqua" w:eastAsia="SabonLTStd-Roman" w:hAnsi="Book Antiqua" w:cstheme="minorHAnsi"/>
          <w:sz w:val="24"/>
          <w:szCs w:val="24"/>
          <w:lang w:val="en-GB"/>
        </w:rPr>
        <w:t xml:space="preserve"> </w:t>
      </w:r>
      <w:proofErr w:type="spellStart"/>
      <w:r w:rsidR="002203D3" w:rsidRPr="00CD4428">
        <w:rPr>
          <w:rFonts w:ascii="Book Antiqua" w:eastAsia="SabonLTStd-Roman" w:hAnsi="Book Antiqua" w:cstheme="minorHAnsi"/>
          <w:sz w:val="24"/>
          <w:szCs w:val="24"/>
          <w:lang w:val="en-GB"/>
        </w:rPr>
        <w:t>vedolizumab</w:t>
      </w:r>
      <w:proofErr w:type="spellEnd"/>
      <w:r w:rsidR="002203D3" w:rsidRPr="00CD4428">
        <w:rPr>
          <w:rFonts w:ascii="Book Antiqua" w:eastAsia="SabonLTStd-Roman" w:hAnsi="Book Antiqua" w:cstheme="minorHAnsi"/>
          <w:sz w:val="24"/>
          <w:szCs w:val="24"/>
          <w:lang w:val="en-GB"/>
        </w:rPr>
        <w:t xml:space="preserve"> </w:t>
      </w:r>
      <w:r w:rsidR="005951CD" w:rsidRPr="00CD4428">
        <w:rPr>
          <w:rFonts w:ascii="Book Antiqua" w:eastAsia="SabonLTStd-Roman" w:hAnsi="Book Antiqua" w:cstheme="minorHAnsi"/>
          <w:sz w:val="24"/>
          <w:szCs w:val="24"/>
          <w:lang w:val="en-GB"/>
        </w:rPr>
        <w:t xml:space="preserve">may </w:t>
      </w:r>
      <w:r w:rsidR="002203D3" w:rsidRPr="00CD4428">
        <w:rPr>
          <w:rFonts w:ascii="Book Antiqua" w:eastAsia="SabonLTStd-Roman" w:hAnsi="Book Antiqua" w:cstheme="minorHAnsi"/>
          <w:sz w:val="24"/>
          <w:szCs w:val="24"/>
          <w:lang w:val="en-GB"/>
        </w:rPr>
        <w:t>be a safer alternative.</w:t>
      </w:r>
      <w:r w:rsidR="00590110" w:rsidRPr="00CD4428">
        <w:rPr>
          <w:rFonts w:ascii="Book Antiqua" w:eastAsia="SabonLTStd-Roman" w:hAnsi="Book Antiqua" w:cstheme="minorHAnsi"/>
          <w:sz w:val="24"/>
          <w:szCs w:val="24"/>
          <w:lang w:val="en-GB"/>
        </w:rPr>
        <w:t xml:space="preserve"> </w:t>
      </w:r>
    </w:p>
    <w:p w14:paraId="4B54C901" w14:textId="77777777" w:rsidR="00652548" w:rsidRPr="00760B6C" w:rsidRDefault="00652548" w:rsidP="00760B6C">
      <w:pPr>
        <w:autoSpaceDE w:val="0"/>
        <w:autoSpaceDN w:val="0"/>
        <w:adjustRightInd w:val="0"/>
        <w:snapToGrid w:val="0"/>
        <w:spacing w:after="0" w:line="360" w:lineRule="auto"/>
        <w:jc w:val="both"/>
        <w:rPr>
          <w:rFonts w:ascii="Book Antiqua" w:hAnsi="Book Antiqua" w:cstheme="minorHAnsi"/>
          <w:sz w:val="24"/>
          <w:szCs w:val="24"/>
          <w:lang w:val="en-GB" w:eastAsia="zh-CN"/>
        </w:rPr>
      </w:pPr>
    </w:p>
    <w:p w14:paraId="13DAFC2A" w14:textId="77777777" w:rsidR="00760B6C" w:rsidRDefault="00760B6C">
      <w:pPr>
        <w:rPr>
          <w:rFonts w:ascii="Book Antiqua" w:eastAsia="SabonLTStd-Roman" w:hAnsi="Book Antiqua" w:cstheme="minorHAnsi"/>
          <w:sz w:val="24"/>
          <w:szCs w:val="24"/>
          <w:lang w:val="en-GB"/>
        </w:rPr>
      </w:pPr>
      <w:r>
        <w:rPr>
          <w:rFonts w:ascii="Book Antiqua" w:eastAsia="SabonLTStd-Roman" w:hAnsi="Book Antiqua" w:cstheme="minorHAnsi"/>
          <w:sz w:val="24"/>
          <w:szCs w:val="24"/>
          <w:lang w:val="en-GB"/>
        </w:rPr>
        <w:br w:type="page"/>
      </w:r>
    </w:p>
    <w:p w14:paraId="6AE9BBAE" w14:textId="3620654D" w:rsidR="007A48DA" w:rsidRPr="00760B6C" w:rsidRDefault="007A48DA" w:rsidP="00E17439">
      <w:pPr>
        <w:autoSpaceDE w:val="0"/>
        <w:autoSpaceDN w:val="0"/>
        <w:adjustRightInd w:val="0"/>
        <w:snapToGrid w:val="0"/>
        <w:spacing w:after="0" w:line="360" w:lineRule="auto"/>
        <w:jc w:val="both"/>
        <w:rPr>
          <w:rFonts w:ascii="Book Antiqua" w:eastAsia="SabonLTStd-Roman" w:hAnsi="Book Antiqua" w:cstheme="minorHAnsi"/>
          <w:b/>
          <w:caps/>
          <w:sz w:val="24"/>
          <w:szCs w:val="24"/>
          <w:lang w:val="en-GB"/>
        </w:rPr>
      </w:pPr>
      <w:r w:rsidRPr="00760B6C">
        <w:rPr>
          <w:rFonts w:ascii="Book Antiqua" w:eastAsia="SabonLTStd-Roman" w:hAnsi="Book Antiqua" w:cstheme="minorHAnsi"/>
          <w:b/>
          <w:caps/>
          <w:sz w:val="24"/>
          <w:szCs w:val="24"/>
          <w:lang w:val="en-GB"/>
        </w:rPr>
        <w:lastRenderedPageBreak/>
        <w:t>References</w:t>
      </w:r>
    </w:p>
    <w:p w14:paraId="6C03760D"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1 </w:t>
      </w:r>
      <w:r w:rsidRPr="00466806">
        <w:rPr>
          <w:rFonts w:ascii="Book Antiqua" w:eastAsia="SimSun" w:hAnsi="Book Antiqua" w:cs="Times New Roman"/>
          <w:b/>
          <w:kern w:val="2"/>
          <w:sz w:val="24"/>
          <w:szCs w:val="24"/>
          <w:lang w:val="en-US" w:eastAsia="zh-CN"/>
        </w:rPr>
        <w:t>Arnold M</w:t>
      </w:r>
      <w:r w:rsidRPr="00466806">
        <w:rPr>
          <w:rFonts w:ascii="Book Antiqua" w:eastAsia="SimSun" w:hAnsi="Book Antiqua" w:cs="Times New Roman"/>
          <w:kern w:val="2"/>
          <w:sz w:val="24"/>
          <w:szCs w:val="24"/>
          <w:lang w:val="en-US" w:eastAsia="zh-CN"/>
        </w:rPr>
        <w:t xml:space="preserve">, Sierra MS, </w:t>
      </w:r>
      <w:proofErr w:type="spellStart"/>
      <w:r w:rsidRPr="00466806">
        <w:rPr>
          <w:rFonts w:ascii="Book Antiqua" w:eastAsia="SimSun" w:hAnsi="Book Antiqua" w:cs="Times New Roman"/>
          <w:kern w:val="2"/>
          <w:sz w:val="24"/>
          <w:szCs w:val="24"/>
          <w:lang w:val="en-US" w:eastAsia="zh-CN"/>
        </w:rPr>
        <w:t>Laversanne</w:t>
      </w:r>
      <w:proofErr w:type="spellEnd"/>
      <w:r w:rsidRPr="00466806">
        <w:rPr>
          <w:rFonts w:ascii="Book Antiqua" w:eastAsia="SimSun" w:hAnsi="Book Antiqua" w:cs="Times New Roman"/>
          <w:kern w:val="2"/>
          <w:sz w:val="24"/>
          <w:szCs w:val="24"/>
          <w:lang w:val="en-US" w:eastAsia="zh-CN"/>
        </w:rPr>
        <w:t xml:space="preserve"> M, </w:t>
      </w:r>
      <w:proofErr w:type="spellStart"/>
      <w:r w:rsidRPr="00466806">
        <w:rPr>
          <w:rFonts w:ascii="Book Antiqua" w:eastAsia="SimSun" w:hAnsi="Book Antiqua" w:cs="Times New Roman"/>
          <w:kern w:val="2"/>
          <w:sz w:val="24"/>
          <w:szCs w:val="24"/>
          <w:lang w:val="en-US" w:eastAsia="zh-CN"/>
        </w:rPr>
        <w:t>Soerjomataram</w:t>
      </w:r>
      <w:proofErr w:type="spellEnd"/>
      <w:r w:rsidRPr="00466806">
        <w:rPr>
          <w:rFonts w:ascii="Book Antiqua" w:eastAsia="SimSun" w:hAnsi="Book Antiqua" w:cs="Times New Roman"/>
          <w:kern w:val="2"/>
          <w:sz w:val="24"/>
          <w:szCs w:val="24"/>
          <w:lang w:val="en-US" w:eastAsia="zh-CN"/>
        </w:rPr>
        <w:t xml:space="preserve"> I, </w:t>
      </w:r>
      <w:proofErr w:type="spellStart"/>
      <w:r w:rsidRPr="00466806">
        <w:rPr>
          <w:rFonts w:ascii="Book Antiqua" w:eastAsia="SimSun" w:hAnsi="Book Antiqua" w:cs="Times New Roman"/>
          <w:kern w:val="2"/>
          <w:sz w:val="24"/>
          <w:szCs w:val="24"/>
          <w:lang w:val="en-US" w:eastAsia="zh-CN"/>
        </w:rPr>
        <w:t>Jemal</w:t>
      </w:r>
      <w:proofErr w:type="spellEnd"/>
      <w:r w:rsidRPr="00466806">
        <w:rPr>
          <w:rFonts w:ascii="Book Antiqua" w:eastAsia="SimSun" w:hAnsi="Book Antiqua" w:cs="Times New Roman"/>
          <w:kern w:val="2"/>
          <w:sz w:val="24"/>
          <w:szCs w:val="24"/>
          <w:lang w:val="en-US" w:eastAsia="zh-CN"/>
        </w:rPr>
        <w:t xml:space="preserve"> A, Bray F. Global patterns and trends in colorectal cancer incidence and mortality. </w:t>
      </w:r>
      <w:r w:rsidRPr="00466806">
        <w:rPr>
          <w:rFonts w:ascii="Book Antiqua" w:eastAsia="SimSun" w:hAnsi="Book Antiqua" w:cs="Times New Roman"/>
          <w:i/>
          <w:kern w:val="2"/>
          <w:sz w:val="24"/>
          <w:szCs w:val="24"/>
          <w:lang w:val="en-US" w:eastAsia="zh-CN"/>
        </w:rPr>
        <w:t>Gut</w:t>
      </w:r>
      <w:r w:rsidRPr="00466806">
        <w:rPr>
          <w:rFonts w:ascii="Book Antiqua" w:eastAsia="SimSun" w:hAnsi="Book Antiqua" w:cs="Times New Roman"/>
          <w:kern w:val="2"/>
          <w:sz w:val="24"/>
          <w:szCs w:val="24"/>
          <w:lang w:val="en-US" w:eastAsia="zh-CN"/>
        </w:rPr>
        <w:t xml:space="preserve"> 2017; </w:t>
      </w:r>
      <w:r w:rsidRPr="00466806">
        <w:rPr>
          <w:rFonts w:ascii="Book Antiqua" w:eastAsia="SimSun" w:hAnsi="Book Antiqua" w:cs="Times New Roman"/>
          <w:b/>
          <w:kern w:val="2"/>
          <w:sz w:val="24"/>
          <w:szCs w:val="24"/>
          <w:lang w:val="en-US" w:eastAsia="zh-CN"/>
        </w:rPr>
        <w:t>66</w:t>
      </w:r>
      <w:r w:rsidRPr="00466806">
        <w:rPr>
          <w:rFonts w:ascii="Book Antiqua" w:eastAsia="SimSun" w:hAnsi="Book Antiqua" w:cs="Times New Roman"/>
          <w:kern w:val="2"/>
          <w:sz w:val="24"/>
          <w:szCs w:val="24"/>
          <w:lang w:val="en-US" w:eastAsia="zh-CN"/>
        </w:rPr>
        <w:t>: 683-691 [PMID: 26818619 DOI: 10.1136/gutjnl-2015-310912]</w:t>
      </w:r>
    </w:p>
    <w:p w14:paraId="5BD4B460"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 xml:space="preserve">2 </w:t>
      </w:r>
      <w:proofErr w:type="spellStart"/>
      <w:r w:rsidRPr="00466806">
        <w:rPr>
          <w:rFonts w:ascii="Book Antiqua" w:eastAsia="SimSun" w:hAnsi="Book Antiqua" w:cs="Times New Roman"/>
          <w:b/>
          <w:kern w:val="2"/>
          <w:sz w:val="24"/>
          <w:szCs w:val="24"/>
          <w:lang w:val="en-US" w:eastAsia="zh-CN"/>
        </w:rPr>
        <w:t>Eser</w:t>
      </w:r>
      <w:proofErr w:type="spellEnd"/>
      <w:r w:rsidRPr="00466806">
        <w:rPr>
          <w:rFonts w:ascii="Book Antiqua" w:eastAsia="SimSun" w:hAnsi="Book Antiqua" w:cs="Times New Roman"/>
          <w:b/>
          <w:kern w:val="2"/>
          <w:sz w:val="24"/>
          <w:szCs w:val="24"/>
          <w:lang w:val="en-US" w:eastAsia="zh-CN"/>
        </w:rPr>
        <w:t xml:space="preserve"> S</w:t>
      </w:r>
      <w:r w:rsidRPr="00466806">
        <w:rPr>
          <w:rFonts w:ascii="Book Antiqua" w:eastAsia="SimSun" w:hAnsi="Book Antiqua" w:cs="Times New Roman"/>
          <w:kern w:val="2"/>
          <w:sz w:val="24"/>
          <w:szCs w:val="24"/>
          <w:lang w:val="en-US" w:eastAsia="zh-CN"/>
        </w:rPr>
        <w:t xml:space="preserve">, Chang J, </w:t>
      </w:r>
      <w:proofErr w:type="spellStart"/>
      <w:r w:rsidRPr="00466806">
        <w:rPr>
          <w:rFonts w:ascii="Book Antiqua" w:eastAsia="SimSun" w:hAnsi="Book Antiqua" w:cs="Times New Roman"/>
          <w:kern w:val="2"/>
          <w:sz w:val="24"/>
          <w:szCs w:val="24"/>
          <w:lang w:val="en-US" w:eastAsia="zh-CN"/>
        </w:rPr>
        <w:t>Charalambous</w:t>
      </w:r>
      <w:proofErr w:type="spellEnd"/>
      <w:r w:rsidRPr="00466806">
        <w:rPr>
          <w:rFonts w:ascii="Book Antiqua" w:eastAsia="SimSun" w:hAnsi="Book Antiqua" w:cs="Times New Roman"/>
          <w:kern w:val="2"/>
          <w:sz w:val="24"/>
          <w:szCs w:val="24"/>
          <w:lang w:val="en-US" w:eastAsia="zh-CN"/>
        </w:rPr>
        <w:t xml:space="preserve"> H, Silverman B, </w:t>
      </w:r>
      <w:proofErr w:type="spellStart"/>
      <w:r w:rsidRPr="00466806">
        <w:rPr>
          <w:rFonts w:ascii="Book Antiqua" w:eastAsia="SimSun" w:hAnsi="Book Antiqua" w:cs="Times New Roman"/>
          <w:kern w:val="2"/>
          <w:sz w:val="24"/>
          <w:szCs w:val="24"/>
          <w:lang w:val="en-US" w:eastAsia="zh-CN"/>
        </w:rPr>
        <w:t>Demetriou</w:t>
      </w:r>
      <w:proofErr w:type="spellEnd"/>
      <w:r w:rsidRPr="00466806">
        <w:rPr>
          <w:rFonts w:ascii="Book Antiqua" w:eastAsia="SimSun" w:hAnsi="Book Antiqua" w:cs="Times New Roman"/>
          <w:kern w:val="2"/>
          <w:sz w:val="24"/>
          <w:szCs w:val="24"/>
          <w:lang w:val="en-US" w:eastAsia="zh-CN"/>
        </w:rPr>
        <w:t xml:space="preserve"> A, Yakut C, </w:t>
      </w:r>
      <w:proofErr w:type="spellStart"/>
      <w:r w:rsidRPr="00466806">
        <w:rPr>
          <w:rFonts w:ascii="Book Antiqua" w:eastAsia="SimSun" w:hAnsi="Book Antiqua" w:cs="Times New Roman"/>
          <w:kern w:val="2"/>
          <w:sz w:val="24"/>
          <w:szCs w:val="24"/>
          <w:lang w:val="en-US" w:eastAsia="zh-CN"/>
        </w:rPr>
        <w:t>Nimri</w:t>
      </w:r>
      <w:proofErr w:type="spellEnd"/>
      <w:r w:rsidRPr="00466806">
        <w:rPr>
          <w:rFonts w:ascii="Book Antiqua" w:eastAsia="SimSun" w:hAnsi="Book Antiqua" w:cs="Times New Roman"/>
          <w:kern w:val="2"/>
          <w:sz w:val="24"/>
          <w:szCs w:val="24"/>
          <w:lang w:val="en-US" w:eastAsia="zh-CN"/>
        </w:rPr>
        <w:t xml:space="preserve"> O, </w:t>
      </w:r>
      <w:proofErr w:type="spellStart"/>
      <w:r w:rsidRPr="00466806">
        <w:rPr>
          <w:rFonts w:ascii="Book Antiqua" w:eastAsia="SimSun" w:hAnsi="Book Antiqua" w:cs="Times New Roman"/>
          <w:kern w:val="2"/>
          <w:sz w:val="24"/>
          <w:szCs w:val="24"/>
          <w:lang w:val="en-US" w:eastAsia="zh-CN"/>
        </w:rPr>
        <w:t>Pavlou</w:t>
      </w:r>
      <w:proofErr w:type="spellEnd"/>
      <w:r w:rsidRPr="00466806">
        <w:rPr>
          <w:rFonts w:ascii="Book Antiqua" w:eastAsia="SimSun" w:hAnsi="Book Antiqua" w:cs="Times New Roman"/>
          <w:kern w:val="2"/>
          <w:sz w:val="24"/>
          <w:szCs w:val="24"/>
          <w:lang w:val="en-US" w:eastAsia="zh-CN"/>
        </w:rPr>
        <w:t xml:space="preserve"> P, </w:t>
      </w:r>
      <w:proofErr w:type="spellStart"/>
      <w:r w:rsidRPr="00466806">
        <w:rPr>
          <w:rFonts w:ascii="Book Antiqua" w:eastAsia="SimSun" w:hAnsi="Book Antiqua" w:cs="Times New Roman"/>
          <w:kern w:val="2"/>
          <w:sz w:val="24"/>
          <w:szCs w:val="24"/>
          <w:lang w:val="en-US" w:eastAsia="zh-CN"/>
        </w:rPr>
        <w:t>Özgür</w:t>
      </w:r>
      <w:proofErr w:type="spellEnd"/>
      <w:r w:rsidRPr="00466806">
        <w:rPr>
          <w:rFonts w:ascii="Book Antiqua" w:eastAsia="SimSun" w:hAnsi="Book Antiqua" w:cs="Times New Roman"/>
          <w:kern w:val="2"/>
          <w:sz w:val="24"/>
          <w:szCs w:val="24"/>
          <w:lang w:val="en-US" w:eastAsia="zh-CN"/>
        </w:rPr>
        <w:t xml:space="preserve"> S, </w:t>
      </w:r>
      <w:proofErr w:type="spellStart"/>
      <w:r w:rsidRPr="00466806">
        <w:rPr>
          <w:rFonts w:ascii="Book Antiqua" w:eastAsia="SimSun" w:hAnsi="Book Antiqua" w:cs="Times New Roman"/>
          <w:kern w:val="2"/>
          <w:sz w:val="24"/>
          <w:szCs w:val="24"/>
          <w:lang w:val="en-US" w:eastAsia="zh-CN"/>
        </w:rPr>
        <w:t>Ziogas</w:t>
      </w:r>
      <w:proofErr w:type="spellEnd"/>
      <w:r w:rsidRPr="00466806">
        <w:rPr>
          <w:rFonts w:ascii="Book Antiqua" w:eastAsia="SimSun" w:hAnsi="Book Antiqua" w:cs="Times New Roman"/>
          <w:kern w:val="2"/>
          <w:sz w:val="24"/>
          <w:szCs w:val="24"/>
          <w:lang w:val="en-US" w:eastAsia="zh-CN"/>
        </w:rPr>
        <w:t xml:space="preserve"> A, Stevens L, Ward K, Anton Culver H. Incidence patterns of colorectal cancers in four countries of the Middle East Cancer Consortium (Cyprus, Jordan, Israel, and İzmir, Turkey) compared with those in the United States Surveillance, Epidemiology, and End Results Program.</w:t>
      </w:r>
      <w:proofErr w:type="gramEnd"/>
      <w:r w:rsidRPr="00466806">
        <w:rPr>
          <w:rFonts w:ascii="Book Antiqua" w:eastAsia="SimSun" w:hAnsi="Book Antiqua" w:cs="Times New Roman"/>
          <w:kern w:val="2"/>
          <w:sz w:val="24"/>
          <w:szCs w:val="24"/>
          <w:lang w:val="en-US" w:eastAsia="zh-CN"/>
        </w:rPr>
        <w:t xml:space="preserve"> </w:t>
      </w:r>
      <w:r w:rsidRPr="00466806">
        <w:rPr>
          <w:rFonts w:ascii="Book Antiqua" w:eastAsia="SimSun" w:hAnsi="Book Antiqua" w:cs="Times New Roman"/>
          <w:i/>
          <w:kern w:val="2"/>
          <w:sz w:val="24"/>
          <w:szCs w:val="24"/>
          <w:lang w:val="en-US" w:eastAsia="zh-CN"/>
        </w:rPr>
        <w:t xml:space="preserve">Turk J </w:t>
      </w:r>
      <w:proofErr w:type="spellStart"/>
      <w:r w:rsidRPr="00466806">
        <w:rPr>
          <w:rFonts w:ascii="Book Antiqua" w:eastAsia="SimSun" w:hAnsi="Book Antiqua" w:cs="Times New Roman"/>
          <w:i/>
          <w:kern w:val="2"/>
          <w:sz w:val="24"/>
          <w:szCs w:val="24"/>
          <w:lang w:val="en-US" w:eastAsia="zh-CN"/>
        </w:rPr>
        <w:t>Gastroenterol</w:t>
      </w:r>
      <w:proofErr w:type="spellEnd"/>
      <w:r w:rsidRPr="00466806">
        <w:rPr>
          <w:rFonts w:ascii="Book Antiqua" w:eastAsia="SimSun" w:hAnsi="Book Antiqua" w:cs="Times New Roman"/>
          <w:kern w:val="2"/>
          <w:sz w:val="24"/>
          <w:szCs w:val="24"/>
          <w:lang w:val="en-US" w:eastAsia="zh-CN"/>
        </w:rPr>
        <w:t xml:space="preserve"> 2018; </w:t>
      </w:r>
      <w:r w:rsidRPr="00466806">
        <w:rPr>
          <w:rFonts w:ascii="Book Antiqua" w:eastAsia="SimSun" w:hAnsi="Book Antiqua" w:cs="Times New Roman"/>
          <w:b/>
          <w:kern w:val="2"/>
          <w:sz w:val="24"/>
          <w:szCs w:val="24"/>
          <w:lang w:val="en-US" w:eastAsia="zh-CN"/>
        </w:rPr>
        <w:t>29</w:t>
      </w:r>
      <w:r w:rsidRPr="00466806">
        <w:rPr>
          <w:rFonts w:ascii="Book Antiqua" w:eastAsia="SimSun" w:hAnsi="Book Antiqua" w:cs="Times New Roman"/>
          <w:kern w:val="2"/>
          <w:sz w:val="24"/>
          <w:szCs w:val="24"/>
          <w:lang w:val="en-US" w:eastAsia="zh-CN"/>
        </w:rPr>
        <w:t>: 36-44 [PMID: 29391306 DOI: 10.5152/tjg.2018.17263]</w:t>
      </w:r>
    </w:p>
    <w:p w14:paraId="0A18B70C"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 xml:space="preserve">3 </w:t>
      </w:r>
      <w:proofErr w:type="spellStart"/>
      <w:r w:rsidRPr="00466806">
        <w:rPr>
          <w:rFonts w:ascii="Book Antiqua" w:eastAsia="SimSun" w:hAnsi="Book Antiqua" w:cs="Times New Roman"/>
          <w:b/>
          <w:kern w:val="2"/>
          <w:sz w:val="24"/>
          <w:szCs w:val="24"/>
          <w:lang w:val="en-US" w:eastAsia="zh-CN"/>
        </w:rPr>
        <w:t>Moskal</w:t>
      </w:r>
      <w:proofErr w:type="spellEnd"/>
      <w:r w:rsidRPr="00466806">
        <w:rPr>
          <w:rFonts w:ascii="Book Antiqua" w:eastAsia="SimSun" w:hAnsi="Book Antiqua" w:cs="Times New Roman"/>
          <w:b/>
          <w:kern w:val="2"/>
          <w:sz w:val="24"/>
          <w:szCs w:val="24"/>
          <w:lang w:val="en-US" w:eastAsia="zh-CN"/>
        </w:rPr>
        <w:t xml:space="preserve"> A</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Freisling</w:t>
      </w:r>
      <w:proofErr w:type="spellEnd"/>
      <w:r w:rsidRPr="00466806">
        <w:rPr>
          <w:rFonts w:ascii="Book Antiqua" w:eastAsia="SimSun" w:hAnsi="Book Antiqua" w:cs="Times New Roman"/>
          <w:kern w:val="2"/>
          <w:sz w:val="24"/>
          <w:szCs w:val="24"/>
          <w:lang w:val="en-US" w:eastAsia="zh-CN"/>
        </w:rPr>
        <w:t xml:space="preserve"> H, Byrnes G, </w:t>
      </w:r>
      <w:proofErr w:type="spellStart"/>
      <w:r w:rsidRPr="00466806">
        <w:rPr>
          <w:rFonts w:ascii="Book Antiqua" w:eastAsia="SimSun" w:hAnsi="Book Antiqua" w:cs="Times New Roman"/>
          <w:kern w:val="2"/>
          <w:sz w:val="24"/>
          <w:szCs w:val="24"/>
          <w:lang w:val="en-US" w:eastAsia="zh-CN"/>
        </w:rPr>
        <w:t>Assi</w:t>
      </w:r>
      <w:proofErr w:type="spellEnd"/>
      <w:r w:rsidRPr="00466806">
        <w:rPr>
          <w:rFonts w:ascii="Book Antiqua" w:eastAsia="SimSun" w:hAnsi="Book Antiqua" w:cs="Times New Roman"/>
          <w:kern w:val="2"/>
          <w:sz w:val="24"/>
          <w:szCs w:val="24"/>
          <w:lang w:val="en-US" w:eastAsia="zh-CN"/>
        </w:rPr>
        <w:t xml:space="preserve"> N, Fahey MT, </w:t>
      </w:r>
      <w:proofErr w:type="spellStart"/>
      <w:r w:rsidRPr="00466806">
        <w:rPr>
          <w:rFonts w:ascii="Book Antiqua" w:eastAsia="SimSun" w:hAnsi="Book Antiqua" w:cs="Times New Roman"/>
          <w:kern w:val="2"/>
          <w:sz w:val="24"/>
          <w:szCs w:val="24"/>
          <w:lang w:val="en-US" w:eastAsia="zh-CN"/>
        </w:rPr>
        <w:t>Jenab</w:t>
      </w:r>
      <w:proofErr w:type="spellEnd"/>
      <w:r w:rsidRPr="00466806">
        <w:rPr>
          <w:rFonts w:ascii="Book Antiqua" w:eastAsia="SimSun" w:hAnsi="Book Antiqua" w:cs="Times New Roman"/>
          <w:kern w:val="2"/>
          <w:sz w:val="24"/>
          <w:szCs w:val="24"/>
          <w:lang w:val="en-US" w:eastAsia="zh-CN"/>
        </w:rPr>
        <w:t xml:space="preserve"> M, Ferrari P, </w:t>
      </w:r>
      <w:proofErr w:type="spellStart"/>
      <w:r w:rsidRPr="00466806">
        <w:rPr>
          <w:rFonts w:ascii="Book Antiqua" w:eastAsia="SimSun" w:hAnsi="Book Antiqua" w:cs="Times New Roman"/>
          <w:kern w:val="2"/>
          <w:sz w:val="24"/>
          <w:szCs w:val="24"/>
          <w:lang w:val="en-US" w:eastAsia="zh-CN"/>
        </w:rPr>
        <w:t>Tjønneland</w:t>
      </w:r>
      <w:proofErr w:type="spellEnd"/>
      <w:r w:rsidRPr="00466806">
        <w:rPr>
          <w:rFonts w:ascii="Book Antiqua" w:eastAsia="SimSun" w:hAnsi="Book Antiqua" w:cs="Times New Roman"/>
          <w:kern w:val="2"/>
          <w:sz w:val="24"/>
          <w:szCs w:val="24"/>
          <w:lang w:val="en-US" w:eastAsia="zh-CN"/>
        </w:rPr>
        <w:t xml:space="preserve"> A, Petersen KE, </w:t>
      </w:r>
      <w:proofErr w:type="spellStart"/>
      <w:r w:rsidRPr="00466806">
        <w:rPr>
          <w:rFonts w:ascii="Book Antiqua" w:eastAsia="SimSun" w:hAnsi="Book Antiqua" w:cs="Times New Roman"/>
          <w:kern w:val="2"/>
          <w:sz w:val="24"/>
          <w:szCs w:val="24"/>
          <w:lang w:val="en-US" w:eastAsia="zh-CN"/>
        </w:rPr>
        <w:t>Dahm</w:t>
      </w:r>
      <w:proofErr w:type="spellEnd"/>
      <w:r w:rsidRPr="00466806">
        <w:rPr>
          <w:rFonts w:ascii="Book Antiqua" w:eastAsia="SimSun" w:hAnsi="Book Antiqua" w:cs="Times New Roman"/>
          <w:kern w:val="2"/>
          <w:sz w:val="24"/>
          <w:szCs w:val="24"/>
          <w:lang w:val="en-US" w:eastAsia="zh-CN"/>
        </w:rPr>
        <w:t xml:space="preserve"> CC, Hansen CP, </w:t>
      </w:r>
      <w:proofErr w:type="spellStart"/>
      <w:r w:rsidRPr="00466806">
        <w:rPr>
          <w:rFonts w:ascii="Book Antiqua" w:eastAsia="SimSun" w:hAnsi="Book Antiqua" w:cs="Times New Roman"/>
          <w:kern w:val="2"/>
          <w:sz w:val="24"/>
          <w:szCs w:val="24"/>
          <w:lang w:val="en-US" w:eastAsia="zh-CN"/>
        </w:rPr>
        <w:t>Affret</w:t>
      </w:r>
      <w:proofErr w:type="spellEnd"/>
      <w:r w:rsidRPr="00466806">
        <w:rPr>
          <w:rFonts w:ascii="Book Antiqua" w:eastAsia="SimSun" w:hAnsi="Book Antiqua" w:cs="Times New Roman"/>
          <w:kern w:val="2"/>
          <w:sz w:val="24"/>
          <w:szCs w:val="24"/>
          <w:lang w:val="en-US" w:eastAsia="zh-CN"/>
        </w:rPr>
        <w:t xml:space="preserve"> A, </w:t>
      </w:r>
      <w:proofErr w:type="spellStart"/>
      <w:r w:rsidRPr="00466806">
        <w:rPr>
          <w:rFonts w:ascii="Book Antiqua" w:eastAsia="SimSun" w:hAnsi="Book Antiqua" w:cs="Times New Roman"/>
          <w:kern w:val="2"/>
          <w:sz w:val="24"/>
          <w:szCs w:val="24"/>
          <w:lang w:val="en-US" w:eastAsia="zh-CN"/>
        </w:rPr>
        <w:t>Boutron-Ruault</w:t>
      </w:r>
      <w:proofErr w:type="spellEnd"/>
      <w:r w:rsidRPr="00466806">
        <w:rPr>
          <w:rFonts w:ascii="Book Antiqua" w:eastAsia="SimSun" w:hAnsi="Book Antiqua" w:cs="Times New Roman"/>
          <w:kern w:val="2"/>
          <w:sz w:val="24"/>
          <w:szCs w:val="24"/>
          <w:lang w:val="en-US" w:eastAsia="zh-CN"/>
        </w:rPr>
        <w:t xml:space="preserve"> MC, </w:t>
      </w:r>
      <w:proofErr w:type="spellStart"/>
      <w:r w:rsidRPr="00466806">
        <w:rPr>
          <w:rFonts w:ascii="Book Antiqua" w:eastAsia="SimSun" w:hAnsi="Book Antiqua" w:cs="Times New Roman"/>
          <w:kern w:val="2"/>
          <w:sz w:val="24"/>
          <w:szCs w:val="24"/>
          <w:lang w:val="en-US" w:eastAsia="zh-CN"/>
        </w:rPr>
        <w:t>Cadeau</w:t>
      </w:r>
      <w:proofErr w:type="spellEnd"/>
      <w:r w:rsidRPr="00466806">
        <w:rPr>
          <w:rFonts w:ascii="Book Antiqua" w:eastAsia="SimSun" w:hAnsi="Book Antiqua" w:cs="Times New Roman"/>
          <w:kern w:val="2"/>
          <w:sz w:val="24"/>
          <w:szCs w:val="24"/>
          <w:lang w:val="en-US" w:eastAsia="zh-CN"/>
        </w:rPr>
        <w:t xml:space="preserve"> C, </w:t>
      </w:r>
      <w:proofErr w:type="spellStart"/>
      <w:r w:rsidRPr="00466806">
        <w:rPr>
          <w:rFonts w:ascii="Book Antiqua" w:eastAsia="SimSun" w:hAnsi="Book Antiqua" w:cs="Times New Roman"/>
          <w:kern w:val="2"/>
          <w:sz w:val="24"/>
          <w:szCs w:val="24"/>
          <w:lang w:val="en-US" w:eastAsia="zh-CN"/>
        </w:rPr>
        <w:t>Kühn</w:t>
      </w:r>
      <w:proofErr w:type="spellEnd"/>
      <w:r w:rsidRPr="00466806">
        <w:rPr>
          <w:rFonts w:ascii="Book Antiqua" w:eastAsia="SimSun" w:hAnsi="Book Antiqua" w:cs="Times New Roman"/>
          <w:kern w:val="2"/>
          <w:sz w:val="24"/>
          <w:szCs w:val="24"/>
          <w:lang w:val="en-US" w:eastAsia="zh-CN"/>
        </w:rPr>
        <w:t xml:space="preserve"> T, </w:t>
      </w:r>
      <w:proofErr w:type="spellStart"/>
      <w:r w:rsidRPr="00466806">
        <w:rPr>
          <w:rFonts w:ascii="Book Antiqua" w:eastAsia="SimSun" w:hAnsi="Book Antiqua" w:cs="Times New Roman"/>
          <w:kern w:val="2"/>
          <w:sz w:val="24"/>
          <w:szCs w:val="24"/>
          <w:lang w:val="en-US" w:eastAsia="zh-CN"/>
        </w:rPr>
        <w:t>Katzke</w:t>
      </w:r>
      <w:proofErr w:type="spellEnd"/>
      <w:r w:rsidRPr="00466806">
        <w:rPr>
          <w:rFonts w:ascii="Book Antiqua" w:eastAsia="SimSun" w:hAnsi="Book Antiqua" w:cs="Times New Roman"/>
          <w:kern w:val="2"/>
          <w:sz w:val="24"/>
          <w:szCs w:val="24"/>
          <w:lang w:val="en-US" w:eastAsia="zh-CN"/>
        </w:rPr>
        <w:t xml:space="preserve"> V, Iqbal K, Boeing H, </w:t>
      </w:r>
      <w:proofErr w:type="spellStart"/>
      <w:r w:rsidRPr="00466806">
        <w:rPr>
          <w:rFonts w:ascii="Book Antiqua" w:eastAsia="SimSun" w:hAnsi="Book Antiqua" w:cs="Times New Roman"/>
          <w:kern w:val="2"/>
          <w:sz w:val="24"/>
          <w:szCs w:val="24"/>
          <w:lang w:val="en-US" w:eastAsia="zh-CN"/>
        </w:rPr>
        <w:t>Trichopoulou</w:t>
      </w:r>
      <w:proofErr w:type="spellEnd"/>
      <w:r w:rsidRPr="00466806">
        <w:rPr>
          <w:rFonts w:ascii="Book Antiqua" w:eastAsia="SimSun" w:hAnsi="Book Antiqua" w:cs="Times New Roman"/>
          <w:kern w:val="2"/>
          <w:sz w:val="24"/>
          <w:szCs w:val="24"/>
          <w:lang w:val="en-US" w:eastAsia="zh-CN"/>
        </w:rPr>
        <w:t xml:space="preserve"> A, </w:t>
      </w:r>
      <w:proofErr w:type="spellStart"/>
      <w:r w:rsidRPr="00466806">
        <w:rPr>
          <w:rFonts w:ascii="Book Antiqua" w:eastAsia="SimSun" w:hAnsi="Book Antiqua" w:cs="Times New Roman"/>
          <w:kern w:val="2"/>
          <w:sz w:val="24"/>
          <w:szCs w:val="24"/>
          <w:lang w:val="en-US" w:eastAsia="zh-CN"/>
        </w:rPr>
        <w:t>Bamia</w:t>
      </w:r>
      <w:proofErr w:type="spellEnd"/>
      <w:r w:rsidRPr="00466806">
        <w:rPr>
          <w:rFonts w:ascii="Book Antiqua" w:eastAsia="SimSun" w:hAnsi="Book Antiqua" w:cs="Times New Roman"/>
          <w:kern w:val="2"/>
          <w:sz w:val="24"/>
          <w:szCs w:val="24"/>
          <w:lang w:val="en-US" w:eastAsia="zh-CN"/>
        </w:rPr>
        <w:t xml:space="preserve"> C, </w:t>
      </w:r>
      <w:proofErr w:type="spellStart"/>
      <w:r w:rsidRPr="00466806">
        <w:rPr>
          <w:rFonts w:ascii="Book Antiqua" w:eastAsia="SimSun" w:hAnsi="Book Antiqua" w:cs="Times New Roman"/>
          <w:kern w:val="2"/>
          <w:sz w:val="24"/>
          <w:szCs w:val="24"/>
          <w:lang w:val="en-US" w:eastAsia="zh-CN"/>
        </w:rPr>
        <w:t>Naska</w:t>
      </w:r>
      <w:proofErr w:type="spellEnd"/>
      <w:r w:rsidRPr="00466806">
        <w:rPr>
          <w:rFonts w:ascii="Book Antiqua" w:eastAsia="SimSun" w:hAnsi="Book Antiqua" w:cs="Times New Roman"/>
          <w:kern w:val="2"/>
          <w:sz w:val="24"/>
          <w:szCs w:val="24"/>
          <w:lang w:val="en-US" w:eastAsia="zh-CN"/>
        </w:rPr>
        <w:t xml:space="preserve"> A, Masala G, de </w:t>
      </w:r>
      <w:proofErr w:type="spellStart"/>
      <w:r w:rsidRPr="00466806">
        <w:rPr>
          <w:rFonts w:ascii="Book Antiqua" w:eastAsia="SimSun" w:hAnsi="Book Antiqua" w:cs="Times New Roman"/>
          <w:kern w:val="2"/>
          <w:sz w:val="24"/>
          <w:szCs w:val="24"/>
          <w:lang w:val="en-US" w:eastAsia="zh-CN"/>
        </w:rPr>
        <w:t>Magistris</w:t>
      </w:r>
      <w:proofErr w:type="spellEnd"/>
      <w:r w:rsidRPr="00466806">
        <w:rPr>
          <w:rFonts w:ascii="Book Antiqua" w:eastAsia="SimSun" w:hAnsi="Book Antiqua" w:cs="Times New Roman"/>
          <w:kern w:val="2"/>
          <w:sz w:val="24"/>
          <w:szCs w:val="24"/>
          <w:lang w:val="en-US" w:eastAsia="zh-CN"/>
        </w:rPr>
        <w:t xml:space="preserve"> MS, </w:t>
      </w:r>
      <w:proofErr w:type="spellStart"/>
      <w:r w:rsidRPr="00466806">
        <w:rPr>
          <w:rFonts w:ascii="Book Antiqua" w:eastAsia="SimSun" w:hAnsi="Book Antiqua" w:cs="Times New Roman"/>
          <w:kern w:val="2"/>
          <w:sz w:val="24"/>
          <w:szCs w:val="24"/>
          <w:lang w:val="en-US" w:eastAsia="zh-CN"/>
        </w:rPr>
        <w:t>Sieri</w:t>
      </w:r>
      <w:proofErr w:type="spellEnd"/>
      <w:r w:rsidRPr="00466806">
        <w:rPr>
          <w:rFonts w:ascii="Book Antiqua" w:eastAsia="SimSun" w:hAnsi="Book Antiqua" w:cs="Times New Roman"/>
          <w:kern w:val="2"/>
          <w:sz w:val="24"/>
          <w:szCs w:val="24"/>
          <w:lang w:val="en-US" w:eastAsia="zh-CN"/>
        </w:rPr>
        <w:t xml:space="preserve"> S, </w:t>
      </w:r>
      <w:proofErr w:type="spellStart"/>
      <w:r w:rsidRPr="00466806">
        <w:rPr>
          <w:rFonts w:ascii="Book Antiqua" w:eastAsia="SimSun" w:hAnsi="Book Antiqua" w:cs="Times New Roman"/>
          <w:kern w:val="2"/>
          <w:sz w:val="24"/>
          <w:szCs w:val="24"/>
          <w:lang w:val="en-US" w:eastAsia="zh-CN"/>
        </w:rPr>
        <w:t>Tumino</w:t>
      </w:r>
      <w:proofErr w:type="spellEnd"/>
      <w:r w:rsidRPr="00466806">
        <w:rPr>
          <w:rFonts w:ascii="Book Antiqua" w:eastAsia="SimSun" w:hAnsi="Book Antiqua" w:cs="Times New Roman"/>
          <w:kern w:val="2"/>
          <w:sz w:val="24"/>
          <w:szCs w:val="24"/>
          <w:lang w:val="en-US" w:eastAsia="zh-CN"/>
        </w:rPr>
        <w:t xml:space="preserve"> R, </w:t>
      </w:r>
      <w:proofErr w:type="spellStart"/>
      <w:r w:rsidRPr="00466806">
        <w:rPr>
          <w:rFonts w:ascii="Book Antiqua" w:eastAsia="SimSun" w:hAnsi="Book Antiqua" w:cs="Times New Roman"/>
          <w:kern w:val="2"/>
          <w:sz w:val="24"/>
          <w:szCs w:val="24"/>
          <w:lang w:val="en-US" w:eastAsia="zh-CN"/>
        </w:rPr>
        <w:t>Sacerdote</w:t>
      </w:r>
      <w:proofErr w:type="spellEnd"/>
      <w:r w:rsidRPr="00466806">
        <w:rPr>
          <w:rFonts w:ascii="Book Antiqua" w:eastAsia="SimSun" w:hAnsi="Book Antiqua" w:cs="Times New Roman"/>
          <w:kern w:val="2"/>
          <w:sz w:val="24"/>
          <w:szCs w:val="24"/>
          <w:lang w:val="en-US" w:eastAsia="zh-CN"/>
        </w:rPr>
        <w:t xml:space="preserve"> C, </w:t>
      </w:r>
      <w:proofErr w:type="spellStart"/>
      <w:r w:rsidRPr="00466806">
        <w:rPr>
          <w:rFonts w:ascii="Book Antiqua" w:eastAsia="SimSun" w:hAnsi="Book Antiqua" w:cs="Times New Roman"/>
          <w:kern w:val="2"/>
          <w:sz w:val="24"/>
          <w:szCs w:val="24"/>
          <w:lang w:val="en-US" w:eastAsia="zh-CN"/>
        </w:rPr>
        <w:t>Peeters</w:t>
      </w:r>
      <w:proofErr w:type="spellEnd"/>
      <w:r w:rsidRPr="00466806">
        <w:rPr>
          <w:rFonts w:ascii="Book Antiqua" w:eastAsia="SimSun" w:hAnsi="Book Antiqua" w:cs="Times New Roman"/>
          <w:kern w:val="2"/>
          <w:sz w:val="24"/>
          <w:szCs w:val="24"/>
          <w:lang w:val="en-US" w:eastAsia="zh-CN"/>
        </w:rPr>
        <w:t xml:space="preserve"> PH, Bueno-de-</w:t>
      </w:r>
      <w:proofErr w:type="spellStart"/>
      <w:r w:rsidRPr="00466806">
        <w:rPr>
          <w:rFonts w:ascii="Book Antiqua" w:eastAsia="SimSun" w:hAnsi="Book Antiqua" w:cs="Times New Roman"/>
          <w:kern w:val="2"/>
          <w:sz w:val="24"/>
          <w:szCs w:val="24"/>
          <w:lang w:val="en-US" w:eastAsia="zh-CN"/>
        </w:rPr>
        <w:t>Mesquita</w:t>
      </w:r>
      <w:proofErr w:type="spellEnd"/>
      <w:r w:rsidRPr="00466806">
        <w:rPr>
          <w:rFonts w:ascii="Book Antiqua" w:eastAsia="SimSun" w:hAnsi="Book Antiqua" w:cs="Times New Roman"/>
          <w:kern w:val="2"/>
          <w:sz w:val="24"/>
          <w:szCs w:val="24"/>
          <w:lang w:val="en-US" w:eastAsia="zh-CN"/>
        </w:rPr>
        <w:t xml:space="preserve"> BH, </w:t>
      </w:r>
      <w:proofErr w:type="spellStart"/>
      <w:r w:rsidRPr="00466806">
        <w:rPr>
          <w:rFonts w:ascii="Book Antiqua" w:eastAsia="SimSun" w:hAnsi="Book Antiqua" w:cs="Times New Roman"/>
          <w:kern w:val="2"/>
          <w:sz w:val="24"/>
          <w:szCs w:val="24"/>
          <w:lang w:val="en-US" w:eastAsia="zh-CN"/>
        </w:rPr>
        <w:t>Engeset</w:t>
      </w:r>
      <w:proofErr w:type="spellEnd"/>
      <w:r w:rsidRPr="00466806">
        <w:rPr>
          <w:rFonts w:ascii="Book Antiqua" w:eastAsia="SimSun" w:hAnsi="Book Antiqua" w:cs="Times New Roman"/>
          <w:kern w:val="2"/>
          <w:sz w:val="24"/>
          <w:szCs w:val="24"/>
          <w:lang w:val="en-US" w:eastAsia="zh-CN"/>
        </w:rPr>
        <w:t xml:space="preserve"> D, </w:t>
      </w:r>
      <w:proofErr w:type="spellStart"/>
      <w:r w:rsidRPr="00466806">
        <w:rPr>
          <w:rFonts w:ascii="Book Antiqua" w:eastAsia="SimSun" w:hAnsi="Book Antiqua" w:cs="Times New Roman"/>
          <w:kern w:val="2"/>
          <w:sz w:val="24"/>
          <w:szCs w:val="24"/>
          <w:lang w:val="en-US" w:eastAsia="zh-CN"/>
        </w:rPr>
        <w:t>Licaj</w:t>
      </w:r>
      <w:proofErr w:type="spellEnd"/>
      <w:r w:rsidRPr="00466806">
        <w:rPr>
          <w:rFonts w:ascii="Book Antiqua" w:eastAsia="SimSun" w:hAnsi="Book Antiqua" w:cs="Times New Roman"/>
          <w:kern w:val="2"/>
          <w:sz w:val="24"/>
          <w:szCs w:val="24"/>
          <w:lang w:val="en-US" w:eastAsia="zh-CN"/>
        </w:rPr>
        <w:t xml:space="preserve"> I, </w:t>
      </w:r>
      <w:proofErr w:type="spellStart"/>
      <w:r w:rsidRPr="00466806">
        <w:rPr>
          <w:rFonts w:ascii="Book Antiqua" w:eastAsia="SimSun" w:hAnsi="Book Antiqua" w:cs="Times New Roman"/>
          <w:kern w:val="2"/>
          <w:sz w:val="24"/>
          <w:szCs w:val="24"/>
          <w:lang w:val="en-US" w:eastAsia="zh-CN"/>
        </w:rPr>
        <w:t>Skeie</w:t>
      </w:r>
      <w:proofErr w:type="spellEnd"/>
      <w:r w:rsidRPr="00466806">
        <w:rPr>
          <w:rFonts w:ascii="Book Antiqua" w:eastAsia="SimSun" w:hAnsi="Book Antiqua" w:cs="Times New Roman"/>
          <w:kern w:val="2"/>
          <w:sz w:val="24"/>
          <w:szCs w:val="24"/>
          <w:lang w:val="en-US" w:eastAsia="zh-CN"/>
        </w:rPr>
        <w:t xml:space="preserve"> G, </w:t>
      </w:r>
      <w:proofErr w:type="spellStart"/>
      <w:r w:rsidRPr="00466806">
        <w:rPr>
          <w:rFonts w:ascii="Book Antiqua" w:eastAsia="SimSun" w:hAnsi="Book Antiqua" w:cs="Times New Roman"/>
          <w:kern w:val="2"/>
          <w:sz w:val="24"/>
          <w:szCs w:val="24"/>
          <w:lang w:val="en-US" w:eastAsia="zh-CN"/>
        </w:rPr>
        <w:t>Ardanaz</w:t>
      </w:r>
      <w:proofErr w:type="spellEnd"/>
      <w:r w:rsidRPr="00466806">
        <w:rPr>
          <w:rFonts w:ascii="Book Antiqua" w:eastAsia="SimSun" w:hAnsi="Book Antiqua" w:cs="Times New Roman"/>
          <w:kern w:val="2"/>
          <w:sz w:val="24"/>
          <w:szCs w:val="24"/>
          <w:lang w:val="en-US" w:eastAsia="zh-CN"/>
        </w:rPr>
        <w:t xml:space="preserve"> E, Buckland G, </w:t>
      </w:r>
      <w:proofErr w:type="spellStart"/>
      <w:r w:rsidRPr="00466806">
        <w:rPr>
          <w:rFonts w:ascii="Book Antiqua" w:eastAsia="SimSun" w:hAnsi="Book Antiqua" w:cs="Times New Roman"/>
          <w:kern w:val="2"/>
          <w:sz w:val="24"/>
          <w:szCs w:val="24"/>
          <w:lang w:val="en-US" w:eastAsia="zh-CN"/>
        </w:rPr>
        <w:t>Castaño</w:t>
      </w:r>
      <w:proofErr w:type="spellEnd"/>
      <w:r w:rsidRPr="00466806">
        <w:rPr>
          <w:rFonts w:ascii="Book Antiqua" w:eastAsia="SimSun" w:hAnsi="Book Antiqua" w:cs="Times New Roman"/>
          <w:kern w:val="2"/>
          <w:sz w:val="24"/>
          <w:szCs w:val="24"/>
          <w:lang w:val="en-US" w:eastAsia="zh-CN"/>
        </w:rPr>
        <w:t xml:space="preserve"> JM, </w:t>
      </w:r>
      <w:proofErr w:type="spellStart"/>
      <w:r w:rsidRPr="00466806">
        <w:rPr>
          <w:rFonts w:ascii="Book Antiqua" w:eastAsia="SimSun" w:hAnsi="Book Antiqua" w:cs="Times New Roman"/>
          <w:kern w:val="2"/>
          <w:sz w:val="24"/>
          <w:szCs w:val="24"/>
          <w:lang w:val="en-US" w:eastAsia="zh-CN"/>
        </w:rPr>
        <w:t>Quirós</w:t>
      </w:r>
      <w:proofErr w:type="spellEnd"/>
      <w:r w:rsidRPr="00466806">
        <w:rPr>
          <w:rFonts w:ascii="Book Antiqua" w:eastAsia="SimSun" w:hAnsi="Book Antiqua" w:cs="Times New Roman"/>
          <w:kern w:val="2"/>
          <w:sz w:val="24"/>
          <w:szCs w:val="24"/>
          <w:lang w:val="en-US" w:eastAsia="zh-CN"/>
        </w:rPr>
        <w:t xml:space="preserve"> JR, </w:t>
      </w:r>
      <w:proofErr w:type="spellStart"/>
      <w:r w:rsidRPr="00466806">
        <w:rPr>
          <w:rFonts w:ascii="Book Antiqua" w:eastAsia="SimSun" w:hAnsi="Book Antiqua" w:cs="Times New Roman"/>
          <w:kern w:val="2"/>
          <w:sz w:val="24"/>
          <w:szCs w:val="24"/>
          <w:lang w:val="en-US" w:eastAsia="zh-CN"/>
        </w:rPr>
        <w:t>Amiano</w:t>
      </w:r>
      <w:proofErr w:type="spellEnd"/>
      <w:r w:rsidRPr="00466806">
        <w:rPr>
          <w:rFonts w:ascii="Book Antiqua" w:eastAsia="SimSun" w:hAnsi="Book Antiqua" w:cs="Times New Roman"/>
          <w:kern w:val="2"/>
          <w:sz w:val="24"/>
          <w:szCs w:val="24"/>
          <w:lang w:val="en-US" w:eastAsia="zh-CN"/>
        </w:rPr>
        <w:t xml:space="preserve"> P, Molina-Portillo E, </w:t>
      </w:r>
      <w:proofErr w:type="spellStart"/>
      <w:r w:rsidRPr="00466806">
        <w:rPr>
          <w:rFonts w:ascii="Book Antiqua" w:eastAsia="SimSun" w:hAnsi="Book Antiqua" w:cs="Times New Roman"/>
          <w:kern w:val="2"/>
          <w:sz w:val="24"/>
          <w:szCs w:val="24"/>
          <w:lang w:val="en-US" w:eastAsia="zh-CN"/>
        </w:rPr>
        <w:t>Winkvist</w:t>
      </w:r>
      <w:proofErr w:type="spellEnd"/>
      <w:r w:rsidRPr="00466806">
        <w:rPr>
          <w:rFonts w:ascii="Book Antiqua" w:eastAsia="SimSun" w:hAnsi="Book Antiqua" w:cs="Times New Roman"/>
          <w:kern w:val="2"/>
          <w:sz w:val="24"/>
          <w:szCs w:val="24"/>
          <w:lang w:val="en-US" w:eastAsia="zh-CN"/>
        </w:rPr>
        <w:t xml:space="preserve"> A, </w:t>
      </w:r>
      <w:proofErr w:type="spellStart"/>
      <w:r w:rsidRPr="00466806">
        <w:rPr>
          <w:rFonts w:ascii="Book Antiqua" w:eastAsia="SimSun" w:hAnsi="Book Antiqua" w:cs="Times New Roman"/>
          <w:kern w:val="2"/>
          <w:sz w:val="24"/>
          <w:szCs w:val="24"/>
          <w:lang w:val="en-US" w:eastAsia="zh-CN"/>
        </w:rPr>
        <w:t>Myte</w:t>
      </w:r>
      <w:proofErr w:type="spellEnd"/>
      <w:r w:rsidRPr="00466806">
        <w:rPr>
          <w:rFonts w:ascii="Book Antiqua" w:eastAsia="SimSun" w:hAnsi="Book Antiqua" w:cs="Times New Roman"/>
          <w:kern w:val="2"/>
          <w:sz w:val="24"/>
          <w:szCs w:val="24"/>
          <w:lang w:val="en-US" w:eastAsia="zh-CN"/>
        </w:rPr>
        <w:t xml:space="preserve"> R, Ericson U, </w:t>
      </w:r>
      <w:proofErr w:type="spellStart"/>
      <w:r w:rsidRPr="00466806">
        <w:rPr>
          <w:rFonts w:ascii="Book Antiqua" w:eastAsia="SimSun" w:hAnsi="Book Antiqua" w:cs="Times New Roman"/>
          <w:kern w:val="2"/>
          <w:sz w:val="24"/>
          <w:szCs w:val="24"/>
          <w:lang w:val="en-US" w:eastAsia="zh-CN"/>
        </w:rPr>
        <w:t>Sonestedt</w:t>
      </w:r>
      <w:proofErr w:type="spellEnd"/>
      <w:r w:rsidRPr="00466806">
        <w:rPr>
          <w:rFonts w:ascii="Book Antiqua" w:eastAsia="SimSun" w:hAnsi="Book Antiqua" w:cs="Times New Roman"/>
          <w:kern w:val="2"/>
          <w:sz w:val="24"/>
          <w:szCs w:val="24"/>
          <w:lang w:val="en-US" w:eastAsia="zh-CN"/>
        </w:rPr>
        <w:t xml:space="preserve"> E, Perez-</w:t>
      </w:r>
      <w:proofErr w:type="spellStart"/>
      <w:r w:rsidRPr="00466806">
        <w:rPr>
          <w:rFonts w:ascii="Book Antiqua" w:eastAsia="SimSun" w:hAnsi="Book Antiqua" w:cs="Times New Roman"/>
          <w:kern w:val="2"/>
          <w:sz w:val="24"/>
          <w:szCs w:val="24"/>
          <w:lang w:val="en-US" w:eastAsia="zh-CN"/>
        </w:rPr>
        <w:t>Cornago</w:t>
      </w:r>
      <w:proofErr w:type="spellEnd"/>
      <w:r w:rsidRPr="00466806">
        <w:rPr>
          <w:rFonts w:ascii="Book Antiqua" w:eastAsia="SimSun" w:hAnsi="Book Antiqua" w:cs="Times New Roman"/>
          <w:kern w:val="2"/>
          <w:sz w:val="24"/>
          <w:szCs w:val="24"/>
          <w:lang w:val="en-US" w:eastAsia="zh-CN"/>
        </w:rPr>
        <w:t xml:space="preserve"> A, Wareham N, </w:t>
      </w:r>
      <w:proofErr w:type="spellStart"/>
      <w:r w:rsidRPr="00466806">
        <w:rPr>
          <w:rFonts w:ascii="Book Antiqua" w:eastAsia="SimSun" w:hAnsi="Book Antiqua" w:cs="Times New Roman"/>
          <w:kern w:val="2"/>
          <w:sz w:val="24"/>
          <w:szCs w:val="24"/>
          <w:lang w:val="en-US" w:eastAsia="zh-CN"/>
        </w:rPr>
        <w:t>Khaw</w:t>
      </w:r>
      <w:proofErr w:type="spellEnd"/>
      <w:r w:rsidRPr="00466806">
        <w:rPr>
          <w:rFonts w:ascii="Book Antiqua" w:eastAsia="SimSun" w:hAnsi="Book Antiqua" w:cs="Times New Roman"/>
          <w:kern w:val="2"/>
          <w:sz w:val="24"/>
          <w:szCs w:val="24"/>
          <w:lang w:val="en-US" w:eastAsia="zh-CN"/>
        </w:rPr>
        <w:t xml:space="preserve"> KT, </w:t>
      </w:r>
      <w:proofErr w:type="spellStart"/>
      <w:r w:rsidRPr="00466806">
        <w:rPr>
          <w:rFonts w:ascii="Book Antiqua" w:eastAsia="SimSun" w:hAnsi="Book Antiqua" w:cs="Times New Roman"/>
          <w:kern w:val="2"/>
          <w:sz w:val="24"/>
          <w:szCs w:val="24"/>
          <w:lang w:val="en-US" w:eastAsia="zh-CN"/>
        </w:rPr>
        <w:t>Huybrechts</w:t>
      </w:r>
      <w:proofErr w:type="spellEnd"/>
      <w:r w:rsidRPr="00466806">
        <w:rPr>
          <w:rFonts w:ascii="Book Antiqua" w:eastAsia="SimSun" w:hAnsi="Book Antiqua" w:cs="Times New Roman"/>
          <w:kern w:val="2"/>
          <w:sz w:val="24"/>
          <w:szCs w:val="24"/>
          <w:lang w:val="en-US" w:eastAsia="zh-CN"/>
        </w:rPr>
        <w:t xml:space="preserve"> I, </w:t>
      </w:r>
      <w:proofErr w:type="spellStart"/>
      <w:r w:rsidRPr="00466806">
        <w:rPr>
          <w:rFonts w:ascii="Book Antiqua" w:eastAsia="SimSun" w:hAnsi="Book Antiqua" w:cs="Times New Roman"/>
          <w:kern w:val="2"/>
          <w:sz w:val="24"/>
          <w:szCs w:val="24"/>
          <w:lang w:val="en-US" w:eastAsia="zh-CN"/>
        </w:rPr>
        <w:t>Tsilidis</w:t>
      </w:r>
      <w:proofErr w:type="spellEnd"/>
      <w:r w:rsidRPr="00466806">
        <w:rPr>
          <w:rFonts w:ascii="Book Antiqua" w:eastAsia="SimSun" w:hAnsi="Book Antiqua" w:cs="Times New Roman"/>
          <w:kern w:val="2"/>
          <w:sz w:val="24"/>
          <w:szCs w:val="24"/>
          <w:lang w:val="en-US" w:eastAsia="zh-CN"/>
        </w:rPr>
        <w:t xml:space="preserve"> KK, Ward H, Gunter MJ, </w:t>
      </w:r>
      <w:proofErr w:type="spellStart"/>
      <w:r w:rsidRPr="00466806">
        <w:rPr>
          <w:rFonts w:ascii="Book Antiqua" w:eastAsia="SimSun" w:hAnsi="Book Antiqua" w:cs="Times New Roman"/>
          <w:kern w:val="2"/>
          <w:sz w:val="24"/>
          <w:szCs w:val="24"/>
          <w:lang w:val="en-US" w:eastAsia="zh-CN"/>
        </w:rPr>
        <w:t>Slimani</w:t>
      </w:r>
      <w:proofErr w:type="spellEnd"/>
      <w:r w:rsidRPr="00466806">
        <w:rPr>
          <w:rFonts w:ascii="Book Antiqua" w:eastAsia="SimSun" w:hAnsi="Book Antiqua" w:cs="Times New Roman"/>
          <w:kern w:val="2"/>
          <w:sz w:val="24"/>
          <w:szCs w:val="24"/>
          <w:lang w:val="en-US" w:eastAsia="zh-CN"/>
        </w:rPr>
        <w:t xml:space="preserve"> N. Main nutrient patterns and colorectal cancer risk in the European Prospective Investigation into Cancer and Nutrition study.</w:t>
      </w:r>
      <w:proofErr w:type="gramEnd"/>
      <w:r w:rsidRPr="00466806">
        <w:rPr>
          <w:rFonts w:ascii="Book Antiqua" w:eastAsia="SimSun" w:hAnsi="Book Antiqua" w:cs="Times New Roman"/>
          <w:kern w:val="2"/>
          <w:sz w:val="24"/>
          <w:szCs w:val="24"/>
          <w:lang w:val="en-US" w:eastAsia="zh-CN"/>
        </w:rPr>
        <w:t xml:space="preserve"> </w:t>
      </w:r>
      <w:r w:rsidRPr="00466806">
        <w:rPr>
          <w:rFonts w:ascii="Book Antiqua" w:eastAsia="SimSun" w:hAnsi="Book Antiqua" w:cs="Times New Roman"/>
          <w:i/>
          <w:kern w:val="2"/>
          <w:sz w:val="24"/>
          <w:szCs w:val="24"/>
          <w:lang w:val="en-US" w:eastAsia="zh-CN"/>
        </w:rPr>
        <w:t>Br J Cancer</w:t>
      </w:r>
      <w:r w:rsidRPr="00466806">
        <w:rPr>
          <w:rFonts w:ascii="Book Antiqua" w:eastAsia="SimSun" w:hAnsi="Book Antiqua" w:cs="Times New Roman"/>
          <w:kern w:val="2"/>
          <w:sz w:val="24"/>
          <w:szCs w:val="24"/>
          <w:lang w:val="en-US" w:eastAsia="zh-CN"/>
        </w:rPr>
        <w:t xml:space="preserve"> 2016; </w:t>
      </w:r>
      <w:r w:rsidRPr="00466806">
        <w:rPr>
          <w:rFonts w:ascii="Book Antiqua" w:eastAsia="SimSun" w:hAnsi="Book Antiqua" w:cs="Times New Roman"/>
          <w:b/>
          <w:kern w:val="2"/>
          <w:sz w:val="24"/>
          <w:szCs w:val="24"/>
          <w:lang w:val="en-US" w:eastAsia="zh-CN"/>
        </w:rPr>
        <w:t>115</w:t>
      </w:r>
      <w:r w:rsidRPr="00466806">
        <w:rPr>
          <w:rFonts w:ascii="Book Antiqua" w:eastAsia="SimSun" w:hAnsi="Book Antiqua" w:cs="Times New Roman"/>
          <w:kern w:val="2"/>
          <w:sz w:val="24"/>
          <w:szCs w:val="24"/>
          <w:lang w:val="en-US" w:eastAsia="zh-CN"/>
        </w:rPr>
        <w:t>: 1430-1440 [PMID: 27764841 DOI: 10.1038/bjc.2016.334]</w:t>
      </w:r>
    </w:p>
    <w:p w14:paraId="7132F79C"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4 </w:t>
      </w:r>
      <w:proofErr w:type="spellStart"/>
      <w:r w:rsidRPr="00466806">
        <w:rPr>
          <w:rFonts w:ascii="Book Antiqua" w:eastAsia="SimSun" w:hAnsi="Book Antiqua" w:cs="Times New Roman"/>
          <w:b/>
          <w:kern w:val="2"/>
          <w:sz w:val="24"/>
          <w:szCs w:val="24"/>
          <w:lang w:val="en-US" w:eastAsia="zh-CN"/>
        </w:rPr>
        <w:t>Godos</w:t>
      </w:r>
      <w:proofErr w:type="spellEnd"/>
      <w:r w:rsidRPr="00466806">
        <w:rPr>
          <w:rFonts w:ascii="Book Antiqua" w:eastAsia="SimSun" w:hAnsi="Book Antiqua" w:cs="Times New Roman"/>
          <w:b/>
          <w:kern w:val="2"/>
          <w:sz w:val="24"/>
          <w:szCs w:val="24"/>
          <w:lang w:val="en-US" w:eastAsia="zh-CN"/>
        </w:rPr>
        <w:t xml:space="preserve"> J</w:t>
      </w:r>
      <w:r w:rsidRPr="00466806">
        <w:rPr>
          <w:rFonts w:ascii="Book Antiqua" w:eastAsia="SimSun" w:hAnsi="Book Antiqua" w:cs="Times New Roman"/>
          <w:kern w:val="2"/>
          <w:sz w:val="24"/>
          <w:szCs w:val="24"/>
          <w:lang w:val="en-US" w:eastAsia="zh-CN"/>
        </w:rPr>
        <w:t xml:space="preserve">, Bella F, </w:t>
      </w:r>
      <w:proofErr w:type="spellStart"/>
      <w:r w:rsidRPr="00466806">
        <w:rPr>
          <w:rFonts w:ascii="Book Antiqua" w:eastAsia="SimSun" w:hAnsi="Book Antiqua" w:cs="Times New Roman"/>
          <w:kern w:val="2"/>
          <w:sz w:val="24"/>
          <w:szCs w:val="24"/>
          <w:lang w:val="en-US" w:eastAsia="zh-CN"/>
        </w:rPr>
        <w:t>Torrisi</w:t>
      </w:r>
      <w:proofErr w:type="spellEnd"/>
      <w:r w:rsidRPr="00466806">
        <w:rPr>
          <w:rFonts w:ascii="Book Antiqua" w:eastAsia="SimSun" w:hAnsi="Book Antiqua" w:cs="Times New Roman"/>
          <w:kern w:val="2"/>
          <w:sz w:val="24"/>
          <w:szCs w:val="24"/>
          <w:lang w:val="en-US" w:eastAsia="zh-CN"/>
        </w:rPr>
        <w:t xml:space="preserve"> A, Sciacca S, Galvano F, Grosso G. Dietary patterns and risk of colorectal adenoma: a systematic review and meta-analysis of observational studies. </w:t>
      </w:r>
      <w:r w:rsidRPr="00466806">
        <w:rPr>
          <w:rFonts w:ascii="Book Antiqua" w:eastAsia="SimSun" w:hAnsi="Book Antiqua" w:cs="Times New Roman"/>
          <w:i/>
          <w:kern w:val="2"/>
          <w:sz w:val="24"/>
          <w:szCs w:val="24"/>
          <w:lang w:val="en-US" w:eastAsia="zh-CN"/>
        </w:rPr>
        <w:t xml:space="preserve">J Hum </w:t>
      </w:r>
      <w:proofErr w:type="spellStart"/>
      <w:r w:rsidRPr="00466806">
        <w:rPr>
          <w:rFonts w:ascii="Book Antiqua" w:eastAsia="SimSun" w:hAnsi="Book Antiqua" w:cs="Times New Roman"/>
          <w:i/>
          <w:kern w:val="2"/>
          <w:sz w:val="24"/>
          <w:szCs w:val="24"/>
          <w:lang w:val="en-US" w:eastAsia="zh-CN"/>
        </w:rPr>
        <w:t>Nutr</w:t>
      </w:r>
      <w:proofErr w:type="spellEnd"/>
      <w:r w:rsidRPr="00466806">
        <w:rPr>
          <w:rFonts w:ascii="Book Antiqua" w:eastAsia="SimSun" w:hAnsi="Book Antiqua" w:cs="Times New Roman"/>
          <w:i/>
          <w:kern w:val="2"/>
          <w:sz w:val="24"/>
          <w:szCs w:val="24"/>
          <w:lang w:val="en-US" w:eastAsia="zh-CN"/>
        </w:rPr>
        <w:t xml:space="preserve"> Diet</w:t>
      </w:r>
      <w:r w:rsidRPr="00466806">
        <w:rPr>
          <w:rFonts w:ascii="Book Antiqua" w:eastAsia="SimSun" w:hAnsi="Book Antiqua" w:cs="Times New Roman"/>
          <w:kern w:val="2"/>
          <w:sz w:val="24"/>
          <w:szCs w:val="24"/>
          <w:lang w:val="en-US" w:eastAsia="zh-CN"/>
        </w:rPr>
        <w:t xml:space="preserve"> 2016; </w:t>
      </w:r>
      <w:r w:rsidRPr="00466806">
        <w:rPr>
          <w:rFonts w:ascii="Book Antiqua" w:eastAsia="SimSun" w:hAnsi="Book Antiqua" w:cs="Times New Roman"/>
          <w:b/>
          <w:kern w:val="2"/>
          <w:sz w:val="24"/>
          <w:szCs w:val="24"/>
          <w:lang w:val="en-US" w:eastAsia="zh-CN"/>
        </w:rPr>
        <w:t>29</w:t>
      </w:r>
      <w:r w:rsidRPr="00466806">
        <w:rPr>
          <w:rFonts w:ascii="Book Antiqua" w:eastAsia="SimSun" w:hAnsi="Book Antiqua" w:cs="Times New Roman"/>
          <w:kern w:val="2"/>
          <w:sz w:val="24"/>
          <w:szCs w:val="24"/>
          <w:lang w:val="en-US" w:eastAsia="zh-CN"/>
        </w:rPr>
        <w:t>: 757-767 [PMID: 27412573 DOI: 10.1111/jhn.12395]</w:t>
      </w:r>
    </w:p>
    <w:p w14:paraId="4B521AFA"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5</w:t>
      </w:r>
      <w:proofErr w:type="gramEnd"/>
      <w:r w:rsidRPr="00466806">
        <w:rPr>
          <w:rFonts w:ascii="Book Antiqua" w:eastAsia="SimSun" w:hAnsi="Book Antiqua" w:cs="Times New Roman"/>
          <w:kern w:val="2"/>
          <w:sz w:val="24"/>
          <w:szCs w:val="24"/>
          <w:lang w:val="en-US" w:eastAsia="zh-CN"/>
        </w:rPr>
        <w:t xml:space="preserve"> </w:t>
      </w:r>
      <w:r w:rsidRPr="00466806">
        <w:rPr>
          <w:rFonts w:ascii="Book Antiqua" w:eastAsia="SimSun" w:hAnsi="Book Antiqua" w:cs="Times New Roman"/>
          <w:b/>
          <w:kern w:val="2"/>
          <w:sz w:val="24"/>
          <w:szCs w:val="24"/>
          <w:lang w:val="en-US" w:eastAsia="zh-CN"/>
        </w:rPr>
        <w:t>Feng YL</w:t>
      </w:r>
      <w:r w:rsidRPr="00466806">
        <w:rPr>
          <w:rFonts w:ascii="Book Antiqua" w:eastAsia="SimSun" w:hAnsi="Book Antiqua" w:cs="Times New Roman"/>
          <w:kern w:val="2"/>
          <w:sz w:val="24"/>
          <w:szCs w:val="24"/>
          <w:lang w:val="en-US" w:eastAsia="zh-CN"/>
        </w:rPr>
        <w:t xml:space="preserve">, Shu L, Zheng PF, Zhang XY, Si CJ, Yu XL, Gao W, Zhang L. Dietary patterns and colorectal cancer risk: a meta-analysis. </w:t>
      </w:r>
      <w:proofErr w:type="spellStart"/>
      <w:r w:rsidRPr="00466806">
        <w:rPr>
          <w:rFonts w:ascii="Book Antiqua" w:eastAsia="SimSun" w:hAnsi="Book Antiqua" w:cs="Times New Roman"/>
          <w:i/>
          <w:kern w:val="2"/>
          <w:sz w:val="24"/>
          <w:szCs w:val="24"/>
          <w:lang w:val="en-US" w:eastAsia="zh-CN"/>
        </w:rPr>
        <w:t>Eur</w:t>
      </w:r>
      <w:proofErr w:type="spellEnd"/>
      <w:r w:rsidRPr="00466806">
        <w:rPr>
          <w:rFonts w:ascii="Book Antiqua" w:eastAsia="SimSun" w:hAnsi="Book Antiqua" w:cs="Times New Roman"/>
          <w:i/>
          <w:kern w:val="2"/>
          <w:sz w:val="24"/>
          <w:szCs w:val="24"/>
          <w:lang w:val="en-US" w:eastAsia="zh-CN"/>
        </w:rPr>
        <w:t xml:space="preserve"> J Cancer </w:t>
      </w:r>
      <w:proofErr w:type="spellStart"/>
      <w:r w:rsidRPr="00466806">
        <w:rPr>
          <w:rFonts w:ascii="Book Antiqua" w:eastAsia="SimSun" w:hAnsi="Book Antiqua" w:cs="Times New Roman"/>
          <w:i/>
          <w:kern w:val="2"/>
          <w:sz w:val="24"/>
          <w:szCs w:val="24"/>
          <w:lang w:val="en-US" w:eastAsia="zh-CN"/>
        </w:rPr>
        <w:t>Prev</w:t>
      </w:r>
      <w:proofErr w:type="spellEnd"/>
      <w:r w:rsidRPr="00466806">
        <w:rPr>
          <w:rFonts w:ascii="Book Antiqua" w:eastAsia="SimSun" w:hAnsi="Book Antiqua" w:cs="Times New Roman"/>
          <w:kern w:val="2"/>
          <w:sz w:val="24"/>
          <w:szCs w:val="24"/>
          <w:lang w:val="en-US" w:eastAsia="zh-CN"/>
        </w:rPr>
        <w:t xml:space="preserve"> 2017; </w:t>
      </w:r>
      <w:r w:rsidRPr="00466806">
        <w:rPr>
          <w:rFonts w:ascii="Book Antiqua" w:eastAsia="SimSun" w:hAnsi="Book Antiqua" w:cs="Times New Roman"/>
          <w:b/>
          <w:kern w:val="2"/>
          <w:sz w:val="24"/>
          <w:szCs w:val="24"/>
          <w:lang w:val="en-US" w:eastAsia="zh-CN"/>
        </w:rPr>
        <w:t>26</w:t>
      </w:r>
      <w:r w:rsidRPr="00466806">
        <w:rPr>
          <w:rFonts w:ascii="Book Antiqua" w:eastAsia="SimSun" w:hAnsi="Book Antiqua" w:cs="Times New Roman"/>
          <w:kern w:val="2"/>
          <w:sz w:val="24"/>
          <w:szCs w:val="24"/>
          <w:lang w:val="en-US" w:eastAsia="zh-CN"/>
        </w:rPr>
        <w:t>: 201-211 [PMID: 26945285 DOI: 10.1097/CEJ.0000000000000245]</w:t>
      </w:r>
    </w:p>
    <w:p w14:paraId="27E1B3AD"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6 </w:t>
      </w:r>
      <w:r w:rsidRPr="00466806">
        <w:rPr>
          <w:rFonts w:ascii="Book Antiqua" w:eastAsia="SimSun" w:hAnsi="Book Antiqua" w:cs="Times New Roman"/>
          <w:b/>
          <w:kern w:val="2"/>
          <w:sz w:val="24"/>
          <w:szCs w:val="24"/>
          <w:lang w:val="en-US" w:eastAsia="zh-CN"/>
        </w:rPr>
        <w:t>van Meer S</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Leufkens</w:t>
      </w:r>
      <w:proofErr w:type="spellEnd"/>
      <w:r w:rsidRPr="00466806">
        <w:rPr>
          <w:rFonts w:ascii="Book Antiqua" w:eastAsia="SimSun" w:hAnsi="Book Antiqua" w:cs="Times New Roman"/>
          <w:kern w:val="2"/>
          <w:sz w:val="24"/>
          <w:szCs w:val="24"/>
          <w:lang w:val="en-US" w:eastAsia="zh-CN"/>
        </w:rPr>
        <w:t xml:space="preserve"> AM, Bueno-de-</w:t>
      </w:r>
      <w:proofErr w:type="spellStart"/>
      <w:r w:rsidRPr="00466806">
        <w:rPr>
          <w:rFonts w:ascii="Book Antiqua" w:eastAsia="SimSun" w:hAnsi="Book Antiqua" w:cs="Times New Roman"/>
          <w:kern w:val="2"/>
          <w:sz w:val="24"/>
          <w:szCs w:val="24"/>
          <w:lang w:val="en-US" w:eastAsia="zh-CN"/>
        </w:rPr>
        <w:t>Mesquita</w:t>
      </w:r>
      <w:proofErr w:type="spellEnd"/>
      <w:r w:rsidRPr="00466806">
        <w:rPr>
          <w:rFonts w:ascii="Book Antiqua" w:eastAsia="SimSun" w:hAnsi="Book Antiqua" w:cs="Times New Roman"/>
          <w:kern w:val="2"/>
          <w:sz w:val="24"/>
          <w:szCs w:val="24"/>
          <w:lang w:val="en-US" w:eastAsia="zh-CN"/>
        </w:rPr>
        <w:t xml:space="preserve"> HB, van </w:t>
      </w:r>
      <w:proofErr w:type="spellStart"/>
      <w:r w:rsidRPr="00466806">
        <w:rPr>
          <w:rFonts w:ascii="Book Antiqua" w:eastAsia="SimSun" w:hAnsi="Book Antiqua" w:cs="Times New Roman"/>
          <w:kern w:val="2"/>
          <w:sz w:val="24"/>
          <w:szCs w:val="24"/>
          <w:lang w:val="en-US" w:eastAsia="zh-CN"/>
        </w:rPr>
        <w:t>Duijnhoven</w:t>
      </w:r>
      <w:proofErr w:type="spellEnd"/>
      <w:r w:rsidRPr="00466806">
        <w:rPr>
          <w:rFonts w:ascii="Book Antiqua" w:eastAsia="SimSun" w:hAnsi="Book Antiqua" w:cs="Times New Roman"/>
          <w:kern w:val="2"/>
          <w:sz w:val="24"/>
          <w:szCs w:val="24"/>
          <w:lang w:val="en-US" w:eastAsia="zh-CN"/>
        </w:rPr>
        <w:t xml:space="preserve"> FJ, van </w:t>
      </w:r>
      <w:proofErr w:type="spellStart"/>
      <w:r w:rsidRPr="00466806">
        <w:rPr>
          <w:rFonts w:ascii="Book Antiqua" w:eastAsia="SimSun" w:hAnsi="Book Antiqua" w:cs="Times New Roman"/>
          <w:kern w:val="2"/>
          <w:sz w:val="24"/>
          <w:szCs w:val="24"/>
          <w:lang w:val="en-US" w:eastAsia="zh-CN"/>
        </w:rPr>
        <w:t>Oijen</w:t>
      </w:r>
      <w:proofErr w:type="spellEnd"/>
      <w:r w:rsidRPr="00466806">
        <w:rPr>
          <w:rFonts w:ascii="Book Antiqua" w:eastAsia="SimSun" w:hAnsi="Book Antiqua" w:cs="Times New Roman"/>
          <w:kern w:val="2"/>
          <w:sz w:val="24"/>
          <w:szCs w:val="24"/>
          <w:lang w:val="en-US" w:eastAsia="zh-CN"/>
        </w:rPr>
        <w:t xml:space="preserve"> MG, </w:t>
      </w:r>
      <w:proofErr w:type="spellStart"/>
      <w:r w:rsidRPr="00466806">
        <w:rPr>
          <w:rFonts w:ascii="Book Antiqua" w:eastAsia="SimSun" w:hAnsi="Book Antiqua" w:cs="Times New Roman"/>
          <w:kern w:val="2"/>
          <w:sz w:val="24"/>
          <w:szCs w:val="24"/>
          <w:lang w:val="en-US" w:eastAsia="zh-CN"/>
        </w:rPr>
        <w:t>Siersema</w:t>
      </w:r>
      <w:proofErr w:type="spellEnd"/>
      <w:r w:rsidRPr="00466806">
        <w:rPr>
          <w:rFonts w:ascii="Book Antiqua" w:eastAsia="SimSun" w:hAnsi="Book Antiqua" w:cs="Times New Roman"/>
          <w:kern w:val="2"/>
          <w:sz w:val="24"/>
          <w:szCs w:val="24"/>
          <w:lang w:val="en-US" w:eastAsia="zh-CN"/>
        </w:rPr>
        <w:t xml:space="preserve"> PD. Role of dietary factors in survival and mortality in colorectal cancer: a systematic review. </w:t>
      </w:r>
      <w:proofErr w:type="spellStart"/>
      <w:r w:rsidRPr="00466806">
        <w:rPr>
          <w:rFonts w:ascii="Book Antiqua" w:eastAsia="SimSun" w:hAnsi="Book Antiqua" w:cs="Times New Roman"/>
          <w:i/>
          <w:kern w:val="2"/>
          <w:sz w:val="24"/>
          <w:szCs w:val="24"/>
          <w:lang w:val="en-US" w:eastAsia="zh-CN"/>
        </w:rPr>
        <w:t>Nutr</w:t>
      </w:r>
      <w:proofErr w:type="spellEnd"/>
      <w:r w:rsidRPr="00466806">
        <w:rPr>
          <w:rFonts w:ascii="Book Antiqua" w:eastAsia="SimSun" w:hAnsi="Book Antiqua" w:cs="Times New Roman"/>
          <w:i/>
          <w:kern w:val="2"/>
          <w:sz w:val="24"/>
          <w:szCs w:val="24"/>
          <w:lang w:val="en-US" w:eastAsia="zh-CN"/>
        </w:rPr>
        <w:t xml:space="preserve"> Rev</w:t>
      </w:r>
      <w:r w:rsidRPr="00466806">
        <w:rPr>
          <w:rFonts w:ascii="Book Antiqua" w:eastAsia="SimSun" w:hAnsi="Book Antiqua" w:cs="Times New Roman"/>
          <w:kern w:val="2"/>
          <w:sz w:val="24"/>
          <w:szCs w:val="24"/>
          <w:lang w:val="en-US" w:eastAsia="zh-CN"/>
        </w:rPr>
        <w:t xml:space="preserve"> 2013; </w:t>
      </w:r>
      <w:r w:rsidRPr="00466806">
        <w:rPr>
          <w:rFonts w:ascii="Book Antiqua" w:eastAsia="SimSun" w:hAnsi="Book Antiqua" w:cs="Times New Roman"/>
          <w:b/>
          <w:kern w:val="2"/>
          <w:sz w:val="24"/>
          <w:szCs w:val="24"/>
          <w:lang w:val="en-US" w:eastAsia="zh-CN"/>
        </w:rPr>
        <w:t>71</w:t>
      </w:r>
      <w:r w:rsidRPr="00466806">
        <w:rPr>
          <w:rFonts w:ascii="Book Antiqua" w:eastAsia="SimSun" w:hAnsi="Book Antiqua" w:cs="Times New Roman"/>
          <w:kern w:val="2"/>
          <w:sz w:val="24"/>
          <w:szCs w:val="24"/>
          <w:lang w:val="en-US" w:eastAsia="zh-CN"/>
        </w:rPr>
        <w:t>: 631-641 [PMID: 24032367 DOI: 10.1111/nure.12042]</w:t>
      </w:r>
    </w:p>
    <w:p w14:paraId="18B6B8EF"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7 </w:t>
      </w:r>
      <w:proofErr w:type="spellStart"/>
      <w:r w:rsidRPr="00466806">
        <w:rPr>
          <w:rFonts w:ascii="Book Antiqua" w:eastAsia="SimSun" w:hAnsi="Book Antiqua" w:cs="Times New Roman"/>
          <w:b/>
          <w:kern w:val="2"/>
          <w:sz w:val="24"/>
          <w:szCs w:val="24"/>
          <w:lang w:val="en-US" w:eastAsia="zh-CN"/>
        </w:rPr>
        <w:t>Kushi</w:t>
      </w:r>
      <w:proofErr w:type="spellEnd"/>
      <w:r w:rsidRPr="00466806">
        <w:rPr>
          <w:rFonts w:ascii="Book Antiqua" w:eastAsia="SimSun" w:hAnsi="Book Antiqua" w:cs="Times New Roman"/>
          <w:b/>
          <w:kern w:val="2"/>
          <w:sz w:val="24"/>
          <w:szCs w:val="24"/>
          <w:lang w:val="en-US" w:eastAsia="zh-CN"/>
        </w:rPr>
        <w:t xml:space="preserve"> LH</w:t>
      </w:r>
      <w:r w:rsidRPr="00466806">
        <w:rPr>
          <w:rFonts w:ascii="Book Antiqua" w:eastAsia="SimSun" w:hAnsi="Book Antiqua" w:cs="Times New Roman"/>
          <w:kern w:val="2"/>
          <w:sz w:val="24"/>
          <w:szCs w:val="24"/>
          <w:lang w:val="en-US" w:eastAsia="zh-CN"/>
        </w:rPr>
        <w:t>, Doyle C, McCullough M, Rock CL, Demark-</w:t>
      </w:r>
      <w:proofErr w:type="spellStart"/>
      <w:r w:rsidRPr="00466806">
        <w:rPr>
          <w:rFonts w:ascii="Book Antiqua" w:eastAsia="SimSun" w:hAnsi="Book Antiqua" w:cs="Times New Roman"/>
          <w:kern w:val="2"/>
          <w:sz w:val="24"/>
          <w:szCs w:val="24"/>
          <w:lang w:val="en-US" w:eastAsia="zh-CN"/>
        </w:rPr>
        <w:t>Wahnefried</w:t>
      </w:r>
      <w:proofErr w:type="spellEnd"/>
      <w:r w:rsidRPr="00466806">
        <w:rPr>
          <w:rFonts w:ascii="Book Antiqua" w:eastAsia="SimSun" w:hAnsi="Book Antiqua" w:cs="Times New Roman"/>
          <w:kern w:val="2"/>
          <w:sz w:val="24"/>
          <w:szCs w:val="24"/>
          <w:lang w:val="en-US" w:eastAsia="zh-CN"/>
        </w:rPr>
        <w:t xml:space="preserve"> W, Bandera EV, </w:t>
      </w:r>
      <w:proofErr w:type="spellStart"/>
      <w:r w:rsidRPr="00466806">
        <w:rPr>
          <w:rFonts w:ascii="Book Antiqua" w:eastAsia="SimSun" w:hAnsi="Book Antiqua" w:cs="Times New Roman"/>
          <w:kern w:val="2"/>
          <w:sz w:val="24"/>
          <w:szCs w:val="24"/>
          <w:lang w:val="en-US" w:eastAsia="zh-CN"/>
        </w:rPr>
        <w:t>Gapstur</w:t>
      </w:r>
      <w:proofErr w:type="spellEnd"/>
      <w:r w:rsidRPr="00466806">
        <w:rPr>
          <w:rFonts w:ascii="Book Antiqua" w:eastAsia="SimSun" w:hAnsi="Book Antiqua" w:cs="Times New Roman"/>
          <w:kern w:val="2"/>
          <w:sz w:val="24"/>
          <w:szCs w:val="24"/>
          <w:lang w:val="en-US" w:eastAsia="zh-CN"/>
        </w:rPr>
        <w:t xml:space="preserve"> S, Patel AV, Andrews K, </w:t>
      </w:r>
      <w:proofErr w:type="spellStart"/>
      <w:r w:rsidRPr="00466806">
        <w:rPr>
          <w:rFonts w:ascii="Book Antiqua" w:eastAsia="SimSun" w:hAnsi="Book Antiqua" w:cs="Times New Roman"/>
          <w:kern w:val="2"/>
          <w:sz w:val="24"/>
          <w:szCs w:val="24"/>
          <w:lang w:val="en-US" w:eastAsia="zh-CN"/>
        </w:rPr>
        <w:t>Gansler</w:t>
      </w:r>
      <w:proofErr w:type="spellEnd"/>
      <w:r w:rsidRPr="00466806">
        <w:rPr>
          <w:rFonts w:ascii="Book Antiqua" w:eastAsia="SimSun" w:hAnsi="Book Antiqua" w:cs="Times New Roman"/>
          <w:kern w:val="2"/>
          <w:sz w:val="24"/>
          <w:szCs w:val="24"/>
          <w:lang w:val="en-US" w:eastAsia="zh-CN"/>
        </w:rPr>
        <w:t xml:space="preserve"> T; American Cancer Society 2010 Nutrition and Physical Activity Guidelines Advisory Committee. American Cancer Society Guidelines on nutrition and physical activity for cancer prevention: reducing the risk of cancer with </w:t>
      </w:r>
      <w:r w:rsidRPr="00466806">
        <w:rPr>
          <w:rFonts w:ascii="Book Antiqua" w:eastAsia="SimSun" w:hAnsi="Book Antiqua" w:cs="Times New Roman"/>
          <w:kern w:val="2"/>
          <w:sz w:val="24"/>
          <w:szCs w:val="24"/>
          <w:lang w:val="en-US" w:eastAsia="zh-CN"/>
        </w:rPr>
        <w:lastRenderedPageBreak/>
        <w:t xml:space="preserve">healthy food choices and physical activity. </w:t>
      </w:r>
      <w:r w:rsidRPr="00466806">
        <w:rPr>
          <w:rFonts w:ascii="Book Antiqua" w:eastAsia="SimSun" w:hAnsi="Book Antiqua" w:cs="Times New Roman"/>
          <w:i/>
          <w:kern w:val="2"/>
          <w:sz w:val="24"/>
          <w:szCs w:val="24"/>
          <w:lang w:val="en-US" w:eastAsia="zh-CN"/>
        </w:rPr>
        <w:t xml:space="preserve">CA Cancer J </w:t>
      </w:r>
      <w:proofErr w:type="spellStart"/>
      <w:r w:rsidRPr="00466806">
        <w:rPr>
          <w:rFonts w:ascii="Book Antiqua" w:eastAsia="SimSun" w:hAnsi="Book Antiqua" w:cs="Times New Roman"/>
          <w:i/>
          <w:kern w:val="2"/>
          <w:sz w:val="24"/>
          <w:szCs w:val="24"/>
          <w:lang w:val="en-US" w:eastAsia="zh-CN"/>
        </w:rPr>
        <w:t>Clin</w:t>
      </w:r>
      <w:proofErr w:type="spellEnd"/>
      <w:r w:rsidRPr="00466806">
        <w:rPr>
          <w:rFonts w:ascii="Book Antiqua" w:eastAsia="SimSun" w:hAnsi="Book Antiqua" w:cs="Times New Roman"/>
          <w:kern w:val="2"/>
          <w:sz w:val="24"/>
          <w:szCs w:val="24"/>
          <w:lang w:val="en-US" w:eastAsia="zh-CN"/>
        </w:rPr>
        <w:t xml:space="preserve"> 2012; </w:t>
      </w:r>
      <w:r w:rsidRPr="00466806">
        <w:rPr>
          <w:rFonts w:ascii="Book Antiqua" w:eastAsia="SimSun" w:hAnsi="Book Antiqua" w:cs="Times New Roman"/>
          <w:b/>
          <w:kern w:val="2"/>
          <w:sz w:val="24"/>
          <w:szCs w:val="24"/>
          <w:lang w:val="en-US" w:eastAsia="zh-CN"/>
        </w:rPr>
        <w:t>62</w:t>
      </w:r>
      <w:r w:rsidRPr="00466806">
        <w:rPr>
          <w:rFonts w:ascii="Book Antiqua" w:eastAsia="SimSun" w:hAnsi="Book Antiqua" w:cs="Times New Roman"/>
          <w:kern w:val="2"/>
          <w:sz w:val="24"/>
          <w:szCs w:val="24"/>
          <w:lang w:val="en-US" w:eastAsia="zh-CN"/>
        </w:rPr>
        <w:t>: 30-67 [PMID: 22237782 DOI: 10.3322/caac.20140]</w:t>
      </w:r>
    </w:p>
    <w:p w14:paraId="34E16E6F"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8</w:t>
      </w:r>
      <w:proofErr w:type="gramEnd"/>
      <w:r w:rsidRPr="00466806">
        <w:rPr>
          <w:rFonts w:ascii="Book Antiqua" w:eastAsia="SimSun" w:hAnsi="Book Antiqua" w:cs="Times New Roman"/>
          <w:kern w:val="2"/>
          <w:sz w:val="24"/>
          <w:szCs w:val="24"/>
          <w:lang w:val="en-US" w:eastAsia="zh-CN"/>
        </w:rPr>
        <w:t xml:space="preserve"> </w:t>
      </w:r>
      <w:r w:rsidRPr="00466806">
        <w:rPr>
          <w:rFonts w:ascii="Book Antiqua" w:eastAsia="SimSun" w:hAnsi="Book Antiqua" w:cs="Times New Roman"/>
          <w:b/>
          <w:kern w:val="2"/>
          <w:sz w:val="24"/>
          <w:szCs w:val="24"/>
          <w:lang w:val="en-US" w:eastAsia="zh-CN"/>
        </w:rPr>
        <w:t>Lee DH</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Keum</w:t>
      </w:r>
      <w:proofErr w:type="spellEnd"/>
      <w:r w:rsidRPr="00466806">
        <w:rPr>
          <w:rFonts w:ascii="Book Antiqua" w:eastAsia="SimSun" w:hAnsi="Book Antiqua" w:cs="Times New Roman"/>
          <w:kern w:val="2"/>
          <w:sz w:val="24"/>
          <w:szCs w:val="24"/>
          <w:lang w:val="en-US" w:eastAsia="zh-CN"/>
        </w:rPr>
        <w:t xml:space="preserve"> N, </w:t>
      </w:r>
      <w:proofErr w:type="spellStart"/>
      <w:r w:rsidRPr="00466806">
        <w:rPr>
          <w:rFonts w:ascii="Book Antiqua" w:eastAsia="SimSun" w:hAnsi="Book Antiqua" w:cs="Times New Roman"/>
          <w:kern w:val="2"/>
          <w:sz w:val="24"/>
          <w:szCs w:val="24"/>
          <w:lang w:val="en-US" w:eastAsia="zh-CN"/>
        </w:rPr>
        <w:t>Giovannucci</w:t>
      </w:r>
      <w:proofErr w:type="spellEnd"/>
      <w:r w:rsidRPr="00466806">
        <w:rPr>
          <w:rFonts w:ascii="Book Antiqua" w:eastAsia="SimSun" w:hAnsi="Book Antiqua" w:cs="Times New Roman"/>
          <w:kern w:val="2"/>
          <w:sz w:val="24"/>
          <w:szCs w:val="24"/>
          <w:lang w:val="en-US" w:eastAsia="zh-CN"/>
        </w:rPr>
        <w:t xml:space="preserve"> EL. Colorectal Cancer Epidemiology in the Nurses' Health Study.</w:t>
      </w:r>
      <w:r w:rsidRPr="00466806">
        <w:rPr>
          <w:rFonts w:ascii="Book Antiqua" w:eastAsia="SimSun" w:hAnsi="Book Antiqua" w:cs="Times New Roman" w:hint="eastAsia"/>
          <w:kern w:val="2"/>
          <w:sz w:val="24"/>
          <w:szCs w:val="24"/>
          <w:lang w:val="en-US" w:eastAsia="zh-CN"/>
        </w:rPr>
        <w:t xml:space="preserve"> </w:t>
      </w:r>
      <w:r w:rsidRPr="00466806">
        <w:rPr>
          <w:rFonts w:ascii="Book Antiqua" w:eastAsia="SimSun" w:hAnsi="Book Antiqua" w:cs="Times New Roman"/>
          <w:i/>
          <w:kern w:val="2"/>
          <w:sz w:val="24"/>
          <w:szCs w:val="24"/>
          <w:lang w:val="en-US" w:eastAsia="zh-CN"/>
        </w:rPr>
        <w:t>Am J Public Health</w:t>
      </w:r>
      <w:r w:rsidRPr="00466806">
        <w:rPr>
          <w:rFonts w:ascii="Book Antiqua" w:eastAsia="SimSun" w:hAnsi="Book Antiqua" w:cs="Times New Roman"/>
          <w:kern w:val="2"/>
          <w:sz w:val="24"/>
          <w:szCs w:val="24"/>
          <w:lang w:val="en-US" w:eastAsia="zh-CN"/>
        </w:rPr>
        <w:t xml:space="preserve"> 2016</w:t>
      </w:r>
      <w:proofErr w:type="gramStart"/>
      <w:r w:rsidRPr="00466806">
        <w:rPr>
          <w:rFonts w:ascii="Book Antiqua" w:eastAsia="SimSun" w:hAnsi="Book Antiqua" w:cs="Times New Roman"/>
          <w:kern w:val="2"/>
          <w:sz w:val="24"/>
          <w:szCs w:val="24"/>
          <w:lang w:val="en-US" w:eastAsia="zh-CN"/>
        </w:rPr>
        <w:t>;</w:t>
      </w:r>
      <w:proofErr w:type="gramEnd"/>
      <w:r w:rsidRPr="00466806">
        <w:rPr>
          <w:rFonts w:ascii="Book Antiqua" w:eastAsia="SimSun" w:hAnsi="Book Antiqua" w:cs="Times New Roman"/>
          <w:kern w:val="2"/>
          <w:sz w:val="24"/>
          <w:szCs w:val="24"/>
          <w:lang w:val="en-US" w:eastAsia="zh-CN"/>
        </w:rPr>
        <w:t xml:space="preserve"> </w:t>
      </w:r>
      <w:r w:rsidRPr="00466806">
        <w:rPr>
          <w:rFonts w:ascii="Book Antiqua" w:eastAsia="SimSun" w:hAnsi="Book Antiqua" w:cs="Times New Roman"/>
          <w:b/>
          <w:kern w:val="2"/>
          <w:sz w:val="24"/>
          <w:szCs w:val="24"/>
          <w:lang w:val="en-US" w:eastAsia="zh-CN"/>
        </w:rPr>
        <w:t>106</w:t>
      </w:r>
      <w:r w:rsidRPr="00466806">
        <w:rPr>
          <w:rFonts w:ascii="Book Antiqua" w:eastAsia="SimSun" w:hAnsi="Book Antiqua" w:cs="Times New Roman"/>
          <w:kern w:val="2"/>
          <w:sz w:val="24"/>
          <w:szCs w:val="24"/>
          <w:lang w:val="en-US" w:eastAsia="zh-CN"/>
        </w:rPr>
        <w:t>: 1599-1607 [PMID: 27459444 DOI: 10.2105/AJPH.2016.303320]</w:t>
      </w:r>
    </w:p>
    <w:p w14:paraId="47566859"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9 </w:t>
      </w:r>
      <w:proofErr w:type="spellStart"/>
      <w:r w:rsidRPr="00466806">
        <w:rPr>
          <w:rFonts w:ascii="Book Antiqua" w:eastAsia="SimSun" w:hAnsi="Book Antiqua" w:cs="Times New Roman"/>
          <w:b/>
          <w:kern w:val="2"/>
          <w:sz w:val="24"/>
          <w:szCs w:val="24"/>
          <w:lang w:val="en-US" w:eastAsia="zh-CN"/>
        </w:rPr>
        <w:t>Ekmekcioglu</w:t>
      </w:r>
      <w:proofErr w:type="spellEnd"/>
      <w:r w:rsidRPr="00466806">
        <w:rPr>
          <w:rFonts w:ascii="Book Antiqua" w:eastAsia="SimSun" w:hAnsi="Book Antiqua" w:cs="Times New Roman"/>
          <w:b/>
          <w:kern w:val="2"/>
          <w:sz w:val="24"/>
          <w:szCs w:val="24"/>
          <w:lang w:val="en-US" w:eastAsia="zh-CN"/>
        </w:rPr>
        <w:t xml:space="preserve"> C</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Wallner</w:t>
      </w:r>
      <w:proofErr w:type="spellEnd"/>
      <w:r w:rsidRPr="00466806">
        <w:rPr>
          <w:rFonts w:ascii="Book Antiqua" w:eastAsia="SimSun" w:hAnsi="Book Antiqua" w:cs="Times New Roman"/>
          <w:kern w:val="2"/>
          <w:sz w:val="24"/>
          <w:szCs w:val="24"/>
          <w:lang w:val="en-US" w:eastAsia="zh-CN"/>
        </w:rPr>
        <w:t xml:space="preserve"> P, </w:t>
      </w:r>
      <w:proofErr w:type="spellStart"/>
      <w:r w:rsidRPr="00466806">
        <w:rPr>
          <w:rFonts w:ascii="Book Antiqua" w:eastAsia="SimSun" w:hAnsi="Book Antiqua" w:cs="Times New Roman"/>
          <w:kern w:val="2"/>
          <w:sz w:val="24"/>
          <w:szCs w:val="24"/>
          <w:lang w:val="en-US" w:eastAsia="zh-CN"/>
        </w:rPr>
        <w:t>Kundi</w:t>
      </w:r>
      <w:proofErr w:type="spellEnd"/>
      <w:r w:rsidRPr="00466806">
        <w:rPr>
          <w:rFonts w:ascii="Book Antiqua" w:eastAsia="SimSun" w:hAnsi="Book Antiqua" w:cs="Times New Roman"/>
          <w:kern w:val="2"/>
          <w:sz w:val="24"/>
          <w:szCs w:val="24"/>
          <w:lang w:val="en-US" w:eastAsia="zh-CN"/>
        </w:rPr>
        <w:t xml:space="preserve"> M, Weisz U, Haas W, </w:t>
      </w:r>
      <w:proofErr w:type="spellStart"/>
      <w:r w:rsidRPr="00466806">
        <w:rPr>
          <w:rFonts w:ascii="Book Antiqua" w:eastAsia="SimSun" w:hAnsi="Book Antiqua" w:cs="Times New Roman"/>
          <w:kern w:val="2"/>
          <w:sz w:val="24"/>
          <w:szCs w:val="24"/>
          <w:lang w:val="en-US" w:eastAsia="zh-CN"/>
        </w:rPr>
        <w:t>Hutter</w:t>
      </w:r>
      <w:proofErr w:type="spellEnd"/>
      <w:r w:rsidRPr="00466806">
        <w:rPr>
          <w:rFonts w:ascii="Book Antiqua" w:eastAsia="SimSun" w:hAnsi="Book Antiqua" w:cs="Times New Roman"/>
          <w:kern w:val="2"/>
          <w:sz w:val="24"/>
          <w:szCs w:val="24"/>
          <w:lang w:val="en-US" w:eastAsia="zh-CN"/>
        </w:rPr>
        <w:t xml:space="preserve"> HP. Red meat, diseases, and healthy alternatives: A critical review. </w:t>
      </w:r>
      <w:proofErr w:type="spellStart"/>
      <w:r w:rsidRPr="00466806">
        <w:rPr>
          <w:rFonts w:ascii="Book Antiqua" w:eastAsia="SimSun" w:hAnsi="Book Antiqua" w:cs="Times New Roman"/>
          <w:i/>
          <w:kern w:val="2"/>
          <w:sz w:val="24"/>
          <w:szCs w:val="24"/>
          <w:lang w:val="en-US" w:eastAsia="zh-CN"/>
        </w:rPr>
        <w:t>Crit</w:t>
      </w:r>
      <w:proofErr w:type="spellEnd"/>
      <w:r w:rsidRPr="00466806">
        <w:rPr>
          <w:rFonts w:ascii="Book Antiqua" w:eastAsia="SimSun" w:hAnsi="Book Antiqua" w:cs="Times New Roman"/>
          <w:i/>
          <w:kern w:val="2"/>
          <w:sz w:val="24"/>
          <w:szCs w:val="24"/>
          <w:lang w:val="en-US" w:eastAsia="zh-CN"/>
        </w:rPr>
        <w:t xml:space="preserve"> Rev Food </w:t>
      </w:r>
      <w:proofErr w:type="spellStart"/>
      <w:r w:rsidRPr="00466806">
        <w:rPr>
          <w:rFonts w:ascii="Book Antiqua" w:eastAsia="SimSun" w:hAnsi="Book Antiqua" w:cs="Times New Roman"/>
          <w:i/>
          <w:kern w:val="2"/>
          <w:sz w:val="24"/>
          <w:szCs w:val="24"/>
          <w:lang w:val="en-US" w:eastAsia="zh-CN"/>
        </w:rPr>
        <w:t>Sci</w:t>
      </w:r>
      <w:proofErr w:type="spellEnd"/>
      <w:r w:rsidRPr="00466806">
        <w:rPr>
          <w:rFonts w:ascii="Book Antiqua" w:eastAsia="SimSun" w:hAnsi="Book Antiqua" w:cs="Times New Roman"/>
          <w:i/>
          <w:kern w:val="2"/>
          <w:sz w:val="24"/>
          <w:szCs w:val="24"/>
          <w:lang w:val="en-US" w:eastAsia="zh-CN"/>
        </w:rPr>
        <w:t xml:space="preserve"> </w:t>
      </w:r>
      <w:proofErr w:type="spellStart"/>
      <w:r w:rsidRPr="00466806">
        <w:rPr>
          <w:rFonts w:ascii="Book Antiqua" w:eastAsia="SimSun" w:hAnsi="Book Antiqua" w:cs="Times New Roman"/>
          <w:i/>
          <w:kern w:val="2"/>
          <w:sz w:val="24"/>
          <w:szCs w:val="24"/>
          <w:lang w:val="en-US" w:eastAsia="zh-CN"/>
        </w:rPr>
        <w:t>Nutr</w:t>
      </w:r>
      <w:proofErr w:type="spellEnd"/>
      <w:r w:rsidRPr="00466806">
        <w:rPr>
          <w:rFonts w:ascii="Book Antiqua" w:eastAsia="SimSun" w:hAnsi="Book Antiqua" w:cs="Times New Roman"/>
          <w:kern w:val="2"/>
          <w:sz w:val="24"/>
          <w:szCs w:val="24"/>
          <w:lang w:val="en-US" w:eastAsia="zh-CN"/>
        </w:rPr>
        <w:t xml:space="preserve"> 2018; </w:t>
      </w:r>
      <w:r w:rsidRPr="00466806">
        <w:rPr>
          <w:rFonts w:ascii="Book Antiqua" w:eastAsia="SimSun" w:hAnsi="Book Antiqua" w:cs="Times New Roman"/>
          <w:b/>
          <w:kern w:val="2"/>
          <w:sz w:val="24"/>
          <w:szCs w:val="24"/>
          <w:lang w:val="en-US" w:eastAsia="zh-CN"/>
        </w:rPr>
        <w:t>58</w:t>
      </w:r>
      <w:r w:rsidRPr="00466806">
        <w:rPr>
          <w:rFonts w:ascii="Book Antiqua" w:eastAsia="SimSun" w:hAnsi="Book Antiqua" w:cs="Times New Roman"/>
          <w:kern w:val="2"/>
          <w:sz w:val="24"/>
          <w:szCs w:val="24"/>
          <w:lang w:val="en-US" w:eastAsia="zh-CN"/>
        </w:rPr>
        <w:t>: 247-261 [PMID: 27128451 DOI: 10.1080/10408398.2016.1158148]</w:t>
      </w:r>
    </w:p>
    <w:p w14:paraId="58EDF7DF"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10 </w:t>
      </w:r>
      <w:proofErr w:type="spellStart"/>
      <w:r w:rsidRPr="00466806">
        <w:rPr>
          <w:rFonts w:ascii="Book Antiqua" w:eastAsia="SimSun" w:hAnsi="Book Antiqua" w:cs="Times New Roman"/>
          <w:b/>
          <w:kern w:val="2"/>
          <w:sz w:val="24"/>
          <w:szCs w:val="24"/>
          <w:lang w:val="en-US" w:eastAsia="zh-CN"/>
        </w:rPr>
        <w:t>Miccadei</w:t>
      </w:r>
      <w:proofErr w:type="spellEnd"/>
      <w:r w:rsidRPr="00466806">
        <w:rPr>
          <w:rFonts w:ascii="Book Antiqua" w:eastAsia="SimSun" w:hAnsi="Book Antiqua" w:cs="Times New Roman"/>
          <w:b/>
          <w:kern w:val="2"/>
          <w:sz w:val="24"/>
          <w:szCs w:val="24"/>
          <w:lang w:val="en-US" w:eastAsia="zh-CN"/>
        </w:rPr>
        <w:t xml:space="preserve"> S</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Masella</w:t>
      </w:r>
      <w:proofErr w:type="spellEnd"/>
      <w:r w:rsidRPr="00466806">
        <w:rPr>
          <w:rFonts w:ascii="Book Antiqua" w:eastAsia="SimSun" w:hAnsi="Book Antiqua" w:cs="Times New Roman"/>
          <w:kern w:val="2"/>
          <w:sz w:val="24"/>
          <w:szCs w:val="24"/>
          <w:lang w:val="en-US" w:eastAsia="zh-CN"/>
        </w:rPr>
        <w:t xml:space="preserve"> R, </w:t>
      </w:r>
      <w:proofErr w:type="spellStart"/>
      <w:r w:rsidRPr="00466806">
        <w:rPr>
          <w:rFonts w:ascii="Book Antiqua" w:eastAsia="SimSun" w:hAnsi="Book Antiqua" w:cs="Times New Roman"/>
          <w:kern w:val="2"/>
          <w:sz w:val="24"/>
          <w:szCs w:val="24"/>
          <w:lang w:val="en-US" w:eastAsia="zh-CN"/>
        </w:rPr>
        <w:t>Mileo</w:t>
      </w:r>
      <w:proofErr w:type="spellEnd"/>
      <w:r w:rsidRPr="00466806">
        <w:rPr>
          <w:rFonts w:ascii="Book Antiqua" w:eastAsia="SimSun" w:hAnsi="Book Antiqua" w:cs="Times New Roman"/>
          <w:kern w:val="2"/>
          <w:sz w:val="24"/>
          <w:szCs w:val="24"/>
          <w:lang w:val="en-US" w:eastAsia="zh-CN"/>
        </w:rPr>
        <w:t xml:space="preserve"> AM, </w:t>
      </w:r>
      <w:proofErr w:type="spellStart"/>
      <w:r w:rsidRPr="00466806">
        <w:rPr>
          <w:rFonts w:ascii="Book Antiqua" w:eastAsia="SimSun" w:hAnsi="Book Antiqua" w:cs="Times New Roman"/>
          <w:kern w:val="2"/>
          <w:sz w:val="24"/>
          <w:szCs w:val="24"/>
          <w:lang w:val="en-US" w:eastAsia="zh-CN"/>
        </w:rPr>
        <w:t>Gessani</w:t>
      </w:r>
      <w:proofErr w:type="spellEnd"/>
      <w:r w:rsidRPr="00466806">
        <w:rPr>
          <w:rFonts w:ascii="Book Antiqua" w:eastAsia="SimSun" w:hAnsi="Book Antiqua" w:cs="Times New Roman"/>
          <w:kern w:val="2"/>
          <w:sz w:val="24"/>
          <w:szCs w:val="24"/>
          <w:lang w:val="en-US" w:eastAsia="zh-CN"/>
        </w:rPr>
        <w:t xml:space="preserve"> S. ω3 Polyunsaturated Fatty Acids as </w:t>
      </w:r>
      <w:proofErr w:type="spellStart"/>
      <w:r w:rsidRPr="00466806">
        <w:rPr>
          <w:rFonts w:ascii="Book Antiqua" w:eastAsia="SimSun" w:hAnsi="Book Antiqua" w:cs="Times New Roman"/>
          <w:kern w:val="2"/>
          <w:sz w:val="24"/>
          <w:szCs w:val="24"/>
          <w:lang w:val="en-US" w:eastAsia="zh-CN"/>
        </w:rPr>
        <w:t>Immunomodulators</w:t>
      </w:r>
      <w:proofErr w:type="spellEnd"/>
      <w:r w:rsidRPr="00466806">
        <w:rPr>
          <w:rFonts w:ascii="Book Antiqua" w:eastAsia="SimSun" w:hAnsi="Book Antiqua" w:cs="Times New Roman"/>
          <w:kern w:val="2"/>
          <w:sz w:val="24"/>
          <w:szCs w:val="24"/>
          <w:lang w:val="en-US" w:eastAsia="zh-CN"/>
        </w:rPr>
        <w:t xml:space="preserve"> in Colorectal Cancer: New Potential Role in Adjuvant Therapies. </w:t>
      </w:r>
      <w:r w:rsidRPr="00466806">
        <w:rPr>
          <w:rFonts w:ascii="Book Antiqua" w:eastAsia="SimSun" w:hAnsi="Book Antiqua" w:cs="Times New Roman"/>
          <w:i/>
          <w:kern w:val="2"/>
          <w:sz w:val="24"/>
          <w:szCs w:val="24"/>
          <w:lang w:val="en-US" w:eastAsia="zh-CN"/>
        </w:rPr>
        <w:t xml:space="preserve">Front </w:t>
      </w:r>
      <w:proofErr w:type="spellStart"/>
      <w:r w:rsidRPr="00466806">
        <w:rPr>
          <w:rFonts w:ascii="Book Antiqua" w:eastAsia="SimSun" w:hAnsi="Book Antiqua" w:cs="Times New Roman"/>
          <w:i/>
          <w:kern w:val="2"/>
          <w:sz w:val="24"/>
          <w:szCs w:val="24"/>
          <w:lang w:val="en-US" w:eastAsia="zh-CN"/>
        </w:rPr>
        <w:t>Immunol</w:t>
      </w:r>
      <w:proofErr w:type="spellEnd"/>
      <w:r w:rsidRPr="00466806">
        <w:rPr>
          <w:rFonts w:ascii="Book Antiqua" w:eastAsia="SimSun" w:hAnsi="Book Antiqua" w:cs="Times New Roman"/>
          <w:kern w:val="2"/>
          <w:sz w:val="24"/>
          <w:szCs w:val="24"/>
          <w:lang w:val="en-US" w:eastAsia="zh-CN"/>
        </w:rPr>
        <w:t xml:space="preserve"> 2016; </w:t>
      </w:r>
      <w:r w:rsidRPr="00466806">
        <w:rPr>
          <w:rFonts w:ascii="Book Antiqua" w:eastAsia="SimSun" w:hAnsi="Book Antiqua" w:cs="Times New Roman"/>
          <w:b/>
          <w:kern w:val="2"/>
          <w:sz w:val="24"/>
          <w:szCs w:val="24"/>
          <w:lang w:val="en-US" w:eastAsia="zh-CN"/>
        </w:rPr>
        <w:t>7</w:t>
      </w:r>
      <w:r w:rsidRPr="00466806">
        <w:rPr>
          <w:rFonts w:ascii="Book Antiqua" w:eastAsia="SimSun" w:hAnsi="Book Antiqua" w:cs="Times New Roman"/>
          <w:kern w:val="2"/>
          <w:sz w:val="24"/>
          <w:szCs w:val="24"/>
          <w:lang w:val="en-US" w:eastAsia="zh-CN"/>
        </w:rPr>
        <w:t>: 486 [PMID: 27895640 DOI: 10.3389/fimmu.2016.00486]</w:t>
      </w:r>
    </w:p>
    <w:p w14:paraId="3C4B022D"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11 </w:t>
      </w:r>
      <w:r w:rsidRPr="00466806">
        <w:rPr>
          <w:rFonts w:ascii="Book Antiqua" w:eastAsia="SimSun" w:hAnsi="Book Antiqua" w:cs="Times New Roman"/>
          <w:b/>
          <w:kern w:val="2"/>
          <w:sz w:val="24"/>
          <w:szCs w:val="24"/>
          <w:lang w:val="en-US" w:eastAsia="zh-CN"/>
        </w:rPr>
        <w:t>Yao Y</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Suo</w:t>
      </w:r>
      <w:proofErr w:type="spellEnd"/>
      <w:r w:rsidRPr="00466806">
        <w:rPr>
          <w:rFonts w:ascii="Book Antiqua" w:eastAsia="SimSun" w:hAnsi="Book Antiqua" w:cs="Times New Roman"/>
          <w:kern w:val="2"/>
          <w:sz w:val="24"/>
          <w:szCs w:val="24"/>
          <w:lang w:val="en-US" w:eastAsia="zh-CN"/>
        </w:rPr>
        <w:t xml:space="preserve"> T, </w:t>
      </w:r>
      <w:proofErr w:type="spellStart"/>
      <w:r w:rsidRPr="00466806">
        <w:rPr>
          <w:rFonts w:ascii="Book Antiqua" w:eastAsia="SimSun" w:hAnsi="Book Antiqua" w:cs="Times New Roman"/>
          <w:kern w:val="2"/>
          <w:sz w:val="24"/>
          <w:szCs w:val="24"/>
          <w:lang w:val="en-US" w:eastAsia="zh-CN"/>
        </w:rPr>
        <w:t>Andersson</w:t>
      </w:r>
      <w:proofErr w:type="spellEnd"/>
      <w:r w:rsidRPr="00466806">
        <w:rPr>
          <w:rFonts w:ascii="Book Antiqua" w:eastAsia="SimSun" w:hAnsi="Book Antiqua" w:cs="Times New Roman"/>
          <w:kern w:val="2"/>
          <w:sz w:val="24"/>
          <w:szCs w:val="24"/>
          <w:lang w:val="en-US" w:eastAsia="zh-CN"/>
        </w:rPr>
        <w:t xml:space="preserve"> R, Cao Y, Wang C, Lu J, Chui E. Dietary </w:t>
      </w:r>
      <w:proofErr w:type="spellStart"/>
      <w:r w:rsidRPr="00466806">
        <w:rPr>
          <w:rFonts w:ascii="Book Antiqua" w:eastAsia="SimSun" w:hAnsi="Book Antiqua" w:cs="Times New Roman"/>
          <w:kern w:val="2"/>
          <w:sz w:val="24"/>
          <w:szCs w:val="24"/>
          <w:lang w:val="en-US" w:eastAsia="zh-CN"/>
        </w:rPr>
        <w:t>fibre</w:t>
      </w:r>
      <w:proofErr w:type="spellEnd"/>
      <w:r w:rsidRPr="00466806">
        <w:rPr>
          <w:rFonts w:ascii="Book Antiqua" w:eastAsia="SimSun" w:hAnsi="Book Antiqua" w:cs="Times New Roman"/>
          <w:kern w:val="2"/>
          <w:sz w:val="24"/>
          <w:szCs w:val="24"/>
          <w:lang w:val="en-US" w:eastAsia="zh-CN"/>
        </w:rPr>
        <w:t xml:space="preserve"> for the prevention of recurrent colorectal adenomas and carcinomas. </w:t>
      </w:r>
      <w:r w:rsidRPr="00466806">
        <w:rPr>
          <w:rFonts w:ascii="Book Antiqua" w:eastAsia="SimSun" w:hAnsi="Book Antiqua" w:cs="Times New Roman"/>
          <w:i/>
          <w:kern w:val="2"/>
          <w:sz w:val="24"/>
          <w:szCs w:val="24"/>
          <w:lang w:val="en-US" w:eastAsia="zh-CN"/>
        </w:rPr>
        <w:t xml:space="preserve">Cochrane Database </w:t>
      </w:r>
      <w:proofErr w:type="spellStart"/>
      <w:r w:rsidRPr="00466806">
        <w:rPr>
          <w:rFonts w:ascii="Book Antiqua" w:eastAsia="SimSun" w:hAnsi="Book Antiqua" w:cs="Times New Roman"/>
          <w:i/>
          <w:kern w:val="2"/>
          <w:sz w:val="24"/>
          <w:szCs w:val="24"/>
          <w:lang w:val="en-US" w:eastAsia="zh-CN"/>
        </w:rPr>
        <w:t>Syst</w:t>
      </w:r>
      <w:proofErr w:type="spellEnd"/>
      <w:r w:rsidRPr="00466806">
        <w:rPr>
          <w:rFonts w:ascii="Book Antiqua" w:eastAsia="SimSun" w:hAnsi="Book Antiqua" w:cs="Times New Roman"/>
          <w:i/>
          <w:kern w:val="2"/>
          <w:sz w:val="24"/>
          <w:szCs w:val="24"/>
          <w:lang w:val="en-US" w:eastAsia="zh-CN"/>
        </w:rPr>
        <w:t xml:space="preserve"> Rev</w:t>
      </w:r>
      <w:r w:rsidRPr="00466806">
        <w:rPr>
          <w:rFonts w:ascii="Book Antiqua" w:eastAsia="SimSun" w:hAnsi="Book Antiqua" w:cs="Times New Roman" w:hint="eastAsia"/>
          <w:kern w:val="2"/>
          <w:sz w:val="24"/>
          <w:szCs w:val="24"/>
          <w:lang w:val="en-US" w:eastAsia="zh-CN"/>
        </w:rPr>
        <w:t xml:space="preserve"> </w:t>
      </w:r>
      <w:r w:rsidRPr="00466806">
        <w:rPr>
          <w:rFonts w:ascii="Book Antiqua" w:eastAsia="SimSun" w:hAnsi="Book Antiqua" w:cs="Times New Roman"/>
          <w:kern w:val="2"/>
          <w:sz w:val="24"/>
          <w:szCs w:val="24"/>
          <w:lang w:val="en-US" w:eastAsia="zh-CN"/>
        </w:rPr>
        <w:t xml:space="preserve">2017; </w:t>
      </w:r>
      <w:r w:rsidRPr="00466806">
        <w:rPr>
          <w:rFonts w:ascii="Book Antiqua" w:eastAsia="SimSun" w:hAnsi="Book Antiqua" w:cs="Times New Roman"/>
          <w:b/>
          <w:kern w:val="2"/>
          <w:sz w:val="24"/>
          <w:szCs w:val="24"/>
          <w:lang w:val="en-US" w:eastAsia="zh-CN"/>
        </w:rPr>
        <w:t>1</w:t>
      </w:r>
      <w:r w:rsidRPr="00466806">
        <w:rPr>
          <w:rFonts w:ascii="Book Antiqua" w:eastAsia="SimSun" w:hAnsi="Book Antiqua" w:cs="Times New Roman"/>
          <w:kern w:val="2"/>
          <w:sz w:val="24"/>
          <w:szCs w:val="24"/>
          <w:lang w:val="en-US" w:eastAsia="zh-CN"/>
        </w:rPr>
        <w:t>: CD003430 [PMID: 28064440 DOI: 10.1002/14651858.CD003430.pub2]</w:t>
      </w:r>
    </w:p>
    <w:p w14:paraId="249F3BDC"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 xml:space="preserve">12 </w:t>
      </w:r>
      <w:r w:rsidRPr="00466806">
        <w:rPr>
          <w:rFonts w:ascii="Book Antiqua" w:eastAsia="SimSun" w:hAnsi="Book Antiqua" w:cs="Times New Roman"/>
          <w:b/>
          <w:kern w:val="2"/>
          <w:sz w:val="24"/>
          <w:szCs w:val="24"/>
          <w:lang w:val="en-US" w:eastAsia="zh-CN"/>
        </w:rPr>
        <w:t>Zamora-</w:t>
      </w:r>
      <w:proofErr w:type="spellStart"/>
      <w:r w:rsidRPr="00466806">
        <w:rPr>
          <w:rFonts w:ascii="Book Antiqua" w:eastAsia="SimSun" w:hAnsi="Book Antiqua" w:cs="Times New Roman"/>
          <w:b/>
          <w:kern w:val="2"/>
          <w:sz w:val="24"/>
          <w:szCs w:val="24"/>
          <w:lang w:val="en-US" w:eastAsia="zh-CN"/>
        </w:rPr>
        <w:t>Ros</w:t>
      </w:r>
      <w:proofErr w:type="spellEnd"/>
      <w:r w:rsidRPr="00466806">
        <w:rPr>
          <w:rFonts w:ascii="Book Antiqua" w:eastAsia="SimSun" w:hAnsi="Book Antiqua" w:cs="Times New Roman"/>
          <w:b/>
          <w:kern w:val="2"/>
          <w:sz w:val="24"/>
          <w:szCs w:val="24"/>
          <w:lang w:val="en-US" w:eastAsia="zh-CN"/>
        </w:rPr>
        <w:t xml:space="preserve"> R</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Barupal</w:t>
      </w:r>
      <w:proofErr w:type="spellEnd"/>
      <w:r w:rsidRPr="00466806">
        <w:rPr>
          <w:rFonts w:ascii="Book Antiqua" w:eastAsia="SimSun" w:hAnsi="Book Antiqua" w:cs="Times New Roman"/>
          <w:kern w:val="2"/>
          <w:sz w:val="24"/>
          <w:szCs w:val="24"/>
          <w:lang w:val="en-US" w:eastAsia="zh-CN"/>
        </w:rPr>
        <w:t xml:space="preserve"> DK, Rothwell JA, </w:t>
      </w:r>
      <w:proofErr w:type="spellStart"/>
      <w:r w:rsidRPr="00466806">
        <w:rPr>
          <w:rFonts w:ascii="Book Antiqua" w:eastAsia="SimSun" w:hAnsi="Book Antiqua" w:cs="Times New Roman"/>
          <w:kern w:val="2"/>
          <w:sz w:val="24"/>
          <w:szCs w:val="24"/>
          <w:lang w:val="en-US" w:eastAsia="zh-CN"/>
        </w:rPr>
        <w:t>Jenab</w:t>
      </w:r>
      <w:proofErr w:type="spellEnd"/>
      <w:r w:rsidRPr="00466806">
        <w:rPr>
          <w:rFonts w:ascii="Book Antiqua" w:eastAsia="SimSun" w:hAnsi="Book Antiqua" w:cs="Times New Roman"/>
          <w:kern w:val="2"/>
          <w:sz w:val="24"/>
          <w:szCs w:val="24"/>
          <w:lang w:val="en-US" w:eastAsia="zh-CN"/>
        </w:rPr>
        <w:t xml:space="preserve"> M, </w:t>
      </w:r>
      <w:proofErr w:type="spellStart"/>
      <w:r w:rsidRPr="00466806">
        <w:rPr>
          <w:rFonts w:ascii="Book Antiqua" w:eastAsia="SimSun" w:hAnsi="Book Antiqua" w:cs="Times New Roman"/>
          <w:kern w:val="2"/>
          <w:sz w:val="24"/>
          <w:szCs w:val="24"/>
          <w:lang w:val="en-US" w:eastAsia="zh-CN"/>
        </w:rPr>
        <w:t>Fedirko</w:t>
      </w:r>
      <w:proofErr w:type="spellEnd"/>
      <w:r w:rsidRPr="00466806">
        <w:rPr>
          <w:rFonts w:ascii="Book Antiqua" w:eastAsia="SimSun" w:hAnsi="Book Antiqua" w:cs="Times New Roman"/>
          <w:kern w:val="2"/>
          <w:sz w:val="24"/>
          <w:szCs w:val="24"/>
          <w:lang w:val="en-US" w:eastAsia="zh-CN"/>
        </w:rPr>
        <w:t xml:space="preserve"> V, </w:t>
      </w:r>
      <w:proofErr w:type="spellStart"/>
      <w:r w:rsidRPr="00466806">
        <w:rPr>
          <w:rFonts w:ascii="Book Antiqua" w:eastAsia="SimSun" w:hAnsi="Book Antiqua" w:cs="Times New Roman"/>
          <w:kern w:val="2"/>
          <w:sz w:val="24"/>
          <w:szCs w:val="24"/>
          <w:lang w:val="en-US" w:eastAsia="zh-CN"/>
        </w:rPr>
        <w:t>Romieu</w:t>
      </w:r>
      <w:proofErr w:type="spellEnd"/>
      <w:r w:rsidRPr="00466806">
        <w:rPr>
          <w:rFonts w:ascii="Book Antiqua" w:eastAsia="SimSun" w:hAnsi="Book Antiqua" w:cs="Times New Roman"/>
          <w:kern w:val="2"/>
          <w:sz w:val="24"/>
          <w:szCs w:val="24"/>
          <w:lang w:val="en-US" w:eastAsia="zh-CN"/>
        </w:rPr>
        <w:t xml:space="preserve"> I, </w:t>
      </w:r>
      <w:proofErr w:type="spellStart"/>
      <w:r w:rsidRPr="00466806">
        <w:rPr>
          <w:rFonts w:ascii="Book Antiqua" w:eastAsia="SimSun" w:hAnsi="Book Antiqua" w:cs="Times New Roman"/>
          <w:kern w:val="2"/>
          <w:sz w:val="24"/>
          <w:szCs w:val="24"/>
          <w:lang w:val="en-US" w:eastAsia="zh-CN"/>
        </w:rPr>
        <w:t>Aleksandrova</w:t>
      </w:r>
      <w:proofErr w:type="spellEnd"/>
      <w:r w:rsidRPr="00466806">
        <w:rPr>
          <w:rFonts w:ascii="Book Antiqua" w:eastAsia="SimSun" w:hAnsi="Book Antiqua" w:cs="Times New Roman"/>
          <w:kern w:val="2"/>
          <w:sz w:val="24"/>
          <w:szCs w:val="24"/>
          <w:lang w:val="en-US" w:eastAsia="zh-CN"/>
        </w:rPr>
        <w:t xml:space="preserve"> K, </w:t>
      </w:r>
      <w:proofErr w:type="spellStart"/>
      <w:r w:rsidRPr="00466806">
        <w:rPr>
          <w:rFonts w:ascii="Book Antiqua" w:eastAsia="SimSun" w:hAnsi="Book Antiqua" w:cs="Times New Roman"/>
          <w:kern w:val="2"/>
          <w:sz w:val="24"/>
          <w:szCs w:val="24"/>
          <w:lang w:val="en-US" w:eastAsia="zh-CN"/>
        </w:rPr>
        <w:t>Overvad</w:t>
      </w:r>
      <w:proofErr w:type="spellEnd"/>
      <w:r w:rsidRPr="00466806">
        <w:rPr>
          <w:rFonts w:ascii="Book Antiqua" w:eastAsia="SimSun" w:hAnsi="Book Antiqua" w:cs="Times New Roman"/>
          <w:kern w:val="2"/>
          <w:sz w:val="24"/>
          <w:szCs w:val="24"/>
          <w:lang w:val="en-US" w:eastAsia="zh-CN"/>
        </w:rPr>
        <w:t xml:space="preserve"> K, </w:t>
      </w:r>
      <w:proofErr w:type="spellStart"/>
      <w:r w:rsidRPr="00466806">
        <w:rPr>
          <w:rFonts w:ascii="Book Antiqua" w:eastAsia="SimSun" w:hAnsi="Book Antiqua" w:cs="Times New Roman"/>
          <w:kern w:val="2"/>
          <w:sz w:val="24"/>
          <w:szCs w:val="24"/>
          <w:lang w:val="en-US" w:eastAsia="zh-CN"/>
        </w:rPr>
        <w:t>Kyrø</w:t>
      </w:r>
      <w:proofErr w:type="spellEnd"/>
      <w:r w:rsidRPr="00466806">
        <w:rPr>
          <w:rFonts w:ascii="Book Antiqua" w:eastAsia="SimSun" w:hAnsi="Book Antiqua" w:cs="Times New Roman"/>
          <w:kern w:val="2"/>
          <w:sz w:val="24"/>
          <w:szCs w:val="24"/>
          <w:lang w:val="en-US" w:eastAsia="zh-CN"/>
        </w:rPr>
        <w:t xml:space="preserve"> C, </w:t>
      </w:r>
      <w:proofErr w:type="spellStart"/>
      <w:r w:rsidRPr="00466806">
        <w:rPr>
          <w:rFonts w:ascii="Book Antiqua" w:eastAsia="SimSun" w:hAnsi="Book Antiqua" w:cs="Times New Roman"/>
          <w:kern w:val="2"/>
          <w:sz w:val="24"/>
          <w:szCs w:val="24"/>
          <w:lang w:val="en-US" w:eastAsia="zh-CN"/>
        </w:rPr>
        <w:t>Tjønneland</w:t>
      </w:r>
      <w:proofErr w:type="spellEnd"/>
      <w:r w:rsidRPr="00466806">
        <w:rPr>
          <w:rFonts w:ascii="Book Antiqua" w:eastAsia="SimSun" w:hAnsi="Book Antiqua" w:cs="Times New Roman"/>
          <w:kern w:val="2"/>
          <w:sz w:val="24"/>
          <w:szCs w:val="24"/>
          <w:lang w:val="en-US" w:eastAsia="zh-CN"/>
        </w:rPr>
        <w:t xml:space="preserve"> A, </w:t>
      </w:r>
      <w:proofErr w:type="spellStart"/>
      <w:r w:rsidRPr="00466806">
        <w:rPr>
          <w:rFonts w:ascii="Book Antiqua" w:eastAsia="SimSun" w:hAnsi="Book Antiqua" w:cs="Times New Roman"/>
          <w:kern w:val="2"/>
          <w:sz w:val="24"/>
          <w:szCs w:val="24"/>
          <w:lang w:val="en-US" w:eastAsia="zh-CN"/>
        </w:rPr>
        <w:t>Affret</w:t>
      </w:r>
      <w:proofErr w:type="spellEnd"/>
      <w:r w:rsidRPr="00466806">
        <w:rPr>
          <w:rFonts w:ascii="Book Antiqua" w:eastAsia="SimSun" w:hAnsi="Book Antiqua" w:cs="Times New Roman"/>
          <w:kern w:val="2"/>
          <w:sz w:val="24"/>
          <w:szCs w:val="24"/>
          <w:lang w:val="en-US" w:eastAsia="zh-CN"/>
        </w:rPr>
        <w:t xml:space="preserve"> A, His M, </w:t>
      </w:r>
      <w:proofErr w:type="spellStart"/>
      <w:r w:rsidRPr="00466806">
        <w:rPr>
          <w:rFonts w:ascii="Book Antiqua" w:eastAsia="SimSun" w:hAnsi="Book Antiqua" w:cs="Times New Roman"/>
          <w:kern w:val="2"/>
          <w:sz w:val="24"/>
          <w:szCs w:val="24"/>
          <w:lang w:val="en-US" w:eastAsia="zh-CN"/>
        </w:rPr>
        <w:t>Boutron-Ruault</w:t>
      </w:r>
      <w:proofErr w:type="spellEnd"/>
      <w:r w:rsidRPr="00466806">
        <w:rPr>
          <w:rFonts w:ascii="Book Antiqua" w:eastAsia="SimSun" w:hAnsi="Book Antiqua" w:cs="Times New Roman"/>
          <w:kern w:val="2"/>
          <w:sz w:val="24"/>
          <w:szCs w:val="24"/>
          <w:lang w:val="en-US" w:eastAsia="zh-CN"/>
        </w:rPr>
        <w:t xml:space="preserve"> MC, </w:t>
      </w:r>
      <w:proofErr w:type="spellStart"/>
      <w:r w:rsidRPr="00466806">
        <w:rPr>
          <w:rFonts w:ascii="Book Antiqua" w:eastAsia="SimSun" w:hAnsi="Book Antiqua" w:cs="Times New Roman"/>
          <w:kern w:val="2"/>
          <w:sz w:val="24"/>
          <w:szCs w:val="24"/>
          <w:lang w:val="en-US" w:eastAsia="zh-CN"/>
        </w:rPr>
        <w:t>Katzke</w:t>
      </w:r>
      <w:proofErr w:type="spellEnd"/>
      <w:r w:rsidRPr="00466806">
        <w:rPr>
          <w:rFonts w:ascii="Book Antiqua" w:eastAsia="SimSun" w:hAnsi="Book Antiqua" w:cs="Times New Roman"/>
          <w:kern w:val="2"/>
          <w:sz w:val="24"/>
          <w:szCs w:val="24"/>
          <w:lang w:val="en-US" w:eastAsia="zh-CN"/>
        </w:rPr>
        <w:t xml:space="preserve"> V, </w:t>
      </w:r>
      <w:proofErr w:type="spellStart"/>
      <w:r w:rsidRPr="00466806">
        <w:rPr>
          <w:rFonts w:ascii="Book Antiqua" w:eastAsia="SimSun" w:hAnsi="Book Antiqua" w:cs="Times New Roman"/>
          <w:kern w:val="2"/>
          <w:sz w:val="24"/>
          <w:szCs w:val="24"/>
          <w:lang w:val="en-US" w:eastAsia="zh-CN"/>
        </w:rPr>
        <w:t>Kühn</w:t>
      </w:r>
      <w:proofErr w:type="spellEnd"/>
      <w:r w:rsidRPr="00466806">
        <w:rPr>
          <w:rFonts w:ascii="Book Antiqua" w:eastAsia="SimSun" w:hAnsi="Book Antiqua" w:cs="Times New Roman"/>
          <w:kern w:val="2"/>
          <w:sz w:val="24"/>
          <w:szCs w:val="24"/>
          <w:lang w:val="en-US" w:eastAsia="zh-CN"/>
        </w:rPr>
        <w:t xml:space="preserve"> T, Boeing H, </w:t>
      </w:r>
      <w:proofErr w:type="spellStart"/>
      <w:r w:rsidRPr="00466806">
        <w:rPr>
          <w:rFonts w:ascii="Book Antiqua" w:eastAsia="SimSun" w:hAnsi="Book Antiqua" w:cs="Times New Roman"/>
          <w:kern w:val="2"/>
          <w:sz w:val="24"/>
          <w:szCs w:val="24"/>
          <w:lang w:val="en-US" w:eastAsia="zh-CN"/>
        </w:rPr>
        <w:t>Trichopoulou</w:t>
      </w:r>
      <w:proofErr w:type="spellEnd"/>
      <w:r w:rsidRPr="00466806">
        <w:rPr>
          <w:rFonts w:ascii="Book Antiqua" w:eastAsia="SimSun" w:hAnsi="Book Antiqua" w:cs="Times New Roman"/>
          <w:kern w:val="2"/>
          <w:sz w:val="24"/>
          <w:szCs w:val="24"/>
          <w:lang w:val="en-US" w:eastAsia="zh-CN"/>
        </w:rPr>
        <w:t xml:space="preserve"> A, </w:t>
      </w:r>
      <w:proofErr w:type="spellStart"/>
      <w:r w:rsidRPr="00466806">
        <w:rPr>
          <w:rFonts w:ascii="Book Antiqua" w:eastAsia="SimSun" w:hAnsi="Book Antiqua" w:cs="Times New Roman"/>
          <w:kern w:val="2"/>
          <w:sz w:val="24"/>
          <w:szCs w:val="24"/>
          <w:lang w:val="en-US" w:eastAsia="zh-CN"/>
        </w:rPr>
        <w:t>Naska</w:t>
      </w:r>
      <w:proofErr w:type="spellEnd"/>
      <w:r w:rsidRPr="00466806">
        <w:rPr>
          <w:rFonts w:ascii="Book Antiqua" w:eastAsia="SimSun" w:hAnsi="Book Antiqua" w:cs="Times New Roman"/>
          <w:kern w:val="2"/>
          <w:sz w:val="24"/>
          <w:szCs w:val="24"/>
          <w:lang w:val="en-US" w:eastAsia="zh-CN"/>
        </w:rPr>
        <w:t xml:space="preserve"> A, </w:t>
      </w:r>
      <w:proofErr w:type="spellStart"/>
      <w:r w:rsidRPr="00466806">
        <w:rPr>
          <w:rFonts w:ascii="Book Antiqua" w:eastAsia="SimSun" w:hAnsi="Book Antiqua" w:cs="Times New Roman"/>
          <w:kern w:val="2"/>
          <w:sz w:val="24"/>
          <w:szCs w:val="24"/>
          <w:lang w:val="en-US" w:eastAsia="zh-CN"/>
        </w:rPr>
        <w:t>Kritikou</w:t>
      </w:r>
      <w:proofErr w:type="spellEnd"/>
      <w:r w:rsidRPr="00466806">
        <w:rPr>
          <w:rFonts w:ascii="Book Antiqua" w:eastAsia="SimSun" w:hAnsi="Book Antiqua" w:cs="Times New Roman"/>
          <w:kern w:val="2"/>
          <w:sz w:val="24"/>
          <w:szCs w:val="24"/>
          <w:lang w:val="en-US" w:eastAsia="zh-CN"/>
        </w:rPr>
        <w:t xml:space="preserve"> M, </w:t>
      </w:r>
      <w:proofErr w:type="spellStart"/>
      <w:r w:rsidRPr="00466806">
        <w:rPr>
          <w:rFonts w:ascii="Book Antiqua" w:eastAsia="SimSun" w:hAnsi="Book Antiqua" w:cs="Times New Roman"/>
          <w:kern w:val="2"/>
          <w:sz w:val="24"/>
          <w:szCs w:val="24"/>
          <w:lang w:val="en-US" w:eastAsia="zh-CN"/>
        </w:rPr>
        <w:t>Saieva</w:t>
      </w:r>
      <w:proofErr w:type="spellEnd"/>
      <w:r w:rsidRPr="00466806">
        <w:rPr>
          <w:rFonts w:ascii="Book Antiqua" w:eastAsia="SimSun" w:hAnsi="Book Antiqua" w:cs="Times New Roman"/>
          <w:kern w:val="2"/>
          <w:sz w:val="24"/>
          <w:szCs w:val="24"/>
          <w:lang w:val="en-US" w:eastAsia="zh-CN"/>
        </w:rPr>
        <w:t xml:space="preserve"> C, </w:t>
      </w:r>
      <w:proofErr w:type="spellStart"/>
      <w:r w:rsidRPr="00466806">
        <w:rPr>
          <w:rFonts w:ascii="Book Antiqua" w:eastAsia="SimSun" w:hAnsi="Book Antiqua" w:cs="Times New Roman"/>
          <w:kern w:val="2"/>
          <w:sz w:val="24"/>
          <w:szCs w:val="24"/>
          <w:lang w:val="en-US" w:eastAsia="zh-CN"/>
        </w:rPr>
        <w:t>Agnoli</w:t>
      </w:r>
      <w:proofErr w:type="spellEnd"/>
      <w:r w:rsidRPr="00466806">
        <w:rPr>
          <w:rFonts w:ascii="Book Antiqua" w:eastAsia="SimSun" w:hAnsi="Book Antiqua" w:cs="Times New Roman"/>
          <w:kern w:val="2"/>
          <w:sz w:val="24"/>
          <w:szCs w:val="24"/>
          <w:lang w:val="en-US" w:eastAsia="zh-CN"/>
        </w:rPr>
        <w:t xml:space="preserve"> C, </w:t>
      </w:r>
      <w:proofErr w:type="spellStart"/>
      <w:r w:rsidRPr="00466806">
        <w:rPr>
          <w:rFonts w:ascii="Book Antiqua" w:eastAsia="SimSun" w:hAnsi="Book Antiqua" w:cs="Times New Roman"/>
          <w:kern w:val="2"/>
          <w:sz w:val="24"/>
          <w:szCs w:val="24"/>
          <w:lang w:val="en-US" w:eastAsia="zh-CN"/>
        </w:rPr>
        <w:t>Santucci</w:t>
      </w:r>
      <w:proofErr w:type="spellEnd"/>
      <w:r w:rsidRPr="00466806">
        <w:rPr>
          <w:rFonts w:ascii="Book Antiqua" w:eastAsia="SimSun" w:hAnsi="Book Antiqua" w:cs="Times New Roman"/>
          <w:kern w:val="2"/>
          <w:sz w:val="24"/>
          <w:szCs w:val="24"/>
          <w:lang w:val="en-US" w:eastAsia="zh-CN"/>
        </w:rPr>
        <w:t xml:space="preserve"> de </w:t>
      </w:r>
      <w:proofErr w:type="spellStart"/>
      <w:r w:rsidRPr="00466806">
        <w:rPr>
          <w:rFonts w:ascii="Book Antiqua" w:eastAsia="SimSun" w:hAnsi="Book Antiqua" w:cs="Times New Roman"/>
          <w:kern w:val="2"/>
          <w:sz w:val="24"/>
          <w:szCs w:val="24"/>
          <w:lang w:val="en-US" w:eastAsia="zh-CN"/>
        </w:rPr>
        <w:t>Magistris</w:t>
      </w:r>
      <w:proofErr w:type="spellEnd"/>
      <w:r w:rsidRPr="00466806">
        <w:rPr>
          <w:rFonts w:ascii="Book Antiqua" w:eastAsia="SimSun" w:hAnsi="Book Antiqua" w:cs="Times New Roman"/>
          <w:kern w:val="2"/>
          <w:sz w:val="24"/>
          <w:szCs w:val="24"/>
          <w:lang w:val="en-US" w:eastAsia="zh-CN"/>
        </w:rPr>
        <w:t xml:space="preserve"> M, </w:t>
      </w:r>
      <w:proofErr w:type="spellStart"/>
      <w:r w:rsidRPr="00466806">
        <w:rPr>
          <w:rFonts w:ascii="Book Antiqua" w:eastAsia="SimSun" w:hAnsi="Book Antiqua" w:cs="Times New Roman"/>
          <w:kern w:val="2"/>
          <w:sz w:val="24"/>
          <w:szCs w:val="24"/>
          <w:lang w:val="en-US" w:eastAsia="zh-CN"/>
        </w:rPr>
        <w:t>Tumino</w:t>
      </w:r>
      <w:proofErr w:type="spellEnd"/>
      <w:r w:rsidRPr="00466806">
        <w:rPr>
          <w:rFonts w:ascii="Book Antiqua" w:eastAsia="SimSun" w:hAnsi="Book Antiqua" w:cs="Times New Roman"/>
          <w:kern w:val="2"/>
          <w:sz w:val="24"/>
          <w:szCs w:val="24"/>
          <w:lang w:val="en-US" w:eastAsia="zh-CN"/>
        </w:rPr>
        <w:t xml:space="preserve"> R, </w:t>
      </w:r>
      <w:proofErr w:type="spellStart"/>
      <w:r w:rsidRPr="00466806">
        <w:rPr>
          <w:rFonts w:ascii="Book Antiqua" w:eastAsia="SimSun" w:hAnsi="Book Antiqua" w:cs="Times New Roman"/>
          <w:kern w:val="2"/>
          <w:sz w:val="24"/>
          <w:szCs w:val="24"/>
          <w:lang w:val="en-US" w:eastAsia="zh-CN"/>
        </w:rPr>
        <w:t>Fasanelli</w:t>
      </w:r>
      <w:proofErr w:type="spellEnd"/>
      <w:r w:rsidRPr="00466806">
        <w:rPr>
          <w:rFonts w:ascii="Book Antiqua" w:eastAsia="SimSun" w:hAnsi="Book Antiqua" w:cs="Times New Roman"/>
          <w:kern w:val="2"/>
          <w:sz w:val="24"/>
          <w:szCs w:val="24"/>
          <w:lang w:val="en-US" w:eastAsia="zh-CN"/>
        </w:rPr>
        <w:t xml:space="preserve"> F, </w:t>
      </w:r>
      <w:proofErr w:type="spellStart"/>
      <w:r w:rsidRPr="00466806">
        <w:rPr>
          <w:rFonts w:ascii="Book Antiqua" w:eastAsia="SimSun" w:hAnsi="Book Antiqua" w:cs="Times New Roman"/>
          <w:kern w:val="2"/>
          <w:sz w:val="24"/>
          <w:szCs w:val="24"/>
          <w:lang w:val="en-US" w:eastAsia="zh-CN"/>
        </w:rPr>
        <w:t>Weiderpass</w:t>
      </w:r>
      <w:proofErr w:type="spellEnd"/>
      <w:r w:rsidRPr="00466806">
        <w:rPr>
          <w:rFonts w:ascii="Book Antiqua" w:eastAsia="SimSun" w:hAnsi="Book Antiqua" w:cs="Times New Roman"/>
          <w:kern w:val="2"/>
          <w:sz w:val="24"/>
          <w:szCs w:val="24"/>
          <w:lang w:val="en-US" w:eastAsia="zh-CN"/>
        </w:rPr>
        <w:t xml:space="preserve"> E, </w:t>
      </w:r>
      <w:proofErr w:type="spellStart"/>
      <w:r w:rsidRPr="00466806">
        <w:rPr>
          <w:rFonts w:ascii="Book Antiqua" w:eastAsia="SimSun" w:hAnsi="Book Antiqua" w:cs="Times New Roman"/>
          <w:kern w:val="2"/>
          <w:sz w:val="24"/>
          <w:szCs w:val="24"/>
          <w:lang w:val="en-US" w:eastAsia="zh-CN"/>
        </w:rPr>
        <w:t>Skeie</w:t>
      </w:r>
      <w:proofErr w:type="spellEnd"/>
      <w:r w:rsidRPr="00466806">
        <w:rPr>
          <w:rFonts w:ascii="Book Antiqua" w:eastAsia="SimSun" w:hAnsi="Book Antiqua" w:cs="Times New Roman"/>
          <w:kern w:val="2"/>
          <w:sz w:val="24"/>
          <w:szCs w:val="24"/>
          <w:lang w:val="en-US" w:eastAsia="zh-CN"/>
        </w:rPr>
        <w:t xml:space="preserve"> G, Merino S, </w:t>
      </w:r>
      <w:proofErr w:type="spellStart"/>
      <w:r w:rsidRPr="00466806">
        <w:rPr>
          <w:rFonts w:ascii="Book Antiqua" w:eastAsia="SimSun" w:hAnsi="Book Antiqua" w:cs="Times New Roman"/>
          <w:kern w:val="2"/>
          <w:sz w:val="24"/>
          <w:szCs w:val="24"/>
          <w:lang w:val="en-US" w:eastAsia="zh-CN"/>
        </w:rPr>
        <w:t>Jakszyn</w:t>
      </w:r>
      <w:proofErr w:type="spellEnd"/>
      <w:r w:rsidRPr="00466806">
        <w:rPr>
          <w:rFonts w:ascii="Book Antiqua" w:eastAsia="SimSun" w:hAnsi="Book Antiqua" w:cs="Times New Roman"/>
          <w:kern w:val="2"/>
          <w:sz w:val="24"/>
          <w:szCs w:val="24"/>
          <w:lang w:val="en-US" w:eastAsia="zh-CN"/>
        </w:rPr>
        <w:t xml:space="preserve"> P, Sánchez MJ, </w:t>
      </w:r>
      <w:proofErr w:type="spellStart"/>
      <w:r w:rsidRPr="00466806">
        <w:rPr>
          <w:rFonts w:ascii="Book Antiqua" w:eastAsia="SimSun" w:hAnsi="Book Antiqua" w:cs="Times New Roman"/>
          <w:kern w:val="2"/>
          <w:sz w:val="24"/>
          <w:szCs w:val="24"/>
          <w:lang w:val="en-US" w:eastAsia="zh-CN"/>
        </w:rPr>
        <w:t>Dorronsoro</w:t>
      </w:r>
      <w:proofErr w:type="spellEnd"/>
      <w:r w:rsidRPr="00466806">
        <w:rPr>
          <w:rFonts w:ascii="Book Antiqua" w:eastAsia="SimSun" w:hAnsi="Book Antiqua" w:cs="Times New Roman"/>
          <w:kern w:val="2"/>
          <w:sz w:val="24"/>
          <w:szCs w:val="24"/>
          <w:lang w:val="en-US" w:eastAsia="zh-CN"/>
        </w:rPr>
        <w:t xml:space="preserve"> M, Navarro C, </w:t>
      </w:r>
      <w:proofErr w:type="spellStart"/>
      <w:r w:rsidRPr="00466806">
        <w:rPr>
          <w:rFonts w:ascii="Book Antiqua" w:eastAsia="SimSun" w:hAnsi="Book Antiqua" w:cs="Times New Roman"/>
          <w:kern w:val="2"/>
          <w:sz w:val="24"/>
          <w:szCs w:val="24"/>
          <w:lang w:val="en-US" w:eastAsia="zh-CN"/>
        </w:rPr>
        <w:t>Ardanaz</w:t>
      </w:r>
      <w:proofErr w:type="spellEnd"/>
      <w:r w:rsidRPr="00466806">
        <w:rPr>
          <w:rFonts w:ascii="Book Antiqua" w:eastAsia="SimSun" w:hAnsi="Book Antiqua" w:cs="Times New Roman"/>
          <w:kern w:val="2"/>
          <w:sz w:val="24"/>
          <w:szCs w:val="24"/>
          <w:lang w:val="en-US" w:eastAsia="zh-CN"/>
        </w:rPr>
        <w:t xml:space="preserve"> E, </w:t>
      </w:r>
      <w:proofErr w:type="spellStart"/>
      <w:r w:rsidRPr="00466806">
        <w:rPr>
          <w:rFonts w:ascii="Book Antiqua" w:eastAsia="SimSun" w:hAnsi="Book Antiqua" w:cs="Times New Roman"/>
          <w:kern w:val="2"/>
          <w:sz w:val="24"/>
          <w:szCs w:val="24"/>
          <w:lang w:val="en-US" w:eastAsia="zh-CN"/>
        </w:rPr>
        <w:t>Sonestedt</w:t>
      </w:r>
      <w:proofErr w:type="spellEnd"/>
      <w:r w:rsidRPr="00466806">
        <w:rPr>
          <w:rFonts w:ascii="Book Antiqua" w:eastAsia="SimSun" w:hAnsi="Book Antiqua" w:cs="Times New Roman"/>
          <w:kern w:val="2"/>
          <w:sz w:val="24"/>
          <w:szCs w:val="24"/>
          <w:lang w:val="en-US" w:eastAsia="zh-CN"/>
        </w:rPr>
        <w:t xml:space="preserve"> E, Ericson U, Maria Nilsson L, </w:t>
      </w:r>
      <w:proofErr w:type="spellStart"/>
      <w:r w:rsidRPr="00466806">
        <w:rPr>
          <w:rFonts w:ascii="Book Antiqua" w:eastAsia="SimSun" w:hAnsi="Book Antiqua" w:cs="Times New Roman"/>
          <w:kern w:val="2"/>
          <w:sz w:val="24"/>
          <w:szCs w:val="24"/>
          <w:lang w:val="en-US" w:eastAsia="zh-CN"/>
        </w:rPr>
        <w:t>Bodén</w:t>
      </w:r>
      <w:proofErr w:type="spellEnd"/>
      <w:r w:rsidRPr="00466806">
        <w:rPr>
          <w:rFonts w:ascii="Book Antiqua" w:eastAsia="SimSun" w:hAnsi="Book Antiqua" w:cs="Times New Roman"/>
          <w:kern w:val="2"/>
          <w:sz w:val="24"/>
          <w:szCs w:val="24"/>
          <w:lang w:val="en-US" w:eastAsia="zh-CN"/>
        </w:rPr>
        <w:t xml:space="preserve"> S, Bueno-de-</w:t>
      </w:r>
      <w:proofErr w:type="spellStart"/>
      <w:r w:rsidRPr="00466806">
        <w:rPr>
          <w:rFonts w:ascii="Book Antiqua" w:eastAsia="SimSun" w:hAnsi="Book Antiqua" w:cs="Times New Roman"/>
          <w:kern w:val="2"/>
          <w:sz w:val="24"/>
          <w:szCs w:val="24"/>
          <w:lang w:val="en-US" w:eastAsia="zh-CN"/>
        </w:rPr>
        <w:t>Mesquita</w:t>
      </w:r>
      <w:proofErr w:type="spellEnd"/>
      <w:r w:rsidRPr="00466806">
        <w:rPr>
          <w:rFonts w:ascii="Book Antiqua" w:eastAsia="SimSun" w:hAnsi="Book Antiqua" w:cs="Times New Roman"/>
          <w:kern w:val="2"/>
          <w:sz w:val="24"/>
          <w:szCs w:val="24"/>
          <w:lang w:val="en-US" w:eastAsia="zh-CN"/>
        </w:rPr>
        <w:t xml:space="preserve"> HB, </w:t>
      </w:r>
      <w:proofErr w:type="spellStart"/>
      <w:r w:rsidRPr="00466806">
        <w:rPr>
          <w:rFonts w:ascii="Book Antiqua" w:eastAsia="SimSun" w:hAnsi="Book Antiqua" w:cs="Times New Roman"/>
          <w:kern w:val="2"/>
          <w:sz w:val="24"/>
          <w:szCs w:val="24"/>
          <w:lang w:val="en-US" w:eastAsia="zh-CN"/>
        </w:rPr>
        <w:t>Peeters</w:t>
      </w:r>
      <w:proofErr w:type="spellEnd"/>
      <w:r w:rsidRPr="00466806">
        <w:rPr>
          <w:rFonts w:ascii="Book Antiqua" w:eastAsia="SimSun" w:hAnsi="Book Antiqua" w:cs="Times New Roman"/>
          <w:kern w:val="2"/>
          <w:sz w:val="24"/>
          <w:szCs w:val="24"/>
          <w:lang w:val="en-US" w:eastAsia="zh-CN"/>
        </w:rPr>
        <w:t xml:space="preserve"> PH, Perez-</w:t>
      </w:r>
      <w:proofErr w:type="spellStart"/>
      <w:r w:rsidRPr="00466806">
        <w:rPr>
          <w:rFonts w:ascii="Book Antiqua" w:eastAsia="SimSun" w:hAnsi="Book Antiqua" w:cs="Times New Roman"/>
          <w:kern w:val="2"/>
          <w:sz w:val="24"/>
          <w:szCs w:val="24"/>
          <w:lang w:val="en-US" w:eastAsia="zh-CN"/>
        </w:rPr>
        <w:t>Cornago</w:t>
      </w:r>
      <w:proofErr w:type="spellEnd"/>
      <w:r w:rsidRPr="00466806">
        <w:rPr>
          <w:rFonts w:ascii="Book Antiqua" w:eastAsia="SimSun" w:hAnsi="Book Antiqua" w:cs="Times New Roman"/>
          <w:kern w:val="2"/>
          <w:sz w:val="24"/>
          <w:szCs w:val="24"/>
          <w:lang w:val="en-US" w:eastAsia="zh-CN"/>
        </w:rPr>
        <w:t xml:space="preserve"> A, Wareham NJ, </w:t>
      </w:r>
      <w:proofErr w:type="spellStart"/>
      <w:r w:rsidRPr="00466806">
        <w:rPr>
          <w:rFonts w:ascii="Book Antiqua" w:eastAsia="SimSun" w:hAnsi="Book Antiqua" w:cs="Times New Roman"/>
          <w:kern w:val="2"/>
          <w:sz w:val="24"/>
          <w:szCs w:val="24"/>
          <w:lang w:val="en-US" w:eastAsia="zh-CN"/>
        </w:rPr>
        <w:t>Khaw</w:t>
      </w:r>
      <w:proofErr w:type="spellEnd"/>
      <w:r w:rsidRPr="00466806">
        <w:rPr>
          <w:rFonts w:ascii="Book Antiqua" w:eastAsia="SimSun" w:hAnsi="Book Antiqua" w:cs="Times New Roman"/>
          <w:kern w:val="2"/>
          <w:sz w:val="24"/>
          <w:szCs w:val="24"/>
          <w:lang w:val="en-US" w:eastAsia="zh-CN"/>
        </w:rPr>
        <w:t xml:space="preserve"> KT, </w:t>
      </w:r>
      <w:proofErr w:type="spellStart"/>
      <w:r w:rsidRPr="00466806">
        <w:rPr>
          <w:rFonts w:ascii="Book Antiqua" w:eastAsia="SimSun" w:hAnsi="Book Antiqua" w:cs="Times New Roman"/>
          <w:kern w:val="2"/>
          <w:sz w:val="24"/>
          <w:szCs w:val="24"/>
          <w:lang w:val="en-US" w:eastAsia="zh-CN"/>
        </w:rPr>
        <w:t>Freisling</w:t>
      </w:r>
      <w:proofErr w:type="spellEnd"/>
      <w:r w:rsidRPr="00466806">
        <w:rPr>
          <w:rFonts w:ascii="Book Antiqua" w:eastAsia="SimSun" w:hAnsi="Book Antiqua" w:cs="Times New Roman"/>
          <w:kern w:val="2"/>
          <w:sz w:val="24"/>
          <w:szCs w:val="24"/>
          <w:lang w:val="en-US" w:eastAsia="zh-CN"/>
        </w:rPr>
        <w:t xml:space="preserve"> H, Cross AJ, </w:t>
      </w:r>
      <w:proofErr w:type="spellStart"/>
      <w:r w:rsidRPr="00466806">
        <w:rPr>
          <w:rFonts w:ascii="Book Antiqua" w:eastAsia="SimSun" w:hAnsi="Book Antiqua" w:cs="Times New Roman"/>
          <w:kern w:val="2"/>
          <w:sz w:val="24"/>
          <w:szCs w:val="24"/>
          <w:lang w:val="en-US" w:eastAsia="zh-CN"/>
        </w:rPr>
        <w:t>Riboli</w:t>
      </w:r>
      <w:proofErr w:type="spellEnd"/>
      <w:r w:rsidRPr="00466806">
        <w:rPr>
          <w:rFonts w:ascii="Book Antiqua" w:eastAsia="SimSun" w:hAnsi="Book Antiqua" w:cs="Times New Roman"/>
          <w:kern w:val="2"/>
          <w:sz w:val="24"/>
          <w:szCs w:val="24"/>
          <w:lang w:val="en-US" w:eastAsia="zh-CN"/>
        </w:rPr>
        <w:t xml:space="preserve"> E, </w:t>
      </w:r>
      <w:proofErr w:type="spellStart"/>
      <w:r w:rsidRPr="00466806">
        <w:rPr>
          <w:rFonts w:ascii="Book Antiqua" w:eastAsia="SimSun" w:hAnsi="Book Antiqua" w:cs="Times New Roman"/>
          <w:kern w:val="2"/>
          <w:sz w:val="24"/>
          <w:szCs w:val="24"/>
          <w:lang w:val="en-US" w:eastAsia="zh-CN"/>
        </w:rPr>
        <w:t>Scalbert</w:t>
      </w:r>
      <w:proofErr w:type="spellEnd"/>
      <w:r w:rsidRPr="00466806">
        <w:rPr>
          <w:rFonts w:ascii="Book Antiqua" w:eastAsia="SimSun" w:hAnsi="Book Antiqua" w:cs="Times New Roman"/>
          <w:kern w:val="2"/>
          <w:sz w:val="24"/>
          <w:szCs w:val="24"/>
          <w:lang w:val="en-US" w:eastAsia="zh-CN"/>
        </w:rPr>
        <w:t xml:space="preserve"> A. Dietary flavonoid intake and colorectal cancer risk in the European prospective investigation into cancer and nutrition (EPIC) cohort.</w:t>
      </w:r>
      <w:proofErr w:type="gramEnd"/>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i/>
          <w:kern w:val="2"/>
          <w:sz w:val="24"/>
          <w:szCs w:val="24"/>
          <w:lang w:val="en-US" w:eastAsia="zh-CN"/>
        </w:rPr>
        <w:t>Int</w:t>
      </w:r>
      <w:proofErr w:type="spellEnd"/>
      <w:r w:rsidRPr="00466806">
        <w:rPr>
          <w:rFonts w:ascii="Book Antiqua" w:eastAsia="SimSun" w:hAnsi="Book Antiqua" w:cs="Times New Roman"/>
          <w:i/>
          <w:kern w:val="2"/>
          <w:sz w:val="24"/>
          <w:szCs w:val="24"/>
          <w:lang w:val="en-US" w:eastAsia="zh-CN"/>
        </w:rPr>
        <w:t xml:space="preserve"> J Cancer</w:t>
      </w:r>
      <w:r w:rsidRPr="00466806">
        <w:rPr>
          <w:rFonts w:ascii="Book Antiqua" w:eastAsia="SimSun" w:hAnsi="Book Antiqua" w:cs="Times New Roman"/>
          <w:kern w:val="2"/>
          <w:sz w:val="24"/>
          <w:szCs w:val="24"/>
          <w:lang w:val="en-US" w:eastAsia="zh-CN"/>
        </w:rPr>
        <w:t xml:space="preserve"> 2017; </w:t>
      </w:r>
      <w:r w:rsidRPr="00466806">
        <w:rPr>
          <w:rFonts w:ascii="Book Antiqua" w:eastAsia="SimSun" w:hAnsi="Book Antiqua" w:cs="Times New Roman"/>
          <w:b/>
          <w:kern w:val="2"/>
          <w:sz w:val="24"/>
          <w:szCs w:val="24"/>
          <w:lang w:val="en-US" w:eastAsia="zh-CN"/>
        </w:rPr>
        <w:t>140</w:t>
      </w:r>
      <w:r w:rsidRPr="00466806">
        <w:rPr>
          <w:rFonts w:ascii="Book Antiqua" w:eastAsia="SimSun" w:hAnsi="Book Antiqua" w:cs="Times New Roman"/>
          <w:kern w:val="2"/>
          <w:sz w:val="24"/>
          <w:szCs w:val="24"/>
          <w:lang w:val="en-US" w:eastAsia="zh-CN"/>
        </w:rPr>
        <w:t>: 1836-1844 [PMID: 28006847 DOI: 10.1002/ijc.30582]</w:t>
      </w:r>
    </w:p>
    <w:p w14:paraId="0BC833A7"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13</w:t>
      </w:r>
      <w:proofErr w:type="gramEnd"/>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b/>
          <w:kern w:val="2"/>
          <w:sz w:val="24"/>
          <w:szCs w:val="24"/>
          <w:lang w:val="en-US" w:eastAsia="zh-CN"/>
        </w:rPr>
        <w:t>Printz</w:t>
      </w:r>
      <w:proofErr w:type="spellEnd"/>
      <w:r w:rsidRPr="00466806">
        <w:rPr>
          <w:rFonts w:ascii="Book Antiqua" w:eastAsia="SimSun" w:hAnsi="Book Antiqua" w:cs="Times New Roman"/>
          <w:b/>
          <w:kern w:val="2"/>
          <w:sz w:val="24"/>
          <w:szCs w:val="24"/>
          <w:lang w:val="en-US" w:eastAsia="zh-CN"/>
        </w:rPr>
        <w:t xml:space="preserve"> C</w:t>
      </w:r>
      <w:r w:rsidRPr="00466806">
        <w:rPr>
          <w:rFonts w:ascii="Book Antiqua" w:eastAsia="SimSun" w:hAnsi="Book Antiqua" w:cs="Times New Roman"/>
          <w:kern w:val="2"/>
          <w:sz w:val="24"/>
          <w:szCs w:val="24"/>
          <w:lang w:val="en-US" w:eastAsia="zh-CN"/>
        </w:rPr>
        <w:t xml:space="preserve">. Vegetarian diet associated with lower risk of colorectal cancer. </w:t>
      </w:r>
      <w:r w:rsidRPr="00466806">
        <w:rPr>
          <w:rFonts w:ascii="Book Antiqua" w:eastAsia="SimSun" w:hAnsi="Book Antiqua" w:cs="Times New Roman"/>
          <w:i/>
          <w:kern w:val="2"/>
          <w:sz w:val="24"/>
          <w:szCs w:val="24"/>
          <w:lang w:val="en-US" w:eastAsia="zh-CN"/>
        </w:rPr>
        <w:t>Cancer</w:t>
      </w:r>
      <w:r w:rsidRPr="00466806">
        <w:rPr>
          <w:rFonts w:ascii="Book Antiqua" w:eastAsia="SimSun" w:hAnsi="Book Antiqua" w:cs="Times New Roman"/>
          <w:kern w:val="2"/>
          <w:sz w:val="24"/>
          <w:szCs w:val="24"/>
          <w:lang w:val="en-US" w:eastAsia="zh-CN"/>
        </w:rPr>
        <w:t xml:space="preserve"> 2015; </w:t>
      </w:r>
      <w:r w:rsidRPr="00466806">
        <w:rPr>
          <w:rFonts w:ascii="Book Antiqua" w:eastAsia="SimSun" w:hAnsi="Book Antiqua" w:cs="Times New Roman"/>
          <w:b/>
          <w:kern w:val="2"/>
          <w:sz w:val="24"/>
          <w:szCs w:val="24"/>
          <w:lang w:val="en-US" w:eastAsia="zh-CN"/>
        </w:rPr>
        <w:t>121</w:t>
      </w:r>
      <w:r w:rsidRPr="00466806">
        <w:rPr>
          <w:rFonts w:ascii="Book Antiqua" w:eastAsia="SimSun" w:hAnsi="Book Antiqua" w:cs="Times New Roman"/>
          <w:kern w:val="2"/>
          <w:sz w:val="24"/>
          <w:szCs w:val="24"/>
          <w:lang w:val="en-US" w:eastAsia="zh-CN"/>
        </w:rPr>
        <w:t>: 2667 [PMID: 26249116 DOI: 10.1002/cncr.29582]</w:t>
      </w:r>
    </w:p>
    <w:p w14:paraId="1A724125"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14 </w:t>
      </w:r>
      <w:r w:rsidRPr="00466806">
        <w:rPr>
          <w:rFonts w:ascii="Book Antiqua" w:eastAsia="SimSun" w:hAnsi="Book Antiqua" w:cs="Times New Roman"/>
          <w:b/>
          <w:kern w:val="2"/>
          <w:sz w:val="24"/>
          <w:szCs w:val="24"/>
          <w:lang w:val="en-US" w:eastAsia="zh-CN"/>
        </w:rPr>
        <w:t>Harmon BE</w:t>
      </w:r>
      <w:r w:rsidRPr="00466806">
        <w:rPr>
          <w:rFonts w:ascii="Book Antiqua" w:eastAsia="SimSun" w:hAnsi="Book Antiqua" w:cs="Times New Roman"/>
          <w:kern w:val="2"/>
          <w:sz w:val="24"/>
          <w:szCs w:val="24"/>
          <w:lang w:val="en-US" w:eastAsia="zh-CN"/>
        </w:rPr>
        <w:t xml:space="preserve">, Wirth MD, </w:t>
      </w:r>
      <w:proofErr w:type="spellStart"/>
      <w:r w:rsidRPr="00466806">
        <w:rPr>
          <w:rFonts w:ascii="Book Antiqua" w:eastAsia="SimSun" w:hAnsi="Book Antiqua" w:cs="Times New Roman"/>
          <w:kern w:val="2"/>
          <w:sz w:val="24"/>
          <w:szCs w:val="24"/>
          <w:lang w:val="en-US" w:eastAsia="zh-CN"/>
        </w:rPr>
        <w:t>Boushey</w:t>
      </w:r>
      <w:proofErr w:type="spellEnd"/>
      <w:r w:rsidRPr="00466806">
        <w:rPr>
          <w:rFonts w:ascii="Book Antiqua" w:eastAsia="SimSun" w:hAnsi="Book Antiqua" w:cs="Times New Roman"/>
          <w:kern w:val="2"/>
          <w:sz w:val="24"/>
          <w:szCs w:val="24"/>
          <w:lang w:val="en-US" w:eastAsia="zh-CN"/>
        </w:rPr>
        <w:t xml:space="preserve"> CJ, Wilkens LR, </w:t>
      </w:r>
      <w:proofErr w:type="spellStart"/>
      <w:r w:rsidRPr="00466806">
        <w:rPr>
          <w:rFonts w:ascii="Book Antiqua" w:eastAsia="SimSun" w:hAnsi="Book Antiqua" w:cs="Times New Roman"/>
          <w:kern w:val="2"/>
          <w:sz w:val="24"/>
          <w:szCs w:val="24"/>
          <w:lang w:val="en-US" w:eastAsia="zh-CN"/>
        </w:rPr>
        <w:t>Draluck</w:t>
      </w:r>
      <w:proofErr w:type="spellEnd"/>
      <w:r w:rsidRPr="00466806">
        <w:rPr>
          <w:rFonts w:ascii="Book Antiqua" w:eastAsia="SimSun" w:hAnsi="Book Antiqua" w:cs="Times New Roman"/>
          <w:kern w:val="2"/>
          <w:sz w:val="24"/>
          <w:szCs w:val="24"/>
          <w:lang w:val="en-US" w:eastAsia="zh-CN"/>
        </w:rPr>
        <w:t xml:space="preserve"> E, </w:t>
      </w:r>
      <w:proofErr w:type="spellStart"/>
      <w:r w:rsidRPr="00466806">
        <w:rPr>
          <w:rFonts w:ascii="Book Antiqua" w:eastAsia="SimSun" w:hAnsi="Book Antiqua" w:cs="Times New Roman"/>
          <w:kern w:val="2"/>
          <w:sz w:val="24"/>
          <w:szCs w:val="24"/>
          <w:lang w:val="en-US" w:eastAsia="zh-CN"/>
        </w:rPr>
        <w:t>Shivappa</w:t>
      </w:r>
      <w:proofErr w:type="spellEnd"/>
      <w:r w:rsidRPr="00466806">
        <w:rPr>
          <w:rFonts w:ascii="Book Antiqua" w:eastAsia="SimSun" w:hAnsi="Book Antiqua" w:cs="Times New Roman"/>
          <w:kern w:val="2"/>
          <w:sz w:val="24"/>
          <w:szCs w:val="24"/>
          <w:lang w:val="en-US" w:eastAsia="zh-CN"/>
        </w:rPr>
        <w:t xml:space="preserve"> N, </w:t>
      </w:r>
      <w:proofErr w:type="spellStart"/>
      <w:r w:rsidRPr="00466806">
        <w:rPr>
          <w:rFonts w:ascii="Book Antiqua" w:eastAsia="SimSun" w:hAnsi="Book Antiqua" w:cs="Times New Roman"/>
          <w:kern w:val="2"/>
          <w:sz w:val="24"/>
          <w:szCs w:val="24"/>
          <w:lang w:val="en-US" w:eastAsia="zh-CN"/>
        </w:rPr>
        <w:t>Steck</w:t>
      </w:r>
      <w:proofErr w:type="spellEnd"/>
      <w:r w:rsidRPr="00466806">
        <w:rPr>
          <w:rFonts w:ascii="Book Antiqua" w:eastAsia="SimSun" w:hAnsi="Book Antiqua" w:cs="Times New Roman"/>
          <w:kern w:val="2"/>
          <w:sz w:val="24"/>
          <w:szCs w:val="24"/>
          <w:lang w:val="en-US" w:eastAsia="zh-CN"/>
        </w:rPr>
        <w:t xml:space="preserve"> SE, </w:t>
      </w:r>
      <w:proofErr w:type="spellStart"/>
      <w:r w:rsidRPr="00466806">
        <w:rPr>
          <w:rFonts w:ascii="Book Antiqua" w:eastAsia="SimSun" w:hAnsi="Book Antiqua" w:cs="Times New Roman"/>
          <w:kern w:val="2"/>
          <w:sz w:val="24"/>
          <w:szCs w:val="24"/>
          <w:lang w:val="en-US" w:eastAsia="zh-CN"/>
        </w:rPr>
        <w:t>Hofseth</w:t>
      </w:r>
      <w:proofErr w:type="spellEnd"/>
      <w:r w:rsidRPr="00466806">
        <w:rPr>
          <w:rFonts w:ascii="Book Antiqua" w:eastAsia="SimSun" w:hAnsi="Book Antiqua" w:cs="Times New Roman"/>
          <w:kern w:val="2"/>
          <w:sz w:val="24"/>
          <w:szCs w:val="24"/>
          <w:lang w:val="en-US" w:eastAsia="zh-CN"/>
        </w:rPr>
        <w:t xml:space="preserve"> L, </w:t>
      </w:r>
      <w:proofErr w:type="spellStart"/>
      <w:r w:rsidRPr="00466806">
        <w:rPr>
          <w:rFonts w:ascii="Book Antiqua" w:eastAsia="SimSun" w:hAnsi="Book Antiqua" w:cs="Times New Roman"/>
          <w:kern w:val="2"/>
          <w:sz w:val="24"/>
          <w:szCs w:val="24"/>
          <w:lang w:val="en-US" w:eastAsia="zh-CN"/>
        </w:rPr>
        <w:t>Haiman</w:t>
      </w:r>
      <w:proofErr w:type="spellEnd"/>
      <w:r w:rsidRPr="00466806">
        <w:rPr>
          <w:rFonts w:ascii="Book Antiqua" w:eastAsia="SimSun" w:hAnsi="Book Antiqua" w:cs="Times New Roman"/>
          <w:kern w:val="2"/>
          <w:sz w:val="24"/>
          <w:szCs w:val="24"/>
          <w:lang w:val="en-US" w:eastAsia="zh-CN"/>
        </w:rPr>
        <w:t xml:space="preserve"> CA, Le </w:t>
      </w:r>
      <w:proofErr w:type="spellStart"/>
      <w:r w:rsidRPr="00466806">
        <w:rPr>
          <w:rFonts w:ascii="Book Antiqua" w:eastAsia="SimSun" w:hAnsi="Book Antiqua" w:cs="Times New Roman"/>
          <w:kern w:val="2"/>
          <w:sz w:val="24"/>
          <w:szCs w:val="24"/>
          <w:lang w:val="en-US" w:eastAsia="zh-CN"/>
        </w:rPr>
        <w:t>Marchand</w:t>
      </w:r>
      <w:proofErr w:type="spellEnd"/>
      <w:r w:rsidRPr="00466806">
        <w:rPr>
          <w:rFonts w:ascii="Book Antiqua" w:eastAsia="SimSun" w:hAnsi="Book Antiqua" w:cs="Times New Roman"/>
          <w:kern w:val="2"/>
          <w:sz w:val="24"/>
          <w:szCs w:val="24"/>
          <w:lang w:val="en-US" w:eastAsia="zh-CN"/>
        </w:rPr>
        <w:t xml:space="preserve"> L, Hébert JR. The Dietary Inflammatory Index Is Associated with Colorectal Cancer Risk in the Multiethnic Cohort. </w:t>
      </w:r>
      <w:r w:rsidRPr="00466806">
        <w:rPr>
          <w:rFonts w:ascii="Book Antiqua" w:eastAsia="SimSun" w:hAnsi="Book Antiqua" w:cs="Times New Roman"/>
          <w:i/>
          <w:kern w:val="2"/>
          <w:sz w:val="24"/>
          <w:szCs w:val="24"/>
          <w:lang w:val="en-US" w:eastAsia="zh-CN"/>
        </w:rPr>
        <w:t xml:space="preserve">J </w:t>
      </w:r>
      <w:proofErr w:type="spellStart"/>
      <w:r w:rsidRPr="00466806">
        <w:rPr>
          <w:rFonts w:ascii="Book Antiqua" w:eastAsia="SimSun" w:hAnsi="Book Antiqua" w:cs="Times New Roman"/>
          <w:i/>
          <w:kern w:val="2"/>
          <w:sz w:val="24"/>
          <w:szCs w:val="24"/>
          <w:lang w:val="en-US" w:eastAsia="zh-CN"/>
        </w:rPr>
        <w:t>Nutr</w:t>
      </w:r>
      <w:proofErr w:type="spellEnd"/>
      <w:r w:rsidRPr="00466806">
        <w:rPr>
          <w:rFonts w:ascii="Book Antiqua" w:eastAsia="SimSun" w:hAnsi="Book Antiqua" w:cs="Times New Roman"/>
          <w:kern w:val="2"/>
          <w:sz w:val="24"/>
          <w:szCs w:val="24"/>
          <w:lang w:val="en-US" w:eastAsia="zh-CN"/>
        </w:rPr>
        <w:t xml:space="preserve"> 2017; </w:t>
      </w:r>
      <w:r w:rsidRPr="00466806">
        <w:rPr>
          <w:rFonts w:ascii="Book Antiqua" w:eastAsia="SimSun" w:hAnsi="Book Antiqua" w:cs="Times New Roman"/>
          <w:b/>
          <w:kern w:val="2"/>
          <w:sz w:val="24"/>
          <w:szCs w:val="24"/>
          <w:lang w:val="en-US" w:eastAsia="zh-CN"/>
        </w:rPr>
        <w:t>147</w:t>
      </w:r>
      <w:r w:rsidRPr="00466806">
        <w:rPr>
          <w:rFonts w:ascii="Book Antiqua" w:eastAsia="SimSun" w:hAnsi="Book Antiqua" w:cs="Times New Roman"/>
          <w:kern w:val="2"/>
          <w:sz w:val="24"/>
          <w:szCs w:val="24"/>
          <w:lang w:val="en-US" w:eastAsia="zh-CN"/>
        </w:rPr>
        <w:t>: 430-438 [PMID: 28179489 DOI: 10.3945/jn.116.242529]</w:t>
      </w:r>
    </w:p>
    <w:p w14:paraId="2C39FA1D"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15 </w:t>
      </w:r>
      <w:proofErr w:type="spellStart"/>
      <w:r w:rsidRPr="00466806">
        <w:rPr>
          <w:rFonts w:ascii="Book Antiqua" w:eastAsia="SimSun" w:hAnsi="Book Antiqua" w:cs="Times New Roman"/>
          <w:b/>
          <w:kern w:val="2"/>
          <w:sz w:val="24"/>
          <w:szCs w:val="24"/>
          <w:lang w:val="en-US" w:eastAsia="zh-CN"/>
        </w:rPr>
        <w:t>Saetang</w:t>
      </w:r>
      <w:proofErr w:type="spellEnd"/>
      <w:r w:rsidRPr="00466806">
        <w:rPr>
          <w:rFonts w:ascii="Book Antiqua" w:eastAsia="SimSun" w:hAnsi="Book Antiqua" w:cs="Times New Roman"/>
          <w:b/>
          <w:kern w:val="2"/>
          <w:sz w:val="24"/>
          <w:szCs w:val="24"/>
          <w:lang w:val="en-US" w:eastAsia="zh-CN"/>
        </w:rPr>
        <w:t xml:space="preserve"> J</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Sangkhathat</w:t>
      </w:r>
      <w:proofErr w:type="spellEnd"/>
      <w:r w:rsidRPr="00466806">
        <w:rPr>
          <w:rFonts w:ascii="Book Antiqua" w:eastAsia="SimSun" w:hAnsi="Book Antiqua" w:cs="Times New Roman"/>
          <w:kern w:val="2"/>
          <w:sz w:val="24"/>
          <w:szCs w:val="24"/>
          <w:lang w:val="en-US" w:eastAsia="zh-CN"/>
        </w:rPr>
        <w:t xml:space="preserve"> S.</w:t>
      </w:r>
      <w:r w:rsidRPr="00466806">
        <w:rPr>
          <w:rFonts w:ascii="Book Antiqua" w:eastAsia="SimSun" w:hAnsi="Book Antiqua" w:cs="Times New Roman" w:hint="eastAsia"/>
          <w:kern w:val="2"/>
          <w:sz w:val="24"/>
          <w:szCs w:val="24"/>
          <w:lang w:val="en-US" w:eastAsia="zh-CN"/>
        </w:rPr>
        <w:t xml:space="preserve"> </w:t>
      </w:r>
      <w:proofErr w:type="gramStart"/>
      <w:r w:rsidRPr="00466806">
        <w:rPr>
          <w:rFonts w:ascii="Book Antiqua" w:eastAsia="SimSun" w:hAnsi="Book Antiqua" w:cs="Times New Roman"/>
          <w:kern w:val="2"/>
          <w:sz w:val="24"/>
          <w:szCs w:val="24"/>
          <w:lang w:val="en-US" w:eastAsia="zh-CN"/>
        </w:rPr>
        <w:t>Diets</w:t>
      </w:r>
      <w:proofErr w:type="gramEnd"/>
      <w:r w:rsidRPr="00466806">
        <w:rPr>
          <w:rFonts w:ascii="Book Antiqua" w:eastAsia="SimSun" w:hAnsi="Book Antiqua" w:cs="Times New Roman"/>
          <w:kern w:val="2"/>
          <w:sz w:val="24"/>
          <w:szCs w:val="24"/>
          <w:lang w:val="en-US" w:eastAsia="zh-CN"/>
        </w:rPr>
        <w:t xml:space="preserve"> link metabolic syndrome and colorectal cancer development (Review). </w:t>
      </w:r>
      <w:proofErr w:type="spellStart"/>
      <w:r w:rsidRPr="00466806">
        <w:rPr>
          <w:rFonts w:ascii="Book Antiqua" w:eastAsia="SimSun" w:hAnsi="Book Antiqua" w:cs="Times New Roman"/>
          <w:i/>
          <w:kern w:val="2"/>
          <w:sz w:val="24"/>
          <w:szCs w:val="24"/>
          <w:lang w:val="en-US" w:eastAsia="zh-CN"/>
        </w:rPr>
        <w:t>Oncol</w:t>
      </w:r>
      <w:proofErr w:type="spellEnd"/>
      <w:r w:rsidRPr="00466806">
        <w:rPr>
          <w:rFonts w:ascii="Book Antiqua" w:eastAsia="SimSun" w:hAnsi="Book Antiqua" w:cs="Times New Roman"/>
          <w:i/>
          <w:kern w:val="2"/>
          <w:sz w:val="24"/>
          <w:szCs w:val="24"/>
          <w:lang w:val="en-US" w:eastAsia="zh-CN"/>
        </w:rPr>
        <w:t xml:space="preserve"> Rep</w:t>
      </w:r>
      <w:r w:rsidRPr="00466806">
        <w:rPr>
          <w:rFonts w:ascii="Book Antiqua" w:eastAsia="SimSun" w:hAnsi="Book Antiqua" w:cs="Times New Roman"/>
          <w:kern w:val="2"/>
          <w:sz w:val="24"/>
          <w:szCs w:val="24"/>
          <w:lang w:val="en-US" w:eastAsia="zh-CN"/>
        </w:rPr>
        <w:t xml:space="preserve"> 2017; </w:t>
      </w:r>
      <w:r w:rsidRPr="00466806">
        <w:rPr>
          <w:rFonts w:ascii="Book Antiqua" w:eastAsia="SimSun" w:hAnsi="Book Antiqua" w:cs="Times New Roman"/>
          <w:b/>
          <w:kern w:val="2"/>
          <w:sz w:val="24"/>
          <w:szCs w:val="24"/>
          <w:lang w:val="en-US" w:eastAsia="zh-CN"/>
        </w:rPr>
        <w:t>37</w:t>
      </w:r>
      <w:r w:rsidRPr="00466806">
        <w:rPr>
          <w:rFonts w:ascii="Book Antiqua" w:eastAsia="SimSun" w:hAnsi="Book Antiqua" w:cs="Times New Roman"/>
          <w:kern w:val="2"/>
          <w:sz w:val="24"/>
          <w:szCs w:val="24"/>
          <w:lang w:val="en-US" w:eastAsia="zh-CN"/>
        </w:rPr>
        <w:t>: 1312-1320 [PMID: 28098913 DOI: 10.3892/or.2017.5385]</w:t>
      </w:r>
    </w:p>
    <w:p w14:paraId="473D03ED"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lastRenderedPageBreak/>
        <w:t>16</w:t>
      </w:r>
      <w:proofErr w:type="gramEnd"/>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b/>
          <w:kern w:val="2"/>
          <w:sz w:val="24"/>
          <w:szCs w:val="24"/>
          <w:lang w:val="en-US" w:eastAsia="zh-CN"/>
        </w:rPr>
        <w:t>Rosato</w:t>
      </w:r>
      <w:proofErr w:type="spellEnd"/>
      <w:r w:rsidRPr="00466806">
        <w:rPr>
          <w:rFonts w:ascii="Book Antiqua" w:eastAsia="SimSun" w:hAnsi="Book Antiqua" w:cs="Times New Roman"/>
          <w:b/>
          <w:kern w:val="2"/>
          <w:sz w:val="24"/>
          <w:szCs w:val="24"/>
          <w:lang w:val="en-US" w:eastAsia="zh-CN"/>
        </w:rPr>
        <w:t xml:space="preserve"> V</w:t>
      </w:r>
      <w:r w:rsidRPr="00466806">
        <w:rPr>
          <w:rFonts w:ascii="Book Antiqua" w:eastAsia="SimSun" w:hAnsi="Book Antiqua" w:cs="Times New Roman"/>
          <w:kern w:val="2"/>
          <w:sz w:val="24"/>
          <w:szCs w:val="24"/>
          <w:lang w:val="en-US" w:eastAsia="zh-CN"/>
        </w:rPr>
        <w:t xml:space="preserve">, Guercio V, </w:t>
      </w:r>
      <w:proofErr w:type="spellStart"/>
      <w:r w:rsidRPr="00466806">
        <w:rPr>
          <w:rFonts w:ascii="Book Antiqua" w:eastAsia="SimSun" w:hAnsi="Book Antiqua" w:cs="Times New Roman"/>
          <w:kern w:val="2"/>
          <w:sz w:val="24"/>
          <w:szCs w:val="24"/>
          <w:lang w:val="en-US" w:eastAsia="zh-CN"/>
        </w:rPr>
        <w:t>Bosetti</w:t>
      </w:r>
      <w:proofErr w:type="spellEnd"/>
      <w:r w:rsidRPr="00466806">
        <w:rPr>
          <w:rFonts w:ascii="Book Antiqua" w:eastAsia="SimSun" w:hAnsi="Book Antiqua" w:cs="Times New Roman"/>
          <w:kern w:val="2"/>
          <w:sz w:val="24"/>
          <w:szCs w:val="24"/>
          <w:lang w:val="en-US" w:eastAsia="zh-CN"/>
        </w:rPr>
        <w:t xml:space="preserve"> C, </w:t>
      </w:r>
      <w:proofErr w:type="spellStart"/>
      <w:r w:rsidRPr="00466806">
        <w:rPr>
          <w:rFonts w:ascii="Book Antiqua" w:eastAsia="SimSun" w:hAnsi="Book Antiqua" w:cs="Times New Roman"/>
          <w:kern w:val="2"/>
          <w:sz w:val="24"/>
          <w:szCs w:val="24"/>
          <w:lang w:val="en-US" w:eastAsia="zh-CN"/>
        </w:rPr>
        <w:t>Negri</w:t>
      </w:r>
      <w:proofErr w:type="spellEnd"/>
      <w:r w:rsidRPr="00466806">
        <w:rPr>
          <w:rFonts w:ascii="Book Antiqua" w:eastAsia="SimSun" w:hAnsi="Book Antiqua" w:cs="Times New Roman"/>
          <w:kern w:val="2"/>
          <w:sz w:val="24"/>
          <w:szCs w:val="24"/>
          <w:lang w:val="en-US" w:eastAsia="zh-CN"/>
        </w:rPr>
        <w:t xml:space="preserve"> E, </w:t>
      </w:r>
      <w:proofErr w:type="spellStart"/>
      <w:r w:rsidRPr="00466806">
        <w:rPr>
          <w:rFonts w:ascii="Book Antiqua" w:eastAsia="SimSun" w:hAnsi="Book Antiqua" w:cs="Times New Roman"/>
          <w:kern w:val="2"/>
          <w:sz w:val="24"/>
          <w:szCs w:val="24"/>
          <w:lang w:val="en-US" w:eastAsia="zh-CN"/>
        </w:rPr>
        <w:t>Serraino</w:t>
      </w:r>
      <w:proofErr w:type="spellEnd"/>
      <w:r w:rsidRPr="00466806">
        <w:rPr>
          <w:rFonts w:ascii="Book Antiqua" w:eastAsia="SimSun" w:hAnsi="Book Antiqua" w:cs="Times New Roman"/>
          <w:kern w:val="2"/>
          <w:sz w:val="24"/>
          <w:szCs w:val="24"/>
          <w:lang w:val="en-US" w:eastAsia="zh-CN"/>
        </w:rPr>
        <w:t xml:space="preserve"> D, </w:t>
      </w:r>
      <w:proofErr w:type="spellStart"/>
      <w:r w:rsidRPr="00466806">
        <w:rPr>
          <w:rFonts w:ascii="Book Antiqua" w:eastAsia="SimSun" w:hAnsi="Book Antiqua" w:cs="Times New Roman"/>
          <w:kern w:val="2"/>
          <w:sz w:val="24"/>
          <w:szCs w:val="24"/>
          <w:lang w:val="en-US" w:eastAsia="zh-CN"/>
        </w:rPr>
        <w:t>Giacosa</w:t>
      </w:r>
      <w:proofErr w:type="spellEnd"/>
      <w:r w:rsidRPr="00466806">
        <w:rPr>
          <w:rFonts w:ascii="Book Antiqua" w:eastAsia="SimSun" w:hAnsi="Book Antiqua" w:cs="Times New Roman"/>
          <w:kern w:val="2"/>
          <w:sz w:val="24"/>
          <w:szCs w:val="24"/>
          <w:lang w:val="en-US" w:eastAsia="zh-CN"/>
        </w:rPr>
        <w:t xml:space="preserve"> A, </w:t>
      </w:r>
      <w:proofErr w:type="spellStart"/>
      <w:r w:rsidRPr="00466806">
        <w:rPr>
          <w:rFonts w:ascii="Book Antiqua" w:eastAsia="SimSun" w:hAnsi="Book Antiqua" w:cs="Times New Roman"/>
          <w:kern w:val="2"/>
          <w:sz w:val="24"/>
          <w:szCs w:val="24"/>
          <w:lang w:val="en-US" w:eastAsia="zh-CN"/>
        </w:rPr>
        <w:t>Montella</w:t>
      </w:r>
      <w:proofErr w:type="spellEnd"/>
      <w:r w:rsidRPr="00466806">
        <w:rPr>
          <w:rFonts w:ascii="Book Antiqua" w:eastAsia="SimSun" w:hAnsi="Book Antiqua" w:cs="Times New Roman"/>
          <w:kern w:val="2"/>
          <w:sz w:val="24"/>
          <w:szCs w:val="24"/>
          <w:lang w:val="en-US" w:eastAsia="zh-CN"/>
        </w:rPr>
        <w:t xml:space="preserve"> M, La </w:t>
      </w:r>
      <w:proofErr w:type="spellStart"/>
      <w:r w:rsidRPr="00466806">
        <w:rPr>
          <w:rFonts w:ascii="Book Antiqua" w:eastAsia="SimSun" w:hAnsi="Book Antiqua" w:cs="Times New Roman"/>
          <w:kern w:val="2"/>
          <w:sz w:val="24"/>
          <w:szCs w:val="24"/>
          <w:lang w:val="en-US" w:eastAsia="zh-CN"/>
        </w:rPr>
        <w:t>Vecchia</w:t>
      </w:r>
      <w:proofErr w:type="spellEnd"/>
      <w:r w:rsidRPr="00466806">
        <w:rPr>
          <w:rFonts w:ascii="Book Antiqua" w:eastAsia="SimSun" w:hAnsi="Book Antiqua" w:cs="Times New Roman"/>
          <w:kern w:val="2"/>
          <w:sz w:val="24"/>
          <w:szCs w:val="24"/>
          <w:lang w:val="en-US" w:eastAsia="zh-CN"/>
        </w:rPr>
        <w:t xml:space="preserve"> C, </w:t>
      </w:r>
      <w:proofErr w:type="spellStart"/>
      <w:r w:rsidRPr="00466806">
        <w:rPr>
          <w:rFonts w:ascii="Book Antiqua" w:eastAsia="SimSun" w:hAnsi="Book Antiqua" w:cs="Times New Roman"/>
          <w:kern w:val="2"/>
          <w:sz w:val="24"/>
          <w:szCs w:val="24"/>
          <w:lang w:val="en-US" w:eastAsia="zh-CN"/>
        </w:rPr>
        <w:t>Tavani</w:t>
      </w:r>
      <w:proofErr w:type="spellEnd"/>
      <w:r w:rsidRPr="00466806">
        <w:rPr>
          <w:rFonts w:ascii="Book Antiqua" w:eastAsia="SimSun" w:hAnsi="Book Antiqua" w:cs="Times New Roman"/>
          <w:kern w:val="2"/>
          <w:sz w:val="24"/>
          <w:szCs w:val="24"/>
          <w:lang w:val="en-US" w:eastAsia="zh-CN"/>
        </w:rPr>
        <w:t xml:space="preserve"> A. Mediterranean diet and colorectal cancer risk: a pooled analysis of three Italian case-control studies. </w:t>
      </w:r>
      <w:r w:rsidRPr="00466806">
        <w:rPr>
          <w:rFonts w:ascii="Book Antiqua" w:eastAsia="SimSun" w:hAnsi="Book Antiqua" w:cs="Times New Roman"/>
          <w:i/>
          <w:kern w:val="2"/>
          <w:sz w:val="24"/>
          <w:szCs w:val="24"/>
          <w:lang w:val="en-US" w:eastAsia="zh-CN"/>
        </w:rPr>
        <w:t>Br J Cancer</w:t>
      </w:r>
      <w:r w:rsidRPr="00466806">
        <w:rPr>
          <w:rFonts w:ascii="Book Antiqua" w:eastAsia="SimSun" w:hAnsi="Book Antiqua" w:cs="Times New Roman"/>
          <w:kern w:val="2"/>
          <w:sz w:val="24"/>
          <w:szCs w:val="24"/>
          <w:lang w:val="en-US" w:eastAsia="zh-CN"/>
        </w:rPr>
        <w:t xml:space="preserve"> 2016; </w:t>
      </w:r>
      <w:r w:rsidRPr="00466806">
        <w:rPr>
          <w:rFonts w:ascii="Book Antiqua" w:eastAsia="SimSun" w:hAnsi="Book Antiqua" w:cs="Times New Roman"/>
          <w:b/>
          <w:kern w:val="2"/>
          <w:sz w:val="24"/>
          <w:szCs w:val="24"/>
          <w:lang w:val="en-US" w:eastAsia="zh-CN"/>
        </w:rPr>
        <w:t>115</w:t>
      </w:r>
      <w:r w:rsidRPr="00466806">
        <w:rPr>
          <w:rFonts w:ascii="Book Antiqua" w:eastAsia="SimSun" w:hAnsi="Book Antiqua" w:cs="Times New Roman"/>
          <w:kern w:val="2"/>
          <w:sz w:val="24"/>
          <w:szCs w:val="24"/>
          <w:lang w:val="en-US" w:eastAsia="zh-CN"/>
        </w:rPr>
        <w:t>: 862-865 [PMID: 27537381 DOI: 10.1038/bjc.2016.245]</w:t>
      </w:r>
    </w:p>
    <w:p w14:paraId="0ACC6954"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 xml:space="preserve">17 </w:t>
      </w:r>
      <w:r w:rsidRPr="00466806">
        <w:rPr>
          <w:rFonts w:ascii="Book Antiqua" w:eastAsia="SimSun" w:hAnsi="Book Antiqua" w:cs="Times New Roman"/>
          <w:b/>
          <w:kern w:val="2"/>
          <w:sz w:val="24"/>
          <w:szCs w:val="24"/>
          <w:lang w:val="en-US" w:eastAsia="zh-CN"/>
        </w:rPr>
        <w:t>Menotti A</w:t>
      </w:r>
      <w:r w:rsidRPr="00466806">
        <w:rPr>
          <w:rFonts w:ascii="Book Antiqua" w:eastAsia="SimSun" w:hAnsi="Book Antiqua" w:cs="Times New Roman"/>
          <w:kern w:val="2"/>
          <w:sz w:val="24"/>
          <w:szCs w:val="24"/>
          <w:lang w:val="en-US" w:eastAsia="zh-CN"/>
        </w:rPr>
        <w:t xml:space="preserve">, Keys A, Blackburn H, </w:t>
      </w:r>
      <w:proofErr w:type="spellStart"/>
      <w:r w:rsidRPr="00466806">
        <w:rPr>
          <w:rFonts w:ascii="Book Antiqua" w:eastAsia="SimSun" w:hAnsi="Book Antiqua" w:cs="Times New Roman"/>
          <w:kern w:val="2"/>
          <w:sz w:val="24"/>
          <w:szCs w:val="24"/>
          <w:lang w:val="en-US" w:eastAsia="zh-CN"/>
        </w:rPr>
        <w:t>Kromhout</w:t>
      </w:r>
      <w:proofErr w:type="spellEnd"/>
      <w:r w:rsidRPr="00466806">
        <w:rPr>
          <w:rFonts w:ascii="Book Antiqua" w:eastAsia="SimSun" w:hAnsi="Book Antiqua" w:cs="Times New Roman"/>
          <w:kern w:val="2"/>
          <w:sz w:val="24"/>
          <w:szCs w:val="24"/>
          <w:lang w:val="en-US" w:eastAsia="zh-CN"/>
        </w:rPr>
        <w:t xml:space="preserve"> D, </w:t>
      </w:r>
      <w:proofErr w:type="spellStart"/>
      <w:r w:rsidRPr="00466806">
        <w:rPr>
          <w:rFonts w:ascii="Book Antiqua" w:eastAsia="SimSun" w:hAnsi="Book Antiqua" w:cs="Times New Roman"/>
          <w:kern w:val="2"/>
          <w:sz w:val="24"/>
          <w:szCs w:val="24"/>
          <w:lang w:val="en-US" w:eastAsia="zh-CN"/>
        </w:rPr>
        <w:t>Karvonen</w:t>
      </w:r>
      <w:proofErr w:type="spellEnd"/>
      <w:r w:rsidRPr="00466806">
        <w:rPr>
          <w:rFonts w:ascii="Book Antiqua" w:eastAsia="SimSun" w:hAnsi="Book Antiqua" w:cs="Times New Roman"/>
          <w:kern w:val="2"/>
          <w:sz w:val="24"/>
          <w:szCs w:val="24"/>
          <w:lang w:val="en-US" w:eastAsia="zh-CN"/>
        </w:rPr>
        <w:t xml:space="preserve"> M, </w:t>
      </w:r>
      <w:proofErr w:type="spellStart"/>
      <w:r w:rsidRPr="00466806">
        <w:rPr>
          <w:rFonts w:ascii="Book Antiqua" w:eastAsia="SimSun" w:hAnsi="Book Antiqua" w:cs="Times New Roman"/>
          <w:kern w:val="2"/>
          <w:sz w:val="24"/>
          <w:szCs w:val="24"/>
          <w:lang w:val="en-US" w:eastAsia="zh-CN"/>
        </w:rPr>
        <w:t>Nissinen</w:t>
      </w:r>
      <w:proofErr w:type="spellEnd"/>
      <w:r w:rsidRPr="00466806">
        <w:rPr>
          <w:rFonts w:ascii="Book Antiqua" w:eastAsia="SimSun" w:hAnsi="Book Antiqua" w:cs="Times New Roman"/>
          <w:kern w:val="2"/>
          <w:sz w:val="24"/>
          <w:szCs w:val="24"/>
          <w:lang w:val="en-US" w:eastAsia="zh-CN"/>
        </w:rPr>
        <w:t xml:space="preserve"> A, </w:t>
      </w:r>
      <w:proofErr w:type="spellStart"/>
      <w:r w:rsidRPr="00466806">
        <w:rPr>
          <w:rFonts w:ascii="Book Antiqua" w:eastAsia="SimSun" w:hAnsi="Book Antiqua" w:cs="Times New Roman"/>
          <w:kern w:val="2"/>
          <w:sz w:val="24"/>
          <w:szCs w:val="24"/>
          <w:lang w:val="en-US" w:eastAsia="zh-CN"/>
        </w:rPr>
        <w:t>Pekkanen</w:t>
      </w:r>
      <w:proofErr w:type="spellEnd"/>
      <w:r w:rsidRPr="00466806">
        <w:rPr>
          <w:rFonts w:ascii="Book Antiqua" w:eastAsia="SimSun" w:hAnsi="Book Antiqua" w:cs="Times New Roman"/>
          <w:kern w:val="2"/>
          <w:sz w:val="24"/>
          <w:szCs w:val="24"/>
          <w:lang w:val="en-US" w:eastAsia="zh-CN"/>
        </w:rPr>
        <w:t xml:space="preserve"> J, </w:t>
      </w:r>
      <w:proofErr w:type="spellStart"/>
      <w:r w:rsidRPr="00466806">
        <w:rPr>
          <w:rFonts w:ascii="Book Antiqua" w:eastAsia="SimSun" w:hAnsi="Book Antiqua" w:cs="Times New Roman"/>
          <w:kern w:val="2"/>
          <w:sz w:val="24"/>
          <w:szCs w:val="24"/>
          <w:lang w:val="en-US" w:eastAsia="zh-CN"/>
        </w:rPr>
        <w:t>Punsar</w:t>
      </w:r>
      <w:proofErr w:type="spellEnd"/>
      <w:r w:rsidRPr="00466806">
        <w:rPr>
          <w:rFonts w:ascii="Book Antiqua" w:eastAsia="SimSun" w:hAnsi="Book Antiqua" w:cs="Times New Roman"/>
          <w:kern w:val="2"/>
          <w:sz w:val="24"/>
          <w:szCs w:val="24"/>
          <w:lang w:val="en-US" w:eastAsia="zh-CN"/>
        </w:rPr>
        <w:t xml:space="preserve"> S, </w:t>
      </w:r>
      <w:proofErr w:type="spellStart"/>
      <w:r w:rsidRPr="00466806">
        <w:rPr>
          <w:rFonts w:ascii="Book Antiqua" w:eastAsia="SimSun" w:hAnsi="Book Antiqua" w:cs="Times New Roman"/>
          <w:kern w:val="2"/>
          <w:sz w:val="24"/>
          <w:szCs w:val="24"/>
          <w:lang w:val="en-US" w:eastAsia="zh-CN"/>
        </w:rPr>
        <w:t>Fidanza</w:t>
      </w:r>
      <w:proofErr w:type="spellEnd"/>
      <w:r w:rsidRPr="00466806">
        <w:rPr>
          <w:rFonts w:ascii="Book Antiqua" w:eastAsia="SimSun" w:hAnsi="Book Antiqua" w:cs="Times New Roman"/>
          <w:kern w:val="2"/>
          <w:sz w:val="24"/>
          <w:szCs w:val="24"/>
          <w:lang w:val="en-US" w:eastAsia="zh-CN"/>
        </w:rPr>
        <w:t xml:space="preserve"> F, </w:t>
      </w:r>
      <w:proofErr w:type="spellStart"/>
      <w:r w:rsidRPr="00466806">
        <w:rPr>
          <w:rFonts w:ascii="Book Antiqua" w:eastAsia="SimSun" w:hAnsi="Book Antiqua" w:cs="Times New Roman"/>
          <w:kern w:val="2"/>
          <w:sz w:val="24"/>
          <w:szCs w:val="24"/>
          <w:lang w:val="en-US" w:eastAsia="zh-CN"/>
        </w:rPr>
        <w:t>Giampaoli</w:t>
      </w:r>
      <w:proofErr w:type="spellEnd"/>
      <w:r w:rsidRPr="00466806">
        <w:rPr>
          <w:rFonts w:ascii="Book Antiqua" w:eastAsia="SimSun" w:hAnsi="Book Antiqua" w:cs="Times New Roman"/>
          <w:kern w:val="2"/>
          <w:sz w:val="24"/>
          <w:szCs w:val="24"/>
          <w:lang w:val="en-US" w:eastAsia="zh-CN"/>
        </w:rPr>
        <w:t xml:space="preserve"> S, </w:t>
      </w:r>
      <w:proofErr w:type="spellStart"/>
      <w:r w:rsidRPr="00466806">
        <w:rPr>
          <w:rFonts w:ascii="Book Antiqua" w:eastAsia="SimSun" w:hAnsi="Book Antiqua" w:cs="Times New Roman"/>
          <w:kern w:val="2"/>
          <w:sz w:val="24"/>
          <w:szCs w:val="24"/>
          <w:lang w:val="en-US" w:eastAsia="zh-CN"/>
        </w:rPr>
        <w:t>Seccareccia</w:t>
      </w:r>
      <w:proofErr w:type="spellEnd"/>
      <w:r w:rsidRPr="00466806">
        <w:rPr>
          <w:rFonts w:ascii="Book Antiqua" w:eastAsia="SimSun" w:hAnsi="Book Antiqua" w:cs="Times New Roman"/>
          <w:kern w:val="2"/>
          <w:sz w:val="24"/>
          <w:szCs w:val="24"/>
          <w:lang w:val="en-US" w:eastAsia="zh-CN"/>
        </w:rPr>
        <w:t xml:space="preserve"> F, </w:t>
      </w:r>
      <w:proofErr w:type="spellStart"/>
      <w:r w:rsidRPr="00466806">
        <w:rPr>
          <w:rFonts w:ascii="Book Antiqua" w:eastAsia="SimSun" w:hAnsi="Book Antiqua" w:cs="Times New Roman"/>
          <w:kern w:val="2"/>
          <w:sz w:val="24"/>
          <w:szCs w:val="24"/>
          <w:lang w:val="en-US" w:eastAsia="zh-CN"/>
        </w:rPr>
        <w:t>Buzina</w:t>
      </w:r>
      <w:proofErr w:type="spellEnd"/>
      <w:r w:rsidRPr="00466806">
        <w:rPr>
          <w:rFonts w:ascii="Book Antiqua" w:eastAsia="SimSun" w:hAnsi="Book Antiqua" w:cs="Times New Roman"/>
          <w:kern w:val="2"/>
          <w:sz w:val="24"/>
          <w:szCs w:val="24"/>
          <w:lang w:val="en-US" w:eastAsia="zh-CN"/>
        </w:rPr>
        <w:t xml:space="preserve"> R, </w:t>
      </w:r>
      <w:proofErr w:type="spellStart"/>
      <w:r w:rsidRPr="00466806">
        <w:rPr>
          <w:rFonts w:ascii="Book Antiqua" w:eastAsia="SimSun" w:hAnsi="Book Antiqua" w:cs="Times New Roman"/>
          <w:kern w:val="2"/>
          <w:sz w:val="24"/>
          <w:szCs w:val="24"/>
          <w:lang w:val="en-US" w:eastAsia="zh-CN"/>
        </w:rPr>
        <w:t>Mohacek</w:t>
      </w:r>
      <w:proofErr w:type="spellEnd"/>
      <w:r w:rsidRPr="00466806">
        <w:rPr>
          <w:rFonts w:ascii="Book Antiqua" w:eastAsia="SimSun" w:hAnsi="Book Antiqua" w:cs="Times New Roman"/>
          <w:kern w:val="2"/>
          <w:sz w:val="24"/>
          <w:szCs w:val="24"/>
          <w:lang w:val="en-US" w:eastAsia="zh-CN"/>
        </w:rPr>
        <w:t xml:space="preserve"> I, </w:t>
      </w:r>
      <w:proofErr w:type="spellStart"/>
      <w:r w:rsidRPr="00466806">
        <w:rPr>
          <w:rFonts w:ascii="Book Antiqua" w:eastAsia="SimSun" w:hAnsi="Book Antiqua" w:cs="Times New Roman"/>
          <w:kern w:val="2"/>
          <w:sz w:val="24"/>
          <w:szCs w:val="24"/>
          <w:lang w:val="en-US" w:eastAsia="zh-CN"/>
        </w:rPr>
        <w:t>Nedeljkovic</w:t>
      </w:r>
      <w:proofErr w:type="spellEnd"/>
      <w:r w:rsidRPr="00466806">
        <w:rPr>
          <w:rFonts w:ascii="Book Antiqua" w:eastAsia="SimSun" w:hAnsi="Book Antiqua" w:cs="Times New Roman"/>
          <w:kern w:val="2"/>
          <w:sz w:val="24"/>
          <w:szCs w:val="24"/>
          <w:lang w:val="en-US" w:eastAsia="zh-CN"/>
        </w:rPr>
        <w:t xml:space="preserve"> S, </w:t>
      </w:r>
      <w:proofErr w:type="spellStart"/>
      <w:r w:rsidRPr="00466806">
        <w:rPr>
          <w:rFonts w:ascii="Book Antiqua" w:eastAsia="SimSun" w:hAnsi="Book Antiqua" w:cs="Times New Roman"/>
          <w:kern w:val="2"/>
          <w:sz w:val="24"/>
          <w:szCs w:val="24"/>
          <w:lang w:val="en-US" w:eastAsia="zh-CN"/>
        </w:rPr>
        <w:t>Aravanis</w:t>
      </w:r>
      <w:proofErr w:type="spellEnd"/>
      <w:r w:rsidRPr="00466806">
        <w:rPr>
          <w:rFonts w:ascii="Book Antiqua" w:eastAsia="SimSun" w:hAnsi="Book Antiqua" w:cs="Times New Roman"/>
          <w:kern w:val="2"/>
          <w:sz w:val="24"/>
          <w:szCs w:val="24"/>
          <w:lang w:val="en-US" w:eastAsia="zh-CN"/>
        </w:rPr>
        <w:t xml:space="preserve"> C, </w:t>
      </w:r>
      <w:proofErr w:type="spellStart"/>
      <w:r w:rsidRPr="00466806">
        <w:rPr>
          <w:rFonts w:ascii="Book Antiqua" w:eastAsia="SimSun" w:hAnsi="Book Antiqua" w:cs="Times New Roman"/>
          <w:kern w:val="2"/>
          <w:sz w:val="24"/>
          <w:szCs w:val="24"/>
          <w:lang w:val="en-US" w:eastAsia="zh-CN"/>
        </w:rPr>
        <w:t>Dontas</w:t>
      </w:r>
      <w:proofErr w:type="spellEnd"/>
      <w:r w:rsidRPr="00466806">
        <w:rPr>
          <w:rFonts w:ascii="Book Antiqua" w:eastAsia="SimSun" w:hAnsi="Book Antiqua" w:cs="Times New Roman"/>
          <w:kern w:val="2"/>
          <w:sz w:val="24"/>
          <w:szCs w:val="24"/>
          <w:lang w:val="en-US" w:eastAsia="zh-CN"/>
        </w:rPr>
        <w:t xml:space="preserve"> A, Toshima H, </w:t>
      </w:r>
      <w:proofErr w:type="spellStart"/>
      <w:r w:rsidRPr="00466806">
        <w:rPr>
          <w:rFonts w:ascii="Book Antiqua" w:eastAsia="SimSun" w:hAnsi="Book Antiqua" w:cs="Times New Roman"/>
          <w:kern w:val="2"/>
          <w:sz w:val="24"/>
          <w:szCs w:val="24"/>
          <w:lang w:val="en-US" w:eastAsia="zh-CN"/>
        </w:rPr>
        <w:t>Lanti</w:t>
      </w:r>
      <w:proofErr w:type="spellEnd"/>
      <w:r w:rsidRPr="00466806">
        <w:rPr>
          <w:rFonts w:ascii="Book Antiqua" w:eastAsia="SimSun" w:hAnsi="Book Antiqua" w:cs="Times New Roman"/>
          <w:kern w:val="2"/>
          <w:sz w:val="24"/>
          <w:szCs w:val="24"/>
          <w:lang w:val="en-US" w:eastAsia="zh-CN"/>
        </w:rPr>
        <w:t xml:space="preserve"> M. Comparison of multivariate predictive power of major risk factors for coronary heart diseases in different countries: results from eight nations of the Seven Countries Study, 25-year follow-up.</w:t>
      </w:r>
      <w:proofErr w:type="gramEnd"/>
      <w:r w:rsidRPr="00466806">
        <w:rPr>
          <w:rFonts w:ascii="Book Antiqua" w:eastAsia="SimSun" w:hAnsi="Book Antiqua" w:cs="Times New Roman"/>
          <w:kern w:val="2"/>
          <w:sz w:val="24"/>
          <w:szCs w:val="24"/>
          <w:lang w:val="en-US" w:eastAsia="zh-CN"/>
        </w:rPr>
        <w:t xml:space="preserve"> </w:t>
      </w:r>
      <w:r w:rsidRPr="00466806">
        <w:rPr>
          <w:rFonts w:ascii="Book Antiqua" w:eastAsia="SimSun" w:hAnsi="Book Antiqua" w:cs="Times New Roman"/>
          <w:i/>
          <w:kern w:val="2"/>
          <w:sz w:val="24"/>
          <w:szCs w:val="24"/>
          <w:lang w:val="en-US" w:eastAsia="zh-CN"/>
        </w:rPr>
        <w:t xml:space="preserve">J </w:t>
      </w:r>
      <w:proofErr w:type="spellStart"/>
      <w:r w:rsidRPr="00466806">
        <w:rPr>
          <w:rFonts w:ascii="Book Antiqua" w:eastAsia="SimSun" w:hAnsi="Book Antiqua" w:cs="Times New Roman"/>
          <w:i/>
          <w:kern w:val="2"/>
          <w:sz w:val="24"/>
          <w:szCs w:val="24"/>
          <w:lang w:val="en-US" w:eastAsia="zh-CN"/>
        </w:rPr>
        <w:t>Cardiovasc</w:t>
      </w:r>
      <w:proofErr w:type="spellEnd"/>
      <w:r w:rsidRPr="00466806">
        <w:rPr>
          <w:rFonts w:ascii="Book Antiqua" w:eastAsia="SimSun" w:hAnsi="Book Antiqua" w:cs="Times New Roman"/>
          <w:i/>
          <w:kern w:val="2"/>
          <w:sz w:val="24"/>
          <w:szCs w:val="24"/>
          <w:lang w:val="en-US" w:eastAsia="zh-CN"/>
        </w:rPr>
        <w:t xml:space="preserve"> Risk</w:t>
      </w:r>
      <w:r w:rsidRPr="00466806">
        <w:rPr>
          <w:rFonts w:ascii="Book Antiqua" w:eastAsia="SimSun" w:hAnsi="Book Antiqua" w:cs="Times New Roman"/>
          <w:kern w:val="2"/>
          <w:sz w:val="24"/>
          <w:szCs w:val="24"/>
          <w:lang w:val="en-US" w:eastAsia="zh-CN"/>
        </w:rPr>
        <w:t xml:space="preserve"> 1996</w:t>
      </w:r>
      <w:proofErr w:type="gramStart"/>
      <w:r w:rsidRPr="00466806">
        <w:rPr>
          <w:rFonts w:ascii="Book Antiqua" w:eastAsia="SimSun" w:hAnsi="Book Antiqua" w:cs="Times New Roman"/>
          <w:kern w:val="2"/>
          <w:sz w:val="24"/>
          <w:szCs w:val="24"/>
          <w:lang w:val="en-US" w:eastAsia="zh-CN"/>
        </w:rPr>
        <w:t>;</w:t>
      </w:r>
      <w:proofErr w:type="gramEnd"/>
      <w:r w:rsidRPr="00466806">
        <w:rPr>
          <w:rFonts w:ascii="Book Antiqua" w:eastAsia="SimSun" w:hAnsi="Book Antiqua" w:cs="Times New Roman"/>
          <w:kern w:val="2"/>
          <w:sz w:val="24"/>
          <w:szCs w:val="24"/>
          <w:lang w:val="en-US" w:eastAsia="zh-CN"/>
        </w:rPr>
        <w:t xml:space="preserve"> </w:t>
      </w:r>
      <w:r w:rsidRPr="00466806">
        <w:rPr>
          <w:rFonts w:ascii="Book Antiqua" w:eastAsia="SimSun" w:hAnsi="Book Antiqua" w:cs="Times New Roman"/>
          <w:b/>
          <w:kern w:val="2"/>
          <w:sz w:val="24"/>
          <w:szCs w:val="24"/>
          <w:lang w:val="en-US" w:eastAsia="zh-CN"/>
        </w:rPr>
        <w:t>3</w:t>
      </w:r>
      <w:r w:rsidRPr="00466806">
        <w:rPr>
          <w:rFonts w:ascii="Book Antiqua" w:eastAsia="SimSun" w:hAnsi="Book Antiqua" w:cs="Times New Roman"/>
          <w:kern w:val="2"/>
          <w:sz w:val="24"/>
          <w:szCs w:val="24"/>
          <w:lang w:val="en-US" w:eastAsia="zh-CN"/>
        </w:rPr>
        <w:t>: 69-75 [PMID: 8783033]</w:t>
      </w:r>
    </w:p>
    <w:p w14:paraId="5EF160E7"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18</w:t>
      </w:r>
      <w:proofErr w:type="gramEnd"/>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b/>
          <w:kern w:val="2"/>
          <w:sz w:val="24"/>
          <w:szCs w:val="24"/>
          <w:lang w:val="en-US" w:eastAsia="zh-CN"/>
        </w:rPr>
        <w:t>Dinu</w:t>
      </w:r>
      <w:proofErr w:type="spellEnd"/>
      <w:r w:rsidRPr="00466806">
        <w:rPr>
          <w:rFonts w:ascii="Book Antiqua" w:eastAsia="SimSun" w:hAnsi="Book Antiqua" w:cs="Times New Roman"/>
          <w:b/>
          <w:kern w:val="2"/>
          <w:sz w:val="24"/>
          <w:szCs w:val="24"/>
          <w:lang w:val="en-US" w:eastAsia="zh-CN"/>
        </w:rPr>
        <w:t xml:space="preserve"> M</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Pagliai</w:t>
      </w:r>
      <w:proofErr w:type="spellEnd"/>
      <w:r w:rsidRPr="00466806">
        <w:rPr>
          <w:rFonts w:ascii="Book Antiqua" w:eastAsia="SimSun" w:hAnsi="Book Antiqua" w:cs="Times New Roman"/>
          <w:kern w:val="2"/>
          <w:sz w:val="24"/>
          <w:szCs w:val="24"/>
          <w:lang w:val="en-US" w:eastAsia="zh-CN"/>
        </w:rPr>
        <w:t xml:space="preserve"> G, </w:t>
      </w:r>
      <w:proofErr w:type="spellStart"/>
      <w:r w:rsidRPr="00466806">
        <w:rPr>
          <w:rFonts w:ascii="Book Antiqua" w:eastAsia="SimSun" w:hAnsi="Book Antiqua" w:cs="Times New Roman"/>
          <w:kern w:val="2"/>
          <w:sz w:val="24"/>
          <w:szCs w:val="24"/>
          <w:lang w:val="en-US" w:eastAsia="zh-CN"/>
        </w:rPr>
        <w:t>Casini</w:t>
      </w:r>
      <w:proofErr w:type="spellEnd"/>
      <w:r w:rsidRPr="00466806">
        <w:rPr>
          <w:rFonts w:ascii="Book Antiqua" w:eastAsia="SimSun" w:hAnsi="Book Antiqua" w:cs="Times New Roman"/>
          <w:kern w:val="2"/>
          <w:sz w:val="24"/>
          <w:szCs w:val="24"/>
          <w:lang w:val="en-US" w:eastAsia="zh-CN"/>
        </w:rPr>
        <w:t xml:space="preserve"> A, Sofi F. Mediterranean diet and multiple health outcomes: an umbrella review of meta-analyses of observational studies and </w:t>
      </w:r>
      <w:proofErr w:type="spellStart"/>
      <w:r w:rsidRPr="00466806">
        <w:rPr>
          <w:rFonts w:ascii="Book Antiqua" w:eastAsia="SimSun" w:hAnsi="Book Antiqua" w:cs="Times New Roman"/>
          <w:kern w:val="2"/>
          <w:sz w:val="24"/>
          <w:szCs w:val="24"/>
          <w:lang w:val="en-US" w:eastAsia="zh-CN"/>
        </w:rPr>
        <w:t>randomised</w:t>
      </w:r>
      <w:proofErr w:type="spellEnd"/>
      <w:r w:rsidRPr="00466806">
        <w:rPr>
          <w:rFonts w:ascii="Book Antiqua" w:eastAsia="SimSun" w:hAnsi="Book Antiqua" w:cs="Times New Roman"/>
          <w:kern w:val="2"/>
          <w:sz w:val="24"/>
          <w:szCs w:val="24"/>
          <w:lang w:val="en-US" w:eastAsia="zh-CN"/>
        </w:rPr>
        <w:t xml:space="preserve"> trials. </w:t>
      </w:r>
      <w:proofErr w:type="spellStart"/>
      <w:r w:rsidRPr="00466806">
        <w:rPr>
          <w:rFonts w:ascii="Book Antiqua" w:eastAsia="SimSun" w:hAnsi="Book Antiqua" w:cs="Times New Roman"/>
          <w:i/>
          <w:kern w:val="2"/>
          <w:sz w:val="24"/>
          <w:szCs w:val="24"/>
          <w:lang w:val="en-US" w:eastAsia="zh-CN"/>
        </w:rPr>
        <w:t>Eur</w:t>
      </w:r>
      <w:proofErr w:type="spellEnd"/>
      <w:r w:rsidRPr="00466806">
        <w:rPr>
          <w:rFonts w:ascii="Book Antiqua" w:eastAsia="SimSun" w:hAnsi="Book Antiqua" w:cs="Times New Roman"/>
          <w:i/>
          <w:kern w:val="2"/>
          <w:sz w:val="24"/>
          <w:szCs w:val="24"/>
          <w:lang w:val="en-US" w:eastAsia="zh-CN"/>
        </w:rPr>
        <w:t xml:space="preserve"> J </w:t>
      </w:r>
      <w:proofErr w:type="spellStart"/>
      <w:r w:rsidRPr="00466806">
        <w:rPr>
          <w:rFonts w:ascii="Book Antiqua" w:eastAsia="SimSun" w:hAnsi="Book Antiqua" w:cs="Times New Roman"/>
          <w:i/>
          <w:kern w:val="2"/>
          <w:sz w:val="24"/>
          <w:szCs w:val="24"/>
          <w:lang w:val="en-US" w:eastAsia="zh-CN"/>
        </w:rPr>
        <w:t>Clin</w:t>
      </w:r>
      <w:proofErr w:type="spellEnd"/>
      <w:r w:rsidRPr="00466806">
        <w:rPr>
          <w:rFonts w:ascii="Book Antiqua" w:eastAsia="SimSun" w:hAnsi="Book Antiqua" w:cs="Times New Roman"/>
          <w:i/>
          <w:kern w:val="2"/>
          <w:sz w:val="24"/>
          <w:szCs w:val="24"/>
          <w:lang w:val="en-US" w:eastAsia="zh-CN"/>
        </w:rPr>
        <w:t xml:space="preserve"> </w:t>
      </w:r>
      <w:proofErr w:type="spellStart"/>
      <w:r w:rsidRPr="00466806">
        <w:rPr>
          <w:rFonts w:ascii="Book Antiqua" w:eastAsia="SimSun" w:hAnsi="Book Antiqua" w:cs="Times New Roman"/>
          <w:i/>
          <w:kern w:val="2"/>
          <w:sz w:val="24"/>
          <w:szCs w:val="24"/>
          <w:lang w:val="en-US" w:eastAsia="zh-CN"/>
        </w:rPr>
        <w:t>Nutr</w:t>
      </w:r>
      <w:proofErr w:type="spellEnd"/>
      <w:r w:rsidRPr="00466806">
        <w:rPr>
          <w:rFonts w:ascii="Book Antiqua" w:eastAsia="SimSun" w:hAnsi="Book Antiqua" w:cs="Times New Roman"/>
          <w:kern w:val="2"/>
          <w:sz w:val="24"/>
          <w:szCs w:val="24"/>
          <w:lang w:val="en-US" w:eastAsia="zh-CN"/>
        </w:rPr>
        <w:t xml:space="preserve"> 2018; </w:t>
      </w:r>
      <w:r w:rsidRPr="00466806">
        <w:rPr>
          <w:rFonts w:ascii="Book Antiqua" w:eastAsia="SimSun" w:hAnsi="Book Antiqua" w:cs="Times New Roman"/>
          <w:b/>
          <w:kern w:val="2"/>
          <w:sz w:val="24"/>
          <w:szCs w:val="24"/>
          <w:lang w:val="en-US" w:eastAsia="zh-CN"/>
        </w:rPr>
        <w:t>72</w:t>
      </w:r>
      <w:r w:rsidRPr="00466806">
        <w:rPr>
          <w:rFonts w:ascii="Book Antiqua" w:eastAsia="SimSun" w:hAnsi="Book Antiqua" w:cs="Times New Roman"/>
          <w:kern w:val="2"/>
          <w:sz w:val="24"/>
          <w:szCs w:val="24"/>
          <w:lang w:val="en-US" w:eastAsia="zh-CN"/>
        </w:rPr>
        <w:t>: 30-43 [PMID: 28488692 DOI: 10.1038/ejcn.2017.58]</w:t>
      </w:r>
    </w:p>
    <w:p w14:paraId="6D1F7042"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19 </w:t>
      </w:r>
      <w:r w:rsidRPr="00466806">
        <w:rPr>
          <w:rFonts w:ascii="Book Antiqua" w:eastAsia="SimSun" w:hAnsi="Book Antiqua" w:cs="Times New Roman"/>
          <w:b/>
          <w:kern w:val="2"/>
          <w:sz w:val="24"/>
          <w:szCs w:val="24"/>
          <w:lang w:val="en-US" w:eastAsia="zh-CN"/>
        </w:rPr>
        <w:t>Sofi F</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Macchi</w:t>
      </w:r>
      <w:proofErr w:type="spellEnd"/>
      <w:r w:rsidRPr="00466806">
        <w:rPr>
          <w:rFonts w:ascii="Book Antiqua" w:eastAsia="SimSun" w:hAnsi="Book Antiqua" w:cs="Times New Roman"/>
          <w:kern w:val="2"/>
          <w:sz w:val="24"/>
          <w:szCs w:val="24"/>
          <w:lang w:val="en-US" w:eastAsia="zh-CN"/>
        </w:rPr>
        <w:t xml:space="preserve"> C, Abbate R, </w:t>
      </w:r>
      <w:proofErr w:type="spellStart"/>
      <w:r w:rsidRPr="00466806">
        <w:rPr>
          <w:rFonts w:ascii="Book Antiqua" w:eastAsia="SimSun" w:hAnsi="Book Antiqua" w:cs="Times New Roman"/>
          <w:kern w:val="2"/>
          <w:sz w:val="24"/>
          <w:szCs w:val="24"/>
          <w:lang w:val="en-US" w:eastAsia="zh-CN"/>
        </w:rPr>
        <w:t>Gensini</w:t>
      </w:r>
      <w:proofErr w:type="spellEnd"/>
      <w:r w:rsidRPr="00466806">
        <w:rPr>
          <w:rFonts w:ascii="Book Antiqua" w:eastAsia="SimSun" w:hAnsi="Book Antiqua" w:cs="Times New Roman"/>
          <w:kern w:val="2"/>
          <w:sz w:val="24"/>
          <w:szCs w:val="24"/>
          <w:lang w:val="en-US" w:eastAsia="zh-CN"/>
        </w:rPr>
        <w:t xml:space="preserve"> GF, </w:t>
      </w:r>
      <w:proofErr w:type="spellStart"/>
      <w:proofErr w:type="gramStart"/>
      <w:r w:rsidRPr="00466806">
        <w:rPr>
          <w:rFonts w:ascii="Book Antiqua" w:eastAsia="SimSun" w:hAnsi="Book Antiqua" w:cs="Times New Roman"/>
          <w:kern w:val="2"/>
          <w:sz w:val="24"/>
          <w:szCs w:val="24"/>
          <w:lang w:val="en-US" w:eastAsia="zh-CN"/>
        </w:rPr>
        <w:t>Casini</w:t>
      </w:r>
      <w:proofErr w:type="spellEnd"/>
      <w:proofErr w:type="gramEnd"/>
      <w:r w:rsidRPr="00466806">
        <w:rPr>
          <w:rFonts w:ascii="Book Antiqua" w:eastAsia="SimSun" w:hAnsi="Book Antiqua" w:cs="Times New Roman"/>
          <w:kern w:val="2"/>
          <w:sz w:val="24"/>
          <w:szCs w:val="24"/>
          <w:lang w:val="en-US" w:eastAsia="zh-CN"/>
        </w:rPr>
        <w:t xml:space="preserve"> A. Mediterranean diet and health status: an updated meta-analysis and a proposal for a literature-based adherence score. </w:t>
      </w:r>
      <w:r w:rsidRPr="00466806">
        <w:rPr>
          <w:rFonts w:ascii="Book Antiqua" w:eastAsia="SimSun" w:hAnsi="Book Antiqua" w:cs="Times New Roman"/>
          <w:i/>
          <w:kern w:val="2"/>
          <w:sz w:val="24"/>
          <w:szCs w:val="24"/>
          <w:lang w:val="en-US" w:eastAsia="zh-CN"/>
        </w:rPr>
        <w:t xml:space="preserve">Public Health </w:t>
      </w:r>
      <w:proofErr w:type="spellStart"/>
      <w:r w:rsidRPr="00466806">
        <w:rPr>
          <w:rFonts w:ascii="Book Antiqua" w:eastAsia="SimSun" w:hAnsi="Book Antiqua" w:cs="Times New Roman"/>
          <w:i/>
          <w:kern w:val="2"/>
          <w:sz w:val="24"/>
          <w:szCs w:val="24"/>
          <w:lang w:val="en-US" w:eastAsia="zh-CN"/>
        </w:rPr>
        <w:t>Nutr</w:t>
      </w:r>
      <w:proofErr w:type="spellEnd"/>
      <w:r w:rsidRPr="00466806">
        <w:rPr>
          <w:rFonts w:ascii="Book Antiqua" w:eastAsia="SimSun" w:hAnsi="Book Antiqua" w:cs="Times New Roman"/>
          <w:kern w:val="2"/>
          <w:sz w:val="24"/>
          <w:szCs w:val="24"/>
          <w:lang w:val="en-US" w:eastAsia="zh-CN"/>
        </w:rPr>
        <w:t xml:space="preserve"> 2014; </w:t>
      </w:r>
      <w:r w:rsidRPr="00466806">
        <w:rPr>
          <w:rFonts w:ascii="Book Antiqua" w:eastAsia="SimSun" w:hAnsi="Book Antiqua" w:cs="Times New Roman"/>
          <w:b/>
          <w:kern w:val="2"/>
          <w:sz w:val="24"/>
          <w:szCs w:val="24"/>
          <w:lang w:val="en-US" w:eastAsia="zh-CN"/>
        </w:rPr>
        <w:t>17</w:t>
      </w:r>
      <w:r w:rsidRPr="00466806">
        <w:rPr>
          <w:rFonts w:ascii="Book Antiqua" w:eastAsia="SimSun" w:hAnsi="Book Antiqua" w:cs="Times New Roman"/>
          <w:kern w:val="2"/>
          <w:sz w:val="24"/>
          <w:szCs w:val="24"/>
          <w:lang w:val="en-US" w:eastAsia="zh-CN"/>
        </w:rPr>
        <w:t>: 2769-2782 [PMID: 24476641 DOI: 10.1017/S1368980013003169]</w:t>
      </w:r>
    </w:p>
    <w:p w14:paraId="6A2274DB"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20 </w:t>
      </w:r>
      <w:r w:rsidRPr="00466806">
        <w:rPr>
          <w:rFonts w:ascii="Book Antiqua" w:eastAsia="SimSun" w:hAnsi="Book Antiqua" w:cs="Times New Roman"/>
          <w:b/>
          <w:kern w:val="2"/>
          <w:sz w:val="24"/>
          <w:szCs w:val="24"/>
          <w:lang w:val="en-US" w:eastAsia="zh-CN"/>
        </w:rPr>
        <w:t>Medina-</w:t>
      </w:r>
      <w:proofErr w:type="spellStart"/>
      <w:r w:rsidRPr="00466806">
        <w:rPr>
          <w:rFonts w:ascii="Book Antiqua" w:eastAsia="SimSun" w:hAnsi="Book Antiqua" w:cs="Times New Roman"/>
          <w:b/>
          <w:kern w:val="2"/>
          <w:sz w:val="24"/>
          <w:szCs w:val="24"/>
          <w:lang w:val="en-US" w:eastAsia="zh-CN"/>
        </w:rPr>
        <w:t>Remón</w:t>
      </w:r>
      <w:proofErr w:type="spellEnd"/>
      <w:r w:rsidRPr="00466806">
        <w:rPr>
          <w:rFonts w:ascii="Book Antiqua" w:eastAsia="SimSun" w:hAnsi="Book Antiqua" w:cs="Times New Roman"/>
          <w:b/>
          <w:kern w:val="2"/>
          <w:sz w:val="24"/>
          <w:szCs w:val="24"/>
          <w:lang w:val="en-US" w:eastAsia="zh-CN"/>
        </w:rPr>
        <w:t xml:space="preserve"> A</w:t>
      </w:r>
      <w:r w:rsidRPr="00466806">
        <w:rPr>
          <w:rFonts w:ascii="Book Antiqua" w:eastAsia="SimSun" w:hAnsi="Book Antiqua" w:cs="Times New Roman"/>
          <w:kern w:val="2"/>
          <w:sz w:val="24"/>
          <w:szCs w:val="24"/>
          <w:lang w:val="en-US" w:eastAsia="zh-CN"/>
        </w:rPr>
        <w:t xml:space="preserve">, Kirwan R, </w:t>
      </w:r>
      <w:proofErr w:type="spellStart"/>
      <w:r w:rsidRPr="00466806">
        <w:rPr>
          <w:rFonts w:ascii="Book Antiqua" w:eastAsia="SimSun" w:hAnsi="Book Antiqua" w:cs="Times New Roman"/>
          <w:kern w:val="2"/>
          <w:sz w:val="24"/>
          <w:szCs w:val="24"/>
          <w:lang w:val="en-US" w:eastAsia="zh-CN"/>
        </w:rPr>
        <w:t>Lamuela-Raventós</w:t>
      </w:r>
      <w:proofErr w:type="spellEnd"/>
      <w:r w:rsidRPr="00466806">
        <w:rPr>
          <w:rFonts w:ascii="Book Antiqua" w:eastAsia="SimSun" w:hAnsi="Book Antiqua" w:cs="Times New Roman"/>
          <w:kern w:val="2"/>
          <w:sz w:val="24"/>
          <w:szCs w:val="24"/>
          <w:lang w:val="en-US" w:eastAsia="zh-CN"/>
        </w:rPr>
        <w:t xml:space="preserve"> RM, </w:t>
      </w:r>
      <w:proofErr w:type="spellStart"/>
      <w:r w:rsidRPr="00466806">
        <w:rPr>
          <w:rFonts w:ascii="Book Antiqua" w:eastAsia="SimSun" w:hAnsi="Book Antiqua" w:cs="Times New Roman"/>
          <w:kern w:val="2"/>
          <w:sz w:val="24"/>
          <w:szCs w:val="24"/>
          <w:lang w:val="en-US" w:eastAsia="zh-CN"/>
        </w:rPr>
        <w:t>Estruch</w:t>
      </w:r>
      <w:proofErr w:type="spellEnd"/>
      <w:r w:rsidRPr="00466806">
        <w:rPr>
          <w:rFonts w:ascii="Book Antiqua" w:eastAsia="SimSun" w:hAnsi="Book Antiqua" w:cs="Times New Roman"/>
          <w:kern w:val="2"/>
          <w:sz w:val="24"/>
          <w:szCs w:val="24"/>
          <w:lang w:val="en-US" w:eastAsia="zh-CN"/>
        </w:rPr>
        <w:t xml:space="preserve"> R. Dietary patterns and the risk of obesity, type </w:t>
      </w:r>
      <w:proofErr w:type="gramStart"/>
      <w:r w:rsidRPr="00466806">
        <w:rPr>
          <w:rFonts w:ascii="Book Antiqua" w:eastAsia="SimSun" w:hAnsi="Book Antiqua" w:cs="Times New Roman"/>
          <w:kern w:val="2"/>
          <w:sz w:val="24"/>
          <w:szCs w:val="24"/>
          <w:lang w:val="en-US" w:eastAsia="zh-CN"/>
        </w:rPr>
        <w:t>2</w:t>
      </w:r>
      <w:proofErr w:type="gramEnd"/>
      <w:r w:rsidRPr="00466806">
        <w:rPr>
          <w:rFonts w:ascii="Book Antiqua" w:eastAsia="SimSun" w:hAnsi="Book Antiqua" w:cs="Times New Roman"/>
          <w:kern w:val="2"/>
          <w:sz w:val="24"/>
          <w:szCs w:val="24"/>
          <w:lang w:val="en-US" w:eastAsia="zh-CN"/>
        </w:rPr>
        <w:t xml:space="preserve"> diabetes mellitus, cardiovascular diseases, asthma, and neurodegenerative diseases. </w:t>
      </w:r>
      <w:proofErr w:type="spellStart"/>
      <w:r w:rsidRPr="00466806">
        <w:rPr>
          <w:rFonts w:ascii="Book Antiqua" w:eastAsia="SimSun" w:hAnsi="Book Antiqua" w:cs="Times New Roman"/>
          <w:i/>
          <w:kern w:val="2"/>
          <w:sz w:val="24"/>
          <w:szCs w:val="24"/>
          <w:lang w:val="en-US" w:eastAsia="zh-CN"/>
        </w:rPr>
        <w:t>Crit</w:t>
      </w:r>
      <w:proofErr w:type="spellEnd"/>
      <w:r w:rsidRPr="00466806">
        <w:rPr>
          <w:rFonts w:ascii="Book Antiqua" w:eastAsia="SimSun" w:hAnsi="Book Antiqua" w:cs="Times New Roman"/>
          <w:i/>
          <w:kern w:val="2"/>
          <w:sz w:val="24"/>
          <w:szCs w:val="24"/>
          <w:lang w:val="en-US" w:eastAsia="zh-CN"/>
        </w:rPr>
        <w:t xml:space="preserve"> Rev Food </w:t>
      </w:r>
      <w:proofErr w:type="spellStart"/>
      <w:r w:rsidRPr="00466806">
        <w:rPr>
          <w:rFonts w:ascii="Book Antiqua" w:eastAsia="SimSun" w:hAnsi="Book Antiqua" w:cs="Times New Roman"/>
          <w:i/>
          <w:kern w:val="2"/>
          <w:sz w:val="24"/>
          <w:szCs w:val="24"/>
          <w:lang w:val="en-US" w:eastAsia="zh-CN"/>
        </w:rPr>
        <w:t>Sci</w:t>
      </w:r>
      <w:proofErr w:type="spellEnd"/>
      <w:r w:rsidRPr="00466806">
        <w:rPr>
          <w:rFonts w:ascii="Book Antiqua" w:eastAsia="SimSun" w:hAnsi="Book Antiqua" w:cs="Times New Roman"/>
          <w:i/>
          <w:kern w:val="2"/>
          <w:sz w:val="24"/>
          <w:szCs w:val="24"/>
          <w:lang w:val="en-US" w:eastAsia="zh-CN"/>
        </w:rPr>
        <w:t xml:space="preserve"> </w:t>
      </w:r>
      <w:proofErr w:type="spellStart"/>
      <w:r w:rsidRPr="00466806">
        <w:rPr>
          <w:rFonts w:ascii="Book Antiqua" w:eastAsia="SimSun" w:hAnsi="Book Antiqua" w:cs="Times New Roman"/>
          <w:i/>
          <w:kern w:val="2"/>
          <w:sz w:val="24"/>
          <w:szCs w:val="24"/>
          <w:lang w:val="en-US" w:eastAsia="zh-CN"/>
        </w:rPr>
        <w:t>Nutr</w:t>
      </w:r>
      <w:proofErr w:type="spellEnd"/>
      <w:r w:rsidRPr="00466806">
        <w:rPr>
          <w:rFonts w:ascii="Book Antiqua" w:eastAsia="SimSun" w:hAnsi="Book Antiqua" w:cs="Times New Roman"/>
          <w:kern w:val="2"/>
          <w:sz w:val="24"/>
          <w:szCs w:val="24"/>
          <w:lang w:val="en-US" w:eastAsia="zh-CN"/>
        </w:rPr>
        <w:t xml:space="preserve"> 2018; </w:t>
      </w:r>
      <w:r w:rsidRPr="00466806">
        <w:rPr>
          <w:rFonts w:ascii="Book Antiqua" w:eastAsia="SimSun" w:hAnsi="Book Antiqua" w:cs="Times New Roman"/>
          <w:b/>
          <w:kern w:val="2"/>
          <w:sz w:val="24"/>
          <w:szCs w:val="24"/>
          <w:lang w:val="en-US" w:eastAsia="zh-CN"/>
        </w:rPr>
        <w:t>58</w:t>
      </w:r>
      <w:r w:rsidRPr="00466806">
        <w:rPr>
          <w:rFonts w:ascii="Book Antiqua" w:eastAsia="SimSun" w:hAnsi="Book Antiqua" w:cs="Times New Roman"/>
          <w:kern w:val="2"/>
          <w:sz w:val="24"/>
          <w:szCs w:val="24"/>
          <w:lang w:val="en-US" w:eastAsia="zh-CN"/>
        </w:rPr>
        <w:t>: 262-296 [PMID: 27127938 DOI: 10.1080/10408398.2016.1158690]</w:t>
      </w:r>
    </w:p>
    <w:p w14:paraId="46E9F084"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21</w:t>
      </w:r>
      <w:proofErr w:type="gramEnd"/>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b/>
          <w:kern w:val="2"/>
          <w:sz w:val="24"/>
          <w:szCs w:val="24"/>
          <w:lang w:val="en-US" w:eastAsia="zh-CN"/>
        </w:rPr>
        <w:t>Cottet</w:t>
      </w:r>
      <w:proofErr w:type="spellEnd"/>
      <w:r w:rsidRPr="00466806">
        <w:rPr>
          <w:rFonts w:ascii="Book Antiqua" w:eastAsia="SimSun" w:hAnsi="Book Antiqua" w:cs="Times New Roman"/>
          <w:b/>
          <w:kern w:val="2"/>
          <w:sz w:val="24"/>
          <w:szCs w:val="24"/>
          <w:lang w:val="en-US" w:eastAsia="zh-CN"/>
        </w:rPr>
        <w:t xml:space="preserve"> V</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Bonithon</w:t>
      </w:r>
      <w:proofErr w:type="spellEnd"/>
      <w:r w:rsidRPr="00466806">
        <w:rPr>
          <w:rFonts w:ascii="Book Antiqua" w:eastAsia="SimSun" w:hAnsi="Book Antiqua" w:cs="Times New Roman"/>
          <w:kern w:val="2"/>
          <w:sz w:val="24"/>
          <w:szCs w:val="24"/>
          <w:lang w:val="en-US" w:eastAsia="zh-CN"/>
        </w:rPr>
        <w:t xml:space="preserve">-Kopp C, </w:t>
      </w:r>
      <w:proofErr w:type="spellStart"/>
      <w:r w:rsidRPr="00466806">
        <w:rPr>
          <w:rFonts w:ascii="Book Antiqua" w:eastAsia="SimSun" w:hAnsi="Book Antiqua" w:cs="Times New Roman"/>
          <w:kern w:val="2"/>
          <w:sz w:val="24"/>
          <w:szCs w:val="24"/>
          <w:lang w:val="en-US" w:eastAsia="zh-CN"/>
        </w:rPr>
        <w:t>Kronborg</w:t>
      </w:r>
      <w:proofErr w:type="spellEnd"/>
      <w:r w:rsidRPr="00466806">
        <w:rPr>
          <w:rFonts w:ascii="Book Antiqua" w:eastAsia="SimSun" w:hAnsi="Book Antiqua" w:cs="Times New Roman"/>
          <w:kern w:val="2"/>
          <w:sz w:val="24"/>
          <w:szCs w:val="24"/>
          <w:lang w:val="en-US" w:eastAsia="zh-CN"/>
        </w:rPr>
        <w:t xml:space="preserve"> O, Santos L, </w:t>
      </w:r>
      <w:proofErr w:type="spellStart"/>
      <w:r w:rsidRPr="00466806">
        <w:rPr>
          <w:rFonts w:ascii="Book Antiqua" w:eastAsia="SimSun" w:hAnsi="Book Antiqua" w:cs="Times New Roman"/>
          <w:kern w:val="2"/>
          <w:sz w:val="24"/>
          <w:szCs w:val="24"/>
          <w:lang w:val="en-US" w:eastAsia="zh-CN"/>
        </w:rPr>
        <w:t>Andreatta</w:t>
      </w:r>
      <w:proofErr w:type="spellEnd"/>
      <w:r w:rsidRPr="00466806">
        <w:rPr>
          <w:rFonts w:ascii="Book Antiqua" w:eastAsia="SimSun" w:hAnsi="Book Antiqua" w:cs="Times New Roman"/>
          <w:kern w:val="2"/>
          <w:sz w:val="24"/>
          <w:szCs w:val="24"/>
          <w:lang w:val="en-US" w:eastAsia="zh-CN"/>
        </w:rPr>
        <w:t xml:space="preserve"> R, </w:t>
      </w:r>
      <w:proofErr w:type="spellStart"/>
      <w:r w:rsidRPr="00466806">
        <w:rPr>
          <w:rFonts w:ascii="Book Antiqua" w:eastAsia="SimSun" w:hAnsi="Book Antiqua" w:cs="Times New Roman"/>
          <w:kern w:val="2"/>
          <w:sz w:val="24"/>
          <w:szCs w:val="24"/>
          <w:lang w:val="en-US" w:eastAsia="zh-CN"/>
        </w:rPr>
        <w:t>Boutron-Ruault</w:t>
      </w:r>
      <w:proofErr w:type="spellEnd"/>
      <w:r w:rsidRPr="00466806">
        <w:rPr>
          <w:rFonts w:ascii="Book Antiqua" w:eastAsia="SimSun" w:hAnsi="Book Antiqua" w:cs="Times New Roman"/>
          <w:kern w:val="2"/>
          <w:sz w:val="24"/>
          <w:szCs w:val="24"/>
          <w:lang w:val="en-US" w:eastAsia="zh-CN"/>
        </w:rPr>
        <w:t xml:space="preserve"> MC, </w:t>
      </w:r>
      <w:proofErr w:type="spellStart"/>
      <w:r w:rsidRPr="00466806">
        <w:rPr>
          <w:rFonts w:ascii="Book Antiqua" w:eastAsia="SimSun" w:hAnsi="Book Antiqua" w:cs="Times New Roman"/>
          <w:kern w:val="2"/>
          <w:sz w:val="24"/>
          <w:szCs w:val="24"/>
          <w:lang w:val="en-US" w:eastAsia="zh-CN"/>
        </w:rPr>
        <w:t>Faivre</w:t>
      </w:r>
      <w:proofErr w:type="spellEnd"/>
      <w:r w:rsidRPr="00466806">
        <w:rPr>
          <w:rFonts w:ascii="Book Antiqua" w:eastAsia="SimSun" w:hAnsi="Book Antiqua" w:cs="Times New Roman"/>
          <w:kern w:val="2"/>
          <w:sz w:val="24"/>
          <w:szCs w:val="24"/>
          <w:lang w:val="en-US" w:eastAsia="zh-CN"/>
        </w:rPr>
        <w:t xml:space="preserve"> J; European Cancer Prevention </w:t>
      </w:r>
      <w:proofErr w:type="spellStart"/>
      <w:r w:rsidRPr="00466806">
        <w:rPr>
          <w:rFonts w:ascii="Book Antiqua" w:eastAsia="SimSun" w:hAnsi="Book Antiqua" w:cs="Times New Roman"/>
          <w:kern w:val="2"/>
          <w:sz w:val="24"/>
          <w:szCs w:val="24"/>
          <w:lang w:val="en-US" w:eastAsia="zh-CN"/>
        </w:rPr>
        <w:t>Organisation</w:t>
      </w:r>
      <w:proofErr w:type="spellEnd"/>
      <w:r w:rsidRPr="00466806">
        <w:rPr>
          <w:rFonts w:ascii="Book Antiqua" w:eastAsia="SimSun" w:hAnsi="Book Antiqua" w:cs="Times New Roman"/>
          <w:kern w:val="2"/>
          <w:sz w:val="24"/>
          <w:szCs w:val="24"/>
          <w:lang w:val="en-US" w:eastAsia="zh-CN"/>
        </w:rPr>
        <w:t xml:space="preserve"> Study Group. Dietary patterns and the risk of colorectal adenoma recurrence in a European intervention trial. </w:t>
      </w:r>
      <w:proofErr w:type="spellStart"/>
      <w:r w:rsidRPr="00466806">
        <w:rPr>
          <w:rFonts w:ascii="Book Antiqua" w:eastAsia="SimSun" w:hAnsi="Book Antiqua" w:cs="Times New Roman"/>
          <w:i/>
          <w:kern w:val="2"/>
          <w:sz w:val="24"/>
          <w:szCs w:val="24"/>
          <w:lang w:val="en-US" w:eastAsia="zh-CN"/>
        </w:rPr>
        <w:t>Eur</w:t>
      </w:r>
      <w:proofErr w:type="spellEnd"/>
      <w:r w:rsidRPr="00466806">
        <w:rPr>
          <w:rFonts w:ascii="Book Antiqua" w:eastAsia="SimSun" w:hAnsi="Book Antiqua" w:cs="Times New Roman"/>
          <w:i/>
          <w:kern w:val="2"/>
          <w:sz w:val="24"/>
          <w:szCs w:val="24"/>
          <w:lang w:val="en-US" w:eastAsia="zh-CN"/>
        </w:rPr>
        <w:t xml:space="preserve"> J Cancer </w:t>
      </w:r>
      <w:proofErr w:type="spellStart"/>
      <w:r w:rsidRPr="00466806">
        <w:rPr>
          <w:rFonts w:ascii="Book Antiqua" w:eastAsia="SimSun" w:hAnsi="Book Antiqua" w:cs="Times New Roman"/>
          <w:i/>
          <w:kern w:val="2"/>
          <w:sz w:val="24"/>
          <w:szCs w:val="24"/>
          <w:lang w:val="en-US" w:eastAsia="zh-CN"/>
        </w:rPr>
        <w:t>Prev</w:t>
      </w:r>
      <w:proofErr w:type="spellEnd"/>
      <w:r w:rsidRPr="00466806">
        <w:rPr>
          <w:rFonts w:ascii="Book Antiqua" w:eastAsia="SimSun" w:hAnsi="Book Antiqua" w:cs="Times New Roman"/>
          <w:kern w:val="2"/>
          <w:sz w:val="24"/>
          <w:szCs w:val="24"/>
          <w:lang w:val="en-US" w:eastAsia="zh-CN"/>
        </w:rPr>
        <w:t xml:space="preserve"> 2005</w:t>
      </w:r>
      <w:proofErr w:type="gramStart"/>
      <w:r w:rsidRPr="00466806">
        <w:rPr>
          <w:rFonts w:ascii="Book Antiqua" w:eastAsia="SimSun" w:hAnsi="Book Antiqua" w:cs="Times New Roman"/>
          <w:kern w:val="2"/>
          <w:sz w:val="24"/>
          <w:szCs w:val="24"/>
          <w:lang w:val="en-US" w:eastAsia="zh-CN"/>
        </w:rPr>
        <w:t>;</w:t>
      </w:r>
      <w:proofErr w:type="gramEnd"/>
      <w:r w:rsidRPr="00466806">
        <w:rPr>
          <w:rFonts w:ascii="Book Antiqua" w:eastAsia="SimSun" w:hAnsi="Book Antiqua" w:cs="Times New Roman"/>
          <w:kern w:val="2"/>
          <w:sz w:val="24"/>
          <w:szCs w:val="24"/>
          <w:lang w:val="en-US" w:eastAsia="zh-CN"/>
        </w:rPr>
        <w:t xml:space="preserve"> </w:t>
      </w:r>
      <w:r w:rsidRPr="00466806">
        <w:rPr>
          <w:rFonts w:ascii="Book Antiqua" w:eastAsia="SimSun" w:hAnsi="Book Antiqua" w:cs="Times New Roman"/>
          <w:b/>
          <w:kern w:val="2"/>
          <w:sz w:val="24"/>
          <w:szCs w:val="24"/>
          <w:lang w:val="en-US" w:eastAsia="zh-CN"/>
        </w:rPr>
        <w:t>14</w:t>
      </w:r>
      <w:r w:rsidRPr="00466806">
        <w:rPr>
          <w:rFonts w:ascii="Book Antiqua" w:eastAsia="SimSun" w:hAnsi="Book Antiqua" w:cs="Times New Roman"/>
          <w:kern w:val="2"/>
          <w:sz w:val="24"/>
          <w:szCs w:val="24"/>
          <w:lang w:val="en-US" w:eastAsia="zh-CN"/>
        </w:rPr>
        <w:t>: 21-29 [PMID: 15677892]</w:t>
      </w:r>
    </w:p>
    <w:p w14:paraId="17BCD491"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22 </w:t>
      </w:r>
      <w:r w:rsidRPr="00466806">
        <w:rPr>
          <w:rFonts w:ascii="Book Antiqua" w:eastAsia="SimSun" w:hAnsi="Book Antiqua" w:cs="Times New Roman"/>
          <w:b/>
          <w:kern w:val="2"/>
          <w:sz w:val="24"/>
          <w:szCs w:val="24"/>
          <w:lang w:val="en-US" w:eastAsia="zh-CN"/>
        </w:rPr>
        <w:t>Whalen KA</w:t>
      </w:r>
      <w:r w:rsidRPr="00466806">
        <w:rPr>
          <w:rFonts w:ascii="Book Antiqua" w:eastAsia="SimSun" w:hAnsi="Book Antiqua" w:cs="Times New Roman"/>
          <w:kern w:val="2"/>
          <w:sz w:val="24"/>
          <w:szCs w:val="24"/>
          <w:lang w:val="en-US" w:eastAsia="zh-CN"/>
        </w:rPr>
        <w:t xml:space="preserve">, McCullough M, Flanders WD, Hartman TJ, Judd S, </w:t>
      </w:r>
      <w:proofErr w:type="spellStart"/>
      <w:r w:rsidRPr="00466806">
        <w:rPr>
          <w:rFonts w:ascii="Book Antiqua" w:eastAsia="SimSun" w:hAnsi="Book Antiqua" w:cs="Times New Roman"/>
          <w:kern w:val="2"/>
          <w:sz w:val="24"/>
          <w:szCs w:val="24"/>
          <w:lang w:val="en-US" w:eastAsia="zh-CN"/>
        </w:rPr>
        <w:t>Bostick</w:t>
      </w:r>
      <w:proofErr w:type="spellEnd"/>
      <w:r w:rsidRPr="00466806">
        <w:rPr>
          <w:rFonts w:ascii="Book Antiqua" w:eastAsia="SimSun" w:hAnsi="Book Antiqua" w:cs="Times New Roman"/>
          <w:kern w:val="2"/>
          <w:sz w:val="24"/>
          <w:szCs w:val="24"/>
          <w:lang w:val="en-US" w:eastAsia="zh-CN"/>
        </w:rPr>
        <w:t xml:space="preserve"> RM. Paleolithic and Mediterranean diet pattern scores and risk of incident, sporadic colorectal adenomas.</w:t>
      </w:r>
      <w:r w:rsidRPr="00466806">
        <w:rPr>
          <w:rFonts w:ascii="Book Antiqua" w:eastAsia="SimSun" w:hAnsi="Book Antiqua" w:cs="Times New Roman" w:hint="eastAsia"/>
          <w:kern w:val="2"/>
          <w:sz w:val="24"/>
          <w:szCs w:val="24"/>
          <w:lang w:val="en-US" w:eastAsia="zh-CN"/>
        </w:rPr>
        <w:t xml:space="preserve"> </w:t>
      </w:r>
      <w:r w:rsidRPr="00466806">
        <w:rPr>
          <w:rFonts w:ascii="Book Antiqua" w:eastAsia="SimSun" w:hAnsi="Book Antiqua" w:cs="Times New Roman"/>
          <w:i/>
          <w:kern w:val="2"/>
          <w:sz w:val="24"/>
          <w:szCs w:val="24"/>
          <w:lang w:val="en-US" w:eastAsia="zh-CN"/>
        </w:rPr>
        <w:t xml:space="preserve">Am J </w:t>
      </w:r>
      <w:proofErr w:type="spellStart"/>
      <w:r w:rsidRPr="00466806">
        <w:rPr>
          <w:rFonts w:ascii="Book Antiqua" w:eastAsia="SimSun" w:hAnsi="Book Antiqua" w:cs="Times New Roman"/>
          <w:i/>
          <w:kern w:val="2"/>
          <w:sz w:val="24"/>
          <w:szCs w:val="24"/>
          <w:lang w:val="en-US" w:eastAsia="zh-CN"/>
        </w:rPr>
        <w:t>Epidemiol</w:t>
      </w:r>
      <w:proofErr w:type="spellEnd"/>
      <w:r w:rsidRPr="00466806">
        <w:rPr>
          <w:rFonts w:ascii="Book Antiqua" w:eastAsia="SimSun" w:hAnsi="Book Antiqua" w:cs="Times New Roman"/>
          <w:kern w:val="2"/>
          <w:sz w:val="24"/>
          <w:szCs w:val="24"/>
          <w:lang w:val="en-US" w:eastAsia="zh-CN"/>
        </w:rPr>
        <w:t xml:space="preserve"> 2014</w:t>
      </w:r>
      <w:proofErr w:type="gramStart"/>
      <w:r w:rsidRPr="00466806">
        <w:rPr>
          <w:rFonts w:ascii="Book Antiqua" w:eastAsia="SimSun" w:hAnsi="Book Antiqua" w:cs="Times New Roman"/>
          <w:kern w:val="2"/>
          <w:sz w:val="24"/>
          <w:szCs w:val="24"/>
          <w:lang w:val="en-US" w:eastAsia="zh-CN"/>
        </w:rPr>
        <w:t>;</w:t>
      </w:r>
      <w:proofErr w:type="gramEnd"/>
      <w:r w:rsidRPr="00466806">
        <w:rPr>
          <w:rFonts w:ascii="Book Antiqua" w:eastAsia="SimSun" w:hAnsi="Book Antiqua" w:cs="Times New Roman"/>
          <w:kern w:val="2"/>
          <w:sz w:val="24"/>
          <w:szCs w:val="24"/>
          <w:lang w:val="en-US" w:eastAsia="zh-CN"/>
        </w:rPr>
        <w:t xml:space="preserve"> </w:t>
      </w:r>
      <w:r w:rsidRPr="00466806">
        <w:rPr>
          <w:rFonts w:ascii="Book Antiqua" w:eastAsia="SimSun" w:hAnsi="Book Antiqua" w:cs="Times New Roman"/>
          <w:b/>
          <w:kern w:val="2"/>
          <w:sz w:val="24"/>
          <w:szCs w:val="24"/>
          <w:lang w:val="en-US" w:eastAsia="zh-CN"/>
        </w:rPr>
        <w:t>180</w:t>
      </w:r>
      <w:r w:rsidRPr="00466806">
        <w:rPr>
          <w:rFonts w:ascii="Book Antiqua" w:eastAsia="SimSun" w:hAnsi="Book Antiqua" w:cs="Times New Roman"/>
          <w:kern w:val="2"/>
          <w:sz w:val="24"/>
          <w:szCs w:val="24"/>
          <w:lang w:val="en-US" w:eastAsia="zh-CN"/>
        </w:rPr>
        <w:t>: 1088-1097 [PMID: 25326623 DOI: 10.1093/</w:t>
      </w:r>
      <w:proofErr w:type="spellStart"/>
      <w:r w:rsidRPr="00466806">
        <w:rPr>
          <w:rFonts w:ascii="Book Antiqua" w:eastAsia="SimSun" w:hAnsi="Book Antiqua" w:cs="Times New Roman"/>
          <w:kern w:val="2"/>
          <w:sz w:val="24"/>
          <w:szCs w:val="24"/>
          <w:lang w:val="en-US" w:eastAsia="zh-CN"/>
        </w:rPr>
        <w:t>aje</w:t>
      </w:r>
      <w:proofErr w:type="spellEnd"/>
      <w:r w:rsidRPr="00466806">
        <w:rPr>
          <w:rFonts w:ascii="Book Antiqua" w:eastAsia="SimSun" w:hAnsi="Book Antiqua" w:cs="Times New Roman"/>
          <w:kern w:val="2"/>
          <w:sz w:val="24"/>
          <w:szCs w:val="24"/>
          <w:lang w:val="en-US" w:eastAsia="zh-CN"/>
        </w:rPr>
        <w:t>/kwu235]</w:t>
      </w:r>
    </w:p>
    <w:p w14:paraId="423385A2"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23</w:t>
      </w:r>
      <w:proofErr w:type="gramEnd"/>
      <w:r w:rsidRPr="00466806">
        <w:rPr>
          <w:rFonts w:ascii="Book Antiqua" w:eastAsia="SimSun" w:hAnsi="Book Antiqua" w:cs="Times New Roman"/>
          <w:kern w:val="2"/>
          <w:sz w:val="24"/>
          <w:szCs w:val="24"/>
          <w:lang w:val="en-US" w:eastAsia="zh-CN"/>
        </w:rPr>
        <w:t xml:space="preserve"> </w:t>
      </w:r>
      <w:r w:rsidRPr="00466806">
        <w:rPr>
          <w:rFonts w:ascii="Book Antiqua" w:eastAsia="SimSun" w:hAnsi="Book Antiqua" w:cs="Times New Roman"/>
          <w:b/>
          <w:kern w:val="2"/>
          <w:sz w:val="24"/>
          <w:szCs w:val="24"/>
          <w:lang w:val="en-US" w:eastAsia="zh-CN"/>
        </w:rPr>
        <w:t>Dixon LB</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Subar</w:t>
      </w:r>
      <w:proofErr w:type="spellEnd"/>
      <w:r w:rsidRPr="00466806">
        <w:rPr>
          <w:rFonts w:ascii="Book Antiqua" w:eastAsia="SimSun" w:hAnsi="Book Antiqua" w:cs="Times New Roman"/>
          <w:kern w:val="2"/>
          <w:sz w:val="24"/>
          <w:szCs w:val="24"/>
          <w:lang w:val="en-US" w:eastAsia="zh-CN"/>
        </w:rPr>
        <w:t xml:space="preserve"> AF, Peters U, </w:t>
      </w:r>
      <w:proofErr w:type="spellStart"/>
      <w:r w:rsidRPr="00466806">
        <w:rPr>
          <w:rFonts w:ascii="Book Antiqua" w:eastAsia="SimSun" w:hAnsi="Book Antiqua" w:cs="Times New Roman"/>
          <w:kern w:val="2"/>
          <w:sz w:val="24"/>
          <w:szCs w:val="24"/>
          <w:lang w:val="en-US" w:eastAsia="zh-CN"/>
        </w:rPr>
        <w:t>Weissfeld</w:t>
      </w:r>
      <w:proofErr w:type="spellEnd"/>
      <w:r w:rsidRPr="00466806">
        <w:rPr>
          <w:rFonts w:ascii="Book Antiqua" w:eastAsia="SimSun" w:hAnsi="Book Antiqua" w:cs="Times New Roman"/>
          <w:kern w:val="2"/>
          <w:sz w:val="24"/>
          <w:szCs w:val="24"/>
          <w:lang w:val="en-US" w:eastAsia="zh-CN"/>
        </w:rPr>
        <w:t xml:space="preserve"> JL, </w:t>
      </w:r>
      <w:proofErr w:type="spellStart"/>
      <w:r w:rsidRPr="00466806">
        <w:rPr>
          <w:rFonts w:ascii="Book Antiqua" w:eastAsia="SimSun" w:hAnsi="Book Antiqua" w:cs="Times New Roman"/>
          <w:kern w:val="2"/>
          <w:sz w:val="24"/>
          <w:szCs w:val="24"/>
          <w:lang w:val="en-US" w:eastAsia="zh-CN"/>
        </w:rPr>
        <w:t>Bresalier</w:t>
      </w:r>
      <w:proofErr w:type="spellEnd"/>
      <w:r w:rsidRPr="00466806">
        <w:rPr>
          <w:rFonts w:ascii="Book Antiqua" w:eastAsia="SimSun" w:hAnsi="Book Antiqua" w:cs="Times New Roman"/>
          <w:kern w:val="2"/>
          <w:sz w:val="24"/>
          <w:szCs w:val="24"/>
          <w:lang w:val="en-US" w:eastAsia="zh-CN"/>
        </w:rPr>
        <w:t xml:space="preserve"> RS, </w:t>
      </w:r>
      <w:proofErr w:type="spellStart"/>
      <w:r w:rsidRPr="00466806">
        <w:rPr>
          <w:rFonts w:ascii="Book Antiqua" w:eastAsia="SimSun" w:hAnsi="Book Antiqua" w:cs="Times New Roman"/>
          <w:kern w:val="2"/>
          <w:sz w:val="24"/>
          <w:szCs w:val="24"/>
          <w:lang w:val="en-US" w:eastAsia="zh-CN"/>
        </w:rPr>
        <w:t>Risch</w:t>
      </w:r>
      <w:proofErr w:type="spellEnd"/>
      <w:r w:rsidRPr="00466806">
        <w:rPr>
          <w:rFonts w:ascii="Book Antiqua" w:eastAsia="SimSun" w:hAnsi="Book Antiqua" w:cs="Times New Roman"/>
          <w:kern w:val="2"/>
          <w:sz w:val="24"/>
          <w:szCs w:val="24"/>
          <w:lang w:val="en-US" w:eastAsia="zh-CN"/>
        </w:rPr>
        <w:t xml:space="preserve"> A, </w:t>
      </w:r>
      <w:proofErr w:type="spellStart"/>
      <w:r w:rsidRPr="00466806">
        <w:rPr>
          <w:rFonts w:ascii="Book Antiqua" w:eastAsia="SimSun" w:hAnsi="Book Antiqua" w:cs="Times New Roman"/>
          <w:kern w:val="2"/>
          <w:sz w:val="24"/>
          <w:szCs w:val="24"/>
          <w:lang w:val="en-US" w:eastAsia="zh-CN"/>
        </w:rPr>
        <w:t>Schatzkin</w:t>
      </w:r>
      <w:proofErr w:type="spellEnd"/>
      <w:r w:rsidRPr="00466806">
        <w:rPr>
          <w:rFonts w:ascii="Book Antiqua" w:eastAsia="SimSun" w:hAnsi="Book Antiqua" w:cs="Times New Roman"/>
          <w:kern w:val="2"/>
          <w:sz w:val="24"/>
          <w:szCs w:val="24"/>
          <w:lang w:val="en-US" w:eastAsia="zh-CN"/>
        </w:rPr>
        <w:t xml:space="preserve"> A, Hayes RB. Adherence to the USDA Food Guide, DASH Eating Plan, and Mediterranean dietary pattern reduces risk of colorectal adenoma. </w:t>
      </w:r>
      <w:r w:rsidRPr="00466806">
        <w:rPr>
          <w:rFonts w:ascii="Book Antiqua" w:eastAsia="SimSun" w:hAnsi="Book Antiqua" w:cs="Times New Roman"/>
          <w:i/>
          <w:kern w:val="2"/>
          <w:sz w:val="24"/>
          <w:szCs w:val="24"/>
          <w:lang w:val="en-US" w:eastAsia="zh-CN"/>
        </w:rPr>
        <w:t xml:space="preserve">J </w:t>
      </w:r>
      <w:proofErr w:type="spellStart"/>
      <w:r w:rsidRPr="00466806">
        <w:rPr>
          <w:rFonts w:ascii="Book Antiqua" w:eastAsia="SimSun" w:hAnsi="Book Antiqua" w:cs="Times New Roman"/>
          <w:i/>
          <w:kern w:val="2"/>
          <w:sz w:val="24"/>
          <w:szCs w:val="24"/>
          <w:lang w:val="en-US" w:eastAsia="zh-CN"/>
        </w:rPr>
        <w:t>Nutr</w:t>
      </w:r>
      <w:proofErr w:type="spellEnd"/>
      <w:r w:rsidRPr="00466806">
        <w:rPr>
          <w:rFonts w:ascii="Book Antiqua" w:eastAsia="SimSun" w:hAnsi="Book Antiqua" w:cs="Times New Roman"/>
          <w:kern w:val="2"/>
          <w:sz w:val="24"/>
          <w:szCs w:val="24"/>
          <w:lang w:val="en-US" w:eastAsia="zh-CN"/>
        </w:rPr>
        <w:t xml:space="preserve"> 2007</w:t>
      </w:r>
      <w:proofErr w:type="gramStart"/>
      <w:r w:rsidRPr="00466806">
        <w:rPr>
          <w:rFonts w:ascii="Book Antiqua" w:eastAsia="SimSun" w:hAnsi="Book Antiqua" w:cs="Times New Roman"/>
          <w:kern w:val="2"/>
          <w:sz w:val="24"/>
          <w:szCs w:val="24"/>
          <w:lang w:val="en-US" w:eastAsia="zh-CN"/>
        </w:rPr>
        <w:t>;</w:t>
      </w:r>
      <w:proofErr w:type="gramEnd"/>
      <w:r w:rsidRPr="00466806">
        <w:rPr>
          <w:rFonts w:ascii="Book Antiqua" w:eastAsia="SimSun" w:hAnsi="Book Antiqua" w:cs="Times New Roman"/>
          <w:kern w:val="2"/>
          <w:sz w:val="24"/>
          <w:szCs w:val="24"/>
          <w:lang w:val="en-US" w:eastAsia="zh-CN"/>
        </w:rPr>
        <w:t xml:space="preserve"> </w:t>
      </w:r>
      <w:r w:rsidRPr="00466806">
        <w:rPr>
          <w:rFonts w:ascii="Book Antiqua" w:eastAsia="SimSun" w:hAnsi="Book Antiqua" w:cs="Times New Roman"/>
          <w:b/>
          <w:kern w:val="2"/>
          <w:sz w:val="24"/>
          <w:szCs w:val="24"/>
          <w:lang w:val="en-US" w:eastAsia="zh-CN"/>
        </w:rPr>
        <w:t>137</w:t>
      </w:r>
      <w:r w:rsidRPr="00466806">
        <w:rPr>
          <w:rFonts w:ascii="Book Antiqua" w:eastAsia="SimSun" w:hAnsi="Book Antiqua" w:cs="Times New Roman"/>
          <w:kern w:val="2"/>
          <w:sz w:val="24"/>
          <w:szCs w:val="24"/>
          <w:lang w:val="en-US" w:eastAsia="zh-CN"/>
        </w:rPr>
        <w:t>: 2443-2450 [PMID: 17951483]</w:t>
      </w:r>
    </w:p>
    <w:p w14:paraId="4D9A7237"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24</w:t>
      </w:r>
      <w:proofErr w:type="gramEnd"/>
      <w:r w:rsidRPr="00466806">
        <w:rPr>
          <w:rFonts w:ascii="Book Antiqua" w:eastAsia="SimSun" w:hAnsi="Book Antiqua" w:cs="Times New Roman"/>
          <w:kern w:val="2"/>
          <w:sz w:val="24"/>
          <w:szCs w:val="24"/>
          <w:lang w:val="en-US" w:eastAsia="zh-CN"/>
        </w:rPr>
        <w:t xml:space="preserve"> </w:t>
      </w:r>
      <w:r w:rsidRPr="00466806">
        <w:rPr>
          <w:rFonts w:ascii="Book Antiqua" w:eastAsia="SimSun" w:hAnsi="Book Antiqua" w:cs="Times New Roman"/>
          <w:b/>
          <w:kern w:val="2"/>
          <w:sz w:val="24"/>
          <w:szCs w:val="24"/>
          <w:lang w:val="en-US" w:eastAsia="zh-CN"/>
        </w:rPr>
        <w:t>Singh PN</w:t>
      </w:r>
      <w:r w:rsidRPr="00466806">
        <w:rPr>
          <w:rFonts w:ascii="Book Antiqua" w:eastAsia="SimSun" w:hAnsi="Book Antiqua" w:cs="Times New Roman"/>
          <w:kern w:val="2"/>
          <w:sz w:val="24"/>
          <w:szCs w:val="24"/>
          <w:lang w:val="en-US" w:eastAsia="zh-CN"/>
        </w:rPr>
        <w:t xml:space="preserve">, Fraser GE. Dietary risk factors for colon cancer in a low-risk population. </w:t>
      </w:r>
      <w:r w:rsidRPr="00466806">
        <w:rPr>
          <w:rFonts w:ascii="Book Antiqua" w:eastAsia="SimSun" w:hAnsi="Book Antiqua" w:cs="Times New Roman"/>
          <w:i/>
          <w:kern w:val="2"/>
          <w:sz w:val="24"/>
          <w:szCs w:val="24"/>
          <w:lang w:val="en-US" w:eastAsia="zh-CN"/>
        </w:rPr>
        <w:t xml:space="preserve">Am J </w:t>
      </w:r>
      <w:proofErr w:type="spellStart"/>
      <w:r w:rsidRPr="00466806">
        <w:rPr>
          <w:rFonts w:ascii="Book Antiqua" w:eastAsia="SimSun" w:hAnsi="Book Antiqua" w:cs="Times New Roman"/>
          <w:i/>
          <w:kern w:val="2"/>
          <w:sz w:val="24"/>
          <w:szCs w:val="24"/>
          <w:lang w:val="en-US" w:eastAsia="zh-CN"/>
        </w:rPr>
        <w:t>Epidemiol</w:t>
      </w:r>
      <w:proofErr w:type="spellEnd"/>
      <w:r w:rsidRPr="00466806">
        <w:rPr>
          <w:rFonts w:ascii="Book Antiqua" w:eastAsia="SimSun" w:hAnsi="Book Antiqua" w:cs="Times New Roman"/>
          <w:kern w:val="2"/>
          <w:sz w:val="24"/>
          <w:szCs w:val="24"/>
          <w:lang w:val="en-US" w:eastAsia="zh-CN"/>
        </w:rPr>
        <w:t xml:space="preserve"> 1998</w:t>
      </w:r>
      <w:proofErr w:type="gramStart"/>
      <w:r w:rsidRPr="00466806">
        <w:rPr>
          <w:rFonts w:ascii="Book Antiqua" w:eastAsia="SimSun" w:hAnsi="Book Antiqua" w:cs="Times New Roman"/>
          <w:kern w:val="2"/>
          <w:sz w:val="24"/>
          <w:szCs w:val="24"/>
          <w:lang w:val="en-US" w:eastAsia="zh-CN"/>
        </w:rPr>
        <w:t>;</w:t>
      </w:r>
      <w:proofErr w:type="gramEnd"/>
      <w:r w:rsidRPr="00466806">
        <w:rPr>
          <w:rFonts w:ascii="Book Antiqua" w:eastAsia="SimSun" w:hAnsi="Book Antiqua" w:cs="Times New Roman"/>
          <w:kern w:val="2"/>
          <w:sz w:val="24"/>
          <w:szCs w:val="24"/>
          <w:lang w:val="en-US" w:eastAsia="zh-CN"/>
        </w:rPr>
        <w:t xml:space="preserve"> </w:t>
      </w:r>
      <w:r w:rsidRPr="00466806">
        <w:rPr>
          <w:rFonts w:ascii="Book Antiqua" w:eastAsia="SimSun" w:hAnsi="Book Antiqua" w:cs="Times New Roman"/>
          <w:b/>
          <w:kern w:val="2"/>
          <w:sz w:val="24"/>
          <w:szCs w:val="24"/>
          <w:lang w:val="en-US" w:eastAsia="zh-CN"/>
        </w:rPr>
        <w:t>148</w:t>
      </w:r>
      <w:r w:rsidRPr="00466806">
        <w:rPr>
          <w:rFonts w:ascii="Book Antiqua" w:eastAsia="SimSun" w:hAnsi="Book Antiqua" w:cs="Times New Roman"/>
          <w:kern w:val="2"/>
          <w:sz w:val="24"/>
          <w:szCs w:val="24"/>
          <w:lang w:val="en-US" w:eastAsia="zh-CN"/>
        </w:rPr>
        <w:t>: 761-774 [PMID: 9786231]</w:t>
      </w:r>
    </w:p>
    <w:p w14:paraId="391C8411"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lastRenderedPageBreak/>
        <w:t>25</w:t>
      </w:r>
      <w:proofErr w:type="gramEnd"/>
      <w:r w:rsidRPr="00466806">
        <w:rPr>
          <w:rFonts w:ascii="Book Antiqua" w:eastAsia="SimSun" w:hAnsi="Book Antiqua" w:cs="Times New Roman"/>
          <w:kern w:val="2"/>
          <w:sz w:val="24"/>
          <w:szCs w:val="24"/>
          <w:lang w:val="en-US" w:eastAsia="zh-CN"/>
        </w:rPr>
        <w:t xml:space="preserve"> </w:t>
      </w:r>
      <w:r w:rsidRPr="00466806">
        <w:rPr>
          <w:rFonts w:ascii="Book Antiqua" w:eastAsia="SimSun" w:hAnsi="Book Antiqua" w:cs="Times New Roman"/>
          <w:b/>
          <w:kern w:val="2"/>
          <w:sz w:val="24"/>
          <w:szCs w:val="24"/>
          <w:lang w:val="en-US" w:eastAsia="zh-CN"/>
        </w:rPr>
        <w:t>Keys A</w:t>
      </w:r>
      <w:r w:rsidRPr="00466806">
        <w:rPr>
          <w:rFonts w:ascii="Book Antiqua" w:eastAsia="SimSun" w:hAnsi="Book Antiqua" w:cs="Times New Roman"/>
          <w:kern w:val="2"/>
          <w:sz w:val="24"/>
          <w:szCs w:val="24"/>
          <w:lang w:val="en-US" w:eastAsia="zh-CN"/>
        </w:rPr>
        <w:t xml:space="preserve">. Mediterranean diet and public health: personal reflections. </w:t>
      </w:r>
      <w:r w:rsidRPr="00466806">
        <w:rPr>
          <w:rFonts w:ascii="Book Antiqua" w:eastAsia="SimSun" w:hAnsi="Book Antiqua" w:cs="Times New Roman"/>
          <w:i/>
          <w:kern w:val="2"/>
          <w:sz w:val="24"/>
          <w:szCs w:val="24"/>
          <w:lang w:val="en-US" w:eastAsia="zh-CN"/>
        </w:rPr>
        <w:t xml:space="preserve">Am J </w:t>
      </w:r>
      <w:proofErr w:type="spellStart"/>
      <w:r w:rsidRPr="00466806">
        <w:rPr>
          <w:rFonts w:ascii="Book Antiqua" w:eastAsia="SimSun" w:hAnsi="Book Antiqua" w:cs="Times New Roman"/>
          <w:i/>
          <w:kern w:val="2"/>
          <w:sz w:val="24"/>
          <w:szCs w:val="24"/>
          <w:lang w:val="en-US" w:eastAsia="zh-CN"/>
        </w:rPr>
        <w:t>Clin</w:t>
      </w:r>
      <w:proofErr w:type="spellEnd"/>
      <w:r w:rsidRPr="00466806">
        <w:rPr>
          <w:rFonts w:ascii="Book Antiqua" w:eastAsia="SimSun" w:hAnsi="Book Antiqua" w:cs="Times New Roman"/>
          <w:i/>
          <w:kern w:val="2"/>
          <w:sz w:val="24"/>
          <w:szCs w:val="24"/>
          <w:lang w:val="en-US" w:eastAsia="zh-CN"/>
        </w:rPr>
        <w:t xml:space="preserve"> </w:t>
      </w:r>
      <w:proofErr w:type="spellStart"/>
      <w:r w:rsidRPr="00466806">
        <w:rPr>
          <w:rFonts w:ascii="Book Antiqua" w:eastAsia="SimSun" w:hAnsi="Book Antiqua" w:cs="Times New Roman"/>
          <w:i/>
          <w:kern w:val="2"/>
          <w:sz w:val="24"/>
          <w:szCs w:val="24"/>
          <w:lang w:val="en-US" w:eastAsia="zh-CN"/>
        </w:rPr>
        <w:t>Nutr</w:t>
      </w:r>
      <w:proofErr w:type="spellEnd"/>
      <w:r w:rsidRPr="00466806">
        <w:rPr>
          <w:rFonts w:ascii="Book Antiqua" w:eastAsia="SimSun" w:hAnsi="Book Antiqua" w:cs="Times New Roman"/>
          <w:kern w:val="2"/>
          <w:sz w:val="24"/>
          <w:szCs w:val="24"/>
          <w:lang w:val="en-US" w:eastAsia="zh-CN"/>
        </w:rPr>
        <w:t xml:space="preserve"> 1995; </w:t>
      </w:r>
      <w:r w:rsidRPr="00466806">
        <w:rPr>
          <w:rFonts w:ascii="Book Antiqua" w:eastAsia="SimSun" w:hAnsi="Book Antiqua" w:cs="Times New Roman"/>
          <w:b/>
          <w:kern w:val="2"/>
          <w:sz w:val="24"/>
          <w:szCs w:val="24"/>
          <w:lang w:val="en-US" w:eastAsia="zh-CN"/>
        </w:rPr>
        <w:t>61</w:t>
      </w:r>
      <w:r w:rsidRPr="00466806">
        <w:rPr>
          <w:rFonts w:ascii="Book Antiqua" w:eastAsia="SimSun" w:hAnsi="Book Antiqua" w:cs="Times New Roman"/>
          <w:kern w:val="2"/>
          <w:sz w:val="24"/>
          <w:szCs w:val="24"/>
          <w:lang w:val="en-US" w:eastAsia="zh-CN"/>
        </w:rPr>
        <w:t>: 1321S-1323S [PMID: 7754982]</w:t>
      </w:r>
    </w:p>
    <w:p w14:paraId="16036316"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26</w:t>
      </w:r>
      <w:proofErr w:type="gramEnd"/>
      <w:r w:rsidRPr="00466806">
        <w:rPr>
          <w:rFonts w:ascii="Book Antiqua" w:eastAsia="SimSun" w:hAnsi="Book Antiqua" w:cs="Times New Roman"/>
          <w:kern w:val="2"/>
          <w:sz w:val="24"/>
          <w:szCs w:val="24"/>
          <w:lang w:val="en-US" w:eastAsia="zh-CN"/>
        </w:rPr>
        <w:t xml:space="preserve"> </w:t>
      </w:r>
      <w:r w:rsidRPr="00466806">
        <w:rPr>
          <w:rFonts w:ascii="Book Antiqua" w:eastAsia="SimSun" w:hAnsi="Book Antiqua" w:cs="Times New Roman"/>
          <w:b/>
          <w:kern w:val="2"/>
          <w:sz w:val="24"/>
          <w:szCs w:val="24"/>
          <w:lang w:val="en-US" w:eastAsia="zh-CN"/>
        </w:rPr>
        <w:t>Martinez-Gonzalez MA</w:t>
      </w:r>
      <w:r w:rsidRPr="00466806">
        <w:rPr>
          <w:rFonts w:ascii="Book Antiqua" w:eastAsia="SimSun" w:hAnsi="Book Antiqua" w:cs="Times New Roman"/>
          <w:kern w:val="2"/>
          <w:sz w:val="24"/>
          <w:szCs w:val="24"/>
          <w:lang w:val="en-US" w:eastAsia="zh-CN"/>
        </w:rPr>
        <w:t>, Martin-</w:t>
      </w:r>
      <w:proofErr w:type="spellStart"/>
      <w:r w:rsidRPr="00466806">
        <w:rPr>
          <w:rFonts w:ascii="Book Antiqua" w:eastAsia="SimSun" w:hAnsi="Book Antiqua" w:cs="Times New Roman"/>
          <w:kern w:val="2"/>
          <w:sz w:val="24"/>
          <w:szCs w:val="24"/>
          <w:lang w:val="en-US" w:eastAsia="zh-CN"/>
        </w:rPr>
        <w:t>Calvo</w:t>
      </w:r>
      <w:proofErr w:type="spellEnd"/>
      <w:r w:rsidRPr="00466806">
        <w:rPr>
          <w:rFonts w:ascii="Book Antiqua" w:eastAsia="SimSun" w:hAnsi="Book Antiqua" w:cs="Times New Roman"/>
          <w:kern w:val="2"/>
          <w:sz w:val="24"/>
          <w:szCs w:val="24"/>
          <w:lang w:val="en-US" w:eastAsia="zh-CN"/>
        </w:rPr>
        <w:t xml:space="preserve"> N. Mediterranean diet and life expectancy; beyond olive oil, fruits, and vegetables. </w:t>
      </w:r>
      <w:proofErr w:type="spellStart"/>
      <w:r w:rsidRPr="00466806">
        <w:rPr>
          <w:rFonts w:ascii="Book Antiqua" w:eastAsia="SimSun" w:hAnsi="Book Antiqua" w:cs="Times New Roman"/>
          <w:i/>
          <w:kern w:val="2"/>
          <w:sz w:val="24"/>
          <w:szCs w:val="24"/>
          <w:lang w:val="en-US" w:eastAsia="zh-CN"/>
        </w:rPr>
        <w:t>Curr</w:t>
      </w:r>
      <w:proofErr w:type="spellEnd"/>
      <w:r w:rsidRPr="00466806">
        <w:rPr>
          <w:rFonts w:ascii="Book Antiqua" w:eastAsia="SimSun" w:hAnsi="Book Antiqua" w:cs="Times New Roman"/>
          <w:i/>
          <w:kern w:val="2"/>
          <w:sz w:val="24"/>
          <w:szCs w:val="24"/>
          <w:lang w:val="en-US" w:eastAsia="zh-CN"/>
        </w:rPr>
        <w:t xml:space="preserve"> </w:t>
      </w:r>
      <w:proofErr w:type="spellStart"/>
      <w:r w:rsidRPr="00466806">
        <w:rPr>
          <w:rFonts w:ascii="Book Antiqua" w:eastAsia="SimSun" w:hAnsi="Book Antiqua" w:cs="Times New Roman"/>
          <w:i/>
          <w:kern w:val="2"/>
          <w:sz w:val="24"/>
          <w:szCs w:val="24"/>
          <w:lang w:val="en-US" w:eastAsia="zh-CN"/>
        </w:rPr>
        <w:t>Opin</w:t>
      </w:r>
      <w:proofErr w:type="spellEnd"/>
      <w:r w:rsidRPr="00466806">
        <w:rPr>
          <w:rFonts w:ascii="Book Antiqua" w:eastAsia="SimSun" w:hAnsi="Book Antiqua" w:cs="Times New Roman"/>
          <w:i/>
          <w:kern w:val="2"/>
          <w:sz w:val="24"/>
          <w:szCs w:val="24"/>
          <w:lang w:val="en-US" w:eastAsia="zh-CN"/>
        </w:rPr>
        <w:t xml:space="preserve"> </w:t>
      </w:r>
      <w:proofErr w:type="spellStart"/>
      <w:r w:rsidRPr="00466806">
        <w:rPr>
          <w:rFonts w:ascii="Book Antiqua" w:eastAsia="SimSun" w:hAnsi="Book Antiqua" w:cs="Times New Roman"/>
          <w:i/>
          <w:kern w:val="2"/>
          <w:sz w:val="24"/>
          <w:szCs w:val="24"/>
          <w:lang w:val="en-US" w:eastAsia="zh-CN"/>
        </w:rPr>
        <w:t>Clin</w:t>
      </w:r>
      <w:proofErr w:type="spellEnd"/>
      <w:r w:rsidRPr="00466806">
        <w:rPr>
          <w:rFonts w:ascii="Book Antiqua" w:eastAsia="SimSun" w:hAnsi="Book Antiqua" w:cs="Times New Roman"/>
          <w:i/>
          <w:kern w:val="2"/>
          <w:sz w:val="24"/>
          <w:szCs w:val="24"/>
          <w:lang w:val="en-US" w:eastAsia="zh-CN"/>
        </w:rPr>
        <w:t xml:space="preserve"> </w:t>
      </w:r>
      <w:proofErr w:type="spellStart"/>
      <w:r w:rsidRPr="00466806">
        <w:rPr>
          <w:rFonts w:ascii="Book Antiqua" w:eastAsia="SimSun" w:hAnsi="Book Antiqua" w:cs="Times New Roman"/>
          <w:i/>
          <w:kern w:val="2"/>
          <w:sz w:val="24"/>
          <w:szCs w:val="24"/>
          <w:lang w:val="en-US" w:eastAsia="zh-CN"/>
        </w:rPr>
        <w:t>Nutr</w:t>
      </w:r>
      <w:proofErr w:type="spellEnd"/>
      <w:r w:rsidRPr="00466806">
        <w:rPr>
          <w:rFonts w:ascii="Book Antiqua" w:eastAsia="SimSun" w:hAnsi="Book Antiqua" w:cs="Times New Roman"/>
          <w:i/>
          <w:kern w:val="2"/>
          <w:sz w:val="24"/>
          <w:szCs w:val="24"/>
          <w:lang w:val="en-US" w:eastAsia="zh-CN"/>
        </w:rPr>
        <w:t xml:space="preserve"> </w:t>
      </w:r>
      <w:proofErr w:type="spellStart"/>
      <w:r w:rsidRPr="00466806">
        <w:rPr>
          <w:rFonts w:ascii="Book Antiqua" w:eastAsia="SimSun" w:hAnsi="Book Antiqua" w:cs="Times New Roman"/>
          <w:i/>
          <w:kern w:val="2"/>
          <w:sz w:val="24"/>
          <w:szCs w:val="24"/>
          <w:lang w:val="en-US" w:eastAsia="zh-CN"/>
        </w:rPr>
        <w:t>Metab</w:t>
      </w:r>
      <w:proofErr w:type="spellEnd"/>
      <w:r w:rsidRPr="00466806">
        <w:rPr>
          <w:rFonts w:ascii="Book Antiqua" w:eastAsia="SimSun" w:hAnsi="Book Antiqua" w:cs="Times New Roman"/>
          <w:i/>
          <w:kern w:val="2"/>
          <w:sz w:val="24"/>
          <w:szCs w:val="24"/>
          <w:lang w:val="en-US" w:eastAsia="zh-CN"/>
        </w:rPr>
        <w:t xml:space="preserve"> Care</w:t>
      </w:r>
      <w:r w:rsidRPr="00466806">
        <w:rPr>
          <w:rFonts w:ascii="Book Antiqua" w:eastAsia="SimSun" w:hAnsi="Book Antiqua" w:cs="Times New Roman"/>
          <w:kern w:val="2"/>
          <w:sz w:val="24"/>
          <w:szCs w:val="24"/>
          <w:lang w:val="en-US" w:eastAsia="zh-CN"/>
        </w:rPr>
        <w:t xml:space="preserve"> 2016; </w:t>
      </w:r>
      <w:r w:rsidRPr="00466806">
        <w:rPr>
          <w:rFonts w:ascii="Book Antiqua" w:eastAsia="SimSun" w:hAnsi="Book Antiqua" w:cs="Times New Roman"/>
          <w:b/>
          <w:kern w:val="2"/>
          <w:sz w:val="24"/>
          <w:szCs w:val="24"/>
          <w:lang w:val="en-US" w:eastAsia="zh-CN"/>
        </w:rPr>
        <w:t>19</w:t>
      </w:r>
      <w:r w:rsidRPr="00466806">
        <w:rPr>
          <w:rFonts w:ascii="Book Antiqua" w:eastAsia="SimSun" w:hAnsi="Book Antiqua" w:cs="Times New Roman"/>
          <w:kern w:val="2"/>
          <w:sz w:val="24"/>
          <w:szCs w:val="24"/>
          <w:lang w:val="en-US" w:eastAsia="zh-CN"/>
        </w:rPr>
        <w:t>: 401-407 [PMID: 27552476 DOI: 10.1097/MCO.0000000000000316]</w:t>
      </w:r>
    </w:p>
    <w:p w14:paraId="1AFCED7B"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27</w:t>
      </w:r>
      <w:proofErr w:type="gramEnd"/>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b/>
          <w:kern w:val="2"/>
          <w:sz w:val="24"/>
          <w:szCs w:val="24"/>
          <w:lang w:val="en-US" w:eastAsia="zh-CN"/>
        </w:rPr>
        <w:t>Widmer</w:t>
      </w:r>
      <w:proofErr w:type="spellEnd"/>
      <w:r w:rsidRPr="00466806">
        <w:rPr>
          <w:rFonts w:ascii="Book Antiqua" w:eastAsia="SimSun" w:hAnsi="Book Antiqua" w:cs="Times New Roman"/>
          <w:b/>
          <w:kern w:val="2"/>
          <w:sz w:val="24"/>
          <w:szCs w:val="24"/>
          <w:lang w:val="en-US" w:eastAsia="zh-CN"/>
        </w:rPr>
        <w:t xml:space="preserve"> RJ</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Flammer</w:t>
      </w:r>
      <w:proofErr w:type="spellEnd"/>
      <w:r w:rsidRPr="00466806">
        <w:rPr>
          <w:rFonts w:ascii="Book Antiqua" w:eastAsia="SimSun" w:hAnsi="Book Antiqua" w:cs="Times New Roman"/>
          <w:kern w:val="2"/>
          <w:sz w:val="24"/>
          <w:szCs w:val="24"/>
          <w:lang w:val="en-US" w:eastAsia="zh-CN"/>
        </w:rPr>
        <w:t xml:space="preserve"> AJ, </w:t>
      </w:r>
      <w:proofErr w:type="spellStart"/>
      <w:r w:rsidRPr="00466806">
        <w:rPr>
          <w:rFonts w:ascii="Book Antiqua" w:eastAsia="SimSun" w:hAnsi="Book Antiqua" w:cs="Times New Roman"/>
          <w:kern w:val="2"/>
          <w:sz w:val="24"/>
          <w:szCs w:val="24"/>
          <w:lang w:val="en-US" w:eastAsia="zh-CN"/>
        </w:rPr>
        <w:t>Lerman</w:t>
      </w:r>
      <w:proofErr w:type="spellEnd"/>
      <w:r w:rsidRPr="00466806">
        <w:rPr>
          <w:rFonts w:ascii="Book Antiqua" w:eastAsia="SimSun" w:hAnsi="Book Antiqua" w:cs="Times New Roman"/>
          <w:kern w:val="2"/>
          <w:sz w:val="24"/>
          <w:szCs w:val="24"/>
          <w:lang w:val="en-US" w:eastAsia="zh-CN"/>
        </w:rPr>
        <w:t xml:space="preserve"> LO, </w:t>
      </w:r>
      <w:proofErr w:type="spellStart"/>
      <w:r w:rsidRPr="00466806">
        <w:rPr>
          <w:rFonts w:ascii="Book Antiqua" w:eastAsia="SimSun" w:hAnsi="Book Antiqua" w:cs="Times New Roman"/>
          <w:kern w:val="2"/>
          <w:sz w:val="24"/>
          <w:szCs w:val="24"/>
          <w:lang w:val="en-US" w:eastAsia="zh-CN"/>
        </w:rPr>
        <w:t>Lerman</w:t>
      </w:r>
      <w:proofErr w:type="spellEnd"/>
      <w:r w:rsidRPr="00466806">
        <w:rPr>
          <w:rFonts w:ascii="Book Antiqua" w:eastAsia="SimSun" w:hAnsi="Book Antiqua" w:cs="Times New Roman"/>
          <w:kern w:val="2"/>
          <w:sz w:val="24"/>
          <w:szCs w:val="24"/>
          <w:lang w:val="en-US" w:eastAsia="zh-CN"/>
        </w:rPr>
        <w:t xml:space="preserve"> A. The Mediterranean diet, its components, and cardiovascular disease. </w:t>
      </w:r>
      <w:r w:rsidRPr="00466806">
        <w:rPr>
          <w:rFonts w:ascii="Book Antiqua" w:eastAsia="SimSun" w:hAnsi="Book Antiqua" w:cs="Times New Roman"/>
          <w:i/>
          <w:kern w:val="2"/>
          <w:sz w:val="24"/>
          <w:szCs w:val="24"/>
          <w:lang w:val="en-US" w:eastAsia="zh-CN"/>
        </w:rPr>
        <w:t>Am J Med</w:t>
      </w:r>
      <w:r w:rsidRPr="00466806">
        <w:rPr>
          <w:rFonts w:ascii="Book Antiqua" w:eastAsia="SimSun" w:hAnsi="Book Antiqua" w:cs="Times New Roman"/>
          <w:kern w:val="2"/>
          <w:sz w:val="24"/>
          <w:szCs w:val="24"/>
          <w:lang w:val="en-US" w:eastAsia="zh-CN"/>
        </w:rPr>
        <w:t xml:space="preserve"> 2015</w:t>
      </w:r>
      <w:proofErr w:type="gramStart"/>
      <w:r w:rsidRPr="00466806">
        <w:rPr>
          <w:rFonts w:ascii="Book Antiqua" w:eastAsia="SimSun" w:hAnsi="Book Antiqua" w:cs="Times New Roman"/>
          <w:kern w:val="2"/>
          <w:sz w:val="24"/>
          <w:szCs w:val="24"/>
          <w:lang w:val="en-US" w:eastAsia="zh-CN"/>
        </w:rPr>
        <w:t>;</w:t>
      </w:r>
      <w:proofErr w:type="gramEnd"/>
      <w:r w:rsidRPr="00466806">
        <w:rPr>
          <w:rFonts w:ascii="Book Antiqua" w:eastAsia="SimSun" w:hAnsi="Book Antiqua" w:cs="Times New Roman"/>
          <w:kern w:val="2"/>
          <w:sz w:val="24"/>
          <w:szCs w:val="24"/>
          <w:lang w:val="en-US" w:eastAsia="zh-CN"/>
        </w:rPr>
        <w:t xml:space="preserve"> </w:t>
      </w:r>
      <w:r w:rsidRPr="00466806">
        <w:rPr>
          <w:rFonts w:ascii="Book Antiqua" w:eastAsia="SimSun" w:hAnsi="Book Antiqua" w:cs="Times New Roman"/>
          <w:b/>
          <w:kern w:val="2"/>
          <w:sz w:val="24"/>
          <w:szCs w:val="24"/>
          <w:lang w:val="en-US" w:eastAsia="zh-CN"/>
        </w:rPr>
        <w:t>128</w:t>
      </w:r>
      <w:r w:rsidRPr="00466806">
        <w:rPr>
          <w:rFonts w:ascii="Book Antiqua" w:eastAsia="SimSun" w:hAnsi="Book Antiqua" w:cs="Times New Roman"/>
          <w:kern w:val="2"/>
          <w:sz w:val="24"/>
          <w:szCs w:val="24"/>
          <w:lang w:val="en-US" w:eastAsia="zh-CN"/>
        </w:rPr>
        <w:t>: 229-238 [PMID: 25447615 DOI: 10.1016/j.amjmed.2014.10.014]</w:t>
      </w:r>
    </w:p>
    <w:p w14:paraId="742F3AC8"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28</w:t>
      </w:r>
      <w:proofErr w:type="gramEnd"/>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b/>
          <w:kern w:val="2"/>
          <w:sz w:val="24"/>
          <w:szCs w:val="24"/>
          <w:lang w:val="en-US" w:eastAsia="zh-CN"/>
        </w:rPr>
        <w:t>Schwingshackl</w:t>
      </w:r>
      <w:proofErr w:type="spellEnd"/>
      <w:r w:rsidRPr="00466806">
        <w:rPr>
          <w:rFonts w:ascii="Book Antiqua" w:eastAsia="SimSun" w:hAnsi="Book Antiqua" w:cs="Times New Roman"/>
          <w:b/>
          <w:kern w:val="2"/>
          <w:sz w:val="24"/>
          <w:szCs w:val="24"/>
          <w:lang w:val="en-US" w:eastAsia="zh-CN"/>
        </w:rPr>
        <w:t xml:space="preserve"> L</w:t>
      </w:r>
      <w:r w:rsidRPr="00466806">
        <w:rPr>
          <w:rFonts w:ascii="Book Antiqua" w:eastAsia="SimSun" w:hAnsi="Book Antiqua" w:cs="Times New Roman"/>
          <w:kern w:val="2"/>
          <w:sz w:val="24"/>
          <w:szCs w:val="24"/>
          <w:lang w:val="en-US" w:eastAsia="zh-CN"/>
        </w:rPr>
        <w:t xml:space="preserve">, Hoffmann G. Adherence to Mediterranean diet and risk of cancer: an updated systematic review and meta-analysis of observational studies. </w:t>
      </w:r>
      <w:r w:rsidRPr="00466806">
        <w:rPr>
          <w:rFonts w:ascii="Book Antiqua" w:eastAsia="SimSun" w:hAnsi="Book Antiqua" w:cs="Times New Roman"/>
          <w:i/>
          <w:kern w:val="2"/>
          <w:sz w:val="24"/>
          <w:szCs w:val="24"/>
          <w:lang w:val="en-US" w:eastAsia="zh-CN"/>
        </w:rPr>
        <w:t>Cancer Med</w:t>
      </w:r>
      <w:r w:rsidRPr="00466806">
        <w:rPr>
          <w:rFonts w:ascii="Book Antiqua" w:eastAsia="SimSun" w:hAnsi="Book Antiqua" w:cs="Times New Roman"/>
          <w:kern w:val="2"/>
          <w:sz w:val="24"/>
          <w:szCs w:val="24"/>
          <w:lang w:val="en-US" w:eastAsia="zh-CN"/>
        </w:rPr>
        <w:t xml:space="preserve"> 2015; </w:t>
      </w:r>
      <w:r w:rsidRPr="00466806">
        <w:rPr>
          <w:rFonts w:ascii="Book Antiqua" w:eastAsia="SimSun" w:hAnsi="Book Antiqua" w:cs="Times New Roman"/>
          <w:b/>
          <w:kern w:val="2"/>
          <w:sz w:val="24"/>
          <w:szCs w:val="24"/>
          <w:lang w:val="en-US" w:eastAsia="zh-CN"/>
        </w:rPr>
        <w:t>4</w:t>
      </w:r>
      <w:r w:rsidRPr="00466806">
        <w:rPr>
          <w:rFonts w:ascii="Book Antiqua" w:eastAsia="SimSun" w:hAnsi="Book Antiqua" w:cs="Times New Roman"/>
          <w:kern w:val="2"/>
          <w:sz w:val="24"/>
          <w:szCs w:val="24"/>
          <w:lang w:val="en-US" w:eastAsia="zh-CN"/>
        </w:rPr>
        <w:t>: 1933-1947 [PMID: 26471010 DOI: 10.1002/cam4.539]</w:t>
      </w:r>
    </w:p>
    <w:p w14:paraId="52EF0636"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29</w:t>
      </w:r>
      <w:proofErr w:type="gramEnd"/>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b/>
          <w:kern w:val="2"/>
          <w:sz w:val="24"/>
          <w:szCs w:val="24"/>
          <w:lang w:val="en-US" w:eastAsia="zh-CN"/>
        </w:rPr>
        <w:t>Alam</w:t>
      </w:r>
      <w:proofErr w:type="spellEnd"/>
      <w:r w:rsidRPr="00466806">
        <w:rPr>
          <w:rFonts w:ascii="Book Antiqua" w:eastAsia="SimSun" w:hAnsi="Book Antiqua" w:cs="Times New Roman"/>
          <w:b/>
          <w:kern w:val="2"/>
          <w:sz w:val="24"/>
          <w:szCs w:val="24"/>
          <w:lang w:val="en-US" w:eastAsia="zh-CN"/>
        </w:rPr>
        <w:t xml:space="preserve"> MN</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Almoyad</w:t>
      </w:r>
      <w:proofErr w:type="spellEnd"/>
      <w:r w:rsidRPr="00466806">
        <w:rPr>
          <w:rFonts w:ascii="Book Antiqua" w:eastAsia="SimSun" w:hAnsi="Book Antiqua" w:cs="Times New Roman"/>
          <w:kern w:val="2"/>
          <w:sz w:val="24"/>
          <w:szCs w:val="24"/>
          <w:lang w:val="en-US" w:eastAsia="zh-CN"/>
        </w:rPr>
        <w:t xml:space="preserve"> M, </w:t>
      </w:r>
      <w:proofErr w:type="spellStart"/>
      <w:r w:rsidRPr="00466806">
        <w:rPr>
          <w:rFonts w:ascii="Book Antiqua" w:eastAsia="SimSun" w:hAnsi="Book Antiqua" w:cs="Times New Roman"/>
          <w:kern w:val="2"/>
          <w:sz w:val="24"/>
          <w:szCs w:val="24"/>
          <w:lang w:val="en-US" w:eastAsia="zh-CN"/>
        </w:rPr>
        <w:t>Huq</w:t>
      </w:r>
      <w:proofErr w:type="spellEnd"/>
      <w:r w:rsidRPr="00466806">
        <w:rPr>
          <w:rFonts w:ascii="Book Antiqua" w:eastAsia="SimSun" w:hAnsi="Book Antiqua" w:cs="Times New Roman"/>
          <w:kern w:val="2"/>
          <w:sz w:val="24"/>
          <w:szCs w:val="24"/>
          <w:lang w:val="en-US" w:eastAsia="zh-CN"/>
        </w:rPr>
        <w:t xml:space="preserve"> F. Polyphenols in Colorectal Cancer: Current State of Knowledge including Clinical Trials and Molecular Mechanism of Action. </w:t>
      </w:r>
      <w:r w:rsidRPr="00466806">
        <w:rPr>
          <w:rFonts w:ascii="Book Antiqua" w:eastAsia="SimSun" w:hAnsi="Book Antiqua" w:cs="Times New Roman"/>
          <w:i/>
          <w:kern w:val="2"/>
          <w:sz w:val="24"/>
          <w:szCs w:val="24"/>
          <w:lang w:val="en-US" w:eastAsia="zh-CN"/>
        </w:rPr>
        <w:t xml:space="preserve">Biomed Res </w:t>
      </w:r>
      <w:proofErr w:type="spellStart"/>
      <w:r w:rsidRPr="00466806">
        <w:rPr>
          <w:rFonts w:ascii="Book Antiqua" w:eastAsia="SimSun" w:hAnsi="Book Antiqua" w:cs="Times New Roman"/>
          <w:i/>
          <w:kern w:val="2"/>
          <w:sz w:val="24"/>
          <w:szCs w:val="24"/>
          <w:lang w:val="en-US" w:eastAsia="zh-CN"/>
        </w:rPr>
        <w:t>Int</w:t>
      </w:r>
      <w:proofErr w:type="spellEnd"/>
      <w:r w:rsidRPr="00466806">
        <w:rPr>
          <w:rFonts w:ascii="Book Antiqua" w:eastAsia="SimSun" w:hAnsi="Book Antiqua" w:cs="Times New Roman"/>
          <w:kern w:val="2"/>
          <w:sz w:val="24"/>
          <w:szCs w:val="24"/>
          <w:lang w:val="en-US" w:eastAsia="zh-CN"/>
        </w:rPr>
        <w:t xml:space="preserve"> 2018; </w:t>
      </w:r>
      <w:r w:rsidRPr="00466806">
        <w:rPr>
          <w:rFonts w:ascii="Book Antiqua" w:eastAsia="SimSun" w:hAnsi="Book Antiqua" w:cs="Times New Roman"/>
          <w:b/>
          <w:kern w:val="2"/>
          <w:sz w:val="24"/>
          <w:szCs w:val="24"/>
          <w:lang w:val="en-US" w:eastAsia="zh-CN"/>
        </w:rPr>
        <w:t>2018</w:t>
      </w:r>
      <w:r w:rsidRPr="00466806">
        <w:rPr>
          <w:rFonts w:ascii="Book Antiqua" w:eastAsia="SimSun" w:hAnsi="Book Antiqua" w:cs="Times New Roman"/>
          <w:kern w:val="2"/>
          <w:sz w:val="24"/>
          <w:szCs w:val="24"/>
          <w:lang w:val="en-US" w:eastAsia="zh-CN"/>
        </w:rPr>
        <w:t>: 4154185 [PMID: 29568751 DOI: 10.1155/2018/4154185]</w:t>
      </w:r>
    </w:p>
    <w:p w14:paraId="36CE33B0"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30 </w:t>
      </w:r>
      <w:proofErr w:type="spellStart"/>
      <w:r w:rsidRPr="00466806">
        <w:rPr>
          <w:rFonts w:ascii="Book Antiqua" w:eastAsia="SimSun" w:hAnsi="Book Antiqua" w:cs="Times New Roman"/>
          <w:b/>
          <w:kern w:val="2"/>
          <w:sz w:val="24"/>
          <w:szCs w:val="24"/>
          <w:lang w:val="en-US" w:eastAsia="zh-CN"/>
        </w:rPr>
        <w:t>Abenavoli</w:t>
      </w:r>
      <w:proofErr w:type="spellEnd"/>
      <w:r w:rsidRPr="00466806">
        <w:rPr>
          <w:rFonts w:ascii="Book Antiqua" w:eastAsia="SimSun" w:hAnsi="Book Antiqua" w:cs="Times New Roman"/>
          <w:b/>
          <w:kern w:val="2"/>
          <w:sz w:val="24"/>
          <w:szCs w:val="24"/>
          <w:lang w:val="en-US" w:eastAsia="zh-CN"/>
        </w:rPr>
        <w:t xml:space="preserve"> L</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Milic</w:t>
      </w:r>
      <w:proofErr w:type="spellEnd"/>
      <w:r w:rsidRPr="00466806">
        <w:rPr>
          <w:rFonts w:ascii="Book Antiqua" w:eastAsia="SimSun" w:hAnsi="Book Antiqua" w:cs="Times New Roman"/>
          <w:kern w:val="2"/>
          <w:sz w:val="24"/>
          <w:szCs w:val="24"/>
          <w:lang w:val="en-US" w:eastAsia="zh-CN"/>
        </w:rPr>
        <w:t xml:space="preserve"> N, Peta V, Alfieri F, De Lorenzo A, </w:t>
      </w:r>
      <w:proofErr w:type="spellStart"/>
      <w:r w:rsidRPr="00466806">
        <w:rPr>
          <w:rFonts w:ascii="Book Antiqua" w:eastAsia="SimSun" w:hAnsi="Book Antiqua" w:cs="Times New Roman"/>
          <w:kern w:val="2"/>
          <w:sz w:val="24"/>
          <w:szCs w:val="24"/>
          <w:lang w:val="en-US" w:eastAsia="zh-CN"/>
        </w:rPr>
        <w:t>Bellentani</w:t>
      </w:r>
      <w:proofErr w:type="spellEnd"/>
      <w:r w:rsidRPr="00466806">
        <w:rPr>
          <w:rFonts w:ascii="Book Antiqua" w:eastAsia="SimSun" w:hAnsi="Book Antiqua" w:cs="Times New Roman"/>
          <w:kern w:val="2"/>
          <w:sz w:val="24"/>
          <w:szCs w:val="24"/>
          <w:lang w:val="en-US" w:eastAsia="zh-CN"/>
        </w:rPr>
        <w:t xml:space="preserve"> S. Alimentary regimen in non-alcoholic fatty liver disease: Mediterranean diet. </w:t>
      </w:r>
      <w:r w:rsidRPr="00466806">
        <w:rPr>
          <w:rFonts w:ascii="Book Antiqua" w:eastAsia="SimSun" w:hAnsi="Book Antiqua" w:cs="Times New Roman"/>
          <w:i/>
          <w:kern w:val="2"/>
          <w:sz w:val="24"/>
          <w:szCs w:val="24"/>
          <w:lang w:val="en-US" w:eastAsia="zh-CN"/>
        </w:rPr>
        <w:t xml:space="preserve">World J </w:t>
      </w:r>
      <w:proofErr w:type="spellStart"/>
      <w:r w:rsidRPr="00466806">
        <w:rPr>
          <w:rFonts w:ascii="Book Antiqua" w:eastAsia="SimSun" w:hAnsi="Book Antiqua" w:cs="Times New Roman"/>
          <w:i/>
          <w:kern w:val="2"/>
          <w:sz w:val="24"/>
          <w:szCs w:val="24"/>
          <w:lang w:val="en-US" w:eastAsia="zh-CN"/>
        </w:rPr>
        <w:t>Gastroenterol</w:t>
      </w:r>
      <w:proofErr w:type="spellEnd"/>
      <w:r w:rsidRPr="00466806">
        <w:rPr>
          <w:rFonts w:ascii="Book Antiqua" w:eastAsia="SimSun" w:hAnsi="Book Antiqua" w:cs="Times New Roman"/>
          <w:kern w:val="2"/>
          <w:sz w:val="24"/>
          <w:szCs w:val="24"/>
          <w:lang w:val="en-US" w:eastAsia="zh-CN"/>
        </w:rPr>
        <w:t xml:space="preserve"> 2014; </w:t>
      </w:r>
      <w:r w:rsidRPr="00466806">
        <w:rPr>
          <w:rFonts w:ascii="Book Antiqua" w:eastAsia="SimSun" w:hAnsi="Book Antiqua" w:cs="Times New Roman"/>
          <w:b/>
          <w:kern w:val="2"/>
          <w:sz w:val="24"/>
          <w:szCs w:val="24"/>
          <w:lang w:val="en-US" w:eastAsia="zh-CN"/>
        </w:rPr>
        <w:t>20</w:t>
      </w:r>
      <w:r w:rsidRPr="00466806">
        <w:rPr>
          <w:rFonts w:ascii="Book Antiqua" w:eastAsia="SimSun" w:hAnsi="Book Antiqua" w:cs="Times New Roman"/>
          <w:kern w:val="2"/>
          <w:sz w:val="24"/>
          <w:szCs w:val="24"/>
          <w:lang w:val="en-US" w:eastAsia="zh-CN"/>
        </w:rPr>
        <w:t>: 16831-16840 [PMID: 25492997 DOI: 10.3748/wjg.v20.i45.16831]</w:t>
      </w:r>
    </w:p>
    <w:p w14:paraId="1FA1BA43"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31 </w:t>
      </w:r>
      <w:r w:rsidRPr="00466806">
        <w:rPr>
          <w:rFonts w:ascii="Book Antiqua" w:eastAsia="SimSun" w:hAnsi="Book Antiqua" w:cs="Times New Roman"/>
          <w:b/>
          <w:kern w:val="2"/>
          <w:sz w:val="24"/>
          <w:szCs w:val="24"/>
          <w:lang w:val="en-US" w:eastAsia="zh-CN"/>
        </w:rPr>
        <w:t>Little CH</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Combet</w:t>
      </w:r>
      <w:proofErr w:type="spellEnd"/>
      <w:r w:rsidRPr="00466806">
        <w:rPr>
          <w:rFonts w:ascii="Book Antiqua" w:eastAsia="SimSun" w:hAnsi="Book Antiqua" w:cs="Times New Roman"/>
          <w:kern w:val="2"/>
          <w:sz w:val="24"/>
          <w:szCs w:val="24"/>
          <w:lang w:val="en-US" w:eastAsia="zh-CN"/>
        </w:rPr>
        <w:t xml:space="preserve"> E, McMillan DC, Horgan PG, </w:t>
      </w:r>
      <w:proofErr w:type="spellStart"/>
      <w:r w:rsidRPr="00466806">
        <w:rPr>
          <w:rFonts w:ascii="Book Antiqua" w:eastAsia="SimSun" w:hAnsi="Book Antiqua" w:cs="Times New Roman"/>
          <w:kern w:val="2"/>
          <w:sz w:val="24"/>
          <w:szCs w:val="24"/>
          <w:lang w:val="en-US" w:eastAsia="zh-CN"/>
        </w:rPr>
        <w:t>Roxburgh</w:t>
      </w:r>
      <w:proofErr w:type="spellEnd"/>
      <w:r w:rsidRPr="00466806">
        <w:rPr>
          <w:rFonts w:ascii="Book Antiqua" w:eastAsia="SimSun" w:hAnsi="Book Antiqua" w:cs="Times New Roman"/>
          <w:kern w:val="2"/>
          <w:sz w:val="24"/>
          <w:szCs w:val="24"/>
          <w:lang w:val="en-US" w:eastAsia="zh-CN"/>
        </w:rPr>
        <w:t xml:space="preserve"> CS. The role of dietary polyphenols in the moderation of the inflammatory response in early stage colorectal cancer. </w:t>
      </w:r>
      <w:proofErr w:type="spellStart"/>
      <w:r w:rsidRPr="00466806">
        <w:rPr>
          <w:rFonts w:ascii="Book Antiqua" w:eastAsia="SimSun" w:hAnsi="Book Antiqua" w:cs="Times New Roman"/>
          <w:i/>
          <w:kern w:val="2"/>
          <w:sz w:val="24"/>
          <w:szCs w:val="24"/>
          <w:lang w:val="en-US" w:eastAsia="zh-CN"/>
        </w:rPr>
        <w:t>Crit</w:t>
      </w:r>
      <w:proofErr w:type="spellEnd"/>
      <w:r w:rsidRPr="00466806">
        <w:rPr>
          <w:rFonts w:ascii="Book Antiqua" w:eastAsia="SimSun" w:hAnsi="Book Antiqua" w:cs="Times New Roman"/>
          <w:i/>
          <w:kern w:val="2"/>
          <w:sz w:val="24"/>
          <w:szCs w:val="24"/>
          <w:lang w:val="en-US" w:eastAsia="zh-CN"/>
        </w:rPr>
        <w:t xml:space="preserve"> Rev Food </w:t>
      </w:r>
      <w:proofErr w:type="spellStart"/>
      <w:r w:rsidRPr="00466806">
        <w:rPr>
          <w:rFonts w:ascii="Book Antiqua" w:eastAsia="SimSun" w:hAnsi="Book Antiqua" w:cs="Times New Roman"/>
          <w:i/>
          <w:kern w:val="2"/>
          <w:sz w:val="24"/>
          <w:szCs w:val="24"/>
          <w:lang w:val="en-US" w:eastAsia="zh-CN"/>
        </w:rPr>
        <w:t>Sci</w:t>
      </w:r>
      <w:proofErr w:type="spellEnd"/>
      <w:r w:rsidRPr="00466806">
        <w:rPr>
          <w:rFonts w:ascii="Book Antiqua" w:eastAsia="SimSun" w:hAnsi="Book Antiqua" w:cs="Times New Roman"/>
          <w:i/>
          <w:kern w:val="2"/>
          <w:sz w:val="24"/>
          <w:szCs w:val="24"/>
          <w:lang w:val="en-US" w:eastAsia="zh-CN"/>
        </w:rPr>
        <w:t xml:space="preserve"> </w:t>
      </w:r>
      <w:proofErr w:type="spellStart"/>
      <w:r w:rsidRPr="00466806">
        <w:rPr>
          <w:rFonts w:ascii="Book Antiqua" w:eastAsia="SimSun" w:hAnsi="Book Antiqua" w:cs="Times New Roman"/>
          <w:i/>
          <w:kern w:val="2"/>
          <w:sz w:val="24"/>
          <w:szCs w:val="24"/>
          <w:lang w:val="en-US" w:eastAsia="zh-CN"/>
        </w:rPr>
        <w:t>Nutr</w:t>
      </w:r>
      <w:proofErr w:type="spellEnd"/>
      <w:r w:rsidRPr="00466806">
        <w:rPr>
          <w:rFonts w:ascii="Book Antiqua" w:eastAsia="SimSun" w:hAnsi="Book Antiqua" w:cs="Times New Roman"/>
          <w:kern w:val="2"/>
          <w:sz w:val="24"/>
          <w:szCs w:val="24"/>
          <w:lang w:val="en-US" w:eastAsia="zh-CN"/>
        </w:rPr>
        <w:t xml:space="preserve"> 2017; </w:t>
      </w:r>
      <w:r w:rsidRPr="00466806">
        <w:rPr>
          <w:rFonts w:ascii="Book Antiqua" w:eastAsia="SimSun" w:hAnsi="Book Antiqua" w:cs="Times New Roman"/>
          <w:b/>
          <w:kern w:val="2"/>
          <w:sz w:val="24"/>
          <w:szCs w:val="24"/>
          <w:lang w:val="en-US" w:eastAsia="zh-CN"/>
        </w:rPr>
        <w:t>57</w:t>
      </w:r>
      <w:r w:rsidRPr="00466806">
        <w:rPr>
          <w:rFonts w:ascii="Book Antiqua" w:eastAsia="SimSun" w:hAnsi="Book Antiqua" w:cs="Times New Roman"/>
          <w:kern w:val="2"/>
          <w:sz w:val="24"/>
          <w:szCs w:val="24"/>
          <w:lang w:val="en-US" w:eastAsia="zh-CN"/>
        </w:rPr>
        <w:t>: 2310-2320 [PMID: 26066365 DOI: 10.1080/10408398.2014.997866]</w:t>
      </w:r>
    </w:p>
    <w:p w14:paraId="1A734F38"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32</w:t>
      </w:r>
      <w:proofErr w:type="gramEnd"/>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b/>
          <w:kern w:val="2"/>
          <w:sz w:val="24"/>
          <w:szCs w:val="24"/>
          <w:lang w:val="en-US" w:eastAsia="zh-CN"/>
        </w:rPr>
        <w:t>Tosti</w:t>
      </w:r>
      <w:proofErr w:type="spellEnd"/>
      <w:r w:rsidRPr="00466806">
        <w:rPr>
          <w:rFonts w:ascii="Book Antiqua" w:eastAsia="SimSun" w:hAnsi="Book Antiqua" w:cs="Times New Roman"/>
          <w:b/>
          <w:kern w:val="2"/>
          <w:sz w:val="24"/>
          <w:szCs w:val="24"/>
          <w:lang w:val="en-US" w:eastAsia="zh-CN"/>
        </w:rPr>
        <w:t xml:space="preserve"> V</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Bertozzi</w:t>
      </w:r>
      <w:proofErr w:type="spellEnd"/>
      <w:r w:rsidRPr="00466806">
        <w:rPr>
          <w:rFonts w:ascii="Book Antiqua" w:eastAsia="SimSun" w:hAnsi="Book Antiqua" w:cs="Times New Roman"/>
          <w:kern w:val="2"/>
          <w:sz w:val="24"/>
          <w:szCs w:val="24"/>
          <w:lang w:val="en-US" w:eastAsia="zh-CN"/>
        </w:rPr>
        <w:t xml:space="preserve"> B, Fontana L. Health Benefits of the Mediterranean Diet: Metabolic and Molecular Mechanisms. </w:t>
      </w:r>
      <w:r w:rsidRPr="00466806">
        <w:rPr>
          <w:rFonts w:ascii="Book Antiqua" w:eastAsia="SimSun" w:hAnsi="Book Antiqua" w:cs="Times New Roman"/>
          <w:i/>
          <w:kern w:val="2"/>
          <w:sz w:val="24"/>
          <w:szCs w:val="24"/>
          <w:lang w:val="en-US" w:eastAsia="zh-CN"/>
        </w:rPr>
        <w:t xml:space="preserve">J </w:t>
      </w:r>
      <w:proofErr w:type="spellStart"/>
      <w:r w:rsidRPr="00466806">
        <w:rPr>
          <w:rFonts w:ascii="Book Antiqua" w:eastAsia="SimSun" w:hAnsi="Book Antiqua" w:cs="Times New Roman"/>
          <w:i/>
          <w:kern w:val="2"/>
          <w:sz w:val="24"/>
          <w:szCs w:val="24"/>
          <w:lang w:val="en-US" w:eastAsia="zh-CN"/>
        </w:rPr>
        <w:t>Gerontol</w:t>
      </w:r>
      <w:proofErr w:type="spellEnd"/>
      <w:r w:rsidRPr="00466806">
        <w:rPr>
          <w:rFonts w:ascii="Book Antiqua" w:eastAsia="SimSun" w:hAnsi="Book Antiqua" w:cs="Times New Roman"/>
          <w:i/>
          <w:kern w:val="2"/>
          <w:sz w:val="24"/>
          <w:szCs w:val="24"/>
          <w:lang w:val="en-US" w:eastAsia="zh-CN"/>
        </w:rPr>
        <w:t xml:space="preserve"> A </w:t>
      </w:r>
      <w:proofErr w:type="spellStart"/>
      <w:r w:rsidRPr="00466806">
        <w:rPr>
          <w:rFonts w:ascii="Book Antiqua" w:eastAsia="SimSun" w:hAnsi="Book Antiqua" w:cs="Times New Roman"/>
          <w:i/>
          <w:kern w:val="2"/>
          <w:sz w:val="24"/>
          <w:szCs w:val="24"/>
          <w:lang w:val="en-US" w:eastAsia="zh-CN"/>
        </w:rPr>
        <w:t>Biol</w:t>
      </w:r>
      <w:proofErr w:type="spellEnd"/>
      <w:r w:rsidRPr="00466806">
        <w:rPr>
          <w:rFonts w:ascii="Book Antiqua" w:eastAsia="SimSun" w:hAnsi="Book Antiqua" w:cs="Times New Roman"/>
          <w:i/>
          <w:kern w:val="2"/>
          <w:sz w:val="24"/>
          <w:szCs w:val="24"/>
          <w:lang w:val="en-US" w:eastAsia="zh-CN"/>
        </w:rPr>
        <w:t xml:space="preserve"> </w:t>
      </w:r>
      <w:proofErr w:type="spellStart"/>
      <w:r w:rsidRPr="00466806">
        <w:rPr>
          <w:rFonts w:ascii="Book Antiqua" w:eastAsia="SimSun" w:hAnsi="Book Antiqua" w:cs="Times New Roman"/>
          <w:i/>
          <w:kern w:val="2"/>
          <w:sz w:val="24"/>
          <w:szCs w:val="24"/>
          <w:lang w:val="en-US" w:eastAsia="zh-CN"/>
        </w:rPr>
        <w:t>Sci</w:t>
      </w:r>
      <w:proofErr w:type="spellEnd"/>
      <w:r w:rsidRPr="00466806">
        <w:rPr>
          <w:rFonts w:ascii="Book Antiqua" w:eastAsia="SimSun" w:hAnsi="Book Antiqua" w:cs="Times New Roman"/>
          <w:i/>
          <w:kern w:val="2"/>
          <w:sz w:val="24"/>
          <w:szCs w:val="24"/>
          <w:lang w:val="en-US" w:eastAsia="zh-CN"/>
        </w:rPr>
        <w:t xml:space="preserve"> Med </w:t>
      </w:r>
      <w:proofErr w:type="spellStart"/>
      <w:r w:rsidRPr="00466806">
        <w:rPr>
          <w:rFonts w:ascii="Book Antiqua" w:eastAsia="SimSun" w:hAnsi="Book Antiqua" w:cs="Times New Roman"/>
          <w:i/>
          <w:kern w:val="2"/>
          <w:sz w:val="24"/>
          <w:szCs w:val="24"/>
          <w:lang w:val="en-US" w:eastAsia="zh-CN"/>
        </w:rPr>
        <w:t>Sci</w:t>
      </w:r>
      <w:proofErr w:type="spellEnd"/>
      <w:r w:rsidRPr="00466806">
        <w:rPr>
          <w:rFonts w:ascii="Book Antiqua" w:eastAsia="SimSun" w:hAnsi="Book Antiqua" w:cs="Times New Roman"/>
          <w:kern w:val="2"/>
          <w:sz w:val="24"/>
          <w:szCs w:val="24"/>
          <w:lang w:val="en-US" w:eastAsia="zh-CN"/>
        </w:rPr>
        <w:t xml:space="preserve"> 2018; </w:t>
      </w:r>
      <w:r w:rsidRPr="00466806">
        <w:rPr>
          <w:rFonts w:ascii="Book Antiqua" w:eastAsia="SimSun" w:hAnsi="Book Antiqua" w:cs="Times New Roman"/>
          <w:b/>
          <w:kern w:val="2"/>
          <w:sz w:val="24"/>
          <w:szCs w:val="24"/>
          <w:lang w:val="en-US" w:eastAsia="zh-CN"/>
        </w:rPr>
        <w:t>73</w:t>
      </w:r>
      <w:r w:rsidRPr="00466806">
        <w:rPr>
          <w:rFonts w:ascii="Book Antiqua" w:eastAsia="SimSun" w:hAnsi="Book Antiqua" w:cs="Times New Roman"/>
          <w:kern w:val="2"/>
          <w:sz w:val="24"/>
          <w:szCs w:val="24"/>
          <w:lang w:val="en-US" w:eastAsia="zh-CN"/>
        </w:rPr>
        <w:t>: 318-326 [PMID: 29244059 DOI: 10.1093/</w:t>
      </w:r>
      <w:proofErr w:type="spellStart"/>
      <w:r w:rsidRPr="00466806">
        <w:rPr>
          <w:rFonts w:ascii="Book Antiqua" w:eastAsia="SimSun" w:hAnsi="Book Antiqua" w:cs="Times New Roman"/>
          <w:kern w:val="2"/>
          <w:sz w:val="24"/>
          <w:szCs w:val="24"/>
          <w:lang w:val="en-US" w:eastAsia="zh-CN"/>
        </w:rPr>
        <w:t>gerona</w:t>
      </w:r>
      <w:proofErr w:type="spellEnd"/>
      <w:r w:rsidRPr="00466806">
        <w:rPr>
          <w:rFonts w:ascii="Book Antiqua" w:eastAsia="SimSun" w:hAnsi="Book Antiqua" w:cs="Times New Roman"/>
          <w:kern w:val="2"/>
          <w:sz w:val="24"/>
          <w:szCs w:val="24"/>
          <w:lang w:val="en-US" w:eastAsia="zh-CN"/>
        </w:rPr>
        <w:t>/glx227]</w:t>
      </w:r>
    </w:p>
    <w:p w14:paraId="54B2D7A2"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33</w:t>
      </w:r>
      <w:proofErr w:type="gramEnd"/>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b/>
          <w:kern w:val="2"/>
          <w:sz w:val="24"/>
          <w:szCs w:val="24"/>
          <w:lang w:val="en-US" w:eastAsia="zh-CN"/>
        </w:rPr>
        <w:t>Bultman</w:t>
      </w:r>
      <w:proofErr w:type="spellEnd"/>
      <w:r w:rsidRPr="00466806">
        <w:rPr>
          <w:rFonts w:ascii="Book Antiqua" w:eastAsia="SimSun" w:hAnsi="Book Antiqua" w:cs="Times New Roman"/>
          <w:b/>
          <w:kern w:val="2"/>
          <w:sz w:val="24"/>
          <w:szCs w:val="24"/>
          <w:lang w:val="en-US" w:eastAsia="zh-CN"/>
        </w:rPr>
        <w:t xml:space="preserve"> SJ</w:t>
      </w:r>
      <w:r w:rsidRPr="00466806">
        <w:rPr>
          <w:rFonts w:ascii="Book Antiqua" w:eastAsia="SimSun" w:hAnsi="Book Antiqua" w:cs="Times New Roman"/>
          <w:kern w:val="2"/>
          <w:sz w:val="24"/>
          <w:szCs w:val="24"/>
          <w:lang w:val="en-US" w:eastAsia="zh-CN"/>
        </w:rPr>
        <w:t xml:space="preserve">. Interplay between diet, gut microbiota, epigenetic events, and colorectal cancer. </w:t>
      </w:r>
      <w:proofErr w:type="spellStart"/>
      <w:r w:rsidRPr="00466806">
        <w:rPr>
          <w:rFonts w:ascii="Book Antiqua" w:eastAsia="SimSun" w:hAnsi="Book Antiqua" w:cs="Times New Roman"/>
          <w:i/>
          <w:kern w:val="2"/>
          <w:sz w:val="24"/>
          <w:szCs w:val="24"/>
          <w:lang w:val="en-US" w:eastAsia="zh-CN"/>
        </w:rPr>
        <w:t>Mol</w:t>
      </w:r>
      <w:proofErr w:type="spellEnd"/>
      <w:r w:rsidRPr="00466806">
        <w:rPr>
          <w:rFonts w:ascii="Book Antiqua" w:eastAsia="SimSun" w:hAnsi="Book Antiqua" w:cs="Times New Roman"/>
          <w:i/>
          <w:kern w:val="2"/>
          <w:sz w:val="24"/>
          <w:szCs w:val="24"/>
          <w:lang w:val="en-US" w:eastAsia="zh-CN"/>
        </w:rPr>
        <w:t xml:space="preserve"> </w:t>
      </w:r>
      <w:proofErr w:type="spellStart"/>
      <w:r w:rsidRPr="00466806">
        <w:rPr>
          <w:rFonts w:ascii="Book Antiqua" w:eastAsia="SimSun" w:hAnsi="Book Antiqua" w:cs="Times New Roman"/>
          <w:i/>
          <w:kern w:val="2"/>
          <w:sz w:val="24"/>
          <w:szCs w:val="24"/>
          <w:lang w:val="en-US" w:eastAsia="zh-CN"/>
        </w:rPr>
        <w:t>Nutr</w:t>
      </w:r>
      <w:proofErr w:type="spellEnd"/>
      <w:r w:rsidRPr="00466806">
        <w:rPr>
          <w:rFonts w:ascii="Book Antiqua" w:eastAsia="SimSun" w:hAnsi="Book Antiqua" w:cs="Times New Roman"/>
          <w:i/>
          <w:kern w:val="2"/>
          <w:sz w:val="24"/>
          <w:szCs w:val="24"/>
          <w:lang w:val="en-US" w:eastAsia="zh-CN"/>
        </w:rPr>
        <w:t xml:space="preserve"> Food Res</w:t>
      </w:r>
      <w:r w:rsidRPr="00466806">
        <w:rPr>
          <w:rFonts w:ascii="Book Antiqua" w:eastAsia="SimSun" w:hAnsi="Book Antiqua" w:cs="Times New Roman"/>
          <w:kern w:val="2"/>
          <w:sz w:val="24"/>
          <w:szCs w:val="24"/>
          <w:lang w:val="en-US" w:eastAsia="zh-CN"/>
        </w:rPr>
        <w:t xml:space="preserve"> 2017; </w:t>
      </w:r>
      <w:r w:rsidRPr="00466806">
        <w:rPr>
          <w:rFonts w:ascii="Book Antiqua" w:eastAsia="SimSun" w:hAnsi="Book Antiqua" w:cs="Times New Roman"/>
          <w:b/>
          <w:kern w:val="2"/>
          <w:sz w:val="24"/>
          <w:szCs w:val="24"/>
          <w:lang w:val="en-US" w:eastAsia="zh-CN"/>
        </w:rPr>
        <w:t>61</w:t>
      </w:r>
      <w:r w:rsidRPr="00466806">
        <w:rPr>
          <w:rFonts w:ascii="Book Antiqua" w:eastAsia="SimSun" w:hAnsi="Book Antiqua" w:cs="Times New Roman"/>
          <w:kern w:val="2"/>
          <w:sz w:val="24"/>
          <w:szCs w:val="24"/>
          <w:lang w:val="en-US" w:eastAsia="zh-CN"/>
        </w:rPr>
        <w:t>:  [PMID: 27138454 DOI: 10.1002/mnfr.201500902]</w:t>
      </w:r>
    </w:p>
    <w:p w14:paraId="6C0735D8"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34 </w:t>
      </w:r>
      <w:proofErr w:type="spellStart"/>
      <w:r w:rsidRPr="00466806">
        <w:rPr>
          <w:rFonts w:ascii="Book Antiqua" w:eastAsia="SimSun" w:hAnsi="Book Antiqua" w:cs="Times New Roman"/>
          <w:b/>
          <w:kern w:val="2"/>
          <w:sz w:val="24"/>
          <w:szCs w:val="24"/>
          <w:lang w:val="en-US" w:eastAsia="zh-CN"/>
        </w:rPr>
        <w:t>Alemán</w:t>
      </w:r>
      <w:proofErr w:type="spellEnd"/>
      <w:r w:rsidRPr="00466806">
        <w:rPr>
          <w:rFonts w:ascii="Book Antiqua" w:eastAsia="SimSun" w:hAnsi="Book Antiqua" w:cs="Times New Roman"/>
          <w:b/>
          <w:kern w:val="2"/>
          <w:sz w:val="24"/>
          <w:szCs w:val="24"/>
          <w:lang w:val="en-US" w:eastAsia="zh-CN"/>
        </w:rPr>
        <w:t xml:space="preserve"> JO</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Eusebi</w:t>
      </w:r>
      <w:proofErr w:type="spellEnd"/>
      <w:r w:rsidRPr="00466806">
        <w:rPr>
          <w:rFonts w:ascii="Book Antiqua" w:eastAsia="SimSun" w:hAnsi="Book Antiqua" w:cs="Times New Roman"/>
          <w:kern w:val="2"/>
          <w:sz w:val="24"/>
          <w:szCs w:val="24"/>
          <w:lang w:val="en-US" w:eastAsia="zh-CN"/>
        </w:rPr>
        <w:t xml:space="preserve"> LH, </w:t>
      </w:r>
      <w:proofErr w:type="spellStart"/>
      <w:r w:rsidRPr="00466806">
        <w:rPr>
          <w:rFonts w:ascii="Book Antiqua" w:eastAsia="SimSun" w:hAnsi="Book Antiqua" w:cs="Times New Roman"/>
          <w:kern w:val="2"/>
          <w:sz w:val="24"/>
          <w:szCs w:val="24"/>
          <w:lang w:val="en-US" w:eastAsia="zh-CN"/>
        </w:rPr>
        <w:t>Ricciardiello</w:t>
      </w:r>
      <w:proofErr w:type="spellEnd"/>
      <w:r w:rsidRPr="00466806">
        <w:rPr>
          <w:rFonts w:ascii="Book Antiqua" w:eastAsia="SimSun" w:hAnsi="Book Antiqua" w:cs="Times New Roman"/>
          <w:kern w:val="2"/>
          <w:sz w:val="24"/>
          <w:szCs w:val="24"/>
          <w:lang w:val="en-US" w:eastAsia="zh-CN"/>
        </w:rPr>
        <w:t xml:space="preserve"> L, </w:t>
      </w:r>
      <w:proofErr w:type="spellStart"/>
      <w:r w:rsidRPr="00466806">
        <w:rPr>
          <w:rFonts w:ascii="Book Antiqua" w:eastAsia="SimSun" w:hAnsi="Book Antiqua" w:cs="Times New Roman"/>
          <w:kern w:val="2"/>
          <w:sz w:val="24"/>
          <w:szCs w:val="24"/>
          <w:lang w:val="en-US" w:eastAsia="zh-CN"/>
        </w:rPr>
        <w:t>Patidar</w:t>
      </w:r>
      <w:proofErr w:type="spellEnd"/>
      <w:r w:rsidRPr="00466806">
        <w:rPr>
          <w:rFonts w:ascii="Book Antiqua" w:eastAsia="SimSun" w:hAnsi="Book Antiqua" w:cs="Times New Roman"/>
          <w:kern w:val="2"/>
          <w:sz w:val="24"/>
          <w:szCs w:val="24"/>
          <w:lang w:val="en-US" w:eastAsia="zh-CN"/>
        </w:rPr>
        <w:t xml:space="preserve"> K, </w:t>
      </w:r>
      <w:proofErr w:type="spellStart"/>
      <w:r w:rsidRPr="00466806">
        <w:rPr>
          <w:rFonts w:ascii="Book Antiqua" w:eastAsia="SimSun" w:hAnsi="Book Antiqua" w:cs="Times New Roman"/>
          <w:kern w:val="2"/>
          <w:sz w:val="24"/>
          <w:szCs w:val="24"/>
          <w:lang w:val="en-US" w:eastAsia="zh-CN"/>
        </w:rPr>
        <w:t>Sanyal</w:t>
      </w:r>
      <w:proofErr w:type="spellEnd"/>
      <w:r w:rsidRPr="00466806">
        <w:rPr>
          <w:rFonts w:ascii="Book Antiqua" w:eastAsia="SimSun" w:hAnsi="Book Antiqua" w:cs="Times New Roman"/>
          <w:kern w:val="2"/>
          <w:sz w:val="24"/>
          <w:szCs w:val="24"/>
          <w:lang w:val="en-US" w:eastAsia="zh-CN"/>
        </w:rPr>
        <w:t xml:space="preserve"> AJ, Holt PR. Mechanisms of obesity-induced gastrointestinal neoplasia. </w:t>
      </w:r>
      <w:r w:rsidRPr="00466806">
        <w:rPr>
          <w:rFonts w:ascii="Book Antiqua" w:eastAsia="SimSun" w:hAnsi="Book Antiqua" w:cs="Times New Roman"/>
          <w:i/>
          <w:kern w:val="2"/>
          <w:sz w:val="24"/>
          <w:szCs w:val="24"/>
          <w:lang w:val="en-US" w:eastAsia="zh-CN"/>
        </w:rPr>
        <w:t>Gastroenterology</w:t>
      </w:r>
      <w:r w:rsidRPr="00466806">
        <w:rPr>
          <w:rFonts w:ascii="Book Antiqua" w:eastAsia="SimSun" w:hAnsi="Book Antiqua" w:cs="Times New Roman"/>
          <w:kern w:val="2"/>
          <w:sz w:val="24"/>
          <w:szCs w:val="24"/>
          <w:lang w:val="en-US" w:eastAsia="zh-CN"/>
        </w:rPr>
        <w:t xml:space="preserve"> 2014; </w:t>
      </w:r>
      <w:r w:rsidRPr="00466806">
        <w:rPr>
          <w:rFonts w:ascii="Book Antiqua" w:eastAsia="SimSun" w:hAnsi="Book Antiqua" w:cs="Times New Roman"/>
          <w:b/>
          <w:kern w:val="2"/>
          <w:sz w:val="24"/>
          <w:szCs w:val="24"/>
          <w:lang w:val="en-US" w:eastAsia="zh-CN"/>
        </w:rPr>
        <w:t>146</w:t>
      </w:r>
      <w:r w:rsidRPr="00466806">
        <w:rPr>
          <w:rFonts w:ascii="Book Antiqua" w:eastAsia="SimSun" w:hAnsi="Book Antiqua" w:cs="Times New Roman"/>
          <w:kern w:val="2"/>
          <w:sz w:val="24"/>
          <w:szCs w:val="24"/>
          <w:lang w:val="en-US" w:eastAsia="zh-CN"/>
        </w:rPr>
        <w:t>: 357-373 [PMID: 24315827 DOI: 10.1053/j.gastro.2013.11.051]</w:t>
      </w:r>
    </w:p>
    <w:p w14:paraId="6BA9910F"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35 </w:t>
      </w:r>
      <w:r w:rsidRPr="00466806">
        <w:rPr>
          <w:rFonts w:ascii="Book Antiqua" w:eastAsia="SimSun" w:hAnsi="Book Antiqua" w:cs="Times New Roman"/>
          <w:b/>
          <w:kern w:val="2"/>
          <w:sz w:val="24"/>
          <w:szCs w:val="24"/>
          <w:lang w:val="en-US" w:eastAsia="zh-CN"/>
        </w:rPr>
        <w:t>Smith RA</w:t>
      </w:r>
      <w:r w:rsidRPr="00466806">
        <w:rPr>
          <w:rFonts w:ascii="Book Antiqua" w:eastAsia="SimSun" w:hAnsi="Book Antiqua" w:cs="Times New Roman"/>
          <w:kern w:val="2"/>
          <w:sz w:val="24"/>
          <w:szCs w:val="24"/>
          <w:lang w:val="en-US" w:eastAsia="zh-CN"/>
        </w:rPr>
        <w:t xml:space="preserve">, Andrews K, Brooks D, DeSantis CE, </w:t>
      </w:r>
      <w:proofErr w:type="spellStart"/>
      <w:r w:rsidRPr="00466806">
        <w:rPr>
          <w:rFonts w:ascii="Book Antiqua" w:eastAsia="SimSun" w:hAnsi="Book Antiqua" w:cs="Times New Roman"/>
          <w:kern w:val="2"/>
          <w:sz w:val="24"/>
          <w:szCs w:val="24"/>
          <w:lang w:val="en-US" w:eastAsia="zh-CN"/>
        </w:rPr>
        <w:t>Fedewa</w:t>
      </w:r>
      <w:proofErr w:type="spellEnd"/>
      <w:r w:rsidRPr="00466806">
        <w:rPr>
          <w:rFonts w:ascii="Book Antiqua" w:eastAsia="SimSun" w:hAnsi="Book Antiqua" w:cs="Times New Roman"/>
          <w:kern w:val="2"/>
          <w:sz w:val="24"/>
          <w:szCs w:val="24"/>
          <w:lang w:val="en-US" w:eastAsia="zh-CN"/>
        </w:rPr>
        <w:t xml:space="preserve"> SA, </w:t>
      </w:r>
      <w:proofErr w:type="spellStart"/>
      <w:r w:rsidRPr="00466806">
        <w:rPr>
          <w:rFonts w:ascii="Book Antiqua" w:eastAsia="SimSun" w:hAnsi="Book Antiqua" w:cs="Times New Roman"/>
          <w:kern w:val="2"/>
          <w:sz w:val="24"/>
          <w:szCs w:val="24"/>
          <w:lang w:val="en-US" w:eastAsia="zh-CN"/>
        </w:rPr>
        <w:t>Lortet-Tieulent</w:t>
      </w:r>
      <w:proofErr w:type="spellEnd"/>
      <w:r w:rsidRPr="00466806">
        <w:rPr>
          <w:rFonts w:ascii="Book Antiqua" w:eastAsia="SimSun" w:hAnsi="Book Antiqua" w:cs="Times New Roman"/>
          <w:kern w:val="2"/>
          <w:sz w:val="24"/>
          <w:szCs w:val="24"/>
          <w:lang w:val="en-US" w:eastAsia="zh-CN"/>
        </w:rPr>
        <w:t xml:space="preserve"> J, </w:t>
      </w:r>
      <w:proofErr w:type="spellStart"/>
      <w:r w:rsidRPr="00466806">
        <w:rPr>
          <w:rFonts w:ascii="Book Antiqua" w:eastAsia="SimSun" w:hAnsi="Book Antiqua" w:cs="Times New Roman"/>
          <w:kern w:val="2"/>
          <w:sz w:val="24"/>
          <w:szCs w:val="24"/>
          <w:lang w:val="en-US" w:eastAsia="zh-CN"/>
        </w:rPr>
        <w:t>Manassaram</w:t>
      </w:r>
      <w:proofErr w:type="spellEnd"/>
      <w:r w:rsidRPr="00466806">
        <w:rPr>
          <w:rFonts w:ascii="Book Antiqua" w:eastAsia="SimSun" w:hAnsi="Book Antiqua" w:cs="Times New Roman"/>
          <w:kern w:val="2"/>
          <w:sz w:val="24"/>
          <w:szCs w:val="24"/>
          <w:lang w:val="en-US" w:eastAsia="zh-CN"/>
        </w:rPr>
        <w:t xml:space="preserve">-Baptiste D, Brawley OW, </w:t>
      </w:r>
      <w:proofErr w:type="spellStart"/>
      <w:r w:rsidRPr="00466806">
        <w:rPr>
          <w:rFonts w:ascii="Book Antiqua" w:eastAsia="SimSun" w:hAnsi="Book Antiqua" w:cs="Times New Roman"/>
          <w:kern w:val="2"/>
          <w:sz w:val="24"/>
          <w:szCs w:val="24"/>
          <w:lang w:val="en-US" w:eastAsia="zh-CN"/>
        </w:rPr>
        <w:t>Wender</w:t>
      </w:r>
      <w:proofErr w:type="spellEnd"/>
      <w:r w:rsidRPr="00466806">
        <w:rPr>
          <w:rFonts w:ascii="Book Antiqua" w:eastAsia="SimSun" w:hAnsi="Book Antiqua" w:cs="Times New Roman"/>
          <w:kern w:val="2"/>
          <w:sz w:val="24"/>
          <w:szCs w:val="24"/>
          <w:lang w:val="en-US" w:eastAsia="zh-CN"/>
        </w:rPr>
        <w:t xml:space="preserve"> RC. Cancer screening in the United States, 2016: A review of current American Cancer Society guidelines and current issues in cancer </w:t>
      </w:r>
      <w:r w:rsidRPr="00466806">
        <w:rPr>
          <w:rFonts w:ascii="Book Antiqua" w:eastAsia="SimSun" w:hAnsi="Book Antiqua" w:cs="Times New Roman"/>
          <w:kern w:val="2"/>
          <w:sz w:val="24"/>
          <w:szCs w:val="24"/>
          <w:lang w:val="en-US" w:eastAsia="zh-CN"/>
        </w:rPr>
        <w:lastRenderedPageBreak/>
        <w:t xml:space="preserve">screening. </w:t>
      </w:r>
      <w:r w:rsidRPr="00466806">
        <w:rPr>
          <w:rFonts w:ascii="Book Antiqua" w:eastAsia="SimSun" w:hAnsi="Book Antiqua" w:cs="Times New Roman"/>
          <w:i/>
          <w:kern w:val="2"/>
          <w:sz w:val="24"/>
          <w:szCs w:val="24"/>
          <w:lang w:val="en-US" w:eastAsia="zh-CN"/>
        </w:rPr>
        <w:t xml:space="preserve">CA Cancer J </w:t>
      </w:r>
      <w:proofErr w:type="spellStart"/>
      <w:r w:rsidRPr="00466806">
        <w:rPr>
          <w:rFonts w:ascii="Book Antiqua" w:eastAsia="SimSun" w:hAnsi="Book Antiqua" w:cs="Times New Roman"/>
          <w:i/>
          <w:kern w:val="2"/>
          <w:sz w:val="24"/>
          <w:szCs w:val="24"/>
          <w:lang w:val="en-US" w:eastAsia="zh-CN"/>
        </w:rPr>
        <w:t>Clin</w:t>
      </w:r>
      <w:proofErr w:type="spellEnd"/>
      <w:r w:rsidRPr="00466806">
        <w:rPr>
          <w:rFonts w:ascii="Book Antiqua" w:eastAsia="SimSun" w:hAnsi="Book Antiqua" w:cs="Times New Roman"/>
          <w:kern w:val="2"/>
          <w:sz w:val="24"/>
          <w:szCs w:val="24"/>
          <w:lang w:val="en-US" w:eastAsia="zh-CN"/>
        </w:rPr>
        <w:t xml:space="preserve"> 2016; </w:t>
      </w:r>
      <w:r w:rsidRPr="00466806">
        <w:rPr>
          <w:rFonts w:ascii="Book Antiqua" w:eastAsia="SimSun" w:hAnsi="Book Antiqua" w:cs="Times New Roman"/>
          <w:b/>
          <w:kern w:val="2"/>
          <w:sz w:val="24"/>
          <w:szCs w:val="24"/>
          <w:lang w:val="en-US" w:eastAsia="zh-CN"/>
        </w:rPr>
        <w:t>66</w:t>
      </w:r>
      <w:r w:rsidRPr="00466806">
        <w:rPr>
          <w:rFonts w:ascii="Book Antiqua" w:eastAsia="SimSun" w:hAnsi="Book Antiqua" w:cs="Times New Roman"/>
          <w:kern w:val="2"/>
          <w:sz w:val="24"/>
          <w:szCs w:val="24"/>
          <w:lang w:val="en-US" w:eastAsia="zh-CN"/>
        </w:rPr>
        <w:t>: 96-114 [PMID: 26797525 DOI: 10.3322/caac.21336]</w:t>
      </w:r>
    </w:p>
    <w:p w14:paraId="632ED45F"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36</w:t>
      </w:r>
      <w:proofErr w:type="gramEnd"/>
      <w:r w:rsidRPr="00466806">
        <w:rPr>
          <w:rFonts w:ascii="Book Antiqua" w:eastAsia="SimSun" w:hAnsi="Book Antiqua" w:cs="Times New Roman"/>
          <w:kern w:val="2"/>
          <w:sz w:val="24"/>
          <w:szCs w:val="24"/>
          <w:lang w:val="en-US" w:eastAsia="zh-CN"/>
        </w:rPr>
        <w:t xml:space="preserve"> </w:t>
      </w:r>
      <w:r w:rsidRPr="00466806">
        <w:rPr>
          <w:rFonts w:ascii="Book Antiqua" w:eastAsia="SimSun" w:hAnsi="Book Antiqua" w:cs="Times New Roman"/>
          <w:b/>
          <w:kern w:val="2"/>
          <w:sz w:val="24"/>
          <w:szCs w:val="24"/>
          <w:lang w:val="en-US" w:eastAsia="zh-CN"/>
        </w:rPr>
        <w:t>Whiteman DC</w:t>
      </w:r>
      <w:r w:rsidRPr="00466806">
        <w:rPr>
          <w:rFonts w:ascii="Book Antiqua" w:eastAsia="SimSun" w:hAnsi="Book Antiqua" w:cs="Times New Roman"/>
          <w:kern w:val="2"/>
          <w:sz w:val="24"/>
          <w:szCs w:val="24"/>
          <w:lang w:val="en-US" w:eastAsia="zh-CN"/>
        </w:rPr>
        <w:t xml:space="preserve">, Wilson LF. The fractions of cancer attributable to modifiable factors: A global review. </w:t>
      </w:r>
      <w:r w:rsidRPr="00466806">
        <w:rPr>
          <w:rFonts w:ascii="Book Antiqua" w:eastAsia="SimSun" w:hAnsi="Book Antiqua" w:cs="Times New Roman"/>
          <w:i/>
          <w:kern w:val="2"/>
          <w:sz w:val="24"/>
          <w:szCs w:val="24"/>
          <w:lang w:val="en-US" w:eastAsia="zh-CN"/>
        </w:rPr>
        <w:t xml:space="preserve">Cancer </w:t>
      </w:r>
      <w:proofErr w:type="spellStart"/>
      <w:r w:rsidRPr="00466806">
        <w:rPr>
          <w:rFonts w:ascii="Book Antiqua" w:eastAsia="SimSun" w:hAnsi="Book Antiqua" w:cs="Times New Roman"/>
          <w:i/>
          <w:kern w:val="2"/>
          <w:sz w:val="24"/>
          <w:szCs w:val="24"/>
          <w:lang w:val="en-US" w:eastAsia="zh-CN"/>
        </w:rPr>
        <w:t>Epidemiol</w:t>
      </w:r>
      <w:proofErr w:type="spellEnd"/>
      <w:r w:rsidRPr="00466806">
        <w:rPr>
          <w:rFonts w:ascii="Book Antiqua" w:eastAsia="SimSun" w:hAnsi="Book Antiqua" w:cs="Times New Roman"/>
          <w:kern w:val="2"/>
          <w:sz w:val="24"/>
          <w:szCs w:val="24"/>
          <w:lang w:val="en-US" w:eastAsia="zh-CN"/>
        </w:rPr>
        <w:t xml:space="preserve"> 2016; </w:t>
      </w:r>
      <w:r w:rsidRPr="00466806">
        <w:rPr>
          <w:rFonts w:ascii="Book Antiqua" w:eastAsia="SimSun" w:hAnsi="Book Antiqua" w:cs="Times New Roman"/>
          <w:b/>
          <w:kern w:val="2"/>
          <w:sz w:val="24"/>
          <w:szCs w:val="24"/>
          <w:lang w:val="en-US" w:eastAsia="zh-CN"/>
        </w:rPr>
        <w:t>44</w:t>
      </w:r>
      <w:r w:rsidRPr="00466806">
        <w:rPr>
          <w:rFonts w:ascii="Book Antiqua" w:eastAsia="SimSun" w:hAnsi="Book Antiqua" w:cs="Times New Roman"/>
          <w:kern w:val="2"/>
          <w:sz w:val="24"/>
          <w:szCs w:val="24"/>
          <w:lang w:val="en-US" w:eastAsia="zh-CN"/>
        </w:rPr>
        <w:t>: 203-221 [PMID: 27460784 DOI: 10.1016/j.canep.2016.06.013]</w:t>
      </w:r>
    </w:p>
    <w:p w14:paraId="16963E52"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37</w:t>
      </w:r>
      <w:proofErr w:type="gramEnd"/>
      <w:r w:rsidRPr="00466806">
        <w:rPr>
          <w:rFonts w:ascii="Book Antiqua" w:eastAsia="SimSun" w:hAnsi="Book Antiqua" w:cs="Times New Roman"/>
          <w:kern w:val="2"/>
          <w:sz w:val="24"/>
          <w:szCs w:val="24"/>
          <w:lang w:val="en-US" w:eastAsia="zh-CN"/>
        </w:rPr>
        <w:t xml:space="preserve"> </w:t>
      </w:r>
      <w:r w:rsidRPr="00466806">
        <w:rPr>
          <w:rFonts w:ascii="Book Antiqua" w:eastAsia="SimSun" w:hAnsi="Book Antiqua" w:cs="Times New Roman"/>
          <w:b/>
          <w:kern w:val="2"/>
          <w:sz w:val="24"/>
          <w:szCs w:val="24"/>
          <w:lang w:val="en-US" w:eastAsia="zh-CN"/>
        </w:rPr>
        <w:t>Lieberman DA</w:t>
      </w:r>
      <w:r w:rsidRPr="00466806">
        <w:rPr>
          <w:rFonts w:ascii="Book Antiqua" w:eastAsia="SimSun" w:hAnsi="Book Antiqua" w:cs="Times New Roman"/>
          <w:kern w:val="2"/>
          <w:sz w:val="24"/>
          <w:szCs w:val="24"/>
          <w:lang w:val="en-US" w:eastAsia="zh-CN"/>
        </w:rPr>
        <w:t xml:space="preserve">, Rex DK, </w:t>
      </w:r>
      <w:proofErr w:type="spellStart"/>
      <w:r w:rsidRPr="00466806">
        <w:rPr>
          <w:rFonts w:ascii="Book Antiqua" w:eastAsia="SimSun" w:hAnsi="Book Antiqua" w:cs="Times New Roman"/>
          <w:kern w:val="2"/>
          <w:sz w:val="24"/>
          <w:szCs w:val="24"/>
          <w:lang w:val="en-US" w:eastAsia="zh-CN"/>
        </w:rPr>
        <w:t>Winawer</w:t>
      </w:r>
      <w:proofErr w:type="spellEnd"/>
      <w:r w:rsidRPr="00466806">
        <w:rPr>
          <w:rFonts w:ascii="Book Antiqua" w:eastAsia="SimSun" w:hAnsi="Book Antiqua" w:cs="Times New Roman"/>
          <w:kern w:val="2"/>
          <w:sz w:val="24"/>
          <w:szCs w:val="24"/>
          <w:lang w:val="en-US" w:eastAsia="zh-CN"/>
        </w:rPr>
        <w:t xml:space="preserve"> SJ, Giardiello FM, Johnson DA, Levin TR. Guidelines for colonoscopy surveillance after screening and polypectomy: a consensus update by the US Multi-Society Task Force on Colorectal Cancer. </w:t>
      </w:r>
      <w:r w:rsidRPr="00466806">
        <w:rPr>
          <w:rFonts w:ascii="Book Antiqua" w:eastAsia="SimSun" w:hAnsi="Book Antiqua" w:cs="Times New Roman"/>
          <w:i/>
          <w:kern w:val="2"/>
          <w:sz w:val="24"/>
          <w:szCs w:val="24"/>
          <w:lang w:val="en-US" w:eastAsia="zh-CN"/>
        </w:rPr>
        <w:t>Gastroenterology</w:t>
      </w:r>
      <w:r w:rsidRPr="00466806">
        <w:rPr>
          <w:rFonts w:ascii="Book Antiqua" w:eastAsia="SimSun" w:hAnsi="Book Antiqua" w:cs="Times New Roman"/>
          <w:kern w:val="2"/>
          <w:sz w:val="24"/>
          <w:szCs w:val="24"/>
          <w:lang w:val="en-US" w:eastAsia="zh-CN"/>
        </w:rPr>
        <w:t xml:space="preserve"> 2012; </w:t>
      </w:r>
      <w:r w:rsidRPr="00466806">
        <w:rPr>
          <w:rFonts w:ascii="Book Antiqua" w:eastAsia="SimSun" w:hAnsi="Book Antiqua" w:cs="Times New Roman"/>
          <w:b/>
          <w:kern w:val="2"/>
          <w:sz w:val="24"/>
          <w:szCs w:val="24"/>
          <w:lang w:val="en-US" w:eastAsia="zh-CN"/>
        </w:rPr>
        <w:t>143</w:t>
      </w:r>
      <w:r w:rsidRPr="00466806">
        <w:rPr>
          <w:rFonts w:ascii="Book Antiqua" w:eastAsia="SimSun" w:hAnsi="Book Antiqua" w:cs="Times New Roman"/>
          <w:kern w:val="2"/>
          <w:sz w:val="24"/>
          <w:szCs w:val="24"/>
          <w:lang w:val="en-US" w:eastAsia="zh-CN"/>
        </w:rPr>
        <w:t>: 844-857 [PMID: 22763141 DOI: 10.1053/j.gastro.2012.06.001]</w:t>
      </w:r>
    </w:p>
    <w:p w14:paraId="1CE1824B"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38 </w:t>
      </w:r>
      <w:r w:rsidRPr="00466806">
        <w:rPr>
          <w:rFonts w:ascii="Book Antiqua" w:eastAsia="SimSun" w:hAnsi="Book Antiqua" w:cs="Times New Roman"/>
          <w:b/>
          <w:kern w:val="2"/>
          <w:sz w:val="24"/>
          <w:szCs w:val="24"/>
          <w:lang w:val="en-US" w:eastAsia="zh-CN"/>
        </w:rPr>
        <w:t>Levin B</w:t>
      </w:r>
      <w:r w:rsidRPr="00466806">
        <w:rPr>
          <w:rFonts w:ascii="Book Antiqua" w:eastAsia="SimSun" w:hAnsi="Book Antiqua" w:cs="Times New Roman"/>
          <w:kern w:val="2"/>
          <w:sz w:val="24"/>
          <w:szCs w:val="24"/>
          <w:lang w:val="en-US" w:eastAsia="zh-CN"/>
        </w:rPr>
        <w:t xml:space="preserve">, Lieberman DA, McFarland B, Smith RA, Brooks D, Andrews KS, Dash C, Giardiello FM, Glick S, Levin TR, </w:t>
      </w:r>
      <w:proofErr w:type="spellStart"/>
      <w:r w:rsidRPr="00466806">
        <w:rPr>
          <w:rFonts w:ascii="Book Antiqua" w:eastAsia="SimSun" w:hAnsi="Book Antiqua" w:cs="Times New Roman"/>
          <w:kern w:val="2"/>
          <w:sz w:val="24"/>
          <w:szCs w:val="24"/>
          <w:lang w:val="en-US" w:eastAsia="zh-CN"/>
        </w:rPr>
        <w:t>Pickhardt</w:t>
      </w:r>
      <w:proofErr w:type="spellEnd"/>
      <w:r w:rsidRPr="00466806">
        <w:rPr>
          <w:rFonts w:ascii="Book Antiqua" w:eastAsia="SimSun" w:hAnsi="Book Antiqua" w:cs="Times New Roman"/>
          <w:kern w:val="2"/>
          <w:sz w:val="24"/>
          <w:szCs w:val="24"/>
          <w:lang w:val="en-US" w:eastAsia="zh-CN"/>
        </w:rPr>
        <w:t xml:space="preserve"> P, Rex DK, Thorson A, </w:t>
      </w:r>
      <w:proofErr w:type="spellStart"/>
      <w:r w:rsidRPr="00466806">
        <w:rPr>
          <w:rFonts w:ascii="Book Antiqua" w:eastAsia="SimSun" w:hAnsi="Book Antiqua" w:cs="Times New Roman"/>
          <w:kern w:val="2"/>
          <w:sz w:val="24"/>
          <w:szCs w:val="24"/>
          <w:lang w:val="en-US" w:eastAsia="zh-CN"/>
        </w:rPr>
        <w:t>Winawer</w:t>
      </w:r>
      <w:proofErr w:type="spellEnd"/>
      <w:r w:rsidRPr="00466806">
        <w:rPr>
          <w:rFonts w:ascii="Book Antiqua" w:eastAsia="SimSun" w:hAnsi="Book Antiqua" w:cs="Times New Roman"/>
          <w:kern w:val="2"/>
          <w:sz w:val="24"/>
          <w:szCs w:val="24"/>
          <w:lang w:val="en-US" w:eastAsia="zh-CN"/>
        </w:rPr>
        <w:t xml:space="preserve"> SJ; American Cancer Society Colorectal Cancer Advisory Group; US Multi-Society Task Force; American College of Radiology Colon Cancer Committee. Screening and surveillance for the early detection of colorectal cancer and adenomatous polyps, 2008: a joint guideline from the American Cancer Society, the US Multi-Society Task Force on Colorectal Cancer, and the American College of Radiology. </w:t>
      </w:r>
      <w:r w:rsidRPr="00466806">
        <w:rPr>
          <w:rFonts w:ascii="Book Antiqua" w:eastAsia="SimSun" w:hAnsi="Book Antiqua" w:cs="Times New Roman"/>
          <w:i/>
          <w:kern w:val="2"/>
          <w:sz w:val="24"/>
          <w:szCs w:val="24"/>
          <w:lang w:val="en-US" w:eastAsia="zh-CN"/>
        </w:rPr>
        <w:t xml:space="preserve">CA Cancer J </w:t>
      </w:r>
      <w:proofErr w:type="spellStart"/>
      <w:r w:rsidRPr="00466806">
        <w:rPr>
          <w:rFonts w:ascii="Book Antiqua" w:eastAsia="SimSun" w:hAnsi="Book Antiqua" w:cs="Times New Roman"/>
          <w:i/>
          <w:kern w:val="2"/>
          <w:sz w:val="24"/>
          <w:szCs w:val="24"/>
          <w:lang w:val="en-US" w:eastAsia="zh-CN"/>
        </w:rPr>
        <w:t>Clin</w:t>
      </w:r>
      <w:proofErr w:type="spellEnd"/>
      <w:r w:rsidRPr="00466806">
        <w:rPr>
          <w:rFonts w:ascii="Book Antiqua" w:eastAsia="SimSun" w:hAnsi="Book Antiqua" w:cs="Times New Roman"/>
          <w:kern w:val="2"/>
          <w:sz w:val="24"/>
          <w:szCs w:val="24"/>
          <w:lang w:val="en-US" w:eastAsia="zh-CN"/>
        </w:rPr>
        <w:t xml:space="preserve"> 2008; </w:t>
      </w:r>
      <w:r w:rsidRPr="00466806">
        <w:rPr>
          <w:rFonts w:ascii="Book Antiqua" w:eastAsia="SimSun" w:hAnsi="Book Antiqua" w:cs="Times New Roman"/>
          <w:b/>
          <w:kern w:val="2"/>
          <w:sz w:val="24"/>
          <w:szCs w:val="24"/>
          <w:lang w:val="en-US" w:eastAsia="zh-CN"/>
        </w:rPr>
        <w:t>58</w:t>
      </w:r>
      <w:r w:rsidRPr="00466806">
        <w:rPr>
          <w:rFonts w:ascii="Book Antiqua" w:eastAsia="SimSun" w:hAnsi="Book Antiqua" w:cs="Times New Roman"/>
          <w:kern w:val="2"/>
          <w:sz w:val="24"/>
          <w:szCs w:val="24"/>
          <w:lang w:val="en-US" w:eastAsia="zh-CN"/>
        </w:rPr>
        <w:t>: 130-160 [PMID: 18322143 DOI: 10.3322/CA.2007.0018]</w:t>
      </w:r>
    </w:p>
    <w:p w14:paraId="12503B0F"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39</w:t>
      </w:r>
      <w:proofErr w:type="gramEnd"/>
      <w:r w:rsidRPr="00466806">
        <w:rPr>
          <w:rFonts w:ascii="Book Antiqua" w:eastAsia="SimSun" w:hAnsi="Book Antiqua" w:cs="Times New Roman"/>
          <w:kern w:val="2"/>
          <w:sz w:val="24"/>
          <w:szCs w:val="24"/>
          <w:lang w:val="en-US" w:eastAsia="zh-CN"/>
        </w:rPr>
        <w:t xml:space="preserve"> </w:t>
      </w:r>
      <w:r w:rsidRPr="00466806">
        <w:rPr>
          <w:rFonts w:ascii="Book Antiqua" w:eastAsia="SimSun" w:hAnsi="Book Antiqua" w:cs="Times New Roman"/>
          <w:b/>
          <w:kern w:val="2"/>
          <w:sz w:val="24"/>
          <w:szCs w:val="24"/>
          <w:lang w:val="en-US" w:eastAsia="zh-CN"/>
        </w:rPr>
        <w:t>Israel. Central Bureau of Statistics</w:t>
      </w:r>
      <w:r w:rsidRPr="00466806">
        <w:rPr>
          <w:rFonts w:ascii="Book Antiqua" w:eastAsia="SimSun" w:hAnsi="Book Antiqua" w:cs="Times New Roman"/>
          <w:kern w:val="2"/>
          <w:sz w:val="24"/>
          <w:szCs w:val="24"/>
          <w:lang w:val="en-US" w:eastAsia="zh-CN"/>
        </w:rPr>
        <w:t xml:space="preserve">. Population in Israel, by marital status, sex and age, aged 15-54, 1987. </w:t>
      </w:r>
      <w:r w:rsidRPr="00466806">
        <w:rPr>
          <w:rFonts w:ascii="Book Antiqua" w:eastAsia="SimSun" w:hAnsi="Book Antiqua" w:cs="Times New Roman"/>
          <w:i/>
          <w:kern w:val="2"/>
          <w:sz w:val="24"/>
          <w:szCs w:val="24"/>
          <w:lang w:val="en-US" w:eastAsia="zh-CN"/>
        </w:rPr>
        <w:t xml:space="preserve">Mon Bull Stat U N Stat </w:t>
      </w:r>
      <w:proofErr w:type="gramStart"/>
      <w:r w:rsidRPr="00466806">
        <w:rPr>
          <w:rFonts w:ascii="Book Antiqua" w:eastAsia="SimSun" w:hAnsi="Book Antiqua" w:cs="Times New Roman"/>
          <w:i/>
          <w:kern w:val="2"/>
          <w:sz w:val="24"/>
          <w:szCs w:val="24"/>
          <w:lang w:val="en-US" w:eastAsia="zh-CN"/>
        </w:rPr>
        <w:t>Off</w:t>
      </w:r>
      <w:proofErr w:type="gramEnd"/>
      <w:r w:rsidRPr="00466806">
        <w:rPr>
          <w:rFonts w:ascii="Book Antiqua" w:eastAsia="SimSun" w:hAnsi="Book Antiqua" w:cs="Times New Roman"/>
          <w:kern w:val="2"/>
          <w:sz w:val="24"/>
          <w:szCs w:val="24"/>
          <w:lang w:val="en-US" w:eastAsia="zh-CN"/>
        </w:rPr>
        <w:t xml:space="preserve"> 1989; </w:t>
      </w:r>
      <w:r w:rsidRPr="00466806">
        <w:rPr>
          <w:rFonts w:ascii="Book Antiqua" w:eastAsia="SimSun" w:hAnsi="Book Antiqua" w:cs="Times New Roman"/>
          <w:b/>
          <w:kern w:val="2"/>
          <w:sz w:val="24"/>
          <w:szCs w:val="24"/>
          <w:lang w:val="en-US" w:eastAsia="zh-CN"/>
        </w:rPr>
        <w:t>40</w:t>
      </w:r>
      <w:r w:rsidRPr="00466806">
        <w:rPr>
          <w:rFonts w:ascii="Book Antiqua" w:eastAsia="SimSun" w:hAnsi="Book Antiqua" w:cs="Times New Roman"/>
          <w:kern w:val="2"/>
          <w:sz w:val="24"/>
          <w:szCs w:val="24"/>
          <w:lang w:val="en-US" w:eastAsia="zh-CN"/>
        </w:rPr>
        <w:t>: 17-50 [PMID: 12233657]</w:t>
      </w:r>
    </w:p>
    <w:p w14:paraId="2AF670B0"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40 </w:t>
      </w:r>
      <w:proofErr w:type="spellStart"/>
      <w:r w:rsidRPr="00466806">
        <w:rPr>
          <w:rFonts w:ascii="Book Antiqua" w:eastAsia="SimSun" w:hAnsi="Book Antiqua" w:cs="Times New Roman"/>
          <w:b/>
          <w:kern w:val="2"/>
          <w:sz w:val="24"/>
          <w:szCs w:val="24"/>
          <w:lang w:val="en-US" w:eastAsia="zh-CN"/>
        </w:rPr>
        <w:t>Schwingshackl</w:t>
      </w:r>
      <w:proofErr w:type="spellEnd"/>
      <w:r w:rsidRPr="00466806">
        <w:rPr>
          <w:rFonts w:ascii="Book Antiqua" w:eastAsia="SimSun" w:hAnsi="Book Antiqua" w:cs="Times New Roman"/>
          <w:b/>
          <w:kern w:val="2"/>
          <w:sz w:val="24"/>
          <w:szCs w:val="24"/>
          <w:lang w:val="en-US" w:eastAsia="zh-CN"/>
        </w:rPr>
        <w:t xml:space="preserve"> L</w:t>
      </w:r>
      <w:r w:rsidRPr="00466806">
        <w:rPr>
          <w:rFonts w:ascii="Book Antiqua" w:eastAsia="SimSun" w:hAnsi="Book Antiqua" w:cs="Times New Roman"/>
          <w:kern w:val="2"/>
          <w:sz w:val="24"/>
          <w:szCs w:val="24"/>
          <w:lang w:val="en-US" w:eastAsia="zh-CN"/>
        </w:rPr>
        <w:t xml:space="preserve">, Hoffmann G. Diet quality as assessed by the Healthy Eating Index, the Alternate Healthy Eating Index, </w:t>
      </w:r>
      <w:proofErr w:type="gramStart"/>
      <w:r w:rsidRPr="00466806">
        <w:rPr>
          <w:rFonts w:ascii="Book Antiqua" w:eastAsia="SimSun" w:hAnsi="Book Antiqua" w:cs="Times New Roman"/>
          <w:kern w:val="2"/>
          <w:sz w:val="24"/>
          <w:szCs w:val="24"/>
          <w:lang w:val="en-US" w:eastAsia="zh-CN"/>
        </w:rPr>
        <w:t>the</w:t>
      </w:r>
      <w:proofErr w:type="gramEnd"/>
      <w:r w:rsidRPr="00466806">
        <w:rPr>
          <w:rFonts w:ascii="Book Antiqua" w:eastAsia="SimSun" w:hAnsi="Book Antiqua" w:cs="Times New Roman"/>
          <w:kern w:val="2"/>
          <w:sz w:val="24"/>
          <w:szCs w:val="24"/>
          <w:lang w:val="en-US" w:eastAsia="zh-CN"/>
        </w:rPr>
        <w:t xml:space="preserve"> Dietary Approaches to Stop Hypertension score, and health outcomes: a systematic review and meta-analysis of cohort studies. </w:t>
      </w:r>
      <w:r w:rsidRPr="00466806">
        <w:rPr>
          <w:rFonts w:ascii="Book Antiqua" w:eastAsia="SimSun" w:hAnsi="Book Antiqua" w:cs="Times New Roman"/>
          <w:i/>
          <w:kern w:val="2"/>
          <w:sz w:val="24"/>
          <w:szCs w:val="24"/>
          <w:lang w:val="en-US" w:eastAsia="zh-CN"/>
        </w:rPr>
        <w:t xml:space="preserve">J </w:t>
      </w:r>
      <w:proofErr w:type="spellStart"/>
      <w:r w:rsidRPr="00466806">
        <w:rPr>
          <w:rFonts w:ascii="Book Antiqua" w:eastAsia="SimSun" w:hAnsi="Book Antiqua" w:cs="Times New Roman"/>
          <w:i/>
          <w:kern w:val="2"/>
          <w:sz w:val="24"/>
          <w:szCs w:val="24"/>
          <w:lang w:val="en-US" w:eastAsia="zh-CN"/>
        </w:rPr>
        <w:t>Acad</w:t>
      </w:r>
      <w:proofErr w:type="spellEnd"/>
      <w:r w:rsidRPr="00466806">
        <w:rPr>
          <w:rFonts w:ascii="Book Antiqua" w:eastAsia="SimSun" w:hAnsi="Book Antiqua" w:cs="Times New Roman"/>
          <w:i/>
          <w:kern w:val="2"/>
          <w:sz w:val="24"/>
          <w:szCs w:val="24"/>
          <w:lang w:val="en-US" w:eastAsia="zh-CN"/>
        </w:rPr>
        <w:t xml:space="preserve"> </w:t>
      </w:r>
      <w:proofErr w:type="spellStart"/>
      <w:r w:rsidRPr="00466806">
        <w:rPr>
          <w:rFonts w:ascii="Book Antiqua" w:eastAsia="SimSun" w:hAnsi="Book Antiqua" w:cs="Times New Roman"/>
          <w:i/>
          <w:kern w:val="2"/>
          <w:sz w:val="24"/>
          <w:szCs w:val="24"/>
          <w:lang w:val="en-US" w:eastAsia="zh-CN"/>
        </w:rPr>
        <w:t>Nutr</w:t>
      </w:r>
      <w:proofErr w:type="spellEnd"/>
      <w:r w:rsidRPr="00466806">
        <w:rPr>
          <w:rFonts w:ascii="Book Antiqua" w:eastAsia="SimSun" w:hAnsi="Book Antiqua" w:cs="Times New Roman"/>
          <w:i/>
          <w:kern w:val="2"/>
          <w:sz w:val="24"/>
          <w:szCs w:val="24"/>
          <w:lang w:val="en-US" w:eastAsia="zh-CN"/>
        </w:rPr>
        <w:t xml:space="preserve"> Diet</w:t>
      </w:r>
      <w:r w:rsidRPr="00466806">
        <w:rPr>
          <w:rFonts w:ascii="Book Antiqua" w:eastAsia="SimSun" w:hAnsi="Book Antiqua" w:cs="Times New Roman"/>
          <w:kern w:val="2"/>
          <w:sz w:val="24"/>
          <w:szCs w:val="24"/>
          <w:lang w:val="en-US" w:eastAsia="zh-CN"/>
        </w:rPr>
        <w:t xml:space="preserve"> 2015; </w:t>
      </w:r>
      <w:r w:rsidRPr="00466806">
        <w:rPr>
          <w:rFonts w:ascii="Book Antiqua" w:eastAsia="SimSun" w:hAnsi="Book Antiqua" w:cs="Times New Roman"/>
          <w:b/>
          <w:kern w:val="2"/>
          <w:sz w:val="24"/>
          <w:szCs w:val="24"/>
          <w:lang w:val="en-US" w:eastAsia="zh-CN"/>
        </w:rPr>
        <w:t>115</w:t>
      </w:r>
      <w:r w:rsidRPr="00466806">
        <w:rPr>
          <w:rFonts w:ascii="Book Antiqua" w:eastAsia="SimSun" w:hAnsi="Book Antiqua" w:cs="Times New Roman"/>
          <w:kern w:val="2"/>
          <w:sz w:val="24"/>
          <w:szCs w:val="24"/>
          <w:lang w:val="en-US" w:eastAsia="zh-CN"/>
        </w:rPr>
        <w:t>: 780-800.e5 [PMID: 25680825 DOI: 10.1016/j.jand.2014.12.009]</w:t>
      </w:r>
    </w:p>
    <w:p w14:paraId="4B4DD94B"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41</w:t>
      </w:r>
      <w:proofErr w:type="gramEnd"/>
      <w:r w:rsidRPr="00466806">
        <w:rPr>
          <w:rFonts w:ascii="Book Antiqua" w:eastAsia="SimSun" w:hAnsi="Book Antiqua" w:cs="Times New Roman"/>
          <w:kern w:val="2"/>
          <w:sz w:val="24"/>
          <w:szCs w:val="24"/>
          <w:lang w:val="en-US" w:eastAsia="zh-CN"/>
        </w:rPr>
        <w:t xml:space="preserve"> </w:t>
      </w:r>
      <w:r w:rsidRPr="00466806">
        <w:rPr>
          <w:rFonts w:ascii="Book Antiqua" w:eastAsia="SimSun" w:hAnsi="Book Antiqua" w:cs="Times New Roman"/>
          <w:b/>
          <w:kern w:val="2"/>
          <w:sz w:val="24"/>
          <w:szCs w:val="24"/>
          <w:lang w:val="en-US" w:eastAsia="zh-CN"/>
        </w:rPr>
        <w:t>Jacobs S</w:t>
      </w:r>
      <w:r w:rsidRPr="00466806">
        <w:rPr>
          <w:rFonts w:ascii="Book Antiqua" w:eastAsia="SimSun" w:hAnsi="Book Antiqua" w:cs="Times New Roman"/>
          <w:kern w:val="2"/>
          <w:sz w:val="24"/>
          <w:szCs w:val="24"/>
          <w:lang w:val="en-US" w:eastAsia="zh-CN"/>
        </w:rPr>
        <w:t xml:space="preserve">, Harmon BE, </w:t>
      </w:r>
      <w:proofErr w:type="spellStart"/>
      <w:r w:rsidRPr="00466806">
        <w:rPr>
          <w:rFonts w:ascii="Book Antiqua" w:eastAsia="SimSun" w:hAnsi="Book Antiqua" w:cs="Times New Roman"/>
          <w:kern w:val="2"/>
          <w:sz w:val="24"/>
          <w:szCs w:val="24"/>
          <w:lang w:val="en-US" w:eastAsia="zh-CN"/>
        </w:rPr>
        <w:t>Ollberding</w:t>
      </w:r>
      <w:proofErr w:type="spellEnd"/>
      <w:r w:rsidRPr="00466806">
        <w:rPr>
          <w:rFonts w:ascii="Book Antiqua" w:eastAsia="SimSun" w:hAnsi="Book Antiqua" w:cs="Times New Roman"/>
          <w:kern w:val="2"/>
          <w:sz w:val="24"/>
          <w:szCs w:val="24"/>
          <w:lang w:val="en-US" w:eastAsia="zh-CN"/>
        </w:rPr>
        <w:t xml:space="preserve"> NJ, Wilkens LR, Monroe KR, </w:t>
      </w:r>
      <w:proofErr w:type="spellStart"/>
      <w:r w:rsidRPr="00466806">
        <w:rPr>
          <w:rFonts w:ascii="Book Antiqua" w:eastAsia="SimSun" w:hAnsi="Book Antiqua" w:cs="Times New Roman"/>
          <w:kern w:val="2"/>
          <w:sz w:val="24"/>
          <w:szCs w:val="24"/>
          <w:lang w:val="en-US" w:eastAsia="zh-CN"/>
        </w:rPr>
        <w:t>Kolonel</w:t>
      </w:r>
      <w:proofErr w:type="spellEnd"/>
      <w:r w:rsidRPr="00466806">
        <w:rPr>
          <w:rFonts w:ascii="Book Antiqua" w:eastAsia="SimSun" w:hAnsi="Book Antiqua" w:cs="Times New Roman"/>
          <w:kern w:val="2"/>
          <w:sz w:val="24"/>
          <w:szCs w:val="24"/>
          <w:lang w:val="en-US" w:eastAsia="zh-CN"/>
        </w:rPr>
        <w:t xml:space="preserve"> LN, Le </w:t>
      </w:r>
      <w:proofErr w:type="spellStart"/>
      <w:r w:rsidRPr="00466806">
        <w:rPr>
          <w:rFonts w:ascii="Book Antiqua" w:eastAsia="SimSun" w:hAnsi="Book Antiqua" w:cs="Times New Roman"/>
          <w:kern w:val="2"/>
          <w:sz w:val="24"/>
          <w:szCs w:val="24"/>
          <w:lang w:val="en-US" w:eastAsia="zh-CN"/>
        </w:rPr>
        <w:t>Marchand</w:t>
      </w:r>
      <w:proofErr w:type="spellEnd"/>
      <w:r w:rsidRPr="00466806">
        <w:rPr>
          <w:rFonts w:ascii="Book Antiqua" w:eastAsia="SimSun" w:hAnsi="Book Antiqua" w:cs="Times New Roman"/>
          <w:kern w:val="2"/>
          <w:sz w:val="24"/>
          <w:szCs w:val="24"/>
          <w:lang w:val="en-US" w:eastAsia="zh-CN"/>
        </w:rPr>
        <w:t xml:space="preserve"> L, </w:t>
      </w:r>
      <w:proofErr w:type="spellStart"/>
      <w:r w:rsidRPr="00466806">
        <w:rPr>
          <w:rFonts w:ascii="Book Antiqua" w:eastAsia="SimSun" w:hAnsi="Book Antiqua" w:cs="Times New Roman"/>
          <w:kern w:val="2"/>
          <w:sz w:val="24"/>
          <w:szCs w:val="24"/>
          <w:lang w:val="en-US" w:eastAsia="zh-CN"/>
        </w:rPr>
        <w:t>Boushey</w:t>
      </w:r>
      <w:proofErr w:type="spellEnd"/>
      <w:r w:rsidRPr="00466806">
        <w:rPr>
          <w:rFonts w:ascii="Book Antiqua" w:eastAsia="SimSun" w:hAnsi="Book Antiqua" w:cs="Times New Roman"/>
          <w:kern w:val="2"/>
          <w:sz w:val="24"/>
          <w:szCs w:val="24"/>
          <w:lang w:val="en-US" w:eastAsia="zh-CN"/>
        </w:rPr>
        <w:t xml:space="preserve"> CJ, </w:t>
      </w:r>
      <w:proofErr w:type="spellStart"/>
      <w:r w:rsidRPr="00466806">
        <w:rPr>
          <w:rFonts w:ascii="Book Antiqua" w:eastAsia="SimSun" w:hAnsi="Book Antiqua" w:cs="Times New Roman"/>
          <w:kern w:val="2"/>
          <w:sz w:val="24"/>
          <w:szCs w:val="24"/>
          <w:lang w:val="en-US" w:eastAsia="zh-CN"/>
        </w:rPr>
        <w:t>Maskarinec</w:t>
      </w:r>
      <w:proofErr w:type="spellEnd"/>
      <w:r w:rsidRPr="00466806">
        <w:rPr>
          <w:rFonts w:ascii="Book Antiqua" w:eastAsia="SimSun" w:hAnsi="Book Antiqua" w:cs="Times New Roman"/>
          <w:kern w:val="2"/>
          <w:sz w:val="24"/>
          <w:szCs w:val="24"/>
          <w:lang w:val="en-US" w:eastAsia="zh-CN"/>
        </w:rPr>
        <w:t xml:space="preserve"> G. Among </w:t>
      </w:r>
      <w:proofErr w:type="gramStart"/>
      <w:r w:rsidRPr="00466806">
        <w:rPr>
          <w:rFonts w:ascii="Book Antiqua" w:eastAsia="SimSun" w:hAnsi="Book Antiqua" w:cs="Times New Roman"/>
          <w:kern w:val="2"/>
          <w:sz w:val="24"/>
          <w:szCs w:val="24"/>
          <w:lang w:val="en-US" w:eastAsia="zh-CN"/>
        </w:rPr>
        <w:t>4</w:t>
      </w:r>
      <w:proofErr w:type="gramEnd"/>
      <w:r w:rsidRPr="00466806">
        <w:rPr>
          <w:rFonts w:ascii="Book Antiqua" w:eastAsia="SimSun" w:hAnsi="Book Antiqua" w:cs="Times New Roman"/>
          <w:kern w:val="2"/>
          <w:sz w:val="24"/>
          <w:szCs w:val="24"/>
          <w:lang w:val="en-US" w:eastAsia="zh-CN"/>
        </w:rPr>
        <w:t xml:space="preserve"> Diet Quality Indexes, Only the Alternate Mediterranean Diet Score Is Associated with Better Colorectal Cancer Survival and Only in African American Women in the Multiethnic Cohort. </w:t>
      </w:r>
      <w:r w:rsidRPr="00466806">
        <w:rPr>
          <w:rFonts w:ascii="Book Antiqua" w:eastAsia="SimSun" w:hAnsi="Book Antiqua" w:cs="Times New Roman"/>
          <w:i/>
          <w:kern w:val="2"/>
          <w:sz w:val="24"/>
          <w:szCs w:val="24"/>
          <w:lang w:val="en-US" w:eastAsia="zh-CN"/>
        </w:rPr>
        <w:t xml:space="preserve">J </w:t>
      </w:r>
      <w:proofErr w:type="spellStart"/>
      <w:r w:rsidRPr="00466806">
        <w:rPr>
          <w:rFonts w:ascii="Book Antiqua" w:eastAsia="SimSun" w:hAnsi="Book Antiqua" w:cs="Times New Roman"/>
          <w:i/>
          <w:kern w:val="2"/>
          <w:sz w:val="24"/>
          <w:szCs w:val="24"/>
          <w:lang w:val="en-US" w:eastAsia="zh-CN"/>
        </w:rPr>
        <w:t>Nutr</w:t>
      </w:r>
      <w:proofErr w:type="spellEnd"/>
      <w:r w:rsidRPr="00466806">
        <w:rPr>
          <w:rFonts w:ascii="Book Antiqua" w:eastAsia="SimSun" w:hAnsi="Book Antiqua" w:cs="Times New Roman"/>
          <w:kern w:val="2"/>
          <w:sz w:val="24"/>
          <w:szCs w:val="24"/>
          <w:lang w:val="en-US" w:eastAsia="zh-CN"/>
        </w:rPr>
        <w:t xml:space="preserve"> 2016; </w:t>
      </w:r>
      <w:r w:rsidRPr="00466806">
        <w:rPr>
          <w:rFonts w:ascii="Book Antiqua" w:eastAsia="SimSun" w:hAnsi="Book Antiqua" w:cs="Times New Roman"/>
          <w:b/>
          <w:kern w:val="2"/>
          <w:sz w:val="24"/>
          <w:szCs w:val="24"/>
          <w:lang w:val="en-US" w:eastAsia="zh-CN"/>
        </w:rPr>
        <w:t>146</w:t>
      </w:r>
      <w:r w:rsidRPr="00466806">
        <w:rPr>
          <w:rFonts w:ascii="Book Antiqua" w:eastAsia="SimSun" w:hAnsi="Book Antiqua" w:cs="Times New Roman"/>
          <w:kern w:val="2"/>
          <w:sz w:val="24"/>
          <w:szCs w:val="24"/>
          <w:lang w:val="en-US" w:eastAsia="zh-CN"/>
        </w:rPr>
        <w:t>: 1746-1755 [PMID: 27511927 DOI: 10.3945/jn.116.234237]</w:t>
      </w:r>
    </w:p>
    <w:p w14:paraId="0495E56C"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42 </w:t>
      </w:r>
      <w:proofErr w:type="spellStart"/>
      <w:r w:rsidRPr="00466806">
        <w:rPr>
          <w:rFonts w:ascii="Book Antiqua" w:eastAsia="SimSun" w:hAnsi="Book Antiqua" w:cs="Times New Roman"/>
          <w:b/>
          <w:kern w:val="2"/>
          <w:sz w:val="24"/>
          <w:szCs w:val="24"/>
          <w:lang w:val="en-US" w:eastAsia="zh-CN"/>
        </w:rPr>
        <w:t>Schwingshackl</w:t>
      </w:r>
      <w:proofErr w:type="spellEnd"/>
      <w:r w:rsidRPr="00466806">
        <w:rPr>
          <w:rFonts w:ascii="Book Antiqua" w:eastAsia="SimSun" w:hAnsi="Book Antiqua" w:cs="Times New Roman"/>
          <w:b/>
          <w:kern w:val="2"/>
          <w:sz w:val="24"/>
          <w:szCs w:val="24"/>
          <w:lang w:val="en-US" w:eastAsia="zh-CN"/>
        </w:rPr>
        <w:t xml:space="preserve"> L</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Bogensberger</w:t>
      </w:r>
      <w:proofErr w:type="spellEnd"/>
      <w:r w:rsidRPr="00466806">
        <w:rPr>
          <w:rFonts w:ascii="Book Antiqua" w:eastAsia="SimSun" w:hAnsi="Book Antiqua" w:cs="Times New Roman"/>
          <w:kern w:val="2"/>
          <w:sz w:val="24"/>
          <w:szCs w:val="24"/>
          <w:lang w:val="en-US" w:eastAsia="zh-CN"/>
        </w:rPr>
        <w:t xml:space="preserve"> B, Hoffmann G. Diet Quality as Assessed by the Healthy Eating Index, Alternate Healthy Eating Index, Dietary Approaches to Stop Hypertension Score, and Health Outcomes: An Updated Systematic Review and Meta-Analysis of Cohort Studies. </w:t>
      </w:r>
      <w:r w:rsidRPr="00466806">
        <w:rPr>
          <w:rFonts w:ascii="Book Antiqua" w:eastAsia="SimSun" w:hAnsi="Book Antiqua" w:cs="Times New Roman"/>
          <w:i/>
          <w:kern w:val="2"/>
          <w:sz w:val="24"/>
          <w:szCs w:val="24"/>
          <w:lang w:val="en-US" w:eastAsia="zh-CN"/>
        </w:rPr>
        <w:t xml:space="preserve">J </w:t>
      </w:r>
      <w:proofErr w:type="spellStart"/>
      <w:r w:rsidRPr="00466806">
        <w:rPr>
          <w:rFonts w:ascii="Book Antiqua" w:eastAsia="SimSun" w:hAnsi="Book Antiqua" w:cs="Times New Roman"/>
          <w:i/>
          <w:kern w:val="2"/>
          <w:sz w:val="24"/>
          <w:szCs w:val="24"/>
          <w:lang w:val="en-US" w:eastAsia="zh-CN"/>
        </w:rPr>
        <w:t>Acad</w:t>
      </w:r>
      <w:proofErr w:type="spellEnd"/>
      <w:r w:rsidRPr="00466806">
        <w:rPr>
          <w:rFonts w:ascii="Book Antiqua" w:eastAsia="SimSun" w:hAnsi="Book Antiqua" w:cs="Times New Roman"/>
          <w:i/>
          <w:kern w:val="2"/>
          <w:sz w:val="24"/>
          <w:szCs w:val="24"/>
          <w:lang w:val="en-US" w:eastAsia="zh-CN"/>
        </w:rPr>
        <w:t xml:space="preserve"> </w:t>
      </w:r>
      <w:proofErr w:type="spellStart"/>
      <w:r w:rsidRPr="00466806">
        <w:rPr>
          <w:rFonts w:ascii="Book Antiqua" w:eastAsia="SimSun" w:hAnsi="Book Antiqua" w:cs="Times New Roman"/>
          <w:i/>
          <w:kern w:val="2"/>
          <w:sz w:val="24"/>
          <w:szCs w:val="24"/>
          <w:lang w:val="en-US" w:eastAsia="zh-CN"/>
        </w:rPr>
        <w:t>Nutr</w:t>
      </w:r>
      <w:proofErr w:type="spellEnd"/>
      <w:r w:rsidRPr="00466806">
        <w:rPr>
          <w:rFonts w:ascii="Book Antiqua" w:eastAsia="SimSun" w:hAnsi="Book Antiqua" w:cs="Times New Roman"/>
          <w:i/>
          <w:kern w:val="2"/>
          <w:sz w:val="24"/>
          <w:szCs w:val="24"/>
          <w:lang w:val="en-US" w:eastAsia="zh-CN"/>
        </w:rPr>
        <w:t xml:space="preserve"> Diet</w:t>
      </w:r>
      <w:r w:rsidRPr="00466806">
        <w:rPr>
          <w:rFonts w:ascii="Book Antiqua" w:eastAsia="SimSun" w:hAnsi="Book Antiqua" w:cs="Times New Roman"/>
          <w:kern w:val="2"/>
          <w:sz w:val="24"/>
          <w:szCs w:val="24"/>
          <w:lang w:val="en-US" w:eastAsia="zh-CN"/>
        </w:rPr>
        <w:t xml:space="preserve"> 2018; </w:t>
      </w:r>
      <w:r w:rsidRPr="00466806">
        <w:rPr>
          <w:rFonts w:ascii="Book Antiqua" w:eastAsia="SimSun" w:hAnsi="Book Antiqua" w:cs="Times New Roman"/>
          <w:b/>
          <w:kern w:val="2"/>
          <w:sz w:val="24"/>
          <w:szCs w:val="24"/>
          <w:lang w:val="en-US" w:eastAsia="zh-CN"/>
        </w:rPr>
        <w:t>118</w:t>
      </w:r>
      <w:r w:rsidRPr="00466806">
        <w:rPr>
          <w:rFonts w:ascii="Book Antiqua" w:eastAsia="SimSun" w:hAnsi="Book Antiqua" w:cs="Times New Roman"/>
          <w:kern w:val="2"/>
          <w:sz w:val="24"/>
          <w:szCs w:val="24"/>
          <w:lang w:val="en-US" w:eastAsia="zh-CN"/>
        </w:rPr>
        <w:t>: 74-100.e11 [PMID: 29111090 DOI: 10.1016/j.jand.2017.08.024]</w:t>
      </w:r>
    </w:p>
    <w:p w14:paraId="058F052E"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lastRenderedPageBreak/>
        <w:t xml:space="preserve">43 </w:t>
      </w:r>
      <w:r w:rsidRPr="00466806">
        <w:rPr>
          <w:rFonts w:ascii="Book Antiqua" w:eastAsia="SimSun" w:hAnsi="Book Antiqua" w:cs="Times New Roman"/>
          <w:b/>
          <w:kern w:val="2"/>
          <w:sz w:val="24"/>
          <w:szCs w:val="24"/>
          <w:lang w:val="en-US" w:eastAsia="zh-CN"/>
        </w:rPr>
        <w:t>Park SY</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Boushey</w:t>
      </w:r>
      <w:proofErr w:type="spellEnd"/>
      <w:r w:rsidRPr="00466806">
        <w:rPr>
          <w:rFonts w:ascii="Book Antiqua" w:eastAsia="SimSun" w:hAnsi="Book Antiqua" w:cs="Times New Roman"/>
          <w:kern w:val="2"/>
          <w:sz w:val="24"/>
          <w:szCs w:val="24"/>
          <w:lang w:val="en-US" w:eastAsia="zh-CN"/>
        </w:rPr>
        <w:t xml:space="preserve"> CJ, Wilkens LR, </w:t>
      </w:r>
      <w:proofErr w:type="spellStart"/>
      <w:r w:rsidRPr="00466806">
        <w:rPr>
          <w:rFonts w:ascii="Book Antiqua" w:eastAsia="SimSun" w:hAnsi="Book Antiqua" w:cs="Times New Roman"/>
          <w:kern w:val="2"/>
          <w:sz w:val="24"/>
          <w:szCs w:val="24"/>
          <w:lang w:val="en-US" w:eastAsia="zh-CN"/>
        </w:rPr>
        <w:t>Haiman</w:t>
      </w:r>
      <w:proofErr w:type="spellEnd"/>
      <w:r w:rsidRPr="00466806">
        <w:rPr>
          <w:rFonts w:ascii="Book Antiqua" w:eastAsia="SimSun" w:hAnsi="Book Antiqua" w:cs="Times New Roman"/>
          <w:kern w:val="2"/>
          <w:sz w:val="24"/>
          <w:szCs w:val="24"/>
          <w:lang w:val="en-US" w:eastAsia="zh-CN"/>
        </w:rPr>
        <w:t xml:space="preserve"> CA, Le </w:t>
      </w:r>
      <w:proofErr w:type="spellStart"/>
      <w:r w:rsidRPr="00466806">
        <w:rPr>
          <w:rFonts w:ascii="Book Antiqua" w:eastAsia="SimSun" w:hAnsi="Book Antiqua" w:cs="Times New Roman"/>
          <w:kern w:val="2"/>
          <w:sz w:val="24"/>
          <w:szCs w:val="24"/>
          <w:lang w:val="en-US" w:eastAsia="zh-CN"/>
        </w:rPr>
        <w:t>Marchand</w:t>
      </w:r>
      <w:proofErr w:type="spellEnd"/>
      <w:r w:rsidRPr="00466806">
        <w:rPr>
          <w:rFonts w:ascii="Book Antiqua" w:eastAsia="SimSun" w:hAnsi="Book Antiqua" w:cs="Times New Roman"/>
          <w:kern w:val="2"/>
          <w:sz w:val="24"/>
          <w:szCs w:val="24"/>
          <w:lang w:val="en-US" w:eastAsia="zh-CN"/>
        </w:rPr>
        <w:t xml:space="preserve"> L. High-Quality Diets Associate </w:t>
      </w:r>
      <w:proofErr w:type="gramStart"/>
      <w:r w:rsidRPr="00466806">
        <w:rPr>
          <w:rFonts w:ascii="Book Antiqua" w:eastAsia="SimSun" w:hAnsi="Book Antiqua" w:cs="Times New Roman"/>
          <w:kern w:val="2"/>
          <w:sz w:val="24"/>
          <w:szCs w:val="24"/>
          <w:lang w:val="en-US" w:eastAsia="zh-CN"/>
        </w:rPr>
        <w:t>With</w:t>
      </w:r>
      <w:proofErr w:type="gramEnd"/>
      <w:r w:rsidRPr="00466806">
        <w:rPr>
          <w:rFonts w:ascii="Book Antiqua" w:eastAsia="SimSun" w:hAnsi="Book Antiqua" w:cs="Times New Roman"/>
          <w:kern w:val="2"/>
          <w:sz w:val="24"/>
          <w:szCs w:val="24"/>
          <w:lang w:val="en-US" w:eastAsia="zh-CN"/>
        </w:rPr>
        <w:t xml:space="preserve"> Reduced Risk of Colorectal Cancer: Analyses of Diet Quality Indexes in the Multiethnic Cohort. </w:t>
      </w:r>
      <w:r w:rsidRPr="00466806">
        <w:rPr>
          <w:rFonts w:ascii="Book Antiqua" w:eastAsia="SimSun" w:hAnsi="Book Antiqua" w:cs="Times New Roman"/>
          <w:i/>
          <w:kern w:val="2"/>
          <w:sz w:val="24"/>
          <w:szCs w:val="24"/>
          <w:lang w:val="en-US" w:eastAsia="zh-CN"/>
        </w:rPr>
        <w:t>Gastroenterology</w:t>
      </w:r>
      <w:r w:rsidRPr="00466806">
        <w:rPr>
          <w:rFonts w:ascii="Book Antiqua" w:eastAsia="SimSun" w:hAnsi="Book Antiqua" w:cs="Times New Roman"/>
          <w:kern w:val="2"/>
          <w:sz w:val="24"/>
          <w:szCs w:val="24"/>
          <w:lang w:val="en-US" w:eastAsia="zh-CN"/>
        </w:rPr>
        <w:t xml:space="preserve"> 2017; </w:t>
      </w:r>
      <w:r w:rsidRPr="00466806">
        <w:rPr>
          <w:rFonts w:ascii="Book Antiqua" w:eastAsia="SimSun" w:hAnsi="Book Antiqua" w:cs="Times New Roman"/>
          <w:b/>
          <w:kern w:val="2"/>
          <w:sz w:val="24"/>
          <w:szCs w:val="24"/>
          <w:lang w:val="en-US" w:eastAsia="zh-CN"/>
        </w:rPr>
        <w:t>153</w:t>
      </w:r>
      <w:r w:rsidRPr="00466806">
        <w:rPr>
          <w:rFonts w:ascii="Book Antiqua" w:eastAsia="SimSun" w:hAnsi="Book Antiqua" w:cs="Times New Roman"/>
          <w:kern w:val="2"/>
          <w:sz w:val="24"/>
          <w:szCs w:val="24"/>
          <w:lang w:val="en-US" w:eastAsia="zh-CN"/>
        </w:rPr>
        <w:t>: 386-394.e2 [PMID: 28428143 DOI: 10.1053/j.gastro.2017.04.004]</w:t>
      </w:r>
    </w:p>
    <w:p w14:paraId="5AC657E0"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44 </w:t>
      </w:r>
      <w:r w:rsidRPr="00466806">
        <w:rPr>
          <w:rFonts w:ascii="Book Antiqua" w:eastAsia="SimSun" w:hAnsi="Book Antiqua" w:cs="Times New Roman"/>
          <w:b/>
          <w:kern w:val="2"/>
          <w:sz w:val="24"/>
          <w:szCs w:val="24"/>
          <w:lang w:val="en-US" w:eastAsia="zh-CN"/>
        </w:rPr>
        <w:t>Bloomfield HE</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Koeller</w:t>
      </w:r>
      <w:proofErr w:type="spellEnd"/>
      <w:r w:rsidRPr="00466806">
        <w:rPr>
          <w:rFonts w:ascii="Book Antiqua" w:eastAsia="SimSun" w:hAnsi="Book Antiqua" w:cs="Times New Roman"/>
          <w:kern w:val="2"/>
          <w:sz w:val="24"/>
          <w:szCs w:val="24"/>
          <w:lang w:val="en-US" w:eastAsia="zh-CN"/>
        </w:rPr>
        <w:t xml:space="preserve"> E, Greer N, MacDonald R, Kane R, Wilt TJ. Effects on Health Outcomes of a Mediterranean Diet </w:t>
      </w:r>
      <w:proofErr w:type="gramStart"/>
      <w:r w:rsidRPr="00466806">
        <w:rPr>
          <w:rFonts w:ascii="Book Antiqua" w:eastAsia="SimSun" w:hAnsi="Book Antiqua" w:cs="Times New Roman"/>
          <w:kern w:val="2"/>
          <w:sz w:val="24"/>
          <w:szCs w:val="24"/>
          <w:lang w:val="en-US" w:eastAsia="zh-CN"/>
        </w:rPr>
        <w:t>With</w:t>
      </w:r>
      <w:proofErr w:type="gramEnd"/>
      <w:r w:rsidRPr="00466806">
        <w:rPr>
          <w:rFonts w:ascii="Book Antiqua" w:eastAsia="SimSun" w:hAnsi="Book Antiqua" w:cs="Times New Roman"/>
          <w:kern w:val="2"/>
          <w:sz w:val="24"/>
          <w:szCs w:val="24"/>
          <w:lang w:val="en-US" w:eastAsia="zh-CN"/>
        </w:rPr>
        <w:t xml:space="preserve"> No Restriction on Fat Intake: A Systematic Review and Meta-analysis. </w:t>
      </w:r>
      <w:r w:rsidRPr="00466806">
        <w:rPr>
          <w:rFonts w:ascii="Book Antiqua" w:eastAsia="SimSun" w:hAnsi="Book Antiqua" w:cs="Times New Roman"/>
          <w:i/>
          <w:kern w:val="2"/>
          <w:sz w:val="24"/>
          <w:szCs w:val="24"/>
          <w:lang w:val="en-US" w:eastAsia="zh-CN"/>
        </w:rPr>
        <w:t>Ann Intern Med</w:t>
      </w:r>
      <w:r w:rsidRPr="00466806">
        <w:rPr>
          <w:rFonts w:ascii="Book Antiqua" w:eastAsia="SimSun" w:hAnsi="Book Antiqua" w:cs="Times New Roman"/>
          <w:kern w:val="2"/>
          <w:sz w:val="24"/>
          <w:szCs w:val="24"/>
          <w:lang w:val="en-US" w:eastAsia="zh-CN"/>
        </w:rPr>
        <w:t xml:space="preserve"> 2016; </w:t>
      </w:r>
      <w:r w:rsidRPr="00466806">
        <w:rPr>
          <w:rFonts w:ascii="Book Antiqua" w:eastAsia="SimSun" w:hAnsi="Book Antiqua" w:cs="Times New Roman"/>
          <w:b/>
          <w:kern w:val="2"/>
          <w:sz w:val="24"/>
          <w:szCs w:val="24"/>
          <w:lang w:val="en-US" w:eastAsia="zh-CN"/>
        </w:rPr>
        <w:t>165</w:t>
      </w:r>
      <w:r w:rsidRPr="00466806">
        <w:rPr>
          <w:rFonts w:ascii="Book Antiqua" w:eastAsia="SimSun" w:hAnsi="Book Antiqua" w:cs="Times New Roman"/>
          <w:kern w:val="2"/>
          <w:sz w:val="24"/>
          <w:szCs w:val="24"/>
          <w:lang w:val="en-US" w:eastAsia="zh-CN"/>
        </w:rPr>
        <w:t>: 491-500 [PMID: 27428849 DOI: 10.7326/M16-0361]</w:t>
      </w:r>
    </w:p>
    <w:p w14:paraId="062625FD"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45</w:t>
      </w:r>
      <w:proofErr w:type="gramEnd"/>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b/>
          <w:kern w:val="2"/>
          <w:sz w:val="24"/>
          <w:szCs w:val="24"/>
          <w:lang w:val="en-US" w:eastAsia="zh-CN"/>
        </w:rPr>
        <w:t>Schwingshackl</w:t>
      </w:r>
      <w:proofErr w:type="spellEnd"/>
      <w:r w:rsidRPr="00466806">
        <w:rPr>
          <w:rFonts w:ascii="Book Antiqua" w:eastAsia="SimSun" w:hAnsi="Book Antiqua" w:cs="Times New Roman"/>
          <w:b/>
          <w:kern w:val="2"/>
          <w:sz w:val="24"/>
          <w:szCs w:val="24"/>
          <w:lang w:val="en-US" w:eastAsia="zh-CN"/>
        </w:rPr>
        <w:t xml:space="preserve"> L</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Schwedhelm</w:t>
      </w:r>
      <w:proofErr w:type="spellEnd"/>
      <w:r w:rsidRPr="00466806">
        <w:rPr>
          <w:rFonts w:ascii="Book Antiqua" w:eastAsia="SimSun" w:hAnsi="Book Antiqua" w:cs="Times New Roman"/>
          <w:kern w:val="2"/>
          <w:sz w:val="24"/>
          <w:szCs w:val="24"/>
          <w:lang w:val="en-US" w:eastAsia="zh-CN"/>
        </w:rPr>
        <w:t xml:space="preserve"> C, </w:t>
      </w:r>
      <w:proofErr w:type="spellStart"/>
      <w:r w:rsidRPr="00466806">
        <w:rPr>
          <w:rFonts w:ascii="Book Antiqua" w:eastAsia="SimSun" w:hAnsi="Book Antiqua" w:cs="Times New Roman"/>
          <w:kern w:val="2"/>
          <w:sz w:val="24"/>
          <w:szCs w:val="24"/>
          <w:lang w:val="en-US" w:eastAsia="zh-CN"/>
        </w:rPr>
        <w:t>Galbete</w:t>
      </w:r>
      <w:proofErr w:type="spellEnd"/>
      <w:r w:rsidRPr="00466806">
        <w:rPr>
          <w:rFonts w:ascii="Book Antiqua" w:eastAsia="SimSun" w:hAnsi="Book Antiqua" w:cs="Times New Roman"/>
          <w:kern w:val="2"/>
          <w:sz w:val="24"/>
          <w:szCs w:val="24"/>
          <w:lang w:val="en-US" w:eastAsia="zh-CN"/>
        </w:rPr>
        <w:t xml:space="preserve"> C, Hoffmann G. Adherence to Mediterranean Diet and Risk of Cancer: An Updated Systematic Review and Meta-Analysis. </w:t>
      </w:r>
      <w:r w:rsidRPr="00466806">
        <w:rPr>
          <w:rFonts w:ascii="Book Antiqua" w:eastAsia="SimSun" w:hAnsi="Book Antiqua" w:cs="Times New Roman"/>
          <w:i/>
          <w:kern w:val="2"/>
          <w:sz w:val="24"/>
          <w:szCs w:val="24"/>
          <w:lang w:val="en-US" w:eastAsia="zh-CN"/>
        </w:rPr>
        <w:t>Nutrients</w:t>
      </w:r>
      <w:r w:rsidRPr="00466806">
        <w:rPr>
          <w:rFonts w:ascii="Book Antiqua" w:eastAsia="SimSun" w:hAnsi="Book Antiqua" w:cs="Times New Roman"/>
          <w:kern w:val="2"/>
          <w:sz w:val="24"/>
          <w:szCs w:val="24"/>
          <w:lang w:val="en-US" w:eastAsia="zh-CN"/>
        </w:rPr>
        <w:t xml:space="preserve"> 2017; </w:t>
      </w:r>
      <w:r w:rsidRPr="00466806">
        <w:rPr>
          <w:rFonts w:ascii="Book Antiqua" w:eastAsia="SimSun" w:hAnsi="Book Antiqua" w:cs="Times New Roman"/>
          <w:b/>
          <w:kern w:val="2"/>
          <w:sz w:val="24"/>
          <w:szCs w:val="24"/>
          <w:lang w:val="en-US" w:eastAsia="zh-CN"/>
        </w:rPr>
        <w:t>9</w:t>
      </w:r>
      <w:r w:rsidRPr="00466806">
        <w:rPr>
          <w:rFonts w:ascii="Book Antiqua" w:eastAsia="SimSun" w:hAnsi="Book Antiqua" w:cs="Times New Roman"/>
          <w:kern w:val="2"/>
          <w:sz w:val="24"/>
          <w:szCs w:val="24"/>
          <w:lang w:val="en-US" w:eastAsia="zh-CN"/>
        </w:rPr>
        <w:t>:  [PMID: 28954418 DOI: 10.3390/nu9101063]</w:t>
      </w:r>
    </w:p>
    <w:p w14:paraId="008C06D3"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46 </w:t>
      </w:r>
      <w:r w:rsidRPr="00466806">
        <w:rPr>
          <w:rFonts w:ascii="Book Antiqua" w:eastAsia="SimSun" w:hAnsi="Book Antiqua" w:cs="Times New Roman"/>
          <w:b/>
          <w:kern w:val="2"/>
          <w:sz w:val="24"/>
          <w:szCs w:val="24"/>
          <w:lang w:val="en-US" w:eastAsia="zh-CN"/>
        </w:rPr>
        <w:t>Chan DS</w:t>
      </w:r>
      <w:r w:rsidRPr="00466806">
        <w:rPr>
          <w:rFonts w:ascii="Book Antiqua" w:eastAsia="SimSun" w:hAnsi="Book Antiqua" w:cs="Times New Roman"/>
          <w:kern w:val="2"/>
          <w:sz w:val="24"/>
          <w:szCs w:val="24"/>
          <w:lang w:val="en-US" w:eastAsia="zh-CN"/>
        </w:rPr>
        <w:t xml:space="preserve">, Lau R, </w:t>
      </w:r>
      <w:proofErr w:type="spellStart"/>
      <w:r w:rsidRPr="00466806">
        <w:rPr>
          <w:rFonts w:ascii="Book Antiqua" w:eastAsia="SimSun" w:hAnsi="Book Antiqua" w:cs="Times New Roman"/>
          <w:kern w:val="2"/>
          <w:sz w:val="24"/>
          <w:szCs w:val="24"/>
          <w:lang w:val="en-US" w:eastAsia="zh-CN"/>
        </w:rPr>
        <w:t>Aune</w:t>
      </w:r>
      <w:proofErr w:type="spellEnd"/>
      <w:r w:rsidRPr="00466806">
        <w:rPr>
          <w:rFonts w:ascii="Book Antiqua" w:eastAsia="SimSun" w:hAnsi="Book Antiqua" w:cs="Times New Roman"/>
          <w:kern w:val="2"/>
          <w:sz w:val="24"/>
          <w:szCs w:val="24"/>
          <w:lang w:val="en-US" w:eastAsia="zh-CN"/>
        </w:rPr>
        <w:t xml:space="preserve"> D, Vieira R, Greenwood DC, </w:t>
      </w:r>
      <w:proofErr w:type="spellStart"/>
      <w:r w:rsidRPr="00466806">
        <w:rPr>
          <w:rFonts w:ascii="Book Antiqua" w:eastAsia="SimSun" w:hAnsi="Book Antiqua" w:cs="Times New Roman"/>
          <w:kern w:val="2"/>
          <w:sz w:val="24"/>
          <w:szCs w:val="24"/>
          <w:lang w:val="en-US" w:eastAsia="zh-CN"/>
        </w:rPr>
        <w:t>Kampman</w:t>
      </w:r>
      <w:proofErr w:type="spellEnd"/>
      <w:r w:rsidRPr="00466806">
        <w:rPr>
          <w:rFonts w:ascii="Book Antiqua" w:eastAsia="SimSun" w:hAnsi="Book Antiqua" w:cs="Times New Roman"/>
          <w:kern w:val="2"/>
          <w:sz w:val="24"/>
          <w:szCs w:val="24"/>
          <w:lang w:val="en-US" w:eastAsia="zh-CN"/>
        </w:rPr>
        <w:t xml:space="preserve"> E, </w:t>
      </w:r>
      <w:proofErr w:type="spellStart"/>
      <w:r w:rsidRPr="00466806">
        <w:rPr>
          <w:rFonts w:ascii="Book Antiqua" w:eastAsia="SimSun" w:hAnsi="Book Antiqua" w:cs="Times New Roman"/>
          <w:kern w:val="2"/>
          <w:sz w:val="24"/>
          <w:szCs w:val="24"/>
          <w:lang w:val="en-US" w:eastAsia="zh-CN"/>
        </w:rPr>
        <w:t>Norat</w:t>
      </w:r>
      <w:proofErr w:type="spellEnd"/>
      <w:r w:rsidRPr="00466806">
        <w:rPr>
          <w:rFonts w:ascii="Book Antiqua" w:eastAsia="SimSun" w:hAnsi="Book Antiqua" w:cs="Times New Roman"/>
          <w:kern w:val="2"/>
          <w:sz w:val="24"/>
          <w:szCs w:val="24"/>
          <w:lang w:val="en-US" w:eastAsia="zh-CN"/>
        </w:rPr>
        <w:t xml:space="preserve"> T. Red and processed meat and colorectal cancer incidence: meta-analysis of prospective studies. </w:t>
      </w:r>
      <w:proofErr w:type="spellStart"/>
      <w:r w:rsidRPr="00466806">
        <w:rPr>
          <w:rFonts w:ascii="Book Antiqua" w:eastAsia="SimSun" w:hAnsi="Book Antiqua" w:cs="Times New Roman"/>
          <w:i/>
          <w:kern w:val="2"/>
          <w:sz w:val="24"/>
          <w:szCs w:val="24"/>
          <w:lang w:val="en-US" w:eastAsia="zh-CN"/>
        </w:rPr>
        <w:t>PLoS</w:t>
      </w:r>
      <w:proofErr w:type="spellEnd"/>
      <w:r w:rsidRPr="00466806">
        <w:rPr>
          <w:rFonts w:ascii="Book Antiqua" w:eastAsia="SimSun" w:hAnsi="Book Antiqua" w:cs="Times New Roman"/>
          <w:i/>
          <w:kern w:val="2"/>
          <w:sz w:val="24"/>
          <w:szCs w:val="24"/>
          <w:lang w:val="en-US" w:eastAsia="zh-CN"/>
        </w:rPr>
        <w:t xml:space="preserve"> One</w:t>
      </w:r>
      <w:r w:rsidRPr="00466806">
        <w:rPr>
          <w:rFonts w:ascii="Book Antiqua" w:eastAsia="SimSun" w:hAnsi="Book Antiqua" w:cs="Times New Roman"/>
          <w:kern w:val="2"/>
          <w:sz w:val="24"/>
          <w:szCs w:val="24"/>
          <w:lang w:val="en-US" w:eastAsia="zh-CN"/>
        </w:rPr>
        <w:t xml:space="preserve"> 2011; </w:t>
      </w:r>
      <w:r w:rsidRPr="00466806">
        <w:rPr>
          <w:rFonts w:ascii="Book Antiqua" w:eastAsia="SimSun" w:hAnsi="Book Antiqua" w:cs="Times New Roman"/>
          <w:b/>
          <w:kern w:val="2"/>
          <w:sz w:val="24"/>
          <w:szCs w:val="24"/>
          <w:lang w:val="en-US" w:eastAsia="zh-CN"/>
        </w:rPr>
        <w:t>6</w:t>
      </w:r>
      <w:r w:rsidRPr="00466806">
        <w:rPr>
          <w:rFonts w:ascii="Book Antiqua" w:eastAsia="SimSun" w:hAnsi="Book Antiqua" w:cs="Times New Roman"/>
          <w:kern w:val="2"/>
          <w:sz w:val="24"/>
          <w:szCs w:val="24"/>
          <w:lang w:val="en-US" w:eastAsia="zh-CN"/>
        </w:rPr>
        <w:t>: e20456 [PMID: 21674008 DOI: 10.1371/journal.pone.0020456]</w:t>
      </w:r>
    </w:p>
    <w:p w14:paraId="16EE6AB4"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47</w:t>
      </w:r>
      <w:proofErr w:type="gramEnd"/>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b/>
          <w:kern w:val="2"/>
          <w:sz w:val="24"/>
          <w:szCs w:val="24"/>
          <w:lang w:val="en-US" w:eastAsia="zh-CN"/>
        </w:rPr>
        <w:t>Tárraga</w:t>
      </w:r>
      <w:proofErr w:type="spellEnd"/>
      <w:r w:rsidRPr="00466806">
        <w:rPr>
          <w:rFonts w:ascii="Book Antiqua" w:eastAsia="SimSun" w:hAnsi="Book Antiqua" w:cs="Times New Roman"/>
          <w:b/>
          <w:kern w:val="2"/>
          <w:sz w:val="24"/>
          <w:szCs w:val="24"/>
          <w:lang w:val="en-US" w:eastAsia="zh-CN"/>
        </w:rPr>
        <w:t xml:space="preserve"> </w:t>
      </w:r>
      <w:proofErr w:type="spellStart"/>
      <w:r w:rsidRPr="00466806">
        <w:rPr>
          <w:rFonts w:ascii="Book Antiqua" w:eastAsia="SimSun" w:hAnsi="Book Antiqua" w:cs="Times New Roman"/>
          <w:b/>
          <w:kern w:val="2"/>
          <w:sz w:val="24"/>
          <w:szCs w:val="24"/>
          <w:lang w:val="en-US" w:eastAsia="zh-CN"/>
        </w:rPr>
        <w:t>López</w:t>
      </w:r>
      <w:proofErr w:type="spellEnd"/>
      <w:r w:rsidRPr="00466806">
        <w:rPr>
          <w:rFonts w:ascii="Book Antiqua" w:eastAsia="SimSun" w:hAnsi="Book Antiqua" w:cs="Times New Roman"/>
          <w:b/>
          <w:kern w:val="2"/>
          <w:sz w:val="24"/>
          <w:szCs w:val="24"/>
          <w:lang w:val="en-US" w:eastAsia="zh-CN"/>
        </w:rPr>
        <w:t xml:space="preserve"> PJ</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Albero</w:t>
      </w:r>
      <w:proofErr w:type="spellEnd"/>
      <w:r w:rsidRPr="00466806">
        <w:rPr>
          <w:rFonts w:ascii="Book Antiqua" w:eastAsia="SimSun" w:hAnsi="Book Antiqua" w:cs="Times New Roman"/>
          <w:kern w:val="2"/>
          <w:sz w:val="24"/>
          <w:szCs w:val="24"/>
          <w:lang w:val="en-US" w:eastAsia="zh-CN"/>
        </w:rPr>
        <w:t xml:space="preserve"> JS, Rodríguez-Montes JA. Primary and secondary prevention of colorectal cancer. </w:t>
      </w:r>
      <w:proofErr w:type="spellStart"/>
      <w:r w:rsidRPr="00466806">
        <w:rPr>
          <w:rFonts w:ascii="Book Antiqua" w:eastAsia="SimSun" w:hAnsi="Book Antiqua" w:cs="Times New Roman"/>
          <w:i/>
          <w:kern w:val="2"/>
          <w:sz w:val="24"/>
          <w:szCs w:val="24"/>
          <w:lang w:val="en-US" w:eastAsia="zh-CN"/>
        </w:rPr>
        <w:t>Clin</w:t>
      </w:r>
      <w:proofErr w:type="spellEnd"/>
      <w:r w:rsidRPr="00466806">
        <w:rPr>
          <w:rFonts w:ascii="Book Antiqua" w:eastAsia="SimSun" w:hAnsi="Book Antiqua" w:cs="Times New Roman"/>
          <w:i/>
          <w:kern w:val="2"/>
          <w:sz w:val="24"/>
          <w:szCs w:val="24"/>
          <w:lang w:val="en-US" w:eastAsia="zh-CN"/>
        </w:rPr>
        <w:t xml:space="preserve"> Med Insights </w:t>
      </w:r>
      <w:proofErr w:type="spellStart"/>
      <w:r w:rsidRPr="00466806">
        <w:rPr>
          <w:rFonts w:ascii="Book Antiqua" w:eastAsia="SimSun" w:hAnsi="Book Antiqua" w:cs="Times New Roman"/>
          <w:i/>
          <w:kern w:val="2"/>
          <w:sz w:val="24"/>
          <w:szCs w:val="24"/>
          <w:lang w:val="en-US" w:eastAsia="zh-CN"/>
        </w:rPr>
        <w:t>Gastroenterol</w:t>
      </w:r>
      <w:proofErr w:type="spellEnd"/>
      <w:r w:rsidRPr="00466806">
        <w:rPr>
          <w:rFonts w:ascii="Book Antiqua" w:eastAsia="SimSun" w:hAnsi="Book Antiqua" w:cs="Times New Roman"/>
          <w:kern w:val="2"/>
          <w:sz w:val="24"/>
          <w:szCs w:val="24"/>
          <w:lang w:val="en-US" w:eastAsia="zh-CN"/>
        </w:rPr>
        <w:t xml:space="preserve"> 2014; </w:t>
      </w:r>
      <w:r w:rsidRPr="00466806">
        <w:rPr>
          <w:rFonts w:ascii="Book Antiqua" w:eastAsia="SimSun" w:hAnsi="Book Antiqua" w:cs="Times New Roman"/>
          <w:b/>
          <w:kern w:val="2"/>
          <w:sz w:val="24"/>
          <w:szCs w:val="24"/>
          <w:lang w:val="en-US" w:eastAsia="zh-CN"/>
        </w:rPr>
        <w:t>7</w:t>
      </w:r>
      <w:r w:rsidRPr="00466806">
        <w:rPr>
          <w:rFonts w:ascii="Book Antiqua" w:eastAsia="SimSun" w:hAnsi="Book Antiqua" w:cs="Times New Roman"/>
          <w:kern w:val="2"/>
          <w:sz w:val="24"/>
          <w:szCs w:val="24"/>
          <w:lang w:val="en-US" w:eastAsia="zh-CN"/>
        </w:rPr>
        <w:t>: 33-46 [PMID: 25093007 DOI: 10.4137/CGast.S14039]</w:t>
      </w:r>
    </w:p>
    <w:p w14:paraId="538028A6"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48 </w:t>
      </w:r>
      <w:proofErr w:type="spellStart"/>
      <w:r w:rsidRPr="00466806">
        <w:rPr>
          <w:rFonts w:ascii="Book Antiqua" w:eastAsia="SimSun" w:hAnsi="Book Antiqua" w:cs="Times New Roman"/>
          <w:b/>
          <w:kern w:val="2"/>
          <w:sz w:val="24"/>
          <w:szCs w:val="24"/>
          <w:lang w:val="en-US" w:eastAsia="zh-CN"/>
        </w:rPr>
        <w:t>Carr</w:t>
      </w:r>
      <w:proofErr w:type="spellEnd"/>
      <w:r w:rsidRPr="00466806">
        <w:rPr>
          <w:rFonts w:ascii="Book Antiqua" w:eastAsia="SimSun" w:hAnsi="Book Antiqua" w:cs="Times New Roman"/>
          <w:b/>
          <w:kern w:val="2"/>
          <w:sz w:val="24"/>
          <w:szCs w:val="24"/>
          <w:lang w:val="en-US" w:eastAsia="zh-CN"/>
        </w:rPr>
        <w:t xml:space="preserve"> PR</w:t>
      </w:r>
      <w:r w:rsidRPr="00466806">
        <w:rPr>
          <w:rFonts w:ascii="Book Antiqua" w:eastAsia="SimSun" w:hAnsi="Book Antiqua" w:cs="Times New Roman"/>
          <w:kern w:val="2"/>
          <w:sz w:val="24"/>
          <w:szCs w:val="24"/>
          <w:lang w:val="en-US" w:eastAsia="zh-CN"/>
        </w:rPr>
        <w:t xml:space="preserve">, Walter V, Brenner H, </w:t>
      </w:r>
      <w:proofErr w:type="spellStart"/>
      <w:r w:rsidRPr="00466806">
        <w:rPr>
          <w:rFonts w:ascii="Book Antiqua" w:eastAsia="SimSun" w:hAnsi="Book Antiqua" w:cs="Times New Roman"/>
          <w:kern w:val="2"/>
          <w:sz w:val="24"/>
          <w:szCs w:val="24"/>
          <w:lang w:val="en-US" w:eastAsia="zh-CN"/>
        </w:rPr>
        <w:t>Hoffmeister</w:t>
      </w:r>
      <w:proofErr w:type="spellEnd"/>
      <w:r w:rsidRPr="00466806">
        <w:rPr>
          <w:rFonts w:ascii="Book Antiqua" w:eastAsia="SimSun" w:hAnsi="Book Antiqua" w:cs="Times New Roman"/>
          <w:kern w:val="2"/>
          <w:sz w:val="24"/>
          <w:szCs w:val="24"/>
          <w:lang w:val="en-US" w:eastAsia="zh-CN"/>
        </w:rPr>
        <w:t xml:space="preserve"> M. Meat subtypes and their association with colorectal cancer: Systematic review and meta-analysis. </w:t>
      </w:r>
      <w:proofErr w:type="spellStart"/>
      <w:r w:rsidRPr="00466806">
        <w:rPr>
          <w:rFonts w:ascii="Book Antiqua" w:eastAsia="SimSun" w:hAnsi="Book Antiqua" w:cs="Times New Roman"/>
          <w:i/>
          <w:kern w:val="2"/>
          <w:sz w:val="24"/>
          <w:szCs w:val="24"/>
          <w:lang w:val="en-US" w:eastAsia="zh-CN"/>
        </w:rPr>
        <w:t>Int</w:t>
      </w:r>
      <w:proofErr w:type="spellEnd"/>
      <w:r w:rsidRPr="00466806">
        <w:rPr>
          <w:rFonts w:ascii="Book Antiqua" w:eastAsia="SimSun" w:hAnsi="Book Antiqua" w:cs="Times New Roman"/>
          <w:i/>
          <w:kern w:val="2"/>
          <w:sz w:val="24"/>
          <w:szCs w:val="24"/>
          <w:lang w:val="en-US" w:eastAsia="zh-CN"/>
        </w:rPr>
        <w:t xml:space="preserve"> J Cancer</w:t>
      </w:r>
      <w:r w:rsidRPr="00466806">
        <w:rPr>
          <w:rFonts w:ascii="Book Antiqua" w:eastAsia="SimSun" w:hAnsi="Book Antiqua" w:cs="Times New Roman"/>
          <w:kern w:val="2"/>
          <w:sz w:val="24"/>
          <w:szCs w:val="24"/>
          <w:lang w:val="en-US" w:eastAsia="zh-CN"/>
        </w:rPr>
        <w:t xml:space="preserve"> 2016; </w:t>
      </w:r>
      <w:r w:rsidRPr="00466806">
        <w:rPr>
          <w:rFonts w:ascii="Book Antiqua" w:eastAsia="SimSun" w:hAnsi="Book Antiqua" w:cs="Times New Roman"/>
          <w:b/>
          <w:kern w:val="2"/>
          <w:sz w:val="24"/>
          <w:szCs w:val="24"/>
          <w:lang w:val="en-US" w:eastAsia="zh-CN"/>
        </w:rPr>
        <w:t>138</w:t>
      </w:r>
      <w:r w:rsidRPr="00466806">
        <w:rPr>
          <w:rFonts w:ascii="Book Antiqua" w:eastAsia="SimSun" w:hAnsi="Book Antiqua" w:cs="Times New Roman"/>
          <w:kern w:val="2"/>
          <w:sz w:val="24"/>
          <w:szCs w:val="24"/>
          <w:lang w:val="en-US" w:eastAsia="zh-CN"/>
        </w:rPr>
        <w:t>: 293-302 [PMID: 25583132 DOI: 10.1002/ijc.29423]</w:t>
      </w:r>
    </w:p>
    <w:p w14:paraId="76A4428E"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49</w:t>
      </w:r>
      <w:proofErr w:type="gramEnd"/>
      <w:r w:rsidRPr="00466806">
        <w:rPr>
          <w:rFonts w:ascii="Book Antiqua" w:eastAsia="SimSun" w:hAnsi="Book Antiqua" w:cs="Times New Roman"/>
          <w:kern w:val="2"/>
          <w:sz w:val="24"/>
          <w:szCs w:val="24"/>
          <w:lang w:val="en-US" w:eastAsia="zh-CN"/>
        </w:rPr>
        <w:t xml:space="preserve"> </w:t>
      </w:r>
      <w:r w:rsidRPr="00466806">
        <w:rPr>
          <w:rFonts w:ascii="Book Antiqua" w:eastAsia="SimSun" w:hAnsi="Book Antiqua" w:cs="Times New Roman"/>
          <w:b/>
          <w:kern w:val="2"/>
          <w:sz w:val="24"/>
          <w:szCs w:val="24"/>
          <w:lang w:val="en-US" w:eastAsia="zh-CN"/>
        </w:rPr>
        <w:t>Domingo JL</w:t>
      </w:r>
      <w:r w:rsidRPr="00466806">
        <w:rPr>
          <w:rFonts w:ascii="Book Antiqua" w:eastAsia="SimSun" w:hAnsi="Book Antiqua" w:cs="Times New Roman"/>
          <w:kern w:val="2"/>
          <w:sz w:val="24"/>
          <w:szCs w:val="24"/>
          <w:lang w:val="en-US" w:eastAsia="zh-CN"/>
        </w:rPr>
        <w:t xml:space="preserve">, Nadal M. Carcinogenicity of consumption of red meat and processed meat: A review of scientific news since the IARC decision. </w:t>
      </w:r>
      <w:r w:rsidRPr="00466806">
        <w:rPr>
          <w:rFonts w:ascii="Book Antiqua" w:eastAsia="SimSun" w:hAnsi="Book Antiqua" w:cs="Times New Roman"/>
          <w:i/>
          <w:kern w:val="2"/>
          <w:sz w:val="24"/>
          <w:szCs w:val="24"/>
          <w:lang w:val="en-US" w:eastAsia="zh-CN"/>
        </w:rPr>
        <w:t xml:space="preserve">Food </w:t>
      </w:r>
      <w:proofErr w:type="spellStart"/>
      <w:r w:rsidRPr="00466806">
        <w:rPr>
          <w:rFonts w:ascii="Book Antiqua" w:eastAsia="SimSun" w:hAnsi="Book Antiqua" w:cs="Times New Roman"/>
          <w:i/>
          <w:kern w:val="2"/>
          <w:sz w:val="24"/>
          <w:szCs w:val="24"/>
          <w:lang w:val="en-US" w:eastAsia="zh-CN"/>
        </w:rPr>
        <w:t>Chem</w:t>
      </w:r>
      <w:proofErr w:type="spellEnd"/>
      <w:r w:rsidRPr="00466806">
        <w:rPr>
          <w:rFonts w:ascii="Book Antiqua" w:eastAsia="SimSun" w:hAnsi="Book Antiqua" w:cs="Times New Roman"/>
          <w:i/>
          <w:kern w:val="2"/>
          <w:sz w:val="24"/>
          <w:szCs w:val="24"/>
          <w:lang w:val="en-US" w:eastAsia="zh-CN"/>
        </w:rPr>
        <w:t xml:space="preserve"> </w:t>
      </w:r>
      <w:proofErr w:type="spellStart"/>
      <w:r w:rsidRPr="00466806">
        <w:rPr>
          <w:rFonts w:ascii="Book Antiqua" w:eastAsia="SimSun" w:hAnsi="Book Antiqua" w:cs="Times New Roman"/>
          <w:i/>
          <w:kern w:val="2"/>
          <w:sz w:val="24"/>
          <w:szCs w:val="24"/>
          <w:lang w:val="en-US" w:eastAsia="zh-CN"/>
        </w:rPr>
        <w:t>Toxicol</w:t>
      </w:r>
      <w:proofErr w:type="spellEnd"/>
      <w:r w:rsidRPr="00466806">
        <w:rPr>
          <w:rFonts w:ascii="Book Antiqua" w:eastAsia="SimSun" w:hAnsi="Book Antiqua" w:cs="Times New Roman"/>
          <w:kern w:val="2"/>
          <w:sz w:val="24"/>
          <w:szCs w:val="24"/>
          <w:lang w:val="en-US" w:eastAsia="zh-CN"/>
        </w:rPr>
        <w:t xml:space="preserve"> 2017; </w:t>
      </w:r>
      <w:r w:rsidRPr="00466806">
        <w:rPr>
          <w:rFonts w:ascii="Book Antiqua" w:eastAsia="SimSun" w:hAnsi="Book Antiqua" w:cs="Times New Roman"/>
          <w:b/>
          <w:kern w:val="2"/>
          <w:sz w:val="24"/>
          <w:szCs w:val="24"/>
          <w:lang w:val="en-US" w:eastAsia="zh-CN"/>
        </w:rPr>
        <w:t>105</w:t>
      </w:r>
      <w:r w:rsidRPr="00466806">
        <w:rPr>
          <w:rFonts w:ascii="Book Antiqua" w:eastAsia="SimSun" w:hAnsi="Book Antiqua" w:cs="Times New Roman"/>
          <w:kern w:val="2"/>
          <w:sz w:val="24"/>
          <w:szCs w:val="24"/>
          <w:lang w:val="en-US" w:eastAsia="zh-CN"/>
        </w:rPr>
        <w:t>: 256-261 [PMID: 28450127 DOI: 10.1016/j.fct.2017.04.028]</w:t>
      </w:r>
    </w:p>
    <w:p w14:paraId="169A2671"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50 </w:t>
      </w:r>
      <w:r w:rsidRPr="00466806">
        <w:rPr>
          <w:rFonts w:ascii="Book Antiqua" w:eastAsia="SimSun" w:hAnsi="Book Antiqua" w:cs="Times New Roman"/>
          <w:b/>
          <w:kern w:val="2"/>
          <w:sz w:val="24"/>
          <w:szCs w:val="24"/>
          <w:lang w:val="en-US" w:eastAsia="zh-CN"/>
        </w:rPr>
        <w:t>Kobayashi M</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Tsubono</w:t>
      </w:r>
      <w:proofErr w:type="spellEnd"/>
      <w:r w:rsidRPr="00466806">
        <w:rPr>
          <w:rFonts w:ascii="Book Antiqua" w:eastAsia="SimSun" w:hAnsi="Book Antiqua" w:cs="Times New Roman"/>
          <w:kern w:val="2"/>
          <w:sz w:val="24"/>
          <w:szCs w:val="24"/>
          <w:lang w:val="en-US" w:eastAsia="zh-CN"/>
        </w:rPr>
        <w:t xml:space="preserve"> Y, </w:t>
      </w:r>
      <w:proofErr w:type="spellStart"/>
      <w:r w:rsidRPr="00466806">
        <w:rPr>
          <w:rFonts w:ascii="Book Antiqua" w:eastAsia="SimSun" w:hAnsi="Book Antiqua" w:cs="Times New Roman"/>
          <w:kern w:val="2"/>
          <w:sz w:val="24"/>
          <w:szCs w:val="24"/>
          <w:lang w:val="en-US" w:eastAsia="zh-CN"/>
        </w:rPr>
        <w:t>Otani</w:t>
      </w:r>
      <w:proofErr w:type="spellEnd"/>
      <w:r w:rsidRPr="00466806">
        <w:rPr>
          <w:rFonts w:ascii="Book Antiqua" w:eastAsia="SimSun" w:hAnsi="Book Antiqua" w:cs="Times New Roman"/>
          <w:kern w:val="2"/>
          <w:sz w:val="24"/>
          <w:szCs w:val="24"/>
          <w:lang w:val="en-US" w:eastAsia="zh-CN"/>
        </w:rPr>
        <w:t xml:space="preserve"> T, Hanaoka T, </w:t>
      </w:r>
      <w:proofErr w:type="spellStart"/>
      <w:r w:rsidRPr="00466806">
        <w:rPr>
          <w:rFonts w:ascii="Book Antiqua" w:eastAsia="SimSun" w:hAnsi="Book Antiqua" w:cs="Times New Roman"/>
          <w:kern w:val="2"/>
          <w:sz w:val="24"/>
          <w:szCs w:val="24"/>
          <w:lang w:val="en-US" w:eastAsia="zh-CN"/>
        </w:rPr>
        <w:t>Sobue</w:t>
      </w:r>
      <w:proofErr w:type="spellEnd"/>
      <w:r w:rsidRPr="00466806">
        <w:rPr>
          <w:rFonts w:ascii="Book Antiqua" w:eastAsia="SimSun" w:hAnsi="Book Antiqua" w:cs="Times New Roman"/>
          <w:kern w:val="2"/>
          <w:sz w:val="24"/>
          <w:szCs w:val="24"/>
          <w:lang w:val="en-US" w:eastAsia="zh-CN"/>
        </w:rPr>
        <w:t xml:space="preserve"> T, </w:t>
      </w:r>
      <w:proofErr w:type="spellStart"/>
      <w:r w:rsidRPr="00466806">
        <w:rPr>
          <w:rFonts w:ascii="Book Antiqua" w:eastAsia="SimSun" w:hAnsi="Book Antiqua" w:cs="Times New Roman"/>
          <w:kern w:val="2"/>
          <w:sz w:val="24"/>
          <w:szCs w:val="24"/>
          <w:lang w:val="en-US" w:eastAsia="zh-CN"/>
        </w:rPr>
        <w:t>Tsugane</w:t>
      </w:r>
      <w:proofErr w:type="spellEnd"/>
      <w:r w:rsidRPr="00466806">
        <w:rPr>
          <w:rFonts w:ascii="Book Antiqua" w:eastAsia="SimSun" w:hAnsi="Book Antiqua" w:cs="Times New Roman"/>
          <w:kern w:val="2"/>
          <w:sz w:val="24"/>
          <w:szCs w:val="24"/>
          <w:lang w:val="en-US" w:eastAsia="zh-CN"/>
        </w:rPr>
        <w:t xml:space="preserve"> S; JPHC Study Group. Fish, long-chain n-3 polyunsaturated fatty acids, and risk of colorectal cancer in middle-aged Japanese: the JPHC study. </w:t>
      </w:r>
      <w:proofErr w:type="spellStart"/>
      <w:r w:rsidRPr="00466806">
        <w:rPr>
          <w:rFonts w:ascii="Book Antiqua" w:eastAsia="SimSun" w:hAnsi="Book Antiqua" w:cs="Times New Roman"/>
          <w:i/>
          <w:kern w:val="2"/>
          <w:sz w:val="24"/>
          <w:szCs w:val="24"/>
          <w:lang w:val="en-US" w:eastAsia="zh-CN"/>
        </w:rPr>
        <w:t>Nutr</w:t>
      </w:r>
      <w:proofErr w:type="spellEnd"/>
      <w:r w:rsidRPr="00466806">
        <w:rPr>
          <w:rFonts w:ascii="Book Antiqua" w:eastAsia="SimSun" w:hAnsi="Book Antiqua" w:cs="Times New Roman"/>
          <w:i/>
          <w:kern w:val="2"/>
          <w:sz w:val="24"/>
          <w:szCs w:val="24"/>
          <w:lang w:val="en-US" w:eastAsia="zh-CN"/>
        </w:rPr>
        <w:t xml:space="preserve"> Cancer</w:t>
      </w:r>
      <w:r w:rsidRPr="00466806">
        <w:rPr>
          <w:rFonts w:ascii="Book Antiqua" w:eastAsia="SimSun" w:hAnsi="Book Antiqua" w:cs="Times New Roman"/>
          <w:kern w:val="2"/>
          <w:sz w:val="24"/>
          <w:szCs w:val="24"/>
          <w:lang w:val="en-US" w:eastAsia="zh-CN"/>
        </w:rPr>
        <w:t xml:space="preserve"> 2004; </w:t>
      </w:r>
      <w:r w:rsidRPr="00466806">
        <w:rPr>
          <w:rFonts w:ascii="Book Antiqua" w:eastAsia="SimSun" w:hAnsi="Book Antiqua" w:cs="Times New Roman"/>
          <w:b/>
          <w:kern w:val="2"/>
          <w:sz w:val="24"/>
          <w:szCs w:val="24"/>
          <w:lang w:val="en-US" w:eastAsia="zh-CN"/>
        </w:rPr>
        <w:t>49</w:t>
      </w:r>
      <w:r w:rsidRPr="00466806">
        <w:rPr>
          <w:rFonts w:ascii="Book Antiqua" w:eastAsia="SimSun" w:hAnsi="Book Antiqua" w:cs="Times New Roman"/>
          <w:kern w:val="2"/>
          <w:sz w:val="24"/>
          <w:szCs w:val="24"/>
          <w:lang w:val="en-US" w:eastAsia="zh-CN"/>
        </w:rPr>
        <w:t>: 32-40 [PMID: 15456633 DOI: 10.1207/s15327914nc4901_5]</w:t>
      </w:r>
    </w:p>
    <w:p w14:paraId="32C18342"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51</w:t>
      </w:r>
      <w:proofErr w:type="gramEnd"/>
      <w:r w:rsidRPr="00466806">
        <w:rPr>
          <w:rFonts w:ascii="Book Antiqua" w:eastAsia="SimSun" w:hAnsi="Book Antiqua" w:cs="Times New Roman"/>
          <w:kern w:val="2"/>
          <w:sz w:val="24"/>
          <w:szCs w:val="24"/>
          <w:lang w:val="en-US" w:eastAsia="zh-CN"/>
        </w:rPr>
        <w:t xml:space="preserve"> </w:t>
      </w:r>
      <w:r w:rsidRPr="00466806">
        <w:rPr>
          <w:rFonts w:ascii="Book Antiqua" w:eastAsia="SimSun" w:hAnsi="Book Antiqua" w:cs="Times New Roman"/>
          <w:b/>
          <w:kern w:val="2"/>
          <w:sz w:val="24"/>
          <w:szCs w:val="24"/>
          <w:lang w:val="en-US" w:eastAsia="zh-CN"/>
        </w:rPr>
        <w:t>Yu XF</w:t>
      </w:r>
      <w:r w:rsidRPr="00466806">
        <w:rPr>
          <w:rFonts w:ascii="Book Antiqua" w:eastAsia="SimSun" w:hAnsi="Book Antiqua" w:cs="Times New Roman"/>
          <w:kern w:val="2"/>
          <w:sz w:val="24"/>
          <w:szCs w:val="24"/>
          <w:lang w:val="en-US" w:eastAsia="zh-CN"/>
        </w:rPr>
        <w:t xml:space="preserve">, Zou J, Dong J. Fish consumption and risk of gastrointestinal cancers: a meta-analysis of cohort studies. </w:t>
      </w:r>
      <w:r w:rsidRPr="00466806">
        <w:rPr>
          <w:rFonts w:ascii="Book Antiqua" w:eastAsia="SimSun" w:hAnsi="Book Antiqua" w:cs="Times New Roman"/>
          <w:i/>
          <w:kern w:val="2"/>
          <w:sz w:val="24"/>
          <w:szCs w:val="24"/>
          <w:lang w:val="en-US" w:eastAsia="zh-CN"/>
        </w:rPr>
        <w:t xml:space="preserve">World J </w:t>
      </w:r>
      <w:proofErr w:type="spellStart"/>
      <w:r w:rsidRPr="00466806">
        <w:rPr>
          <w:rFonts w:ascii="Book Antiqua" w:eastAsia="SimSun" w:hAnsi="Book Antiqua" w:cs="Times New Roman"/>
          <w:i/>
          <w:kern w:val="2"/>
          <w:sz w:val="24"/>
          <w:szCs w:val="24"/>
          <w:lang w:val="en-US" w:eastAsia="zh-CN"/>
        </w:rPr>
        <w:t>Gastroenterol</w:t>
      </w:r>
      <w:proofErr w:type="spellEnd"/>
      <w:r w:rsidRPr="00466806">
        <w:rPr>
          <w:rFonts w:ascii="Book Antiqua" w:eastAsia="SimSun" w:hAnsi="Book Antiqua" w:cs="Times New Roman"/>
          <w:kern w:val="2"/>
          <w:sz w:val="24"/>
          <w:szCs w:val="24"/>
          <w:lang w:val="en-US" w:eastAsia="zh-CN"/>
        </w:rPr>
        <w:t xml:space="preserve"> 2014; </w:t>
      </w:r>
      <w:r w:rsidRPr="00466806">
        <w:rPr>
          <w:rFonts w:ascii="Book Antiqua" w:eastAsia="SimSun" w:hAnsi="Book Antiqua" w:cs="Times New Roman"/>
          <w:b/>
          <w:kern w:val="2"/>
          <w:sz w:val="24"/>
          <w:szCs w:val="24"/>
          <w:lang w:val="en-US" w:eastAsia="zh-CN"/>
        </w:rPr>
        <w:t>20</w:t>
      </w:r>
      <w:r w:rsidRPr="00466806">
        <w:rPr>
          <w:rFonts w:ascii="Book Antiqua" w:eastAsia="SimSun" w:hAnsi="Book Antiqua" w:cs="Times New Roman"/>
          <w:kern w:val="2"/>
          <w:sz w:val="24"/>
          <w:szCs w:val="24"/>
          <w:lang w:val="en-US" w:eastAsia="zh-CN"/>
        </w:rPr>
        <w:t>: 15398-15412 [PMID: 25386090 DOI: 10.3748/wjg.v20.i41.15398]</w:t>
      </w:r>
    </w:p>
    <w:p w14:paraId="44D55C62"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52 </w:t>
      </w:r>
      <w:proofErr w:type="spellStart"/>
      <w:r w:rsidRPr="00466806">
        <w:rPr>
          <w:rFonts w:ascii="Book Antiqua" w:eastAsia="SimSun" w:hAnsi="Book Antiqua" w:cs="Times New Roman"/>
          <w:b/>
          <w:kern w:val="2"/>
          <w:sz w:val="24"/>
          <w:szCs w:val="24"/>
          <w:lang w:val="en-US" w:eastAsia="zh-CN"/>
        </w:rPr>
        <w:t>Orlich</w:t>
      </w:r>
      <w:proofErr w:type="spellEnd"/>
      <w:r w:rsidRPr="00466806">
        <w:rPr>
          <w:rFonts w:ascii="Book Antiqua" w:eastAsia="SimSun" w:hAnsi="Book Antiqua" w:cs="Times New Roman"/>
          <w:b/>
          <w:kern w:val="2"/>
          <w:sz w:val="24"/>
          <w:szCs w:val="24"/>
          <w:lang w:val="en-US" w:eastAsia="zh-CN"/>
        </w:rPr>
        <w:t xml:space="preserve"> MJ</w:t>
      </w:r>
      <w:r w:rsidRPr="00466806">
        <w:rPr>
          <w:rFonts w:ascii="Book Antiqua" w:eastAsia="SimSun" w:hAnsi="Book Antiqua" w:cs="Times New Roman"/>
          <w:kern w:val="2"/>
          <w:sz w:val="24"/>
          <w:szCs w:val="24"/>
          <w:lang w:val="en-US" w:eastAsia="zh-CN"/>
        </w:rPr>
        <w:t xml:space="preserve">, Singh PN, </w:t>
      </w:r>
      <w:proofErr w:type="spellStart"/>
      <w:r w:rsidRPr="00466806">
        <w:rPr>
          <w:rFonts w:ascii="Book Antiqua" w:eastAsia="SimSun" w:hAnsi="Book Antiqua" w:cs="Times New Roman"/>
          <w:kern w:val="2"/>
          <w:sz w:val="24"/>
          <w:szCs w:val="24"/>
          <w:lang w:val="en-US" w:eastAsia="zh-CN"/>
        </w:rPr>
        <w:t>Sabaté</w:t>
      </w:r>
      <w:proofErr w:type="spellEnd"/>
      <w:r w:rsidRPr="00466806">
        <w:rPr>
          <w:rFonts w:ascii="Book Antiqua" w:eastAsia="SimSun" w:hAnsi="Book Antiqua" w:cs="Times New Roman"/>
          <w:kern w:val="2"/>
          <w:sz w:val="24"/>
          <w:szCs w:val="24"/>
          <w:lang w:val="en-US" w:eastAsia="zh-CN"/>
        </w:rPr>
        <w:t xml:space="preserve"> J, Fan J, </w:t>
      </w:r>
      <w:proofErr w:type="spellStart"/>
      <w:r w:rsidRPr="00466806">
        <w:rPr>
          <w:rFonts w:ascii="Book Antiqua" w:eastAsia="SimSun" w:hAnsi="Book Antiqua" w:cs="Times New Roman"/>
          <w:kern w:val="2"/>
          <w:sz w:val="24"/>
          <w:szCs w:val="24"/>
          <w:lang w:val="en-US" w:eastAsia="zh-CN"/>
        </w:rPr>
        <w:t>Sveen</w:t>
      </w:r>
      <w:proofErr w:type="spellEnd"/>
      <w:r w:rsidRPr="00466806">
        <w:rPr>
          <w:rFonts w:ascii="Book Antiqua" w:eastAsia="SimSun" w:hAnsi="Book Antiqua" w:cs="Times New Roman"/>
          <w:kern w:val="2"/>
          <w:sz w:val="24"/>
          <w:szCs w:val="24"/>
          <w:lang w:val="en-US" w:eastAsia="zh-CN"/>
        </w:rPr>
        <w:t xml:space="preserve"> L, Bennett H, </w:t>
      </w:r>
      <w:proofErr w:type="spellStart"/>
      <w:r w:rsidRPr="00466806">
        <w:rPr>
          <w:rFonts w:ascii="Book Antiqua" w:eastAsia="SimSun" w:hAnsi="Book Antiqua" w:cs="Times New Roman"/>
          <w:kern w:val="2"/>
          <w:sz w:val="24"/>
          <w:szCs w:val="24"/>
          <w:lang w:val="en-US" w:eastAsia="zh-CN"/>
        </w:rPr>
        <w:t>Knutsen</w:t>
      </w:r>
      <w:proofErr w:type="spellEnd"/>
      <w:r w:rsidRPr="00466806">
        <w:rPr>
          <w:rFonts w:ascii="Book Antiqua" w:eastAsia="SimSun" w:hAnsi="Book Antiqua" w:cs="Times New Roman"/>
          <w:kern w:val="2"/>
          <w:sz w:val="24"/>
          <w:szCs w:val="24"/>
          <w:lang w:val="en-US" w:eastAsia="zh-CN"/>
        </w:rPr>
        <w:t xml:space="preserve"> SF, Beeson WL, </w:t>
      </w:r>
      <w:proofErr w:type="spellStart"/>
      <w:r w:rsidRPr="00466806">
        <w:rPr>
          <w:rFonts w:ascii="Book Antiqua" w:eastAsia="SimSun" w:hAnsi="Book Antiqua" w:cs="Times New Roman"/>
          <w:kern w:val="2"/>
          <w:sz w:val="24"/>
          <w:szCs w:val="24"/>
          <w:lang w:val="en-US" w:eastAsia="zh-CN"/>
        </w:rPr>
        <w:t>Jaceldo-Siegl</w:t>
      </w:r>
      <w:proofErr w:type="spellEnd"/>
      <w:r w:rsidRPr="00466806">
        <w:rPr>
          <w:rFonts w:ascii="Book Antiqua" w:eastAsia="SimSun" w:hAnsi="Book Antiqua" w:cs="Times New Roman"/>
          <w:kern w:val="2"/>
          <w:sz w:val="24"/>
          <w:szCs w:val="24"/>
          <w:lang w:val="en-US" w:eastAsia="zh-CN"/>
        </w:rPr>
        <w:t xml:space="preserve"> K, Butler TL, Herring RP, Fraser GE. Vegetarian dietary patterns and the risk </w:t>
      </w:r>
      <w:r w:rsidRPr="00466806">
        <w:rPr>
          <w:rFonts w:ascii="Book Antiqua" w:eastAsia="SimSun" w:hAnsi="Book Antiqua" w:cs="Times New Roman"/>
          <w:kern w:val="2"/>
          <w:sz w:val="24"/>
          <w:szCs w:val="24"/>
          <w:lang w:val="en-US" w:eastAsia="zh-CN"/>
        </w:rPr>
        <w:lastRenderedPageBreak/>
        <w:t xml:space="preserve">of colorectal cancers. </w:t>
      </w:r>
      <w:r w:rsidRPr="00466806">
        <w:rPr>
          <w:rFonts w:ascii="Book Antiqua" w:eastAsia="SimSun" w:hAnsi="Book Antiqua" w:cs="Times New Roman"/>
          <w:i/>
          <w:kern w:val="2"/>
          <w:sz w:val="24"/>
          <w:szCs w:val="24"/>
          <w:lang w:val="en-US" w:eastAsia="zh-CN"/>
        </w:rPr>
        <w:t>JAMA Intern Med</w:t>
      </w:r>
      <w:r w:rsidRPr="00466806">
        <w:rPr>
          <w:rFonts w:ascii="Book Antiqua" w:eastAsia="SimSun" w:hAnsi="Book Antiqua" w:cs="Times New Roman"/>
          <w:kern w:val="2"/>
          <w:sz w:val="24"/>
          <w:szCs w:val="24"/>
          <w:lang w:val="en-US" w:eastAsia="zh-CN"/>
        </w:rPr>
        <w:t xml:space="preserve"> 2015</w:t>
      </w:r>
      <w:proofErr w:type="gramStart"/>
      <w:r w:rsidRPr="00466806">
        <w:rPr>
          <w:rFonts w:ascii="Book Antiqua" w:eastAsia="SimSun" w:hAnsi="Book Antiqua" w:cs="Times New Roman"/>
          <w:kern w:val="2"/>
          <w:sz w:val="24"/>
          <w:szCs w:val="24"/>
          <w:lang w:val="en-US" w:eastAsia="zh-CN"/>
        </w:rPr>
        <w:t>;</w:t>
      </w:r>
      <w:proofErr w:type="gramEnd"/>
      <w:r w:rsidRPr="00466806">
        <w:rPr>
          <w:rFonts w:ascii="Book Antiqua" w:eastAsia="SimSun" w:hAnsi="Book Antiqua" w:cs="Times New Roman"/>
          <w:kern w:val="2"/>
          <w:sz w:val="24"/>
          <w:szCs w:val="24"/>
          <w:lang w:val="en-US" w:eastAsia="zh-CN"/>
        </w:rPr>
        <w:t xml:space="preserve"> </w:t>
      </w:r>
      <w:r w:rsidRPr="00466806">
        <w:rPr>
          <w:rFonts w:ascii="Book Antiqua" w:eastAsia="SimSun" w:hAnsi="Book Antiqua" w:cs="Times New Roman"/>
          <w:b/>
          <w:kern w:val="2"/>
          <w:sz w:val="24"/>
          <w:szCs w:val="24"/>
          <w:lang w:val="en-US" w:eastAsia="zh-CN"/>
        </w:rPr>
        <w:t>175</w:t>
      </w:r>
      <w:r w:rsidRPr="00466806">
        <w:rPr>
          <w:rFonts w:ascii="Book Antiqua" w:eastAsia="SimSun" w:hAnsi="Book Antiqua" w:cs="Times New Roman"/>
          <w:kern w:val="2"/>
          <w:sz w:val="24"/>
          <w:szCs w:val="24"/>
          <w:lang w:val="en-US" w:eastAsia="zh-CN"/>
        </w:rPr>
        <w:t>: 767-776 [PMID: 25751512 DOI: 10.1001/jamainternmed.2015.59]</w:t>
      </w:r>
    </w:p>
    <w:p w14:paraId="4845FA89"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53 </w:t>
      </w:r>
      <w:r w:rsidRPr="00466806">
        <w:rPr>
          <w:rFonts w:ascii="Book Antiqua" w:eastAsia="SimSun" w:hAnsi="Book Antiqua" w:cs="Times New Roman"/>
          <w:b/>
          <w:kern w:val="2"/>
          <w:sz w:val="24"/>
          <w:szCs w:val="24"/>
          <w:lang w:val="en-US" w:eastAsia="zh-CN"/>
        </w:rPr>
        <w:t>Pot GK</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Majsak</w:t>
      </w:r>
      <w:proofErr w:type="spellEnd"/>
      <w:r w:rsidRPr="00466806">
        <w:rPr>
          <w:rFonts w:ascii="Book Antiqua" w:eastAsia="SimSun" w:hAnsi="Book Antiqua" w:cs="Times New Roman"/>
          <w:kern w:val="2"/>
          <w:sz w:val="24"/>
          <w:szCs w:val="24"/>
          <w:lang w:val="en-US" w:eastAsia="zh-CN"/>
        </w:rPr>
        <w:t xml:space="preserve">-Newman G, </w:t>
      </w:r>
      <w:proofErr w:type="spellStart"/>
      <w:r w:rsidRPr="00466806">
        <w:rPr>
          <w:rFonts w:ascii="Book Antiqua" w:eastAsia="SimSun" w:hAnsi="Book Antiqua" w:cs="Times New Roman"/>
          <w:kern w:val="2"/>
          <w:sz w:val="24"/>
          <w:szCs w:val="24"/>
          <w:lang w:val="en-US" w:eastAsia="zh-CN"/>
        </w:rPr>
        <w:t>Geelen</w:t>
      </w:r>
      <w:proofErr w:type="spellEnd"/>
      <w:r w:rsidRPr="00466806">
        <w:rPr>
          <w:rFonts w:ascii="Book Antiqua" w:eastAsia="SimSun" w:hAnsi="Book Antiqua" w:cs="Times New Roman"/>
          <w:kern w:val="2"/>
          <w:sz w:val="24"/>
          <w:szCs w:val="24"/>
          <w:lang w:val="en-US" w:eastAsia="zh-CN"/>
        </w:rPr>
        <w:t xml:space="preserve"> A, Harvey LJ, </w:t>
      </w:r>
      <w:proofErr w:type="spellStart"/>
      <w:r w:rsidRPr="00466806">
        <w:rPr>
          <w:rFonts w:ascii="Book Antiqua" w:eastAsia="SimSun" w:hAnsi="Book Antiqua" w:cs="Times New Roman"/>
          <w:kern w:val="2"/>
          <w:sz w:val="24"/>
          <w:szCs w:val="24"/>
          <w:lang w:val="en-US" w:eastAsia="zh-CN"/>
        </w:rPr>
        <w:t>Nagengast</w:t>
      </w:r>
      <w:proofErr w:type="spellEnd"/>
      <w:r w:rsidRPr="00466806">
        <w:rPr>
          <w:rFonts w:ascii="Book Antiqua" w:eastAsia="SimSun" w:hAnsi="Book Antiqua" w:cs="Times New Roman"/>
          <w:kern w:val="2"/>
          <w:sz w:val="24"/>
          <w:szCs w:val="24"/>
          <w:lang w:val="en-US" w:eastAsia="zh-CN"/>
        </w:rPr>
        <w:t xml:space="preserve"> FM, </w:t>
      </w:r>
      <w:proofErr w:type="spellStart"/>
      <w:r w:rsidRPr="00466806">
        <w:rPr>
          <w:rFonts w:ascii="Book Antiqua" w:eastAsia="SimSun" w:hAnsi="Book Antiqua" w:cs="Times New Roman"/>
          <w:kern w:val="2"/>
          <w:sz w:val="24"/>
          <w:szCs w:val="24"/>
          <w:lang w:val="en-US" w:eastAsia="zh-CN"/>
        </w:rPr>
        <w:t>Witteman</w:t>
      </w:r>
      <w:proofErr w:type="spellEnd"/>
      <w:r w:rsidRPr="00466806">
        <w:rPr>
          <w:rFonts w:ascii="Book Antiqua" w:eastAsia="SimSun" w:hAnsi="Book Antiqua" w:cs="Times New Roman"/>
          <w:kern w:val="2"/>
          <w:sz w:val="24"/>
          <w:szCs w:val="24"/>
          <w:lang w:val="en-US" w:eastAsia="zh-CN"/>
        </w:rPr>
        <w:t xml:space="preserve"> BJ, van de </w:t>
      </w:r>
      <w:proofErr w:type="spellStart"/>
      <w:r w:rsidRPr="00466806">
        <w:rPr>
          <w:rFonts w:ascii="Book Antiqua" w:eastAsia="SimSun" w:hAnsi="Book Antiqua" w:cs="Times New Roman"/>
          <w:kern w:val="2"/>
          <w:sz w:val="24"/>
          <w:szCs w:val="24"/>
          <w:lang w:val="en-US" w:eastAsia="zh-CN"/>
        </w:rPr>
        <w:t>Meeberg</w:t>
      </w:r>
      <w:proofErr w:type="spellEnd"/>
      <w:r w:rsidRPr="00466806">
        <w:rPr>
          <w:rFonts w:ascii="Book Antiqua" w:eastAsia="SimSun" w:hAnsi="Book Antiqua" w:cs="Times New Roman"/>
          <w:kern w:val="2"/>
          <w:sz w:val="24"/>
          <w:szCs w:val="24"/>
          <w:lang w:val="en-US" w:eastAsia="zh-CN"/>
        </w:rPr>
        <w:t xml:space="preserve"> PC, </w:t>
      </w:r>
      <w:proofErr w:type="spellStart"/>
      <w:r w:rsidRPr="00466806">
        <w:rPr>
          <w:rFonts w:ascii="Book Antiqua" w:eastAsia="SimSun" w:hAnsi="Book Antiqua" w:cs="Times New Roman"/>
          <w:kern w:val="2"/>
          <w:sz w:val="24"/>
          <w:szCs w:val="24"/>
          <w:lang w:val="en-US" w:eastAsia="zh-CN"/>
        </w:rPr>
        <w:t>Timmer</w:t>
      </w:r>
      <w:proofErr w:type="spellEnd"/>
      <w:r w:rsidRPr="00466806">
        <w:rPr>
          <w:rFonts w:ascii="Book Antiqua" w:eastAsia="SimSun" w:hAnsi="Book Antiqua" w:cs="Times New Roman"/>
          <w:kern w:val="2"/>
          <w:sz w:val="24"/>
          <w:szCs w:val="24"/>
          <w:lang w:val="en-US" w:eastAsia="zh-CN"/>
        </w:rPr>
        <w:t xml:space="preserve"> R, Tan A, </w:t>
      </w:r>
      <w:proofErr w:type="spellStart"/>
      <w:r w:rsidRPr="00466806">
        <w:rPr>
          <w:rFonts w:ascii="Book Antiqua" w:eastAsia="SimSun" w:hAnsi="Book Antiqua" w:cs="Times New Roman"/>
          <w:kern w:val="2"/>
          <w:sz w:val="24"/>
          <w:szCs w:val="24"/>
          <w:lang w:val="en-US" w:eastAsia="zh-CN"/>
        </w:rPr>
        <w:t>Wahab</w:t>
      </w:r>
      <w:proofErr w:type="spellEnd"/>
      <w:r w:rsidRPr="00466806">
        <w:rPr>
          <w:rFonts w:ascii="Book Antiqua" w:eastAsia="SimSun" w:hAnsi="Book Antiqua" w:cs="Times New Roman"/>
          <w:kern w:val="2"/>
          <w:sz w:val="24"/>
          <w:szCs w:val="24"/>
          <w:lang w:val="en-US" w:eastAsia="zh-CN"/>
        </w:rPr>
        <w:t xml:space="preserve"> PJ, Hart AR, Williams MP, </w:t>
      </w:r>
      <w:proofErr w:type="spellStart"/>
      <w:r w:rsidRPr="00466806">
        <w:rPr>
          <w:rFonts w:ascii="Book Antiqua" w:eastAsia="SimSun" w:hAnsi="Book Antiqua" w:cs="Times New Roman"/>
          <w:kern w:val="2"/>
          <w:sz w:val="24"/>
          <w:szCs w:val="24"/>
          <w:lang w:val="en-US" w:eastAsia="zh-CN"/>
        </w:rPr>
        <w:t>Przybylska</w:t>
      </w:r>
      <w:proofErr w:type="spellEnd"/>
      <w:r w:rsidRPr="00466806">
        <w:rPr>
          <w:rFonts w:ascii="Book Antiqua" w:eastAsia="SimSun" w:hAnsi="Book Antiqua" w:cs="Times New Roman"/>
          <w:kern w:val="2"/>
          <w:sz w:val="24"/>
          <w:szCs w:val="24"/>
          <w:lang w:val="en-US" w:eastAsia="zh-CN"/>
        </w:rPr>
        <w:t xml:space="preserve">-Phillips K, Dainty JR, </w:t>
      </w:r>
      <w:proofErr w:type="spellStart"/>
      <w:r w:rsidRPr="00466806">
        <w:rPr>
          <w:rFonts w:ascii="Book Antiqua" w:eastAsia="SimSun" w:hAnsi="Book Antiqua" w:cs="Times New Roman"/>
          <w:kern w:val="2"/>
          <w:sz w:val="24"/>
          <w:szCs w:val="24"/>
          <w:lang w:val="en-US" w:eastAsia="zh-CN"/>
        </w:rPr>
        <w:t>Schaafsma</w:t>
      </w:r>
      <w:proofErr w:type="spellEnd"/>
      <w:r w:rsidRPr="00466806">
        <w:rPr>
          <w:rFonts w:ascii="Book Antiqua" w:eastAsia="SimSun" w:hAnsi="Book Antiqua" w:cs="Times New Roman"/>
          <w:kern w:val="2"/>
          <w:sz w:val="24"/>
          <w:szCs w:val="24"/>
          <w:lang w:val="en-US" w:eastAsia="zh-CN"/>
        </w:rPr>
        <w:t xml:space="preserve"> G, </w:t>
      </w:r>
      <w:proofErr w:type="spellStart"/>
      <w:r w:rsidRPr="00466806">
        <w:rPr>
          <w:rFonts w:ascii="Book Antiqua" w:eastAsia="SimSun" w:hAnsi="Book Antiqua" w:cs="Times New Roman"/>
          <w:kern w:val="2"/>
          <w:sz w:val="24"/>
          <w:szCs w:val="24"/>
          <w:lang w:val="en-US" w:eastAsia="zh-CN"/>
        </w:rPr>
        <w:t>Kampman</w:t>
      </w:r>
      <w:proofErr w:type="spellEnd"/>
      <w:r w:rsidRPr="00466806">
        <w:rPr>
          <w:rFonts w:ascii="Book Antiqua" w:eastAsia="SimSun" w:hAnsi="Book Antiqua" w:cs="Times New Roman"/>
          <w:kern w:val="2"/>
          <w:sz w:val="24"/>
          <w:szCs w:val="24"/>
          <w:lang w:val="en-US" w:eastAsia="zh-CN"/>
        </w:rPr>
        <w:t xml:space="preserve"> E, Lund EK; FISHGASTRO Study Group. Fish consumption and markers of colorectal cancer risk: a multicenter randomized controlled trial. </w:t>
      </w:r>
      <w:r w:rsidRPr="00466806">
        <w:rPr>
          <w:rFonts w:ascii="Book Antiqua" w:eastAsia="SimSun" w:hAnsi="Book Antiqua" w:cs="Times New Roman"/>
          <w:i/>
          <w:kern w:val="2"/>
          <w:sz w:val="24"/>
          <w:szCs w:val="24"/>
          <w:lang w:val="en-US" w:eastAsia="zh-CN"/>
        </w:rPr>
        <w:t xml:space="preserve">Am J </w:t>
      </w:r>
      <w:proofErr w:type="spellStart"/>
      <w:r w:rsidRPr="00466806">
        <w:rPr>
          <w:rFonts w:ascii="Book Antiqua" w:eastAsia="SimSun" w:hAnsi="Book Antiqua" w:cs="Times New Roman"/>
          <w:i/>
          <w:kern w:val="2"/>
          <w:sz w:val="24"/>
          <w:szCs w:val="24"/>
          <w:lang w:val="en-US" w:eastAsia="zh-CN"/>
        </w:rPr>
        <w:t>Clin</w:t>
      </w:r>
      <w:proofErr w:type="spellEnd"/>
      <w:r w:rsidRPr="00466806">
        <w:rPr>
          <w:rFonts w:ascii="Book Antiqua" w:eastAsia="SimSun" w:hAnsi="Book Antiqua" w:cs="Times New Roman"/>
          <w:i/>
          <w:kern w:val="2"/>
          <w:sz w:val="24"/>
          <w:szCs w:val="24"/>
          <w:lang w:val="en-US" w:eastAsia="zh-CN"/>
        </w:rPr>
        <w:t xml:space="preserve"> </w:t>
      </w:r>
      <w:proofErr w:type="spellStart"/>
      <w:r w:rsidRPr="00466806">
        <w:rPr>
          <w:rFonts w:ascii="Book Antiqua" w:eastAsia="SimSun" w:hAnsi="Book Antiqua" w:cs="Times New Roman"/>
          <w:i/>
          <w:kern w:val="2"/>
          <w:sz w:val="24"/>
          <w:szCs w:val="24"/>
          <w:lang w:val="en-US" w:eastAsia="zh-CN"/>
        </w:rPr>
        <w:t>Nutr</w:t>
      </w:r>
      <w:proofErr w:type="spellEnd"/>
      <w:r w:rsidRPr="00466806">
        <w:rPr>
          <w:rFonts w:ascii="Book Antiqua" w:eastAsia="SimSun" w:hAnsi="Book Antiqua" w:cs="Times New Roman"/>
          <w:kern w:val="2"/>
          <w:sz w:val="24"/>
          <w:szCs w:val="24"/>
          <w:lang w:val="en-US" w:eastAsia="zh-CN"/>
        </w:rPr>
        <w:t xml:space="preserve"> 2009</w:t>
      </w:r>
      <w:proofErr w:type="gramStart"/>
      <w:r w:rsidRPr="00466806">
        <w:rPr>
          <w:rFonts w:ascii="Book Antiqua" w:eastAsia="SimSun" w:hAnsi="Book Antiqua" w:cs="Times New Roman"/>
          <w:kern w:val="2"/>
          <w:sz w:val="24"/>
          <w:szCs w:val="24"/>
          <w:lang w:val="en-US" w:eastAsia="zh-CN"/>
        </w:rPr>
        <w:t>;</w:t>
      </w:r>
      <w:proofErr w:type="gramEnd"/>
      <w:r w:rsidRPr="00466806">
        <w:rPr>
          <w:rFonts w:ascii="Book Antiqua" w:eastAsia="SimSun" w:hAnsi="Book Antiqua" w:cs="Times New Roman"/>
          <w:kern w:val="2"/>
          <w:sz w:val="24"/>
          <w:szCs w:val="24"/>
          <w:lang w:val="en-US" w:eastAsia="zh-CN"/>
        </w:rPr>
        <w:t xml:space="preserve"> </w:t>
      </w:r>
      <w:r w:rsidRPr="00466806">
        <w:rPr>
          <w:rFonts w:ascii="Book Antiqua" w:eastAsia="SimSun" w:hAnsi="Book Antiqua" w:cs="Times New Roman"/>
          <w:b/>
          <w:kern w:val="2"/>
          <w:sz w:val="24"/>
          <w:szCs w:val="24"/>
          <w:lang w:val="en-US" w:eastAsia="zh-CN"/>
        </w:rPr>
        <w:t>90</w:t>
      </w:r>
      <w:r w:rsidRPr="00466806">
        <w:rPr>
          <w:rFonts w:ascii="Book Antiqua" w:eastAsia="SimSun" w:hAnsi="Book Antiqua" w:cs="Times New Roman"/>
          <w:kern w:val="2"/>
          <w:sz w:val="24"/>
          <w:szCs w:val="24"/>
          <w:lang w:val="en-US" w:eastAsia="zh-CN"/>
        </w:rPr>
        <w:t>: 354-361 [PMID: 19553301 DOI: 10.3945/ajcn.2009.27630]</w:t>
      </w:r>
    </w:p>
    <w:p w14:paraId="3FA938EE"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54 </w:t>
      </w:r>
      <w:r w:rsidRPr="00466806">
        <w:rPr>
          <w:rFonts w:ascii="Book Antiqua" w:eastAsia="SimSun" w:hAnsi="Book Antiqua" w:cs="Times New Roman"/>
          <w:b/>
          <w:kern w:val="2"/>
          <w:sz w:val="24"/>
          <w:szCs w:val="24"/>
          <w:lang w:val="en-US" w:eastAsia="zh-CN"/>
        </w:rPr>
        <w:t>Zhang X</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Albanes</w:t>
      </w:r>
      <w:proofErr w:type="spellEnd"/>
      <w:r w:rsidRPr="00466806">
        <w:rPr>
          <w:rFonts w:ascii="Book Antiqua" w:eastAsia="SimSun" w:hAnsi="Book Antiqua" w:cs="Times New Roman"/>
          <w:kern w:val="2"/>
          <w:sz w:val="24"/>
          <w:szCs w:val="24"/>
          <w:lang w:val="en-US" w:eastAsia="zh-CN"/>
        </w:rPr>
        <w:t xml:space="preserve"> D, Beeson WL, van den Brandt PA, </w:t>
      </w:r>
      <w:proofErr w:type="spellStart"/>
      <w:r w:rsidRPr="00466806">
        <w:rPr>
          <w:rFonts w:ascii="Book Antiqua" w:eastAsia="SimSun" w:hAnsi="Book Antiqua" w:cs="Times New Roman"/>
          <w:kern w:val="2"/>
          <w:sz w:val="24"/>
          <w:szCs w:val="24"/>
          <w:lang w:val="en-US" w:eastAsia="zh-CN"/>
        </w:rPr>
        <w:t>Buring</w:t>
      </w:r>
      <w:proofErr w:type="spellEnd"/>
      <w:r w:rsidRPr="00466806">
        <w:rPr>
          <w:rFonts w:ascii="Book Antiqua" w:eastAsia="SimSun" w:hAnsi="Book Antiqua" w:cs="Times New Roman"/>
          <w:kern w:val="2"/>
          <w:sz w:val="24"/>
          <w:szCs w:val="24"/>
          <w:lang w:val="en-US" w:eastAsia="zh-CN"/>
        </w:rPr>
        <w:t xml:space="preserve"> JE, Flood A, </w:t>
      </w:r>
      <w:proofErr w:type="spellStart"/>
      <w:r w:rsidRPr="00466806">
        <w:rPr>
          <w:rFonts w:ascii="Book Antiqua" w:eastAsia="SimSun" w:hAnsi="Book Antiqua" w:cs="Times New Roman"/>
          <w:kern w:val="2"/>
          <w:sz w:val="24"/>
          <w:szCs w:val="24"/>
          <w:lang w:val="en-US" w:eastAsia="zh-CN"/>
        </w:rPr>
        <w:t>Freudenheim</w:t>
      </w:r>
      <w:proofErr w:type="spellEnd"/>
      <w:r w:rsidRPr="00466806">
        <w:rPr>
          <w:rFonts w:ascii="Book Antiqua" w:eastAsia="SimSun" w:hAnsi="Book Antiqua" w:cs="Times New Roman"/>
          <w:kern w:val="2"/>
          <w:sz w:val="24"/>
          <w:szCs w:val="24"/>
          <w:lang w:val="en-US" w:eastAsia="zh-CN"/>
        </w:rPr>
        <w:t xml:space="preserve"> JL, </w:t>
      </w:r>
      <w:proofErr w:type="spellStart"/>
      <w:r w:rsidRPr="00466806">
        <w:rPr>
          <w:rFonts w:ascii="Book Antiqua" w:eastAsia="SimSun" w:hAnsi="Book Antiqua" w:cs="Times New Roman"/>
          <w:kern w:val="2"/>
          <w:sz w:val="24"/>
          <w:szCs w:val="24"/>
          <w:lang w:val="en-US" w:eastAsia="zh-CN"/>
        </w:rPr>
        <w:t>Giovannucci</w:t>
      </w:r>
      <w:proofErr w:type="spellEnd"/>
      <w:r w:rsidRPr="00466806">
        <w:rPr>
          <w:rFonts w:ascii="Book Antiqua" w:eastAsia="SimSun" w:hAnsi="Book Antiqua" w:cs="Times New Roman"/>
          <w:kern w:val="2"/>
          <w:sz w:val="24"/>
          <w:szCs w:val="24"/>
          <w:lang w:val="en-US" w:eastAsia="zh-CN"/>
        </w:rPr>
        <w:t xml:space="preserve"> EL, </w:t>
      </w:r>
      <w:proofErr w:type="spellStart"/>
      <w:r w:rsidRPr="00466806">
        <w:rPr>
          <w:rFonts w:ascii="Book Antiqua" w:eastAsia="SimSun" w:hAnsi="Book Antiqua" w:cs="Times New Roman"/>
          <w:kern w:val="2"/>
          <w:sz w:val="24"/>
          <w:szCs w:val="24"/>
          <w:lang w:val="en-US" w:eastAsia="zh-CN"/>
        </w:rPr>
        <w:t>Goldbohm</w:t>
      </w:r>
      <w:proofErr w:type="spellEnd"/>
      <w:r w:rsidRPr="00466806">
        <w:rPr>
          <w:rFonts w:ascii="Book Antiqua" w:eastAsia="SimSun" w:hAnsi="Book Antiqua" w:cs="Times New Roman"/>
          <w:kern w:val="2"/>
          <w:sz w:val="24"/>
          <w:szCs w:val="24"/>
          <w:lang w:val="en-US" w:eastAsia="zh-CN"/>
        </w:rPr>
        <w:t xml:space="preserve"> RA, </w:t>
      </w:r>
      <w:proofErr w:type="spellStart"/>
      <w:r w:rsidRPr="00466806">
        <w:rPr>
          <w:rFonts w:ascii="Book Antiqua" w:eastAsia="SimSun" w:hAnsi="Book Antiqua" w:cs="Times New Roman"/>
          <w:kern w:val="2"/>
          <w:sz w:val="24"/>
          <w:szCs w:val="24"/>
          <w:lang w:val="en-US" w:eastAsia="zh-CN"/>
        </w:rPr>
        <w:t>Jaceldo-Siegl</w:t>
      </w:r>
      <w:proofErr w:type="spellEnd"/>
      <w:r w:rsidRPr="00466806">
        <w:rPr>
          <w:rFonts w:ascii="Book Antiqua" w:eastAsia="SimSun" w:hAnsi="Book Antiqua" w:cs="Times New Roman"/>
          <w:kern w:val="2"/>
          <w:sz w:val="24"/>
          <w:szCs w:val="24"/>
          <w:lang w:val="en-US" w:eastAsia="zh-CN"/>
        </w:rPr>
        <w:t xml:space="preserve"> K, Jacobs EJ, Krogh V, Larsson SC, Marshall JR, McCullough ML, Miller AB, </w:t>
      </w:r>
      <w:proofErr w:type="spellStart"/>
      <w:r w:rsidRPr="00466806">
        <w:rPr>
          <w:rFonts w:ascii="Book Antiqua" w:eastAsia="SimSun" w:hAnsi="Book Antiqua" w:cs="Times New Roman"/>
          <w:kern w:val="2"/>
          <w:sz w:val="24"/>
          <w:szCs w:val="24"/>
          <w:lang w:val="en-US" w:eastAsia="zh-CN"/>
        </w:rPr>
        <w:t>Robien</w:t>
      </w:r>
      <w:proofErr w:type="spellEnd"/>
      <w:r w:rsidRPr="00466806">
        <w:rPr>
          <w:rFonts w:ascii="Book Antiqua" w:eastAsia="SimSun" w:hAnsi="Book Antiqua" w:cs="Times New Roman"/>
          <w:kern w:val="2"/>
          <w:sz w:val="24"/>
          <w:szCs w:val="24"/>
          <w:lang w:val="en-US" w:eastAsia="zh-CN"/>
        </w:rPr>
        <w:t xml:space="preserve"> K, Rohan TE, </w:t>
      </w:r>
      <w:proofErr w:type="spellStart"/>
      <w:r w:rsidRPr="00466806">
        <w:rPr>
          <w:rFonts w:ascii="Book Antiqua" w:eastAsia="SimSun" w:hAnsi="Book Antiqua" w:cs="Times New Roman"/>
          <w:kern w:val="2"/>
          <w:sz w:val="24"/>
          <w:szCs w:val="24"/>
          <w:lang w:val="en-US" w:eastAsia="zh-CN"/>
        </w:rPr>
        <w:t>Schatzkin</w:t>
      </w:r>
      <w:proofErr w:type="spellEnd"/>
      <w:r w:rsidRPr="00466806">
        <w:rPr>
          <w:rFonts w:ascii="Book Antiqua" w:eastAsia="SimSun" w:hAnsi="Book Antiqua" w:cs="Times New Roman"/>
          <w:kern w:val="2"/>
          <w:sz w:val="24"/>
          <w:szCs w:val="24"/>
          <w:lang w:val="en-US" w:eastAsia="zh-CN"/>
        </w:rPr>
        <w:t xml:space="preserve"> A, </w:t>
      </w:r>
      <w:proofErr w:type="spellStart"/>
      <w:r w:rsidRPr="00466806">
        <w:rPr>
          <w:rFonts w:ascii="Book Antiqua" w:eastAsia="SimSun" w:hAnsi="Book Antiqua" w:cs="Times New Roman"/>
          <w:kern w:val="2"/>
          <w:sz w:val="24"/>
          <w:szCs w:val="24"/>
          <w:lang w:val="en-US" w:eastAsia="zh-CN"/>
        </w:rPr>
        <w:t>Sieri</w:t>
      </w:r>
      <w:proofErr w:type="spellEnd"/>
      <w:r w:rsidRPr="00466806">
        <w:rPr>
          <w:rFonts w:ascii="Book Antiqua" w:eastAsia="SimSun" w:hAnsi="Book Antiqua" w:cs="Times New Roman"/>
          <w:kern w:val="2"/>
          <w:sz w:val="24"/>
          <w:szCs w:val="24"/>
          <w:lang w:val="en-US" w:eastAsia="zh-CN"/>
        </w:rPr>
        <w:t xml:space="preserve"> S, Spiegelman D, </w:t>
      </w:r>
      <w:proofErr w:type="spellStart"/>
      <w:r w:rsidRPr="00466806">
        <w:rPr>
          <w:rFonts w:ascii="Book Antiqua" w:eastAsia="SimSun" w:hAnsi="Book Antiqua" w:cs="Times New Roman"/>
          <w:kern w:val="2"/>
          <w:sz w:val="24"/>
          <w:szCs w:val="24"/>
          <w:lang w:val="en-US" w:eastAsia="zh-CN"/>
        </w:rPr>
        <w:t>Virtamo</w:t>
      </w:r>
      <w:proofErr w:type="spellEnd"/>
      <w:r w:rsidRPr="00466806">
        <w:rPr>
          <w:rFonts w:ascii="Book Antiqua" w:eastAsia="SimSun" w:hAnsi="Book Antiqua" w:cs="Times New Roman"/>
          <w:kern w:val="2"/>
          <w:sz w:val="24"/>
          <w:szCs w:val="24"/>
          <w:lang w:val="en-US" w:eastAsia="zh-CN"/>
        </w:rPr>
        <w:t xml:space="preserve"> J, </w:t>
      </w:r>
      <w:proofErr w:type="spellStart"/>
      <w:r w:rsidRPr="00466806">
        <w:rPr>
          <w:rFonts w:ascii="Book Antiqua" w:eastAsia="SimSun" w:hAnsi="Book Antiqua" w:cs="Times New Roman"/>
          <w:kern w:val="2"/>
          <w:sz w:val="24"/>
          <w:szCs w:val="24"/>
          <w:lang w:val="en-US" w:eastAsia="zh-CN"/>
        </w:rPr>
        <w:t>Wolk</w:t>
      </w:r>
      <w:proofErr w:type="spellEnd"/>
      <w:r w:rsidRPr="00466806">
        <w:rPr>
          <w:rFonts w:ascii="Book Antiqua" w:eastAsia="SimSun" w:hAnsi="Book Antiqua" w:cs="Times New Roman"/>
          <w:kern w:val="2"/>
          <w:sz w:val="24"/>
          <w:szCs w:val="24"/>
          <w:lang w:val="en-US" w:eastAsia="zh-CN"/>
        </w:rPr>
        <w:t xml:space="preserve"> A, Willett WC, Zhang SM, Smith-Warner SA. Risk of colon cancer and coffee, tea, and sugar-sweetened soft drink intake: pooled analysis of prospective cohort studies. </w:t>
      </w:r>
      <w:r w:rsidRPr="00466806">
        <w:rPr>
          <w:rFonts w:ascii="Book Antiqua" w:eastAsia="SimSun" w:hAnsi="Book Antiqua" w:cs="Times New Roman"/>
          <w:i/>
          <w:kern w:val="2"/>
          <w:sz w:val="24"/>
          <w:szCs w:val="24"/>
          <w:lang w:val="en-US" w:eastAsia="zh-CN"/>
        </w:rPr>
        <w:t>J Natl Cancer Inst</w:t>
      </w:r>
      <w:r w:rsidRPr="00466806">
        <w:rPr>
          <w:rFonts w:ascii="Book Antiqua" w:eastAsia="SimSun" w:hAnsi="Book Antiqua" w:cs="Times New Roman"/>
          <w:kern w:val="2"/>
          <w:sz w:val="24"/>
          <w:szCs w:val="24"/>
          <w:lang w:val="en-US" w:eastAsia="zh-CN"/>
        </w:rPr>
        <w:t xml:space="preserve"> 2010; </w:t>
      </w:r>
      <w:r w:rsidRPr="00466806">
        <w:rPr>
          <w:rFonts w:ascii="Book Antiqua" w:eastAsia="SimSun" w:hAnsi="Book Antiqua" w:cs="Times New Roman"/>
          <w:b/>
          <w:kern w:val="2"/>
          <w:sz w:val="24"/>
          <w:szCs w:val="24"/>
          <w:lang w:val="en-US" w:eastAsia="zh-CN"/>
        </w:rPr>
        <w:t>102</w:t>
      </w:r>
      <w:r w:rsidRPr="00466806">
        <w:rPr>
          <w:rFonts w:ascii="Book Antiqua" w:eastAsia="SimSun" w:hAnsi="Book Antiqua" w:cs="Times New Roman"/>
          <w:kern w:val="2"/>
          <w:sz w:val="24"/>
          <w:szCs w:val="24"/>
          <w:lang w:val="en-US" w:eastAsia="zh-CN"/>
        </w:rPr>
        <w:t>: 771-783 [PMID: 20453203 DOI: 10.1093/</w:t>
      </w:r>
      <w:proofErr w:type="spellStart"/>
      <w:r w:rsidRPr="00466806">
        <w:rPr>
          <w:rFonts w:ascii="Book Antiqua" w:eastAsia="SimSun" w:hAnsi="Book Antiqua" w:cs="Times New Roman"/>
          <w:kern w:val="2"/>
          <w:sz w:val="24"/>
          <w:szCs w:val="24"/>
          <w:lang w:val="en-US" w:eastAsia="zh-CN"/>
        </w:rPr>
        <w:t>jnci</w:t>
      </w:r>
      <w:proofErr w:type="spellEnd"/>
      <w:r w:rsidRPr="00466806">
        <w:rPr>
          <w:rFonts w:ascii="Book Antiqua" w:eastAsia="SimSun" w:hAnsi="Book Antiqua" w:cs="Times New Roman"/>
          <w:kern w:val="2"/>
          <w:sz w:val="24"/>
          <w:szCs w:val="24"/>
          <w:lang w:val="en-US" w:eastAsia="zh-CN"/>
        </w:rPr>
        <w:t>/djq107]</w:t>
      </w:r>
    </w:p>
    <w:p w14:paraId="59F9D029"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55 </w:t>
      </w:r>
      <w:r w:rsidRPr="00466806">
        <w:rPr>
          <w:rFonts w:ascii="Book Antiqua" w:eastAsia="SimSun" w:hAnsi="Book Antiqua" w:cs="Times New Roman"/>
          <w:b/>
          <w:kern w:val="2"/>
          <w:sz w:val="24"/>
          <w:szCs w:val="24"/>
          <w:lang w:val="en-US" w:eastAsia="zh-CN"/>
        </w:rPr>
        <w:t>Xu J</w:t>
      </w:r>
      <w:r w:rsidRPr="00466806">
        <w:rPr>
          <w:rFonts w:ascii="Book Antiqua" w:eastAsia="SimSun" w:hAnsi="Book Antiqua" w:cs="Times New Roman"/>
          <w:kern w:val="2"/>
          <w:sz w:val="24"/>
          <w:szCs w:val="24"/>
          <w:lang w:val="en-US" w:eastAsia="zh-CN"/>
        </w:rPr>
        <w:t xml:space="preserve">, Ye Y, Wu H, </w:t>
      </w:r>
      <w:proofErr w:type="spellStart"/>
      <w:r w:rsidRPr="00466806">
        <w:rPr>
          <w:rFonts w:ascii="Book Antiqua" w:eastAsia="SimSun" w:hAnsi="Book Antiqua" w:cs="Times New Roman"/>
          <w:kern w:val="2"/>
          <w:sz w:val="24"/>
          <w:szCs w:val="24"/>
          <w:lang w:val="en-US" w:eastAsia="zh-CN"/>
        </w:rPr>
        <w:t>Duerksen</w:t>
      </w:r>
      <w:proofErr w:type="spellEnd"/>
      <w:r w:rsidRPr="00466806">
        <w:rPr>
          <w:rFonts w:ascii="Book Antiqua" w:eastAsia="SimSun" w:hAnsi="Book Antiqua" w:cs="Times New Roman"/>
          <w:kern w:val="2"/>
          <w:sz w:val="24"/>
          <w:szCs w:val="24"/>
          <w:lang w:val="en-US" w:eastAsia="zh-CN"/>
        </w:rPr>
        <w:t xml:space="preserve">-Hughes P, Zhang H, Li P, Huang J, Yang J, Wu Y, Xia D. Association between markers of glucose metabolism and risk of colorectal cancer. </w:t>
      </w:r>
      <w:r w:rsidRPr="00466806">
        <w:rPr>
          <w:rFonts w:ascii="Book Antiqua" w:eastAsia="SimSun" w:hAnsi="Book Antiqua" w:cs="Times New Roman"/>
          <w:i/>
          <w:kern w:val="2"/>
          <w:sz w:val="24"/>
          <w:szCs w:val="24"/>
          <w:lang w:val="en-US" w:eastAsia="zh-CN"/>
        </w:rPr>
        <w:t>BMJ Open</w:t>
      </w:r>
      <w:r w:rsidRPr="00466806">
        <w:rPr>
          <w:rFonts w:ascii="Book Antiqua" w:eastAsia="SimSun" w:hAnsi="Book Antiqua" w:cs="Times New Roman"/>
          <w:kern w:val="2"/>
          <w:sz w:val="24"/>
          <w:szCs w:val="24"/>
          <w:lang w:val="en-US" w:eastAsia="zh-CN"/>
        </w:rPr>
        <w:t xml:space="preserve"> 2016; </w:t>
      </w:r>
      <w:r w:rsidRPr="00466806">
        <w:rPr>
          <w:rFonts w:ascii="Book Antiqua" w:eastAsia="SimSun" w:hAnsi="Book Antiqua" w:cs="Times New Roman"/>
          <w:b/>
          <w:kern w:val="2"/>
          <w:sz w:val="24"/>
          <w:szCs w:val="24"/>
          <w:lang w:val="en-US" w:eastAsia="zh-CN"/>
        </w:rPr>
        <w:t>6</w:t>
      </w:r>
      <w:r w:rsidRPr="00466806">
        <w:rPr>
          <w:rFonts w:ascii="Book Antiqua" w:eastAsia="SimSun" w:hAnsi="Book Antiqua" w:cs="Times New Roman"/>
          <w:kern w:val="2"/>
          <w:sz w:val="24"/>
          <w:szCs w:val="24"/>
          <w:lang w:val="en-US" w:eastAsia="zh-CN"/>
        </w:rPr>
        <w:t>: e011430 [PMID: 27354075 DOI: 10.1136/bmjopen-2016-011430]</w:t>
      </w:r>
    </w:p>
    <w:p w14:paraId="5FB39C98"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56</w:t>
      </w:r>
      <w:proofErr w:type="gramEnd"/>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b/>
          <w:kern w:val="2"/>
          <w:sz w:val="24"/>
          <w:szCs w:val="24"/>
          <w:lang w:val="en-US" w:eastAsia="zh-CN"/>
        </w:rPr>
        <w:t>Vigneri</w:t>
      </w:r>
      <w:proofErr w:type="spellEnd"/>
      <w:r w:rsidRPr="00466806">
        <w:rPr>
          <w:rFonts w:ascii="Book Antiqua" w:eastAsia="SimSun" w:hAnsi="Book Antiqua" w:cs="Times New Roman"/>
          <w:b/>
          <w:kern w:val="2"/>
          <w:sz w:val="24"/>
          <w:szCs w:val="24"/>
          <w:lang w:val="en-US" w:eastAsia="zh-CN"/>
        </w:rPr>
        <w:t xml:space="preserve"> PG</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Tirrò</w:t>
      </w:r>
      <w:proofErr w:type="spellEnd"/>
      <w:r w:rsidRPr="00466806">
        <w:rPr>
          <w:rFonts w:ascii="Book Antiqua" w:eastAsia="SimSun" w:hAnsi="Book Antiqua" w:cs="Times New Roman"/>
          <w:kern w:val="2"/>
          <w:sz w:val="24"/>
          <w:szCs w:val="24"/>
          <w:lang w:val="en-US" w:eastAsia="zh-CN"/>
        </w:rPr>
        <w:t xml:space="preserve"> E, </w:t>
      </w:r>
      <w:proofErr w:type="spellStart"/>
      <w:r w:rsidRPr="00466806">
        <w:rPr>
          <w:rFonts w:ascii="Book Antiqua" w:eastAsia="SimSun" w:hAnsi="Book Antiqua" w:cs="Times New Roman"/>
          <w:kern w:val="2"/>
          <w:sz w:val="24"/>
          <w:szCs w:val="24"/>
          <w:lang w:val="en-US" w:eastAsia="zh-CN"/>
        </w:rPr>
        <w:t>Pennisi</w:t>
      </w:r>
      <w:proofErr w:type="spellEnd"/>
      <w:r w:rsidRPr="00466806">
        <w:rPr>
          <w:rFonts w:ascii="Book Antiqua" w:eastAsia="SimSun" w:hAnsi="Book Antiqua" w:cs="Times New Roman"/>
          <w:kern w:val="2"/>
          <w:sz w:val="24"/>
          <w:szCs w:val="24"/>
          <w:lang w:val="en-US" w:eastAsia="zh-CN"/>
        </w:rPr>
        <w:t xml:space="preserve"> MS, </w:t>
      </w:r>
      <w:proofErr w:type="spellStart"/>
      <w:r w:rsidRPr="00466806">
        <w:rPr>
          <w:rFonts w:ascii="Book Antiqua" w:eastAsia="SimSun" w:hAnsi="Book Antiqua" w:cs="Times New Roman"/>
          <w:kern w:val="2"/>
          <w:sz w:val="24"/>
          <w:szCs w:val="24"/>
          <w:lang w:val="en-US" w:eastAsia="zh-CN"/>
        </w:rPr>
        <w:t>Massimino</w:t>
      </w:r>
      <w:proofErr w:type="spellEnd"/>
      <w:r w:rsidRPr="00466806">
        <w:rPr>
          <w:rFonts w:ascii="Book Antiqua" w:eastAsia="SimSun" w:hAnsi="Book Antiqua" w:cs="Times New Roman"/>
          <w:kern w:val="2"/>
          <w:sz w:val="24"/>
          <w:szCs w:val="24"/>
          <w:lang w:val="en-US" w:eastAsia="zh-CN"/>
        </w:rPr>
        <w:t xml:space="preserve"> M, Stella S, Romano C, </w:t>
      </w:r>
      <w:proofErr w:type="spellStart"/>
      <w:r w:rsidRPr="00466806">
        <w:rPr>
          <w:rFonts w:ascii="Book Antiqua" w:eastAsia="SimSun" w:hAnsi="Book Antiqua" w:cs="Times New Roman"/>
          <w:kern w:val="2"/>
          <w:sz w:val="24"/>
          <w:szCs w:val="24"/>
          <w:lang w:val="en-US" w:eastAsia="zh-CN"/>
        </w:rPr>
        <w:t>Manzella</w:t>
      </w:r>
      <w:proofErr w:type="spellEnd"/>
      <w:r w:rsidRPr="00466806">
        <w:rPr>
          <w:rFonts w:ascii="Book Antiqua" w:eastAsia="SimSun" w:hAnsi="Book Antiqua" w:cs="Times New Roman"/>
          <w:kern w:val="2"/>
          <w:sz w:val="24"/>
          <w:szCs w:val="24"/>
          <w:lang w:val="en-US" w:eastAsia="zh-CN"/>
        </w:rPr>
        <w:t xml:space="preserve"> L. The Insulin/IGF System in Colorectal Cancer Development and Resistance to Therapy. </w:t>
      </w:r>
      <w:r w:rsidRPr="00466806">
        <w:rPr>
          <w:rFonts w:ascii="Book Antiqua" w:eastAsia="SimSun" w:hAnsi="Book Antiqua" w:cs="Times New Roman"/>
          <w:i/>
          <w:kern w:val="2"/>
          <w:sz w:val="24"/>
          <w:szCs w:val="24"/>
          <w:lang w:val="en-US" w:eastAsia="zh-CN"/>
        </w:rPr>
        <w:t xml:space="preserve">Front </w:t>
      </w:r>
      <w:proofErr w:type="spellStart"/>
      <w:r w:rsidRPr="00466806">
        <w:rPr>
          <w:rFonts w:ascii="Book Antiqua" w:eastAsia="SimSun" w:hAnsi="Book Antiqua" w:cs="Times New Roman"/>
          <w:i/>
          <w:kern w:val="2"/>
          <w:sz w:val="24"/>
          <w:szCs w:val="24"/>
          <w:lang w:val="en-US" w:eastAsia="zh-CN"/>
        </w:rPr>
        <w:t>Oncol</w:t>
      </w:r>
      <w:proofErr w:type="spellEnd"/>
      <w:r w:rsidRPr="00466806">
        <w:rPr>
          <w:rFonts w:ascii="Book Antiqua" w:eastAsia="SimSun" w:hAnsi="Book Antiqua" w:cs="Times New Roman"/>
          <w:kern w:val="2"/>
          <w:sz w:val="24"/>
          <w:szCs w:val="24"/>
          <w:lang w:val="en-US" w:eastAsia="zh-CN"/>
        </w:rPr>
        <w:t xml:space="preserve"> 2015; </w:t>
      </w:r>
      <w:r w:rsidRPr="00466806">
        <w:rPr>
          <w:rFonts w:ascii="Book Antiqua" w:eastAsia="SimSun" w:hAnsi="Book Antiqua" w:cs="Times New Roman"/>
          <w:b/>
          <w:kern w:val="2"/>
          <w:sz w:val="24"/>
          <w:szCs w:val="24"/>
          <w:lang w:val="en-US" w:eastAsia="zh-CN"/>
        </w:rPr>
        <w:t>5</w:t>
      </w:r>
      <w:r w:rsidRPr="00466806">
        <w:rPr>
          <w:rFonts w:ascii="Book Antiqua" w:eastAsia="SimSun" w:hAnsi="Book Antiqua" w:cs="Times New Roman"/>
          <w:kern w:val="2"/>
          <w:sz w:val="24"/>
          <w:szCs w:val="24"/>
          <w:lang w:val="en-US" w:eastAsia="zh-CN"/>
        </w:rPr>
        <w:t>: 230 [PMID: 26528439 DOI: 10.3389/fonc.2015.00230]</w:t>
      </w:r>
    </w:p>
    <w:p w14:paraId="088B5C0C"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57 </w:t>
      </w:r>
      <w:proofErr w:type="spellStart"/>
      <w:r w:rsidRPr="00466806">
        <w:rPr>
          <w:rFonts w:ascii="Book Antiqua" w:eastAsia="SimSun" w:hAnsi="Book Antiqua" w:cs="Times New Roman"/>
          <w:b/>
          <w:kern w:val="2"/>
          <w:sz w:val="24"/>
          <w:szCs w:val="24"/>
          <w:lang w:val="en-US" w:eastAsia="zh-CN"/>
        </w:rPr>
        <w:t>Abenavoli</w:t>
      </w:r>
      <w:proofErr w:type="spellEnd"/>
      <w:r w:rsidRPr="00466806">
        <w:rPr>
          <w:rFonts w:ascii="Book Antiqua" w:eastAsia="SimSun" w:hAnsi="Book Antiqua" w:cs="Times New Roman"/>
          <w:b/>
          <w:kern w:val="2"/>
          <w:sz w:val="24"/>
          <w:szCs w:val="24"/>
          <w:lang w:val="en-US" w:eastAsia="zh-CN"/>
        </w:rPr>
        <w:t xml:space="preserve"> L</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Milic</w:t>
      </w:r>
      <w:proofErr w:type="spellEnd"/>
      <w:r w:rsidRPr="00466806">
        <w:rPr>
          <w:rFonts w:ascii="Book Antiqua" w:eastAsia="SimSun" w:hAnsi="Book Antiqua" w:cs="Times New Roman"/>
          <w:kern w:val="2"/>
          <w:sz w:val="24"/>
          <w:szCs w:val="24"/>
          <w:lang w:val="en-US" w:eastAsia="zh-CN"/>
        </w:rPr>
        <w:t xml:space="preserve"> N, </w:t>
      </w:r>
      <w:proofErr w:type="spellStart"/>
      <w:r w:rsidRPr="00466806">
        <w:rPr>
          <w:rFonts w:ascii="Book Antiqua" w:eastAsia="SimSun" w:hAnsi="Book Antiqua" w:cs="Times New Roman"/>
          <w:kern w:val="2"/>
          <w:sz w:val="24"/>
          <w:szCs w:val="24"/>
          <w:lang w:val="en-US" w:eastAsia="zh-CN"/>
        </w:rPr>
        <w:t>Luzza</w:t>
      </w:r>
      <w:proofErr w:type="spellEnd"/>
      <w:r w:rsidRPr="00466806">
        <w:rPr>
          <w:rFonts w:ascii="Book Antiqua" w:eastAsia="SimSun" w:hAnsi="Book Antiqua" w:cs="Times New Roman"/>
          <w:kern w:val="2"/>
          <w:sz w:val="24"/>
          <w:szCs w:val="24"/>
          <w:lang w:val="en-US" w:eastAsia="zh-CN"/>
        </w:rPr>
        <w:t xml:space="preserve"> F, </w:t>
      </w:r>
      <w:proofErr w:type="spellStart"/>
      <w:r w:rsidRPr="00466806">
        <w:rPr>
          <w:rFonts w:ascii="Book Antiqua" w:eastAsia="SimSun" w:hAnsi="Book Antiqua" w:cs="Times New Roman"/>
          <w:kern w:val="2"/>
          <w:sz w:val="24"/>
          <w:szCs w:val="24"/>
          <w:lang w:val="en-US" w:eastAsia="zh-CN"/>
        </w:rPr>
        <w:t>Boccuto</w:t>
      </w:r>
      <w:proofErr w:type="spellEnd"/>
      <w:r w:rsidRPr="00466806">
        <w:rPr>
          <w:rFonts w:ascii="Book Antiqua" w:eastAsia="SimSun" w:hAnsi="Book Antiqua" w:cs="Times New Roman"/>
          <w:kern w:val="2"/>
          <w:sz w:val="24"/>
          <w:szCs w:val="24"/>
          <w:lang w:val="en-US" w:eastAsia="zh-CN"/>
        </w:rPr>
        <w:t xml:space="preserve"> L, De Lorenzo A. Polyphenols Treatment in Patients with Nonalcoholic Fatty Liver Disease. </w:t>
      </w:r>
      <w:r w:rsidRPr="00466806">
        <w:rPr>
          <w:rFonts w:ascii="Book Antiqua" w:eastAsia="SimSun" w:hAnsi="Book Antiqua" w:cs="Times New Roman"/>
          <w:i/>
          <w:kern w:val="2"/>
          <w:sz w:val="24"/>
          <w:szCs w:val="24"/>
          <w:lang w:val="en-US" w:eastAsia="zh-CN"/>
        </w:rPr>
        <w:t xml:space="preserve">J </w:t>
      </w:r>
      <w:proofErr w:type="spellStart"/>
      <w:r w:rsidRPr="00466806">
        <w:rPr>
          <w:rFonts w:ascii="Book Antiqua" w:eastAsia="SimSun" w:hAnsi="Book Antiqua" w:cs="Times New Roman"/>
          <w:i/>
          <w:kern w:val="2"/>
          <w:sz w:val="24"/>
          <w:szCs w:val="24"/>
          <w:lang w:val="en-US" w:eastAsia="zh-CN"/>
        </w:rPr>
        <w:t>Transl</w:t>
      </w:r>
      <w:proofErr w:type="spellEnd"/>
      <w:r w:rsidRPr="00466806">
        <w:rPr>
          <w:rFonts w:ascii="Book Antiqua" w:eastAsia="SimSun" w:hAnsi="Book Antiqua" w:cs="Times New Roman"/>
          <w:i/>
          <w:kern w:val="2"/>
          <w:sz w:val="24"/>
          <w:szCs w:val="24"/>
          <w:lang w:val="en-US" w:eastAsia="zh-CN"/>
        </w:rPr>
        <w:t xml:space="preserve"> </w:t>
      </w:r>
      <w:proofErr w:type="spellStart"/>
      <w:r w:rsidRPr="00466806">
        <w:rPr>
          <w:rFonts w:ascii="Book Antiqua" w:eastAsia="SimSun" w:hAnsi="Book Antiqua" w:cs="Times New Roman"/>
          <w:i/>
          <w:kern w:val="2"/>
          <w:sz w:val="24"/>
          <w:szCs w:val="24"/>
          <w:lang w:val="en-US" w:eastAsia="zh-CN"/>
        </w:rPr>
        <w:t>Int</w:t>
      </w:r>
      <w:proofErr w:type="spellEnd"/>
      <w:r w:rsidRPr="00466806">
        <w:rPr>
          <w:rFonts w:ascii="Book Antiqua" w:eastAsia="SimSun" w:hAnsi="Book Antiqua" w:cs="Times New Roman"/>
          <w:i/>
          <w:kern w:val="2"/>
          <w:sz w:val="24"/>
          <w:szCs w:val="24"/>
          <w:lang w:val="en-US" w:eastAsia="zh-CN"/>
        </w:rPr>
        <w:t xml:space="preserve"> Med</w:t>
      </w:r>
      <w:r w:rsidRPr="00466806">
        <w:rPr>
          <w:rFonts w:ascii="Book Antiqua" w:eastAsia="SimSun" w:hAnsi="Book Antiqua" w:cs="Times New Roman"/>
          <w:kern w:val="2"/>
          <w:sz w:val="24"/>
          <w:szCs w:val="24"/>
          <w:lang w:val="en-US" w:eastAsia="zh-CN"/>
        </w:rPr>
        <w:t xml:space="preserve"> 2017; </w:t>
      </w:r>
      <w:r w:rsidRPr="00466806">
        <w:rPr>
          <w:rFonts w:ascii="Book Antiqua" w:eastAsia="SimSun" w:hAnsi="Book Antiqua" w:cs="Times New Roman"/>
          <w:b/>
          <w:kern w:val="2"/>
          <w:sz w:val="24"/>
          <w:szCs w:val="24"/>
          <w:lang w:val="en-US" w:eastAsia="zh-CN"/>
        </w:rPr>
        <w:t>5</w:t>
      </w:r>
      <w:r w:rsidRPr="00466806">
        <w:rPr>
          <w:rFonts w:ascii="Book Antiqua" w:eastAsia="SimSun" w:hAnsi="Book Antiqua" w:cs="Times New Roman"/>
          <w:kern w:val="2"/>
          <w:sz w:val="24"/>
          <w:szCs w:val="24"/>
          <w:lang w:val="en-US" w:eastAsia="zh-CN"/>
        </w:rPr>
        <w:t>: 144-147 [PMID: 29164049 DOI: 10.1515/jtim-2017-0027]</w:t>
      </w:r>
    </w:p>
    <w:p w14:paraId="6556F041"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58 </w:t>
      </w:r>
      <w:proofErr w:type="spellStart"/>
      <w:r w:rsidRPr="00466806">
        <w:rPr>
          <w:rFonts w:ascii="Book Antiqua" w:eastAsia="SimSun" w:hAnsi="Book Antiqua" w:cs="Times New Roman"/>
          <w:b/>
          <w:kern w:val="2"/>
          <w:sz w:val="24"/>
          <w:szCs w:val="24"/>
          <w:lang w:val="en-US" w:eastAsia="zh-CN"/>
        </w:rPr>
        <w:t>Aune</w:t>
      </w:r>
      <w:proofErr w:type="spellEnd"/>
      <w:r w:rsidRPr="00466806">
        <w:rPr>
          <w:rFonts w:ascii="Book Antiqua" w:eastAsia="SimSun" w:hAnsi="Book Antiqua" w:cs="Times New Roman"/>
          <w:b/>
          <w:kern w:val="2"/>
          <w:sz w:val="24"/>
          <w:szCs w:val="24"/>
          <w:lang w:val="en-US" w:eastAsia="zh-CN"/>
        </w:rPr>
        <w:t xml:space="preserve"> D</w:t>
      </w:r>
      <w:r w:rsidRPr="00466806">
        <w:rPr>
          <w:rFonts w:ascii="Book Antiqua" w:eastAsia="SimSun" w:hAnsi="Book Antiqua" w:cs="Times New Roman"/>
          <w:kern w:val="2"/>
          <w:sz w:val="24"/>
          <w:szCs w:val="24"/>
          <w:lang w:val="en-US" w:eastAsia="zh-CN"/>
        </w:rPr>
        <w:t xml:space="preserve">, Chan DS, Lau R, Vieira R, Greenwood DC, </w:t>
      </w:r>
      <w:proofErr w:type="spellStart"/>
      <w:r w:rsidRPr="00466806">
        <w:rPr>
          <w:rFonts w:ascii="Book Antiqua" w:eastAsia="SimSun" w:hAnsi="Book Antiqua" w:cs="Times New Roman"/>
          <w:kern w:val="2"/>
          <w:sz w:val="24"/>
          <w:szCs w:val="24"/>
          <w:lang w:val="en-US" w:eastAsia="zh-CN"/>
        </w:rPr>
        <w:t>Kampman</w:t>
      </w:r>
      <w:proofErr w:type="spellEnd"/>
      <w:r w:rsidRPr="00466806">
        <w:rPr>
          <w:rFonts w:ascii="Book Antiqua" w:eastAsia="SimSun" w:hAnsi="Book Antiqua" w:cs="Times New Roman"/>
          <w:kern w:val="2"/>
          <w:sz w:val="24"/>
          <w:szCs w:val="24"/>
          <w:lang w:val="en-US" w:eastAsia="zh-CN"/>
        </w:rPr>
        <w:t xml:space="preserve"> E, </w:t>
      </w:r>
      <w:proofErr w:type="spellStart"/>
      <w:r w:rsidRPr="00466806">
        <w:rPr>
          <w:rFonts w:ascii="Book Antiqua" w:eastAsia="SimSun" w:hAnsi="Book Antiqua" w:cs="Times New Roman"/>
          <w:kern w:val="2"/>
          <w:sz w:val="24"/>
          <w:szCs w:val="24"/>
          <w:lang w:val="en-US" w:eastAsia="zh-CN"/>
        </w:rPr>
        <w:t>Norat</w:t>
      </w:r>
      <w:proofErr w:type="spellEnd"/>
      <w:r w:rsidRPr="00466806">
        <w:rPr>
          <w:rFonts w:ascii="Book Antiqua" w:eastAsia="SimSun" w:hAnsi="Book Antiqua" w:cs="Times New Roman"/>
          <w:kern w:val="2"/>
          <w:sz w:val="24"/>
          <w:szCs w:val="24"/>
          <w:lang w:val="en-US" w:eastAsia="zh-CN"/>
        </w:rPr>
        <w:t xml:space="preserve"> T. Dietary </w:t>
      </w:r>
      <w:proofErr w:type="spellStart"/>
      <w:r w:rsidRPr="00466806">
        <w:rPr>
          <w:rFonts w:ascii="Book Antiqua" w:eastAsia="SimSun" w:hAnsi="Book Antiqua" w:cs="Times New Roman"/>
          <w:kern w:val="2"/>
          <w:sz w:val="24"/>
          <w:szCs w:val="24"/>
          <w:lang w:val="en-US" w:eastAsia="zh-CN"/>
        </w:rPr>
        <w:t>fibre</w:t>
      </w:r>
      <w:proofErr w:type="spellEnd"/>
      <w:r w:rsidRPr="00466806">
        <w:rPr>
          <w:rFonts w:ascii="Book Antiqua" w:eastAsia="SimSun" w:hAnsi="Book Antiqua" w:cs="Times New Roman"/>
          <w:kern w:val="2"/>
          <w:sz w:val="24"/>
          <w:szCs w:val="24"/>
          <w:lang w:val="en-US" w:eastAsia="zh-CN"/>
        </w:rPr>
        <w:t xml:space="preserve">, whole grains, and risk of colorectal cancer: systematic review and dose-response meta-analysis of prospective studies. </w:t>
      </w:r>
      <w:r w:rsidRPr="00466806">
        <w:rPr>
          <w:rFonts w:ascii="Book Antiqua" w:eastAsia="SimSun" w:hAnsi="Book Antiqua" w:cs="Times New Roman"/>
          <w:i/>
          <w:kern w:val="2"/>
          <w:sz w:val="24"/>
          <w:szCs w:val="24"/>
          <w:lang w:val="en-US" w:eastAsia="zh-CN"/>
        </w:rPr>
        <w:t>BMJ</w:t>
      </w:r>
      <w:r w:rsidRPr="00466806">
        <w:rPr>
          <w:rFonts w:ascii="Book Antiqua" w:eastAsia="SimSun" w:hAnsi="Book Antiqua" w:cs="Times New Roman"/>
          <w:kern w:val="2"/>
          <w:sz w:val="24"/>
          <w:szCs w:val="24"/>
          <w:lang w:val="en-US" w:eastAsia="zh-CN"/>
        </w:rPr>
        <w:t xml:space="preserve"> 2011; </w:t>
      </w:r>
      <w:r w:rsidRPr="00466806">
        <w:rPr>
          <w:rFonts w:ascii="Book Antiqua" w:eastAsia="SimSun" w:hAnsi="Book Antiqua" w:cs="Times New Roman"/>
          <w:b/>
          <w:kern w:val="2"/>
          <w:sz w:val="24"/>
          <w:szCs w:val="24"/>
          <w:lang w:val="en-US" w:eastAsia="zh-CN"/>
        </w:rPr>
        <w:t>343</w:t>
      </w:r>
      <w:r w:rsidRPr="00466806">
        <w:rPr>
          <w:rFonts w:ascii="Book Antiqua" w:eastAsia="SimSun" w:hAnsi="Book Antiqua" w:cs="Times New Roman"/>
          <w:kern w:val="2"/>
          <w:sz w:val="24"/>
          <w:szCs w:val="24"/>
          <w:lang w:val="en-US" w:eastAsia="zh-CN"/>
        </w:rPr>
        <w:t>: d6617 [PMID: 22074852 DOI: 10.1136/bmj.d6617]</w:t>
      </w:r>
    </w:p>
    <w:p w14:paraId="534BDAC8"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59</w:t>
      </w:r>
      <w:proofErr w:type="gramEnd"/>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b/>
          <w:kern w:val="2"/>
          <w:sz w:val="24"/>
          <w:szCs w:val="24"/>
          <w:lang w:val="en-US" w:eastAsia="zh-CN"/>
        </w:rPr>
        <w:t>Tantamango</w:t>
      </w:r>
      <w:proofErr w:type="spellEnd"/>
      <w:r w:rsidRPr="00466806">
        <w:rPr>
          <w:rFonts w:ascii="Book Antiqua" w:eastAsia="SimSun" w:hAnsi="Book Antiqua" w:cs="Times New Roman"/>
          <w:b/>
          <w:kern w:val="2"/>
          <w:sz w:val="24"/>
          <w:szCs w:val="24"/>
          <w:lang w:val="en-US" w:eastAsia="zh-CN"/>
        </w:rPr>
        <w:t xml:space="preserve"> YM</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Knutsen</w:t>
      </w:r>
      <w:proofErr w:type="spellEnd"/>
      <w:r w:rsidRPr="00466806">
        <w:rPr>
          <w:rFonts w:ascii="Book Antiqua" w:eastAsia="SimSun" w:hAnsi="Book Antiqua" w:cs="Times New Roman"/>
          <w:kern w:val="2"/>
          <w:sz w:val="24"/>
          <w:szCs w:val="24"/>
          <w:lang w:val="en-US" w:eastAsia="zh-CN"/>
        </w:rPr>
        <w:t xml:space="preserve"> SF, Beeson WL, Fraser G, </w:t>
      </w:r>
      <w:proofErr w:type="spellStart"/>
      <w:r w:rsidRPr="00466806">
        <w:rPr>
          <w:rFonts w:ascii="Book Antiqua" w:eastAsia="SimSun" w:hAnsi="Book Antiqua" w:cs="Times New Roman"/>
          <w:kern w:val="2"/>
          <w:sz w:val="24"/>
          <w:szCs w:val="24"/>
          <w:lang w:val="en-US" w:eastAsia="zh-CN"/>
        </w:rPr>
        <w:t>Sabate</w:t>
      </w:r>
      <w:proofErr w:type="spellEnd"/>
      <w:r w:rsidRPr="00466806">
        <w:rPr>
          <w:rFonts w:ascii="Book Antiqua" w:eastAsia="SimSun" w:hAnsi="Book Antiqua" w:cs="Times New Roman"/>
          <w:kern w:val="2"/>
          <w:sz w:val="24"/>
          <w:szCs w:val="24"/>
          <w:lang w:val="en-US" w:eastAsia="zh-CN"/>
        </w:rPr>
        <w:t xml:space="preserve"> J. Foods and food groups associated with the incidence of colorectal polyps: the Adventist Health Study. </w:t>
      </w:r>
      <w:proofErr w:type="spellStart"/>
      <w:r w:rsidRPr="00466806">
        <w:rPr>
          <w:rFonts w:ascii="Book Antiqua" w:eastAsia="SimSun" w:hAnsi="Book Antiqua" w:cs="Times New Roman"/>
          <w:i/>
          <w:kern w:val="2"/>
          <w:sz w:val="24"/>
          <w:szCs w:val="24"/>
          <w:lang w:val="en-US" w:eastAsia="zh-CN"/>
        </w:rPr>
        <w:t>Nutr</w:t>
      </w:r>
      <w:proofErr w:type="spellEnd"/>
      <w:r w:rsidRPr="00466806">
        <w:rPr>
          <w:rFonts w:ascii="Book Antiqua" w:eastAsia="SimSun" w:hAnsi="Book Antiqua" w:cs="Times New Roman"/>
          <w:i/>
          <w:kern w:val="2"/>
          <w:sz w:val="24"/>
          <w:szCs w:val="24"/>
          <w:lang w:val="en-US" w:eastAsia="zh-CN"/>
        </w:rPr>
        <w:t xml:space="preserve"> Cancer</w:t>
      </w:r>
      <w:r w:rsidRPr="00466806">
        <w:rPr>
          <w:rFonts w:ascii="Book Antiqua" w:eastAsia="SimSun" w:hAnsi="Book Antiqua" w:cs="Times New Roman"/>
          <w:kern w:val="2"/>
          <w:sz w:val="24"/>
          <w:szCs w:val="24"/>
          <w:lang w:val="en-US" w:eastAsia="zh-CN"/>
        </w:rPr>
        <w:t xml:space="preserve"> 2011; </w:t>
      </w:r>
      <w:r w:rsidRPr="00466806">
        <w:rPr>
          <w:rFonts w:ascii="Book Antiqua" w:eastAsia="SimSun" w:hAnsi="Book Antiqua" w:cs="Times New Roman"/>
          <w:b/>
          <w:kern w:val="2"/>
          <w:sz w:val="24"/>
          <w:szCs w:val="24"/>
          <w:lang w:val="en-US" w:eastAsia="zh-CN"/>
        </w:rPr>
        <w:t>63</w:t>
      </w:r>
      <w:r w:rsidRPr="00466806">
        <w:rPr>
          <w:rFonts w:ascii="Book Antiqua" w:eastAsia="SimSun" w:hAnsi="Book Antiqua" w:cs="Times New Roman"/>
          <w:kern w:val="2"/>
          <w:sz w:val="24"/>
          <w:szCs w:val="24"/>
          <w:lang w:val="en-US" w:eastAsia="zh-CN"/>
        </w:rPr>
        <w:t>: 565-572 [PMID: 21547850 DOI: 10.1080/01635581.2011.551988]</w:t>
      </w:r>
    </w:p>
    <w:p w14:paraId="20151D73"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 xml:space="preserve">60 </w:t>
      </w:r>
      <w:proofErr w:type="spellStart"/>
      <w:r w:rsidRPr="00466806">
        <w:rPr>
          <w:rFonts w:ascii="Book Antiqua" w:eastAsia="SimSun" w:hAnsi="Book Antiqua" w:cs="Times New Roman"/>
          <w:b/>
          <w:kern w:val="2"/>
          <w:sz w:val="24"/>
          <w:szCs w:val="24"/>
          <w:lang w:val="en-US" w:eastAsia="zh-CN"/>
        </w:rPr>
        <w:t>Leenders</w:t>
      </w:r>
      <w:proofErr w:type="spellEnd"/>
      <w:r w:rsidRPr="00466806">
        <w:rPr>
          <w:rFonts w:ascii="Book Antiqua" w:eastAsia="SimSun" w:hAnsi="Book Antiqua" w:cs="Times New Roman"/>
          <w:b/>
          <w:kern w:val="2"/>
          <w:sz w:val="24"/>
          <w:szCs w:val="24"/>
          <w:lang w:val="en-US" w:eastAsia="zh-CN"/>
        </w:rPr>
        <w:t xml:space="preserve"> M</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Siersema</w:t>
      </w:r>
      <w:proofErr w:type="spellEnd"/>
      <w:r w:rsidRPr="00466806">
        <w:rPr>
          <w:rFonts w:ascii="Book Antiqua" w:eastAsia="SimSun" w:hAnsi="Book Antiqua" w:cs="Times New Roman"/>
          <w:kern w:val="2"/>
          <w:sz w:val="24"/>
          <w:szCs w:val="24"/>
          <w:lang w:val="en-US" w:eastAsia="zh-CN"/>
        </w:rPr>
        <w:t xml:space="preserve"> PD, </w:t>
      </w:r>
      <w:proofErr w:type="spellStart"/>
      <w:r w:rsidRPr="00466806">
        <w:rPr>
          <w:rFonts w:ascii="Book Antiqua" w:eastAsia="SimSun" w:hAnsi="Book Antiqua" w:cs="Times New Roman"/>
          <w:kern w:val="2"/>
          <w:sz w:val="24"/>
          <w:szCs w:val="24"/>
          <w:lang w:val="en-US" w:eastAsia="zh-CN"/>
        </w:rPr>
        <w:t>Overvad</w:t>
      </w:r>
      <w:proofErr w:type="spellEnd"/>
      <w:r w:rsidRPr="00466806">
        <w:rPr>
          <w:rFonts w:ascii="Book Antiqua" w:eastAsia="SimSun" w:hAnsi="Book Antiqua" w:cs="Times New Roman"/>
          <w:kern w:val="2"/>
          <w:sz w:val="24"/>
          <w:szCs w:val="24"/>
          <w:lang w:val="en-US" w:eastAsia="zh-CN"/>
        </w:rPr>
        <w:t xml:space="preserve"> K, </w:t>
      </w:r>
      <w:proofErr w:type="spellStart"/>
      <w:r w:rsidRPr="00466806">
        <w:rPr>
          <w:rFonts w:ascii="Book Antiqua" w:eastAsia="SimSun" w:hAnsi="Book Antiqua" w:cs="Times New Roman"/>
          <w:kern w:val="2"/>
          <w:sz w:val="24"/>
          <w:szCs w:val="24"/>
          <w:lang w:val="en-US" w:eastAsia="zh-CN"/>
        </w:rPr>
        <w:t>Tjønneland</w:t>
      </w:r>
      <w:proofErr w:type="spellEnd"/>
      <w:r w:rsidRPr="00466806">
        <w:rPr>
          <w:rFonts w:ascii="Book Antiqua" w:eastAsia="SimSun" w:hAnsi="Book Antiqua" w:cs="Times New Roman"/>
          <w:kern w:val="2"/>
          <w:sz w:val="24"/>
          <w:szCs w:val="24"/>
          <w:lang w:val="en-US" w:eastAsia="zh-CN"/>
        </w:rPr>
        <w:t xml:space="preserve"> A, Olsen A, </w:t>
      </w:r>
      <w:proofErr w:type="spellStart"/>
      <w:r w:rsidRPr="00466806">
        <w:rPr>
          <w:rFonts w:ascii="Book Antiqua" w:eastAsia="SimSun" w:hAnsi="Book Antiqua" w:cs="Times New Roman"/>
          <w:kern w:val="2"/>
          <w:sz w:val="24"/>
          <w:szCs w:val="24"/>
          <w:lang w:val="en-US" w:eastAsia="zh-CN"/>
        </w:rPr>
        <w:t>Boutron-Ruault</w:t>
      </w:r>
      <w:proofErr w:type="spellEnd"/>
      <w:r w:rsidRPr="00466806">
        <w:rPr>
          <w:rFonts w:ascii="Book Antiqua" w:eastAsia="SimSun" w:hAnsi="Book Antiqua" w:cs="Times New Roman"/>
          <w:kern w:val="2"/>
          <w:sz w:val="24"/>
          <w:szCs w:val="24"/>
          <w:lang w:val="en-US" w:eastAsia="zh-CN"/>
        </w:rPr>
        <w:t xml:space="preserve"> MC, </w:t>
      </w:r>
      <w:proofErr w:type="spellStart"/>
      <w:r w:rsidRPr="00466806">
        <w:rPr>
          <w:rFonts w:ascii="Book Antiqua" w:eastAsia="SimSun" w:hAnsi="Book Antiqua" w:cs="Times New Roman"/>
          <w:kern w:val="2"/>
          <w:sz w:val="24"/>
          <w:szCs w:val="24"/>
          <w:lang w:val="en-US" w:eastAsia="zh-CN"/>
        </w:rPr>
        <w:t>Bastide</w:t>
      </w:r>
      <w:proofErr w:type="spellEnd"/>
      <w:r w:rsidRPr="00466806">
        <w:rPr>
          <w:rFonts w:ascii="Book Antiqua" w:eastAsia="SimSun" w:hAnsi="Book Antiqua" w:cs="Times New Roman"/>
          <w:kern w:val="2"/>
          <w:sz w:val="24"/>
          <w:szCs w:val="24"/>
          <w:lang w:val="en-US" w:eastAsia="zh-CN"/>
        </w:rPr>
        <w:t xml:space="preserve"> N, </w:t>
      </w:r>
      <w:proofErr w:type="spellStart"/>
      <w:r w:rsidRPr="00466806">
        <w:rPr>
          <w:rFonts w:ascii="Book Antiqua" w:eastAsia="SimSun" w:hAnsi="Book Antiqua" w:cs="Times New Roman"/>
          <w:kern w:val="2"/>
          <w:sz w:val="24"/>
          <w:szCs w:val="24"/>
          <w:lang w:val="en-US" w:eastAsia="zh-CN"/>
        </w:rPr>
        <w:t>Fagherazzi</w:t>
      </w:r>
      <w:proofErr w:type="spellEnd"/>
      <w:r w:rsidRPr="00466806">
        <w:rPr>
          <w:rFonts w:ascii="Book Antiqua" w:eastAsia="SimSun" w:hAnsi="Book Antiqua" w:cs="Times New Roman"/>
          <w:kern w:val="2"/>
          <w:sz w:val="24"/>
          <w:szCs w:val="24"/>
          <w:lang w:val="en-US" w:eastAsia="zh-CN"/>
        </w:rPr>
        <w:t xml:space="preserve"> G, </w:t>
      </w:r>
      <w:proofErr w:type="spellStart"/>
      <w:r w:rsidRPr="00466806">
        <w:rPr>
          <w:rFonts w:ascii="Book Antiqua" w:eastAsia="SimSun" w:hAnsi="Book Antiqua" w:cs="Times New Roman"/>
          <w:kern w:val="2"/>
          <w:sz w:val="24"/>
          <w:szCs w:val="24"/>
          <w:lang w:val="en-US" w:eastAsia="zh-CN"/>
        </w:rPr>
        <w:t>Katzke</w:t>
      </w:r>
      <w:proofErr w:type="spellEnd"/>
      <w:r w:rsidRPr="00466806">
        <w:rPr>
          <w:rFonts w:ascii="Book Antiqua" w:eastAsia="SimSun" w:hAnsi="Book Antiqua" w:cs="Times New Roman"/>
          <w:kern w:val="2"/>
          <w:sz w:val="24"/>
          <w:szCs w:val="24"/>
          <w:lang w:val="en-US" w:eastAsia="zh-CN"/>
        </w:rPr>
        <w:t xml:space="preserve"> V, </w:t>
      </w:r>
      <w:proofErr w:type="spellStart"/>
      <w:r w:rsidRPr="00466806">
        <w:rPr>
          <w:rFonts w:ascii="Book Antiqua" w:eastAsia="SimSun" w:hAnsi="Book Antiqua" w:cs="Times New Roman"/>
          <w:kern w:val="2"/>
          <w:sz w:val="24"/>
          <w:szCs w:val="24"/>
          <w:lang w:val="en-US" w:eastAsia="zh-CN"/>
        </w:rPr>
        <w:t>Kühn</w:t>
      </w:r>
      <w:proofErr w:type="spellEnd"/>
      <w:r w:rsidRPr="00466806">
        <w:rPr>
          <w:rFonts w:ascii="Book Antiqua" w:eastAsia="SimSun" w:hAnsi="Book Antiqua" w:cs="Times New Roman"/>
          <w:kern w:val="2"/>
          <w:sz w:val="24"/>
          <w:szCs w:val="24"/>
          <w:lang w:val="en-US" w:eastAsia="zh-CN"/>
        </w:rPr>
        <w:t xml:space="preserve"> T, Boeing H, </w:t>
      </w:r>
      <w:proofErr w:type="spellStart"/>
      <w:r w:rsidRPr="00466806">
        <w:rPr>
          <w:rFonts w:ascii="Book Antiqua" w:eastAsia="SimSun" w:hAnsi="Book Antiqua" w:cs="Times New Roman"/>
          <w:kern w:val="2"/>
          <w:sz w:val="24"/>
          <w:szCs w:val="24"/>
          <w:lang w:val="en-US" w:eastAsia="zh-CN"/>
        </w:rPr>
        <w:t>Aleksandrova</w:t>
      </w:r>
      <w:proofErr w:type="spellEnd"/>
      <w:r w:rsidRPr="00466806">
        <w:rPr>
          <w:rFonts w:ascii="Book Antiqua" w:eastAsia="SimSun" w:hAnsi="Book Antiqua" w:cs="Times New Roman"/>
          <w:kern w:val="2"/>
          <w:sz w:val="24"/>
          <w:szCs w:val="24"/>
          <w:lang w:val="en-US" w:eastAsia="zh-CN"/>
        </w:rPr>
        <w:t xml:space="preserve"> K, </w:t>
      </w:r>
      <w:proofErr w:type="spellStart"/>
      <w:r w:rsidRPr="00466806">
        <w:rPr>
          <w:rFonts w:ascii="Book Antiqua" w:eastAsia="SimSun" w:hAnsi="Book Antiqua" w:cs="Times New Roman"/>
          <w:kern w:val="2"/>
          <w:sz w:val="24"/>
          <w:szCs w:val="24"/>
          <w:lang w:val="en-US" w:eastAsia="zh-CN"/>
        </w:rPr>
        <w:t>Trichopoulou</w:t>
      </w:r>
      <w:proofErr w:type="spellEnd"/>
      <w:r w:rsidRPr="00466806">
        <w:rPr>
          <w:rFonts w:ascii="Book Antiqua" w:eastAsia="SimSun" w:hAnsi="Book Antiqua" w:cs="Times New Roman"/>
          <w:kern w:val="2"/>
          <w:sz w:val="24"/>
          <w:szCs w:val="24"/>
          <w:lang w:val="en-US" w:eastAsia="zh-CN"/>
        </w:rPr>
        <w:t xml:space="preserve"> A, </w:t>
      </w:r>
      <w:proofErr w:type="spellStart"/>
      <w:r w:rsidRPr="00466806">
        <w:rPr>
          <w:rFonts w:ascii="Book Antiqua" w:eastAsia="SimSun" w:hAnsi="Book Antiqua" w:cs="Times New Roman"/>
          <w:kern w:val="2"/>
          <w:sz w:val="24"/>
          <w:szCs w:val="24"/>
          <w:lang w:val="en-US" w:eastAsia="zh-CN"/>
        </w:rPr>
        <w:lastRenderedPageBreak/>
        <w:t>Lagiou</w:t>
      </w:r>
      <w:proofErr w:type="spellEnd"/>
      <w:r w:rsidRPr="00466806">
        <w:rPr>
          <w:rFonts w:ascii="Book Antiqua" w:eastAsia="SimSun" w:hAnsi="Book Antiqua" w:cs="Times New Roman"/>
          <w:kern w:val="2"/>
          <w:sz w:val="24"/>
          <w:szCs w:val="24"/>
          <w:lang w:val="en-US" w:eastAsia="zh-CN"/>
        </w:rPr>
        <w:t xml:space="preserve"> P, </w:t>
      </w:r>
      <w:proofErr w:type="spellStart"/>
      <w:r w:rsidRPr="00466806">
        <w:rPr>
          <w:rFonts w:ascii="Book Antiqua" w:eastAsia="SimSun" w:hAnsi="Book Antiqua" w:cs="Times New Roman"/>
          <w:kern w:val="2"/>
          <w:sz w:val="24"/>
          <w:szCs w:val="24"/>
          <w:lang w:val="en-US" w:eastAsia="zh-CN"/>
        </w:rPr>
        <w:t>Klinaki</w:t>
      </w:r>
      <w:proofErr w:type="spellEnd"/>
      <w:r w:rsidRPr="00466806">
        <w:rPr>
          <w:rFonts w:ascii="Book Antiqua" w:eastAsia="SimSun" w:hAnsi="Book Antiqua" w:cs="Times New Roman"/>
          <w:kern w:val="2"/>
          <w:sz w:val="24"/>
          <w:szCs w:val="24"/>
          <w:lang w:val="en-US" w:eastAsia="zh-CN"/>
        </w:rPr>
        <w:t xml:space="preserve"> E, Masala G, </w:t>
      </w:r>
      <w:proofErr w:type="spellStart"/>
      <w:r w:rsidRPr="00466806">
        <w:rPr>
          <w:rFonts w:ascii="Book Antiqua" w:eastAsia="SimSun" w:hAnsi="Book Antiqua" w:cs="Times New Roman"/>
          <w:kern w:val="2"/>
          <w:sz w:val="24"/>
          <w:szCs w:val="24"/>
          <w:lang w:val="en-US" w:eastAsia="zh-CN"/>
        </w:rPr>
        <w:t>Grioni</w:t>
      </w:r>
      <w:proofErr w:type="spellEnd"/>
      <w:r w:rsidRPr="00466806">
        <w:rPr>
          <w:rFonts w:ascii="Book Antiqua" w:eastAsia="SimSun" w:hAnsi="Book Antiqua" w:cs="Times New Roman"/>
          <w:kern w:val="2"/>
          <w:sz w:val="24"/>
          <w:szCs w:val="24"/>
          <w:lang w:val="en-US" w:eastAsia="zh-CN"/>
        </w:rPr>
        <w:t xml:space="preserve"> S, </w:t>
      </w:r>
      <w:proofErr w:type="spellStart"/>
      <w:r w:rsidRPr="00466806">
        <w:rPr>
          <w:rFonts w:ascii="Book Antiqua" w:eastAsia="SimSun" w:hAnsi="Book Antiqua" w:cs="Times New Roman"/>
          <w:kern w:val="2"/>
          <w:sz w:val="24"/>
          <w:szCs w:val="24"/>
          <w:lang w:val="en-US" w:eastAsia="zh-CN"/>
        </w:rPr>
        <w:t>Santucci</w:t>
      </w:r>
      <w:proofErr w:type="spellEnd"/>
      <w:r w:rsidRPr="00466806">
        <w:rPr>
          <w:rFonts w:ascii="Book Antiqua" w:eastAsia="SimSun" w:hAnsi="Book Antiqua" w:cs="Times New Roman"/>
          <w:kern w:val="2"/>
          <w:sz w:val="24"/>
          <w:szCs w:val="24"/>
          <w:lang w:val="en-US" w:eastAsia="zh-CN"/>
        </w:rPr>
        <w:t xml:space="preserve"> De </w:t>
      </w:r>
      <w:proofErr w:type="spellStart"/>
      <w:r w:rsidRPr="00466806">
        <w:rPr>
          <w:rFonts w:ascii="Book Antiqua" w:eastAsia="SimSun" w:hAnsi="Book Antiqua" w:cs="Times New Roman"/>
          <w:kern w:val="2"/>
          <w:sz w:val="24"/>
          <w:szCs w:val="24"/>
          <w:lang w:val="en-US" w:eastAsia="zh-CN"/>
        </w:rPr>
        <w:t>Magistris</w:t>
      </w:r>
      <w:proofErr w:type="spellEnd"/>
      <w:r w:rsidRPr="00466806">
        <w:rPr>
          <w:rFonts w:ascii="Book Antiqua" w:eastAsia="SimSun" w:hAnsi="Book Antiqua" w:cs="Times New Roman"/>
          <w:kern w:val="2"/>
          <w:sz w:val="24"/>
          <w:szCs w:val="24"/>
          <w:lang w:val="en-US" w:eastAsia="zh-CN"/>
        </w:rPr>
        <w:t xml:space="preserve"> M, </w:t>
      </w:r>
      <w:proofErr w:type="spellStart"/>
      <w:r w:rsidRPr="00466806">
        <w:rPr>
          <w:rFonts w:ascii="Book Antiqua" w:eastAsia="SimSun" w:hAnsi="Book Antiqua" w:cs="Times New Roman"/>
          <w:kern w:val="2"/>
          <w:sz w:val="24"/>
          <w:szCs w:val="24"/>
          <w:lang w:val="en-US" w:eastAsia="zh-CN"/>
        </w:rPr>
        <w:t>Tumino</w:t>
      </w:r>
      <w:proofErr w:type="spellEnd"/>
      <w:r w:rsidRPr="00466806">
        <w:rPr>
          <w:rFonts w:ascii="Book Antiqua" w:eastAsia="SimSun" w:hAnsi="Book Antiqua" w:cs="Times New Roman"/>
          <w:kern w:val="2"/>
          <w:sz w:val="24"/>
          <w:szCs w:val="24"/>
          <w:lang w:val="en-US" w:eastAsia="zh-CN"/>
        </w:rPr>
        <w:t xml:space="preserve"> R, </w:t>
      </w:r>
      <w:proofErr w:type="spellStart"/>
      <w:r w:rsidRPr="00466806">
        <w:rPr>
          <w:rFonts w:ascii="Book Antiqua" w:eastAsia="SimSun" w:hAnsi="Book Antiqua" w:cs="Times New Roman"/>
          <w:kern w:val="2"/>
          <w:sz w:val="24"/>
          <w:szCs w:val="24"/>
          <w:lang w:val="en-US" w:eastAsia="zh-CN"/>
        </w:rPr>
        <w:t>Ricceri</w:t>
      </w:r>
      <w:proofErr w:type="spellEnd"/>
      <w:r w:rsidRPr="00466806">
        <w:rPr>
          <w:rFonts w:ascii="Book Antiqua" w:eastAsia="SimSun" w:hAnsi="Book Antiqua" w:cs="Times New Roman"/>
          <w:kern w:val="2"/>
          <w:sz w:val="24"/>
          <w:szCs w:val="24"/>
          <w:lang w:val="en-US" w:eastAsia="zh-CN"/>
        </w:rPr>
        <w:t xml:space="preserve"> F, </w:t>
      </w:r>
      <w:proofErr w:type="spellStart"/>
      <w:r w:rsidRPr="00466806">
        <w:rPr>
          <w:rFonts w:ascii="Book Antiqua" w:eastAsia="SimSun" w:hAnsi="Book Antiqua" w:cs="Times New Roman"/>
          <w:kern w:val="2"/>
          <w:sz w:val="24"/>
          <w:szCs w:val="24"/>
          <w:lang w:val="en-US" w:eastAsia="zh-CN"/>
        </w:rPr>
        <w:t>Peeters</w:t>
      </w:r>
      <w:proofErr w:type="spellEnd"/>
      <w:r w:rsidRPr="00466806">
        <w:rPr>
          <w:rFonts w:ascii="Book Antiqua" w:eastAsia="SimSun" w:hAnsi="Book Antiqua" w:cs="Times New Roman"/>
          <w:kern w:val="2"/>
          <w:sz w:val="24"/>
          <w:szCs w:val="24"/>
          <w:lang w:val="en-US" w:eastAsia="zh-CN"/>
        </w:rPr>
        <w:t xml:space="preserve"> PH, Lund E, </w:t>
      </w:r>
      <w:proofErr w:type="spellStart"/>
      <w:r w:rsidRPr="00466806">
        <w:rPr>
          <w:rFonts w:ascii="Book Antiqua" w:eastAsia="SimSun" w:hAnsi="Book Antiqua" w:cs="Times New Roman"/>
          <w:kern w:val="2"/>
          <w:sz w:val="24"/>
          <w:szCs w:val="24"/>
          <w:lang w:val="en-US" w:eastAsia="zh-CN"/>
        </w:rPr>
        <w:t>Skeie</w:t>
      </w:r>
      <w:proofErr w:type="spellEnd"/>
      <w:r w:rsidRPr="00466806">
        <w:rPr>
          <w:rFonts w:ascii="Book Antiqua" w:eastAsia="SimSun" w:hAnsi="Book Antiqua" w:cs="Times New Roman"/>
          <w:kern w:val="2"/>
          <w:sz w:val="24"/>
          <w:szCs w:val="24"/>
          <w:lang w:val="en-US" w:eastAsia="zh-CN"/>
        </w:rPr>
        <w:t xml:space="preserve"> G, </w:t>
      </w:r>
      <w:proofErr w:type="spellStart"/>
      <w:r w:rsidRPr="00466806">
        <w:rPr>
          <w:rFonts w:ascii="Book Antiqua" w:eastAsia="SimSun" w:hAnsi="Book Antiqua" w:cs="Times New Roman"/>
          <w:kern w:val="2"/>
          <w:sz w:val="24"/>
          <w:szCs w:val="24"/>
          <w:lang w:val="en-US" w:eastAsia="zh-CN"/>
        </w:rPr>
        <w:t>Weiderpass</w:t>
      </w:r>
      <w:proofErr w:type="spellEnd"/>
      <w:r w:rsidRPr="00466806">
        <w:rPr>
          <w:rFonts w:ascii="Book Antiqua" w:eastAsia="SimSun" w:hAnsi="Book Antiqua" w:cs="Times New Roman"/>
          <w:kern w:val="2"/>
          <w:sz w:val="24"/>
          <w:szCs w:val="24"/>
          <w:lang w:val="en-US" w:eastAsia="zh-CN"/>
        </w:rPr>
        <w:t xml:space="preserve"> E, </w:t>
      </w:r>
      <w:proofErr w:type="spellStart"/>
      <w:r w:rsidRPr="00466806">
        <w:rPr>
          <w:rFonts w:ascii="Book Antiqua" w:eastAsia="SimSun" w:hAnsi="Book Antiqua" w:cs="Times New Roman"/>
          <w:kern w:val="2"/>
          <w:sz w:val="24"/>
          <w:szCs w:val="24"/>
          <w:lang w:val="en-US" w:eastAsia="zh-CN"/>
        </w:rPr>
        <w:t>Quirós</w:t>
      </w:r>
      <w:proofErr w:type="spellEnd"/>
      <w:r w:rsidRPr="00466806">
        <w:rPr>
          <w:rFonts w:ascii="Book Antiqua" w:eastAsia="SimSun" w:hAnsi="Book Antiqua" w:cs="Times New Roman"/>
          <w:kern w:val="2"/>
          <w:sz w:val="24"/>
          <w:szCs w:val="24"/>
          <w:lang w:val="en-US" w:eastAsia="zh-CN"/>
        </w:rPr>
        <w:t xml:space="preserve"> JR, </w:t>
      </w:r>
      <w:proofErr w:type="spellStart"/>
      <w:r w:rsidRPr="00466806">
        <w:rPr>
          <w:rFonts w:ascii="Book Antiqua" w:eastAsia="SimSun" w:hAnsi="Book Antiqua" w:cs="Times New Roman"/>
          <w:kern w:val="2"/>
          <w:sz w:val="24"/>
          <w:szCs w:val="24"/>
          <w:lang w:val="en-US" w:eastAsia="zh-CN"/>
        </w:rPr>
        <w:t>Agudo</w:t>
      </w:r>
      <w:proofErr w:type="spellEnd"/>
      <w:r w:rsidRPr="00466806">
        <w:rPr>
          <w:rFonts w:ascii="Book Antiqua" w:eastAsia="SimSun" w:hAnsi="Book Antiqua" w:cs="Times New Roman"/>
          <w:kern w:val="2"/>
          <w:sz w:val="24"/>
          <w:szCs w:val="24"/>
          <w:lang w:val="en-US" w:eastAsia="zh-CN"/>
        </w:rPr>
        <w:t xml:space="preserve"> A, Sánchez MJ, </w:t>
      </w:r>
      <w:proofErr w:type="spellStart"/>
      <w:r w:rsidRPr="00466806">
        <w:rPr>
          <w:rFonts w:ascii="Book Antiqua" w:eastAsia="SimSun" w:hAnsi="Book Antiqua" w:cs="Times New Roman"/>
          <w:kern w:val="2"/>
          <w:sz w:val="24"/>
          <w:szCs w:val="24"/>
          <w:lang w:val="en-US" w:eastAsia="zh-CN"/>
        </w:rPr>
        <w:t>Dorronsoro</w:t>
      </w:r>
      <w:proofErr w:type="spellEnd"/>
      <w:r w:rsidRPr="00466806">
        <w:rPr>
          <w:rFonts w:ascii="Book Antiqua" w:eastAsia="SimSun" w:hAnsi="Book Antiqua" w:cs="Times New Roman"/>
          <w:kern w:val="2"/>
          <w:sz w:val="24"/>
          <w:szCs w:val="24"/>
          <w:lang w:val="en-US" w:eastAsia="zh-CN"/>
        </w:rPr>
        <w:t xml:space="preserve"> M, Navarro C, </w:t>
      </w:r>
      <w:proofErr w:type="spellStart"/>
      <w:r w:rsidRPr="00466806">
        <w:rPr>
          <w:rFonts w:ascii="Book Antiqua" w:eastAsia="SimSun" w:hAnsi="Book Antiqua" w:cs="Times New Roman"/>
          <w:kern w:val="2"/>
          <w:sz w:val="24"/>
          <w:szCs w:val="24"/>
          <w:lang w:val="en-US" w:eastAsia="zh-CN"/>
        </w:rPr>
        <w:t>Ardanaz</w:t>
      </w:r>
      <w:proofErr w:type="spellEnd"/>
      <w:r w:rsidRPr="00466806">
        <w:rPr>
          <w:rFonts w:ascii="Book Antiqua" w:eastAsia="SimSun" w:hAnsi="Book Antiqua" w:cs="Times New Roman"/>
          <w:kern w:val="2"/>
          <w:sz w:val="24"/>
          <w:szCs w:val="24"/>
          <w:lang w:val="en-US" w:eastAsia="zh-CN"/>
        </w:rPr>
        <w:t xml:space="preserve"> E, </w:t>
      </w:r>
      <w:proofErr w:type="spellStart"/>
      <w:r w:rsidRPr="00466806">
        <w:rPr>
          <w:rFonts w:ascii="Book Antiqua" w:eastAsia="SimSun" w:hAnsi="Book Antiqua" w:cs="Times New Roman"/>
          <w:kern w:val="2"/>
          <w:sz w:val="24"/>
          <w:szCs w:val="24"/>
          <w:lang w:val="en-US" w:eastAsia="zh-CN"/>
        </w:rPr>
        <w:t>Ohlsson</w:t>
      </w:r>
      <w:proofErr w:type="spellEnd"/>
      <w:r w:rsidRPr="00466806">
        <w:rPr>
          <w:rFonts w:ascii="Book Antiqua" w:eastAsia="SimSun" w:hAnsi="Book Antiqua" w:cs="Times New Roman"/>
          <w:kern w:val="2"/>
          <w:sz w:val="24"/>
          <w:szCs w:val="24"/>
          <w:lang w:val="en-US" w:eastAsia="zh-CN"/>
        </w:rPr>
        <w:t xml:space="preserve"> B, </w:t>
      </w:r>
      <w:proofErr w:type="spellStart"/>
      <w:r w:rsidRPr="00466806">
        <w:rPr>
          <w:rFonts w:ascii="Book Antiqua" w:eastAsia="SimSun" w:hAnsi="Book Antiqua" w:cs="Times New Roman"/>
          <w:kern w:val="2"/>
          <w:sz w:val="24"/>
          <w:szCs w:val="24"/>
          <w:lang w:val="en-US" w:eastAsia="zh-CN"/>
        </w:rPr>
        <w:t>Jirström</w:t>
      </w:r>
      <w:proofErr w:type="spellEnd"/>
      <w:r w:rsidRPr="00466806">
        <w:rPr>
          <w:rFonts w:ascii="Book Antiqua" w:eastAsia="SimSun" w:hAnsi="Book Antiqua" w:cs="Times New Roman"/>
          <w:kern w:val="2"/>
          <w:sz w:val="24"/>
          <w:szCs w:val="24"/>
          <w:lang w:val="en-US" w:eastAsia="zh-CN"/>
        </w:rPr>
        <w:t xml:space="preserve"> K, Van </w:t>
      </w:r>
      <w:proofErr w:type="spellStart"/>
      <w:r w:rsidRPr="00466806">
        <w:rPr>
          <w:rFonts w:ascii="Book Antiqua" w:eastAsia="SimSun" w:hAnsi="Book Antiqua" w:cs="Times New Roman"/>
          <w:kern w:val="2"/>
          <w:sz w:val="24"/>
          <w:szCs w:val="24"/>
          <w:lang w:val="en-US" w:eastAsia="zh-CN"/>
        </w:rPr>
        <w:t>Guelpen</w:t>
      </w:r>
      <w:proofErr w:type="spellEnd"/>
      <w:r w:rsidRPr="00466806">
        <w:rPr>
          <w:rFonts w:ascii="Book Antiqua" w:eastAsia="SimSun" w:hAnsi="Book Antiqua" w:cs="Times New Roman"/>
          <w:kern w:val="2"/>
          <w:sz w:val="24"/>
          <w:szCs w:val="24"/>
          <w:lang w:val="en-US" w:eastAsia="zh-CN"/>
        </w:rPr>
        <w:t xml:space="preserve"> B, </w:t>
      </w:r>
      <w:proofErr w:type="spellStart"/>
      <w:r w:rsidRPr="00466806">
        <w:rPr>
          <w:rFonts w:ascii="Book Antiqua" w:eastAsia="SimSun" w:hAnsi="Book Antiqua" w:cs="Times New Roman"/>
          <w:kern w:val="2"/>
          <w:sz w:val="24"/>
          <w:szCs w:val="24"/>
          <w:lang w:val="en-US" w:eastAsia="zh-CN"/>
        </w:rPr>
        <w:t>Wennberg</w:t>
      </w:r>
      <w:proofErr w:type="spellEnd"/>
      <w:r w:rsidRPr="00466806">
        <w:rPr>
          <w:rFonts w:ascii="Book Antiqua" w:eastAsia="SimSun" w:hAnsi="Book Antiqua" w:cs="Times New Roman"/>
          <w:kern w:val="2"/>
          <w:sz w:val="24"/>
          <w:szCs w:val="24"/>
          <w:lang w:val="en-US" w:eastAsia="zh-CN"/>
        </w:rPr>
        <w:t xml:space="preserve"> M, </w:t>
      </w:r>
      <w:proofErr w:type="spellStart"/>
      <w:r w:rsidRPr="00466806">
        <w:rPr>
          <w:rFonts w:ascii="Book Antiqua" w:eastAsia="SimSun" w:hAnsi="Book Antiqua" w:cs="Times New Roman"/>
          <w:kern w:val="2"/>
          <w:sz w:val="24"/>
          <w:szCs w:val="24"/>
          <w:lang w:val="en-US" w:eastAsia="zh-CN"/>
        </w:rPr>
        <w:t>Khaw</w:t>
      </w:r>
      <w:proofErr w:type="spellEnd"/>
      <w:r w:rsidRPr="00466806">
        <w:rPr>
          <w:rFonts w:ascii="Book Antiqua" w:eastAsia="SimSun" w:hAnsi="Book Antiqua" w:cs="Times New Roman"/>
          <w:kern w:val="2"/>
          <w:sz w:val="24"/>
          <w:szCs w:val="24"/>
          <w:lang w:val="en-US" w:eastAsia="zh-CN"/>
        </w:rPr>
        <w:t xml:space="preserve"> KT, Wareham N, Key TJ, </w:t>
      </w:r>
      <w:proofErr w:type="spellStart"/>
      <w:r w:rsidRPr="00466806">
        <w:rPr>
          <w:rFonts w:ascii="Book Antiqua" w:eastAsia="SimSun" w:hAnsi="Book Antiqua" w:cs="Times New Roman"/>
          <w:kern w:val="2"/>
          <w:sz w:val="24"/>
          <w:szCs w:val="24"/>
          <w:lang w:val="en-US" w:eastAsia="zh-CN"/>
        </w:rPr>
        <w:t>Romieu</w:t>
      </w:r>
      <w:proofErr w:type="spellEnd"/>
      <w:r w:rsidRPr="00466806">
        <w:rPr>
          <w:rFonts w:ascii="Book Antiqua" w:eastAsia="SimSun" w:hAnsi="Book Antiqua" w:cs="Times New Roman"/>
          <w:kern w:val="2"/>
          <w:sz w:val="24"/>
          <w:szCs w:val="24"/>
          <w:lang w:val="en-US" w:eastAsia="zh-CN"/>
        </w:rPr>
        <w:t xml:space="preserve"> I, </w:t>
      </w:r>
      <w:proofErr w:type="spellStart"/>
      <w:r w:rsidRPr="00466806">
        <w:rPr>
          <w:rFonts w:ascii="Book Antiqua" w:eastAsia="SimSun" w:hAnsi="Book Antiqua" w:cs="Times New Roman"/>
          <w:kern w:val="2"/>
          <w:sz w:val="24"/>
          <w:szCs w:val="24"/>
          <w:lang w:val="en-US" w:eastAsia="zh-CN"/>
        </w:rPr>
        <w:t>Huybrechts</w:t>
      </w:r>
      <w:proofErr w:type="spellEnd"/>
      <w:r w:rsidRPr="00466806">
        <w:rPr>
          <w:rFonts w:ascii="Book Antiqua" w:eastAsia="SimSun" w:hAnsi="Book Antiqua" w:cs="Times New Roman"/>
          <w:kern w:val="2"/>
          <w:sz w:val="24"/>
          <w:szCs w:val="24"/>
          <w:lang w:val="en-US" w:eastAsia="zh-CN"/>
        </w:rPr>
        <w:t xml:space="preserve"> I, Cross AJ, Murphy N, </w:t>
      </w:r>
      <w:proofErr w:type="spellStart"/>
      <w:r w:rsidRPr="00466806">
        <w:rPr>
          <w:rFonts w:ascii="Book Antiqua" w:eastAsia="SimSun" w:hAnsi="Book Antiqua" w:cs="Times New Roman"/>
          <w:kern w:val="2"/>
          <w:sz w:val="24"/>
          <w:szCs w:val="24"/>
          <w:lang w:val="en-US" w:eastAsia="zh-CN"/>
        </w:rPr>
        <w:t>Riboli</w:t>
      </w:r>
      <w:proofErr w:type="spellEnd"/>
      <w:r w:rsidRPr="00466806">
        <w:rPr>
          <w:rFonts w:ascii="Book Antiqua" w:eastAsia="SimSun" w:hAnsi="Book Antiqua" w:cs="Times New Roman"/>
          <w:kern w:val="2"/>
          <w:sz w:val="24"/>
          <w:szCs w:val="24"/>
          <w:lang w:val="en-US" w:eastAsia="zh-CN"/>
        </w:rPr>
        <w:t xml:space="preserve"> E, Bueno-de-</w:t>
      </w:r>
      <w:proofErr w:type="spellStart"/>
      <w:r w:rsidRPr="00466806">
        <w:rPr>
          <w:rFonts w:ascii="Book Antiqua" w:eastAsia="SimSun" w:hAnsi="Book Antiqua" w:cs="Times New Roman"/>
          <w:kern w:val="2"/>
          <w:sz w:val="24"/>
          <w:szCs w:val="24"/>
          <w:lang w:val="en-US" w:eastAsia="zh-CN"/>
        </w:rPr>
        <w:t>Mesquita</w:t>
      </w:r>
      <w:proofErr w:type="spellEnd"/>
      <w:r w:rsidRPr="00466806">
        <w:rPr>
          <w:rFonts w:ascii="Book Antiqua" w:eastAsia="SimSun" w:hAnsi="Book Antiqua" w:cs="Times New Roman"/>
          <w:kern w:val="2"/>
          <w:sz w:val="24"/>
          <w:szCs w:val="24"/>
          <w:lang w:val="en-US" w:eastAsia="zh-CN"/>
        </w:rPr>
        <w:t xml:space="preserve"> HB.</w:t>
      </w:r>
      <w:proofErr w:type="gramEnd"/>
      <w:r w:rsidRPr="00466806">
        <w:rPr>
          <w:rFonts w:ascii="Book Antiqua" w:eastAsia="SimSun" w:hAnsi="Book Antiqua" w:cs="Times New Roman"/>
          <w:kern w:val="2"/>
          <w:sz w:val="24"/>
          <w:szCs w:val="24"/>
          <w:lang w:val="en-US" w:eastAsia="zh-CN"/>
        </w:rPr>
        <w:t xml:space="preserve"> Subtypes of fruit and vegetables, variety in consumption and risk of colon and rectal cancer in the European Prospective Investigation into Cancer and Nutrition. </w:t>
      </w:r>
      <w:proofErr w:type="spellStart"/>
      <w:r w:rsidRPr="00466806">
        <w:rPr>
          <w:rFonts w:ascii="Book Antiqua" w:eastAsia="SimSun" w:hAnsi="Book Antiqua" w:cs="Times New Roman"/>
          <w:i/>
          <w:kern w:val="2"/>
          <w:sz w:val="24"/>
          <w:szCs w:val="24"/>
          <w:lang w:val="en-US" w:eastAsia="zh-CN"/>
        </w:rPr>
        <w:t>Int</w:t>
      </w:r>
      <w:proofErr w:type="spellEnd"/>
      <w:r w:rsidRPr="00466806">
        <w:rPr>
          <w:rFonts w:ascii="Book Antiqua" w:eastAsia="SimSun" w:hAnsi="Book Antiqua" w:cs="Times New Roman"/>
          <w:i/>
          <w:kern w:val="2"/>
          <w:sz w:val="24"/>
          <w:szCs w:val="24"/>
          <w:lang w:val="en-US" w:eastAsia="zh-CN"/>
        </w:rPr>
        <w:t xml:space="preserve"> J Cancer</w:t>
      </w:r>
      <w:r w:rsidRPr="00466806">
        <w:rPr>
          <w:rFonts w:ascii="Book Antiqua" w:eastAsia="SimSun" w:hAnsi="Book Antiqua" w:cs="Times New Roman"/>
          <w:kern w:val="2"/>
          <w:sz w:val="24"/>
          <w:szCs w:val="24"/>
          <w:lang w:val="en-US" w:eastAsia="zh-CN"/>
        </w:rPr>
        <w:t xml:space="preserve"> 2015; </w:t>
      </w:r>
      <w:r w:rsidRPr="00466806">
        <w:rPr>
          <w:rFonts w:ascii="Book Antiqua" w:eastAsia="SimSun" w:hAnsi="Book Antiqua" w:cs="Times New Roman"/>
          <w:b/>
          <w:kern w:val="2"/>
          <w:sz w:val="24"/>
          <w:szCs w:val="24"/>
          <w:lang w:val="en-US" w:eastAsia="zh-CN"/>
        </w:rPr>
        <w:t>137</w:t>
      </w:r>
      <w:r w:rsidRPr="00466806">
        <w:rPr>
          <w:rFonts w:ascii="Book Antiqua" w:eastAsia="SimSun" w:hAnsi="Book Antiqua" w:cs="Times New Roman"/>
          <w:kern w:val="2"/>
          <w:sz w:val="24"/>
          <w:szCs w:val="24"/>
          <w:lang w:val="en-US" w:eastAsia="zh-CN"/>
        </w:rPr>
        <w:t>: 2705-2714 [PMID: 26077137 DOI: 10.1002/ijc.29640]</w:t>
      </w:r>
    </w:p>
    <w:p w14:paraId="651782BE"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61</w:t>
      </w:r>
      <w:proofErr w:type="gramEnd"/>
      <w:r w:rsidRPr="00466806">
        <w:rPr>
          <w:rFonts w:ascii="Book Antiqua" w:eastAsia="SimSun" w:hAnsi="Book Antiqua" w:cs="Times New Roman"/>
          <w:kern w:val="2"/>
          <w:sz w:val="24"/>
          <w:szCs w:val="24"/>
          <w:lang w:val="en-US" w:eastAsia="zh-CN"/>
        </w:rPr>
        <w:t xml:space="preserve"> </w:t>
      </w:r>
      <w:r w:rsidRPr="00466806">
        <w:rPr>
          <w:rFonts w:ascii="Book Antiqua" w:eastAsia="SimSun" w:hAnsi="Book Antiqua" w:cs="Times New Roman"/>
          <w:b/>
          <w:kern w:val="2"/>
          <w:sz w:val="24"/>
          <w:szCs w:val="24"/>
          <w:lang w:val="en-US" w:eastAsia="zh-CN"/>
        </w:rPr>
        <w:t>Song M</w:t>
      </w:r>
      <w:r w:rsidRPr="00466806">
        <w:rPr>
          <w:rFonts w:ascii="Book Antiqua" w:eastAsia="SimSun" w:hAnsi="Book Antiqua" w:cs="Times New Roman"/>
          <w:kern w:val="2"/>
          <w:sz w:val="24"/>
          <w:szCs w:val="24"/>
          <w:lang w:val="en-US" w:eastAsia="zh-CN"/>
        </w:rPr>
        <w:t xml:space="preserve">, Garrett WS, Chan AT. Nutrients, foods, and colorectal cancer prevention. </w:t>
      </w:r>
      <w:r w:rsidRPr="00466806">
        <w:rPr>
          <w:rFonts w:ascii="Book Antiqua" w:eastAsia="SimSun" w:hAnsi="Book Antiqua" w:cs="Times New Roman"/>
          <w:i/>
          <w:kern w:val="2"/>
          <w:sz w:val="24"/>
          <w:szCs w:val="24"/>
          <w:lang w:val="en-US" w:eastAsia="zh-CN"/>
        </w:rPr>
        <w:t>Gastroenterology</w:t>
      </w:r>
      <w:r w:rsidRPr="00466806">
        <w:rPr>
          <w:rFonts w:ascii="Book Antiqua" w:eastAsia="SimSun" w:hAnsi="Book Antiqua" w:cs="Times New Roman"/>
          <w:kern w:val="2"/>
          <w:sz w:val="24"/>
          <w:szCs w:val="24"/>
          <w:lang w:val="en-US" w:eastAsia="zh-CN"/>
        </w:rPr>
        <w:t xml:space="preserve"> 2015; </w:t>
      </w:r>
      <w:r w:rsidRPr="00466806">
        <w:rPr>
          <w:rFonts w:ascii="Book Antiqua" w:eastAsia="SimSun" w:hAnsi="Book Antiqua" w:cs="Times New Roman"/>
          <w:b/>
          <w:kern w:val="2"/>
          <w:sz w:val="24"/>
          <w:szCs w:val="24"/>
          <w:lang w:val="en-US" w:eastAsia="zh-CN"/>
        </w:rPr>
        <w:t>148</w:t>
      </w:r>
      <w:r w:rsidRPr="00466806">
        <w:rPr>
          <w:rFonts w:ascii="Book Antiqua" w:eastAsia="SimSun" w:hAnsi="Book Antiqua" w:cs="Times New Roman"/>
          <w:kern w:val="2"/>
          <w:sz w:val="24"/>
          <w:szCs w:val="24"/>
          <w:lang w:val="en-US" w:eastAsia="zh-CN"/>
        </w:rPr>
        <w:t>: 1244-60.e16 [PMID: 25575572 DOI: 10.1053/j.gastro.2014.12.035]</w:t>
      </w:r>
    </w:p>
    <w:p w14:paraId="51FF952E"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62</w:t>
      </w:r>
      <w:proofErr w:type="gramEnd"/>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b/>
          <w:kern w:val="2"/>
          <w:sz w:val="24"/>
          <w:szCs w:val="24"/>
          <w:lang w:val="en-US" w:eastAsia="zh-CN"/>
        </w:rPr>
        <w:t>Kaluski</w:t>
      </w:r>
      <w:proofErr w:type="spellEnd"/>
      <w:r w:rsidRPr="00466806">
        <w:rPr>
          <w:rFonts w:ascii="Book Antiqua" w:eastAsia="SimSun" w:hAnsi="Book Antiqua" w:cs="Times New Roman"/>
          <w:b/>
          <w:kern w:val="2"/>
          <w:sz w:val="24"/>
          <w:szCs w:val="24"/>
          <w:lang w:val="en-US" w:eastAsia="zh-CN"/>
        </w:rPr>
        <w:t xml:space="preserve"> DN</w:t>
      </w:r>
      <w:r w:rsidRPr="00466806">
        <w:rPr>
          <w:rFonts w:ascii="Book Antiqua" w:eastAsia="SimSun" w:hAnsi="Book Antiqua" w:cs="Times New Roman"/>
          <w:kern w:val="2"/>
          <w:sz w:val="24"/>
          <w:szCs w:val="24"/>
          <w:lang w:val="en-US" w:eastAsia="zh-CN"/>
        </w:rPr>
        <w:t xml:space="preserve">, Goldsmith R, </w:t>
      </w:r>
      <w:proofErr w:type="spellStart"/>
      <w:r w:rsidRPr="00466806">
        <w:rPr>
          <w:rFonts w:ascii="Book Antiqua" w:eastAsia="SimSun" w:hAnsi="Book Antiqua" w:cs="Times New Roman"/>
          <w:kern w:val="2"/>
          <w:sz w:val="24"/>
          <w:szCs w:val="24"/>
          <w:lang w:val="en-US" w:eastAsia="zh-CN"/>
        </w:rPr>
        <w:t>Arie</w:t>
      </w:r>
      <w:proofErr w:type="spellEnd"/>
      <w:r w:rsidRPr="00466806">
        <w:rPr>
          <w:rFonts w:ascii="Book Antiqua" w:eastAsia="SimSun" w:hAnsi="Book Antiqua" w:cs="Times New Roman"/>
          <w:kern w:val="2"/>
          <w:sz w:val="24"/>
          <w:szCs w:val="24"/>
          <w:lang w:val="en-US" w:eastAsia="zh-CN"/>
        </w:rPr>
        <w:t xml:space="preserve"> OM, Mayer C, Green M. The first Israeli national health and nutrition survey (MABAT) as a policy maker. </w:t>
      </w:r>
      <w:r w:rsidRPr="00466806">
        <w:rPr>
          <w:rFonts w:ascii="Book Antiqua" w:eastAsia="SimSun" w:hAnsi="Book Antiqua" w:cs="Times New Roman"/>
          <w:i/>
          <w:kern w:val="2"/>
          <w:sz w:val="24"/>
          <w:szCs w:val="24"/>
          <w:lang w:val="en-US" w:eastAsia="zh-CN"/>
        </w:rPr>
        <w:t>Public Health Rev</w:t>
      </w:r>
      <w:r w:rsidRPr="00466806">
        <w:rPr>
          <w:rFonts w:ascii="Book Antiqua" w:eastAsia="SimSun" w:hAnsi="Book Antiqua" w:cs="Times New Roman"/>
          <w:kern w:val="2"/>
          <w:sz w:val="24"/>
          <w:szCs w:val="24"/>
          <w:lang w:val="en-US" w:eastAsia="zh-CN"/>
        </w:rPr>
        <w:t xml:space="preserve"> 2000</w:t>
      </w:r>
      <w:proofErr w:type="gramStart"/>
      <w:r w:rsidRPr="00466806">
        <w:rPr>
          <w:rFonts w:ascii="Book Antiqua" w:eastAsia="SimSun" w:hAnsi="Book Antiqua" w:cs="Times New Roman"/>
          <w:kern w:val="2"/>
          <w:sz w:val="24"/>
          <w:szCs w:val="24"/>
          <w:lang w:val="en-US" w:eastAsia="zh-CN"/>
        </w:rPr>
        <w:t>;</w:t>
      </w:r>
      <w:proofErr w:type="gramEnd"/>
      <w:r w:rsidRPr="00466806">
        <w:rPr>
          <w:rFonts w:ascii="Book Antiqua" w:eastAsia="SimSun" w:hAnsi="Book Antiqua" w:cs="Times New Roman"/>
          <w:kern w:val="2"/>
          <w:sz w:val="24"/>
          <w:szCs w:val="24"/>
          <w:lang w:val="en-US" w:eastAsia="zh-CN"/>
        </w:rPr>
        <w:t xml:space="preserve"> </w:t>
      </w:r>
      <w:r w:rsidRPr="00466806">
        <w:rPr>
          <w:rFonts w:ascii="Book Antiqua" w:eastAsia="SimSun" w:hAnsi="Book Antiqua" w:cs="Times New Roman"/>
          <w:b/>
          <w:kern w:val="2"/>
          <w:sz w:val="24"/>
          <w:szCs w:val="24"/>
          <w:lang w:val="en-US" w:eastAsia="zh-CN"/>
        </w:rPr>
        <w:t>28</w:t>
      </w:r>
      <w:r w:rsidRPr="00466806">
        <w:rPr>
          <w:rFonts w:ascii="Book Antiqua" w:eastAsia="SimSun" w:hAnsi="Book Antiqua" w:cs="Times New Roman"/>
          <w:kern w:val="2"/>
          <w:sz w:val="24"/>
          <w:szCs w:val="24"/>
          <w:lang w:val="en-US" w:eastAsia="zh-CN"/>
        </w:rPr>
        <w:t>: 23-26 [PMID: 11411274]</w:t>
      </w:r>
    </w:p>
    <w:p w14:paraId="550ADD9A"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63 </w:t>
      </w:r>
      <w:proofErr w:type="spellStart"/>
      <w:r w:rsidRPr="00466806">
        <w:rPr>
          <w:rFonts w:ascii="Book Antiqua" w:eastAsia="SimSun" w:hAnsi="Book Antiqua" w:cs="Times New Roman"/>
          <w:b/>
          <w:kern w:val="2"/>
          <w:sz w:val="24"/>
          <w:szCs w:val="24"/>
          <w:lang w:val="en-US" w:eastAsia="zh-CN"/>
        </w:rPr>
        <w:t>Zelber-Sagi</w:t>
      </w:r>
      <w:proofErr w:type="spellEnd"/>
      <w:r w:rsidRPr="00466806">
        <w:rPr>
          <w:rFonts w:ascii="Book Antiqua" w:eastAsia="SimSun" w:hAnsi="Book Antiqua" w:cs="Times New Roman"/>
          <w:b/>
          <w:kern w:val="2"/>
          <w:sz w:val="24"/>
          <w:szCs w:val="24"/>
          <w:lang w:val="en-US" w:eastAsia="zh-CN"/>
        </w:rPr>
        <w:t xml:space="preserve"> S</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Lotan</w:t>
      </w:r>
      <w:proofErr w:type="spellEnd"/>
      <w:r w:rsidRPr="00466806">
        <w:rPr>
          <w:rFonts w:ascii="Book Antiqua" w:eastAsia="SimSun" w:hAnsi="Book Antiqua" w:cs="Times New Roman"/>
          <w:kern w:val="2"/>
          <w:sz w:val="24"/>
          <w:szCs w:val="24"/>
          <w:lang w:val="en-US" w:eastAsia="zh-CN"/>
        </w:rPr>
        <w:t xml:space="preserve"> R, </w:t>
      </w:r>
      <w:proofErr w:type="spellStart"/>
      <w:r w:rsidRPr="00466806">
        <w:rPr>
          <w:rFonts w:ascii="Book Antiqua" w:eastAsia="SimSun" w:hAnsi="Book Antiqua" w:cs="Times New Roman"/>
          <w:kern w:val="2"/>
          <w:sz w:val="24"/>
          <w:szCs w:val="24"/>
          <w:lang w:val="en-US" w:eastAsia="zh-CN"/>
        </w:rPr>
        <w:t>Shlomai</w:t>
      </w:r>
      <w:proofErr w:type="spellEnd"/>
      <w:r w:rsidRPr="00466806">
        <w:rPr>
          <w:rFonts w:ascii="Book Antiqua" w:eastAsia="SimSun" w:hAnsi="Book Antiqua" w:cs="Times New Roman"/>
          <w:kern w:val="2"/>
          <w:sz w:val="24"/>
          <w:szCs w:val="24"/>
          <w:lang w:val="en-US" w:eastAsia="zh-CN"/>
        </w:rPr>
        <w:t xml:space="preserve"> A, Webb M, </w:t>
      </w:r>
      <w:proofErr w:type="spellStart"/>
      <w:r w:rsidRPr="00466806">
        <w:rPr>
          <w:rFonts w:ascii="Book Antiqua" w:eastAsia="SimSun" w:hAnsi="Book Antiqua" w:cs="Times New Roman"/>
          <w:kern w:val="2"/>
          <w:sz w:val="24"/>
          <w:szCs w:val="24"/>
          <w:lang w:val="en-US" w:eastAsia="zh-CN"/>
        </w:rPr>
        <w:t>Harrari</w:t>
      </w:r>
      <w:proofErr w:type="spellEnd"/>
      <w:r w:rsidRPr="00466806">
        <w:rPr>
          <w:rFonts w:ascii="Book Antiqua" w:eastAsia="SimSun" w:hAnsi="Book Antiqua" w:cs="Times New Roman"/>
          <w:kern w:val="2"/>
          <w:sz w:val="24"/>
          <w:szCs w:val="24"/>
          <w:lang w:val="en-US" w:eastAsia="zh-CN"/>
        </w:rPr>
        <w:t xml:space="preserve"> G, </w:t>
      </w:r>
      <w:proofErr w:type="spellStart"/>
      <w:r w:rsidRPr="00466806">
        <w:rPr>
          <w:rFonts w:ascii="Book Antiqua" w:eastAsia="SimSun" w:hAnsi="Book Antiqua" w:cs="Times New Roman"/>
          <w:kern w:val="2"/>
          <w:sz w:val="24"/>
          <w:szCs w:val="24"/>
          <w:lang w:val="en-US" w:eastAsia="zh-CN"/>
        </w:rPr>
        <w:t>Buch</w:t>
      </w:r>
      <w:proofErr w:type="spellEnd"/>
      <w:r w:rsidRPr="00466806">
        <w:rPr>
          <w:rFonts w:ascii="Book Antiqua" w:eastAsia="SimSun" w:hAnsi="Book Antiqua" w:cs="Times New Roman"/>
          <w:kern w:val="2"/>
          <w:sz w:val="24"/>
          <w:szCs w:val="24"/>
          <w:lang w:val="en-US" w:eastAsia="zh-CN"/>
        </w:rPr>
        <w:t xml:space="preserve"> A, </w:t>
      </w:r>
      <w:proofErr w:type="spellStart"/>
      <w:r w:rsidRPr="00466806">
        <w:rPr>
          <w:rFonts w:ascii="Book Antiqua" w:eastAsia="SimSun" w:hAnsi="Book Antiqua" w:cs="Times New Roman"/>
          <w:kern w:val="2"/>
          <w:sz w:val="24"/>
          <w:szCs w:val="24"/>
          <w:lang w:val="en-US" w:eastAsia="zh-CN"/>
        </w:rPr>
        <w:t>Nitzan</w:t>
      </w:r>
      <w:proofErr w:type="spellEnd"/>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Kaluski</w:t>
      </w:r>
      <w:proofErr w:type="spellEnd"/>
      <w:r w:rsidRPr="00466806">
        <w:rPr>
          <w:rFonts w:ascii="Book Antiqua" w:eastAsia="SimSun" w:hAnsi="Book Antiqua" w:cs="Times New Roman"/>
          <w:kern w:val="2"/>
          <w:sz w:val="24"/>
          <w:szCs w:val="24"/>
          <w:lang w:val="en-US" w:eastAsia="zh-CN"/>
        </w:rPr>
        <w:t xml:space="preserve"> D, Halpern Z, Oren R. Predictors for incidence and remission of NAFLD in the general population during a seven-year prospective follow-up. </w:t>
      </w:r>
      <w:r w:rsidRPr="00466806">
        <w:rPr>
          <w:rFonts w:ascii="Book Antiqua" w:eastAsia="SimSun" w:hAnsi="Book Antiqua" w:cs="Times New Roman"/>
          <w:i/>
          <w:kern w:val="2"/>
          <w:sz w:val="24"/>
          <w:szCs w:val="24"/>
          <w:lang w:val="en-US" w:eastAsia="zh-CN"/>
        </w:rPr>
        <w:t xml:space="preserve">J </w:t>
      </w:r>
      <w:proofErr w:type="spellStart"/>
      <w:r w:rsidRPr="00466806">
        <w:rPr>
          <w:rFonts w:ascii="Book Antiqua" w:eastAsia="SimSun" w:hAnsi="Book Antiqua" w:cs="Times New Roman"/>
          <w:i/>
          <w:kern w:val="2"/>
          <w:sz w:val="24"/>
          <w:szCs w:val="24"/>
          <w:lang w:val="en-US" w:eastAsia="zh-CN"/>
        </w:rPr>
        <w:t>Hepatol</w:t>
      </w:r>
      <w:proofErr w:type="spellEnd"/>
      <w:r w:rsidRPr="00466806">
        <w:rPr>
          <w:rFonts w:ascii="Book Antiqua" w:eastAsia="SimSun" w:hAnsi="Book Antiqua" w:cs="Times New Roman"/>
          <w:kern w:val="2"/>
          <w:sz w:val="24"/>
          <w:szCs w:val="24"/>
          <w:lang w:val="en-US" w:eastAsia="zh-CN"/>
        </w:rPr>
        <w:t xml:space="preserve"> 2012; </w:t>
      </w:r>
      <w:r w:rsidRPr="00466806">
        <w:rPr>
          <w:rFonts w:ascii="Book Antiqua" w:eastAsia="SimSun" w:hAnsi="Book Antiqua" w:cs="Times New Roman"/>
          <w:b/>
          <w:kern w:val="2"/>
          <w:sz w:val="24"/>
          <w:szCs w:val="24"/>
          <w:lang w:val="en-US" w:eastAsia="zh-CN"/>
        </w:rPr>
        <w:t>56</w:t>
      </w:r>
      <w:r w:rsidRPr="00466806">
        <w:rPr>
          <w:rFonts w:ascii="Book Antiqua" w:eastAsia="SimSun" w:hAnsi="Book Antiqua" w:cs="Times New Roman"/>
          <w:kern w:val="2"/>
          <w:sz w:val="24"/>
          <w:szCs w:val="24"/>
          <w:lang w:val="en-US" w:eastAsia="zh-CN"/>
        </w:rPr>
        <w:t>: 1145-1151 [PMID: 22245895 DOI: 10.1016/j.jhep.2011.12.011]</w:t>
      </w:r>
    </w:p>
    <w:p w14:paraId="1CE43942"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64 </w:t>
      </w:r>
      <w:r w:rsidRPr="00466806">
        <w:rPr>
          <w:rFonts w:ascii="Book Antiqua" w:eastAsia="SimSun" w:hAnsi="Book Antiqua" w:cs="Times New Roman"/>
          <w:b/>
          <w:kern w:val="2"/>
          <w:sz w:val="24"/>
          <w:szCs w:val="24"/>
          <w:lang w:val="en-US" w:eastAsia="zh-CN"/>
        </w:rPr>
        <w:t>Gemming L</w:t>
      </w:r>
      <w:r w:rsidRPr="00466806">
        <w:rPr>
          <w:rFonts w:ascii="Book Antiqua" w:eastAsia="SimSun" w:hAnsi="Book Antiqua" w:cs="Times New Roman"/>
          <w:kern w:val="2"/>
          <w:sz w:val="24"/>
          <w:szCs w:val="24"/>
          <w:lang w:val="en-US" w:eastAsia="zh-CN"/>
        </w:rPr>
        <w:t xml:space="preserve">, Ni </w:t>
      </w:r>
      <w:proofErr w:type="spellStart"/>
      <w:r w:rsidRPr="00466806">
        <w:rPr>
          <w:rFonts w:ascii="Book Antiqua" w:eastAsia="SimSun" w:hAnsi="Book Antiqua" w:cs="Times New Roman"/>
          <w:kern w:val="2"/>
          <w:sz w:val="24"/>
          <w:szCs w:val="24"/>
          <w:lang w:val="en-US" w:eastAsia="zh-CN"/>
        </w:rPr>
        <w:t>Mhurchu</w:t>
      </w:r>
      <w:proofErr w:type="spellEnd"/>
      <w:r w:rsidRPr="00466806">
        <w:rPr>
          <w:rFonts w:ascii="Book Antiqua" w:eastAsia="SimSun" w:hAnsi="Book Antiqua" w:cs="Times New Roman"/>
          <w:kern w:val="2"/>
          <w:sz w:val="24"/>
          <w:szCs w:val="24"/>
          <w:lang w:val="en-US" w:eastAsia="zh-CN"/>
        </w:rPr>
        <w:t xml:space="preserve"> C. Dietary under-reporting: what foods and which meals are typically under-</w:t>
      </w:r>
      <w:proofErr w:type="gramStart"/>
      <w:r w:rsidRPr="00466806">
        <w:rPr>
          <w:rFonts w:ascii="Book Antiqua" w:eastAsia="SimSun" w:hAnsi="Book Antiqua" w:cs="Times New Roman"/>
          <w:kern w:val="2"/>
          <w:sz w:val="24"/>
          <w:szCs w:val="24"/>
          <w:lang w:val="en-US" w:eastAsia="zh-CN"/>
        </w:rPr>
        <w:t>reported?</w:t>
      </w:r>
      <w:proofErr w:type="gramEnd"/>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i/>
          <w:kern w:val="2"/>
          <w:sz w:val="24"/>
          <w:szCs w:val="24"/>
          <w:lang w:val="en-US" w:eastAsia="zh-CN"/>
        </w:rPr>
        <w:t>Eur</w:t>
      </w:r>
      <w:proofErr w:type="spellEnd"/>
      <w:r w:rsidRPr="00466806">
        <w:rPr>
          <w:rFonts w:ascii="Book Antiqua" w:eastAsia="SimSun" w:hAnsi="Book Antiqua" w:cs="Times New Roman"/>
          <w:i/>
          <w:kern w:val="2"/>
          <w:sz w:val="24"/>
          <w:szCs w:val="24"/>
          <w:lang w:val="en-US" w:eastAsia="zh-CN"/>
        </w:rPr>
        <w:t xml:space="preserve"> J </w:t>
      </w:r>
      <w:proofErr w:type="spellStart"/>
      <w:r w:rsidRPr="00466806">
        <w:rPr>
          <w:rFonts w:ascii="Book Antiqua" w:eastAsia="SimSun" w:hAnsi="Book Antiqua" w:cs="Times New Roman"/>
          <w:i/>
          <w:kern w:val="2"/>
          <w:sz w:val="24"/>
          <w:szCs w:val="24"/>
          <w:lang w:val="en-US" w:eastAsia="zh-CN"/>
        </w:rPr>
        <w:t>Clin</w:t>
      </w:r>
      <w:proofErr w:type="spellEnd"/>
      <w:r w:rsidRPr="00466806">
        <w:rPr>
          <w:rFonts w:ascii="Book Antiqua" w:eastAsia="SimSun" w:hAnsi="Book Antiqua" w:cs="Times New Roman"/>
          <w:i/>
          <w:kern w:val="2"/>
          <w:sz w:val="24"/>
          <w:szCs w:val="24"/>
          <w:lang w:val="en-US" w:eastAsia="zh-CN"/>
        </w:rPr>
        <w:t xml:space="preserve"> </w:t>
      </w:r>
      <w:proofErr w:type="spellStart"/>
      <w:r w:rsidRPr="00466806">
        <w:rPr>
          <w:rFonts w:ascii="Book Antiqua" w:eastAsia="SimSun" w:hAnsi="Book Antiqua" w:cs="Times New Roman"/>
          <w:i/>
          <w:kern w:val="2"/>
          <w:sz w:val="24"/>
          <w:szCs w:val="24"/>
          <w:lang w:val="en-US" w:eastAsia="zh-CN"/>
        </w:rPr>
        <w:t>Nutr</w:t>
      </w:r>
      <w:proofErr w:type="spellEnd"/>
      <w:r w:rsidRPr="00466806">
        <w:rPr>
          <w:rFonts w:ascii="Book Antiqua" w:eastAsia="SimSun" w:hAnsi="Book Antiqua" w:cs="Times New Roman"/>
          <w:kern w:val="2"/>
          <w:sz w:val="24"/>
          <w:szCs w:val="24"/>
          <w:lang w:val="en-US" w:eastAsia="zh-CN"/>
        </w:rPr>
        <w:t xml:space="preserve"> 2016;</w:t>
      </w:r>
      <w:r w:rsidRPr="00466806">
        <w:rPr>
          <w:rFonts w:ascii="Book Antiqua" w:eastAsia="SimSun" w:hAnsi="Book Antiqua" w:cs="Times New Roman" w:hint="eastAsia"/>
          <w:kern w:val="2"/>
          <w:sz w:val="24"/>
          <w:szCs w:val="24"/>
          <w:lang w:val="en-US" w:eastAsia="zh-CN"/>
        </w:rPr>
        <w:t xml:space="preserve"> </w:t>
      </w:r>
      <w:r w:rsidRPr="00466806">
        <w:rPr>
          <w:rFonts w:ascii="Book Antiqua" w:eastAsia="SimSun" w:hAnsi="Book Antiqua" w:cs="Times New Roman"/>
          <w:b/>
          <w:kern w:val="2"/>
          <w:sz w:val="24"/>
          <w:szCs w:val="24"/>
          <w:lang w:val="en-US" w:eastAsia="zh-CN"/>
        </w:rPr>
        <w:t>70</w:t>
      </w:r>
      <w:r w:rsidRPr="00466806">
        <w:rPr>
          <w:rFonts w:ascii="Book Antiqua" w:eastAsia="SimSun" w:hAnsi="Book Antiqua" w:cs="Times New Roman"/>
          <w:kern w:val="2"/>
          <w:sz w:val="24"/>
          <w:szCs w:val="24"/>
          <w:lang w:val="en-US" w:eastAsia="zh-CN"/>
        </w:rPr>
        <w:t>: 640-641 [PMID: 26669571 DOI: 10.1038/ejcn.2015.204]</w:t>
      </w:r>
    </w:p>
    <w:p w14:paraId="7A756A6C"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r w:rsidRPr="00466806">
        <w:rPr>
          <w:rFonts w:ascii="Book Antiqua" w:eastAsia="SimSun" w:hAnsi="Book Antiqua" w:cs="Times New Roman"/>
          <w:kern w:val="2"/>
          <w:sz w:val="24"/>
          <w:szCs w:val="24"/>
          <w:lang w:val="en-US" w:eastAsia="zh-CN"/>
        </w:rPr>
        <w:t xml:space="preserve">65 </w:t>
      </w:r>
      <w:proofErr w:type="spellStart"/>
      <w:r w:rsidRPr="00466806">
        <w:rPr>
          <w:rFonts w:ascii="Book Antiqua" w:eastAsia="SimSun" w:hAnsi="Book Antiqua" w:cs="Times New Roman"/>
          <w:b/>
          <w:kern w:val="2"/>
          <w:sz w:val="24"/>
          <w:szCs w:val="24"/>
          <w:lang w:val="en-US" w:eastAsia="zh-CN"/>
        </w:rPr>
        <w:t>Khalesi</w:t>
      </w:r>
      <w:proofErr w:type="spellEnd"/>
      <w:r w:rsidRPr="00466806">
        <w:rPr>
          <w:rFonts w:ascii="Book Antiqua" w:eastAsia="SimSun" w:hAnsi="Book Antiqua" w:cs="Times New Roman"/>
          <w:b/>
          <w:kern w:val="2"/>
          <w:sz w:val="24"/>
          <w:szCs w:val="24"/>
          <w:lang w:val="en-US" w:eastAsia="zh-CN"/>
        </w:rPr>
        <w:t xml:space="preserve"> S</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Doshi</w:t>
      </w:r>
      <w:proofErr w:type="spellEnd"/>
      <w:r w:rsidRPr="00466806">
        <w:rPr>
          <w:rFonts w:ascii="Book Antiqua" w:eastAsia="SimSun" w:hAnsi="Book Antiqua" w:cs="Times New Roman"/>
          <w:kern w:val="2"/>
          <w:sz w:val="24"/>
          <w:szCs w:val="24"/>
          <w:lang w:val="en-US" w:eastAsia="zh-CN"/>
        </w:rPr>
        <w:t xml:space="preserve"> D, Buys N, Sun J. Validation of a short food frequency questionnaire in Australian adults. </w:t>
      </w:r>
      <w:proofErr w:type="spellStart"/>
      <w:r w:rsidRPr="00466806">
        <w:rPr>
          <w:rFonts w:ascii="Book Antiqua" w:eastAsia="SimSun" w:hAnsi="Book Antiqua" w:cs="Times New Roman"/>
          <w:i/>
          <w:kern w:val="2"/>
          <w:sz w:val="24"/>
          <w:szCs w:val="24"/>
          <w:lang w:val="en-US" w:eastAsia="zh-CN"/>
        </w:rPr>
        <w:t>Int</w:t>
      </w:r>
      <w:proofErr w:type="spellEnd"/>
      <w:r w:rsidRPr="00466806">
        <w:rPr>
          <w:rFonts w:ascii="Book Antiqua" w:eastAsia="SimSun" w:hAnsi="Book Antiqua" w:cs="Times New Roman"/>
          <w:i/>
          <w:kern w:val="2"/>
          <w:sz w:val="24"/>
          <w:szCs w:val="24"/>
          <w:lang w:val="en-US" w:eastAsia="zh-CN"/>
        </w:rPr>
        <w:t xml:space="preserve"> J Food </w:t>
      </w:r>
      <w:proofErr w:type="spellStart"/>
      <w:r w:rsidRPr="00466806">
        <w:rPr>
          <w:rFonts w:ascii="Book Antiqua" w:eastAsia="SimSun" w:hAnsi="Book Antiqua" w:cs="Times New Roman"/>
          <w:i/>
          <w:kern w:val="2"/>
          <w:sz w:val="24"/>
          <w:szCs w:val="24"/>
          <w:lang w:val="en-US" w:eastAsia="zh-CN"/>
        </w:rPr>
        <w:t>Sci</w:t>
      </w:r>
      <w:proofErr w:type="spellEnd"/>
      <w:r w:rsidRPr="00466806">
        <w:rPr>
          <w:rFonts w:ascii="Book Antiqua" w:eastAsia="SimSun" w:hAnsi="Book Antiqua" w:cs="Times New Roman"/>
          <w:i/>
          <w:kern w:val="2"/>
          <w:sz w:val="24"/>
          <w:szCs w:val="24"/>
          <w:lang w:val="en-US" w:eastAsia="zh-CN"/>
        </w:rPr>
        <w:t xml:space="preserve"> </w:t>
      </w:r>
      <w:proofErr w:type="spellStart"/>
      <w:r w:rsidRPr="00466806">
        <w:rPr>
          <w:rFonts w:ascii="Book Antiqua" w:eastAsia="SimSun" w:hAnsi="Book Antiqua" w:cs="Times New Roman"/>
          <w:i/>
          <w:kern w:val="2"/>
          <w:sz w:val="24"/>
          <w:szCs w:val="24"/>
          <w:lang w:val="en-US" w:eastAsia="zh-CN"/>
        </w:rPr>
        <w:t>Nutr</w:t>
      </w:r>
      <w:proofErr w:type="spellEnd"/>
      <w:r w:rsidRPr="00466806">
        <w:rPr>
          <w:rFonts w:ascii="Book Antiqua" w:eastAsia="SimSun" w:hAnsi="Book Antiqua" w:cs="Times New Roman"/>
          <w:kern w:val="2"/>
          <w:sz w:val="24"/>
          <w:szCs w:val="24"/>
          <w:lang w:val="en-US" w:eastAsia="zh-CN"/>
        </w:rPr>
        <w:t xml:space="preserve"> 2017; </w:t>
      </w:r>
      <w:r w:rsidRPr="00466806">
        <w:rPr>
          <w:rFonts w:ascii="Book Antiqua" w:eastAsia="SimSun" w:hAnsi="Book Antiqua" w:cs="Times New Roman"/>
          <w:b/>
          <w:kern w:val="2"/>
          <w:sz w:val="24"/>
          <w:szCs w:val="24"/>
          <w:lang w:val="en-US" w:eastAsia="zh-CN"/>
        </w:rPr>
        <w:t>68</w:t>
      </w:r>
      <w:r w:rsidRPr="00466806">
        <w:rPr>
          <w:rFonts w:ascii="Book Antiqua" w:eastAsia="SimSun" w:hAnsi="Book Antiqua" w:cs="Times New Roman"/>
          <w:kern w:val="2"/>
          <w:sz w:val="24"/>
          <w:szCs w:val="24"/>
          <w:lang w:val="en-US" w:eastAsia="zh-CN"/>
        </w:rPr>
        <w:t>: 349-357 [PMID: 27744752 DOI: 10.1080/09637486.2016.1240763]</w:t>
      </w:r>
    </w:p>
    <w:p w14:paraId="05809C16" w14:textId="77777777" w:rsidR="00466806" w:rsidRPr="00466806" w:rsidRDefault="00466806" w:rsidP="00466806">
      <w:pPr>
        <w:widowControl w:val="0"/>
        <w:snapToGrid w:val="0"/>
        <w:spacing w:after="0" w:line="360" w:lineRule="auto"/>
        <w:jc w:val="both"/>
        <w:rPr>
          <w:rFonts w:ascii="Book Antiqua" w:eastAsia="SimSun" w:hAnsi="Book Antiqua" w:cs="Times New Roman"/>
          <w:kern w:val="2"/>
          <w:sz w:val="24"/>
          <w:szCs w:val="24"/>
          <w:lang w:val="en-US" w:eastAsia="zh-CN"/>
        </w:rPr>
      </w:pPr>
      <w:proofErr w:type="gramStart"/>
      <w:r w:rsidRPr="00466806">
        <w:rPr>
          <w:rFonts w:ascii="Book Antiqua" w:eastAsia="SimSun" w:hAnsi="Book Antiqua" w:cs="Times New Roman"/>
          <w:kern w:val="2"/>
          <w:sz w:val="24"/>
          <w:szCs w:val="24"/>
          <w:lang w:val="en-US" w:eastAsia="zh-CN"/>
        </w:rPr>
        <w:t>66</w:t>
      </w:r>
      <w:proofErr w:type="gramEnd"/>
      <w:r w:rsidRPr="00466806">
        <w:rPr>
          <w:rFonts w:ascii="Book Antiqua" w:eastAsia="SimSun" w:hAnsi="Book Antiqua" w:cs="Times New Roman" w:hint="eastAsia"/>
          <w:kern w:val="2"/>
          <w:sz w:val="24"/>
          <w:szCs w:val="24"/>
          <w:lang w:val="en-US" w:eastAsia="zh-CN"/>
        </w:rPr>
        <w:t xml:space="preserve"> </w:t>
      </w:r>
      <w:r w:rsidRPr="00466806">
        <w:rPr>
          <w:rFonts w:ascii="Book Antiqua" w:eastAsia="SimSun" w:hAnsi="Book Antiqua" w:cs="Times New Roman"/>
          <w:b/>
          <w:kern w:val="2"/>
          <w:sz w:val="24"/>
          <w:szCs w:val="24"/>
          <w:lang w:val="en-US" w:eastAsia="zh-CN"/>
        </w:rPr>
        <w:t>Nix E</w:t>
      </w:r>
      <w:r w:rsidRPr="00466806">
        <w:rPr>
          <w:rFonts w:ascii="Book Antiqua" w:eastAsia="SimSun" w:hAnsi="Book Antiqua" w:cs="Times New Roman"/>
          <w:kern w:val="2"/>
          <w:sz w:val="24"/>
          <w:szCs w:val="24"/>
          <w:lang w:val="en-US" w:eastAsia="zh-CN"/>
        </w:rPr>
        <w:t xml:space="preserve">, </w:t>
      </w:r>
      <w:proofErr w:type="spellStart"/>
      <w:r w:rsidRPr="00466806">
        <w:rPr>
          <w:rFonts w:ascii="Book Antiqua" w:eastAsia="SimSun" w:hAnsi="Book Antiqua" w:cs="Times New Roman"/>
          <w:kern w:val="2"/>
          <w:sz w:val="24"/>
          <w:szCs w:val="24"/>
          <w:lang w:val="en-US" w:eastAsia="zh-CN"/>
        </w:rPr>
        <w:t>Wengreen</w:t>
      </w:r>
      <w:proofErr w:type="spellEnd"/>
      <w:r w:rsidRPr="00466806">
        <w:rPr>
          <w:rFonts w:ascii="Book Antiqua" w:eastAsia="SimSun" w:hAnsi="Book Antiqua" w:cs="Times New Roman"/>
          <w:kern w:val="2"/>
          <w:sz w:val="24"/>
          <w:szCs w:val="24"/>
          <w:lang w:val="en-US" w:eastAsia="zh-CN"/>
        </w:rPr>
        <w:t xml:space="preserve"> HJ. Social approval bias in self-reported fruit and vegetable intake after presentation of a normative message in college students. </w:t>
      </w:r>
      <w:r w:rsidRPr="00466806">
        <w:rPr>
          <w:rFonts w:ascii="Book Antiqua" w:eastAsia="SimSun" w:hAnsi="Book Antiqua" w:cs="Times New Roman"/>
          <w:i/>
          <w:kern w:val="2"/>
          <w:sz w:val="24"/>
          <w:szCs w:val="24"/>
          <w:lang w:val="en-US" w:eastAsia="zh-CN"/>
        </w:rPr>
        <w:t>Appetite</w:t>
      </w:r>
      <w:r w:rsidRPr="00466806">
        <w:rPr>
          <w:rFonts w:ascii="Book Antiqua" w:eastAsia="SimSun" w:hAnsi="Book Antiqua" w:cs="Times New Roman"/>
          <w:kern w:val="2"/>
          <w:sz w:val="24"/>
          <w:szCs w:val="24"/>
          <w:lang w:val="en-US" w:eastAsia="zh-CN"/>
        </w:rPr>
        <w:t xml:space="preserve"> 2017; </w:t>
      </w:r>
      <w:r w:rsidRPr="00466806">
        <w:rPr>
          <w:rFonts w:ascii="Book Antiqua" w:eastAsia="SimSun" w:hAnsi="Book Antiqua" w:cs="Times New Roman"/>
          <w:b/>
          <w:kern w:val="2"/>
          <w:sz w:val="24"/>
          <w:szCs w:val="24"/>
          <w:lang w:val="en-US" w:eastAsia="zh-CN"/>
        </w:rPr>
        <w:t>116</w:t>
      </w:r>
      <w:r w:rsidRPr="00466806">
        <w:rPr>
          <w:rFonts w:ascii="Book Antiqua" w:eastAsia="SimSun" w:hAnsi="Book Antiqua" w:cs="Times New Roman"/>
          <w:kern w:val="2"/>
          <w:sz w:val="24"/>
          <w:szCs w:val="24"/>
          <w:lang w:val="en-US" w:eastAsia="zh-CN"/>
        </w:rPr>
        <w:t>: 552-558 [PMID: 28572071 DOI: 10.1016/j.appet.2017.05.045]</w:t>
      </w:r>
    </w:p>
    <w:p w14:paraId="31F0AC38" w14:textId="77777777" w:rsidR="00466806" w:rsidRPr="00466806" w:rsidRDefault="00466806" w:rsidP="00466806">
      <w:pPr>
        <w:wordWrap w:val="0"/>
        <w:snapToGrid w:val="0"/>
        <w:spacing w:after="0" w:line="360" w:lineRule="auto"/>
        <w:jc w:val="right"/>
        <w:rPr>
          <w:rFonts w:ascii="Book Antiqua" w:eastAsia="SimSun" w:hAnsi="Book Antiqua" w:cs="Times New Roman"/>
          <w:sz w:val="24"/>
          <w:szCs w:val="24"/>
          <w:lang w:val="en-US" w:eastAsia="zh-CN"/>
        </w:rPr>
      </w:pPr>
      <w:bookmarkStart w:id="68" w:name="OLE_LINK51"/>
      <w:bookmarkStart w:id="69" w:name="OLE_LINK52"/>
      <w:bookmarkStart w:id="70" w:name="OLE_LINK120"/>
      <w:bookmarkStart w:id="71" w:name="OLE_LINK148"/>
      <w:bookmarkStart w:id="72" w:name="OLE_LINK72"/>
      <w:bookmarkStart w:id="73" w:name="OLE_LINK112"/>
      <w:bookmarkStart w:id="74" w:name="OLE_LINK320"/>
      <w:bookmarkStart w:id="75" w:name="OLE_LINK387"/>
      <w:bookmarkStart w:id="76" w:name="OLE_LINK183"/>
      <w:bookmarkStart w:id="77" w:name="OLE_LINK254"/>
      <w:bookmarkStart w:id="78" w:name="OLE_LINK149"/>
      <w:bookmarkStart w:id="79" w:name="OLE_LINK225"/>
      <w:bookmarkStart w:id="80" w:name="OLE_LINK207"/>
      <w:bookmarkStart w:id="81" w:name="OLE_LINK226"/>
      <w:bookmarkStart w:id="82" w:name="OLE_LINK212"/>
      <w:bookmarkStart w:id="83" w:name="OLE_LINK250"/>
      <w:bookmarkStart w:id="84" w:name="OLE_LINK281"/>
      <w:bookmarkStart w:id="85" w:name="OLE_LINK282"/>
      <w:bookmarkStart w:id="86" w:name="OLE_LINK313"/>
      <w:bookmarkStart w:id="87" w:name="OLE_LINK304"/>
      <w:bookmarkStart w:id="88" w:name="OLE_LINK321"/>
      <w:bookmarkStart w:id="89" w:name="OLE_LINK385"/>
      <w:bookmarkStart w:id="90" w:name="OLE_LINK400"/>
      <w:bookmarkStart w:id="91" w:name="OLE_LINK346"/>
      <w:bookmarkStart w:id="92" w:name="OLE_LINK371"/>
      <w:bookmarkStart w:id="93" w:name="OLE_LINK334"/>
      <w:bookmarkStart w:id="94" w:name="OLE_LINK1830"/>
      <w:bookmarkStart w:id="95" w:name="OLE_LINK457"/>
      <w:bookmarkStart w:id="96" w:name="OLE_LINK288"/>
      <w:bookmarkStart w:id="97" w:name="OLE_LINK384"/>
      <w:bookmarkStart w:id="98" w:name="OLE_LINK379"/>
      <w:bookmarkStart w:id="99" w:name="OLE_LINK303"/>
      <w:bookmarkStart w:id="100" w:name="OLE_LINK450"/>
      <w:bookmarkStart w:id="101" w:name="OLE_LINK489"/>
      <w:bookmarkStart w:id="102" w:name="OLE_LINK535"/>
      <w:bookmarkStart w:id="103" w:name="OLE_LINK648"/>
      <w:bookmarkStart w:id="104" w:name="OLE_LINK686"/>
      <w:bookmarkStart w:id="105" w:name="OLE_LINK471"/>
      <w:bookmarkStart w:id="106" w:name="OLE_LINK462"/>
      <w:bookmarkStart w:id="107" w:name="OLE_LINK519"/>
      <w:bookmarkStart w:id="108" w:name="OLE_LINK575"/>
      <w:bookmarkStart w:id="109" w:name="OLE_LINK491"/>
      <w:bookmarkStart w:id="110" w:name="OLE_LINK532"/>
      <w:bookmarkStart w:id="111" w:name="OLE_LINK572"/>
      <w:bookmarkStart w:id="112" w:name="OLE_LINK574"/>
      <w:bookmarkStart w:id="113" w:name="OLE_LINK480"/>
      <w:bookmarkStart w:id="114" w:name="OLE_LINK567"/>
      <w:bookmarkStart w:id="115" w:name="OLE_LINK2700"/>
      <w:bookmarkStart w:id="116" w:name="OLE_LINK581"/>
      <w:bookmarkStart w:id="117" w:name="OLE_LINK639"/>
      <w:bookmarkStart w:id="118" w:name="OLE_LINK688"/>
      <w:bookmarkStart w:id="119" w:name="OLE_LINK722"/>
      <w:bookmarkStart w:id="120" w:name="OLE_LINK542"/>
      <w:bookmarkStart w:id="121" w:name="OLE_LINK589"/>
      <w:bookmarkStart w:id="122" w:name="OLE_LINK582"/>
      <w:bookmarkStart w:id="123" w:name="OLE_LINK640"/>
      <w:bookmarkStart w:id="124" w:name="OLE_LINK714"/>
      <w:bookmarkStart w:id="125" w:name="OLE_LINK593"/>
      <w:bookmarkStart w:id="126" w:name="OLE_LINK716"/>
      <w:bookmarkStart w:id="127" w:name="OLE_LINK770"/>
      <w:bookmarkStart w:id="128" w:name="OLE_LINK801"/>
      <w:bookmarkStart w:id="129" w:name="OLE_LINK660"/>
      <w:bookmarkStart w:id="130" w:name="OLE_LINK781"/>
      <w:bookmarkStart w:id="131" w:name="OLE_LINK833"/>
      <w:bookmarkStart w:id="132" w:name="OLE_LINK642"/>
      <w:bookmarkStart w:id="133" w:name="OLE_LINK700"/>
      <w:bookmarkStart w:id="134" w:name="OLE_LINK792"/>
      <w:bookmarkStart w:id="135" w:name="OLE_LINK2882"/>
      <w:bookmarkStart w:id="136" w:name="OLE_LINK836"/>
      <w:bookmarkStart w:id="137" w:name="OLE_LINK889"/>
      <w:bookmarkStart w:id="138" w:name="OLE_LINK782"/>
      <w:bookmarkStart w:id="139" w:name="OLE_LINK826"/>
      <w:bookmarkStart w:id="140" w:name="OLE_LINK865"/>
      <w:bookmarkStart w:id="141" w:name="OLE_LINK856"/>
      <w:bookmarkStart w:id="142" w:name="OLE_LINK908"/>
      <w:bookmarkStart w:id="143" w:name="OLE_LINK980"/>
      <w:bookmarkStart w:id="144" w:name="OLE_LINK1018"/>
      <w:bookmarkStart w:id="145" w:name="OLE_LINK1049"/>
      <w:bookmarkStart w:id="146" w:name="OLE_LINK1076"/>
      <w:bookmarkStart w:id="147" w:name="OLE_LINK1106"/>
      <w:bookmarkStart w:id="148" w:name="OLE_LINK891"/>
      <w:bookmarkStart w:id="149" w:name="OLE_LINK943"/>
      <w:bookmarkStart w:id="150" w:name="OLE_LINK981"/>
      <w:bookmarkStart w:id="151" w:name="OLE_LINK1030"/>
      <w:bookmarkStart w:id="152" w:name="OLE_LINK847"/>
      <w:bookmarkStart w:id="153" w:name="OLE_LINK909"/>
      <w:bookmarkStart w:id="154" w:name="OLE_LINK906"/>
      <w:bookmarkStart w:id="155" w:name="OLE_LINK992"/>
      <w:bookmarkStart w:id="156" w:name="OLE_LINK993"/>
      <w:bookmarkStart w:id="157" w:name="OLE_LINK1052"/>
      <w:bookmarkStart w:id="158" w:name="OLE_LINK946"/>
      <w:bookmarkStart w:id="159" w:name="OLE_LINK911"/>
      <w:bookmarkStart w:id="160" w:name="OLE_LINK930"/>
      <w:bookmarkStart w:id="161" w:name="OLE_LINK1059"/>
      <w:bookmarkStart w:id="162" w:name="OLE_LINK1174"/>
      <w:bookmarkStart w:id="163" w:name="OLE_LINK1137"/>
      <w:bookmarkStart w:id="164" w:name="OLE_LINK1167"/>
      <w:bookmarkStart w:id="165" w:name="OLE_LINK1200"/>
      <w:bookmarkStart w:id="166" w:name="OLE_LINK1241"/>
      <w:bookmarkStart w:id="167" w:name="OLE_LINK1288"/>
      <w:bookmarkStart w:id="168" w:name="OLE_LINK1056"/>
      <w:bookmarkStart w:id="169" w:name="OLE_LINK1158"/>
      <w:bookmarkStart w:id="170" w:name="OLE_LINK1175"/>
      <w:bookmarkStart w:id="171" w:name="OLE_LINK1074"/>
      <w:bookmarkStart w:id="172" w:name="OLE_LINK1169"/>
      <w:bookmarkStart w:id="173" w:name="OLE_LINK1053"/>
      <w:bookmarkStart w:id="174" w:name="OLE_LINK1054"/>
      <w:r w:rsidRPr="00466806">
        <w:rPr>
          <w:rFonts w:ascii="Book Antiqua" w:eastAsia="SimSun" w:hAnsi="Book Antiqua" w:cs="Times New Roman"/>
          <w:b/>
          <w:bCs/>
          <w:sz w:val="24"/>
          <w:szCs w:val="24"/>
          <w:lang w:val="en-US" w:eastAsia="zh-CN"/>
        </w:rPr>
        <w:t>P-Reviewer:</w:t>
      </w:r>
      <w:r w:rsidRPr="00466806">
        <w:rPr>
          <w:rFonts w:ascii="Book Antiqua" w:eastAsia="SimSun" w:hAnsi="Book Antiqua" w:cs="Times New Roman" w:hint="eastAsia"/>
          <w:b/>
          <w:bCs/>
          <w:sz w:val="24"/>
          <w:szCs w:val="24"/>
          <w:lang w:val="en-US" w:eastAsia="zh-CN"/>
        </w:rPr>
        <w:t xml:space="preserve"> </w:t>
      </w:r>
      <w:r w:rsidRPr="00466806">
        <w:rPr>
          <w:rFonts w:ascii="Book Antiqua" w:eastAsia="SimSun" w:hAnsi="Book Antiqua" w:cs="Times New Roman"/>
          <w:bCs/>
          <w:sz w:val="24"/>
          <w:szCs w:val="24"/>
          <w:lang w:val="en-US" w:eastAsia="zh-CN"/>
        </w:rPr>
        <w:t>De Silva</w:t>
      </w:r>
      <w:r w:rsidRPr="00466806">
        <w:rPr>
          <w:rFonts w:ascii="Book Antiqua" w:eastAsia="SimSun" w:hAnsi="Book Antiqua" w:cs="Times New Roman" w:hint="eastAsia"/>
          <w:bCs/>
          <w:sz w:val="24"/>
          <w:szCs w:val="24"/>
          <w:lang w:val="en-US" w:eastAsia="zh-CN"/>
        </w:rPr>
        <w:t xml:space="preserve"> AP, </w:t>
      </w:r>
      <w:r w:rsidRPr="00466806">
        <w:rPr>
          <w:rFonts w:ascii="Book Antiqua" w:eastAsia="SimSun" w:hAnsi="Book Antiqua" w:cs="Times New Roman"/>
          <w:bCs/>
          <w:sz w:val="24"/>
          <w:szCs w:val="24"/>
          <w:lang w:val="en-US" w:eastAsia="zh-CN"/>
        </w:rPr>
        <w:t>Naito</w:t>
      </w:r>
      <w:r w:rsidRPr="00466806">
        <w:rPr>
          <w:rFonts w:ascii="Book Antiqua" w:eastAsia="SimSun" w:hAnsi="Book Antiqua" w:cs="Times New Roman" w:hint="eastAsia"/>
          <w:bCs/>
          <w:sz w:val="24"/>
          <w:szCs w:val="24"/>
          <w:lang w:val="en-US" w:eastAsia="zh-CN"/>
        </w:rPr>
        <w:t xml:space="preserve"> Y, </w:t>
      </w:r>
      <w:proofErr w:type="spellStart"/>
      <w:r w:rsidRPr="00466806">
        <w:rPr>
          <w:rFonts w:ascii="Book Antiqua" w:eastAsia="SimSun" w:hAnsi="Book Antiqua" w:cs="Times New Roman"/>
          <w:bCs/>
          <w:sz w:val="24"/>
          <w:szCs w:val="24"/>
          <w:lang w:val="en-US" w:eastAsia="zh-CN"/>
        </w:rPr>
        <w:t>Trifan</w:t>
      </w:r>
      <w:proofErr w:type="spellEnd"/>
      <w:r w:rsidRPr="00466806">
        <w:rPr>
          <w:rFonts w:ascii="Book Antiqua" w:eastAsia="SimSun" w:hAnsi="Book Antiqua" w:cs="Times New Roman" w:hint="eastAsia"/>
          <w:bCs/>
          <w:sz w:val="24"/>
          <w:szCs w:val="24"/>
          <w:lang w:val="en-US" w:eastAsia="zh-CN"/>
        </w:rPr>
        <w:t xml:space="preserve"> A</w:t>
      </w:r>
      <w:r w:rsidRPr="00466806">
        <w:rPr>
          <w:rFonts w:ascii="Book Antiqua" w:eastAsia="SimSun" w:hAnsi="Book Antiqua" w:cs="Times New Roman" w:hint="eastAsia"/>
          <w:b/>
          <w:bCs/>
          <w:sz w:val="24"/>
          <w:szCs w:val="24"/>
          <w:lang w:val="en-US" w:eastAsia="zh-CN"/>
        </w:rPr>
        <w:t xml:space="preserve"> </w:t>
      </w:r>
      <w:r w:rsidRPr="00466806">
        <w:rPr>
          <w:rFonts w:ascii="Book Antiqua" w:eastAsia="SimSun" w:hAnsi="Book Antiqua" w:cs="Times New Roman"/>
          <w:b/>
          <w:bCs/>
          <w:sz w:val="24"/>
          <w:szCs w:val="24"/>
          <w:lang w:val="en-US" w:eastAsia="zh-CN"/>
        </w:rPr>
        <w:t>S-Editor:</w:t>
      </w:r>
      <w:r w:rsidRPr="00466806">
        <w:rPr>
          <w:rFonts w:ascii="Book Antiqua" w:eastAsia="SimSun" w:hAnsi="Book Antiqua" w:cs="Times New Roman" w:hint="eastAsia"/>
          <w:sz w:val="24"/>
          <w:szCs w:val="24"/>
          <w:lang w:val="en-US" w:eastAsia="zh-CN"/>
        </w:rPr>
        <w:t xml:space="preserve"> Gong ZM</w:t>
      </w:r>
    </w:p>
    <w:p w14:paraId="790BAAF8" w14:textId="77777777" w:rsidR="00466806" w:rsidRPr="00466806" w:rsidRDefault="00466806" w:rsidP="00466806">
      <w:pPr>
        <w:snapToGrid w:val="0"/>
        <w:spacing w:after="0" w:line="360" w:lineRule="auto"/>
        <w:jc w:val="right"/>
        <w:rPr>
          <w:rFonts w:ascii="Book Antiqua" w:eastAsia="SimSun" w:hAnsi="Book Antiqua" w:cs="Times New Roman"/>
          <w:b/>
          <w:bCs/>
          <w:sz w:val="24"/>
          <w:szCs w:val="24"/>
          <w:lang w:val="en-US" w:eastAsia="zh-CN"/>
        </w:rPr>
      </w:pPr>
      <w:r w:rsidRPr="00466806">
        <w:rPr>
          <w:rFonts w:ascii="Book Antiqua" w:eastAsia="SimSun" w:hAnsi="Book Antiqua" w:cs="Times New Roman"/>
          <w:b/>
          <w:bCs/>
          <w:sz w:val="24"/>
          <w:szCs w:val="24"/>
          <w:lang w:val="en-US" w:eastAsia="zh-CN"/>
        </w:rPr>
        <w:t>L-Editor:</w:t>
      </w:r>
      <w:r w:rsidRPr="00466806">
        <w:rPr>
          <w:rFonts w:ascii="Book Antiqua" w:eastAsia="SimSun" w:hAnsi="Book Antiqua" w:cs="Times New Roman"/>
          <w:sz w:val="24"/>
          <w:szCs w:val="24"/>
          <w:lang w:val="en-US" w:eastAsia="zh-CN"/>
        </w:rPr>
        <w:t xml:space="preserve"> </w:t>
      </w:r>
      <w:r w:rsidRPr="00466806">
        <w:rPr>
          <w:rFonts w:ascii="Book Antiqua" w:eastAsia="SimSun" w:hAnsi="Book Antiqua" w:cs="Times New Roman"/>
          <w:b/>
          <w:bCs/>
          <w:sz w:val="24"/>
          <w:szCs w:val="24"/>
          <w:lang w:val="en-US" w:eastAsia="zh-CN"/>
        </w:rPr>
        <w:t>E-Editor:</w:t>
      </w:r>
    </w:p>
    <w:p w14:paraId="4FAAE900" w14:textId="77777777" w:rsidR="00466806" w:rsidRPr="00466806" w:rsidRDefault="00466806" w:rsidP="00466806">
      <w:pPr>
        <w:shd w:val="clear" w:color="auto" w:fill="FFFFFF"/>
        <w:snapToGrid w:val="0"/>
        <w:spacing w:after="0" w:line="360" w:lineRule="auto"/>
        <w:jc w:val="both"/>
        <w:rPr>
          <w:rFonts w:ascii="Book Antiqua" w:eastAsia="SimSun" w:hAnsi="Book Antiqua" w:cs="Helvetica"/>
          <w:b/>
          <w:sz w:val="24"/>
          <w:szCs w:val="24"/>
          <w:lang w:val="en-US" w:eastAsia="zh-CN"/>
        </w:rPr>
      </w:pPr>
      <w:bookmarkStart w:id="175" w:name="OLE_LINK880"/>
      <w:bookmarkStart w:id="176" w:name="OLE_LINK881"/>
      <w:bookmarkStart w:id="177" w:name="OLE_LINK497"/>
      <w:bookmarkStart w:id="178" w:name="OLE_LINK813"/>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466806">
        <w:rPr>
          <w:rFonts w:ascii="Book Antiqua" w:eastAsia="SimSun" w:hAnsi="Book Antiqua" w:cs="Helvetica"/>
          <w:b/>
          <w:sz w:val="24"/>
          <w:szCs w:val="24"/>
          <w:lang w:val="en-US" w:eastAsia="zh-CN"/>
        </w:rPr>
        <w:t xml:space="preserve">Specialty type: </w:t>
      </w:r>
      <w:r w:rsidRPr="00466806">
        <w:rPr>
          <w:rFonts w:ascii="Book Antiqua" w:eastAsia="SimSun" w:hAnsi="Book Antiqua" w:cs="Helvetica"/>
          <w:sz w:val="24"/>
          <w:szCs w:val="24"/>
          <w:lang w:val="en-US" w:eastAsia="zh-CN"/>
        </w:rPr>
        <w:t>Gastroenterology and</w:t>
      </w:r>
      <w:r w:rsidRPr="00466806">
        <w:rPr>
          <w:rFonts w:ascii="Book Antiqua" w:eastAsia="SimSun" w:hAnsi="Book Antiqua" w:cs="Helvetica" w:hint="eastAsia"/>
          <w:sz w:val="24"/>
          <w:szCs w:val="24"/>
          <w:lang w:val="en-US" w:eastAsia="zh-CN"/>
        </w:rPr>
        <w:t xml:space="preserve"> </w:t>
      </w:r>
      <w:r w:rsidRPr="00466806">
        <w:rPr>
          <w:rFonts w:ascii="Book Antiqua" w:eastAsia="SimSun" w:hAnsi="Book Antiqua" w:cs="Helvetica"/>
          <w:sz w:val="24"/>
          <w:szCs w:val="24"/>
          <w:lang w:val="en-US" w:eastAsia="zh-CN"/>
        </w:rPr>
        <w:t>hepatology</w:t>
      </w:r>
    </w:p>
    <w:p w14:paraId="6AB9770B" w14:textId="77777777" w:rsidR="00466806" w:rsidRPr="00466806" w:rsidRDefault="00466806" w:rsidP="00466806">
      <w:pPr>
        <w:shd w:val="clear" w:color="auto" w:fill="FFFFFF"/>
        <w:snapToGrid w:val="0"/>
        <w:spacing w:after="0" w:line="360" w:lineRule="auto"/>
        <w:jc w:val="both"/>
        <w:rPr>
          <w:rFonts w:ascii="Book Antiqua" w:eastAsia="SimSun" w:hAnsi="Book Antiqua" w:cs="Helvetica"/>
          <w:b/>
          <w:sz w:val="24"/>
          <w:szCs w:val="24"/>
          <w:lang w:val="en-US" w:eastAsia="zh-CN"/>
        </w:rPr>
      </w:pPr>
      <w:r w:rsidRPr="00466806">
        <w:rPr>
          <w:rFonts w:ascii="Book Antiqua" w:eastAsia="SimSun" w:hAnsi="Book Antiqua" w:cs="Helvetica"/>
          <w:b/>
          <w:sz w:val="24"/>
          <w:szCs w:val="24"/>
          <w:lang w:val="en-US" w:eastAsia="zh-CN"/>
        </w:rPr>
        <w:t xml:space="preserve">Country of origin: </w:t>
      </w:r>
      <w:r w:rsidRPr="00466806">
        <w:rPr>
          <w:rFonts w:ascii="Book Antiqua" w:eastAsia="SimSun" w:hAnsi="Book Antiqua" w:cs="Helvetica"/>
          <w:sz w:val="24"/>
          <w:szCs w:val="24"/>
          <w:lang w:val="en-CA" w:eastAsia="zh-CN"/>
        </w:rPr>
        <w:t>Italy</w:t>
      </w:r>
    </w:p>
    <w:p w14:paraId="6818DD3A" w14:textId="77777777" w:rsidR="00466806" w:rsidRPr="00466806" w:rsidRDefault="00466806" w:rsidP="00466806">
      <w:pPr>
        <w:shd w:val="clear" w:color="auto" w:fill="FFFFFF"/>
        <w:snapToGrid w:val="0"/>
        <w:spacing w:after="0" w:line="360" w:lineRule="auto"/>
        <w:jc w:val="both"/>
        <w:rPr>
          <w:rFonts w:ascii="Book Antiqua" w:eastAsia="SimSun" w:hAnsi="Book Antiqua" w:cs="Helvetica"/>
          <w:b/>
          <w:sz w:val="24"/>
          <w:szCs w:val="24"/>
          <w:lang w:val="en-US" w:eastAsia="zh-CN"/>
        </w:rPr>
      </w:pPr>
      <w:r w:rsidRPr="00466806">
        <w:rPr>
          <w:rFonts w:ascii="Book Antiqua" w:eastAsia="SimSun" w:hAnsi="Book Antiqua" w:cs="Helvetica"/>
          <w:b/>
          <w:sz w:val="24"/>
          <w:szCs w:val="24"/>
          <w:lang w:val="en-US" w:eastAsia="zh-CN"/>
        </w:rPr>
        <w:t>Peer-review report classification</w:t>
      </w:r>
    </w:p>
    <w:p w14:paraId="1CEBDA0E" w14:textId="77777777" w:rsidR="00466806" w:rsidRPr="00466806" w:rsidRDefault="00466806" w:rsidP="00466806">
      <w:pPr>
        <w:shd w:val="clear" w:color="auto" w:fill="FFFFFF"/>
        <w:snapToGrid w:val="0"/>
        <w:spacing w:after="0" w:line="360" w:lineRule="auto"/>
        <w:jc w:val="both"/>
        <w:rPr>
          <w:rFonts w:ascii="Book Antiqua" w:eastAsia="SimSun" w:hAnsi="Book Antiqua" w:cs="Helvetica"/>
          <w:sz w:val="24"/>
          <w:szCs w:val="24"/>
          <w:lang w:val="en-US" w:eastAsia="zh-CN"/>
        </w:rPr>
      </w:pPr>
      <w:r w:rsidRPr="00466806">
        <w:rPr>
          <w:rFonts w:ascii="Book Antiqua" w:eastAsia="SimSun" w:hAnsi="Book Antiqua" w:cs="Helvetica"/>
          <w:sz w:val="24"/>
          <w:szCs w:val="24"/>
          <w:lang w:val="en-US" w:eastAsia="zh-CN"/>
        </w:rPr>
        <w:t xml:space="preserve">Grade </w:t>
      </w:r>
      <w:proofErr w:type="gramStart"/>
      <w:r w:rsidRPr="00466806">
        <w:rPr>
          <w:rFonts w:ascii="Book Antiqua" w:eastAsia="SimSun" w:hAnsi="Book Antiqua" w:cs="Helvetica"/>
          <w:sz w:val="24"/>
          <w:szCs w:val="24"/>
          <w:lang w:val="en-US" w:eastAsia="zh-CN"/>
        </w:rPr>
        <w:t>A</w:t>
      </w:r>
      <w:proofErr w:type="gramEnd"/>
      <w:r w:rsidRPr="00466806">
        <w:rPr>
          <w:rFonts w:ascii="Book Antiqua" w:eastAsia="SimSun" w:hAnsi="Book Antiqua" w:cs="Helvetica"/>
          <w:sz w:val="24"/>
          <w:szCs w:val="24"/>
          <w:lang w:val="en-US" w:eastAsia="zh-CN"/>
        </w:rPr>
        <w:t xml:space="preserve"> (Excellent): </w:t>
      </w:r>
      <w:r w:rsidRPr="00466806">
        <w:rPr>
          <w:rFonts w:ascii="Book Antiqua" w:eastAsia="SimSun" w:hAnsi="Book Antiqua" w:cs="Helvetica" w:hint="eastAsia"/>
          <w:sz w:val="24"/>
          <w:szCs w:val="24"/>
          <w:lang w:val="en-US" w:eastAsia="zh-CN"/>
        </w:rPr>
        <w:t>0</w:t>
      </w:r>
    </w:p>
    <w:p w14:paraId="1F1918B7" w14:textId="77777777" w:rsidR="00466806" w:rsidRPr="00466806" w:rsidRDefault="00466806" w:rsidP="00466806">
      <w:pPr>
        <w:shd w:val="clear" w:color="auto" w:fill="FFFFFF"/>
        <w:snapToGrid w:val="0"/>
        <w:spacing w:after="0" w:line="360" w:lineRule="auto"/>
        <w:jc w:val="both"/>
        <w:rPr>
          <w:rFonts w:ascii="Book Antiqua" w:eastAsia="SimSun" w:hAnsi="Book Antiqua" w:cs="Helvetica"/>
          <w:sz w:val="24"/>
          <w:szCs w:val="24"/>
          <w:lang w:val="en-US" w:eastAsia="zh-CN"/>
        </w:rPr>
      </w:pPr>
      <w:r w:rsidRPr="00466806">
        <w:rPr>
          <w:rFonts w:ascii="Book Antiqua" w:eastAsia="SimSun" w:hAnsi="Book Antiqua" w:cs="Helvetica"/>
          <w:sz w:val="24"/>
          <w:szCs w:val="24"/>
          <w:lang w:val="en-US" w:eastAsia="zh-CN"/>
        </w:rPr>
        <w:t xml:space="preserve">Grade B (Very good): </w:t>
      </w:r>
      <w:r w:rsidRPr="00466806">
        <w:rPr>
          <w:rFonts w:ascii="Book Antiqua" w:eastAsia="SimSun" w:hAnsi="Book Antiqua" w:cs="Helvetica" w:hint="eastAsia"/>
          <w:sz w:val="24"/>
          <w:szCs w:val="24"/>
          <w:lang w:val="en-US" w:eastAsia="zh-CN"/>
        </w:rPr>
        <w:t>B, B</w:t>
      </w:r>
    </w:p>
    <w:p w14:paraId="20D5DEDA" w14:textId="77777777" w:rsidR="00466806" w:rsidRPr="00466806" w:rsidRDefault="00466806" w:rsidP="00466806">
      <w:pPr>
        <w:shd w:val="clear" w:color="auto" w:fill="FFFFFF"/>
        <w:snapToGrid w:val="0"/>
        <w:spacing w:after="0" w:line="360" w:lineRule="auto"/>
        <w:jc w:val="both"/>
        <w:rPr>
          <w:rFonts w:ascii="Book Antiqua" w:eastAsia="SimSun" w:hAnsi="Book Antiqua" w:cs="Helvetica"/>
          <w:sz w:val="24"/>
          <w:szCs w:val="24"/>
          <w:lang w:val="en-US" w:eastAsia="zh-CN"/>
        </w:rPr>
      </w:pPr>
      <w:r w:rsidRPr="00466806">
        <w:rPr>
          <w:rFonts w:ascii="Book Antiqua" w:eastAsia="SimSun" w:hAnsi="Book Antiqua" w:cs="Helvetica"/>
          <w:sz w:val="24"/>
          <w:szCs w:val="24"/>
          <w:lang w:val="en-US" w:eastAsia="zh-CN"/>
        </w:rPr>
        <w:lastRenderedPageBreak/>
        <w:t xml:space="preserve">Grade C (Good): </w:t>
      </w:r>
      <w:r w:rsidRPr="00466806">
        <w:rPr>
          <w:rFonts w:ascii="Book Antiqua" w:eastAsia="SimSun" w:hAnsi="Book Antiqua" w:cs="Helvetica" w:hint="eastAsia"/>
          <w:sz w:val="24"/>
          <w:szCs w:val="24"/>
          <w:lang w:val="en-US" w:eastAsia="zh-CN"/>
        </w:rPr>
        <w:t>C</w:t>
      </w:r>
    </w:p>
    <w:p w14:paraId="47D317C7" w14:textId="77777777" w:rsidR="00466806" w:rsidRPr="00466806" w:rsidRDefault="00466806" w:rsidP="00466806">
      <w:pPr>
        <w:shd w:val="clear" w:color="auto" w:fill="FFFFFF"/>
        <w:snapToGrid w:val="0"/>
        <w:spacing w:after="0" w:line="360" w:lineRule="auto"/>
        <w:jc w:val="both"/>
        <w:rPr>
          <w:rFonts w:ascii="Book Antiqua" w:eastAsia="SimSun" w:hAnsi="Book Antiqua" w:cs="Helvetica"/>
          <w:sz w:val="24"/>
          <w:szCs w:val="24"/>
          <w:lang w:val="en-US" w:eastAsia="zh-CN"/>
        </w:rPr>
      </w:pPr>
      <w:r w:rsidRPr="00466806">
        <w:rPr>
          <w:rFonts w:ascii="Book Antiqua" w:eastAsia="SimSun" w:hAnsi="Book Antiqua" w:cs="Helvetica"/>
          <w:sz w:val="24"/>
          <w:szCs w:val="24"/>
          <w:lang w:val="en-US" w:eastAsia="zh-CN"/>
        </w:rPr>
        <w:t xml:space="preserve">Grade D (Fair): </w:t>
      </w:r>
      <w:proofErr w:type="gramStart"/>
      <w:r w:rsidRPr="00466806">
        <w:rPr>
          <w:rFonts w:ascii="Book Antiqua" w:eastAsia="SimSun" w:hAnsi="Book Antiqua" w:cs="Helvetica" w:hint="eastAsia"/>
          <w:sz w:val="24"/>
          <w:szCs w:val="24"/>
          <w:lang w:val="en-US" w:eastAsia="zh-CN"/>
        </w:rPr>
        <w:t>0</w:t>
      </w:r>
      <w:proofErr w:type="gramEnd"/>
    </w:p>
    <w:p w14:paraId="7709DA20" w14:textId="356DAE0A" w:rsidR="00456E51" w:rsidRPr="00466806" w:rsidRDefault="00466806" w:rsidP="00466806">
      <w:pPr>
        <w:shd w:val="clear" w:color="auto" w:fill="FFFFFF"/>
        <w:snapToGrid w:val="0"/>
        <w:spacing w:after="0" w:line="360" w:lineRule="auto"/>
        <w:jc w:val="both"/>
        <w:rPr>
          <w:rFonts w:ascii="Book Antiqua" w:eastAsia="SimSun" w:hAnsi="Book Antiqua" w:cs="Helvetica"/>
          <w:sz w:val="24"/>
          <w:szCs w:val="24"/>
          <w:lang w:val="en-US" w:eastAsia="zh-CN"/>
        </w:rPr>
      </w:pPr>
      <w:r w:rsidRPr="00466806">
        <w:rPr>
          <w:rFonts w:ascii="Book Antiqua" w:eastAsia="SimSun" w:hAnsi="Book Antiqua" w:cs="Helvetica"/>
          <w:sz w:val="24"/>
          <w:szCs w:val="24"/>
          <w:lang w:val="en-US" w:eastAsia="zh-CN"/>
        </w:rPr>
        <w:t xml:space="preserve">Grade E (Poor): </w:t>
      </w:r>
      <w:r w:rsidRPr="00466806">
        <w:rPr>
          <w:rFonts w:ascii="Book Antiqua" w:eastAsia="SimSun" w:hAnsi="Book Antiqua" w:cs="Helvetica" w:hint="eastAsia"/>
          <w:sz w:val="24"/>
          <w:szCs w:val="24"/>
          <w:lang w:val="en-US" w:eastAsia="zh-CN"/>
        </w:rPr>
        <w:t>0</w:t>
      </w:r>
      <w:bookmarkEnd w:id="175"/>
      <w:bookmarkEnd w:id="176"/>
      <w:r w:rsidRPr="00466806">
        <w:rPr>
          <w:rFonts w:ascii="Book Antiqua" w:eastAsia="SimSun" w:hAnsi="Book Antiqua" w:cs="Helvetica" w:hint="eastAsia"/>
          <w:sz w:val="24"/>
          <w:szCs w:val="24"/>
          <w:lang w:val="en-US" w:eastAsia="zh-CN"/>
        </w:rPr>
        <w:t xml:space="preserve"> </w:t>
      </w:r>
      <w:bookmarkEnd w:id="173"/>
      <w:bookmarkEnd w:id="174"/>
      <w:bookmarkEnd w:id="177"/>
      <w:bookmarkEnd w:id="178"/>
    </w:p>
    <w:p w14:paraId="5001EC12" w14:textId="77777777" w:rsidR="00CB01A2" w:rsidRPr="00CD4428" w:rsidRDefault="00CB01A2" w:rsidP="00E17439">
      <w:pPr>
        <w:snapToGrid w:val="0"/>
        <w:spacing w:after="0" w:line="360" w:lineRule="auto"/>
        <w:jc w:val="both"/>
        <w:rPr>
          <w:rFonts w:ascii="Book Antiqua" w:hAnsi="Book Antiqua" w:cstheme="minorHAnsi"/>
          <w:sz w:val="24"/>
          <w:szCs w:val="24"/>
          <w:lang w:val="en-GB"/>
        </w:rPr>
      </w:pPr>
      <w:r w:rsidRPr="00CD4428">
        <w:rPr>
          <w:rFonts w:ascii="Book Antiqua" w:hAnsi="Book Antiqua" w:cstheme="minorHAnsi"/>
          <w:sz w:val="24"/>
          <w:szCs w:val="24"/>
          <w:lang w:val="en-GB"/>
        </w:rPr>
        <w:br w:type="page"/>
      </w:r>
    </w:p>
    <w:tbl>
      <w:tblPr>
        <w:tblpPr w:leftFromText="180" w:rightFromText="180" w:vertAnchor="page" w:horzAnchor="margin" w:tblpXSpec="center" w:tblpY="2718"/>
        <w:tblW w:w="11307" w:type="dxa"/>
        <w:tblBorders>
          <w:top w:val="single" w:sz="8" w:space="0" w:color="000000" w:themeColor="text1"/>
          <w:bottom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1668"/>
        <w:gridCol w:w="992"/>
        <w:gridCol w:w="1725"/>
        <w:gridCol w:w="2102"/>
        <w:gridCol w:w="1276"/>
        <w:gridCol w:w="1134"/>
        <w:gridCol w:w="1134"/>
        <w:gridCol w:w="1276"/>
      </w:tblGrid>
      <w:tr w:rsidR="00493066" w:rsidRPr="00CD4428" w14:paraId="0BDBEE13" w14:textId="77777777" w:rsidTr="0081653E">
        <w:trPr>
          <w:trHeight w:val="301"/>
        </w:trPr>
        <w:tc>
          <w:tcPr>
            <w:tcW w:w="1668" w:type="dxa"/>
          </w:tcPr>
          <w:p w14:paraId="44273DDC" w14:textId="5E7CB060" w:rsidR="00F333D4" w:rsidRPr="00B15F75" w:rsidRDefault="00B15F75" w:rsidP="002E4D4C">
            <w:pPr>
              <w:pStyle w:val="Pa19"/>
              <w:snapToGrid w:val="0"/>
              <w:spacing w:line="360" w:lineRule="auto"/>
              <w:jc w:val="both"/>
              <w:rPr>
                <w:rFonts w:ascii="Book Antiqua" w:hAnsi="Book Antiqua" w:cstheme="minorHAnsi"/>
                <w:b/>
                <w:bCs/>
                <w:lang w:val="en-GB" w:eastAsia="zh-CN"/>
              </w:rPr>
            </w:pPr>
            <w:r>
              <w:rPr>
                <w:rFonts w:ascii="Book Antiqua" w:hAnsi="Book Antiqua" w:cstheme="minorHAnsi"/>
                <w:b/>
                <w:bCs/>
                <w:lang w:val="en-GB"/>
              </w:rPr>
              <w:lastRenderedPageBreak/>
              <w:t>Study</w:t>
            </w:r>
          </w:p>
        </w:tc>
        <w:tc>
          <w:tcPr>
            <w:tcW w:w="992" w:type="dxa"/>
          </w:tcPr>
          <w:p w14:paraId="307CF8AA" w14:textId="38569C03" w:rsidR="00F333D4" w:rsidRPr="00CD4428" w:rsidRDefault="00F333D4" w:rsidP="00DA3505">
            <w:pPr>
              <w:pStyle w:val="Pa19"/>
              <w:snapToGrid w:val="0"/>
              <w:spacing w:line="360" w:lineRule="auto"/>
              <w:ind w:right="-36"/>
              <w:rPr>
                <w:rFonts w:ascii="Book Antiqua" w:hAnsi="Book Antiqua" w:cstheme="minorHAnsi"/>
                <w:lang w:val="en-GB"/>
              </w:rPr>
            </w:pPr>
            <w:r w:rsidRPr="00F333D4">
              <w:rPr>
                <w:rFonts w:ascii="Book Antiqua" w:hAnsi="Book Antiqua" w:cstheme="minorHAnsi"/>
                <w:b/>
                <w:bCs/>
                <w:i/>
                <w:lang w:val="en-GB"/>
              </w:rPr>
              <w:t>n</w:t>
            </w:r>
            <w:r w:rsidRPr="00CD4428">
              <w:rPr>
                <w:rFonts w:ascii="Book Antiqua" w:hAnsi="Book Antiqua" w:cstheme="minorHAnsi"/>
                <w:b/>
                <w:bCs/>
                <w:lang w:val="en-GB"/>
              </w:rPr>
              <w:t xml:space="preserve"> (patients)</w:t>
            </w:r>
          </w:p>
        </w:tc>
        <w:tc>
          <w:tcPr>
            <w:tcW w:w="1725" w:type="dxa"/>
          </w:tcPr>
          <w:p w14:paraId="03E0D20B" w14:textId="6D36BB13" w:rsidR="00F333D4" w:rsidRPr="005C106A" w:rsidRDefault="005C106A" w:rsidP="00DA3505">
            <w:pPr>
              <w:pStyle w:val="Pa19"/>
              <w:snapToGrid w:val="0"/>
              <w:spacing w:line="360" w:lineRule="auto"/>
              <w:rPr>
                <w:rFonts w:ascii="Book Antiqua" w:hAnsi="Book Antiqua" w:cstheme="minorHAnsi"/>
                <w:b/>
                <w:bCs/>
                <w:lang w:val="en-GB"/>
              </w:rPr>
            </w:pPr>
            <w:r>
              <w:rPr>
                <w:rFonts w:ascii="Book Antiqua" w:hAnsi="Book Antiqua" w:cstheme="minorHAnsi"/>
                <w:b/>
                <w:bCs/>
                <w:lang w:val="en-GB"/>
              </w:rPr>
              <w:t>Setting</w:t>
            </w:r>
            <w:r>
              <w:rPr>
                <w:rFonts w:ascii="Book Antiqua" w:hAnsi="Book Antiqua" w:cstheme="minorHAnsi" w:hint="eastAsia"/>
                <w:b/>
                <w:bCs/>
                <w:lang w:val="en-GB" w:eastAsia="zh-CN"/>
              </w:rPr>
              <w:t xml:space="preserve"> </w:t>
            </w:r>
            <w:r w:rsidR="00F333D4" w:rsidRPr="00CD4428">
              <w:rPr>
                <w:rFonts w:ascii="Book Antiqua" w:hAnsi="Book Antiqua" w:cstheme="minorHAnsi"/>
                <w:b/>
                <w:bCs/>
                <w:lang w:val="en-GB"/>
              </w:rPr>
              <w:t>of trial</w:t>
            </w:r>
          </w:p>
        </w:tc>
        <w:tc>
          <w:tcPr>
            <w:tcW w:w="2102" w:type="dxa"/>
          </w:tcPr>
          <w:p w14:paraId="62E6B3BB" w14:textId="08601E4E" w:rsidR="00F333D4" w:rsidRPr="00CD4428" w:rsidRDefault="00F333D4" w:rsidP="00DA3505">
            <w:pPr>
              <w:pStyle w:val="Pa19"/>
              <w:snapToGrid w:val="0"/>
              <w:spacing w:line="360" w:lineRule="auto"/>
              <w:rPr>
                <w:rFonts w:ascii="Book Antiqua" w:hAnsi="Book Antiqua" w:cstheme="minorHAnsi"/>
                <w:lang w:val="en-GB"/>
              </w:rPr>
            </w:pPr>
            <w:r w:rsidRPr="00CD4428">
              <w:rPr>
                <w:rFonts w:ascii="Book Antiqua" w:hAnsi="Book Antiqua" w:cstheme="minorHAnsi"/>
                <w:b/>
                <w:bCs/>
                <w:lang w:val="en-GB"/>
              </w:rPr>
              <w:t>Treatment arms</w:t>
            </w:r>
          </w:p>
        </w:tc>
        <w:tc>
          <w:tcPr>
            <w:tcW w:w="1276" w:type="dxa"/>
          </w:tcPr>
          <w:p w14:paraId="1191FE28" w14:textId="7CE76746" w:rsidR="00F333D4" w:rsidRPr="002E4D4C" w:rsidRDefault="002E4D4C" w:rsidP="00DA3505">
            <w:pPr>
              <w:pStyle w:val="Pa19"/>
              <w:snapToGrid w:val="0"/>
              <w:spacing w:line="360" w:lineRule="auto"/>
              <w:rPr>
                <w:rFonts w:ascii="Book Antiqua" w:hAnsi="Book Antiqua" w:cstheme="minorHAnsi"/>
                <w:b/>
                <w:bCs/>
                <w:lang w:val="en-GB"/>
              </w:rPr>
            </w:pPr>
            <w:r>
              <w:rPr>
                <w:rFonts w:ascii="Book Antiqua" w:hAnsi="Book Antiqua" w:cstheme="minorHAnsi"/>
                <w:b/>
                <w:bCs/>
                <w:lang w:val="en-GB"/>
              </w:rPr>
              <w:t>Clinical</w:t>
            </w:r>
            <w:r>
              <w:rPr>
                <w:rFonts w:ascii="Book Antiqua" w:hAnsi="Book Antiqua" w:cstheme="minorHAnsi" w:hint="eastAsia"/>
                <w:b/>
                <w:bCs/>
                <w:lang w:val="en-GB" w:eastAsia="zh-CN"/>
              </w:rPr>
              <w:t xml:space="preserve"> </w:t>
            </w:r>
            <w:r w:rsidR="00F333D4" w:rsidRPr="00CD4428">
              <w:rPr>
                <w:rFonts w:ascii="Book Antiqua" w:hAnsi="Book Antiqua" w:cstheme="minorHAnsi"/>
                <w:b/>
                <w:bCs/>
                <w:lang w:val="en-GB"/>
              </w:rPr>
              <w:t>response</w:t>
            </w:r>
          </w:p>
        </w:tc>
        <w:tc>
          <w:tcPr>
            <w:tcW w:w="1134" w:type="dxa"/>
          </w:tcPr>
          <w:p w14:paraId="4C5C028E" w14:textId="30B716FC" w:rsidR="00F333D4" w:rsidRPr="002E4D4C" w:rsidRDefault="002E4D4C" w:rsidP="00DA3505">
            <w:pPr>
              <w:pStyle w:val="Pa19"/>
              <w:snapToGrid w:val="0"/>
              <w:spacing w:line="360" w:lineRule="auto"/>
              <w:rPr>
                <w:rFonts w:ascii="Book Antiqua" w:hAnsi="Book Antiqua" w:cstheme="minorHAnsi"/>
                <w:b/>
                <w:bCs/>
                <w:lang w:val="en-GB"/>
              </w:rPr>
            </w:pPr>
            <w:r>
              <w:rPr>
                <w:rFonts w:ascii="Book Antiqua" w:hAnsi="Book Antiqua" w:cstheme="minorHAnsi"/>
                <w:b/>
                <w:bCs/>
                <w:lang w:val="en-GB"/>
              </w:rPr>
              <w:t>Clinica</w:t>
            </w:r>
            <w:r>
              <w:rPr>
                <w:rFonts w:ascii="Book Antiqua" w:hAnsi="Book Antiqua" w:cstheme="minorHAnsi" w:hint="eastAsia"/>
                <w:b/>
                <w:bCs/>
                <w:lang w:val="en-GB" w:eastAsia="zh-CN"/>
              </w:rPr>
              <w:t xml:space="preserve">l </w:t>
            </w:r>
            <w:r w:rsidR="00F333D4" w:rsidRPr="00CD4428">
              <w:rPr>
                <w:rFonts w:ascii="Book Antiqua" w:hAnsi="Book Antiqua" w:cstheme="minorHAnsi"/>
                <w:b/>
                <w:bCs/>
                <w:lang w:val="en-GB"/>
              </w:rPr>
              <w:t>remission</w:t>
            </w:r>
          </w:p>
        </w:tc>
        <w:tc>
          <w:tcPr>
            <w:tcW w:w="1134" w:type="dxa"/>
          </w:tcPr>
          <w:p w14:paraId="611781A5" w14:textId="5471EF73" w:rsidR="00F333D4" w:rsidRPr="0081653E" w:rsidRDefault="002E4D4C" w:rsidP="00DA3505">
            <w:pPr>
              <w:pStyle w:val="Pa19"/>
              <w:snapToGrid w:val="0"/>
              <w:spacing w:line="360" w:lineRule="auto"/>
              <w:rPr>
                <w:rFonts w:ascii="Book Antiqua" w:hAnsi="Book Antiqua" w:cstheme="minorHAnsi"/>
                <w:b/>
                <w:bCs/>
                <w:lang w:val="en-GB" w:eastAsia="zh-CN"/>
              </w:rPr>
            </w:pPr>
            <w:r>
              <w:rPr>
                <w:rFonts w:ascii="Book Antiqua" w:hAnsi="Book Antiqua" w:cstheme="minorHAnsi"/>
                <w:b/>
                <w:bCs/>
                <w:lang w:val="en-GB"/>
              </w:rPr>
              <w:t>CS-free</w:t>
            </w:r>
            <w:r>
              <w:rPr>
                <w:rFonts w:ascii="Book Antiqua" w:hAnsi="Book Antiqua" w:cstheme="minorHAnsi" w:hint="eastAsia"/>
                <w:b/>
                <w:bCs/>
                <w:lang w:val="en-GB" w:eastAsia="zh-CN"/>
              </w:rPr>
              <w:t xml:space="preserve"> </w:t>
            </w:r>
            <w:r w:rsidR="0081653E">
              <w:rPr>
                <w:rFonts w:ascii="Book Antiqua" w:hAnsi="Book Antiqua" w:cstheme="minorHAnsi"/>
                <w:b/>
                <w:bCs/>
                <w:lang w:val="en-GB"/>
              </w:rPr>
              <w:t>remission</w:t>
            </w:r>
          </w:p>
        </w:tc>
        <w:tc>
          <w:tcPr>
            <w:tcW w:w="1276" w:type="dxa"/>
          </w:tcPr>
          <w:p w14:paraId="62C71E22" w14:textId="31FBF4C2" w:rsidR="00F333D4" w:rsidRPr="0081653E" w:rsidRDefault="0081653E" w:rsidP="00DA3505">
            <w:pPr>
              <w:pStyle w:val="Pa19"/>
              <w:snapToGrid w:val="0"/>
              <w:spacing w:line="360" w:lineRule="auto"/>
              <w:rPr>
                <w:rFonts w:ascii="Book Antiqua" w:hAnsi="Book Antiqua" w:cstheme="minorHAnsi"/>
                <w:b/>
                <w:lang w:val="en-GB"/>
              </w:rPr>
            </w:pPr>
            <w:r>
              <w:rPr>
                <w:rFonts w:ascii="Book Antiqua" w:hAnsi="Book Antiqua" w:cstheme="minorHAnsi"/>
                <w:b/>
                <w:lang w:val="en-GB"/>
              </w:rPr>
              <w:t>Mucosal</w:t>
            </w:r>
            <w:r>
              <w:rPr>
                <w:rFonts w:ascii="Book Antiqua" w:hAnsi="Book Antiqua" w:cstheme="minorHAnsi" w:hint="eastAsia"/>
                <w:b/>
                <w:lang w:val="en-GB" w:eastAsia="zh-CN"/>
              </w:rPr>
              <w:t xml:space="preserve"> </w:t>
            </w:r>
            <w:r w:rsidR="00F333D4" w:rsidRPr="00CD4428">
              <w:rPr>
                <w:rFonts w:ascii="Book Antiqua" w:hAnsi="Book Antiqua" w:cstheme="minorHAnsi"/>
                <w:b/>
                <w:lang w:val="en-GB"/>
              </w:rPr>
              <w:t>healing</w:t>
            </w:r>
          </w:p>
        </w:tc>
      </w:tr>
      <w:tr w:rsidR="00493066" w:rsidRPr="00CD4428" w14:paraId="63E939E5" w14:textId="77777777" w:rsidTr="0081653E">
        <w:trPr>
          <w:trHeight w:val="828"/>
        </w:trPr>
        <w:tc>
          <w:tcPr>
            <w:tcW w:w="1668" w:type="dxa"/>
            <w:vMerge w:val="restart"/>
          </w:tcPr>
          <w:p w14:paraId="0F48FBB6" w14:textId="77777777" w:rsidR="00493066" w:rsidRPr="00493066" w:rsidRDefault="00493066" w:rsidP="002E4D4C">
            <w:pPr>
              <w:pStyle w:val="Pa0"/>
              <w:snapToGrid w:val="0"/>
              <w:spacing w:line="360" w:lineRule="auto"/>
              <w:jc w:val="both"/>
              <w:rPr>
                <w:rFonts w:ascii="Book Antiqua" w:hAnsi="Book Antiqua" w:cstheme="minorHAnsi"/>
                <w:lang w:val="en-GB"/>
              </w:rPr>
            </w:pPr>
            <w:r w:rsidRPr="00493066">
              <w:rPr>
                <w:rFonts w:ascii="Book Antiqua" w:hAnsi="Book Antiqua" w:cstheme="minorHAnsi"/>
                <w:lang w:val="en-GB"/>
              </w:rPr>
              <w:t>GEMINI 1</w:t>
            </w:r>
            <w:r w:rsidRPr="00493066">
              <w:rPr>
                <w:rFonts w:ascii="Book Antiqua" w:eastAsia="SabonLTStd-Roman" w:hAnsi="Book Antiqua" w:cstheme="minorHAnsi"/>
                <w:vertAlign w:val="superscript"/>
                <w:lang w:val="en-GB"/>
              </w:rPr>
              <w:t>[10]</w:t>
            </w:r>
            <w:r w:rsidRPr="00493066">
              <w:rPr>
                <w:rFonts w:ascii="Book Antiqua" w:eastAsia="SabonLTStd-Roman" w:hAnsi="Book Antiqua" w:cstheme="minorHAnsi"/>
                <w:lang w:val="en-GB"/>
              </w:rPr>
              <w:t xml:space="preserve"> </w:t>
            </w:r>
          </w:p>
          <w:p w14:paraId="7DED406B" w14:textId="77777777" w:rsidR="00493066" w:rsidRPr="00493066" w:rsidRDefault="00493066" w:rsidP="002E4D4C">
            <w:pPr>
              <w:pStyle w:val="Default"/>
              <w:snapToGrid w:val="0"/>
              <w:spacing w:line="360" w:lineRule="auto"/>
              <w:jc w:val="both"/>
              <w:rPr>
                <w:rFonts w:ascii="Book Antiqua" w:hAnsi="Book Antiqua" w:cstheme="minorHAnsi"/>
                <w:color w:val="auto"/>
                <w:lang w:val="en-GB"/>
              </w:rPr>
            </w:pPr>
            <w:r w:rsidRPr="00493066">
              <w:rPr>
                <w:rFonts w:ascii="Book Antiqua" w:hAnsi="Book Antiqua" w:cstheme="minorHAnsi"/>
                <w:color w:val="auto"/>
                <w:lang w:val="en-GB"/>
              </w:rPr>
              <w:t>2013</w:t>
            </w:r>
          </w:p>
        </w:tc>
        <w:tc>
          <w:tcPr>
            <w:tcW w:w="992" w:type="dxa"/>
            <w:vMerge w:val="restart"/>
          </w:tcPr>
          <w:p w14:paraId="11CD37C5" w14:textId="77777777" w:rsidR="00493066" w:rsidRPr="00CD4428" w:rsidRDefault="00493066"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374</w:t>
            </w:r>
          </w:p>
        </w:tc>
        <w:tc>
          <w:tcPr>
            <w:tcW w:w="1725" w:type="dxa"/>
          </w:tcPr>
          <w:p w14:paraId="08E12D74" w14:textId="77777777" w:rsidR="00493066" w:rsidRPr="00CD4428" w:rsidRDefault="00493066"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Induction</w:t>
            </w:r>
          </w:p>
          <w:p w14:paraId="3A1145F9" w14:textId="73F476A4" w:rsidR="00493066" w:rsidRPr="00CD4428" w:rsidRDefault="00493066" w:rsidP="00DA3505">
            <w:pPr>
              <w:pStyle w:val="Default"/>
              <w:snapToGrid w:val="0"/>
              <w:spacing w:line="360" w:lineRule="auto"/>
              <w:rPr>
                <w:rFonts w:ascii="Book Antiqua" w:hAnsi="Book Antiqua" w:cstheme="minorHAnsi"/>
                <w:color w:val="auto"/>
                <w:lang w:val="en-GB"/>
              </w:rPr>
            </w:pPr>
          </w:p>
        </w:tc>
        <w:tc>
          <w:tcPr>
            <w:tcW w:w="2102" w:type="dxa"/>
          </w:tcPr>
          <w:p w14:paraId="43B63035" w14:textId="77777777" w:rsidR="00493066" w:rsidRPr="00CD4428" w:rsidRDefault="00493066"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300 mg</w:t>
            </w:r>
          </w:p>
          <w:p w14:paraId="0E956614" w14:textId="545E0D44" w:rsidR="00493066" w:rsidRPr="00CD4428" w:rsidRDefault="00493066"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Placebo</w:t>
            </w:r>
          </w:p>
        </w:tc>
        <w:tc>
          <w:tcPr>
            <w:tcW w:w="1276" w:type="dxa"/>
          </w:tcPr>
          <w:p w14:paraId="1479C923" w14:textId="29E9721F" w:rsidR="00493066" w:rsidRPr="00CD4428" w:rsidRDefault="00493066"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47.1%</w:t>
            </w:r>
          </w:p>
          <w:p w14:paraId="12BBF41C" w14:textId="01F6103A" w:rsidR="00493066" w:rsidRPr="00493066" w:rsidRDefault="00493066" w:rsidP="00DA3505">
            <w:pPr>
              <w:pStyle w:val="Pa0"/>
              <w:snapToGrid w:val="0"/>
              <w:spacing w:line="360" w:lineRule="auto"/>
              <w:rPr>
                <w:rFonts w:ascii="Book Antiqua" w:hAnsi="Book Antiqua" w:cstheme="minorHAnsi"/>
                <w:lang w:val="en-GB" w:eastAsia="zh-CN"/>
              </w:rPr>
            </w:pPr>
            <w:r w:rsidRPr="00CD4428">
              <w:rPr>
                <w:rFonts w:ascii="Book Antiqua" w:hAnsi="Book Antiqua" w:cstheme="minorHAnsi"/>
                <w:lang w:val="en-GB"/>
              </w:rPr>
              <w:t>25.5%</w:t>
            </w:r>
          </w:p>
        </w:tc>
        <w:tc>
          <w:tcPr>
            <w:tcW w:w="1134" w:type="dxa"/>
          </w:tcPr>
          <w:p w14:paraId="4F908274" w14:textId="7BCBD936" w:rsidR="00493066" w:rsidRPr="00CD4428" w:rsidRDefault="00493066"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16.9%</w:t>
            </w:r>
          </w:p>
          <w:p w14:paraId="4EBD8873" w14:textId="5658F788" w:rsidR="00493066" w:rsidRPr="00CD4428" w:rsidRDefault="00493066" w:rsidP="00DA3505">
            <w:pPr>
              <w:pStyle w:val="Default"/>
              <w:snapToGrid w:val="0"/>
              <w:spacing w:line="360" w:lineRule="auto"/>
              <w:rPr>
                <w:rFonts w:ascii="Book Antiqua" w:hAnsi="Book Antiqua" w:cstheme="minorHAnsi"/>
                <w:color w:val="auto"/>
                <w:lang w:val="en-GB"/>
              </w:rPr>
            </w:pPr>
            <w:r w:rsidRPr="00CD4428">
              <w:rPr>
                <w:rFonts w:ascii="Book Antiqua" w:hAnsi="Book Antiqua" w:cstheme="minorHAnsi"/>
                <w:color w:val="auto"/>
                <w:lang w:val="en-GB"/>
              </w:rPr>
              <w:t>5.4%</w:t>
            </w:r>
          </w:p>
        </w:tc>
        <w:tc>
          <w:tcPr>
            <w:tcW w:w="1134" w:type="dxa"/>
          </w:tcPr>
          <w:p w14:paraId="582895AB" w14:textId="2C80AE1F" w:rsidR="00493066" w:rsidRPr="00CD4428" w:rsidRDefault="00493066"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__</w:t>
            </w:r>
          </w:p>
          <w:p w14:paraId="4505B0C6" w14:textId="26460A2B" w:rsidR="00493066" w:rsidRPr="00CD4428" w:rsidRDefault="00493066" w:rsidP="00DA3505">
            <w:pPr>
              <w:pStyle w:val="Pa0"/>
              <w:snapToGrid w:val="0"/>
              <w:spacing w:line="360" w:lineRule="auto"/>
              <w:rPr>
                <w:rFonts w:ascii="Book Antiqua" w:hAnsi="Book Antiqua" w:cstheme="minorHAnsi"/>
                <w:lang w:val="en-GB"/>
              </w:rPr>
            </w:pPr>
          </w:p>
        </w:tc>
        <w:tc>
          <w:tcPr>
            <w:tcW w:w="1276" w:type="dxa"/>
          </w:tcPr>
          <w:p w14:paraId="065B7C24" w14:textId="5FA4B8B2" w:rsidR="00493066" w:rsidRPr="00CD4428" w:rsidRDefault="00493066"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40.9%</w:t>
            </w:r>
          </w:p>
          <w:p w14:paraId="4FAE11AF" w14:textId="4D4E71E9" w:rsidR="00493066" w:rsidRPr="00CD4428" w:rsidRDefault="00493066" w:rsidP="00DA3505">
            <w:pPr>
              <w:pStyle w:val="Default"/>
              <w:snapToGrid w:val="0"/>
              <w:spacing w:line="360" w:lineRule="auto"/>
              <w:rPr>
                <w:rFonts w:ascii="Book Antiqua" w:hAnsi="Book Antiqua" w:cstheme="minorHAnsi"/>
                <w:color w:val="auto"/>
                <w:lang w:val="en-GB"/>
              </w:rPr>
            </w:pPr>
            <w:r w:rsidRPr="00CD4428">
              <w:rPr>
                <w:rFonts w:ascii="Book Antiqua" w:hAnsi="Book Antiqua" w:cstheme="minorHAnsi"/>
                <w:color w:val="auto"/>
                <w:lang w:val="en-GB"/>
              </w:rPr>
              <w:t>24.8%</w:t>
            </w:r>
          </w:p>
        </w:tc>
      </w:tr>
      <w:tr w:rsidR="00493066" w:rsidRPr="00CD4428" w14:paraId="31B37E92" w14:textId="77777777" w:rsidTr="001B7472">
        <w:trPr>
          <w:trHeight w:val="1141"/>
        </w:trPr>
        <w:tc>
          <w:tcPr>
            <w:tcW w:w="1668" w:type="dxa"/>
            <w:vMerge/>
          </w:tcPr>
          <w:p w14:paraId="48EBAB0A" w14:textId="77777777" w:rsidR="00493066" w:rsidRPr="00493066" w:rsidRDefault="00493066" w:rsidP="002E4D4C">
            <w:pPr>
              <w:pStyle w:val="Pa0"/>
              <w:snapToGrid w:val="0"/>
              <w:spacing w:line="360" w:lineRule="auto"/>
              <w:jc w:val="both"/>
              <w:rPr>
                <w:rFonts w:ascii="Book Antiqua" w:hAnsi="Book Antiqua" w:cstheme="minorHAnsi"/>
                <w:lang w:val="en-GB"/>
              </w:rPr>
            </w:pPr>
          </w:p>
        </w:tc>
        <w:tc>
          <w:tcPr>
            <w:tcW w:w="992" w:type="dxa"/>
            <w:vMerge/>
          </w:tcPr>
          <w:p w14:paraId="140D8104" w14:textId="77777777" w:rsidR="00493066" w:rsidRPr="00CD4428" w:rsidRDefault="00493066" w:rsidP="00DA3505">
            <w:pPr>
              <w:pStyle w:val="Pa0"/>
              <w:snapToGrid w:val="0"/>
              <w:spacing w:line="360" w:lineRule="auto"/>
              <w:rPr>
                <w:rFonts w:ascii="Book Antiqua" w:hAnsi="Book Antiqua" w:cstheme="minorHAnsi"/>
                <w:lang w:val="en-GB"/>
              </w:rPr>
            </w:pPr>
          </w:p>
        </w:tc>
        <w:tc>
          <w:tcPr>
            <w:tcW w:w="1725" w:type="dxa"/>
          </w:tcPr>
          <w:p w14:paraId="651B3CE2" w14:textId="21B9E78B" w:rsidR="00493066" w:rsidRPr="00CD4428" w:rsidRDefault="00493066" w:rsidP="00DA3505">
            <w:pPr>
              <w:pStyle w:val="Default"/>
              <w:snapToGrid w:val="0"/>
              <w:spacing w:line="360" w:lineRule="auto"/>
              <w:rPr>
                <w:rFonts w:ascii="Book Antiqua" w:hAnsi="Book Antiqua" w:cstheme="minorHAnsi"/>
                <w:lang w:val="en-GB"/>
              </w:rPr>
            </w:pPr>
            <w:r w:rsidRPr="00CD4428">
              <w:rPr>
                <w:rFonts w:ascii="Book Antiqua" w:hAnsi="Book Antiqua" w:cstheme="minorHAnsi"/>
                <w:color w:val="auto"/>
                <w:lang w:val="en-GB"/>
              </w:rPr>
              <w:t>Maintenance</w:t>
            </w:r>
          </w:p>
        </w:tc>
        <w:tc>
          <w:tcPr>
            <w:tcW w:w="2102" w:type="dxa"/>
          </w:tcPr>
          <w:p w14:paraId="505ECF0B" w14:textId="5574CB0A" w:rsidR="00493066" w:rsidRPr="00CD4428" w:rsidRDefault="00493066" w:rsidP="00DA3505">
            <w:pPr>
              <w:pStyle w:val="Default"/>
              <w:snapToGrid w:val="0"/>
              <w:spacing w:line="360" w:lineRule="auto"/>
              <w:rPr>
                <w:rFonts w:ascii="Book Antiqua" w:hAnsi="Book Antiqua" w:cstheme="minorHAnsi"/>
                <w:color w:val="auto"/>
                <w:lang w:val="en-GB"/>
              </w:rPr>
            </w:pPr>
            <w:r w:rsidRPr="00CD4428">
              <w:rPr>
                <w:rFonts w:ascii="Book Antiqua" w:hAnsi="Book Antiqua" w:cstheme="minorHAnsi"/>
                <w:color w:val="auto"/>
                <w:lang w:val="en-GB"/>
              </w:rPr>
              <w:t>300 mg 4 weekly</w:t>
            </w:r>
          </w:p>
          <w:p w14:paraId="6039C724" w14:textId="77777777" w:rsidR="00493066" w:rsidRPr="00CD4428" w:rsidRDefault="00493066"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300 mg 8 weekly</w:t>
            </w:r>
          </w:p>
          <w:p w14:paraId="60FBA069" w14:textId="23998A5E" w:rsidR="00493066" w:rsidRPr="00CD4428" w:rsidRDefault="00493066" w:rsidP="00DA3505">
            <w:pPr>
              <w:pStyle w:val="Default"/>
              <w:snapToGrid w:val="0"/>
              <w:spacing w:line="360" w:lineRule="auto"/>
              <w:rPr>
                <w:rFonts w:ascii="Book Antiqua" w:hAnsi="Book Antiqua" w:cstheme="minorHAnsi"/>
                <w:lang w:val="en-GB"/>
              </w:rPr>
            </w:pPr>
            <w:r w:rsidRPr="00CD4428">
              <w:rPr>
                <w:rFonts w:ascii="Book Antiqua" w:hAnsi="Book Antiqua" w:cstheme="minorHAnsi"/>
                <w:color w:val="auto"/>
                <w:lang w:val="en-GB"/>
              </w:rPr>
              <w:t>Placebo</w:t>
            </w:r>
          </w:p>
        </w:tc>
        <w:tc>
          <w:tcPr>
            <w:tcW w:w="1276" w:type="dxa"/>
          </w:tcPr>
          <w:p w14:paraId="3045D514" w14:textId="7C9E1ED6" w:rsidR="00493066" w:rsidRPr="00CD4428" w:rsidRDefault="00493066"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__</w:t>
            </w:r>
          </w:p>
        </w:tc>
        <w:tc>
          <w:tcPr>
            <w:tcW w:w="1134" w:type="dxa"/>
          </w:tcPr>
          <w:p w14:paraId="3D4385D6" w14:textId="591200A3" w:rsidR="00493066" w:rsidRPr="00CD4428" w:rsidRDefault="00493066" w:rsidP="00DA3505">
            <w:pPr>
              <w:pStyle w:val="Default"/>
              <w:snapToGrid w:val="0"/>
              <w:spacing w:line="360" w:lineRule="auto"/>
              <w:rPr>
                <w:rFonts w:ascii="Book Antiqua" w:hAnsi="Book Antiqua" w:cstheme="minorHAnsi"/>
                <w:color w:val="auto"/>
                <w:lang w:val="en-GB"/>
              </w:rPr>
            </w:pPr>
            <w:r w:rsidRPr="00CD4428">
              <w:rPr>
                <w:rFonts w:ascii="Book Antiqua" w:hAnsi="Book Antiqua" w:cstheme="minorHAnsi"/>
                <w:color w:val="auto"/>
                <w:lang w:val="en-GB"/>
              </w:rPr>
              <w:t>44.8%</w:t>
            </w:r>
          </w:p>
          <w:p w14:paraId="627236CF" w14:textId="3876BF12" w:rsidR="00493066" w:rsidRPr="00CD4428" w:rsidRDefault="00493066"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41.8%</w:t>
            </w:r>
          </w:p>
          <w:p w14:paraId="020C408D" w14:textId="3E300046" w:rsidR="00493066" w:rsidRDefault="00493066"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15.9%</w:t>
            </w:r>
          </w:p>
        </w:tc>
        <w:tc>
          <w:tcPr>
            <w:tcW w:w="1134" w:type="dxa"/>
          </w:tcPr>
          <w:p w14:paraId="01E8E0D4" w14:textId="2E9033B4" w:rsidR="00493066" w:rsidRPr="00CD4428" w:rsidRDefault="00493066"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45.2%</w:t>
            </w:r>
          </w:p>
          <w:p w14:paraId="5E05CD7A" w14:textId="6D1C4D7D" w:rsidR="00493066" w:rsidRPr="00CD4428" w:rsidRDefault="00493066"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31.4%</w:t>
            </w:r>
          </w:p>
          <w:p w14:paraId="2B15245C" w14:textId="2DF7A2C9" w:rsidR="00493066" w:rsidRDefault="00493066"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13.9%</w:t>
            </w:r>
          </w:p>
        </w:tc>
        <w:tc>
          <w:tcPr>
            <w:tcW w:w="1276" w:type="dxa"/>
          </w:tcPr>
          <w:p w14:paraId="62064576" w14:textId="102CD45C" w:rsidR="00493066" w:rsidRPr="00CD4428" w:rsidRDefault="00493066" w:rsidP="00DA3505">
            <w:pPr>
              <w:pStyle w:val="Default"/>
              <w:snapToGrid w:val="0"/>
              <w:spacing w:line="360" w:lineRule="auto"/>
              <w:rPr>
                <w:rFonts w:ascii="Book Antiqua" w:hAnsi="Book Antiqua" w:cstheme="minorHAnsi"/>
                <w:color w:val="auto"/>
                <w:lang w:val="en-GB"/>
              </w:rPr>
            </w:pPr>
            <w:r w:rsidRPr="00CD4428">
              <w:rPr>
                <w:rFonts w:ascii="Book Antiqua" w:hAnsi="Book Antiqua" w:cstheme="minorHAnsi"/>
                <w:color w:val="auto"/>
                <w:lang w:val="en-GB"/>
              </w:rPr>
              <w:t>56.0%</w:t>
            </w:r>
          </w:p>
          <w:p w14:paraId="25A3A2B3" w14:textId="22DB9102" w:rsidR="00493066" w:rsidRPr="00CD4428" w:rsidRDefault="00493066"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51.6%</w:t>
            </w:r>
          </w:p>
          <w:p w14:paraId="6520ADAC" w14:textId="5C56CD6C" w:rsidR="00493066" w:rsidRPr="00CD4428" w:rsidRDefault="00493066"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19.8%</w:t>
            </w:r>
          </w:p>
        </w:tc>
      </w:tr>
      <w:tr w:rsidR="00493066" w:rsidRPr="00CD4428" w14:paraId="3E88B2DB" w14:textId="77777777" w:rsidTr="0081653E">
        <w:trPr>
          <w:trHeight w:val="815"/>
        </w:trPr>
        <w:tc>
          <w:tcPr>
            <w:tcW w:w="1668" w:type="dxa"/>
            <w:vMerge w:val="restart"/>
          </w:tcPr>
          <w:p w14:paraId="38F161DF" w14:textId="77777777" w:rsidR="00493066" w:rsidRPr="00493066" w:rsidRDefault="00493066" w:rsidP="002E4D4C">
            <w:pPr>
              <w:pStyle w:val="Pa0"/>
              <w:snapToGrid w:val="0"/>
              <w:spacing w:line="360" w:lineRule="auto"/>
              <w:jc w:val="both"/>
              <w:rPr>
                <w:rFonts w:ascii="Book Antiqua" w:hAnsi="Book Antiqua" w:cstheme="minorHAnsi"/>
                <w:lang w:val="en-GB"/>
              </w:rPr>
            </w:pPr>
            <w:r w:rsidRPr="00493066">
              <w:rPr>
                <w:rFonts w:ascii="Book Antiqua" w:hAnsi="Book Antiqua" w:cstheme="minorHAnsi"/>
                <w:lang w:val="en-GB"/>
              </w:rPr>
              <w:t>GEMINI 2</w:t>
            </w:r>
            <w:r w:rsidRPr="00493066">
              <w:rPr>
                <w:rFonts w:ascii="Book Antiqua" w:eastAsia="SabonLTStd-Roman" w:hAnsi="Book Antiqua" w:cstheme="minorHAnsi"/>
                <w:vertAlign w:val="superscript"/>
                <w:lang w:val="en-GB"/>
              </w:rPr>
              <w:t>[11]</w:t>
            </w:r>
            <w:r w:rsidRPr="00493066">
              <w:rPr>
                <w:rFonts w:ascii="Book Antiqua" w:eastAsia="SabonLTStd-Roman" w:hAnsi="Book Antiqua" w:cstheme="minorHAnsi"/>
                <w:lang w:val="en-GB"/>
              </w:rPr>
              <w:t xml:space="preserve"> </w:t>
            </w:r>
          </w:p>
          <w:p w14:paraId="1F447723" w14:textId="77777777" w:rsidR="00493066" w:rsidRPr="00493066" w:rsidRDefault="00493066" w:rsidP="002E4D4C">
            <w:pPr>
              <w:pStyle w:val="Default"/>
              <w:snapToGrid w:val="0"/>
              <w:spacing w:line="360" w:lineRule="auto"/>
              <w:jc w:val="both"/>
              <w:rPr>
                <w:rFonts w:ascii="Book Antiqua" w:hAnsi="Book Antiqua"/>
                <w:color w:val="auto"/>
                <w:lang w:val="en-GB"/>
              </w:rPr>
            </w:pPr>
            <w:r w:rsidRPr="00493066">
              <w:rPr>
                <w:rFonts w:ascii="Book Antiqua" w:hAnsi="Book Antiqua" w:cstheme="minorHAnsi"/>
                <w:color w:val="auto"/>
                <w:lang w:val="en-GB"/>
              </w:rPr>
              <w:t>2013</w:t>
            </w:r>
          </w:p>
        </w:tc>
        <w:tc>
          <w:tcPr>
            <w:tcW w:w="992" w:type="dxa"/>
            <w:vMerge w:val="restart"/>
          </w:tcPr>
          <w:p w14:paraId="209B4C5D" w14:textId="77777777" w:rsidR="00493066" w:rsidRPr="00CD4428" w:rsidRDefault="00493066"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368</w:t>
            </w:r>
          </w:p>
        </w:tc>
        <w:tc>
          <w:tcPr>
            <w:tcW w:w="1725" w:type="dxa"/>
          </w:tcPr>
          <w:p w14:paraId="4A30EFAB" w14:textId="44E52342" w:rsidR="00493066" w:rsidRPr="00CD4428" w:rsidRDefault="002E4D4C" w:rsidP="00DA3505">
            <w:pPr>
              <w:pStyle w:val="Pa0"/>
              <w:snapToGrid w:val="0"/>
              <w:spacing w:line="360" w:lineRule="auto"/>
              <w:rPr>
                <w:rFonts w:ascii="Book Antiqua" w:hAnsi="Book Antiqua" w:cstheme="minorHAnsi"/>
                <w:lang w:val="en-GB" w:eastAsia="zh-CN"/>
              </w:rPr>
            </w:pPr>
            <w:r>
              <w:rPr>
                <w:rFonts w:ascii="Book Antiqua" w:hAnsi="Book Antiqua" w:cstheme="minorHAnsi"/>
                <w:lang w:val="en-GB"/>
              </w:rPr>
              <w:t>Induction</w:t>
            </w:r>
          </w:p>
        </w:tc>
        <w:tc>
          <w:tcPr>
            <w:tcW w:w="2102" w:type="dxa"/>
          </w:tcPr>
          <w:p w14:paraId="676D9E9E" w14:textId="77777777" w:rsidR="00493066" w:rsidRPr="00CD4428" w:rsidRDefault="00493066"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300 mg</w:t>
            </w:r>
          </w:p>
          <w:p w14:paraId="140423F2" w14:textId="5A7E28D1" w:rsidR="00493066" w:rsidRPr="00CD4428" w:rsidRDefault="00493066" w:rsidP="00DA3505">
            <w:pPr>
              <w:pStyle w:val="Pa0"/>
              <w:snapToGrid w:val="0"/>
              <w:spacing w:line="360" w:lineRule="auto"/>
              <w:rPr>
                <w:rFonts w:ascii="Book Antiqua" w:hAnsi="Book Antiqua" w:cstheme="minorHAnsi"/>
                <w:lang w:val="en-GB" w:eastAsia="zh-CN"/>
              </w:rPr>
            </w:pPr>
            <w:r w:rsidRPr="00CD4428">
              <w:rPr>
                <w:rFonts w:ascii="Book Antiqua" w:hAnsi="Book Antiqua" w:cstheme="minorHAnsi"/>
                <w:lang w:val="en-GB"/>
              </w:rPr>
              <w:t>Placebo</w:t>
            </w:r>
          </w:p>
        </w:tc>
        <w:tc>
          <w:tcPr>
            <w:tcW w:w="1276" w:type="dxa"/>
          </w:tcPr>
          <w:p w14:paraId="170F52A6" w14:textId="09137DF5" w:rsidR="00493066" w:rsidRPr="00CD4428" w:rsidRDefault="00493066"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31.4%</w:t>
            </w:r>
          </w:p>
          <w:p w14:paraId="0BE2195D" w14:textId="34F0B4AA" w:rsidR="00493066" w:rsidRPr="00CD4428" w:rsidRDefault="00493066" w:rsidP="00DA3505">
            <w:pPr>
              <w:pStyle w:val="Pa0"/>
              <w:snapToGrid w:val="0"/>
              <w:spacing w:line="360" w:lineRule="auto"/>
              <w:rPr>
                <w:rFonts w:ascii="Book Antiqua" w:hAnsi="Book Antiqua" w:cstheme="minorHAnsi"/>
                <w:lang w:val="en-GB" w:eastAsia="zh-CN"/>
              </w:rPr>
            </w:pPr>
            <w:r w:rsidRPr="00CD4428">
              <w:rPr>
                <w:rFonts w:ascii="Book Antiqua" w:hAnsi="Book Antiqua" w:cstheme="minorHAnsi"/>
                <w:lang w:val="en-GB"/>
              </w:rPr>
              <w:t>25.7%</w:t>
            </w:r>
          </w:p>
        </w:tc>
        <w:tc>
          <w:tcPr>
            <w:tcW w:w="1134" w:type="dxa"/>
          </w:tcPr>
          <w:p w14:paraId="49DC9785" w14:textId="77777777" w:rsidR="00493066" w:rsidRPr="00CD4428" w:rsidRDefault="00493066"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14.5%</w:t>
            </w:r>
          </w:p>
          <w:p w14:paraId="335C5199" w14:textId="4BD3CBB0" w:rsidR="00493066" w:rsidRPr="00CD4428" w:rsidRDefault="00493066" w:rsidP="00DA3505">
            <w:pPr>
              <w:pStyle w:val="Default"/>
              <w:snapToGrid w:val="0"/>
              <w:spacing w:line="360" w:lineRule="auto"/>
              <w:rPr>
                <w:rFonts w:ascii="Book Antiqua" w:hAnsi="Book Antiqua" w:cstheme="minorHAnsi"/>
                <w:color w:val="auto"/>
                <w:lang w:val="en-GB" w:eastAsia="zh-CN"/>
              </w:rPr>
            </w:pPr>
            <w:r w:rsidRPr="00CD4428">
              <w:rPr>
                <w:rFonts w:ascii="Book Antiqua" w:hAnsi="Book Antiqua" w:cstheme="minorHAnsi"/>
                <w:color w:val="auto"/>
                <w:lang w:val="en-GB"/>
              </w:rPr>
              <w:t>6.8%</w:t>
            </w:r>
          </w:p>
        </w:tc>
        <w:tc>
          <w:tcPr>
            <w:tcW w:w="1134" w:type="dxa"/>
          </w:tcPr>
          <w:p w14:paraId="5BF270AF" w14:textId="75919FC2" w:rsidR="00493066" w:rsidRPr="00CD4428" w:rsidRDefault="00493066"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__</w:t>
            </w:r>
          </w:p>
        </w:tc>
        <w:tc>
          <w:tcPr>
            <w:tcW w:w="1276" w:type="dxa"/>
          </w:tcPr>
          <w:p w14:paraId="1F2B4837" w14:textId="77777777" w:rsidR="00493066" w:rsidRPr="00CD4428" w:rsidRDefault="00493066"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__</w:t>
            </w:r>
          </w:p>
          <w:p w14:paraId="5BBB6118" w14:textId="77777777" w:rsidR="00493066" w:rsidRPr="00CD4428" w:rsidRDefault="00493066" w:rsidP="00DA3505">
            <w:pPr>
              <w:pStyle w:val="Pa0"/>
              <w:snapToGrid w:val="0"/>
              <w:spacing w:line="360" w:lineRule="auto"/>
              <w:rPr>
                <w:rFonts w:ascii="Book Antiqua" w:hAnsi="Book Antiqua" w:cstheme="minorHAnsi"/>
                <w:lang w:val="en-GB"/>
              </w:rPr>
            </w:pPr>
          </w:p>
        </w:tc>
      </w:tr>
      <w:tr w:rsidR="00493066" w:rsidRPr="00CD4428" w14:paraId="4657639D" w14:textId="77777777" w:rsidTr="0081653E">
        <w:trPr>
          <w:trHeight w:val="1236"/>
        </w:trPr>
        <w:tc>
          <w:tcPr>
            <w:tcW w:w="1668" w:type="dxa"/>
            <w:vMerge/>
          </w:tcPr>
          <w:p w14:paraId="764A530F" w14:textId="77777777" w:rsidR="00493066" w:rsidRPr="00493066" w:rsidRDefault="00493066" w:rsidP="002E4D4C">
            <w:pPr>
              <w:pStyle w:val="Pa0"/>
              <w:snapToGrid w:val="0"/>
              <w:spacing w:line="360" w:lineRule="auto"/>
              <w:jc w:val="both"/>
              <w:rPr>
                <w:rFonts w:ascii="Book Antiqua" w:hAnsi="Book Antiqua" w:cstheme="minorHAnsi"/>
                <w:lang w:val="en-GB"/>
              </w:rPr>
            </w:pPr>
          </w:p>
        </w:tc>
        <w:tc>
          <w:tcPr>
            <w:tcW w:w="992" w:type="dxa"/>
            <w:vMerge/>
          </w:tcPr>
          <w:p w14:paraId="1C615A11" w14:textId="77777777" w:rsidR="00493066" w:rsidRPr="00CD4428" w:rsidRDefault="00493066" w:rsidP="00DA3505">
            <w:pPr>
              <w:pStyle w:val="Pa0"/>
              <w:snapToGrid w:val="0"/>
              <w:spacing w:line="360" w:lineRule="auto"/>
              <w:rPr>
                <w:rFonts w:ascii="Book Antiqua" w:hAnsi="Book Antiqua" w:cstheme="minorHAnsi"/>
                <w:lang w:val="en-GB"/>
              </w:rPr>
            </w:pPr>
          </w:p>
        </w:tc>
        <w:tc>
          <w:tcPr>
            <w:tcW w:w="1725" w:type="dxa"/>
          </w:tcPr>
          <w:p w14:paraId="5DC8FC24" w14:textId="16D1B020" w:rsidR="00493066" w:rsidRPr="00CD4428" w:rsidRDefault="00493066"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Maintenance</w:t>
            </w:r>
          </w:p>
        </w:tc>
        <w:tc>
          <w:tcPr>
            <w:tcW w:w="2102" w:type="dxa"/>
          </w:tcPr>
          <w:tbl>
            <w:tblPr>
              <w:tblW w:w="10861" w:type="dxa"/>
              <w:tblBorders>
                <w:top w:val="nil"/>
                <w:left w:val="nil"/>
                <w:bottom w:val="nil"/>
                <w:right w:val="nil"/>
              </w:tblBorders>
              <w:tblLayout w:type="fixed"/>
              <w:tblLook w:val="0000" w:firstRow="0" w:lastRow="0" w:firstColumn="0" w:lastColumn="0" w:noHBand="0" w:noVBand="0"/>
            </w:tblPr>
            <w:tblGrid>
              <w:gridCol w:w="10861"/>
            </w:tblGrid>
            <w:tr w:rsidR="00360DF8" w:rsidRPr="00CD4428" w14:paraId="51EBB4BE" w14:textId="77777777" w:rsidTr="003201A3">
              <w:trPr>
                <w:trHeight w:val="1342"/>
              </w:trPr>
              <w:tc>
                <w:tcPr>
                  <w:tcW w:w="10861" w:type="dxa"/>
                </w:tcPr>
                <w:p w14:paraId="12AEEC67" w14:textId="77777777" w:rsidR="00360DF8" w:rsidRPr="00CD4428" w:rsidRDefault="00360DF8" w:rsidP="00875F84">
                  <w:pPr>
                    <w:pStyle w:val="Default"/>
                    <w:framePr w:hSpace="180" w:wrap="around" w:vAnchor="page" w:hAnchor="margin" w:xAlign="center" w:y="2718"/>
                    <w:snapToGrid w:val="0"/>
                    <w:spacing w:line="360" w:lineRule="auto"/>
                    <w:rPr>
                      <w:rFonts w:ascii="Book Antiqua" w:hAnsi="Book Antiqua" w:cstheme="minorHAnsi"/>
                      <w:color w:val="auto"/>
                      <w:lang w:val="en-GB"/>
                    </w:rPr>
                  </w:pPr>
                  <w:r w:rsidRPr="00CD4428">
                    <w:rPr>
                      <w:rFonts w:ascii="Book Antiqua" w:hAnsi="Book Antiqua" w:cstheme="minorHAnsi"/>
                      <w:color w:val="auto"/>
                      <w:lang w:val="en-GB"/>
                    </w:rPr>
                    <w:t>300 mg 4 weekly</w:t>
                  </w:r>
                </w:p>
                <w:p w14:paraId="5BAFEB08" w14:textId="77777777" w:rsidR="00360DF8" w:rsidRPr="00CD4428" w:rsidRDefault="00360DF8" w:rsidP="00875F84">
                  <w:pPr>
                    <w:pStyle w:val="Pa0"/>
                    <w:framePr w:hSpace="180" w:wrap="around" w:vAnchor="page" w:hAnchor="margin" w:xAlign="center" w:y="2718"/>
                    <w:snapToGrid w:val="0"/>
                    <w:spacing w:line="360" w:lineRule="auto"/>
                    <w:rPr>
                      <w:rFonts w:ascii="Book Antiqua" w:hAnsi="Book Antiqua" w:cstheme="minorHAnsi"/>
                      <w:lang w:val="en-GB"/>
                    </w:rPr>
                  </w:pPr>
                  <w:r w:rsidRPr="00CD4428">
                    <w:rPr>
                      <w:rFonts w:ascii="Book Antiqua" w:hAnsi="Book Antiqua" w:cstheme="minorHAnsi"/>
                      <w:lang w:val="en-GB"/>
                    </w:rPr>
                    <w:t>300 mg 8 weekly</w:t>
                  </w:r>
                </w:p>
                <w:p w14:paraId="32CF3331" w14:textId="06D873EB" w:rsidR="00360DF8" w:rsidRPr="00CD4428" w:rsidRDefault="00360DF8" w:rsidP="00875F84">
                  <w:pPr>
                    <w:pStyle w:val="Default"/>
                    <w:framePr w:hSpace="180" w:wrap="around" w:vAnchor="page" w:hAnchor="margin" w:xAlign="center" w:y="2718"/>
                    <w:snapToGrid w:val="0"/>
                    <w:spacing w:line="360" w:lineRule="auto"/>
                    <w:rPr>
                      <w:rFonts w:ascii="Book Antiqua" w:hAnsi="Book Antiqua" w:cstheme="minorHAnsi"/>
                      <w:color w:val="auto"/>
                      <w:lang w:val="en-GB"/>
                    </w:rPr>
                  </w:pPr>
                  <w:r w:rsidRPr="00CD4428">
                    <w:rPr>
                      <w:rFonts w:ascii="Book Antiqua" w:hAnsi="Book Antiqua" w:cstheme="minorHAnsi"/>
                      <w:color w:val="auto"/>
                      <w:lang w:val="en-GB"/>
                    </w:rPr>
                    <w:t>Placebo</w:t>
                  </w:r>
                </w:p>
              </w:tc>
            </w:tr>
          </w:tbl>
          <w:p w14:paraId="027DD33D" w14:textId="77777777" w:rsidR="00493066" w:rsidRPr="00CD4428" w:rsidRDefault="00493066" w:rsidP="00DA3505">
            <w:pPr>
              <w:pStyle w:val="Pa0"/>
              <w:snapToGrid w:val="0"/>
              <w:spacing w:line="360" w:lineRule="auto"/>
              <w:rPr>
                <w:rFonts w:ascii="Book Antiqua" w:hAnsi="Book Antiqua" w:cstheme="minorHAnsi"/>
                <w:lang w:val="en-GB" w:eastAsia="zh-CN"/>
              </w:rPr>
            </w:pPr>
          </w:p>
        </w:tc>
        <w:tc>
          <w:tcPr>
            <w:tcW w:w="1276" w:type="dxa"/>
          </w:tcPr>
          <w:p w14:paraId="59B69768" w14:textId="257162D2" w:rsidR="002E4D4C" w:rsidRPr="00CD4428" w:rsidRDefault="002E4D4C"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45.5%</w:t>
            </w:r>
          </w:p>
          <w:p w14:paraId="4CDB44ED" w14:textId="77777777" w:rsidR="002E4D4C" w:rsidRPr="00CD4428" w:rsidRDefault="002E4D4C"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43.5%</w:t>
            </w:r>
          </w:p>
          <w:p w14:paraId="301D7CB0" w14:textId="12F01144" w:rsidR="00493066" w:rsidRPr="00CD4428" w:rsidRDefault="002E4D4C"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30.1%</w:t>
            </w:r>
          </w:p>
        </w:tc>
        <w:tc>
          <w:tcPr>
            <w:tcW w:w="1134" w:type="dxa"/>
          </w:tcPr>
          <w:tbl>
            <w:tblPr>
              <w:tblW w:w="10861" w:type="dxa"/>
              <w:tblBorders>
                <w:top w:val="nil"/>
                <w:left w:val="nil"/>
                <w:bottom w:val="nil"/>
                <w:right w:val="nil"/>
              </w:tblBorders>
              <w:tblLayout w:type="fixed"/>
              <w:tblLook w:val="0000" w:firstRow="0" w:lastRow="0" w:firstColumn="0" w:lastColumn="0" w:noHBand="0" w:noVBand="0"/>
            </w:tblPr>
            <w:tblGrid>
              <w:gridCol w:w="10861"/>
            </w:tblGrid>
            <w:tr w:rsidR="00360DF8" w:rsidRPr="00CD4428" w14:paraId="0E8679D4" w14:textId="77777777" w:rsidTr="00393134">
              <w:trPr>
                <w:trHeight w:val="1342"/>
              </w:trPr>
              <w:tc>
                <w:tcPr>
                  <w:tcW w:w="10861" w:type="dxa"/>
                </w:tcPr>
                <w:p w14:paraId="41CF68C2" w14:textId="77777777" w:rsidR="00360DF8" w:rsidRPr="00CD4428" w:rsidRDefault="00360DF8" w:rsidP="00875F84">
                  <w:pPr>
                    <w:pStyle w:val="Default"/>
                    <w:framePr w:hSpace="180" w:wrap="around" w:vAnchor="page" w:hAnchor="margin" w:xAlign="center" w:y="2718"/>
                    <w:snapToGrid w:val="0"/>
                    <w:spacing w:line="360" w:lineRule="auto"/>
                    <w:rPr>
                      <w:rFonts w:ascii="Book Antiqua" w:hAnsi="Book Antiqua" w:cstheme="minorHAnsi"/>
                      <w:color w:val="auto"/>
                      <w:lang w:val="en-GB"/>
                    </w:rPr>
                  </w:pPr>
                  <w:r w:rsidRPr="00CD4428">
                    <w:rPr>
                      <w:rFonts w:ascii="Book Antiqua" w:hAnsi="Book Antiqua" w:cstheme="minorHAnsi"/>
                      <w:color w:val="auto"/>
                      <w:lang w:val="en-GB"/>
                    </w:rPr>
                    <w:t>36.4%</w:t>
                  </w:r>
                </w:p>
                <w:p w14:paraId="4CF2AED8" w14:textId="77777777" w:rsidR="00360DF8" w:rsidRPr="00CD4428" w:rsidRDefault="00360DF8" w:rsidP="00875F84">
                  <w:pPr>
                    <w:pStyle w:val="Pa0"/>
                    <w:framePr w:hSpace="180" w:wrap="around" w:vAnchor="page" w:hAnchor="margin" w:xAlign="center" w:y="2718"/>
                    <w:snapToGrid w:val="0"/>
                    <w:spacing w:line="360" w:lineRule="auto"/>
                    <w:rPr>
                      <w:rFonts w:ascii="Book Antiqua" w:hAnsi="Book Antiqua" w:cstheme="minorHAnsi"/>
                      <w:lang w:val="en-GB"/>
                    </w:rPr>
                  </w:pPr>
                  <w:r w:rsidRPr="00CD4428">
                    <w:rPr>
                      <w:rFonts w:ascii="Book Antiqua" w:hAnsi="Book Antiqua" w:cstheme="minorHAnsi"/>
                      <w:lang w:val="en-GB"/>
                    </w:rPr>
                    <w:t>39.0%</w:t>
                  </w:r>
                </w:p>
                <w:p w14:paraId="41D11E5C" w14:textId="152A828B" w:rsidR="00360DF8" w:rsidRPr="00CD4428" w:rsidRDefault="00360DF8" w:rsidP="00875F84">
                  <w:pPr>
                    <w:pStyle w:val="Pa0"/>
                    <w:framePr w:hSpace="180" w:wrap="around" w:vAnchor="page" w:hAnchor="margin" w:xAlign="center" w:y="2718"/>
                    <w:snapToGrid w:val="0"/>
                    <w:spacing w:line="360" w:lineRule="auto"/>
                    <w:rPr>
                      <w:rFonts w:ascii="Book Antiqua" w:hAnsi="Book Antiqua" w:cstheme="minorHAnsi"/>
                      <w:lang w:val="en-GB"/>
                    </w:rPr>
                  </w:pPr>
                  <w:r w:rsidRPr="00CD4428">
                    <w:rPr>
                      <w:rFonts w:ascii="Book Antiqua" w:hAnsi="Book Antiqua" w:cstheme="minorHAnsi"/>
                      <w:lang w:val="en-GB"/>
                    </w:rPr>
                    <w:t>21.6%</w:t>
                  </w:r>
                </w:p>
              </w:tc>
            </w:tr>
          </w:tbl>
          <w:p w14:paraId="76454840" w14:textId="77777777" w:rsidR="00493066" w:rsidRPr="00CD4428" w:rsidRDefault="00493066" w:rsidP="00DA3505">
            <w:pPr>
              <w:pStyle w:val="Pa0"/>
              <w:snapToGrid w:val="0"/>
              <w:spacing w:line="360" w:lineRule="auto"/>
              <w:rPr>
                <w:rFonts w:ascii="Book Antiqua" w:hAnsi="Book Antiqua" w:cstheme="minorHAnsi"/>
                <w:lang w:val="en-GB"/>
              </w:rPr>
            </w:pPr>
          </w:p>
        </w:tc>
        <w:tc>
          <w:tcPr>
            <w:tcW w:w="1134" w:type="dxa"/>
          </w:tcPr>
          <w:p w14:paraId="1C9FA148" w14:textId="5DB831CE" w:rsidR="002E4D4C" w:rsidRPr="00CD4428" w:rsidRDefault="002E4D4C"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28.8%</w:t>
            </w:r>
          </w:p>
          <w:p w14:paraId="32FAFDEE" w14:textId="7E5B8E4A" w:rsidR="002E4D4C" w:rsidRPr="00CD4428" w:rsidRDefault="002E4D4C"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31.7%</w:t>
            </w:r>
          </w:p>
          <w:p w14:paraId="5AF1A7B3" w14:textId="196EA0A6" w:rsidR="00493066" w:rsidRDefault="002E4D4C"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15.9%</w:t>
            </w:r>
          </w:p>
        </w:tc>
        <w:tc>
          <w:tcPr>
            <w:tcW w:w="1276" w:type="dxa"/>
          </w:tcPr>
          <w:tbl>
            <w:tblPr>
              <w:tblW w:w="10861" w:type="dxa"/>
              <w:tblBorders>
                <w:top w:val="nil"/>
                <w:left w:val="nil"/>
                <w:bottom w:val="nil"/>
                <w:right w:val="nil"/>
              </w:tblBorders>
              <w:tblLayout w:type="fixed"/>
              <w:tblLook w:val="0000" w:firstRow="0" w:lastRow="0" w:firstColumn="0" w:lastColumn="0" w:noHBand="0" w:noVBand="0"/>
            </w:tblPr>
            <w:tblGrid>
              <w:gridCol w:w="10861"/>
            </w:tblGrid>
            <w:tr w:rsidR="00493066" w:rsidRPr="00CD4428" w14:paraId="25C520D5" w14:textId="77777777" w:rsidTr="00493066">
              <w:trPr>
                <w:trHeight w:val="895"/>
              </w:trPr>
              <w:tc>
                <w:tcPr>
                  <w:tcW w:w="10861" w:type="dxa"/>
                </w:tcPr>
                <w:p w14:paraId="1711ED31" w14:textId="4415CC35" w:rsidR="00493066" w:rsidRPr="00CD4428" w:rsidRDefault="00493066" w:rsidP="00875F84">
                  <w:pPr>
                    <w:pStyle w:val="Default"/>
                    <w:framePr w:hSpace="180" w:wrap="around" w:vAnchor="page" w:hAnchor="margin" w:xAlign="center" w:y="2718"/>
                    <w:snapToGrid w:val="0"/>
                    <w:spacing w:line="360" w:lineRule="auto"/>
                    <w:rPr>
                      <w:rFonts w:ascii="Book Antiqua" w:hAnsi="Book Antiqua" w:cstheme="minorHAnsi"/>
                      <w:color w:val="auto"/>
                      <w:lang w:val="en-GB"/>
                    </w:rPr>
                  </w:pPr>
                  <w:r w:rsidRPr="00CD4428">
                    <w:rPr>
                      <w:rFonts w:ascii="Book Antiqua" w:hAnsi="Book Antiqua" w:cstheme="minorHAnsi"/>
                      <w:color w:val="auto"/>
                      <w:lang w:val="en-GB"/>
                    </w:rPr>
                    <w:t>__</w:t>
                  </w:r>
                </w:p>
              </w:tc>
            </w:tr>
          </w:tbl>
          <w:p w14:paraId="03BB5FD0" w14:textId="77777777" w:rsidR="00493066" w:rsidRPr="00CD4428" w:rsidRDefault="00493066" w:rsidP="00DA3505">
            <w:pPr>
              <w:pStyle w:val="Pa0"/>
              <w:snapToGrid w:val="0"/>
              <w:spacing w:line="360" w:lineRule="auto"/>
              <w:rPr>
                <w:rFonts w:ascii="Book Antiqua" w:hAnsi="Book Antiqua" w:cstheme="minorHAnsi"/>
                <w:lang w:val="en-GB"/>
              </w:rPr>
            </w:pPr>
          </w:p>
        </w:tc>
      </w:tr>
      <w:tr w:rsidR="00493066" w:rsidRPr="00CD4428" w14:paraId="41A8DDD4" w14:textId="77777777" w:rsidTr="0081653E">
        <w:trPr>
          <w:trHeight w:val="883"/>
        </w:trPr>
        <w:tc>
          <w:tcPr>
            <w:tcW w:w="1668" w:type="dxa"/>
          </w:tcPr>
          <w:p w14:paraId="1D424CEF" w14:textId="77777777" w:rsidR="00F333D4" w:rsidRPr="00493066" w:rsidRDefault="00F333D4" w:rsidP="002E4D4C">
            <w:pPr>
              <w:pStyle w:val="Pa0"/>
              <w:snapToGrid w:val="0"/>
              <w:spacing w:line="360" w:lineRule="auto"/>
              <w:jc w:val="both"/>
              <w:rPr>
                <w:rFonts w:ascii="Book Antiqua" w:hAnsi="Book Antiqua" w:cstheme="minorHAnsi"/>
                <w:lang w:val="en-GB"/>
              </w:rPr>
            </w:pPr>
            <w:r w:rsidRPr="00493066">
              <w:rPr>
                <w:rFonts w:ascii="Book Antiqua" w:hAnsi="Book Antiqua" w:cstheme="minorHAnsi"/>
                <w:lang w:val="en-GB"/>
              </w:rPr>
              <w:t>GEMINI 3</w:t>
            </w:r>
            <w:r w:rsidRPr="00493066">
              <w:rPr>
                <w:rFonts w:ascii="Book Antiqua" w:eastAsia="SabonLTStd-Roman" w:hAnsi="Book Antiqua" w:cstheme="minorHAnsi"/>
                <w:vertAlign w:val="superscript"/>
                <w:lang w:val="en-GB"/>
              </w:rPr>
              <w:t>[12]</w:t>
            </w:r>
            <w:r w:rsidRPr="00493066">
              <w:rPr>
                <w:rFonts w:ascii="Book Antiqua" w:eastAsia="SabonLTStd-Roman" w:hAnsi="Book Antiqua" w:cstheme="minorHAnsi"/>
                <w:lang w:val="en-GB"/>
              </w:rPr>
              <w:t xml:space="preserve"> </w:t>
            </w:r>
          </w:p>
          <w:p w14:paraId="138E2A58" w14:textId="77777777" w:rsidR="00F333D4" w:rsidRPr="00493066" w:rsidRDefault="00F333D4" w:rsidP="002E4D4C">
            <w:pPr>
              <w:pStyle w:val="Default"/>
              <w:snapToGrid w:val="0"/>
              <w:spacing w:line="360" w:lineRule="auto"/>
              <w:jc w:val="both"/>
              <w:rPr>
                <w:rFonts w:ascii="Book Antiqua" w:hAnsi="Book Antiqua"/>
                <w:color w:val="auto"/>
                <w:lang w:val="en-GB"/>
              </w:rPr>
            </w:pPr>
            <w:r w:rsidRPr="00493066">
              <w:rPr>
                <w:rFonts w:ascii="Book Antiqua" w:hAnsi="Book Antiqua" w:cstheme="minorHAnsi"/>
                <w:color w:val="auto"/>
                <w:lang w:val="en-GB"/>
              </w:rPr>
              <w:t>2015</w:t>
            </w:r>
          </w:p>
        </w:tc>
        <w:tc>
          <w:tcPr>
            <w:tcW w:w="992" w:type="dxa"/>
          </w:tcPr>
          <w:p w14:paraId="4FFB2A50" w14:textId="77777777" w:rsidR="00F333D4" w:rsidRPr="00CD4428" w:rsidRDefault="00F333D4"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315</w:t>
            </w:r>
          </w:p>
        </w:tc>
        <w:tc>
          <w:tcPr>
            <w:tcW w:w="1725" w:type="dxa"/>
          </w:tcPr>
          <w:p w14:paraId="71932FAD" w14:textId="77777777" w:rsidR="00F333D4" w:rsidRPr="00CD4428" w:rsidRDefault="00F333D4" w:rsidP="00DA3505">
            <w:pPr>
              <w:pStyle w:val="Pa0"/>
              <w:snapToGrid w:val="0"/>
              <w:spacing w:line="360" w:lineRule="auto"/>
              <w:rPr>
                <w:rFonts w:ascii="Book Antiqua" w:hAnsi="Book Antiqua" w:cstheme="minorHAnsi"/>
                <w:lang w:val="en-GB" w:eastAsia="zh-CN"/>
              </w:rPr>
            </w:pPr>
            <w:r w:rsidRPr="00CD4428">
              <w:rPr>
                <w:rFonts w:ascii="Book Antiqua" w:hAnsi="Book Antiqua" w:cstheme="minorHAnsi"/>
                <w:lang w:val="en-GB"/>
              </w:rPr>
              <w:t>Induction</w:t>
            </w:r>
          </w:p>
        </w:tc>
        <w:tc>
          <w:tcPr>
            <w:tcW w:w="2102" w:type="dxa"/>
          </w:tcPr>
          <w:tbl>
            <w:tblPr>
              <w:tblW w:w="10861" w:type="dxa"/>
              <w:tblBorders>
                <w:top w:val="nil"/>
                <w:left w:val="nil"/>
                <w:bottom w:val="nil"/>
                <w:right w:val="nil"/>
              </w:tblBorders>
              <w:tblLayout w:type="fixed"/>
              <w:tblLook w:val="0000" w:firstRow="0" w:lastRow="0" w:firstColumn="0" w:lastColumn="0" w:noHBand="0" w:noVBand="0"/>
            </w:tblPr>
            <w:tblGrid>
              <w:gridCol w:w="10861"/>
            </w:tblGrid>
            <w:tr w:rsidR="00F333D4" w:rsidRPr="00CD4428" w14:paraId="3E856DC1" w14:textId="77777777" w:rsidTr="00493066">
              <w:trPr>
                <w:trHeight w:val="400"/>
              </w:trPr>
              <w:tc>
                <w:tcPr>
                  <w:tcW w:w="10861" w:type="dxa"/>
                </w:tcPr>
                <w:p w14:paraId="36990047" w14:textId="77777777" w:rsidR="00F333D4" w:rsidRPr="00CD4428" w:rsidRDefault="00F333D4" w:rsidP="00875F84">
                  <w:pPr>
                    <w:pStyle w:val="Pa0"/>
                    <w:framePr w:hSpace="180" w:wrap="around" w:vAnchor="page" w:hAnchor="margin" w:xAlign="center" w:y="2718"/>
                    <w:snapToGrid w:val="0"/>
                    <w:spacing w:line="360" w:lineRule="auto"/>
                    <w:rPr>
                      <w:rFonts w:ascii="Book Antiqua" w:hAnsi="Book Antiqua" w:cstheme="minorHAnsi"/>
                      <w:lang w:val="en-GB"/>
                    </w:rPr>
                  </w:pPr>
                  <w:r w:rsidRPr="00CD4428">
                    <w:rPr>
                      <w:rFonts w:ascii="Book Antiqua" w:hAnsi="Book Antiqua" w:cstheme="minorHAnsi"/>
                      <w:lang w:val="en-GB"/>
                    </w:rPr>
                    <w:t>300 mg</w:t>
                  </w:r>
                </w:p>
                <w:p w14:paraId="26AC6402" w14:textId="77777777" w:rsidR="00F333D4" w:rsidRPr="00CD4428" w:rsidRDefault="00F333D4" w:rsidP="00875F84">
                  <w:pPr>
                    <w:pStyle w:val="Pa0"/>
                    <w:framePr w:hSpace="180" w:wrap="around" w:vAnchor="page" w:hAnchor="margin" w:xAlign="center" w:y="2718"/>
                    <w:snapToGrid w:val="0"/>
                    <w:spacing w:line="360" w:lineRule="auto"/>
                    <w:rPr>
                      <w:rFonts w:ascii="Book Antiqua" w:hAnsi="Book Antiqua" w:cstheme="minorHAnsi"/>
                      <w:lang w:val="en-GB" w:eastAsia="zh-CN"/>
                    </w:rPr>
                  </w:pPr>
                  <w:r w:rsidRPr="00CD4428">
                    <w:rPr>
                      <w:rFonts w:ascii="Book Antiqua" w:hAnsi="Book Antiqua" w:cstheme="minorHAnsi"/>
                      <w:lang w:val="en-GB"/>
                    </w:rPr>
                    <w:t>Placebo</w:t>
                  </w:r>
                </w:p>
              </w:tc>
            </w:tr>
          </w:tbl>
          <w:p w14:paraId="1FD05477" w14:textId="77777777" w:rsidR="00F333D4" w:rsidRPr="00CD4428" w:rsidRDefault="00F333D4" w:rsidP="00DA3505">
            <w:pPr>
              <w:pStyle w:val="Pa0"/>
              <w:snapToGrid w:val="0"/>
              <w:spacing w:line="360" w:lineRule="auto"/>
              <w:rPr>
                <w:rFonts w:ascii="Book Antiqua" w:hAnsi="Book Antiqua" w:cstheme="minorHAnsi"/>
                <w:lang w:val="en-GB"/>
              </w:rPr>
            </w:pPr>
          </w:p>
        </w:tc>
        <w:tc>
          <w:tcPr>
            <w:tcW w:w="1276" w:type="dxa"/>
          </w:tcPr>
          <w:p w14:paraId="24CDD9FB" w14:textId="24CAF64B" w:rsidR="00F333D4" w:rsidRPr="00CD4428" w:rsidRDefault="002E4D4C" w:rsidP="00DA3505">
            <w:pPr>
              <w:pStyle w:val="Pa0"/>
              <w:snapToGrid w:val="0"/>
              <w:spacing w:line="360" w:lineRule="auto"/>
              <w:rPr>
                <w:rFonts w:ascii="Book Antiqua" w:hAnsi="Book Antiqua" w:cstheme="minorHAnsi"/>
                <w:lang w:val="en-GB" w:eastAsia="zh-CN"/>
              </w:rPr>
            </w:pPr>
            <w:r w:rsidRPr="00CD4428">
              <w:rPr>
                <w:rFonts w:ascii="Book Antiqua" w:hAnsi="Book Antiqua" w:cstheme="minorHAnsi"/>
                <w:lang w:val="en-GB"/>
              </w:rPr>
              <w:t>__</w:t>
            </w:r>
          </w:p>
        </w:tc>
        <w:tc>
          <w:tcPr>
            <w:tcW w:w="1134" w:type="dxa"/>
          </w:tcPr>
          <w:p w14:paraId="1FD6A94E" w14:textId="77777777" w:rsidR="002E4D4C" w:rsidRPr="00CD4428" w:rsidRDefault="002E4D4C"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15.2%</w:t>
            </w:r>
          </w:p>
          <w:p w14:paraId="44C2B230" w14:textId="1347E72C" w:rsidR="00F333D4" w:rsidRPr="00CD4428" w:rsidRDefault="002E4D4C"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12.1%</w:t>
            </w:r>
          </w:p>
        </w:tc>
        <w:tc>
          <w:tcPr>
            <w:tcW w:w="1134" w:type="dxa"/>
          </w:tcPr>
          <w:p w14:paraId="7E31F045" w14:textId="63F203BF" w:rsidR="00F333D4" w:rsidRPr="00CD4428" w:rsidRDefault="002E4D4C"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__</w:t>
            </w:r>
          </w:p>
        </w:tc>
        <w:tc>
          <w:tcPr>
            <w:tcW w:w="1276" w:type="dxa"/>
          </w:tcPr>
          <w:p w14:paraId="1484B1E2" w14:textId="4EF640F7" w:rsidR="00F333D4" w:rsidRPr="00CD4428" w:rsidRDefault="002E4D4C" w:rsidP="00DA3505">
            <w:pPr>
              <w:pStyle w:val="Pa0"/>
              <w:snapToGrid w:val="0"/>
              <w:spacing w:line="360" w:lineRule="auto"/>
              <w:rPr>
                <w:rFonts w:ascii="Book Antiqua" w:hAnsi="Book Antiqua" w:cstheme="minorHAnsi"/>
                <w:lang w:val="en-GB"/>
              </w:rPr>
            </w:pPr>
            <w:r w:rsidRPr="00CD4428">
              <w:rPr>
                <w:rFonts w:ascii="Book Antiqua" w:hAnsi="Book Antiqua" w:cstheme="minorHAnsi"/>
                <w:lang w:val="en-GB"/>
              </w:rPr>
              <w:t>__</w:t>
            </w:r>
          </w:p>
        </w:tc>
      </w:tr>
    </w:tbl>
    <w:p w14:paraId="20BDC603" w14:textId="249FE89F" w:rsidR="00760B6C" w:rsidRDefault="00F333D4" w:rsidP="00E17439">
      <w:pPr>
        <w:autoSpaceDE w:val="0"/>
        <w:autoSpaceDN w:val="0"/>
        <w:adjustRightInd w:val="0"/>
        <w:snapToGrid w:val="0"/>
        <w:spacing w:after="0" w:line="360" w:lineRule="auto"/>
        <w:jc w:val="both"/>
        <w:rPr>
          <w:rFonts w:ascii="Book Antiqua" w:hAnsi="Book Antiqua" w:cstheme="minorHAnsi"/>
          <w:sz w:val="24"/>
          <w:szCs w:val="24"/>
          <w:lang w:val="en-GB" w:eastAsia="zh-CN"/>
        </w:rPr>
      </w:pPr>
      <w:r w:rsidRPr="00CD4428">
        <w:rPr>
          <w:rFonts w:ascii="Book Antiqua" w:hAnsi="Book Antiqua" w:cstheme="minorHAnsi"/>
          <w:b/>
          <w:bCs/>
          <w:sz w:val="24"/>
          <w:szCs w:val="24"/>
          <w:lang w:val="en-GB"/>
        </w:rPr>
        <w:t xml:space="preserve"> Table 1 Phase III randomized controlled trials</w:t>
      </w:r>
      <w:r w:rsidRPr="00CD4428">
        <w:rPr>
          <w:rFonts w:ascii="Book Antiqua" w:hAnsi="Book Antiqua" w:cstheme="minorHAnsi"/>
          <w:sz w:val="24"/>
          <w:szCs w:val="24"/>
          <w:lang w:val="en-GB"/>
        </w:rPr>
        <w:t xml:space="preserve"> </w:t>
      </w:r>
      <w:r w:rsidRPr="00CD4428">
        <w:rPr>
          <w:rFonts w:ascii="Book Antiqua" w:hAnsi="Book Antiqua" w:cstheme="minorHAnsi"/>
          <w:b/>
          <w:sz w:val="24"/>
          <w:szCs w:val="24"/>
          <w:lang w:val="en-GB"/>
        </w:rPr>
        <w:t xml:space="preserve">of </w:t>
      </w:r>
      <w:proofErr w:type="spellStart"/>
      <w:r w:rsidRPr="00CD4428">
        <w:rPr>
          <w:rFonts w:ascii="Book Antiqua" w:hAnsi="Book Antiqua" w:cstheme="minorHAnsi"/>
          <w:b/>
          <w:sz w:val="24"/>
          <w:szCs w:val="24"/>
          <w:lang w:val="en-GB"/>
        </w:rPr>
        <w:t>vedolizumab</w:t>
      </w:r>
      <w:proofErr w:type="spellEnd"/>
      <w:r w:rsidRPr="00CD4428">
        <w:rPr>
          <w:rFonts w:ascii="Book Antiqua" w:hAnsi="Book Antiqua" w:cstheme="minorHAnsi"/>
          <w:b/>
          <w:sz w:val="24"/>
          <w:szCs w:val="24"/>
          <w:lang w:val="en-GB"/>
        </w:rPr>
        <w:t xml:space="preserve"> in patients with ulcerative colitis and Crohn’s disease</w:t>
      </w:r>
    </w:p>
    <w:p w14:paraId="41C65DB6" w14:textId="7EBBC029" w:rsidR="00F333D4" w:rsidRPr="00CD4428" w:rsidRDefault="00CE173A" w:rsidP="00F333D4">
      <w:pPr>
        <w:autoSpaceDE w:val="0"/>
        <w:autoSpaceDN w:val="0"/>
        <w:adjustRightInd w:val="0"/>
        <w:snapToGrid w:val="0"/>
        <w:spacing w:after="0" w:line="360" w:lineRule="auto"/>
        <w:jc w:val="both"/>
        <w:rPr>
          <w:rFonts w:ascii="Book Antiqua" w:eastAsia="SabonLTStd-Roman" w:hAnsi="Book Antiqua" w:cstheme="minorHAnsi"/>
          <w:sz w:val="24"/>
          <w:szCs w:val="24"/>
          <w:lang w:val="en-GB"/>
        </w:rPr>
      </w:pPr>
      <w:r w:rsidRPr="00CD4428">
        <w:rPr>
          <w:rFonts w:ascii="Book Antiqua" w:eastAsia="SabonLTStd-Roman" w:hAnsi="Book Antiqua" w:cstheme="minorHAnsi"/>
          <w:sz w:val="24"/>
          <w:szCs w:val="24"/>
          <w:lang w:val="en-GB"/>
        </w:rPr>
        <w:t>Clinical response</w:t>
      </w:r>
      <w:r w:rsidR="00B675F1" w:rsidRPr="00CD4428">
        <w:rPr>
          <w:rFonts w:ascii="Book Antiqua" w:eastAsia="SabonLTStd-Roman" w:hAnsi="Book Antiqua" w:cstheme="minorHAnsi"/>
          <w:sz w:val="24"/>
          <w:szCs w:val="24"/>
          <w:lang w:val="en-GB"/>
        </w:rPr>
        <w:t xml:space="preserve"> </w:t>
      </w:r>
      <w:r w:rsidR="00CB01A2" w:rsidRPr="00CD4428">
        <w:rPr>
          <w:rFonts w:ascii="Book Antiqua" w:eastAsia="SabonLTStd-Roman" w:hAnsi="Book Antiqua" w:cstheme="minorHAnsi"/>
          <w:sz w:val="24"/>
          <w:szCs w:val="24"/>
          <w:lang w:val="en-GB"/>
        </w:rPr>
        <w:t xml:space="preserve">was </w:t>
      </w:r>
      <w:r w:rsidR="007265A7" w:rsidRPr="00CD4428">
        <w:rPr>
          <w:rFonts w:ascii="Book Antiqua" w:eastAsia="SabonLTStd-Roman" w:hAnsi="Book Antiqua" w:cstheme="minorHAnsi"/>
          <w:sz w:val="24"/>
          <w:szCs w:val="24"/>
          <w:lang w:val="en-GB"/>
        </w:rPr>
        <w:t>d</w:t>
      </w:r>
      <w:r w:rsidR="00BA2DBB" w:rsidRPr="00CD4428">
        <w:rPr>
          <w:rFonts w:ascii="Book Antiqua" w:eastAsia="SabonLTStd-Roman" w:hAnsi="Book Antiqua" w:cstheme="minorHAnsi"/>
          <w:sz w:val="24"/>
          <w:szCs w:val="24"/>
          <w:lang w:val="en-GB"/>
        </w:rPr>
        <w:t>efined as</w:t>
      </w:r>
      <w:r w:rsidR="00590110" w:rsidRPr="00CD4428">
        <w:rPr>
          <w:rFonts w:ascii="Book Antiqua" w:eastAsia="SabonLTStd-Roman" w:hAnsi="Book Antiqua" w:cstheme="minorHAnsi"/>
          <w:sz w:val="24"/>
          <w:szCs w:val="24"/>
          <w:lang w:val="en-GB"/>
        </w:rPr>
        <w:t xml:space="preserve"> </w:t>
      </w:r>
      <w:r w:rsidR="00BA2DBB" w:rsidRPr="00CD4428">
        <w:rPr>
          <w:rFonts w:ascii="Book Antiqua" w:eastAsia="SabonLTStd-Roman" w:hAnsi="Book Antiqua" w:cstheme="minorHAnsi"/>
          <w:sz w:val="24"/>
          <w:szCs w:val="24"/>
          <w:lang w:val="en-GB"/>
        </w:rPr>
        <w:t>a reduction in the Mayo score of at least 3 points plus a decrease of at least 30% from the baseline score,</w:t>
      </w:r>
      <w:r w:rsidR="00F333D4">
        <w:rPr>
          <w:rFonts w:ascii="Book Antiqua" w:hAnsi="Book Antiqua" w:cstheme="minorHAnsi" w:hint="eastAsia"/>
          <w:sz w:val="24"/>
          <w:szCs w:val="24"/>
          <w:lang w:val="en-GB" w:eastAsia="zh-CN"/>
        </w:rPr>
        <w:t xml:space="preserve"> </w:t>
      </w:r>
      <w:r w:rsidR="00BA2DBB" w:rsidRPr="00CD4428">
        <w:rPr>
          <w:rFonts w:ascii="Book Antiqua" w:eastAsia="SabonLTStd-Roman" w:hAnsi="Book Antiqua" w:cstheme="minorHAnsi"/>
          <w:sz w:val="24"/>
          <w:szCs w:val="24"/>
          <w:lang w:val="en-GB"/>
        </w:rPr>
        <w:t xml:space="preserve">with a decrease in the rectal bleeding </w:t>
      </w:r>
      <w:proofErr w:type="spellStart"/>
      <w:r w:rsidR="00BA2DBB" w:rsidRPr="00CD4428">
        <w:rPr>
          <w:rFonts w:ascii="Book Antiqua" w:eastAsia="SabonLTStd-Roman" w:hAnsi="Book Antiqua" w:cstheme="minorHAnsi"/>
          <w:sz w:val="24"/>
          <w:szCs w:val="24"/>
          <w:lang w:val="en-GB"/>
        </w:rPr>
        <w:t>subscore</w:t>
      </w:r>
      <w:proofErr w:type="spellEnd"/>
      <w:r w:rsidR="00BA2DBB" w:rsidRPr="00CD4428">
        <w:rPr>
          <w:rFonts w:ascii="Book Antiqua" w:eastAsia="SabonLTStd-Roman" w:hAnsi="Book Antiqua" w:cstheme="minorHAnsi"/>
          <w:sz w:val="24"/>
          <w:szCs w:val="24"/>
          <w:lang w:val="en-GB"/>
        </w:rPr>
        <w:t xml:space="preserve"> ≥ 1</w:t>
      </w:r>
      <w:r w:rsidR="00CB01A2" w:rsidRPr="00CD4428">
        <w:rPr>
          <w:rFonts w:ascii="Book Antiqua" w:eastAsia="SabonLTStd-Roman" w:hAnsi="Book Antiqua" w:cstheme="minorHAnsi"/>
          <w:sz w:val="24"/>
          <w:szCs w:val="24"/>
          <w:lang w:val="en-GB"/>
        </w:rPr>
        <w:t>,</w:t>
      </w:r>
      <w:r w:rsidR="00BA2DBB" w:rsidRPr="00CD4428">
        <w:rPr>
          <w:rFonts w:ascii="Book Antiqua" w:eastAsia="SabonLTStd-Roman" w:hAnsi="Book Antiqua" w:cstheme="minorHAnsi"/>
          <w:sz w:val="24"/>
          <w:szCs w:val="24"/>
          <w:lang w:val="en-GB"/>
        </w:rPr>
        <w:t xml:space="preserve"> an absolute rectal bleeding </w:t>
      </w:r>
      <w:proofErr w:type="spellStart"/>
      <w:r w:rsidR="00BA2DBB" w:rsidRPr="00CD4428">
        <w:rPr>
          <w:rFonts w:ascii="Book Antiqua" w:eastAsia="SabonLTStd-Roman" w:hAnsi="Book Antiqua" w:cstheme="minorHAnsi"/>
          <w:sz w:val="24"/>
          <w:szCs w:val="24"/>
          <w:lang w:val="en-GB"/>
        </w:rPr>
        <w:t>subscore</w:t>
      </w:r>
      <w:proofErr w:type="spellEnd"/>
      <w:r w:rsidR="00BA2DBB" w:rsidRPr="00CD4428">
        <w:rPr>
          <w:rFonts w:ascii="Book Antiqua" w:eastAsia="SabonLTStd-Roman" w:hAnsi="Book Antiqua" w:cstheme="minorHAnsi"/>
          <w:sz w:val="24"/>
          <w:szCs w:val="24"/>
          <w:lang w:val="en-GB"/>
        </w:rPr>
        <w:t xml:space="preserve"> ≤ 1</w:t>
      </w:r>
      <w:r w:rsidRPr="00CD4428">
        <w:rPr>
          <w:rFonts w:ascii="Book Antiqua" w:eastAsia="SabonLTStd-Roman" w:hAnsi="Book Antiqua" w:cstheme="minorHAnsi"/>
          <w:sz w:val="24"/>
          <w:szCs w:val="24"/>
          <w:lang w:val="en-GB"/>
        </w:rPr>
        <w:t xml:space="preserve"> (GEMINI 1)</w:t>
      </w:r>
      <w:r w:rsidR="00CB01A2" w:rsidRPr="00CD4428">
        <w:rPr>
          <w:rFonts w:ascii="Book Antiqua" w:eastAsia="SabonLTStd-Roman" w:hAnsi="Book Antiqua" w:cstheme="minorHAnsi"/>
          <w:sz w:val="24"/>
          <w:szCs w:val="24"/>
          <w:lang w:val="en-GB"/>
        </w:rPr>
        <w:t>,</w:t>
      </w:r>
      <w:r w:rsidRPr="00CD4428">
        <w:rPr>
          <w:rFonts w:ascii="Book Antiqua" w:eastAsia="SabonLTStd-Roman" w:hAnsi="Book Antiqua" w:cstheme="minorHAnsi"/>
          <w:sz w:val="24"/>
          <w:szCs w:val="24"/>
          <w:lang w:val="en-GB"/>
        </w:rPr>
        <w:t xml:space="preserve"> or </w:t>
      </w:r>
      <w:r w:rsidR="001F4C46" w:rsidRPr="00CD4428">
        <w:rPr>
          <w:rFonts w:ascii="Book Antiqua" w:eastAsia="SabonLTStd-Roman" w:hAnsi="Book Antiqua" w:cstheme="minorHAnsi"/>
          <w:sz w:val="24"/>
          <w:szCs w:val="24"/>
          <w:lang w:val="en-GB"/>
        </w:rPr>
        <w:t>as a ≥ 100-point decrease in the CDAI score</w:t>
      </w:r>
      <w:r w:rsidRPr="00CD4428">
        <w:rPr>
          <w:rFonts w:ascii="Book Antiqua" w:eastAsia="SabonLTStd-Roman" w:hAnsi="Book Antiqua" w:cstheme="minorHAnsi"/>
          <w:sz w:val="24"/>
          <w:szCs w:val="24"/>
          <w:lang w:val="en-GB"/>
        </w:rPr>
        <w:t xml:space="preserve"> (GEMINI 2)</w:t>
      </w:r>
      <w:r w:rsidR="0033225C" w:rsidRPr="00CD4428">
        <w:rPr>
          <w:rFonts w:ascii="Book Antiqua" w:eastAsia="SabonLTStd-Roman" w:hAnsi="Book Antiqua" w:cstheme="minorHAnsi"/>
          <w:sz w:val="24"/>
          <w:szCs w:val="24"/>
          <w:lang w:val="en-GB"/>
        </w:rPr>
        <w:t>.</w:t>
      </w:r>
      <w:r w:rsidR="00493066">
        <w:rPr>
          <w:rFonts w:ascii="Book Antiqua" w:hAnsi="Book Antiqua" w:cstheme="minorHAnsi" w:hint="eastAsia"/>
          <w:sz w:val="24"/>
          <w:szCs w:val="24"/>
          <w:lang w:val="en-GB" w:eastAsia="zh-CN"/>
        </w:rPr>
        <w:t xml:space="preserve"> </w:t>
      </w:r>
      <w:r w:rsidRPr="00CD4428">
        <w:rPr>
          <w:rFonts w:ascii="Book Antiqua" w:eastAsia="SabonLTStd-Roman" w:hAnsi="Book Antiqua" w:cstheme="minorHAnsi"/>
          <w:sz w:val="24"/>
          <w:szCs w:val="24"/>
          <w:lang w:val="en-GB"/>
        </w:rPr>
        <w:t>Clinical remission</w:t>
      </w:r>
      <w:r w:rsidR="007265A7" w:rsidRPr="00CD4428">
        <w:rPr>
          <w:rFonts w:ascii="Book Antiqua" w:eastAsia="SabonLTStd-Roman" w:hAnsi="Book Antiqua" w:cstheme="minorHAnsi"/>
          <w:sz w:val="24"/>
          <w:szCs w:val="24"/>
          <w:lang w:val="en-GB"/>
        </w:rPr>
        <w:t xml:space="preserve"> d</w:t>
      </w:r>
      <w:r w:rsidR="001F4C46" w:rsidRPr="00CD4428">
        <w:rPr>
          <w:rFonts w:ascii="Book Antiqua" w:eastAsia="SabonLTStd-Roman" w:hAnsi="Book Antiqua" w:cstheme="minorHAnsi"/>
          <w:sz w:val="24"/>
          <w:szCs w:val="24"/>
          <w:lang w:val="en-GB"/>
        </w:rPr>
        <w:t>efined as</w:t>
      </w:r>
      <w:r w:rsidR="00590110" w:rsidRPr="00CD4428">
        <w:rPr>
          <w:rFonts w:ascii="Book Antiqua" w:eastAsia="SabonLTStd-Roman" w:hAnsi="Book Antiqua" w:cstheme="minorHAnsi"/>
          <w:sz w:val="24"/>
          <w:szCs w:val="24"/>
          <w:lang w:val="en-GB"/>
        </w:rPr>
        <w:t xml:space="preserve"> </w:t>
      </w:r>
      <w:r w:rsidR="001F4C46" w:rsidRPr="00CD4428">
        <w:rPr>
          <w:rFonts w:ascii="Book Antiqua" w:eastAsia="SabonLTStd-Roman" w:hAnsi="Book Antiqua" w:cstheme="minorHAnsi"/>
          <w:sz w:val="24"/>
          <w:szCs w:val="24"/>
          <w:lang w:val="en-GB"/>
        </w:rPr>
        <w:t>a Mayo score of ≤</w:t>
      </w:r>
      <w:r w:rsidR="00F333D4">
        <w:rPr>
          <w:rFonts w:ascii="Book Antiqua" w:hAnsi="Book Antiqua" w:cstheme="minorHAnsi" w:hint="eastAsia"/>
          <w:sz w:val="24"/>
          <w:szCs w:val="24"/>
          <w:lang w:val="en-GB" w:eastAsia="zh-CN"/>
        </w:rPr>
        <w:t xml:space="preserve"> </w:t>
      </w:r>
      <w:r w:rsidR="001F4C46" w:rsidRPr="00CD4428">
        <w:rPr>
          <w:rFonts w:ascii="Book Antiqua" w:eastAsia="SabonLTStd-Roman" w:hAnsi="Book Antiqua" w:cstheme="minorHAnsi"/>
          <w:sz w:val="24"/>
          <w:szCs w:val="24"/>
          <w:lang w:val="en-GB"/>
        </w:rPr>
        <w:t xml:space="preserve">2 and no </w:t>
      </w:r>
      <w:proofErr w:type="spellStart"/>
      <w:r w:rsidR="001F4C46" w:rsidRPr="00CD4428">
        <w:rPr>
          <w:rFonts w:ascii="Book Antiqua" w:eastAsia="SabonLTStd-Roman" w:hAnsi="Book Antiqua" w:cstheme="minorHAnsi"/>
          <w:sz w:val="24"/>
          <w:szCs w:val="24"/>
          <w:lang w:val="en-GB"/>
        </w:rPr>
        <w:t>subscore</w:t>
      </w:r>
      <w:proofErr w:type="spellEnd"/>
      <w:r w:rsidR="001F4C46" w:rsidRPr="00CD4428">
        <w:rPr>
          <w:rFonts w:ascii="Book Antiqua" w:eastAsia="SabonLTStd-Roman" w:hAnsi="Book Antiqua" w:cstheme="minorHAnsi"/>
          <w:sz w:val="24"/>
          <w:szCs w:val="24"/>
          <w:lang w:val="en-GB"/>
        </w:rPr>
        <w:t xml:space="preserve"> &gt;</w:t>
      </w:r>
      <w:r w:rsidR="00F333D4">
        <w:rPr>
          <w:rFonts w:ascii="Book Antiqua" w:hAnsi="Book Antiqua" w:cstheme="minorHAnsi" w:hint="eastAsia"/>
          <w:sz w:val="24"/>
          <w:szCs w:val="24"/>
          <w:lang w:val="en-GB" w:eastAsia="zh-CN"/>
        </w:rPr>
        <w:t xml:space="preserve"> </w:t>
      </w:r>
      <w:r w:rsidR="001F4C46" w:rsidRPr="00CD4428">
        <w:rPr>
          <w:rFonts w:ascii="Book Antiqua" w:eastAsia="SabonLTStd-Roman" w:hAnsi="Book Antiqua" w:cstheme="minorHAnsi"/>
          <w:sz w:val="24"/>
          <w:szCs w:val="24"/>
          <w:lang w:val="en-GB"/>
        </w:rPr>
        <w:t>1</w:t>
      </w:r>
      <w:r w:rsidRPr="00CD4428">
        <w:rPr>
          <w:rFonts w:ascii="Book Antiqua" w:eastAsia="SabonLTStd-Roman" w:hAnsi="Book Antiqua" w:cstheme="minorHAnsi"/>
          <w:sz w:val="24"/>
          <w:szCs w:val="24"/>
          <w:lang w:val="en-GB"/>
        </w:rPr>
        <w:t xml:space="preserve"> (GEMINI 1) or </w:t>
      </w:r>
      <w:r w:rsidR="007265A7" w:rsidRPr="00CD4428">
        <w:rPr>
          <w:rFonts w:ascii="Book Antiqua" w:eastAsia="SabonLTStd-Roman" w:hAnsi="Book Antiqua" w:cstheme="minorHAnsi"/>
          <w:sz w:val="24"/>
          <w:szCs w:val="24"/>
          <w:lang w:val="en-GB"/>
        </w:rPr>
        <w:t>as a</w:t>
      </w:r>
      <w:r w:rsidR="00590110" w:rsidRPr="00CD4428">
        <w:rPr>
          <w:rFonts w:ascii="Book Antiqua" w:eastAsia="SabonLTStd-Roman" w:hAnsi="Book Antiqua" w:cstheme="minorHAnsi"/>
          <w:sz w:val="24"/>
          <w:szCs w:val="24"/>
          <w:lang w:val="en-GB"/>
        </w:rPr>
        <w:t xml:space="preserve"> </w:t>
      </w:r>
      <w:r w:rsidR="007265A7" w:rsidRPr="00CD4428">
        <w:rPr>
          <w:rFonts w:ascii="Book Antiqua" w:eastAsia="SabonLTStd-Roman" w:hAnsi="Book Antiqua" w:cstheme="minorHAnsi"/>
          <w:sz w:val="24"/>
          <w:szCs w:val="24"/>
          <w:lang w:val="en-GB"/>
        </w:rPr>
        <w:t>CDAI score ≤ 150 points</w:t>
      </w:r>
      <w:r w:rsidRPr="00CD4428">
        <w:rPr>
          <w:rFonts w:ascii="Book Antiqua" w:eastAsia="SabonLTStd-Roman" w:hAnsi="Book Antiqua" w:cstheme="minorHAnsi"/>
          <w:sz w:val="24"/>
          <w:szCs w:val="24"/>
          <w:lang w:val="en-GB"/>
        </w:rPr>
        <w:t xml:space="preserve"> (GEMINI 2, GEMINI 3)</w:t>
      </w:r>
      <w:r w:rsidR="0033225C" w:rsidRPr="00CD4428">
        <w:rPr>
          <w:rFonts w:ascii="Book Antiqua" w:eastAsia="SabonLTStd-Roman" w:hAnsi="Book Antiqua" w:cstheme="minorHAnsi"/>
          <w:sz w:val="24"/>
          <w:szCs w:val="24"/>
          <w:lang w:val="en-GB"/>
        </w:rPr>
        <w:t>.</w:t>
      </w:r>
      <w:r w:rsidR="007265A7" w:rsidRPr="00CD4428">
        <w:rPr>
          <w:rFonts w:ascii="Book Antiqua" w:eastAsia="SabonLTStd-Roman" w:hAnsi="Book Antiqua" w:cstheme="minorHAnsi"/>
          <w:sz w:val="24"/>
          <w:szCs w:val="24"/>
          <w:lang w:val="en-GB"/>
        </w:rPr>
        <w:t xml:space="preserve"> </w:t>
      </w:r>
      <w:r w:rsidR="00F333D4" w:rsidRPr="00CD4428">
        <w:rPr>
          <w:rFonts w:ascii="Book Antiqua" w:eastAsia="SabonLTStd-Roman" w:hAnsi="Book Antiqua" w:cstheme="minorHAnsi"/>
          <w:sz w:val="24"/>
          <w:szCs w:val="24"/>
          <w:lang w:val="en-GB"/>
        </w:rPr>
        <w:t>CS</w:t>
      </w:r>
      <w:r w:rsidR="00F333D4">
        <w:rPr>
          <w:rFonts w:ascii="Book Antiqua" w:hAnsi="Book Antiqua" w:cstheme="minorHAnsi" w:hint="eastAsia"/>
          <w:sz w:val="24"/>
          <w:szCs w:val="24"/>
          <w:lang w:val="en-GB" w:eastAsia="zh-CN"/>
        </w:rPr>
        <w:t xml:space="preserve">: </w:t>
      </w:r>
      <w:r w:rsidR="00F333D4" w:rsidRPr="00F333D4">
        <w:rPr>
          <w:rFonts w:ascii="Book Antiqua" w:eastAsia="SabonLTStd-Roman" w:hAnsi="Book Antiqua" w:cstheme="minorHAnsi"/>
          <w:caps/>
          <w:sz w:val="24"/>
          <w:szCs w:val="24"/>
          <w:lang w:val="en-GB"/>
        </w:rPr>
        <w:t>c</w:t>
      </w:r>
      <w:r w:rsidR="00F333D4" w:rsidRPr="00CD4428">
        <w:rPr>
          <w:rFonts w:ascii="Book Antiqua" w:eastAsia="SabonLTStd-Roman" w:hAnsi="Book Antiqua" w:cstheme="minorHAnsi"/>
          <w:sz w:val="24"/>
          <w:szCs w:val="24"/>
          <w:lang w:val="en-GB"/>
        </w:rPr>
        <w:t>orticosteroid.</w:t>
      </w:r>
    </w:p>
    <w:p w14:paraId="2EC55A88" w14:textId="77777777" w:rsidR="00A23691" w:rsidRDefault="00A23691">
      <w:pPr>
        <w:rPr>
          <w:rFonts w:ascii="Book Antiqua" w:hAnsi="Book Antiqua" w:cstheme="minorHAnsi"/>
          <w:sz w:val="24"/>
          <w:szCs w:val="24"/>
          <w:lang w:val="en-GB" w:eastAsia="zh-CN"/>
        </w:rPr>
      </w:pPr>
      <w:r>
        <w:rPr>
          <w:rFonts w:ascii="Book Antiqua" w:hAnsi="Book Antiqua" w:cstheme="minorHAnsi"/>
          <w:sz w:val="24"/>
          <w:szCs w:val="24"/>
          <w:lang w:val="en-GB" w:eastAsia="zh-CN"/>
        </w:rPr>
        <w:br w:type="page"/>
      </w:r>
    </w:p>
    <w:p w14:paraId="3E5DF724" w14:textId="333FB9BD" w:rsidR="008F63D6" w:rsidRPr="00CD4428" w:rsidRDefault="00BA7939" w:rsidP="00E45F91">
      <w:pPr>
        <w:autoSpaceDE w:val="0"/>
        <w:autoSpaceDN w:val="0"/>
        <w:adjustRightInd w:val="0"/>
        <w:snapToGrid w:val="0"/>
        <w:spacing w:after="0" w:line="360" w:lineRule="auto"/>
        <w:jc w:val="both"/>
        <w:rPr>
          <w:rFonts w:ascii="Book Antiqua" w:eastAsia="SabonLTStd-Roman" w:hAnsi="Book Antiqua" w:cstheme="minorHAnsi"/>
          <w:b/>
          <w:sz w:val="24"/>
          <w:szCs w:val="24"/>
          <w:lang w:val="en-GB"/>
        </w:rPr>
      </w:pPr>
      <w:r w:rsidRPr="00CD4428">
        <w:rPr>
          <w:rFonts w:ascii="Book Antiqua" w:eastAsia="SabonLTStd-Roman" w:hAnsi="Book Antiqua" w:cstheme="minorHAnsi"/>
          <w:b/>
          <w:sz w:val="24"/>
          <w:szCs w:val="24"/>
          <w:lang w:val="en-GB"/>
        </w:rPr>
        <w:lastRenderedPageBreak/>
        <w:t xml:space="preserve">Table </w:t>
      </w:r>
      <w:proofErr w:type="gramStart"/>
      <w:r w:rsidRPr="00CD4428">
        <w:rPr>
          <w:rFonts w:ascii="Book Antiqua" w:eastAsia="SabonLTStd-Roman" w:hAnsi="Book Antiqua" w:cstheme="minorHAnsi"/>
          <w:b/>
          <w:sz w:val="24"/>
          <w:szCs w:val="24"/>
          <w:lang w:val="en-GB"/>
        </w:rPr>
        <w:t>2</w:t>
      </w:r>
      <w:proofErr w:type="gramEnd"/>
      <w:r w:rsidR="00C84B06">
        <w:rPr>
          <w:rFonts w:ascii="Book Antiqua" w:hAnsi="Book Antiqua" w:cstheme="minorHAnsi" w:hint="eastAsia"/>
          <w:b/>
          <w:sz w:val="24"/>
          <w:szCs w:val="24"/>
          <w:lang w:val="en-GB" w:eastAsia="zh-CN"/>
        </w:rPr>
        <w:t xml:space="preserve"> </w:t>
      </w:r>
      <w:r w:rsidR="008F63D6" w:rsidRPr="00CD4428">
        <w:rPr>
          <w:rFonts w:ascii="Book Antiqua" w:eastAsia="SabonLTStd-Roman" w:hAnsi="Book Antiqua" w:cstheme="minorHAnsi"/>
          <w:b/>
          <w:sz w:val="24"/>
          <w:szCs w:val="24"/>
          <w:lang w:val="en-GB"/>
        </w:rPr>
        <w:t xml:space="preserve">Real-world studies on </w:t>
      </w:r>
      <w:proofErr w:type="spellStart"/>
      <w:r w:rsidR="008F63D6" w:rsidRPr="00CD4428">
        <w:rPr>
          <w:rFonts w:ascii="Book Antiqua" w:eastAsia="SabonLTStd-Roman" w:hAnsi="Book Antiqua" w:cstheme="minorHAnsi"/>
          <w:b/>
          <w:sz w:val="24"/>
          <w:szCs w:val="24"/>
          <w:lang w:val="en-GB"/>
        </w:rPr>
        <w:t>vedolizumab</w:t>
      </w:r>
      <w:proofErr w:type="spellEnd"/>
      <w:r w:rsidR="008F63D6" w:rsidRPr="00CD4428">
        <w:rPr>
          <w:rFonts w:ascii="Book Antiqua" w:eastAsia="SabonLTStd-Roman" w:hAnsi="Book Antiqua" w:cstheme="minorHAnsi"/>
          <w:b/>
          <w:sz w:val="24"/>
          <w:szCs w:val="24"/>
          <w:lang w:val="en-GB"/>
        </w:rPr>
        <w:t xml:space="preserve"> </w:t>
      </w:r>
      <w:r w:rsidR="00F56CB9" w:rsidRPr="00CD4428">
        <w:rPr>
          <w:rFonts w:ascii="Book Antiqua" w:eastAsia="SabonLTStd-Roman" w:hAnsi="Book Antiqua" w:cstheme="minorHAnsi"/>
          <w:b/>
          <w:sz w:val="24"/>
          <w:szCs w:val="24"/>
          <w:lang w:val="en-GB"/>
        </w:rPr>
        <w:t xml:space="preserve">in </w:t>
      </w:r>
      <w:r w:rsidR="00CB01A2" w:rsidRPr="00CD4428">
        <w:rPr>
          <w:rFonts w:ascii="Book Antiqua" w:eastAsia="SabonLTStd-Roman" w:hAnsi="Book Antiqua" w:cstheme="minorHAnsi"/>
          <w:b/>
          <w:sz w:val="24"/>
          <w:szCs w:val="24"/>
          <w:lang w:val="en-GB"/>
        </w:rPr>
        <w:t xml:space="preserve">patients with </w:t>
      </w:r>
      <w:r w:rsidR="00176EBE" w:rsidRPr="00176EBE">
        <w:rPr>
          <w:rFonts w:ascii="Book Antiqua" w:eastAsia="SabonLTStd-Roman" w:hAnsi="Book Antiqua" w:cstheme="minorHAnsi"/>
          <w:b/>
          <w:sz w:val="24"/>
          <w:szCs w:val="24"/>
          <w:lang w:val="en-GB"/>
        </w:rPr>
        <w:t>inflammatory bowel disease</w:t>
      </w:r>
      <w:r w:rsidR="00CB01A2" w:rsidRPr="00CD4428">
        <w:rPr>
          <w:rFonts w:ascii="Book Antiqua" w:eastAsia="SabonLTStd-Roman" w:hAnsi="Book Antiqua" w:cstheme="minorHAnsi"/>
          <w:b/>
          <w:sz w:val="24"/>
          <w:szCs w:val="24"/>
          <w:lang w:val="en-GB"/>
        </w:rPr>
        <w:t xml:space="preserve">, </w:t>
      </w:r>
      <w:r w:rsidR="00176EBE" w:rsidRPr="00176EBE">
        <w:rPr>
          <w:rFonts w:ascii="Book Antiqua" w:eastAsia="SabonLTStd-Roman" w:hAnsi="Book Antiqua" w:cstheme="minorHAnsi"/>
          <w:b/>
          <w:sz w:val="24"/>
          <w:szCs w:val="24"/>
          <w:lang w:val="en-GB"/>
        </w:rPr>
        <w:t>Crohn’s disease</w:t>
      </w:r>
      <w:r w:rsidR="00CB01A2" w:rsidRPr="00CD4428">
        <w:rPr>
          <w:rFonts w:ascii="Book Antiqua" w:eastAsia="SabonLTStd-Roman" w:hAnsi="Book Antiqua" w:cstheme="minorHAnsi"/>
          <w:b/>
          <w:sz w:val="24"/>
          <w:szCs w:val="24"/>
          <w:lang w:val="en-GB"/>
        </w:rPr>
        <w:t>, or</w:t>
      </w:r>
      <w:r w:rsidR="00C84B06">
        <w:rPr>
          <w:rFonts w:ascii="Book Antiqua" w:hAnsi="Book Antiqua" w:cstheme="minorHAnsi" w:hint="eastAsia"/>
          <w:b/>
          <w:sz w:val="24"/>
          <w:szCs w:val="24"/>
          <w:lang w:val="en-GB" w:eastAsia="zh-CN"/>
        </w:rPr>
        <w:t xml:space="preserve"> </w:t>
      </w:r>
      <w:r w:rsidR="00176EBE" w:rsidRPr="00176EBE">
        <w:rPr>
          <w:rFonts w:ascii="Book Antiqua" w:eastAsia="SabonLTStd-Roman" w:hAnsi="Book Antiqua" w:cstheme="minorHAnsi"/>
          <w:b/>
          <w:sz w:val="24"/>
          <w:szCs w:val="24"/>
          <w:lang w:val="en-GB"/>
        </w:rPr>
        <w:t>ulcerative colitis</w:t>
      </w:r>
    </w:p>
    <w:tbl>
      <w:tblPr>
        <w:tblpPr w:leftFromText="180" w:rightFromText="180" w:vertAnchor="text" w:horzAnchor="margin" w:tblpY="270"/>
        <w:tblW w:w="9500" w:type="dxa"/>
        <w:tblBorders>
          <w:top w:val="single" w:sz="4" w:space="0" w:color="auto"/>
          <w:left w:val="single" w:sz="8" w:space="0" w:color="FFFFFF"/>
          <w:bottom w:val="single" w:sz="4" w:space="0" w:color="auto"/>
          <w:right w:val="single" w:sz="8" w:space="0" w:color="FFFFFF"/>
          <w:insideH w:val="single" w:sz="8" w:space="0" w:color="000000" w:themeColor="text1"/>
          <w:insideV w:val="single" w:sz="8" w:space="0" w:color="000000" w:themeColor="text1"/>
        </w:tblBorders>
        <w:tblCellMar>
          <w:left w:w="0" w:type="dxa"/>
          <w:right w:w="0" w:type="dxa"/>
        </w:tblCellMar>
        <w:tblLook w:val="0420" w:firstRow="1" w:lastRow="0" w:firstColumn="0" w:lastColumn="0" w:noHBand="0" w:noVBand="1"/>
      </w:tblPr>
      <w:tblGrid>
        <w:gridCol w:w="5247"/>
        <w:gridCol w:w="1560"/>
        <w:gridCol w:w="1275"/>
        <w:gridCol w:w="1418"/>
      </w:tblGrid>
      <w:tr w:rsidR="00420056" w:rsidRPr="00CD4428" w14:paraId="360A5665" w14:textId="77777777" w:rsidTr="004F52E0">
        <w:trPr>
          <w:trHeight w:val="350"/>
        </w:trPr>
        <w:tc>
          <w:tcPr>
            <w:tcW w:w="5247" w:type="dxa"/>
            <w:shd w:val="clear" w:color="auto" w:fill="auto"/>
            <w:tcMar>
              <w:top w:w="72" w:type="dxa"/>
              <w:left w:w="144" w:type="dxa"/>
              <w:bottom w:w="72" w:type="dxa"/>
              <w:right w:w="144" w:type="dxa"/>
            </w:tcMar>
            <w:hideMark/>
          </w:tcPr>
          <w:p w14:paraId="7E59C11D" w14:textId="77777777" w:rsidR="00760B6C" w:rsidRPr="00CD4428" w:rsidRDefault="00760B6C" w:rsidP="00760B6C">
            <w:pPr>
              <w:snapToGrid w:val="0"/>
              <w:spacing w:after="0" w:line="360" w:lineRule="auto"/>
              <w:jc w:val="both"/>
              <w:rPr>
                <w:rFonts w:ascii="Book Antiqua" w:eastAsia="Times New Roman" w:hAnsi="Book Antiqua" w:cs="Arial"/>
                <w:sz w:val="24"/>
                <w:szCs w:val="24"/>
                <w:lang w:val="en-GB" w:eastAsia="it-IT"/>
              </w:rPr>
            </w:pPr>
            <w:r w:rsidRPr="00CD4428">
              <w:rPr>
                <w:rFonts w:ascii="Book Antiqua" w:eastAsia="Times New Roman" w:hAnsi="Book Antiqua" w:cs="Calibri"/>
                <w:b/>
                <w:bCs/>
                <w:kern w:val="24"/>
                <w:sz w:val="24"/>
                <w:szCs w:val="24"/>
                <w:lang w:val="en-GB" w:eastAsia="it-IT"/>
              </w:rPr>
              <w:t>Study author (country) years</w:t>
            </w:r>
          </w:p>
        </w:tc>
        <w:tc>
          <w:tcPr>
            <w:tcW w:w="1560" w:type="dxa"/>
            <w:shd w:val="clear" w:color="auto" w:fill="auto"/>
            <w:tcMar>
              <w:top w:w="72" w:type="dxa"/>
              <w:left w:w="144" w:type="dxa"/>
              <w:bottom w:w="72" w:type="dxa"/>
              <w:right w:w="144" w:type="dxa"/>
            </w:tcMar>
            <w:hideMark/>
          </w:tcPr>
          <w:p w14:paraId="54527DE7" w14:textId="7436D2E7" w:rsidR="00760B6C" w:rsidRPr="00CD4428" w:rsidRDefault="00420056" w:rsidP="00D13019">
            <w:pPr>
              <w:snapToGrid w:val="0"/>
              <w:spacing w:after="0" w:line="360" w:lineRule="auto"/>
              <w:jc w:val="center"/>
              <w:rPr>
                <w:rFonts w:ascii="Book Antiqua" w:eastAsia="Times New Roman" w:hAnsi="Book Antiqua" w:cs="Arial"/>
                <w:sz w:val="24"/>
                <w:szCs w:val="24"/>
                <w:lang w:val="en-GB" w:eastAsia="it-IT"/>
              </w:rPr>
            </w:pPr>
            <w:r w:rsidRPr="00CD4428">
              <w:rPr>
                <w:rFonts w:ascii="Book Antiqua" w:eastAsia="SabonLTStd-Roman" w:hAnsi="Book Antiqua" w:cstheme="minorHAnsi"/>
                <w:b/>
                <w:sz w:val="24"/>
                <w:szCs w:val="24"/>
                <w:lang w:val="en-GB"/>
              </w:rPr>
              <w:t>IBD</w:t>
            </w:r>
          </w:p>
        </w:tc>
        <w:tc>
          <w:tcPr>
            <w:tcW w:w="1275" w:type="dxa"/>
            <w:shd w:val="clear" w:color="auto" w:fill="auto"/>
            <w:tcMar>
              <w:top w:w="72" w:type="dxa"/>
              <w:left w:w="144" w:type="dxa"/>
              <w:bottom w:w="72" w:type="dxa"/>
              <w:right w:w="144" w:type="dxa"/>
            </w:tcMar>
            <w:hideMark/>
          </w:tcPr>
          <w:p w14:paraId="7BB4F73B" w14:textId="7493D46A" w:rsidR="00760B6C" w:rsidRPr="00420056" w:rsidRDefault="00420056" w:rsidP="00C003EF">
            <w:pPr>
              <w:tabs>
                <w:tab w:val="center" w:pos="506"/>
              </w:tabs>
              <w:snapToGrid w:val="0"/>
              <w:spacing w:after="0" w:line="360" w:lineRule="auto"/>
              <w:ind w:right="127"/>
              <w:jc w:val="center"/>
              <w:rPr>
                <w:rFonts w:ascii="Book Antiqua" w:hAnsi="Book Antiqua" w:cs="Arial"/>
                <w:sz w:val="24"/>
                <w:szCs w:val="24"/>
                <w:lang w:val="en-GB" w:eastAsia="zh-CN"/>
              </w:rPr>
            </w:pPr>
            <w:r w:rsidRPr="00CD4428">
              <w:rPr>
                <w:rFonts w:ascii="Book Antiqua" w:eastAsia="SabonLTStd-Roman" w:hAnsi="Book Antiqua" w:cstheme="minorHAnsi"/>
                <w:b/>
                <w:sz w:val="24"/>
                <w:szCs w:val="24"/>
                <w:lang w:val="en-GB"/>
              </w:rPr>
              <w:t>CD</w:t>
            </w:r>
          </w:p>
        </w:tc>
        <w:tc>
          <w:tcPr>
            <w:tcW w:w="1418" w:type="dxa"/>
            <w:shd w:val="clear" w:color="auto" w:fill="auto"/>
            <w:tcMar>
              <w:top w:w="72" w:type="dxa"/>
              <w:left w:w="144" w:type="dxa"/>
              <w:bottom w:w="72" w:type="dxa"/>
              <w:right w:w="144" w:type="dxa"/>
            </w:tcMar>
            <w:hideMark/>
          </w:tcPr>
          <w:p w14:paraId="687D9D59" w14:textId="75D11592" w:rsidR="00760B6C" w:rsidRPr="00420056" w:rsidRDefault="00420056" w:rsidP="00C003EF">
            <w:pPr>
              <w:snapToGrid w:val="0"/>
              <w:spacing w:after="0" w:line="360" w:lineRule="auto"/>
              <w:jc w:val="center"/>
              <w:rPr>
                <w:rFonts w:ascii="Book Antiqua" w:hAnsi="Book Antiqua" w:cs="Arial"/>
                <w:sz w:val="24"/>
                <w:szCs w:val="24"/>
                <w:lang w:val="en-GB" w:eastAsia="zh-CN"/>
              </w:rPr>
            </w:pPr>
            <w:r w:rsidRPr="00CD4428">
              <w:rPr>
                <w:rFonts w:ascii="Book Antiqua" w:eastAsia="SabonLTStd-Roman" w:hAnsi="Book Antiqua" w:cstheme="minorHAnsi"/>
                <w:b/>
                <w:sz w:val="24"/>
                <w:szCs w:val="24"/>
                <w:lang w:val="en-GB"/>
              </w:rPr>
              <w:t>UC</w:t>
            </w:r>
          </w:p>
        </w:tc>
      </w:tr>
      <w:tr w:rsidR="00420056" w:rsidRPr="00CD4428" w14:paraId="3A812040" w14:textId="77777777" w:rsidTr="004F52E0">
        <w:trPr>
          <w:trHeight w:val="320"/>
        </w:trPr>
        <w:tc>
          <w:tcPr>
            <w:tcW w:w="5247" w:type="dxa"/>
            <w:shd w:val="clear" w:color="auto" w:fill="auto"/>
            <w:tcMar>
              <w:top w:w="72" w:type="dxa"/>
              <w:left w:w="144" w:type="dxa"/>
              <w:bottom w:w="72" w:type="dxa"/>
              <w:right w:w="144" w:type="dxa"/>
            </w:tcMar>
            <w:hideMark/>
          </w:tcPr>
          <w:p w14:paraId="45A12C38" w14:textId="6E4ECC57" w:rsidR="00760B6C" w:rsidRPr="00CD4428" w:rsidRDefault="00760B6C" w:rsidP="007A292C">
            <w:pPr>
              <w:snapToGrid w:val="0"/>
              <w:spacing w:after="0" w:line="360" w:lineRule="auto"/>
              <w:jc w:val="both"/>
              <w:rPr>
                <w:rFonts w:ascii="Book Antiqua" w:eastAsia="Times New Roman" w:hAnsi="Book Antiqua" w:cs="Arial"/>
                <w:sz w:val="24"/>
                <w:szCs w:val="24"/>
                <w:lang w:val="en-GB" w:eastAsia="it-IT"/>
              </w:rPr>
            </w:pPr>
            <w:proofErr w:type="spellStart"/>
            <w:r w:rsidRPr="00CD4428">
              <w:rPr>
                <w:rFonts w:ascii="Book Antiqua" w:eastAsia="Times New Roman" w:hAnsi="Book Antiqua" w:cs="Calibri"/>
                <w:bCs/>
                <w:kern w:val="24"/>
                <w:sz w:val="24"/>
                <w:szCs w:val="24"/>
                <w:lang w:val="en-GB" w:eastAsia="it-IT"/>
              </w:rPr>
              <w:t>Amiot</w:t>
            </w:r>
            <w:proofErr w:type="spellEnd"/>
            <w:r w:rsidR="00420056">
              <w:rPr>
                <w:rFonts w:ascii="Book Antiqua" w:hAnsi="Book Antiqua" w:cs="Calibri" w:hint="eastAsia"/>
                <w:bCs/>
                <w:kern w:val="24"/>
                <w:sz w:val="24"/>
                <w:szCs w:val="24"/>
                <w:lang w:val="en-GB" w:eastAsia="zh-CN"/>
              </w:rPr>
              <w:t xml:space="preserve"> </w:t>
            </w:r>
            <w:r w:rsidR="00420056" w:rsidRPr="00420056">
              <w:rPr>
                <w:rFonts w:ascii="Book Antiqua" w:eastAsia="Times New Roman" w:hAnsi="Book Antiqua" w:cs="Calibri"/>
                <w:bCs/>
                <w:i/>
                <w:kern w:val="24"/>
                <w:sz w:val="24"/>
                <w:szCs w:val="24"/>
                <w:lang w:val="en-GB" w:eastAsia="it-IT"/>
              </w:rPr>
              <w:t>et al</w:t>
            </w:r>
            <w:r w:rsidRPr="00CD4428">
              <w:rPr>
                <w:rFonts w:ascii="Book Antiqua" w:eastAsia="SabonLTStd-Roman" w:hAnsi="Book Antiqua" w:cstheme="minorHAnsi"/>
                <w:sz w:val="24"/>
                <w:szCs w:val="24"/>
                <w:vertAlign w:val="superscript"/>
                <w:lang w:val="en-GB"/>
              </w:rPr>
              <w:t>[15,16]</w:t>
            </w:r>
            <w:r w:rsidRPr="00CD4428">
              <w:rPr>
                <w:rFonts w:ascii="Book Antiqua" w:eastAsia="SabonLTStd-Roman" w:hAnsi="Book Antiqua" w:cstheme="minorHAnsi"/>
                <w:sz w:val="24"/>
                <w:szCs w:val="24"/>
                <w:lang w:val="en-GB"/>
              </w:rPr>
              <w:t xml:space="preserve"> </w:t>
            </w:r>
            <w:r w:rsidRPr="00CD4428">
              <w:rPr>
                <w:rFonts w:ascii="Book Antiqua" w:eastAsia="Times New Roman" w:hAnsi="Book Antiqua" w:cs="Calibri"/>
                <w:bCs/>
                <w:kern w:val="24"/>
                <w:sz w:val="24"/>
                <w:szCs w:val="24"/>
                <w:lang w:val="en-GB" w:eastAsia="it-IT"/>
              </w:rPr>
              <w:t>(France)</w:t>
            </w:r>
            <w:r w:rsidR="007A292C">
              <w:rPr>
                <w:rFonts w:ascii="Book Antiqua" w:hAnsi="Book Antiqua" w:cs="Calibri" w:hint="eastAsia"/>
                <w:bCs/>
                <w:kern w:val="24"/>
                <w:sz w:val="24"/>
                <w:szCs w:val="24"/>
                <w:lang w:val="en-GB" w:eastAsia="zh-CN"/>
              </w:rPr>
              <w:t xml:space="preserve">, </w:t>
            </w:r>
            <w:r w:rsidRPr="00CD4428">
              <w:rPr>
                <w:rFonts w:ascii="Book Antiqua" w:eastAsia="Times New Roman" w:hAnsi="Book Antiqua" w:cs="Calibri"/>
                <w:bCs/>
                <w:kern w:val="24"/>
                <w:sz w:val="24"/>
                <w:szCs w:val="24"/>
                <w:lang w:val="en-GB" w:eastAsia="it-IT"/>
              </w:rPr>
              <w:t>2016-2017</w:t>
            </w:r>
          </w:p>
        </w:tc>
        <w:tc>
          <w:tcPr>
            <w:tcW w:w="1560" w:type="dxa"/>
            <w:shd w:val="clear" w:color="auto" w:fill="auto"/>
            <w:tcMar>
              <w:top w:w="72" w:type="dxa"/>
              <w:left w:w="144" w:type="dxa"/>
              <w:bottom w:w="72" w:type="dxa"/>
              <w:right w:w="144" w:type="dxa"/>
            </w:tcMar>
            <w:hideMark/>
          </w:tcPr>
          <w:p w14:paraId="532A3DC7" w14:textId="56DD37C0" w:rsidR="00760B6C" w:rsidRPr="00CD4428" w:rsidRDefault="00760B6C" w:rsidP="00C003EF">
            <w:pPr>
              <w:snapToGrid w:val="0"/>
              <w:spacing w:after="0" w:line="360" w:lineRule="auto"/>
              <w:jc w:val="center"/>
              <w:rPr>
                <w:rFonts w:ascii="Book Antiqua" w:eastAsia="Times New Roman" w:hAnsi="Book Antiqua" w:cs="Arial"/>
                <w:sz w:val="24"/>
                <w:szCs w:val="24"/>
                <w:lang w:val="en-GB" w:eastAsia="it-IT"/>
              </w:rPr>
            </w:pPr>
            <w:r w:rsidRPr="00CD4428">
              <w:rPr>
                <w:rFonts w:ascii="Book Antiqua" w:eastAsia="Times New Roman" w:hAnsi="Book Antiqua" w:cs="Calibri"/>
                <w:bCs/>
                <w:kern w:val="24"/>
                <w:sz w:val="24"/>
                <w:szCs w:val="24"/>
                <w:lang w:val="en-GB" w:eastAsia="it-IT"/>
              </w:rPr>
              <w:t>294</w:t>
            </w:r>
          </w:p>
        </w:tc>
        <w:tc>
          <w:tcPr>
            <w:tcW w:w="1275" w:type="dxa"/>
            <w:shd w:val="clear" w:color="auto" w:fill="auto"/>
            <w:tcMar>
              <w:top w:w="72" w:type="dxa"/>
              <w:left w:w="144" w:type="dxa"/>
              <w:bottom w:w="72" w:type="dxa"/>
              <w:right w:w="144" w:type="dxa"/>
            </w:tcMar>
            <w:hideMark/>
          </w:tcPr>
          <w:p w14:paraId="1690E88B" w14:textId="7FB09989" w:rsidR="00760B6C" w:rsidRPr="00CD4428" w:rsidRDefault="00760B6C" w:rsidP="00C003EF">
            <w:pPr>
              <w:snapToGrid w:val="0"/>
              <w:spacing w:after="0" w:line="360" w:lineRule="auto"/>
              <w:jc w:val="center"/>
              <w:rPr>
                <w:rFonts w:ascii="Book Antiqua" w:eastAsia="Times New Roman" w:hAnsi="Book Antiqua" w:cs="Arial"/>
                <w:sz w:val="24"/>
                <w:szCs w:val="24"/>
                <w:lang w:val="en-GB" w:eastAsia="it-IT"/>
              </w:rPr>
            </w:pPr>
            <w:r w:rsidRPr="00CD4428">
              <w:rPr>
                <w:rFonts w:ascii="Book Antiqua" w:eastAsia="Times New Roman" w:hAnsi="Book Antiqua" w:cs="Calibri"/>
                <w:bCs/>
                <w:kern w:val="24"/>
                <w:sz w:val="24"/>
                <w:szCs w:val="24"/>
                <w:lang w:val="en-GB" w:eastAsia="it-IT"/>
              </w:rPr>
              <w:t>173</w:t>
            </w:r>
          </w:p>
        </w:tc>
        <w:tc>
          <w:tcPr>
            <w:tcW w:w="1418" w:type="dxa"/>
            <w:shd w:val="clear" w:color="auto" w:fill="auto"/>
            <w:tcMar>
              <w:top w:w="72" w:type="dxa"/>
              <w:left w:w="144" w:type="dxa"/>
              <w:bottom w:w="72" w:type="dxa"/>
              <w:right w:w="144" w:type="dxa"/>
            </w:tcMar>
            <w:hideMark/>
          </w:tcPr>
          <w:p w14:paraId="5035C987" w14:textId="3B6E9DF7" w:rsidR="00760B6C" w:rsidRPr="00CD4428" w:rsidRDefault="00760B6C" w:rsidP="00C003EF">
            <w:pPr>
              <w:snapToGrid w:val="0"/>
              <w:spacing w:after="0" w:line="360" w:lineRule="auto"/>
              <w:jc w:val="center"/>
              <w:rPr>
                <w:rFonts w:ascii="Book Antiqua" w:eastAsia="Times New Roman" w:hAnsi="Book Antiqua" w:cs="Arial"/>
                <w:sz w:val="24"/>
                <w:szCs w:val="24"/>
                <w:lang w:val="en-GB" w:eastAsia="it-IT"/>
              </w:rPr>
            </w:pPr>
            <w:r w:rsidRPr="00CD4428">
              <w:rPr>
                <w:rFonts w:ascii="Book Antiqua" w:eastAsia="Times New Roman" w:hAnsi="Book Antiqua" w:cs="Calibri"/>
                <w:bCs/>
                <w:kern w:val="24"/>
                <w:sz w:val="24"/>
                <w:szCs w:val="24"/>
                <w:lang w:val="en-GB" w:eastAsia="it-IT"/>
              </w:rPr>
              <w:t>121</w:t>
            </w:r>
          </w:p>
        </w:tc>
      </w:tr>
      <w:tr w:rsidR="00420056" w:rsidRPr="00CD4428" w14:paraId="5975FA26" w14:textId="77777777" w:rsidTr="004F52E0">
        <w:trPr>
          <w:trHeight w:val="272"/>
        </w:trPr>
        <w:tc>
          <w:tcPr>
            <w:tcW w:w="5247" w:type="dxa"/>
            <w:shd w:val="clear" w:color="auto" w:fill="auto"/>
            <w:tcMar>
              <w:top w:w="72" w:type="dxa"/>
              <w:left w:w="144" w:type="dxa"/>
              <w:bottom w:w="72" w:type="dxa"/>
              <w:right w:w="144" w:type="dxa"/>
            </w:tcMar>
            <w:hideMark/>
          </w:tcPr>
          <w:p w14:paraId="06BF19C9" w14:textId="6002122D" w:rsidR="00760B6C" w:rsidRPr="00CD4428" w:rsidRDefault="00760B6C" w:rsidP="00420056">
            <w:pPr>
              <w:snapToGrid w:val="0"/>
              <w:spacing w:after="0" w:line="360" w:lineRule="auto"/>
              <w:jc w:val="both"/>
              <w:rPr>
                <w:rFonts w:ascii="Book Antiqua" w:eastAsia="Times New Roman" w:hAnsi="Book Antiqua" w:cs="Arial"/>
                <w:sz w:val="24"/>
                <w:szCs w:val="24"/>
                <w:lang w:val="en-GB" w:eastAsia="it-IT"/>
              </w:rPr>
            </w:pPr>
            <w:r w:rsidRPr="00CD4428">
              <w:rPr>
                <w:rFonts w:ascii="Book Antiqua" w:eastAsia="Times New Roman" w:hAnsi="Book Antiqua" w:cs="Calibri"/>
                <w:bCs/>
                <w:kern w:val="24"/>
                <w:sz w:val="24"/>
                <w:szCs w:val="24"/>
                <w:lang w:val="en-GB" w:eastAsia="it-IT"/>
              </w:rPr>
              <w:t>Eriksson</w:t>
            </w:r>
            <w:r w:rsidR="00420056">
              <w:rPr>
                <w:rFonts w:ascii="Book Antiqua" w:hAnsi="Book Antiqua" w:cs="Calibri" w:hint="eastAsia"/>
                <w:bCs/>
                <w:kern w:val="24"/>
                <w:sz w:val="24"/>
                <w:szCs w:val="24"/>
                <w:lang w:val="en-GB" w:eastAsia="zh-CN"/>
              </w:rPr>
              <w:t xml:space="preserve"> </w:t>
            </w:r>
            <w:r w:rsidR="00420056" w:rsidRPr="00420056">
              <w:rPr>
                <w:rFonts w:ascii="Book Antiqua" w:eastAsia="Times New Roman" w:hAnsi="Book Antiqua" w:cs="Calibri"/>
                <w:bCs/>
                <w:i/>
                <w:kern w:val="24"/>
                <w:sz w:val="24"/>
                <w:szCs w:val="24"/>
                <w:lang w:val="en-GB" w:eastAsia="it-IT"/>
              </w:rPr>
              <w:t>et al</w:t>
            </w:r>
            <w:r w:rsidRPr="00CD4428">
              <w:rPr>
                <w:rFonts w:ascii="Book Antiqua" w:eastAsia="SabonLTStd-Roman" w:hAnsi="Book Antiqua" w:cstheme="minorHAnsi"/>
                <w:sz w:val="24"/>
                <w:szCs w:val="24"/>
                <w:vertAlign w:val="superscript"/>
                <w:lang w:val="en-GB"/>
              </w:rPr>
              <w:t>[19]</w:t>
            </w:r>
            <w:r w:rsidRPr="00CD4428">
              <w:rPr>
                <w:rFonts w:ascii="Book Antiqua" w:eastAsia="SabonLTStd-Roman" w:hAnsi="Book Antiqua" w:cstheme="minorHAnsi"/>
                <w:sz w:val="24"/>
                <w:szCs w:val="24"/>
                <w:lang w:val="en-GB"/>
              </w:rPr>
              <w:t xml:space="preserve"> </w:t>
            </w:r>
            <w:r w:rsidRPr="00CD4428">
              <w:rPr>
                <w:rFonts w:ascii="Book Antiqua" w:eastAsia="Times New Roman" w:hAnsi="Book Antiqua" w:cs="Calibri"/>
                <w:bCs/>
                <w:kern w:val="24"/>
                <w:sz w:val="24"/>
                <w:szCs w:val="24"/>
                <w:lang w:val="en-GB" w:eastAsia="it-IT"/>
              </w:rPr>
              <w:t>(Sweden)</w:t>
            </w:r>
            <w:r w:rsidR="007A292C">
              <w:rPr>
                <w:rFonts w:ascii="Book Antiqua" w:hAnsi="Book Antiqua" w:cs="Calibri" w:hint="eastAsia"/>
                <w:bCs/>
                <w:kern w:val="24"/>
                <w:sz w:val="24"/>
                <w:szCs w:val="24"/>
                <w:lang w:val="en-GB" w:eastAsia="zh-CN"/>
              </w:rPr>
              <w:t>,</w:t>
            </w:r>
            <w:r w:rsidRPr="00CD4428">
              <w:rPr>
                <w:rFonts w:ascii="Book Antiqua" w:eastAsia="Times New Roman" w:hAnsi="Book Antiqua" w:cs="Calibri"/>
                <w:bCs/>
                <w:kern w:val="24"/>
                <w:sz w:val="24"/>
                <w:szCs w:val="24"/>
                <w:lang w:val="en-GB" w:eastAsia="it-IT"/>
              </w:rPr>
              <w:t xml:space="preserve"> 2017</w:t>
            </w:r>
          </w:p>
        </w:tc>
        <w:tc>
          <w:tcPr>
            <w:tcW w:w="1560" w:type="dxa"/>
            <w:shd w:val="clear" w:color="auto" w:fill="auto"/>
            <w:tcMar>
              <w:top w:w="72" w:type="dxa"/>
              <w:left w:w="144" w:type="dxa"/>
              <w:bottom w:w="72" w:type="dxa"/>
              <w:right w:w="144" w:type="dxa"/>
            </w:tcMar>
            <w:hideMark/>
          </w:tcPr>
          <w:p w14:paraId="6C4CE206" w14:textId="1DAED5B7" w:rsidR="00760B6C" w:rsidRPr="00CD4428" w:rsidRDefault="00760B6C" w:rsidP="00C003EF">
            <w:pPr>
              <w:snapToGrid w:val="0"/>
              <w:spacing w:after="0" w:line="360" w:lineRule="auto"/>
              <w:jc w:val="center"/>
              <w:rPr>
                <w:rFonts w:ascii="Book Antiqua" w:eastAsia="Times New Roman" w:hAnsi="Book Antiqua" w:cs="Arial"/>
                <w:sz w:val="24"/>
                <w:szCs w:val="24"/>
                <w:lang w:val="en-GB" w:eastAsia="it-IT"/>
              </w:rPr>
            </w:pPr>
            <w:r w:rsidRPr="00CD4428">
              <w:rPr>
                <w:rFonts w:ascii="Book Antiqua" w:eastAsia="Times New Roman" w:hAnsi="Book Antiqua" w:cs="Calibri"/>
                <w:bCs/>
                <w:kern w:val="24"/>
                <w:sz w:val="24"/>
                <w:szCs w:val="24"/>
                <w:lang w:val="en-GB" w:eastAsia="it-IT"/>
              </w:rPr>
              <w:t>246</w:t>
            </w:r>
          </w:p>
        </w:tc>
        <w:tc>
          <w:tcPr>
            <w:tcW w:w="1275" w:type="dxa"/>
            <w:shd w:val="clear" w:color="auto" w:fill="auto"/>
            <w:tcMar>
              <w:top w:w="72" w:type="dxa"/>
              <w:left w:w="144" w:type="dxa"/>
              <w:bottom w:w="72" w:type="dxa"/>
              <w:right w:w="144" w:type="dxa"/>
            </w:tcMar>
            <w:hideMark/>
          </w:tcPr>
          <w:p w14:paraId="5C87EE3F" w14:textId="57497DCF" w:rsidR="00760B6C" w:rsidRPr="00CD4428" w:rsidRDefault="00760B6C" w:rsidP="00C003EF">
            <w:pPr>
              <w:snapToGrid w:val="0"/>
              <w:spacing w:after="0" w:line="360" w:lineRule="auto"/>
              <w:jc w:val="center"/>
              <w:rPr>
                <w:rFonts w:ascii="Book Antiqua" w:eastAsia="Times New Roman" w:hAnsi="Book Antiqua" w:cs="Arial"/>
                <w:sz w:val="24"/>
                <w:szCs w:val="24"/>
                <w:lang w:val="en-GB" w:eastAsia="it-IT"/>
              </w:rPr>
            </w:pPr>
            <w:r w:rsidRPr="00CD4428">
              <w:rPr>
                <w:rFonts w:ascii="Book Antiqua" w:eastAsia="Times New Roman" w:hAnsi="Book Antiqua" w:cs="Calibri"/>
                <w:bCs/>
                <w:kern w:val="24"/>
                <w:sz w:val="24"/>
                <w:szCs w:val="24"/>
                <w:lang w:val="en-GB" w:eastAsia="it-IT"/>
              </w:rPr>
              <w:t>147</w:t>
            </w:r>
          </w:p>
        </w:tc>
        <w:tc>
          <w:tcPr>
            <w:tcW w:w="1418" w:type="dxa"/>
            <w:shd w:val="clear" w:color="auto" w:fill="auto"/>
            <w:tcMar>
              <w:top w:w="72" w:type="dxa"/>
              <w:left w:w="144" w:type="dxa"/>
              <w:bottom w:w="72" w:type="dxa"/>
              <w:right w:w="144" w:type="dxa"/>
            </w:tcMar>
            <w:hideMark/>
          </w:tcPr>
          <w:p w14:paraId="65CBE0A5" w14:textId="0551C825" w:rsidR="00760B6C" w:rsidRPr="00C003EF" w:rsidRDefault="00760B6C" w:rsidP="00C003EF">
            <w:pPr>
              <w:snapToGrid w:val="0"/>
              <w:spacing w:after="0" w:line="360" w:lineRule="auto"/>
              <w:jc w:val="center"/>
              <w:rPr>
                <w:rFonts w:ascii="Book Antiqua" w:hAnsi="Book Antiqua" w:cs="Arial"/>
                <w:sz w:val="24"/>
                <w:szCs w:val="24"/>
                <w:lang w:val="en-GB" w:eastAsia="zh-CN"/>
              </w:rPr>
            </w:pPr>
            <w:r w:rsidRPr="00CD4428">
              <w:rPr>
                <w:rFonts w:ascii="Book Antiqua" w:eastAsia="Times New Roman" w:hAnsi="Book Antiqua" w:cs="Calibri"/>
                <w:bCs/>
                <w:kern w:val="24"/>
                <w:sz w:val="24"/>
                <w:szCs w:val="24"/>
                <w:lang w:val="en-GB" w:eastAsia="it-IT"/>
              </w:rPr>
              <w:t>99</w:t>
            </w:r>
            <w:r w:rsidR="00C003EF">
              <w:rPr>
                <w:rFonts w:ascii="Book Antiqua" w:hAnsi="Book Antiqua" w:cs="Calibri" w:hint="eastAsia"/>
                <w:bCs/>
                <w:kern w:val="24"/>
                <w:sz w:val="24"/>
                <w:szCs w:val="24"/>
                <w:vertAlign w:val="superscript"/>
                <w:lang w:val="en-GB" w:eastAsia="zh-CN"/>
              </w:rPr>
              <w:t>1</w:t>
            </w:r>
          </w:p>
        </w:tc>
      </w:tr>
      <w:tr w:rsidR="00420056" w:rsidRPr="00CD4428" w14:paraId="5279BC35" w14:textId="77777777" w:rsidTr="004F52E0">
        <w:trPr>
          <w:trHeight w:val="365"/>
        </w:trPr>
        <w:tc>
          <w:tcPr>
            <w:tcW w:w="5247" w:type="dxa"/>
            <w:shd w:val="clear" w:color="auto" w:fill="auto"/>
            <w:tcMar>
              <w:top w:w="72" w:type="dxa"/>
              <w:left w:w="144" w:type="dxa"/>
              <w:bottom w:w="72" w:type="dxa"/>
              <w:right w:w="144" w:type="dxa"/>
            </w:tcMar>
            <w:hideMark/>
          </w:tcPr>
          <w:p w14:paraId="1E0A6656" w14:textId="4A8029D4" w:rsidR="00760B6C" w:rsidRPr="00CD4428" w:rsidRDefault="00760B6C" w:rsidP="00420056">
            <w:pPr>
              <w:snapToGrid w:val="0"/>
              <w:spacing w:after="0" w:line="360" w:lineRule="auto"/>
              <w:jc w:val="both"/>
              <w:rPr>
                <w:rFonts w:ascii="Book Antiqua" w:eastAsia="Times New Roman" w:hAnsi="Book Antiqua" w:cs="Arial"/>
                <w:sz w:val="24"/>
                <w:szCs w:val="24"/>
                <w:lang w:val="en-GB" w:eastAsia="it-IT"/>
              </w:rPr>
            </w:pPr>
            <w:proofErr w:type="spellStart"/>
            <w:r w:rsidRPr="00CD4428">
              <w:rPr>
                <w:rFonts w:ascii="Book Antiqua" w:eastAsia="Times New Roman" w:hAnsi="Book Antiqua" w:cs="Calibri"/>
                <w:bCs/>
                <w:kern w:val="24"/>
                <w:sz w:val="24"/>
                <w:szCs w:val="24"/>
                <w:lang w:val="en-GB" w:eastAsia="it-IT"/>
              </w:rPr>
              <w:t>Baumgart</w:t>
            </w:r>
            <w:proofErr w:type="spellEnd"/>
            <w:r w:rsidR="00420056">
              <w:rPr>
                <w:rFonts w:ascii="Book Antiqua" w:hAnsi="Book Antiqua" w:cs="Calibri" w:hint="eastAsia"/>
                <w:bCs/>
                <w:kern w:val="24"/>
                <w:sz w:val="24"/>
                <w:szCs w:val="24"/>
                <w:lang w:val="en-GB" w:eastAsia="zh-CN"/>
              </w:rPr>
              <w:t xml:space="preserve"> </w:t>
            </w:r>
            <w:r w:rsidR="00420056" w:rsidRPr="00420056">
              <w:rPr>
                <w:rFonts w:ascii="Book Antiqua" w:eastAsia="Times New Roman" w:hAnsi="Book Antiqua" w:cs="Calibri"/>
                <w:bCs/>
                <w:i/>
                <w:kern w:val="24"/>
                <w:sz w:val="24"/>
                <w:szCs w:val="24"/>
                <w:lang w:val="en-GB" w:eastAsia="it-IT"/>
              </w:rPr>
              <w:t>et al</w:t>
            </w:r>
            <w:r w:rsidRPr="00CD4428">
              <w:rPr>
                <w:rFonts w:ascii="Book Antiqua" w:eastAsia="SabonLTStd-Roman" w:hAnsi="Book Antiqua" w:cstheme="minorHAnsi"/>
                <w:sz w:val="24"/>
                <w:szCs w:val="24"/>
                <w:vertAlign w:val="superscript"/>
                <w:lang w:val="en-GB"/>
              </w:rPr>
              <w:t>[17]</w:t>
            </w:r>
            <w:r w:rsidRPr="00CD4428">
              <w:rPr>
                <w:rFonts w:ascii="Book Antiqua" w:eastAsia="Times New Roman" w:hAnsi="Book Antiqua" w:cs="Calibri"/>
                <w:bCs/>
                <w:kern w:val="24"/>
                <w:sz w:val="24"/>
                <w:szCs w:val="24"/>
                <w:lang w:val="en-GB" w:eastAsia="it-IT"/>
              </w:rPr>
              <w:t xml:space="preserve"> (Germany)</w:t>
            </w:r>
            <w:r w:rsidR="007A292C">
              <w:rPr>
                <w:rFonts w:ascii="Book Antiqua" w:hAnsi="Book Antiqua" w:cs="Calibri" w:hint="eastAsia"/>
                <w:bCs/>
                <w:kern w:val="24"/>
                <w:sz w:val="24"/>
                <w:szCs w:val="24"/>
                <w:lang w:val="en-GB" w:eastAsia="zh-CN"/>
              </w:rPr>
              <w:t>,</w:t>
            </w:r>
            <w:r w:rsidRPr="00CD4428">
              <w:rPr>
                <w:rFonts w:ascii="Book Antiqua" w:eastAsia="Times New Roman" w:hAnsi="Book Antiqua" w:cs="Calibri"/>
                <w:bCs/>
                <w:kern w:val="24"/>
                <w:sz w:val="24"/>
                <w:szCs w:val="24"/>
                <w:lang w:val="en-GB" w:eastAsia="it-IT"/>
              </w:rPr>
              <w:t xml:space="preserve"> 2016</w:t>
            </w:r>
          </w:p>
        </w:tc>
        <w:tc>
          <w:tcPr>
            <w:tcW w:w="1560" w:type="dxa"/>
            <w:shd w:val="clear" w:color="auto" w:fill="auto"/>
            <w:tcMar>
              <w:top w:w="72" w:type="dxa"/>
              <w:left w:w="144" w:type="dxa"/>
              <w:bottom w:w="72" w:type="dxa"/>
              <w:right w:w="144" w:type="dxa"/>
            </w:tcMar>
            <w:hideMark/>
          </w:tcPr>
          <w:p w14:paraId="1004C59D" w14:textId="0AFD4ED5" w:rsidR="00760B6C" w:rsidRPr="00CD4428" w:rsidRDefault="00760B6C" w:rsidP="00C003EF">
            <w:pPr>
              <w:snapToGrid w:val="0"/>
              <w:spacing w:after="0" w:line="360" w:lineRule="auto"/>
              <w:jc w:val="center"/>
              <w:rPr>
                <w:rFonts w:ascii="Book Antiqua" w:eastAsia="Times New Roman" w:hAnsi="Book Antiqua" w:cs="Arial"/>
                <w:sz w:val="24"/>
                <w:szCs w:val="24"/>
                <w:lang w:val="en-GB" w:eastAsia="it-IT"/>
              </w:rPr>
            </w:pPr>
            <w:r w:rsidRPr="00CD4428">
              <w:rPr>
                <w:rFonts w:ascii="Book Antiqua" w:eastAsia="Times New Roman" w:hAnsi="Book Antiqua" w:cs="Calibri"/>
                <w:bCs/>
                <w:kern w:val="24"/>
                <w:sz w:val="24"/>
                <w:szCs w:val="24"/>
                <w:lang w:val="en-GB" w:eastAsia="it-IT"/>
              </w:rPr>
              <w:t>212</w:t>
            </w:r>
          </w:p>
        </w:tc>
        <w:tc>
          <w:tcPr>
            <w:tcW w:w="1275" w:type="dxa"/>
            <w:shd w:val="clear" w:color="auto" w:fill="auto"/>
            <w:tcMar>
              <w:top w:w="72" w:type="dxa"/>
              <w:left w:w="144" w:type="dxa"/>
              <w:bottom w:w="72" w:type="dxa"/>
              <w:right w:w="144" w:type="dxa"/>
            </w:tcMar>
            <w:hideMark/>
          </w:tcPr>
          <w:p w14:paraId="221DDFBE" w14:textId="32C5FFDF" w:rsidR="00760B6C" w:rsidRPr="00CD4428" w:rsidRDefault="00760B6C" w:rsidP="00C003EF">
            <w:pPr>
              <w:snapToGrid w:val="0"/>
              <w:spacing w:after="0" w:line="360" w:lineRule="auto"/>
              <w:jc w:val="center"/>
              <w:rPr>
                <w:rFonts w:ascii="Book Antiqua" w:eastAsia="Times New Roman" w:hAnsi="Book Antiqua" w:cs="Arial"/>
                <w:sz w:val="24"/>
                <w:szCs w:val="24"/>
                <w:lang w:val="en-GB" w:eastAsia="it-IT"/>
              </w:rPr>
            </w:pPr>
            <w:r w:rsidRPr="00CD4428">
              <w:rPr>
                <w:rFonts w:ascii="Book Antiqua" w:eastAsia="Times New Roman" w:hAnsi="Book Antiqua" w:cs="Calibri"/>
                <w:bCs/>
                <w:kern w:val="24"/>
                <w:sz w:val="24"/>
                <w:szCs w:val="24"/>
                <w:lang w:val="en-GB" w:eastAsia="it-IT"/>
              </w:rPr>
              <w:t>97</w:t>
            </w:r>
          </w:p>
        </w:tc>
        <w:tc>
          <w:tcPr>
            <w:tcW w:w="1418" w:type="dxa"/>
            <w:shd w:val="clear" w:color="auto" w:fill="auto"/>
            <w:tcMar>
              <w:top w:w="72" w:type="dxa"/>
              <w:left w:w="144" w:type="dxa"/>
              <w:bottom w:w="72" w:type="dxa"/>
              <w:right w:w="144" w:type="dxa"/>
            </w:tcMar>
            <w:hideMark/>
          </w:tcPr>
          <w:p w14:paraId="6F1D4F57" w14:textId="70F5D438" w:rsidR="00760B6C" w:rsidRPr="00CD4428" w:rsidRDefault="00760B6C" w:rsidP="00C003EF">
            <w:pPr>
              <w:snapToGrid w:val="0"/>
              <w:spacing w:after="0" w:line="360" w:lineRule="auto"/>
              <w:jc w:val="center"/>
              <w:rPr>
                <w:rFonts w:ascii="Book Antiqua" w:eastAsia="Times New Roman" w:hAnsi="Book Antiqua" w:cs="Arial"/>
                <w:sz w:val="24"/>
                <w:szCs w:val="24"/>
                <w:lang w:val="en-GB" w:eastAsia="it-IT"/>
              </w:rPr>
            </w:pPr>
            <w:r w:rsidRPr="00CD4428">
              <w:rPr>
                <w:rFonts w:ascii="Book Antiqua" w:eastAsia="Times New Roman" w:hAnsi="Book Antiqua" w:cs="Calibri"/>
                <w:bCs/>
                <w:kern w:val="24"/>
                <w:sz w:val="24"/>
                <w:szCs w:val="24"/>
                <w:lang w:val="en-GB" w:eastAsia="it-IT"/>
              </w:rPr>
              <w:t>115</w:t>
            </w:r>
          </w:p>
        </w:tc>
      </w:tr>
      <w:tr w:rsidR="00420056" w:rsidRPr="00CD4428" w14:paraId="45DB64A1" w14:textId="77777777" w:rsidTr="004F52E0">
        <w:trPr>
          <w:trHeight w:val="330"/>
        </w:trPr>
        <w:tc>
          <w:tcPr>
            <w:tcW w:w="5247" w:type="dxa"/>
            <w:shd w:val="clear" w:color="auto" w:fill="auto"/>
            <w:tcMar>
              <w:top w:w="72" w:type="dxa"/>
              <w:left w:w="144" w:type="dxa"/>
              <w:bottom w:w="72" w:type="dxa"/>
              <w:right w:w="144" w:type="dxa"/>
            </w:tcMar>
            <w:hideMark/>
          </w:tcPr>
          <w:p w14:paraId="233623FC" w14:textId="31D18FEB" w:rsidR="00760B6C" w:rsidRPr="00CD4428" w:rsidRDefault="00760B6C" w:rsidP="00420056">
            <w:pPr>
              <w:snapToGrid w:val="0"/>
              <w:spacing w:after="0" w:line="360" w:lineRule="auto"/>
              <w:jc w:val="both"/>
              <w:rPr>
                <w:rFonts w:ascii="Book Antiqua" w:eastAsia="Times New Roman" w:hAnsi="Book Antiqua" w:cs="Arial"/>
                <w:sz w:val="24"/>
                <w:szCs w:val="24"/>
                <w:lang w:val="en-GB" w:eastAsia="it-IT"/>
              </w:rPr>
            </w:pPr>
            <w:proofErr w:type="spellStart"/>
            <w:r w:rsidRPr="00CD4428">
              <w:rPr>
                <w:rFonts w:ascii="Book Antiqua" w:eastAsia="Times New Roman" w:hAnsi="Book Antiqua" w:cs="Calibri"/>
                <w:bCs/>
                <w:kern w:val="24"/>
                <w:sz w:val="24"/>
                <w:szCs w:val="24"/>
                <w:lang w:val="en-GB" w:eastAsia="it-IT"/>
              </w:rPr>
              <w:t>Dulai</w:t>
            </w:r>
            <w:proofErr w:type="spellEnd"/>
            <w:r w:rsidR="00420056">
              <w:rPr>
                <w:rFonts w:ascii="Book Antiqua" w:hAnsi="Book Antiqua" w:cs="Calibri" w:hint="eastAsia"/>
                <w:bCs/>
                <w:kern w:val="24"/>
                <w:sz w:val="24"/>
                <w:szCs w:val="24"/>
                <w:lang w:val="en-GB" w:eastAsia="zh-CN"/>
              </w:rPr>
              <w:t xml:space="preserve"> </w:t>
            </w:r>
            <w:r w:rsidRPr="00420056">
              <w:rPr>
                <w:rFonts w:ascii="Book Antiqua" w:eastAsia="Times New Roman" w:hAnsi="Book Antiqua" w:cs="Calibri"/>
                <w:bCs/>
                <w:i/>
                <w:kern w:val="24"/>
                <w:sz w:val="24"/>
                <w:szCs w:val="24"/>
                <w:lang w:val="en-GB" w:eastAsia="it-IT"/>
              </w:rPr>
              <w:t xml:space="preserve">et </w:t>
            </w:r>
            <w:r w:rsidR="00420056" w:rsidRPr="00420056">
              <w:rPr>
                <w:rFonts w:ascii="Book Antiqua" w:eastAsia="Times New Roman" w:hAnsi="Book Antiqua" w:cs="Calibri"/>
                <w:bCs/>
                <w:i/>
                <w:kern w:val="24"/>
                <w:sz w:val="24"/>
                <w:szCs w:val="24"/>
                <w:lang w:val="en-GB" w:eastAsia="it-IT"/>
              </w:rPr>
              <w:t>al</w:t>
            </w:r>
            <w:r w:rsidRPr="00CD4428">
              <w:rPr>
                <w:rFonts w:ascii="Book Antiqua" w:eastAsia="SabonLTStd-Roman" w:hAnsi="Book Antiqua" w:cstheme="minorHAnsi"/>
                <w:sz w:val="24"/>
                <w:szCs w:val="24"/>
                <w:vertAlign w:val="superscript"/>
                <w:lang w:val="en-GB"/>
              </w:rPr>
              <w:t>[23]</w:t>
            </w:r>
            <w:r w:rsidRPr="00CD4428">
              <w:rPr>
                <w:rFonts w:ascii="Book Antiqua" w:eastAsia="Times New Roman" w:hAnsi="Book Antiqua" w:cs="Calibri"/>
                <w:bCs/>
                <w:kern w:val="24"/>
                <w:sz w:val="24"/>
                <w:szCs w:val="24"/>
                <w:lang w:val="en-GB" w:eastAsia="it-IT"/>
              </w:rPr>
              <w:t xml:space="preserve"> (U</w:t>
            </w:r>
            <w:r w:rsidR="00420056">
              <w:rPr>
                <w:rFonts w:ascii="Book Antiqua" w:hAnsi="Book Antiqua" w:cs="Calibri" w:hint="eastAsia"/>
                <w:bCs/>
                <w:kern w:val="24"/>
                <w:sz w:val="24"/>
                <w:szCs w:val="24"/>
                <w:lang w:val="en-GB" w:eastAsia="zh-CN"/>
              </w:rPr>
              <w:t>nited States</w:t>
            </w:r>
            <w:r w:rsidRPr="00CD4428">
              <w:rPr>
                <w:rFonts w:ascii="Book Antiqua" w:eastAsia="Times New Roman" w:hAnsi="Book Antiqua" w:cs="Calibri"/>
                <w:bCs/>
                <w:kern w:val="24"/>
                <w:sz w:val="24"/>
                <w:szCs w:val="24"/>
                <w:lang w:val="en-GB" w:eastAsia="it-IT"/>
              </w:rPr>
              <w:t>, multicentre)</w:t>
            </w:r>
            <w:r w:rsidR="007A292C">
              <w:rPr>
                <w:rFonts w:ascii="Book Antiqua" w:hAnsi="Book Antiqua" w:cs="Calibri" w:hint="eastAsia"/>
                <w:bCs/>
                <w:kern w:val="24"/>
                <w:sz w:val="24"/>
                <w:szCs w:val="24"/>
                <w:lang w:val="en-GB" w:eastAsia="zh-CN"/>
              </w:rPr>
              <w:t>,</w:t>
            </w:r>
            <w:r w:rsidRPr="00CD4428">
              <w:rPr>
                <w:rFonts w:ascii="Book Antiqua" w:eastAsia="Times New Roman" w:hAnsi="Book Antiqua" w:cs="Calibri"/>
                <w:bCs/>
                <w:kern w:val="24"/>
                <w:sz w:val="24"/>
                <w:szCs w:val="24"/>
                <w:lang w:val="en-GB" w:eastAsia="it-IT"/>
              </w:rPr>
              <w:t xml:space="preserve"> 2016</w:t>
            </w:r>
          </w:p>
        </w:tc>
        <w:tc>
          <w:tcPr>
            <w:tcW w:w="1560" w:type="dxa"/>
            <w:shd w:val="clear" w:color="auto" w:fill="auto"/>
            <w:tcMar>
              <w:top w:w="72" w:type="dxa"/>
              <w:left w:w="144" w:type="dxa"/>
              <w:bottom w:w="72" w:type="dxa"/>
              <w:right w:w="144" w:type="dxa"/>
            </w:tcMar>
            <w:hideMark/>
          </w:tcPr>
          <w:p w14:paraId="6F0F2F25" w14:textId="21DB49C1" w:rsidR="00760B6C" w:rsidRPr="00CD4428" w:rsidRDefault="00760B6C" w:rsidP="00C003EF">
            <w:pPr>
              <w:snapToGrid w:val="0"/>
              <w:spacing w:after="0" w:line="360" w:lineRule="auto"/>
              <w:jc w:val="center"/>
              <w:rPr>
                <w:rFonts w:ascii="Book Antiqua" w:eastAsia="Times New Roman" w:hAnsi="Book Antiqua" w:cs="Arial"/>
                <w:sz w:val="24"/>
                <w:szCs w:val="24"/>
                <w:lang w:val="en-GB" w:eastAsia="it-IT"/>
              </w:rPr>
            </w:pPr>
            <w:r w:rsidRPr="00CD4428">
              <w:rPr>
                <w:rFonts w:ascii="Book Antiqua" w:eastAsia="Times New Roman" w:hAnsi="Book Antiqua" w:cs="Calibri"/>
                <w:bCs/>
                <w:kern w:val="24"/>
                <w:sz w:val="24"/>
                <w:szCs w:val="24"/>
                <w:lang w:val="en-GB" w:eastAsia="it-IT"/>
              </w:rPr>
              <w:t>212</w:t>
            </w:r>
          </w:p>
        </w:tc>
        <w:tc>
          <w:tcPr>
            <w:tcW w:w="1275" w:type="dxa"/>
            <w:shd w:val="clear" w:color="auto" w:fill="auto"/>
            <w:tcMar>
              <w:top w:w="72" w:type="dxa"/>
              <w:left w:w="144" w:type="dxa"/>
              <w:bottom w:w="72" w:type="dxa"/>
              <w:right w:w="144" w:type="dxa"/>
            </w:tcMar>
            <w:hideMark/>
          </w:tcPr>
          <w:p w14:paraId="34908BEA" w14:textId="74A929AE" w:rsidR="00760B6C" w:rsidRPr="00CD4428" w:rsidRDefault="00760B6C" w:rsidP="00C003EF">
            <w:pPr>
              <w:snapToGrid w:val="0"/>
              <w:spacing w:after="0" w:line="360" w:lineRule="auto"/>
              <w:jc w:val="center"/>
              <w:rPr>
                <w:rFonts w:ascii="Book Antiqua" w:eastAsia="Times New Roman" w:hAnsi="Book Antiqua" w:cs="Arial"/>
                <w:sz w:val="24"/>
                <w:szCs w:val="24"/>
                <w:lang w:val="en-GB" w:eastAsia="it-IT"/>
              </w:rPr>
            </w:pPr>
            <w:r w:rsidRPr="00CD4428">
              <w:rPr>
                <w:rFonts w:ascii="Book Antiqua" w:eastAsia="Times New Roman" w:hAnsi="Book Antiqua" w:cs="Calibri"/>
                <w:bCs/>
                <w:kern w:val="24"/>
                <w:sz w:val="24"/>
                <w:szCs w:val="24"/>
                <w:lang w:val="en-GB" w:eastAsia="it-IT"/>
              </w:rPr>
              <w:t>212</w:t>
            </w:r>
          </w:p>
        </w:tc>
        <w:tc>
          <w:tcPr>
            <w:tcW w:w="1418" w:type="dxa"/>
            <w:shd w:val="clear" w:color="auto" w:fill="auto"/>
            <w:tcMar>
              <w:top w:w="72" w:type="dxa"/>
              <w:left w:w="144" w:type="dxa"/>
              <w:bottom w:w="72" w:type="dxa"/>
              <w:right w:w="144" w:type="dxa"/>
            </w:tcMar>
            <w:hideMark/>
          </w:tcPr>
          <w:p w14:paraId="28545205" w14:textId="18B0FDBC" w:rsidR="00760B6C" w:rsidRPr="00CD4428" w:rsidRDefault="00760B6C" w:rsidP="00C003EF">
            <w:pPr>
              <w:snapToGrid w:val="0"/>
              <w:spacing w:after="0" w:line="360" w:lineRule="auto"/>
              <w:jc w:val="center"/>
              <w:rPr>
                <w:rFonts w:ascii="Book Antiqua" w:eastAsia="Times New Roman" w:hAnsi="Book Antiqua" w:cs="Arial"/>
                <w:sz w:val="24"/>
                <w:szCs w:val="24"/>
                <w:lang w:val="en-GB" w:eastAsia="it-IT"/>
              </w:rPr>
            </w:pPr>
            <w:r w:rsidRPr="00CD4428">
              <w:rPr>
                <w:rFonts w:ascii="Book Antiqua" w:eastAsia="Times New Roman" w:hAnsi="Book Antiqua" w:cs="Calibri"/>
                <w:bCs/>
                <w:kern w:val="24"/>
                <w:sz w:val="24"/>
                <w:szCs w:val="24"/>
                <w:lang w:val="en-GB" w:eastAsia="it-IT"/>
              </w:rPr>
              <w:t>-</w:t>
            </w:r>
          </w:p>
        </w:tc>
      </w:tr>
      <w:tr w:rsidR="00420056" w:rsidRPr="00CD4428" w14:paraId="3807FD52" w14:textId="77777777" w:rsidTr="004F52E0">
        <w:trPr>
          <w:trHeight w:val="424"/>
        </w:trPr>
        <w:tc>
          <w:tcPr>
            <w:tcW w:w="5247" w:type="dxa"/>
            <w:shd w:val="clear" w:color="auto" w:fill="auto"/>
            <w:tcMar>
              <w:top w:w="72" w:type="dxa"/>
              <w:left w:w="144" w:type="dxa"/>
              <w:bottom w:w="72" w:type="dxa"/>
              <w:right w:w="144" w:type="dxa"/>
            </w:tcMar>
            <w:hideMark/>
          </w:tcPr>
          <w:p w14:paraId="0CB05406" w14:textId="4F8B0569" w:rsidR="00760B6C" w:rsidRPr="00CD4428" w:rsidRDefault="00760B6C" w:rsidP="00420056">
            <w:pPr>
              <w:snapToGrid w:val="0"/>
              <w:spacing w:after="0" w:line="360" w:lineRule="auto"/>
              <w:jc w:val="both"/>
              <w:rPr>
                <w:rFonts w:ascii="Book Antiqua" w:eastAsia="Times New Roman" w:hAnsi="Book Antiqua" w:cs="Arial"/>
                <w:sz w:val="24"/>
                <w:szCs w:val="24"/>
                <w:lang w:val="en-GB" w:eastAsia="it-IT"/>
              </w:rPr>
            </w:pPr>
            <w:proofErr w:type="spellStart"/>
            <w:r w:rsidRPr="00CD4428">
              <w:rPr>
                <w:rFonts w:ascii="Book Antiqua" w:eastAsia="Times New Roman" w:hAnsi="Book Antiqua" w:cs="Calibri"/>
                <w:bCs/>
                <w:kern w:val="24"/>
                <w:sz w:val="24"/>
                <w:szCs w:val="24"/>
                <w:lang w:val="en-GB" w:eastAsia="it-IT"/>
              </w:rPr>
              <w:t>Kopylov</w:t>
            </w:r>
            <w:proofErr w:type="spellEnd"/>
            <w:r w:rsidR="00420056" w:rsidRPr="00420056">
              <w:rPr>
                <w:rFonts w:ascii="Book Antiqua" w:hAnsi="Book Antiqua" w:cs="Calibri" w:hint="eastAsia"/>
                <w:bCs/>
                <w:i/>
                <w:kern w:val="24"/>
                <w:sz w:val="24"/>
                <w:szCs w:val="24"/>
                <w:lang w:val="en-GB" w:eastAsia="zh-CN"/>
              </w:rPr>
              <w:t xml:space="preserve"> </w:t>
            </w:r>
            <w:r w:rsidR="00420056" w:rsidRPr="00420056">
              <w:rPr>
                <w:rFonts w:ascii="Book Antiqua" w:eastAsia="Times New Roman" w:hAnsi="Book Antiqua" w:cs="Calibri"/>
                <w:bCs/>
                <w:i/>
                <w:kern w:val="24"/>
                <w:sz w:val="24"/>
                <w:szCs w:val="24"/>
                <w:lang w:val="en-GB" w:eastAsia="it-IT"/>
              </w:rPr>
              <w:t>et al</w:t>
            </w:r>
            <w:r w:rsidRPr="00CD4428">
              <w:rPr>
                <w:rFonts w:ascii="Book Antiqua" w:eastAsia="SabonLTStd-Roman" w:hAnsi="Book Antiqua" w:cstheme="minorHAnsi"/>
                <w:sz w:val="24"/>
                <w:szCs w:val="24"/>
                <w:vertAlign w:val="superscript"/>
                <w:lang w:val="en-GB"/>
              </w:rPr>
              <w:t>[20]</w:t>
            </w:r>
            <w:r w:rsidRPr="00CD4428">
              <w:rPr>
                <w:rFonts w:ascii="Book Antiqua" w:eastAsia="Times New Roman" w:hAnsi="Book Antiqua" w:cs="Calibri"/>
                <w:bCs/>
                <w:kern w:val="24"/>
                <w:sz w:val="24"/>
                <w:szCs w:val="24"/>
                <w:lang w:val="en-GB" w:eastAsia="it-IT"/>
              </w:rPr>
              <w:t xml:space="preserve"> (Israel)</w:t>
            </w:r>
            <w:r w:rsidR="007A292C">
              <w:rPr>
                <w:rFonts w:ascii="Book Antiqua" w:hAnsi="Book Antiqua" w:cs="Calibri" w:hint="eastAsia"/>
                <w:bCs/>
                <w:kern w:val="24"/>
                <w:sz w:val="24"/>
                <w:szCs w:val="24"/>
                <w:lang w:val="en-GB" w:eastAsia="zh-CN"/>
              </w:rPr>
              <w:t>,</w:t>
            </w:r>
            <w:r w:rsidRPr="00CD4428">
              <w:rPr>
                <w:rFonts w:ascii="Book Antiqua" w:eastAsia="Times New Roman" w:hAnsi="Book Antiqua" w:cs="Calibri"/>
                <w:bCs/>
                <w:kern w:val="24"/>
                <w:sz w:val="24"/>
                <w:szCs w:val="24"/>
                <w:lang w:val="en-GB" w:eastAsia="it-IT"/>
              </w:rPr>
              <w:t xml:space="preserve"> 2017</w:t>
            </w:r>
          </w:p>
        </w:tc>
        <w:tc>
          <w:tcPr>
            <w:tcW w:w="1560" w:type="dxa"/>
            <w:shd w:val="clear" w:color="auto" w:fill="auto"/>
            <w:tcMar>
              <w:top w:w="72" w:type="dxa"/>
              <w:left w:w="144" w:type="dxa"/>
              <w:bottom w:w="72" w:type="dxa"/>
              <w:right w:w="144" w:type="dxa"/>
            </w:tcMar>
            <w:hideMark/>
          </w:tcPr>
          <w:p w14:paraId="6394345B" w14:textId="5902E2FF" w:rsidR="00760B6C" w:rsidRPr="00CD4428" w:rsidRDefault="00760B6C" w:rsidP="00C003EF">
            <w:pPr>
              <w:snapToGrid w:val="0"/>
              <w:spacing w:after="0" w:line="360" w:lineRule="auto"/>
              <w:jc w:val="center"/>
              <w:rPr>
                <w:rFonts w:ascii="Book Antiqua" w:eastAsia="Times New Roman" w:hAnsi="Book Antiqua" w:cs="Arial"/>
                <w:sz w:val="24"/>
                <w:szCs w:val="24"/>
                <w:lang w:val="en-GB" w:eastAsia="it-IT"/>
              </w:rPr>
            </w:pPr>
            <w:r w:rsidRPr="00CD4428">
              <w:rPr>
                <w:rFonts w:ascii="Book Antiqua" w:eastAsia="Times New Roman" w:hAnsi="Book Antiqua" w:cs="Calibri"/>
                <w:bCs/>
                <w:kern w:val="24"/>
                <w:sz w:val="24"/>
                <w:szCs w:val="24"/>
                <w:lang w:val="en-GB" w:eastAsia="it-IT"/>
              </w:rPr>
              <w:t>204</w:t>
            </w:r>
          </w:p>
        </w:tc>
        <w:tc>
          <w:tcPr>
            <w:tcW w:w="1275" w:type="dxa"/>
            <w:shd w:val="clear" w:color="auto" w:fill="auto"/>
            <w:tcMar>
              <w:top w:w="72" w:type="dxa"/>
              <w:left w:w="144" w:type="dxa"/>
              <w:bottom w:w="72" w:type="dxa"/>
              <w:right w:w="144" w:type="dxa"/>
            </w:tcMar>
            <w:hideMark/>
          </w:tcPr>
          <w:p w14:paraId="47A98084" w14:textId="5ECB3856" w:rsidR="00760B6C" w:rsidRPr="00CD4428" w:rsidRDefault="00760B6C" w:rsidP="00C003EF">
            <w:pPr>
              <w:snapToGrid w:val="0"/>
              <w:spacing w:after="0" w:line="360" w:lineRule="auto"/>
              <w:jc w:val="center"/>
              <w:rPr>
                <w:rFonts w:ascii="Book Antiqua" w:eastAsia="Times New Roman" w:hAnsi="Book Antiqua" w:cs="Arial"/>
                <w:sz w:val="24"/>
                <w:szCs w:val="24"/>
                <w:lang w:val="en-GB" w:eastAsia="it-IT"/>
              </w:rPr>
            </w:pPr>
            <w:r w:rsidRPr="00CD4428">
              <w:rPr>
                <w:rFonts w:ascii="Book Antiqua" w:eastAsia="Times New Roman" w:hAnsi="Book Antiqua" w:cs="Calibri"/>
                <w:bCs/>
                <w:kern w:val="24"/>
                <w:sz w:val="24"/>
                <w:szCs w:val="24"/>
                <w:lang w:val="en-GB" w:eastAsia="it-IT"/>
              </w:rPr>
              <w:t>130</w:t>
            </w:r>
          </w:p>
        </w:tc>
        <w:tc>
          <w:tcPr>
            <w:tcW w:w="1418" w:type="dxa"/>
            <w:shd w:val="clear" w:color="auto" w:fill="auto"/>
            <w:tcMar>
              <w:top w:w="72" w:type="dxa"/>
              <w:left w:w="144" w:type="dxa"/>
              <w:bottom w:w="72" w:type="dxa"/>
              <w:right w:w="144" w:type="dxa"/>
            </w:tcMar>
            <w:hideMark/>
          </w:tcPr>
          <w:p w14:paraId="4CB432A7" w14:textId="3565A2C2" w:rsidR="00760B6C" w:rsidRPr="00C003EF" w:rsidRDefault="00760B6C" w:rsidP="00C003EF">
            <w:pPr>
              <w:snapToGrid w:val="0"/>
              <w:spacing w:after="0" w:line="360" w:lineRule="auto"/>
              <w:jc w:val="center"/>
              <w:rPr>
                <w:rFonts w:ascii="Book Antiqua" w:hAnsi="Book Antiqua" w:cs="Arial"/>
                <w:sz w:val="24"/>
                <w:szCs w:val="24"/>
                <w:lang w:val="en-GB" w:eastAsia="zh-CN"/>
              </w:rPr>
            </w:pPr>
            <w:r w:rsidRPr="00CD4428">
              <w:rPr>
                <w:rFonts w:ascii="Book Antiqua" w:eastAsia="Times New Roman" w:hAnsi="Book Antiqua" w:cs="Calibri"/>
                <w:bCs/>
                <w:kern w:val="24"/>
                <w:sz w:val="24"/>
                <w:szCs w:val="24"/>
                <w:lang w:val="en-GB" w:eastAsia="it-IT"/>
              </w:rPr>
              <w:t>74</w:t>
            </w:r>
            <w:r w:rsidR="00C003EF">
              <w:rPr>
                <w:rFonts w:ascii="Book Antiqua" w:hAnsi="Book Antiqua" w:cs="Calibri" w:hint="eastAsia"/>
                <w:bCs/>
                <w:kern w:val="24"/>
                <w:sz w:val="24"/>
                <w:szCs w:val="24"/>
                <w:vertAlign w:val="superscript"/>
                <w:lang w:val="en-GB" w:eastAsia="zh-CN"/>
              </w:rPr>
              <w:t>1</w:t>
            </w:r>
          </w:p>
        </w:tc>
      </w:tr>
      <w:tr w:rsidR="00420056" w:rsidRPr="00CD4428" w14:paraId="049327D4" w14:textId="77777777" w:rsidTr="004F52E0">
        <w:trPr>
          <w:trHeight w:val="401"/>
        </w:trPr>
        <w:tc>
          <w:tcPr>
            <w:tcW w:w="5247" w:type="dxa"/>
            <w:shd w:val="clear" w:color="auto" w:fill="auto"/>
            <w:tcMar>
              <w:top w:w="72" w:type="dxa"/>
              <w:left w:w="144" w:type="dxa"/>
              <w:bottom w:w="72" w:type="dxa"/>
              <w:right w:w="144" w:type="dxa"/>
            </w:tcMar>
            <w:hideMark/>
          </w:tcPr>
          <w:p w14:paraId="258E05A9" w14:textId="235B5B39" w:rsidR="00760B6C" w:rsidRPr="00CD4428" w:rsidRDefault="00760B6C" w:rsidP="00420056">
            <w:pPr>
              <w:snapToGrid w:val="0"/>
              <w:spacing w:after="0" w:line="360" w:lineRule="auto"/>
              <w:jc w:val="both"/>
              <w:rPr>
                <w:rFonts w:ascii="Book Antiqua" w:eastAsia="Times New Roman" w:hAnsi="Book Antiqua" w:cs="Arial"/>
                <w:sz w:val="24"/>
                <w:szCs w:val="24"/>
                <w:lang w:val="en-GB" w:eastAsia="it-IT"/>
              </w:rPr>
            </w:pPr>
            <w:r w:rsidRPr="00CD4428">
              <w:rPr>
                <w:rFonts w:ascii="Book Antiqua" w:eastAsia="Times New Roman" w:hAnsi="Book Antiqua" w:cs="Calibri"/>
                <w:bCs/>
                <w:kern w:val="24"/>
                <w:sz w:val="24"/>
                <w:szCs w:val="24"/>
                <w:lang w:val="en-GB" w:eastAsia="it-IT"/>
              </w:rPr>
              <w:t>Shelton</w:t>
            </w:r>
            <w:r w:rsidR="00420056">
              <w:rPr>
                <w:rFonts w:ascii="Book Antiqua" w:hAnsi="Book Antiqua" w:cs="Calibri" w:hint="eastAsia"/>
                <w:bCs/>
                <w:kern w:val="24"/>
                <w:sz w:val="24"/>
                <w:szCs w:val="24"/>
                <w:lang w:val="en-GB" w:eastAsia="zh-CN"/>
              </w:rPr>
              <w:t xml:space="preserve"> </w:t>
            </w:r>
            <w:r w:rsidR="00420056" w:rsidRPr="00420056">
              <w:rPr>
                <w:rFonts w:ascii="Book Antiqua" w:eastAsia="Times New Roman" w:hAnsi="Book Antiqua" w:cs="Calibri"/>
                <w:bCs/>
                <w:i/>
                <w:kern w:val="24"/>
                <w:sz w:val="24"/>
                <w:szCs w:val="24"/>
                <w:lang w:val="en-GB" w:eastAsia="it-IT"/>
              </w:rPr>
              <w:t>et al</w:t>
            </w:r>
            <w:r w:rsidRPr="00CD4428">
              <w:rPr>
                <w:rFonts w:ascii="Book Antiqua" w:eastAsia="SabonLTStd-Roman" w:hAnsi="Book Antiqua" w:cstheme="minorHAnsi"/>
                <w:sz w:val="24"/>
                <w:szCs w:val="24"/>
                <w:vertAlign w:val="superscript"/>
                <w:lang w:val="en-GB"/>
              </w:rPr>
              <w:t>[24]</w:t>
            </w:r>
            <w:r w:rsidRPr="00CD4428">
              <w:rPr>
                <w:rFonts w:ascii="Book Antiqua" w:eastAsia="Times New Roman" w:hAnsi="Book Antiqua" w:cs="Calibri"/>
                <w:bCs/>
                <w:kern w:val="24"/>
                <w:sz w:val="24"/>
                <w:szCs w:val="24"/>
                <w:lang w:val="en-GB" w:eastAsia="it-IT"/>
              </w:rPr>
              <w:t xml:space="preserve"> (</w:t>
            </w:r>
            <w:r w:rsidR="00420056" w:rsidRPr="00CD4428">
              <w:rPr>
                <w:rFonts w:ascii="Book Antiqua" w:eastAsia="Times New Roman" w:hAnsi="Book Antiqua" w:cs="Calibri"/>
                <w:bCs/>
                <w:kern w:val="24"/>
                <w:sz w:val="24"/>
                <w:szCs w:val="24"/>
                <w:lang w:val="en-GB" w:eastAsia="it-IT"/>
              </w:rPr>
              <w:t>U</w:t>
            </w:r>
            <w:r w:rsidR="00420056">
              <w:rPr>
                <w:rFonts w:ascii="Book Antiqua" w:hAnsi="Book Antiqua" w:cs="Calibri" w:hint="eastAsia"/>
                <w:bCs/>
                <w:kern w:val="24"/>
                <w:sz w:val="24"/>
                <w:szCs w:val="24"/>
                <w:lang w:val="en-GB" w:eastAsia="zh-CN"/>
              </w:rPr>
              <w:t>nited States</w:t>
            </w:r>
            <w:r w:rsidRPr="00CD4428">
              <w:rPr>
                <w:rFonts w:ascii="Book Antiqua" w:eastAsia="Times New Roman" w:hAnsi="Book Antiqua" w:cs="Calibri"/>
                <w:bCs/>
                <w:kern w:val="24"/>
                <w:sz w:val="24"/>
                <w:szCs w:val="24"/>
                <w:lang w:val="en-GB" w:eastAsia="it-IT"/>
              </w:rPr>
              <w:t>, Boston)</w:t>
            </w:r>
            <w:r w:rsidR="007A292C">
              <w:rPr>
                <w:rFonts w:ascii="Book Antiqua" w:hAnsi="Book Antiqua" w:cs="Calibri" w:hint="eastAsia"/>
                <w:bCs/>
                <w:kern w:val="24"/>
                <w:sz w:val="24"/>
                <w:szCs w:val="24"/>
                <w:lang w:val="en-GB" w:eastAsia="zh-CN"/>
              </w:rPr>
              <w:t>,</w:t>
            </w:r>
            <w:r w:rsidRPr="00CD4428">
              <w:rPr>
                <w:rFonts w:ascii="Book Antiqua" w:eastAsia="Times New Roman" w:hAnsi="Book Antiqua" w:cs="Calibri"/>
                <w:bCs/>
                <w:kern w:val="24"/>
                <w:sz w:val="24"/>
                <w:szCs w:val="24"/>
                <w:lang w:val="en-GB" w:eastAsia="it-IT"/>
              </w:rPr>
              <w:t xml:space="preserve"> 2015</w:t>
            </w:r>
          </w:p>
        </w:tc>
        <w:tc>
          <w:tcPr>
            <w:tcW w:w="1560" w:type="dxa"/>
            <w:shd w:val="clear" w:color="auto" w:fill="auto"/>
            <w:tcMar>
              <w:top w:w="72" w:type="dxa"/>
              <w:left w:w="144" w:type="dxa"/>
              <w:bottom w:w="72" w:type="dxa"/>
              <w:right w:w="144" w:type="dxa"/>
            </w:tcMar>
            <w:hideMark/>
          </w:tcPr>
          <w:p w14:paraId="547BFA30" w14:textId="059D7E71" w:rsidR="00760B6C" w:rsidRPr="00CD4428" w:rsidRDefault="00760B6C" w:rsidP="00C003EF">
            <w:pPr>
              <w:snapToGrid w:val="0"/>
              <w:spacing w:after="0" w:line="360" w:lineRule="auto"/>
              <w:jc w:val="center"/>
              <w:rPr>
                <w:rFonts w:ascii="Book Antiqua" w:eastAsia="Times New Roman" w:hAnsi="Book Antiqua" w:cs="Arial"/>
                <w:sz w:val="24"/>
                <w:szCs w:val="24"/>
                <w:lang w:val="en-GB" w:eastAsia="it-IT"/>
              </w:rPr>
            </w:pPr>
            <w:r w:rsidRPr="00CD4428">
              <w:rPr>
                <w:rFonts w:ascii="Book Antiqua" w:eastAsia="Times New Roman" w:hAnsi="Book Antiqua" w:cs="Calibri"/>
                <w:bCs/>
                <w:kern w:val="24"/>
                <w:sz w:val="24"/>
                <w:szCs w:val="24"/>
                <w:lang w:val="en-GB" w:eastAsia="it-IT"/>
              </w:rPr>
              <w:t>172</w:t>
            </w:r>
          </w:p>
        </w:tc>
        <w:tc>
          <w:tcPr>
            <w:tcW w:w="1275" w:type="dxa"/>
            <w:shd w:val="clear" w:color="auto" w:fill="auto"/>
            <w:tcMar>
              <w:top w:w="72" w:type="dxa"/>
              <w:left w:w="144" w:type="dxa"/>
              <w:bottom w:w="72" w:type="dxa"/>
              <w:right w:w="144" w:type="dxa"/>
            </w:tcMar>
            <w:hideMark/>
          </w:tcPr>
          <w:p w14:paraId="3339DC74" w14:textId="06085580" w:rsidR="00760B6C" w:rsidRPr="00CD4428" w:rsidRDefault="00760B6C" w:rsidP="00C003EF">
            <w:pPr>
              <w:snapToGrid w:val="0"/>
              <w:spacing w:after="0" w:line="360" w:lineRule="auto"/>
              <w:jc w:val="center"/>
              <w:rPr>
                <w:rFonts w:ascii="Book Antiqua" w:eastAsia="Times New Roman" w:hAnsi="Book Antiqua" w:cs="Arial"/>
                <w:sz w:val="24"/>
                <w:szCs w:val="24"/>
                <w:lang w:val="en-GB" w:eastAsia="it-IT"/>
              </w:rPr>
            </w:pPr>
            <w:r w:rsidRPr="00CD4428">
              <w:rPr>
                <w:rFonts w:ascii="Book Antiqua" w:eastAsia="Times New Roman" w:hAnsi="Book Antiqua" w:cs="Calibri"/>
                <w:bCs/>
                <w:kern w:val="24"/>
                <w:sz w:val="24"/>
                <w:szCs w:val="24"/>
                <w:lang w:val="en-GB" w:eastAsia="it-IT"/>
              </w:rPr>
              <w:t>107</w:t>
            </w:r>
          </w:p>
        </w:tc>
        <w:tc>
          <w:tcPr>
            <w:tcW w:w="1418" w:type="dxa"/>
            <w:shd w:val="clear" w:color="auto" w:fill="auto"/>
            <w:tcMar>
              <w:top w:w="72" w:type="dxa"/>
              <w:left w:w="144" w:type="dxa"/>
              <w:bottom w:w="72" w:type="dxa"/>
              <w:right w:w="144" w:type="dxa"/>
            </w:tcMar>
            <w:hideMark/>
          </w:tcPr>
          <w:p w14:paraId="4DCB1FE3" w14:textId="5FCFC965" w:rsidR="00760B6C" w:rsidRPr="00C003EF" w:rsidRDefault="00760B6C" w:rsidP="00C003EF">
            <w:pPr>
              <w:snapToGrid w:val="0"/>
              <w:spacing w:after="0" w:line="360" w:lineRule="auto"/>
              <w:jc w:val="center"/>
              <w:rPr>
                <w:rFonts w:ascii="Book Antiqua" w:hAnsi="Book Antiqua" w:cs="Arial"/>
                <w:sz w:val="24"/>
                <w:szCs w:val="24"/>
                <w:lang w:val="en-GB" w:eastAsia="zh-CN"/>
              </w:rPr>
            </w:pPr>
            <w:r w:rsidRPr="00CD4428">
              <w:rPr>
                <w:rFonts w:ascii="Book Antiqua" w:eastAsia="Times New Roman" w:hAnsi="Book Antiqua" w:cs="Calibri"/>
                <w:bCs/>
                <w:kern w:val="24"/>
                <w:sz w:val="24"/>
                <w:szCs w:val="24"/>
                <w:lang w:val="en-GB" w:eastAsia="it-IT"/>
              </w:rPr>
              <w:t>65</w:t>
            </w:r>
            <w:r w:rsidR="00C003EF">
              <w:rPr>
                <w:rFonts w:ascii="Book Antiqua" w:hAnsi="Book Antiqua" w:cs="Calibri" w:hint="eastAsia"/>
                <w:bCs/>
                <w:kern w:val="24"/>
                <w:sz w:val="24"/>
                <w:szCs w:val="24"/>
                <w:vertAlign w:val="superscript"/>
                <w:lang w:val="en-GB" w:eastAsia="zh-CN"/>
              </w:rPr>
              <w:t>1</w:t>
            </w:r>
          </w:p>
        </w:tc>
      </w:tr>
      <w:tr w:rsidR="00420056" w:rsidRPr="00CD4428" w14:paraId="31CBCF14" w14:textId="77777777" w:rsidTr="004F52E0">
        <w:trPr>
          <w:trHeight w:val="416"/>
        </w:trPr>
        <w:tc>
          <w:tcPr>
            <w:tcW w:w="5247" w:type="dxa"/>
            <w:shd w:val="clear" w:color="auto" w:fill="auto"/>
            <w:tcMar>
              <w:top w:w="72" w:type="dxa"/>
              <w:left w:w="144" w:type="dxa"/>
              <w:bottom w:w="72" w:type="dxa"/>
              <w:right w:w="144" w:type="dxa"/>
            </w:tcMar>
          </w:tcPr>
          <w:p w14:paraId="1C6B93C2" w14:textId="02C75787" w:rsidR="00760B6C" w:rsidRPr="00CD4428" w:rsidRDefault="00760B6C" w:rsidP="00420056">
            <w:pPr>
              <w:snapToGrid w:val="0"/>
              <w:spacing w:after="0" w:line="360" w:lineRule="auto"/>
              <w:jc w:val="both"/>
              <w:rPr>
                <w:rFonts w:ascii="Book Antiqua" w:eastAsia="Times New Roman" w:hAnsi="Book Antiqua" w:cs="Calibri"/>
                <w:bCs/>
                <w:kern w:val="24"/>
                <w:sz w:val="24"/>
                <w:szCs w:val="24"/>
                <w:lang w:val="en-GB" w:eastAsia="it-IT"/>
              </w:rPr>
            </w:pPr>
            <w:proofErr w:type="spellStart"/>
            <w:r w:rsidRPr="00CD4428">
              <w:rPr>
                <w:rFonts w:ascii="Book Antiqua" w:eastAsia="Times New Roman" w:hAnsi="Book Antiqua" w:cs="Calibri"/>
                <w:bCs/>
                <w:kern w:val="24"/>
                <w:sz w:val="24"/>
                <w:szCs w:val="24"/>
                <w:lang w:val="en-GB" w:eastAsia="it-IT"/>
              </w:rPr>
              <w:t>Macaluso</w:t>
            </w:r>
            <w:proofErr w:type="spellEnd"/>
            <w:r w:rsidR="00420056" w:rsidRPr="00420056">
              <w:rPr>
                <w:rFonts w:ascii="Book Antiqua" w:hAnsi="Book Antiqua" w:cs="Calibri" w:hint="eastAsia"/>
                <w:bCs/>
                <w:i/>
                <w:kern w:val="24"/>
                <w:sz w:val="24"/>
                <w:szCs w:val="24"/>
                <w:lang w:val="en-GB" w:eastAsia="zh-CN"/>
              </w:rPr>
              <w:t xml:space="preserve"> </w:t>
            </w:r>
            <w:r w:rsidRPr="00420056">
              <w:rPr>
                <w:rFonts w:ascii="Book Antiqua" w:eastAsia="Times New Roman" w:hAnsi="Book Antiqua" w:cs="Calibri"/>
                <w:bCs/>
                <w:i/>
                <w:kern w:val="24"/>
                <w:sz w:val="24"/>
                <w:szCs w:val="24"/>
                <w:lang w:val="en-GB" w:eastAsia="it-IT"/>
              </w:rPr>
              <w:t>et al</w:t>
            </w:r>
            <w:r w:rsidRPr="00CD4428">
              <w:rPr>
                <w:rFonts w:ascii="Book Antiqua" w:eastAsia="SabonLTStd-Roman" w:hAnsi="Book Antiqua" w:cstheme="minorHAnsi"/>
                <w:sz w:val="24"/>
                <w:szCs w:val="24"/>
                <w:vertAlign w:val="superscript"/>
                <w:lang w:val="en-GB"/>
              </w:rPr>
              <w:t>[22]</w:t>
            </w:r>
            <w:r w:rsidRPr="00CD4428">
              <w:rPr>
                <w:rFonts w:ascii="Book Antiqua" w:eastAsia="Times New Roman" w:hAnsi="Book Antiqua" w:cs="Calibri"/>
                <w:bCs/>
                <w:kern w:val="24"/>
                <w:sz w:val="24"/>
                <w:szCs w:val="24"/>
                <w:lang w:val="en-GB" w:eastAsia="it-IT"/>
              </w:rPr>
              <w:t xml:space="preserve"> (Italy, Sicily)</w:t>
            </w:r>
            <w:r w:rsidR="007A292C">
              <w:rPr>
                <w:rFonts w:ascii="Book Antiqua" w:hAnsi="Book Antiqua" w:cs="Calibri" w:hint="eastAsia"/>
                <w:bCs/>
                <w:kern w:val="24"/>
                <w:sz w:val="24"/>
                <w:szCs w:val="24"/>
                <w:lang w:val="en-GB" w:eastAsia="zh-CN"/>
              </w:rPr>
              <w:t>,</w:t>
            </w:r>
            <w:r w:rsidRPr="00CD4428">
              <w:rPr>
                <w:rFonts w:ascii="Book Antiqua" w:eastAsia="Times New Roman" w:hAnsi="Book Antiqua" w:cs="Calibri"/>
                <w:bCs/>
                <w:kern w:val="24"/>
                <w:sz w:val="24"/>
                <w:szCs w:val="24"/>
                <w:lang w:val="en-GB" w:eastAsia="it-IT"/>
              </w:rPr>
              <w:t xml:space="preserve"> 2018</w:t>
            </w:r>
          </w:p>
        </w:tc>
        <w:tc>
          <w:tcPr>
            <w:tcW w:w="1560" w:type="dxa"/>
            <w:shd w:val="clear" w:color="auto" w:fill="auto"/>
            <w:tcMar>
              <w:top w:w="72" w:type="dxa"/>
              <w:left w:w="144" w:type="dxa"/>
              <w:bottom w:w="72" w:type="dxa"/>
              <w:right w:w="144" w:type="dxa"/>
            </w:tcMar>
          </w:tcPr>
          <w:p w14:paraId="6610459A" w14:textId="7D7639A3" w:rsidR="00760B6C" w:rsidRPr="00CD4428" w:rsidRDefault="00760B6C" w:rsidP="00C003EF">
            <w:pPr>
              <w:snapToGrid w:val="0"/>
              <w:spacing w:after="0" w:line="360" w:lineRule="auto"/>
              <w:jc w:val="center"/>
              <w:rPr>
                <w:rFonts w:ascii="Book Antiqua" w:eastAsia="Times New Roman" w:hAnsi="Book Antiqua" w:cs="Calibri"/>
                <w:bCs/>
                <w:kern w:val="24"/>
                <w:sz w:val="24"/>
                <w:szCs w:val="24"/>
                <w:lang w:val="en-GB" w:eastAsia="it-IT"/>
              </w:rPr>
            </w:pPr>
            <w:r w:rsidRPr="00CD4428">
              <w:rPr>
                <w:rFonts w:ascii="Book Antiqua" w:eastAsia="Times New Roman" w:hAnsi="Book Antiqua" w:cs="Calibri"/>
                <w:bCs/>
                <w:kern w:val="24"/>
                <w:sz w:val="24"/>
                <w:szCs w:val="24"/>
                <w:lang w:val="en-GB" w:eastAsia="it-IT"/>
              </w:rPr>
              <w:t>163</w:t>
            </w:r>
          </w:p>
        </w:tc>
        <w:tc>
          <w:tcPr>
            <w:tcW w:w="1275" w:type="dxa"/>
            <w:shd w:val="clear" w:color="auto" w:fill="auto"/>
            <w:tcMar>
              <w:top w:w="72" w:type="dxa"/>
              <w:left w:w="144" w:type="dxa"/>
              <w:bottom w:w="72" w:type="dxa"/>
              <w:right w:w="144" w:type="dxa"/>
            </w:tcMar>
          </w:tcPr>
          <w:p w14:paraId="194B13C4" w14:textId="3B8E2ABC" w:rsidR="00760B6C" w:rsidRPr="00CD4428" w:rsidRDefault="00760B6C" w:rsidP="00C003EF">
            <w:pPr>
              <w:snapToGrid w:val="0"/>
              <w:spacing w:after="0" w:line="360" w:lineRule="auto"/>
              <w:jc w:val="center"/>
              <w:rPr>
                <w:rFonts w:ascii="Book Antiqua" w:eastAsia="Times New Roman" w:hAnsi="Book Antiqua" w:cs="Calibri"/>
                <w:bCs/>
                <w:kern w:val="24"/>
                <w:sz w:val="24"/>
                <w:szCs w:val="24"/>
                <w:lang w:val="en-GB" w:eastAsia="it-IT"/>
              </w:rPr>
            </w:pPr>
            <w:r w:rsidRPr="00CD4428">
              <w:rPr>
                <w:rFonts w:ascii="Book Antiqua" w:eastAsia="Times New Roman" w:hAnsi="Book Antiqua" w:cs="Calibri"/>
                <w:bCs/>
                <w:kern w:val="24"/>
                <w:sz w:val="24"/>
                <w:szCs w:val="24"/>
                <w:lang w:val="en-GB" w:eastAsia="it-IT"/>
              </w:rPr>
              <w:t>84</w:t>
            </w:r>
          </w:p>
        </w:tc>
        <w:tc>
          <w:tcPr>
            <w:tcW w:w="1418" w:type="dxa"/>
            <w:shd w:val="clear" w:color="auto" w:fill="auto"/>
            <w:tcMar>
              <w:top w:w="72" w:type="dxa"/>
              <w:left w:w="144" w:type="dxa"/>
              <w:bottom w:w="72" w:type="dxa"/>
              <w:right w:w="144" w:type="dxa"/>
            </w:tcMar>
          </w:tcPr>
          <w:p w14:paraId="7042127A" w14:textId="580A4630" w:rsidR="00760B6C" w:rsidRPr="00CD4428" w:rsidRDefault="00760B6C" w:rsidP="00C003EF">
            <w:pPr>
              <w:snapToGrid w:val="0"/>
              <w:spacing w:after="0" w:line="360" w:lineRule="auto"/>
              <w:jc w:val="center"/>
              <w:rPr>
                <w:rFonts w:ascii="Book Antiqua" w:eastAsia="Times New Roman" w:hAnsi="Book Antiqua" w:cs="Calibri"/>
                <w:bCs/>
                <w:kern w:val="24"/>
                <w:sz w:val="24"/>
                <w:szCs w:val="24"/>
                <w:lang w:val="en-GB" w:eastAsia="it-IT"/>
              </w:rPr>
            </w:pPr>
            <w:r w:rsidRPr="00CD4428">
              <w:rPr>
                <w:rFonts w:ascii="Book Antiqua" w:eastAsia="Times New Roman" w:hAnsi="Book Antiqua" w:cs="Calibri"/>
                <w:bCs/>
                <w:kern w:val="24"/>
                <w:sz w:val="24"/>
                <w:szCs w:val="24"/>
                <w:lang w:val="en-GB" w:eastAsia="it-IT"/>
              </w:rPr>
              <w:t>79</w:t>
            </w:r>
          </w:p>
        </w:tc>
      </w:tr>
      <w:tr w:rsidR="00420056" w:rsidRPr="00CD4428" w14:paraId="46FD14BB" w14:textId="77777777" w:rsidTr="004F52E0">
        <w:trPr>
          <w:trHeight w:val="394"/>
        </w:trPr>
        <w:tc>
          <w:tcPr>
            <w:tcW w:w="5247" w:type="dxa"/>
            <w:shd w:val="clear" w:color="auto" w:fill="auto"/>
            <w:tcMar>
              <w:top w:w="72" w:type="dxa"/>
              <w:left w:w="144" w:type="dxa"/>
              <w:bottom w:w="72" w:type="dxa"/>
              <w:right w:w="144" w:type="dxa"/>
            </w:tcMar>
          </w:tcPr>
          <w:p w14:paraId="72D3F65F" w14:textId="347583E6" w:rsidR="00760B6C" w:rsidRPr="00CD4428" w:rsidRDefault="00760B6C" w:rsidP="00420056">
            <w:pPr>
              <w:snapToGrid w:val="0"/>
              <w:spacing w:after="0" w:line="360" w:lineRule="auto"/>
              <w:jc w:val="both"/>
              <w:rPr>
                <w:rFonts w:ascii="Book Antiqua" w:eastAsia="Times New Roman" w:hAnsi="Book Antiqua" w:cs="Calibri"/>
                <w:bCs/>
                <w:kern w:val="24"/>
                <w:sz w:val="24"/>
                <w:szCs w:val="24"/>
                <w:lang w:val="en-GB" w:eastAsia="it-IT"/>
              </w:rPr>
            </w:pPr>
            <w:proofErr w:type="spellStart"/>
            <w:r w:rsidRPr="00CD4428">
              <w:rPr>
                <w:rFonts w:ascii="Book Antiqua" w:eastAsia="Times New Roman" w:hAnsi="Book Antiqua" w:cs="Calibri"/>
                <w:bCs/>
                <w:kern w:val="24"/>
                <w:sz w:val="24"/>
                <w:szCs w:val="24"/>
                <w:lang w:val="en-GB" w:eastAsia="it-IT"/>
              </w:rPr>
              <w:t>Allegretti</w:t>
            </w:r>
            <w:proofErr w:type="spellEnd"/>
            <w:r w:rsidR="00420056">
              <w:rPr>
                <w:rFonts w:ascii="Book Antiqua" w:hAnsi="Book Antiqua" w:cs="Calibri" w:hint="eastAsia"/>
                <w:bCs/>
                <w:kern w:val="24"/>
                <w:sz w:val="24"/>
                <w:szCs w:val="24"/>
                <w:lang w:val="en-GB" w:eastAsia="zh-CN"/>
              </w:rPr>
              <w:t xml:space="preserve"> </w:t>
            </w:r>
            <w:r w:rsidRPr="00420056">
              <w:rPr>
                <w:rFonts w:ascii="Book Antiqua" w:eastAsia="Times New Roman" w:hAnsi="Book Antiqua" w:cs="Calibri"/>
                <w:bCs/>
                <w:i/>
                <w:kern w:val="24"/>
                <w:sz w:val="24"/>
                <w:szCs w:val="24"/>
                <w:lang w:val="en-GB" w:eastAsia="it-IT"/>
              </w:rPr>
              <w:t>et al</w:t>
            </w:r>
            <w:r w:rsidRPr="00CD4428">
              <w:rPr>
                <w:rFonts w:ascii="Book Antiqua" w:eastAsia="SabonLTStd-Roman" w:hAnsi="Book Antiqua" w:cstheme="minorHAnsi"/>
                <w:sz w:val="24"/>
                <w:szCs w:val="24"/>
                <w:vertAlign w:val="superscript"/>
                <w:lang w:val="en-GB"/>
              </w:rPr>
              <w:t>[26]</w:t>
            </w:r>
            <w:r w:rsidRPr="00CD4428">
              <w:rPr>
                <w:rFonts w:ascii="Book Antiqua" w:eastAsia="Times New Roman" w:hAnsi="Book Antiqua" w:cs="Calibri"/>
                <w:bCs/>
                <w:kern w:val="24"/>
                <w:sz w:val="24"/>
                <w:szCs w:val="24"/>
                <w:lang w:val="en-GB" w:eastAsia="it-IT"/>
              </w:rPr>
              <w:t xml:space="preserve"> (</w:t>
            </w:r>
            <w:r w:rsidR="00420056" w:rsidRPr="00CD4428">
              <w:rPr>
                <w:rFonts w:ascii="Book Antiqua" w:eastAsia="Times New Roman" w:hAnsi="Book Antiqua" w:cs="Calibri"/>
                <w:bCs/>
                <w:kern w:val="24"/>
                <w:sz w:val="24"/>
                <w:szCs w:val="24"/>
                <w:lang w:val="en-GB" w:eastAsia="it-IT"/>
              </w:rPr>
              <w:t>U</w:t>
            </w:r>
            <w:r w:rsidR="00420056">
              <w:rPr>
                <w:rFonts w:ascii="Book Antiqua" w:hAnsi="Book Antiqua" w:cs="Calibri" w:hint="eastAsia"/>
                <w:bCs/>
                <w:kern w:val="24"/>
                <w:sz w:val="24"/>
                <w:szCs w:val="24"/>
                <w:lang w:val="en-GB" w:eastAsia="zh-CN"/>
              </w:rPr>
              <w:t>nited States</w:t>
            </w:r>
            <w:r w:rsidRPr="00CD4428">
              <w:rPr>
                <w:rFonts w:ascii="Book Antiqua" w:eastAsia="Times New Roman" w:hAnsi="Book Antiqua" w:cs="Calibri"/>
                <w:bCs/>
                <w:kern w:val="24"/>
                <w:sz w:val="24"/>
                <w:szCs w:val="24"/>
                <w:lang w:val="en-GB" w:eastAsia="it-IT"/>
              </w:rPr>
              <w:t>, Boston)</w:t>
            </w:r>
            <w:r w:rsidR="007A292C">
              <w:rPr>
                <w:rFonts w:ascii="Book Antiqua" w:hAnsi="Book Antiqua" w:cs="Calibri" w:hint="eastAsia"/>
                <w:bCs/>
                <w:kern w:val="24"/>
                <w:sz w:val="24"/>
                <w:szCs w:val="24"/>
                <w:lang w:val="en-GB" w:eastAsia="zh-CN"/>
              </w:rPr>
              <w:t>,</w:t>
            </w:r>
            <w:r w:rsidRPr="00CD4428">
              <w:rPr>
                <w:rFonts w:ascii="Book Antiqua" w:eastAsia="Times New Roman" w:hAnsi="Book Antiqua" w:cs="Calibri"/>
                <w:bCs/>
                <w:kern w:val="24"/>
                <w:sz w:val="24"/>
                <w:szCs w:val="24"/>
                <w:lang w:val="en-GB" w:eastAsia="it-IT"/>
              </w:rPr>
              <w:t xml:space="preserve"> 2017</w:t>
            </w:r>
          </w:p>
        </w:tc>
        <w:tc>
          <w:tcPr>
            <w:tcW w:w="1560" w:type="dxa"/>
            <w:shd w:val="clear" w:color="auto" w:fill="auto"/>
            <w:tcMar>
              <w:top w:w="72" w:type="dxa"/>
              <w:left w:w="144" w:type="dxa"/>
              <w:bottom w:w="72" w:type="dxa"/>
              <w:right w:w="144" w:type="dxa"/>
            </w:tcMar>
          </w:tcPr>
          <w:p w14:paraId="489F9EFC" w14:textId="1D337BC0" w:rsidR="00760B6C" w:rsidRPr="00CD4428" w:rsidRDefault="00760B6C" w:rsidP="00C003EF">
            <w:pPr>
              <w:snapToGrid w:val="0"/>
              <w:spacing w:after="0" w:line="360" w:lineRule="auto"/>
              <w:jc w:val="center"/>
              <w:rPr>
                <w:rFonts w:ascii="Book Antiqua" w:eastAsia="Times New Roman" w:hAnsi="Book Antiqua" w:cs="Calibri"/>
                <w:bCs/>
                <w:kern w:val="24"/>
                <w:sz w:val="24"/>
                <w:szCs w:val="24"/>
                <w:lang w:val="en-GB" w:eastAsia="it-IT"/>
              </w:rPr>
            </w:pPr>
            <w:r w:rsidRPr="00CD4428">
              <w:rPr>
                <w:rFonts w:ascii="Book Antiqua" w:eastAsia="Times New Roman" w:hAnsi="Book Antiqua" w:cs="Calibri"/>
                <w:bCs/>
                <w:kern w:val="24"/>
                <w:sz w:val="24"/>
                <w:szCs w:val="24"/>
                <w:lang w:val="en-GB" w:eastAsia="it-IT"/>
              </w:rPr>
              <w:t>136</w:t>
            </w:r>
          </w:p>
        </w:tc>
        <w:tc>
          <w:tcPr>
            <w:tcW w:w="1275" w:type="dxa"/>
            <w:shd w:val="clear" w:color="auto" w:fill="auto"/>
            <w:tcMar>
              <w:top w:w="72" w:type="dxa"/>
              <w:left w:w="144" w:type="dxa"/>
              <w:bottom w:w="72" w:type="dxa"/>
              <w:right w:w="144" w:type="dxa"/>
            </w:tcMar>
          </w:tcPr>
          <w:p w14:paraId="2EA308C8" w14:textId="5B1F4632" w:rsidR="00760B6C" w:rsidRPr="00CD4428" w:rsidRDefault="00760B6C" w:rsidP="00C003EF">
            <w:pPr>
              <w:snapToGrid w:val="0"/>
              <w:spacing w:after="0" w:line="360" w:lineRule="auto"/>
              <w:jc w:val="center"/>
              <w:rPr>
                <w:rFonts w:ascii="Book Antiqua" w:eastAsia="Times New Roman" w:hAnsi="Book Antiqua" w:cs="Calibri"/>
                <w:bCs/>
                <w:kern w:val="24"/>
                <w:sz w:val="24"/>
                <w:szCs w:val="24"/>
                <w:lang w:val="en-GB" w:eastAsia="it-IT"/>
              </w:rPr>
            </w:pPr>
            <w:r w:rsidRPr="00CD4428">
              <w:rPr>
                <w:rFonts w:ascii="Book Antiqua" w:eastAsia="Times New Roman" w:hAnsi="Book Antiqua" w:cs="Calibri"/>
                <w:bCs/>
                <w:kern w:val="24"/>
                <w:sz w:val="24"/>
                <w:szCs w:val="24"/>
                <w:lang w:val="en-GB" w:eastAsia="it-IT"/>
              </w:rPr>
              <w:t>96</w:t>
            </w:r>
          </w:p>
        </w:tc>
        <w:tc>
          <w:tcPr>
            <w:tcW w:w="1418" w:type="dxa"/>
            <w:shd w:val="clear" w:color="auto" w:fill="auto"/>
            <w:tcMar>
              <w:top w:w="72" w:type="dxa"/>
              <w:left w:w="144" w:type="dxa"/>
              <w:bottom w:w="72" w:type="dxa"/>
              <w:right w:w="144" w:type="dxa"/>
            </w:tcMar>
          </w:tcPr>
          <w:p w14:paraId="3F94B553" w14:textId="59D4D703" w:rsidR="00760B6C" w:rsidRPr="00CD4428" w:rsidRDefault="00760B6C" w:rsidP="00C003EF">
            <w:pPr>
              <w:snapToGrid w:val="0"/>
              <w:spacing w:after="0" w:line="360" w:lineRule="auto"/>
              <w:jc w:val="center"/>
              <w:rPr>
                <w:rFonts w:ascii="Book Antiqua" w:eastAsia="Times New Roman" w:hAnsi="Book Antiqua" w:cs="Calibri"/>
                <w:bCs/>
                <w:kern w:val="24"/>
                <w:sz w:val="24"/>
                <w:szCs w:val="24"/>
                <w:lang w:val="en-GB" w:eastAsia="it-IT"/>
              </w:rPr>
            </w:pPr>
            <w:r w:rsidRPr="00CD4428">
              <w:rPr>
                <w:rFonts w:ascii="Book Antiqua" w:eastAsia="Times New Roman" w:hAnsi="Book Antiqua" w:cs="Calibri"/>
                <w:bCs/>
                <w:kern w:val="24"/>
                <w:sz w:val="24"/>
                <w:szCs w:val="24"/>
                <w:lang w:val="en-GB" w:eastAsia="it-IT"/>
              </w:rPr>
              <w:t>40</w:t>
            </w:r>
          </w:p>
        </w:tc>
      </w:tr>
      <w:tr w:rsidR="00420056" w:rsidRPr="00CD4428" w14:paraId="128A0DE2" w14:textId="77777777" w:rsidTr="004F52E0">
        <w:trPr>
          <w:trHeight w:val="423"/>
        </w:trPr>
        <w:tc>
          <w:tcPr>
            <w:tcW w:w="5247" w:type="dxa"/>
            <w:shd w:val="clear" w:color="auto" w:fill="auto"/>
            <w:tcMar>
              <w:top w:w="72" w:type="dxa"/>
              <w:left w:w="144" w:type="dxa"/>
              <w:bottom w:w="72" w:type="dxa"/>
              <w:right w:w="144" w:type="dxa"/>
            </w:tcMar>
            <w:hideMark/>
          </w:tcPr>
          <w:p w14:paraId="76113321" w14:textId="1B51EEB1" w:rsidR="00760B6C" w:rsidRPr="00CD4428" w:rsidRDefault="00760B6C" w:rsidP="00420056">
            <w:pPr>
              <w:snapToGrid w:val="0"/>
              <w:spacing w:after="0" w:line="360" w:lineRule="auto"/>
              <w:jc w:val="both"/>
              <w:rPr>
                <w:rFonts w:ascii="Book Antiqua" w:eastAsia="Times New Roman" w:hAnsi="Book Antiqua" w:cs="Arial"/>
                <w:sz w:val="24"/>
                <w:szCs w:val="24"/>
                <w:lang w:val="en-GB" w:eastAsia="it-IT"/>
              </w:rPr>
            </w:pPr>
            <w:proofErr w:type="spellStart"/>
            <w:r w:rsidRPr="00CD4428">
              <w:rPr>
                <w:rFonts w:ascii="Book Antiqua" w:eastAsia="Times New Roman" w:hAnsi="Book Antiqua" w:cs="Calibri"/>
                <w:bCs/>
                <w:kern w:val="24"/>
                <w:sz w:val="24"/>
                <w:szCs w:val="24"/>
                <w:lang w:val="en-GB" w:eastAsia="it-IT"/>
              </w:rPr>
              <w:t>Stallmach</w:t>
            </w:r>
            <w:proofErr w:type="spellEnd"/>
            <w:r w:rsidR="00420056">
              <w:rPr>
                <w:rFonts w:ascii="Book Antiqua" w:hAnsi="Book Antiqua" w:cs="Calibri" w:hint="eastAsia"/>
                <w:bCs/>
                <w:kern w:val="24"/>
                <w:sz w:val="24"/>
                <w:szCs w:val="24"/>
                <w:lang w:val="en-GB" w:eastAsia="zh-CN"/>
              </w:rPr>
              <w:t xml:space="preserve"> </w:t>
            </w:r>
            <w:r w:rsidR="00420056" w:rsidRPr="00420056">
              <w:rPr>
                <w:rFonts w:ascii="Book Antiqua" w:eastAsia="Times New Roman" w:hAnsi="Book Antiqua" w:cs="Calibri"/>
                <w:bCs/>
                <w:i/>
                <w:kern w:val="24"/>
                <w:sz w:val="24"/>
                <w:szCs w:val="24"/>
                <w:lang w:val="en-GB" w:eastAsia="it-IT"/>
              </w:rPr>
              <w:t>et al</w:t>
            </w:r>
            <w:r w:rsidRPr="00CD4428">
              <w:rPr>
                <w:rFonts w:ascii="Book Antiqua" w:eastAsia="SabonLTStd-Roman" w:hAnsi="Book Antiqua" w:cstheme="minorHAnsi"/>
                <w:sz w:val="24"/>
                <w:szCs w:val="24"/>
                <w:vertAlign w:val="superscript"/>
                <w:lang w:val="en-GB"/>
              </w:rPr>
              <w:t xml:space="preserve">[18] </w:t>
            </w:r>
            <w:r w:rsidRPr="00CD4428">
              <w:rPr>
                <w:rFonts w:ascii="Book Antiqua" w:eastAsia="Times New Roman" w:hAnsi="Book Antiqua" w:cs="Calibri"/>
                <w:bCs/>
                <w:kern w:val="24"/>
                <w:sz w:val="24"/>
                <w:szCs w:val="24"/>
                <w:lang w:val="en-GB" w:eastAsia="it-IT"/>
              </w:rPr>
              <w:t>(German Registry)</w:t>
            </w:r>
            <w:r w:rsidR="007A292C">
              <w:rPr>
                <w:rFonts w:ascii="Book Antiqua" w:hAnsi="Book Antiqua" w:cs="Calibri" w:hint="eastAsia"/>
                <w:bCs/>
                <w:kern w:val="24"/>
                <w:sz w:val="24"/>
                <w:szCs w:val="24"/>
                <w:lang w:val="en-GB" w:eastAsia="zh-CN"/>
              </w:rPr>
              <w:t>,</w:t>
            </w:r>
            <w:r w:rsidRPr="00CD4428">
              <w:rPr>
                <w:rFonts w:ascii="Book Antiqua" w:eastAsia="Times New Roman" w:hAnsi="Book Antiqua" w:cs="Calibri"/>
                <w:bCs/>
                <w:kern w:val="24"/>
                <w:sz w:val="24"/>
                <w:szCs w:val="24"/>
                <w:lang w:val="en-GB" w:eastAsia="it-IT"/>
              </w:rPr>
              <w:t xml:space="preserve"> 2016</w:t>
            </w:r>
          </w:p>
        </w:tc>
        <w:tc>
          <w:tcPr>
            <w:tcW w:w="1560" w:type="dxa"/>
            <w:shd w:val="clear" w:color="auto" w:fill="auto"/>
            <w:tcMar>
              <w:top w:w="72" w:type="dxa"/>
              <w:left w:w="144" w:type="dxa"/>
              <w:bottom w:w="72" w:type="dxa"/>
              <w:right w:w="144" w:type="dxa"/>
            </w:tcMar>
            <w:hideMark/>
          </w:tcPr>
          <w:p w14:paraId="0CE37A18" w14:textId="554968AD" w:rsidR="00760B6C" w:rsidRPr="00CD4428" w:rsidRDefault="00760B6C" w:rsidP="00C003EF">
            <w:pPr>
              <w:snapToGrid w:val="0"/>
              <w:spacing w:after="0" w:line="360" w:lineRule="auto"/>
              <w:jc w:val="center"/>
              <w:rPr>
                <w:rFonts w:ascii="Book Antiqua" w:eastAsia="Times New Roman" w:hAnsi="Book Antiqua" w:cs="Arial"/>
                <w:sz w:val="24"/>
                <w:szCs w:val="24"/>
                <w:lang w:val="en-GB" w:eastAsia="it-IT"/>
              </w:rPr>
            </w:pPr>
            <w:r w:rsidRPr="00CD4428">
              <w:rPr>
                <w:rFonts w:ascii="Book Antiqua" w:eastAsia="Times New Roman" w:hAnsi="Book Antiqua" w:cs="Calibri"/>
                <w:bCs/>
                <w:kern w:val="24"/>
                <w:sz w:val="24"/>
                <w:szCs w:val="24"/>
                <w:lang w:val="en-GB" w:eastAsia="it-IT"/>
              </w:rPr>
              <w:t>127</w:t>
            </w:r>
          </w:p>
        </w:tc>
        <w:tc>
          <w:tcPr>
            <w:tcW w:w="1275" w:type="dxa"/>
            <w:shd w:val="clear" w:color="auto" w:fill="auto"/>
            <w:tcMar>
              <w:top w:w="72" w:type="dxa"/>
              <w:left w:w="144" w:type="dxa"/>
              <w:bottom w:w="72" w:type="dxa"/>
              <w:right w:w="144" w:type="dxa"/>
            </w:tcMar>
            <w:hideMark/>
          </w:tcPr>
          <w:p w14:paraId="0DCF9D00" w14:textId="7C41A5D6" w:rsidR="00760B6C" w:rsidRPr="00CD4428" w:rsidRDefault="00760B6C" w:rsidP="00C003EF">
            <w:pPr>
              <w:snapToGrid w:val="0"/>
              <w:spacing w:after="0" w:line="360" w:lineRule="auto"/>
              <w:jc w:val="center"/>
              <w:rPr>
                <w:rFonts w:ascii="Book Antiqua" w:eastAsia="Times New Roman" w:hAnsi="Book Antiqua" w:cs="Arial"/>
                <w:sz w:val="24"/>
                <w:szCs w:val="24"/>
                <w:lang w:val="en-GB" w:eastAsia="it-IT"/>
              </w:rPr>
            </w:pPr>
            <w:r w:rsidRPr="00CD4428">
              <w:rPr>
                <w:rFonts w:ascii="Book Antiqua" w:eastAsia="Times New Roman" w:hAnsi="Book Antiqua" w:cs="Calibri"/>
                <w:bCs/>
                <w:kern w:val="24"/>
                <w:sz w:val="24"/>
                <w:szCs w:val="24"/>
                <w:lang w:val="en-GB" w:eastAsia="it-IT"/>
              </w:rPr>
              <w:t>67</w:t>
            </w:r>
          </w:p>
        </w:tc>
        <w:tc>
          <w:tcPr>
            <w:tcW w:w="1418" w:type="dxa"/>
            <w:shd w:val="clear" w:color="auto" w:fill="auto"/>
            <w:tcMar>
              <w:top w:w="72" w:type="dxa"/>
              <w:left w:w="144" w:type="dxa"/>
              <w:bottom w:w="72" w:type="dxa"/>
              <w:right w:w="144" w:type="dxa"/>
            </w:tcMar>
            <w:hideMark/>
          </w:tcPr>
          <w:p w14:paraId="70C6B7E7" w14:textId="7D83FFA5" w:rsidR="00760B6C" w:rsidRPr="00CD4428" w:rsidRDefault="00760B6C" w:rsidP="00C003EF">
            <w:pPr>
              <w:snapToGrid w:val="0"/>
              <w:spacing w:after="0" w:line="360" w:lineRule="auto"/>
              <w:jc w:val="center"/>
              <w:rPr>
                <w:rFonts w:ascii="Book Antiqua" w:eastAsia="Times New Roman" w:hAnsi="Book Antiqua" w:cs="Arial"/>
                <w:sz w:val="24"/>
                <w:szCs w:val="24"/>
                <w:lang w:val="en-GB" w:eastAsia="it-IT"/>
              </w:rPr>
            </w:pPr>
            <w:r w:rsidRPr="00CD4428">
              <w:rPr>
                <w:rFonts w:ascii="Book Antiqua" w:eastAsia="Times New Roman" w:hAnsi="Book Antiqua" w:cs="Calibri"/>
                <w:bCs/>
                <w:kern w:val="24"/>
                <w:sz w:val="24"/>
                <w:szCs w:val="24"/>
                <w:lang w:val="en-GB" w:eastAsia="it-IT"/>
              </w:rPr>
              <w:t>60</w:t>
            </w:r>
          </w:p>
        </w:tc>
      </w:tr>
      <w:tr w:rsidR="00420056" w:rsidRPr="00CD4428" w14:paraId="7E6F9E1A" w14:textId="77777777" w:rsidTr="004F52E0">
        <w:trPr>
          <w:trHeight w:val="403"/>
        </w:trPr>
        <w:tc>
          <w:tcPr>
            <w:tcW w:w="5247" w:type="dxa"/>
            <w:shd w:val="clear" w:color="auto" w:fill="auto"/>
            <w:tcMar>
              <w:top w:w="72" w:type="dxa"/>
              <w:left w:w="144" w:type="dxa"/>
              <w:bottom w:w="72" w:type="dxa"/>
              <w:right w:w="144" w:type="dxa"/>
            </w:tcMar>
            <w:hideMark/>
          </w:tcPr>
          <w:p w14:paraId="55435F68" w14:textId="313EC881" w:rsidR="00760B6C" w:rsidRPr="00CD4428" w:rsidRDefault="00760B6C" w:rsidP="00420056">
            <w:pPr>
              <w:snapToGrid w:val="0"/>
              <w:spacing w:after="0" w:line="360" w:lineRule="auto"/>
              <w:jc w:val="both"/>
              <w:rPr>
                <w:rFonts w:ascii="Book Antiqua" w:eastAsia="Times New Roman" w:hAnsi="Book Antiqua" w:cs="Arial"/>
                <w:sz w:val="24"/>
                <w:szCs w:val="24"/>
                <w:lang w:val="en-GB" w:eastAsia="it-IT"/>
              </w:rPr>
            </w:pPr>
            <w:proofErr w:type="spellStart"/>
            <w:r w:rsidRPr="00CD4428">
              <w:rPr>
                <w:rFonts w:ascii="Book Antiqua" w:eastAsia="Times New Roman" w:hAnsi="Book Antiqua" w:cs="Calibri"/>
                <w:bCs/>
                <w:kern w:val="24"/>
                <w:sz w:val="24"/>
                <w:szCs w:val="24"/>
                <w:lang w:val="en-GB" w:eastAsia="it-IT"/>
              </w:rPr>
              <w:t>Vivio</w:t>
            </w:r>
            <w:proofErr w:type="spellEnd"/>
            <w:r w:rsidR="00420056" w:rsidRPr="00420056">
              <w:rPr>
                <w:rFonts w:ascii="Book Antiqua" w:hAnsi="Book Antiqua" w:cs="Calibri" w:hint="eastAsia"/>
                <w:bCs/>
                <w:i/>
                <w:kern w:val="24"/>
                <w:sz w:val="24"/>
                <w:szCs w:val="24"/>
                <w:lang w:val="en-GB" w:eastAsia="zh-CN"/>
              </w:rPr>
              <w:t xml:space="preserve"> </w:t>
            </w:r>
            <w:r w:rsidR="00420056" w:rsidRPr="00420056">
              <w:rPr>
                <w:rFonts w:ascii="Book Antiqua" w:eastAsia="Times New Roman" w:hAnsi="Book Antiqua" w:cs="Calibri"/>
                <w:bCs/>
                <w:i/>
                <w:kern w:val="24"/>
                <w:sz w:val="24"/>
                <w:szCs w:val="24"/>
                <w:lang w:val="en-GB" w:eastAsia="it-IT"/>
              </w:rPr>
              <w:t>et al</w:t>
            </w:r>
            <w:r w:rsidRPr="00CD4428">
              <w:rPr>
                <w:rFonts w:ascii="Book Antiqua" w:eastAsia="SabonLTStd-Roman" w:hAnsi="Book Antiqua" w:cstheme="minorHAnsi"/>
                <w:sz w:val="24"/>
                <w:szCs w:val="24"/>
                <w:vertAlign w:val="superscript"/>
                <w:lang w:val="en-GB"/>
              </w:rPr>
              <w:t>[25]</w:t>
            </w:r>
            <w:r w:rsidRPr="00CD4428">
              <w:rPr>
                <w:rFonts w:ascii="Book Antiqua" w:hAnsi="Book Antiqua" w:cstheme="minorHAnsi"/>
                <w:sz w:val="24"/>
                <w:szCs w:val="24"/>
                <w:lang w:val="en-GB"/>
              </w:rPr>
              <w:t xml:space="preserve"> </w:t>
            </w:r>
            <w:r w:rsidRPr="00CD4428">
              <w:rPr>
                <w:rFonts w:ascii="Book Antiqua" w:eastAsia="Times New Roman" w:hAnsi="Book Antiqua" w:cs="Calibri"/>
                <w:bCs/>
                <w:kern w:val="24"/>
                <w:sz w:val="24"/>
                <w:szCs w:val="24"/>
                <w:lang w:val="en-GB" w:eastAsia="it-IT"/>
              </w:rPr>
              <w:t>(</w:t>
            </w:r>
            <w:r w:rsidR="00420056" w:rsidRPr="00CD4428">
              <w:rPr>
                <w:rFonts w:ascii="Book Antiqua" w:eastAsia="Times New Roman" w:hAnsi="Book Antiqua" w:cs="Calibri"/>
                <w:bCs/>
                <w:kern w:val="24"/>
                <w:sz w:val="24"/>
                <w:szCs w:val="24"/>
                <w:lang w:val="en-GB" w:eastAsia="it-IT"/>
              </w:rPr>
              <w:t>U</w:t>
            </w:r>
            <w:r w:rsidR="00420056">
              <w:rPr>
                <w:rFonts w:ascii="Book Antiqua" w:hAnsi="Book Antiqua" w:cs="Calibri" w:hint="eastAsia"/>
                <w:bCs/>
                <w:kern w:val="24"/>
                <w:sz w:val="24"/>
                <w:szCs w:val="24"/>
                <w:lang w:val="en-GB" w:eastAsia="zh-CN"/>
              </w:rPr>
              <w:t>nited States</w:t>
            </w:r>
            <w:r w:rsidRPr="00CD4428">
              <w:rPr>
                <w:rFonts w:ascii="Book Antiqua" w:eastAsia="Times New Roman" w:hAnsi="Book Antiqua" w:cs="Calibri"/>
                <w:bCs/>
                <w:kern w:val="24"/>
                <w:sz w:val="24"/>
                <w:szCs w:val="24"/>
                <w:lang w:val="en-GB" w:eastAsia="it-IT"/>
              </w:rPr>
              <w:t>, Saint Louis)</w:t>
            </w:r>
            <w:r w:rsidR="007A292C">
              <w:rPr>
                <w:rFonts w:ascii="Book Antiqua" w:hAnsi="Book Antiqua" w:cs="Calibri" w:hint="eastAsia"/>
                <w:bCs/>
                <w:kern w:val="24"/>
                <w:sz w:val="24"/>
                <w:szCs w:val="24"/>
                <w:lang w:val="en-GB" w:eastAsia="zh-CN"/>
              </w:rPr>
              <w:t>,</w:t>
            </w:r>
            <w:r w:rsidRPr="00CD4428">
              <w:rPr>
                <w:rFonts w:ascii="Book Antiqua" w:eastAsia="Times New Roman" w:hAnsi="Book Antiqua" w:cs="Calibri"/>
                <w:bCs/>
                <w:kern w:val="24"/>
                <w:sz w:val="24"/>
                <w:szCs w:val="24"/>
                <w:lang w:val="en-GB" w:eastAsia="it-IT"/>
              </w:rPr>
              <w:t xml:space="preserve"> 2016</w:t>
            </w:r>
          </w:p>
        </w:tc>
        <w:tc>
          <w:tcPr>
            <w:tcW w:w="1560" w:type="dxa"/>
            <w:shd w:val="clear" w:color="auto" w:fill="auto"/>
            <w:tcMar>
              <w:top w:w="72" w:type="dxa"/>
              <w:left w:w="144" w:type="dxa"/>
              <w:bottom w:w="72" w:type="dxa"/>
              <w:right w:w="144" w:type="dxa"/>
            </w:tcMar>
            <w:hideMark/>
          </w:tcPr>
          <w:p w14:paraId="14AFFD7D" w14:textId="6B1CABBD" w:rsidR="00760B6C" w:rsidRPr="00C003EF" w:rsidRDefault="00760B6C" w:rsidP="00C003EF">
            <w:pPr>
              <w:snapToGrid w:val="0"/>
              <w:spacing w:after="0" w:line="360" w:lineRule="auto"/>
              <w:jc w:val="center"/>
              <w:rPr>
                <w:rFonts w:ascii="Book Antiqua" w:hAnsi="Book Antiqua" w:cs="Arial"/>
                <w:sz w:val="24"/>
                <w:szCs w:val="24"/>
                <w:lang w:val="en-GB" w:eastAsia="zh-CN"/>
              </w:rPr>
            </w:pPr>
            <w:r w:rsidRPr="00CD4428">
              <w:rPr>
                <w:rFonts w:ascii="Book Antiqua" w:eastAsia="Times New Roman" w:hAnsi="Book Antiqua" w:cs="Calibri"/>
                <w:bCs/>
                <w:kern w:val="24"/>
                <w:sz w:val="24"/>
                <w:szCs w:val="24"/>
                <w:lang w:val="en-GB" w:eastAsia="it-IT"/>
              </w:rPr>
              <w:t>102 (51)</w:t>
            </w:r>
            <w:r w:rsidR="00C003EF">
              <w:rPr>
                <w:rFonts w:ascii="Book Antiqua" w:hAnsi="Book Antiqua" w:cs="Calibri" w:hint="eastAsia"/>
                <w:bCs/>
                <w:kern w:val="24"/>
                <w:sz w:val="24"/>
                <w:szCs w:val="24"/>
                <w:vertAlign w:val="superscript"/>
                <w:lang w:val="en-GB" w:eastAsia="zh-CN"/>
              </w:rPr>
              <w:t>2</w:t>
            </w:r>
          </w:p>
        </w:tc>
        <w:tc>
          <w:tcPr>
            <w:tcW w:w="1275" w:type="dxa"/>
            <w:shd w:val="clear" w:color="auto" w:fill="auto"/>
            <w:tcMar>
              <w:top w:w="72" w:type="dxa"/>
              <w:left w:w="144" w:type="dxa"/>
              <w:bottom w:w="72" w:type="dxa"/>
              <w:right w:w="144" w:type="dxa"/>
            </w:tcMar>
            <w:hideMark/>
          </w:tcPr>
          <w:p w14:paraId="3E9C5CAF" w14:textId="511E33A3" w:rsidR="00760B6C" w:rsidRPr="00CD4428" w:rsidRDefault="00760B6C" w:rsidP="00C003EF">
            <w:pPr>
              <w:snapToGrid w:val="0"/>
              <w:spacing w:after="0" w:line="360" w:lineRule="auto"/>
              <w:jc w:val="center"/>
              <w:rPr>
                <w:rFonts w:ascii="Book Antiqua" w:eastAsia="Times New Roman" w:hAnsi="Book Antiqua" w:cs="Arial"/>
                <w:sz w:val="24"/>
                <w:szCs w:val="24"/>
                <w:lang w:val="en-GB" w:eastAsia="it-IT"/>
              </w:rPr>
            </w:pPr>
            <w:r w:rsidRPr="00CD4428">
              <w:rPr>
                <w:rFonts w:ascii="Book Antiqua" w:eastAsia="Times New Roman" w:hAnsi="Book Antiqua" w:cs="Calibri"/>
                <w:bCs/>
                <w:kern w:val="24"/>
                <w:sz w:val="24"/>
                <w:szCs w:val="24"/>
                <w:lang w:val="en-GB" w:eastAsia="it-IT"/>
              </w:rPr>
              <w:t>30</w:t>
            </w:r>
          </w:p>
        </w:tc>
        <w:tc>
          <w:tcPr>
            <w:tcW w:w="1418" w:type="dxa"/>
            <w:shd w:val="clear" w:color="auto" w:fill="auto"/>
            <w:tcMar>
              <w:top w:w="72" w:type="dxa"/>
              <w:left w:w="144" w:type="dxa"/>
              <w:bottom w:w="72" w:type="dxa"/>
              <w:right w:w="144" w:type="dxa"/>
            </w:tcMar>
            <w:hideMark/>
          </w:tcPr>
          <w:p w14:paraId="0F9C68DD" w14:textId="0EAFDB2B" w:rsidR="00760B6C" w:rsidRPr="00CD4428" w:rsidRDefault="00760B6C" w:rsidP="00C003EF">
            <w:pPr>
              <w:snapToGrid w:val="0"/>
              <w:spacing w:after="0" w:line="360" w:lineRule="auto"/>
              <w:jc w:val="center"/>
              <w:rPr>
                <w:rFonts w:ascii="Book Antiqua" w:eastAsia="Times New Roman" w:hAnsi="Book Antiqua" w:cs="Arial"/>
                <w:sz w:val="24"/>
                <w:szCs w:val="24"/>
                <w:lang w:val="en-GB" w:eastAsia="it-IT"/>
              </w:rPr>
            </w:pPr>
            <w:r w:rsidRPr="00CD4428">
              <w:rPr>
                <w:rFonts w:ascii="Book Antiqua" w:eastAsia="Times New Roman" w:hAnsi="Book Antiqua" w:cs="Calibri"/>
                <w:bCs/>
                <w:kern w:val="24"/>
                <w:sz w:val="24"/>
                <w:szCs w:val="24"/>
                <w:lang w:val="en-GB" w:eastAsia="it-IT"/>
              </w:rPr>
              <w:t>21</w:t>
            </w:r>
          </w:p>
        </w:tc>
      </w:tr>
      <w:tr w:rsidR="00420056" w:rsidRPr="00CD4428" w14:paraId="4C4DAB1B" w14:textId="77777777" w:rsidTr="00C003EF">
        <w:trPr>
          <w:trHeight w:val="305"/>
        </w:trPr>
        <w:tc>
          <w:tcPr>
            <w:tcW w:w="5247" w:type="dxa"/>
            <w:shd w:val="clear" w:color="auto" w:fill="auto"/>
            <w:tcMar>
              <w:top w:w="72" w:type="dxa"/>
              <w:left w:w="144" w:type="dxa"/>
              <w:bottom w:w="72" w:type="dxa"/>
              <w:right w:w="144" w:type="dxa"/>
            </w:tcMar>
            <w:hideMark/>
          </w:tcPr>
          <w:p w14:paraId="1B115803" w14:textId="509ECC49" w:rsidR="00760B6C" w:rsidRPr="00CD4428" w:rsidRDefault="00760B6C" w:rsidP="00420056">
            <w:pPr>
              <w:snapToGrid w:val="0"/>
              <w:spacing w:after="0" w:line="360" w:lineRule="auto"/>
              <w:jc w:val="both"/>
              <w:rPr>
                <w:rFonts w:ascii="Book Antiqua" w:eastAsia="Times New Roman" w:hAnsi="Book Antiqua" w:cs="Arial"/>
                <w:sz w:val="24"/>
                <w:szCs w:val="24"/>
                <w:lang w:val="en-GB" w:eastAsia="it-IT"/>
              </w:rPr>
            </w:pPr>
            <w:proofErr w:type="spellStart"/>
            <w:r w:rsidRPr="00CD4428">
              <w:rPr>
                <w:rFonts w:ascii="Book Antiqua" w:eastAsia="Times New Roman" w:hAnsi="Book Antiqua" w:cs="Calibri"/>
                <w:bCs/>
                <w:kern w:val="24"/>
                <w:sz w:val="24"/>
                <w:szCs w:val="24"/>
                <w:lang w:val="en-GB" w:eastAsia="it-IT"/>
              </w:rPr>
              <w:t>Samaan</w:t>
            </w:r>
            <w:proofErr w:type="spellEnd"/>
            <w:r w:rsidR="00420056">
              <w:rPr>
                <w:rFonts w:ascii="Book Antiqua" w:hAnsi="Book Antiqua" w:cs="Calibri" w:hint="eastAsia"/>
                <w:bCs/>
                <w:kern w:val="24"/>
                <w:sz w:val="24"/>
                <w:szCs w:val="24"/>
                <w:lang w:val="en-GB" w:eastAsia="zh-CN"/>
              </w:rPr>
              <w:t xml:space="preserve"> </w:t>
            </w:r>
            <w:r w:rsidR="00420056" w:rsidRPr="00420056">
              <w:rPr>
                <w:rFonts w:ascii="Book Antiqua" w:eastAsia="Times New Roman" w:hAnsi="Book Antiqua" w:cs="Calibri"/>
                <w:bCs/>
                <w:i/>
                <w:kern w:val="24"/>
                <w:sz w:val="24"/>
                <w:szCs w:val="24"/>
                <w:lang w:val="en-GB" w:eastAsia="it-IT"/>
              </w:rPr>
              <w:t>et al</w:t>
            </w:r>
            <w:r w:rsidRPr="00CD4428">
              <w:rPr>
                <w:rFonts w:ascii="Book Antiqua" w:eastAsia="SabonLTStd-Roman" w:hAnsi="Book Antiqua" w:cstheme="minorHAnsi"/>
                <w:sz w:val="24"/>
                <w:szCs w:val="24"/>
                <w:vertAlign w:val="superscript"/>
                <w:lang w:val="en-GB"/>
              </w:rPr>
              <w:t>[21]</w:t>
            </w:r>
            <w:r w:rsidRPr="00CD4428">
              <w:rPr>
                <w:rFonts w:ascii="Book Antiqua" w:hAnsi="Book Antiqua" w:cstheme="minorHAnsi"/>
                <w:sz w:val="24"/>
                <w:szCs w:val="24"/>
                <w:lang w:val="en-GB"/>
              </w:rPr>
              <w:t xml:space="preserve"> </w:t>
            </w:r>
            <w:r w:rsidRPr="00CD4428">
              <w:rPr>
                <w:rFonts w:ascii="Book Antiqua" w:eastAsia="Times New Roman" w:hAnsi="Book Antiqua" w:cs="Calibri"/>
                <w:bCs/>
                <w:kern w:val="24"/>
                <w:sz w:val="24"/>
                <w:szCs w:val="24"/>
                <w:lang w:val="en-GB" w:eastAsia="it-IT"/>
              </w:rPr>
              <w:t>(U</w:t>
            </w:r>
            <w:r w:rsidR="00420056">
              <w:rPr>
                <w:rFonts w:ascii="Book Antiqua" w:hAnsi="Book Antiqua" w:cs="Calibri" w:hint="eastAsia"/>
                <w:bCs/>
                <w:kern w:val="24"/>
                <w:sz w:val="24"/>
                <w:szCs w:val="24"/>
                <w:lang w:val="en-GB" w:eastAsia="zh-CN"/>
              </w:rPr>
              <w:t xml:space="preserve">nited </w:t>
            </w:r>
            <w:r w:rsidRPr="00CD4428">
              <w:rPr>
                <w:rFonts w:ascii="Book Antiqua" w:eastAsia="Times New Roman" w:hAnsi="Book Antiqua" w:cs="Calibri"/>
                <w:bCs/>
                <w:kern w:val="24"/>
                <w:sz w:val="24"/>
                <w:szCs w:val="24"/>
                <w:lang w:val="en-GB" w:eastAsia="it-IT"/>
              </w:rPr>
              <w:t>K</w:t>
            </w:r>
            <w:r w:rsidR="007F5771">
              <w:rPr>
                <w:rFonts w:ascii="Book Antiqua" w:hAnsi="Book Antiqua" w:cs="Calibri" w:hint="eastAsia"/>
                <w:bCs/>
                <w:kern w:val="24"/>
                <w:sz w:val="24"/>
                <w:szCs w:val="24"/>
                <w:lang w:val="en-GB" w:eastAsia="zh-CN"/>
              </w:rPr>
              <w:t>ingdo</w:t>
            </w:r>
            <w:r w:rsidR="00420056">
              <w:rPr>
                <w:rFonts w:ascii="Book Antiqua" w:hAnsi="Book Antiqua" w:cs="Calibri" w:hint="eastAsia"/>
                <w:bCs/>
                <w:kern w:val="24"/>
                <w:sz w:val="24"/>
                <w:szCs w:val="24"/>
                <w:lang w:val="en-GB" w:eastAsia="zh-CN"/>
              </w:rPr>
              <w:t>m</w:t>
            </w:r>
            <w:r w:rsidRPr="00CD4428">
              <w:rPr>
                <w:rFonts w:ascii="Book Antiqua" w:eastAsia="Times New Roman" w:hAnsi="Book Antiqua" w:cs="Calibri"/>
                <w:bCs/>
                <w:kern w:val="24"/>
                <w:sz w:val="24"/>
                <w:szCs w:val="24"/>
                <w:lang w:val="en-GB" w:eastAsia="it-IT"/>
              </w:rPr>
              <w:t>)</w:t>
            </w:r>
            <w:r w:rsidR="007A292C">
              <w:rPr>
                <w:rFonts w:ascii="Book Antiqua" w:hAnsi="Book Antiqua" w:cs="Calibri" w:hint="eastAsia"/>
                <w:bCs/>
                <w:kern w:val="24"/>
                <w:sz w:val="24"/>
                <w:szCs w:val="24"/>
                <w:lang w:val="en-GB" w:eastAsia="zh-CN"/>
              </w:rPr>
              <w:t>,</w:t>
            </w:r>
            <w:r w:rsidRPr="00CD4428">
              <w:rPr>
                <w:rFonts w:ascii="Book Antiqua" w:eastAsia="Times New Roman" w:hAnsi="Book Antiqua" w:cs="Calibri"/>
                <w:bCs/>
                <w:kern w:val="24"/>
                <w:sz w:val="24"/>
                <w:szCs w:val="24"/>
                <w:lang w:val="en-GB" w:eastAsia="it-IT"/>
              </w:rPr>
              <w:t xml:space="preserve"> 2017</w:t>
            </w:r>
          </w:p>
        </w:tc>
        <w:tc>
          <w:tcPr>
            <w:tcW w:w="1560" w:type="dxa"/>
            <w:shd w:val="clear" w:color="auto" w:fill="auto"/>
            <w:tcMar>
              <w:top w:w="72" w:type="dxa"/>
              <w:left w:w="144" w:type="dxa"/>
              <w:bottom w:w="72" w:type="dxa"/>
              <w:right w:w="144" w:type="dxa"/>
            </w:tcMar>
            <w:hideMark/>
          </w:tcPr>
          <w:p w14:paraId="036A3BA4" w14:textId="0B77CA21" w:rsidR="00760B6C" w:rsidRPr="00CD4428" w:rsidRDefault="00760B6C" w:rsidP="00C003EF">
            <w:pPr>
              <w:snapToGrid w:val="0"/>
              <w:spacing w:after="0" w:line="360" w:lineRule="auto"/>
              <w:jc w:val="center"/>
              <w:rPr>
                <w:rFonts w:ascii="Book Antiqua" w:eastAsia="Times New Roman" w:hAnsi="Book Antiqua" w:cs="Arial"/>
                <w:sz w:val="24"/>
                <w:szCs w:val="24"/>
                <w:lang w:val="en-GB" w:eastAsia="it-IT"/>
              </w:rPr>
            </w:pPr>
            <w:r w:rsidRPr="00CD4428">
              <w:rPr>
                <w:rFonts w:ascii="Book Antiqua" w:eastAsia="Times New Roman" w:hAnsi="Book Antiqua" w:cs="Calibri"/>
                <w:bCs/>
                <w:kern w:val="24"/>
                <w:sz w:val="24"/>
                <w:szCs w:val="24"/>
                <w:lang w:val="en-GB" w:eastAsia="it-IT"/>
              </w:rPr>
              <w:t>50</w:t>
            </w:r>
          </w:p>
        </w:tc>
        <w:tc>
          <w:tcPr>
            <w:tcW w:w="1275" w:type="dxa"/>
            <w:shd w:val="clear" w:color="auto" w:fill="auto"/>
            <w:tcMar>
              <w:top w:w="72" w:type="dxa"/>
              <w:left w:w="144" w:type="dxa"/>
              <w:bottom w:w="72" w:type="dxa"/>
              <w:right w:w="144" w:type="dxa"/>
            </w:tcMar>
            <w:hideMark/>
          </w:tcPr>
          <w:p w14:paraId="1D7EC02C" w14:textId="0D920EBC" w:rsidR="00760B6C" w:rsidRPr="00CD4428" w:rsidRDefault="00760B6C" w:rsidP="00C003EF">
            <w:pPr>
              <w:snapToGrid w:val="0"/>
              <w:spacing w:after="0" w:line="360" w:lineRule="auto"/>
              <w:jc w:val="center"/>
              <w:rPr>
                <w:rFonts w:ascii="Book Antiqua" w:eastAsia="Times New Roman" w:hAnsi="Book Antiqua" w:cs="Arial"/>
                <w:sz w:val="24"/>
                <w:szCs w:val="24"/>
                <w:lang w:val="en-GB" w:eastAsia="it-IT"/>
              </w:rPr>
            </w:pPr>
            <w:r w:rsidRPr="00CD4428">
              <w:rPr>
                <w:rFonts w:ascii="Book Antiqua" w:eastAsia="Times New Roman" w:hAnsi="Book Antiqua" w:cs="Calibri"/>
                <w:bCs/>
                <w:kern w:val="24"/>
                <w:sz w:val="24"/>
                <w:szCs w:val="24"/>
                <w:lang w:val="en-GB" w:eastAsia="it-IT"/>
              </w:rPr>
              <w:t>27</w:t>
            </w:r>
          </w:p>
        </w:tc>
        <w:tc>
          <w:tcPr>
            <w:tcW w:w="1418" w:type="dxa"/>
            <w:shd w:val="clear" w:color="auto" w:fill="auto"/>
            <w:tcMar>
              <w:top w:w="72" w:type="dxa"/>
              <w:left w:w="144" w:type="dxa"/>
              <w:bottom w:w="72" w:type="dxa"/>
              <w:right w:w="144" w:type="dxa"/>
            </w:tcMar>
            <w:hideMark/>
          </w:tcPr>
          <w:p w14:paraId="229F174D" w14:textId="7060C805" w:rsidR="00760B6C" w:rsidRPr="00C003EF" w:rsidRDefault="00760B6C" w:rsidP="00C003EF">
            <w:pPr>
              <w:snapToGrid w:val="0"/>
              <w:spacing w:after="0" w:line="360" w:lineRule="auto"/>
              <w:jc w:val="center"/>
              <w:rPr>
                <w:rFonts w:ascii="Book Antiqua" w:hAnsi="Book Antiqua" w:cs="Arial"/>
                <w:sz w:val="24"/>
                <w:szCs w:val="24"/>
                <w:lang w:val="en-GB" w:eastAsia="zh-CN"/>
              </w:rPr>
            </w:pPr>
            <w:r w:rsidRPr="00CD4428">
              <w:rPr>
                <w:rFonts w:ascii="Book Antiqua" w:eastAsia="Times New Roman" w:hAnsi="Book Antiqua" w:cs="Calibri"/>
                <w:bCs/>
                <w:kern w:val="24"/>
                <w:sz w:val="24"/>
                <w:szCs w:val="24"/>
                <w:lang w:val="en-GB" w:eastAsia="it-IT"/>
              </w:rPr>
              <w:t>23</w:t>
            </w:r>
            <w:r w:rsidR="00C003EF">
              <w:rPr>
                <w:rFonts w:ascii="Book Antiqua" w:hAnsi="Book Antiqua" w:cs="Calibri" w:hint="eastAsia"/>
                <w:bCs/>
                <w:kern w:val="24"/>
                <w:sz w:val="24"/>
                <w:szCs w:val="24"/>
                <w:vertAlign w:val="superscript"/>
                <w:lang w:val="en-GB" w:eastAsia="zh-CN"/>
              </w:rPr>
              <w:t>1</w:t>
            </w:r>
          </w:p>
        </w:tc>
      </w:tr>
      <w:tr w:rsidR="00420056" w:rsidRPr="00CD4428" w14:paraId="39C79F2D" w14:textId="77777777" w:rsidTr="004F52E0">
        <w:trPr>
          <w:trHeight w:val="401"/>
        </w:trPr>
        <w:tc>
          <w:tcPr>
            <w:tcW w:w="5247" w:type="dxa"/>
            <w:shd w:val="clear" w:color="auto" w:fill="auto"/>
            <w:tcMar>
              <w:top w:w="72" w:type="dxa"/>
              <w:left w:w="144" w:type="dxa"/>
              <w:bottom w:w="72" w:type="dxa"/>
              <w:right w:w="144" w:type="dxa"/>
            </w:tcMar>
            <w:hideMark/>
          </w:tcPr>
          <w:p w14:paraId="5AAA053F" w14:textId="77777777" w:rsidR="00760B6C" w:rsidRPr="00CD4428" w:rsidRDefault="00760B6C" w:rsidP="00760B6C">
            <w:pPr>
              <w:snapToGrid w:val="0"/>
              <w:spacing w:after="0" w:line="360" w:lineRule="auto"/>
              <w:jc w:val="both"/>
              <w:rPr>
                <w:rFonts w:ascii="Book Antiqua" w:eastAsia="Times New Roman" w:hAnsi="Book Antiqua" w:cs="Arial"/>
                <w:sz w:val="24"/>
                <w:szCs w:val="24"/>
                <w:lang w:val="en-GB" w:eastAsia="it-IT"/>
              </w:rPr>
            </w:pPr>
            <w:r w:rsidRPr="00CD4428">
              <w:rPr>
                <w:rFonts w:ascii="Book Antiqua" w:eastAsia="Times New Roman" w:hAnsi="Book Antiqua" w:cs="Calibri"/>
                <w:bCs/>
                <w:kern w:val="24"/>
                <w:sz w:val="24"/>
                <w:szCs w:val="24"/>
                <w:lang w:val="en-GB" w:eastAsia="it-IT"/>
              </w:rPr>
              <w:t>Total</w:t>
            </w:r>
          </w:p>
        </w:tc>
        <w:tc>
          <w:tcPr>
            <w:tcW w:w="1560" w:type="dxa"/>
            <w:shd w:val="clear" w:color="auto" w:fill="auto"/>
            <w:tcMar>
              <w:top w:w="72" w:type="dxa"/>
              <w:left w:w="144" w:type="dxa"/>
              <w:bottom w:w="72" w:type="dxa"/>
              <w:right w:w="144" w:type="dxa"/>
            </w:tcMar>
            <w:hideMark/>
          </w:tcPr>
          <w:p w14:paraId="479824F1" w14:textId="7A7663B3" w:rsidR="00760B6C" w:rsidRPr="00CD4428" w:rsidRDefault="00760B6C" w:rsidP="00C003EF">
            <w:pPr>
              <w:snapToGrid w:val="0"/>
              <w:spacing w:after="0" w:line="360" w:lineRule="auto"/>
              <w:jc w:val="center"/>
              <w:rPr>
                <w:rFonts w:ascii="Book Antiqua" w:eastAsia="Times New Roman" w:hAnsi="Book Antiqua" w:cs="Arial"/>
                <w:sz w:val="24"/>
                <w:szCs w:val="24"/>
                <w:lang w:val="en-GB" w:eastAsia="it-IT"/>
              </w:rPr>
            </w:pPr>
            <w:r w:rsidRPr="00CD4428">
              <w:rPr>
                <w:rFonts w:ascii="Book Antiqua" w:eastAsia="Times New Roman" w:hAnsi="Book Antiqua" w:cs="Calibri"/>
                <w:bCs/>
                <w:kern w:val="24"/>
                <w:sz w:val="24"/>
                <w:szCs w:val="24"/>
                <w:lang w:val="en-GB" w:eastAsia="it-IT"/>
              </w:rPr>
              <w:t>1.918</w:t>
            </w:r>
          </w:p>
        </w:tc>
        <w:tc>
          <w:tcPr>
            <w:tcW w:w="1275" w:type="dxa"/>
            <w:shd w:val="clear" w:color="auto" w:fill="auto"/>
            <w:tcMar>
              <w:top w:w="72" w:type="dxa"/>
              <w:left w:w="144" w:type="dxa"/>
              <w:bottom w:w="72" w:type="dxa"/>
              <w:right w:w="144" w:type="dxa"/>
            </w:tcMar>
            <w:hideMark/>
          </w:tcPr>
          <w:p w14:paraId="32CE1056" w14:textId="2ADBBC98" w:rsidR="00760B6C" w:rsidRPr="00CD4428" w:rsidRDefault="00760B6C" w:rsidP="00C003EF">
            <w:pPr>
              <w:snapToGrid w:val="0"/>
              <w:spacing w:after="0" w:line="360" w:lineRule="auto"/>
              <w:jc w:val="center"/>
              <w:rPr>
                <w:rFonts w:ascii="Book Antiqua" w:eastAsia="Times New Roman" w:hAnsi="Book Antiqua" w:cs="Arial"/>
                <w:sz w:val="24"/>
                <w:szCs w:val="24"/>
                <w:lang w:val="en-GB" w:eastAsia="it-IT"/>
              </w:rPr>
            </w:pPr>
            <w:r w:rsidRPr="00CD4428">
              <w:rPr>
                <w:rFonts w:ascii="Book Antiqua" w:eastAsia="Times New Roman" w:hAnsi="Book Antiqua" w:cs="Calibri"/>
                <w:bCs/>
                <w:kern w:val="24"/>
                <w:sz w:val="24"/>
                <w:szCs w:val="24"/>
                <w:lang w:val="en-GB" w:eastAsia="it-IT"/>
              </w:rPr>
              <w:t>1.170</w:t>
            </w:r>
          </w:p>
        </w:tc>
        <w:tc>
          <w:tcPr>
            <w:tcW w:w="1418" w:type="dxa"/>
            <w:shd w:val="clear" w:color="auto" w:fill="auto"/>
            <w:tcMar>
              <w:top w:w="72" w:type="dxa"/>
              <w:left w:w="144" w:type="dxa"/>
              <w:bottom w:w="72" w:type="dxa"/>
              <w:right w:w="144" w:type="dxa"/>
            </w:tcMar>
            <w:hideMark/>
          </w:tcPr>
          <w:p w14:paraId="26558477" w14:textId="4ADEE2B8" w:rsidR="00760B6C" w:rsidRPr="00CD4428" w:rsidRDefault="00760B6C" w:rsidP="00C003EF">
            <w:pPr>
              <w:snapToGrid w:val="0"/>
              <w:spacing w:after="0" w:line="360" w:lineRule="auto"/>
              <w:jc w:val="center"/>
              <w:rPr>
                <w:rFonts w:ascii="Book Antiqua" w:eastAsia="Times New Roman" w:hAnsi="Book Antiqua" w:cs="Arial"/>
                <w:sz w:val="24"/>
                <w:szCs w:val="24"/>
                <w:lang w:val="en-GB" w:eastAsia="it-IT"/>
              </w:rPr>
            </w:pPr>
            <w:r w:rsidRPr="00CD4428">
              <w:rPr>
                <w:rFonts w:ascii="Book Antiqua" w:eastAsia="Times New Roman" w:hAnsi="Book Antiqua" w:cs="Calibri"/>
                <w:bCs/>
                <w:kern w:val="24"/>
                <w:sz w:val="24"/>
                <w:szCs w:val="24"/>
                <w:lang w:val="en-GB" w:eastAsia="it-IT"/>
              </w:rPr>
              <w:t>697</w:t>
            </w:r>
          </w:p>
        </w:tc>
      </w:tr>
    </w:tbl>
    <w:p w14:paraId="614BB6F7" w14:textId="104686A8" w:rsidR="004E237B" w:rsidRPr="007F5771" w:rsidRDefault="004E237B" w:rsidP="007F5771">
      <w:pPr>
        <w:autoSpaceDE w:val="0"/>
        <w:autoSpaceDN w:val="0"/>
        <w:adjustRightInd w:val="0"/>
        <w:snapToGrid w:val="0"/>
        <w:spacing w:after="0" w:line="360" w:lineRule="auto"/>
        <w:ind w:left="-426"/>
        <w:jc w:val="both"/>
        <w:rPr>
          <w:rFonts w:ascii="Book Antiqua" w:hAnsi="Book Antiqua" w:cstheme="minorHAnsi"/>
          <w:sz w:val="24"/>
          <w:szCs w:val="24"/>
          <w:lang w:val="en-GB" w:eastAsia="zh-CN"/>
        </w:rPr>
      </w:pPr>
      <w:r w:rsidRPr="00CD4428">
        <w:rPr>
          <w:rFonts w:ascii="Book Antiqua" w:eastAsia="SabonLTStd-Roman" w:hAnsi="Book Antiqua" w:cstheme="minorHAnsi"/>
          <w:sz w:val="24"/>
          <w:szCs w:val="24"/>
          <w:lang w:val="en-GB"/>
        </w:rPr>
        <w:t xml:space="preserve"> </w:t>
      </w:r>
      <w:r w:rsidR="007F5771">
        <w:rPr>
          <w:rFonts w:ascii="Book Antiqua" w:hAnsi="Book Antiqua" w:cstheme="minorHAnsi" w:hint="eastAsia"/>
          <w:sz w:val="24"/>
          <w:szCs w:val="24"/>
          <w:vertAlign w:val="superscript"/>
          <w:lang w:val="en-GB" w:eastAsia="zh-CN"/>
        </w:rPr>
        <w:t>1</w:t>
      </w:r>
      <w:r w:rsidRPr="00CD4428">
        <w:rPr>
          <w:rFonts w:ascii="Book Antiqua" w:eastAsia="SabonLTStd-Roman" w:hAnsi="Book Antiqua" w:cstheme="minorHAnsi"/>
          <w:sz w:val="24"/>
          <w:szCs w:val="24"/>
          <w:lang w:val="en-GB" w:eastAsia="it-IT"/>
        </w:rPr>
        <w:t>UC</w:t>
      </w:r>
      <w:r w:rsidR="00066459">
        <w:rPr>
          <w:rFonts w:ascii="Book Antiqua" w:hAnsi="Book Antiqua" w:cstheme="minorHAnsi" w:hint="eastAsia"/>
          <w:sz w:val="24"/>
          <w:szCs w:val="24"/>
          <w:lang w:val="en-GB" w:eastAsia="zh-CN"/>
        </w:rPr>
        <w:t xml:space="preserve"> </w:t>
      </w:r>
      <w:r w:rsidRPr="00CD4428">
        <w:rPr>
          <w:rFonts w:ascii="Book Antiqua" w:eastAsia="SabonLTStd-Roman" w:hAnsi="Book Antiqua" w:cstheme="minorHAnsi"/>
          <w:sz w:val="24"/>
          <w:szCs w:val="24"/>
          <w:lang w:val="en-GB" w:eastAsia="it-IT"/>
        </w:rPr>
        <w:t>+</w:t>
      </w:r>
      <w:r w:rsidR="00066459">
        <w:rPr>
          <w:rFonts w:ascii="Book Antiqua" w:hAnsi="Book Antiqua" w:cstheme="minorHAnsi" w:hint="eastAsia"/>
          <w:sz w:val="24"/>
          <w:szCs w:val="24"/>
          <w:lang w:val="en-GB" w:eastAsia="zh-CN"/>
        </w:rPr>
        <w:t xml:space="preserve"> </w:t>
      </w:r>
      <w:r w:rsidRPr="00CD4428">
        <w:rPr>
          <w:rFonts w:ascii="Book Antiqua" w:eastAsia="SabonLTStd-Roman" w:hAnsi="Book Antiqua" w:cstheme="minorHAnsi"/>
          <w:sz w:val="24"/>
          <w:szCs w:val="24"/>
          <w:lang w:val="en-GB" w:eastAsia="it-IT"/>
        </w:rPr>
        <w:t>IBD</w:t>
      </w:r>
      <w:r w:rsidR="00B675F1" w:rsidRPr="00CD4428">
        <w:rPr>
          <w:rFonts w:ascii="Book Antiqua" w:eastAsia="SabonLTStd-Roman" w:hAnsi="Book Antiqua" w:cstheme="minorHAnsi"/>
          <w:sz w:val="24"/>
          <w:szCs w:val="24"/>
          <w:lang w:val="en-GB" w:eastAsia="it-IT"/>
        </w:rPr>
        <w:t xml:space="preserve"> </w:t>
      </w:r>
      <w:r w:rsidRPr="00CD4428">
        <w:rPr>
          <w:rFonts w:ascii="Book Antiqua" w:eastAsia="SabonLTStd-Roman" w:hAnsi="Book Antiqua" w:cstheme="minorHAnsi"/>
          <w:sz w:val="24"/>
          <w:szCs w:val="24"/>
          <w:lang w:val="en-GB" w:eastAsia="it-IT"/>
        </w:rPr>
        <w:t>unclassified</w:t>
      </w:r>
      <w:r w:rsidR="007F5771">
        <w:rPr>
          <w:rFonts w:ascii="Book Antiqua" w:hAnsi="Book Antiqua" w:cstheme="minorHAnsi" w:hint="eastAsia"/>
          <w:sz w:val="24"/>
          <w:szCs w:val="24"/>
          <w:lang w:val="en-GB" w:eastAsia="zh-CN"/>
        </w:rPr>
        <w:t>;</w:t>
      </w:r>
      <w:r w:rsidR="004F52E0">
        <w:rPr>
          <w:rFonts w:ascii="Book Antiqua" w:hAnsi="Book Antiqua" w:cstheme="minorHAnsi" w:hint="eastAsia"/>
          <w:sz w:val="24"/>
          <w:szCs w:val="24"/>
          <w:lang w:val="en-GB" w:eastAsia="zh-CN"/>
        </w:rPr>
        <w:t xml:space="preserve"> </w:t>
      </w:r>
      <w:r w:rsidR="007F5771">
        <w:rPr>
          <w:rFonts w:ascii="Book Antiqua" w:hAnsi="Book Antiqua" w:cstheme="minorHAnsi" w:hint="eastAsia"/>
          <w:sz w:val="24"/>
          <w:szCs w:val="24"/>
          <w:vertAlign w:val="superscript"/>
          <w:lang w:val="en-GB" w:eastAsia="zh-CN"/>
        </w:rPr>
        <w:t>2</w:t>
      </w:r>
      <w:r w:rsidRPr="00CD4428">
        <w:rPr>
          <w:rFonts w:ascii="Book Antiqua" w:eastAsia="SabonLTStd-Roman" w:hAnsi="Book Antiqua" w:cstheme="minorHAnsi"/>
          <w:sz w:val="24"/>
          <w:szCs w:val="24"/>
          <w:lang w:val="en-GB" w:eastAsia="it-IT"/>
        </w:rPr>
        <w:t xml:space="preserve">102 patients started </w:t>
      </w:r>
      <w:proofErr w:type="spellStart"/>
      <w:r w:rsidRPr="00CD4428">
        <w:rPr>
          <w:rFonts w:ascii="Book Antiqua" w:eastAsia="SabonLTStd-Roman" w:hAnsi="Book Antiqua" w:cstheme="minorHAnsi"/>
          <w:sz w:val="24"/>
          <w:szCs w:val="24"/>
          <w:lang w:val="en-GB" w:eastAsia="it-IT"/>
        </w:rPr>
        <w:t>vedolizumab</w:t>
      </w:r>
      <w:proofErr w:type="spellEnd"/>
      <w:r w:rsidRPr="00CD4428">
        <w:rPr>
          <w:rFonts w:ascii="Book Antiqua" w:eastAsia="SabonLTStd-Roman" w:hAnsi="Book Antiqua" w:cstheme="minorHAnsi"/>
          <w:sz w:val="24"/>
          <w:szCs w:val="24"/>
          <w:lang w:val="en-GB" w:eastAsia="it-IT"/>
        </w:rPr>
        <w:t>,</w:t>
      </w:r>
      <w:r w:rsidR="00066459">
        <w:rPr>
          <w:rFonts w:ascii="Book Antiqua" w:hAnsi="Book Antiqua" w:cstheme="minorHAnsi" w:hint="eastAsia"/>
          <w:sz w:val="24"/>
          <w:szCs w:val="24"/>
          <w:lang w:val="en-GB" w:eastAsia="zh-CN"/>
        </w:rPr>
        <w:t xml:space="preserve"> </w:t>
      </w:r>
      <w:r w:rsidR="00CB01A2" w:rsidRPr="00CD4428">
        <w:rPr>
          <w:rFonts w:ascii="Book Antiqua" w:eastAsia="SabonLTStd-Roman" w:hAnsi="Book Antiqua" w:cstheme="minorHAnsi"/>
          <w:sz w:val="24"/>
          <w:szCs w:val="24"/>
          <w:lang w:val="en-GB" w:eastAsia="it-IT"/>
        </w:rPr>
        <w:t xml:space="preserve">and </w:t>
      </w:r>
      <w:r w:rsidRPr="00CD4428">
        <w:rPr>
          <w:rFonts w:ascii="Book Antiqua" w:eastAsia="SabonLTStd-Roman" w:hAnsi="Book Antiqua" w:cstheme="minorHAnsi"/>
          <w:sz w:val="24"/>
          <w:szCs w:val="24"/>
          <w:lang w:val="en-GB" w:eastAsia="it-IT"/>
        </w:rPr>
        <w:t xml:space="preserve">51 patients </w:t>
      </w:r>
      <w:r w:rsidR="00CB01A2" w:rsidRPr="00CD4428">
        <w:rPr>
          <w:rFonts w:ascii="Book Antiqua" w:eastAsia="SabonLTStd-Roman" w:hAnsi="Book Antiqua" w:cstheme="minorHAnsi"/>
          <w:sz w:val="24"/>
          <w:szCs w:val="24"/>
          <w:lang w:val="en-GB" w:eastAsia="it-IT"/>
        </w:rPr>
        <w:t xml:space="preserve">were </w:t>
      </w:r>
      <w:r w:rsidRPr="00CD4428">
        <w:rPr>
          <w:rFonts w:ascii="Book Antiqua" w:eastAsia="SabonLTStd-Roman" w:hAnsi="Book Antiqua" w:cstheme="minorHAnsi"/>
          <w:sz w:val="24"/>
          <w:szCs w:val="24"/>
          <w:lang w:val="en-GB" w:eastAsia="it-IT"/>
        </w:rPr>
        <w:t>followed prospectively</w:t>
      </w:r>
      <w:r w:rsidR="00CB01A2" w:rsidRPr="00CD4428">
        <w:rPr>
          <w:rFonts w:ascii="Book Antiqua" w:eastAsia="SabonLTStd-Roman" w:hAnsi="Book Antiqua" w:cstheme="minorHAnsi"/>
          <w:sz w:val="24"/>
          <w:szCs w:val="24"/>
          <w:lang w:val="en-GB" w:eastAsia="it-IT"/>
        </w:rPr>
        <w:t>.</w:t>
      </w:r>
      <w:r w:rsidR="004F52E0">
        <w:rPr>
          <w:rFonts w:ascii="Book Antiqua" w:hAnsi="Book Antiqua" w:cstheme="minorHAnsi" w:hint="eastAsia"/>
          <w:sz w:val="24"/>
          <w:szCs w:val="24"/>
          <w:lang w:val="en-GB" w:eastAsia="zh-CN"/>
        </w:rPr>
        <w:t xml:space="preserve"> </w:t>
      </w:r>
      <w:r w:rsidR="007F5771" w:rsidRPr="00CD4428">
        <w:rPr>
          <w:rFonts w:ascii="Book Antiqua" w:eastAsia="SabonLTStd-Roman" w:hAnsi="Book Antiqua" w:cstheme="minorHAnsi"/>
          <w:sz w:val="24"/>
          <w:szCs w:val="24"/>
          <w:lang w:val="en-GB"/>
        </w:rPr>
        <w:t xml:space="preserve">IBD: </w:t>
      </w:r>
      <w:r w:rsidR="007F5771" w:rsidRPr="007F5771">
        <w:rPr>
          <w:rFonts w:ascii="Book Antiqua" w:eastAsia="SabonLTStd-Roman" w:hAnsi="Book Antiqua" w:cstheme="minorHAnsi"/>
          <w:caps/>
          <w:sz w:val="24"/>
          <w:szCs w:val="24"/>
          <w:lang w:val="en-GB"/>
        </w:rPr>
        <w:t>i</w:t>
      </w:r>
      <w:r w:rsidR="007F5771" w:rsidRPr="00CD4428">
        <w:rPr>
          <w:rFonts w:ascii="Book Antiqua" w:eastAsia="SabonLTStd-Roman" w:hAnsi="Book Antiqua" w:cstheme="minorHAnsi"/>
          <w:sz w:val="24"/>
          <w:szCs w:val="24"/>
          <w:lang w:val="en-GB"/>
        </w:rPr>
        <w:t>nflammatory bowel disease;</w:t>
      </w:r>
      <w:r w:rsidR="004F52E0">
        <w:rPr>
          <w:rFonts w:ascii="Book Antiqua" w:hAnsi="Book Antiqua" w:cstheme="minorHAnsi" w:hint="eastAsia"/>
          <w:sz w:val="24"/>
          <w:szCs w:val="24"/>
          <w:lang w:val="en-GB" w:eastAsia="zh-CN"/>
        </w:rPr>
        <w:t xml:space="preserve"> </w:t>
      </w:r>
      <w:r w:rsidR="007F5771" w:rsidRPr="00CD4428">
        <w:rPr>
          <w:rFonts w:ascii="Book Antiqua" w:eastAsia="SabonLTStd-Roman" w:hAnsi="Book Antiqua" w:cstheme="minorHAnsi"/>
          <w:sz w:val="24"/>
          <w:szCs w:val="24"/>
          <w:lang w:val="en-GB"/>
        </w:rPr>
        <w:t>CD</w:t>
      </w:r>
      <w:r w:rsidR="007F5771">
        <w:rPr>
          <w:rFonts w:ascii="Book Antiqua" w:hAnsi="Book Antiqua" w:cstheme="minorHAnsi" w:hint="eastAsia"/>
          <w:sz w:val="24"/>
          <w:szCs w:val="24"/>
          <w:lang w:val="en-GB" w:eastAsia="zh-CN"/>
        </w:rPr>
        <w:t xml:space="preserve">: </w:t>
      </w:r>
      <w:r w:rsidR="007F5771" w:rsidRPr="00CD4428">
        <w:rPr>
          <w:rFonts w:ascii="Book Antiqua" w:eastAsia="SabonLTStd-Roman" w:hAnsi="Book Antiqua" w:cstheme="minorHAnsi"/>
          <w:sz w:val="24"/>
          <w:szCs w:val="24"/>
          <w:lang w:val="en-GB"/>
        </w:rPr>
        <w:t>Crohn’s disease; UC:</w:t>
      </w:r>
      <w:r w:rsidR="004F52E0">
        <w:rPr>
          <w:rFonts w:ascii="Book Antiqua" w:hAnsi="Book Antiqua" w:cstheme="minorHAnsi" w:hint="eastAsia"/>
          <w:sz w:val="24"/>
          <w:szCs w:val="24"/>
          <w:lang w:val="en-GB" w:eastAsia="zh-CN"/>
        </w:rPr>
        <w:t xml:space="preserve"> </w:t>
      </w:r>
      <w:r w:rsidR="007F5771" w:rsidRPr="007F5771">
        <w:rPr>
          <w:rFonts w:ascii="Book Antiqua" w:eastAsia="SabonLTStd-Roman" w:hAnsi="Book Antiqua" w:cstheme="minorHAnsi"/>
          <w:caps/>
          <w:sz w:val="24"/>
          <w:szCs w:val="24"/>
          <w:lang w:val="en-GB"/>
        </w:rPr>
        <w:t>u</w:t>
      </w:r>
      <w:r w:rsidR="007F5771" w:rsidRPr="00CD4428">
        <w:rPr>
          <w:rFonts w:ascii="Book Antiqua" w:eastAsia="SabonLTStd-Roman" w:hAnsi="Book Antiqua" w:cstheme="minorHAnsi"/>
          <w:sz w:val="24"/>
          <w:szCs w:val="24"/>
          <w:lang w:val="en-GB"/>
        </w:rPr>
        <w:t>lcerative colitis.</w:t>
      </w:r>
    </w:p>
    <w:p w14:paraId="35185DB1" w14:textId="77777777" w:rsidR="00760B6C" w:rsidRDefault="00760B6C">
      <w:pPr>
        <w:rPr>
          <w:rFonts w:ascii="Book Antiqua" w:eastAsia="SabonLTStd-Roman" w:hAnsi="Book Antiqua" w:cstheme="minorHAnsi"/>
          <w:sz w:val="24"/>
          <w:szCs w:val="24"/>
          <w:lang w:val="en-GB"/>
        </w:rPr>
      </w:pPr>
      <w:r>
        <w:rPr>
          <w:rFonts w:ascii="Book Antiqua" w:eastAsia="SabonLTStd-Roman" w:hAnsi="Book Antiqua" w:cstheme="minorHAnsi"/>
          <w:sz w:val="24"/>
          <w:szCs w:val="24"/>
          <w:lang w:val="en-GB"/>
        </w:rPr>
        <w:br w:type="page"/>
      </w:r>
    </w:p>
    <w:p w14:paraId="45130A49" w14:textId="3A3241F0" w:rsidR="00083D41" w:rsidRPr="00CD4428" w:rsidRDefault="00A47F89" w:rsidP="00E17439">
      <w:pPr>
        <w:autoSpaceDE w:val="0"/>
        <w:autoSpaceDN w:val="0"/>
        <w:adjustRightInd w:val="0"/>
        <w:snapToGrid w:val="0"/>
        <w:spacing w:after="0" w:line="360" w:lineRule="auto"/>
        <w:jc w:val="both"/>
        <w:rPr>
          <w:rFonts w:ascii="Book Antiqua" w:eastAsia="SabonLTStd-Roman" w:hAnsi="Book Antiqua" w:cstheme="minorHAnsi"/>
          <w:sz w:val="24"/>
          <w:szCs w:val="24"/>
          <w:lang w:val="en-GB"/>
        </w:rPr>
      </w:pPr>
      <w:r w:rsidRPr="00CD4428">
        <w:rPr>
          <w:rFonts w:ascii="Book Antiqua" w:eastAsia="SabonLTStd-Roman" w:hAnsi="Book Antiqua" w:cstheme="minorHAnsi"/>
          <w:noProof/>
          <w:sz w:val="24"/>
          <w:szCs w:val="24"/>
          <w:lang w:val="en-US" w:eastAsia="zh-CN"/>
        </w:rPr>
        <w:lastRenderedPageBreak/>
        <w:drawing>
          <wp:inline distT="0" distB="0" distL="0" distR="0" wp14:anchorId="657FDF1B" wp14:editId="2882F59F">
            <wp:extent cx="4778632" cy="3009900"/>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2257" r="8058" b="10529"/>
                    <a:stretch/>
                  </pic:blipFill>
                  <pic:spPr bwMode="auto">
                    <a:xfrm>
                      <a:off x="0" y="0"/>
                      <a:ext cx="4788744" cy="3016269"/>
                    </a:xfrm>
                    <a:prstGeom prst="rect">
                      <a:avLst/>
                    </a:prstGeom>
                    <a:ln>
                      <a:noFill/>
                    </a:ln>
                    <a:extLst>
                      <a:ext uri="{53640926-AAD7-44D8-BBD7-CCE9431645EC}">
                        <a14:shadowObscured xmlns:a14="http://schemas.microsoft.com/office/drawing/2010/main"/>
                      </a:ext>
                    </a:extLst>
                  </pic:spPr>
                </pic:pic>
              </a:graphicData>
            </a:graphic>
          </wp:inline>
        </w:drawing>
      </w:r>
    </w:p>
    <w:p w14:paraId="12B21940" w14:textId="76B5228A" w:rsidR="003A180E" w:rsidRPr="00760B6C" w:rsidRDefault="00A47F89" w:rsidP="00E17439">
      <w:pPr>
        <w:autoSpaceDE w:val="0"/>
        <w:autoSpaceDN w:val="0"/>
        <w:adjustRightInd w:val="0"/>
        <w:snapToGrid w:val="0"/>
        <w:spacing w:after="0" w:line="360" w:lineRule="auto"/>
        <w:jc w:val="both"/>
        <w:rPr>
          <w:rFonts w:ascii="Book Antiqua" w:hAnsi="Book Antiqua" w:cstheme="minorHAnsi"/>
          <w:b/>
          <w:sz w:val="24"/>
          <w:szCs w:val="24"/>
          <w:lang w:val="en-GB" w:eastAsia="zh-CN"/>
        </w:rPr>
      </w:pPr>
      <w:r w:rsidRPr="00CD4428">
        <w:rPr>
          <w:rFonts w:ascii="Book Antiqua" w:eastAsia="SabonLTStd-Roman" w:hAnsi="Book Antiqua" w:cstheme="minorHAnsi"/>
          <w:b/>
          <w:sz w:val="24"/>
          <w:szCs w:val="24"/>
          <w:lang w:val="en-GB"/>
        </w:rPr>
        <w:t>Fi</w:t>
      </w:r>
      <w:r w:rsidR="003A180E" w:rsidRPr="00CD4428">
        <w:rPr>
          <w:rFonts w:ascii="Book Antiqua" w:eastAsia="SabonLTStd-Roman" w:hAnsi="Book Antiqua" w:cstheme="minorHAnsi"/>
          <w:b/>
          <w:sz w:val="24"/>
          <w:szCs w:val="24"/>
          <w:lang w:val="en-GB"/>
        </w:rPr>
        <w:t>g</w:t>
      </w:r>
      <w:r w:rsidR="002C580C">
        <w:rPr>
          <w:rFonts w:ascii="Book Antiqua" w:hAnsi="Book Antiqua" w:cstheme="minorHAnsi" w:hint="eastAsia"/>
          <w:b/>
          <w:sz w:val="24"/>
          <w:szCs w:val="24"/>
          <w:lang w:val="en-GB" w:eastAsia="zh-CN"/>
        </w:rPr>
        <w:t xml:space="preserve">ure </w:t>
      </w:r>
      <w:r w:rsidR="003A180E" w:rsidRPr="00CD4428">
        <w:rPr>
          <w:rFonts w:ascii="Book Antiqua" w:eastAsia="SabonLTStd-Roman" w:hAnsi="Book Antiqua" w:cstheme="minorHAnsi"/>
          <w:b/>
          <w:sz w:val="24"/>
          <w:szCs w:val="24"/>
          <w:lang w:val="en-GB"/>
        </w:rPr>
        <w:t>1</w:t>
      </w:r>
      <w:r w:rsidR="00600A6E" w:rsidRPr="00CD4428">
        <w:rPr>
          <w:rFonts w:ascii="Book Antiqua" w:hAnsi="Book Antiqua" w:cstheme="minorHAnsi"/>
          <w:b/>
          <w:sz w:val="24"/>
          <w:szCs w:val="24"/>
          <w:lang w:val="en-GB" w:eastAsia="zh-CN"/>
        </w:rPr>
        <w:t xml:space="preserve"> </w:t>
      </w:r>
      <w:proofErr w:type="spellStart"/>
      <w:r w:rsidR="003A180E" w:rsidRPr="00CD4428">
        <w:rPr>
          <w:rFonts w:ascii="Book Antiqua" w:eastAsia="SabonLTStd-Roman" w:hAnsi="Book Antiqua" w:cstheme="minorHAnsi"/>
          <w:b/>
          <w:sz w:val="24"/>
          <w:szCs w:val="24"/>
          <w:lang w:val="en-GB"/>
        </w:rPr>
        <w:t>Vedolizumab</w:t>
      </w:r>
      <w:proofErr w:type="spellEnd"/>
      <w:r w:rsidR="003A180E" w:rsidRPr="00CD4428">
        <w:rPr>
          <w:rFonts w:ascii="Book Antiqua" w:eastAsia="SabonLTStd-Roman" w:hAnsi="Book Antiqua" w:cstheme="minorHAnsi"/>
          <w:b/>
          <w:sz w:val="24"/>
          <w:szCs w:val="24"/>
          <w:lang w:val="en-GB"/>
        </w:rPr>
        <w:t xml:space="preserve"> targets the α4β7 integrin, preventing leucocyte translocation</w:t>
      </w:r>
      <w:r w:rsidR="001A38BC" w:rsidRPr="00CD4428">
        <w:rPr>
          <w:rFonts w:ascii="Book Antiqua" w:eastAsia="SabonLTStd-Roman" w:hAnsi="Book Antiqua" w:cstheme="minorHAnsi"/>
          <w:b/>
          <w:sz w:val="24"/>
          <w:szCs w:val="24"/>
          <w:lang w:val="en-GB"/>
        </w:rPr>
        <w:t xml:space="preserve"> </w:t>
      </w:r>
      <w:r w:rsidR="003A180E" w:rsidRPr="00CD4428">
        <w:rPr>
          <w:rFonts w:ascii="Book Antiqua" w:eastAsia="SabonLTStd-Roman" w:hAnsi="Book Antiqua" w:cstheme="minorHAnsi"/>
          <w:b/>
          <w:sz w:val="24"/>
          <w:szCs w:val="24"/>
          <w:lang w:val="en-GB"/>
        </w:rPr>
        <w:t xml:space="preserve">from the blood into the inflamed gut </w:t>
      </w:r>
      <w:r w:rsidR="00670193" w:rsidRPr="00CD4428">
        <w:rPr>
          <w:rFonts w:ascii="Book Antiqua" w:eastAsia="SabonLTStd-Roman" w:hAnsi="Book Antiqua" w:cstheme="minorHAnsi"/>
          <w:b/>
          <w:sz w:val="24"/>
          <w:szCs w:val="24"/>
          <w:lang w:val="en-GB"/>
        </w:rPr>
        <w:t>tissue</w:t>
      </w:r>
      <w:r w:rsidR="003A180E" w:rsidRPr="00CD4428">
        <w:rPr>
          <w:rFonts w:ascii="Book Antiqua" w:eastAsia="SabonLTStd-Roman" w:hAnsi="Book Antiqua" w:cstheme="minorHAnsi"/>
          <w:b/>
          <w:sz w:val="24"/>
          <w:szCs w:val="24"/>
          <w:lang w:val="en-GB"/>
        </w:rPr>
        <w:t>.</w:t>
      </w:r>
      <w:r w:rsidR="00C003EF">
        <w:rPr>
          <w:rFonts w:ascii="Book Antiqua" w:hAnsi="Book Antiqua" w:cstheme="minorHAnsi" w:hint="eastAsia"/>
          <w:b/>
          <w:sz w:val="24"/>
          <w:szCs w:val="24"/>
          <w:lang w:val="en-GB" w:eastAsia="zh-CN"/>
        </w:rPr>
        <w:t xml:space="preserve"> </w:t>
      </w:r>
      <w:r w:rsidR="00FB37C1" w:rsidRPr="00CD4428">
        <w:rPr>
          <w:rFonts w:ascii="Book Antiqua" w:eastAsia="SabonLTStd-Roman" w:hAnsi="Book Antiqua" w:cstheme="minorHAnsi"/>
          <w:sz w:val="24"/>
          <w:szCs w:val="24"/>
          <w:lang w:val="en-GB"/>
        </w:rPr>
        <w:t>MadCAM-1:</w:t>
      </w:r>
      <w:r w:rsidR="00A23691">
        <w:rPr>
          <w:rFonts w:ascii="Book Antiqua" w:hAnsi="Book Antiqua" w:cstheme="minorHAnsi" w:hint="eastAsia"/>
          <w:sz w:val="24"/>
          <w:szCs w:val="24"/>
          <w:lang w:val="en-GB" w:eastAsia="zh-CN"/>
        </w:rPr>
        <w:t xml:space="preserve"> </w:t>
      </w:r>
      <w:r w:rsidR="00FB37C1" w:rsidRPr="00760B6C">
        <w:rPr>
          <w:rFonts w:ascii="Book Antiqua" w:eastAsia="SabonLTStd-Roman" w:hAnsi="Book Antiqua" w:cstheme="minorHAnsi"/>
          <w:caps/>
          <w:sz w:val="24"/>
          <w:szCs w:val="24"/>
          <w:lang w:val="en-GB"/>
        </w:rPr>
        <w:t>m</w:t>
      </w:r>
      <w:r w:rsidR="00FB37C1" w:rsidRPr="00CD4428">
        <w:rPr>
          <w:rFonts w:ascii="Book Antiqua" w:eastAsia="SabonLTStd-Roman" w:hAnsi="Book Antiqua" w:cstheme="minorHAnsi"/>
          <w:sz w:val="24"/>
          <w:szCs w:val="24"/>
          <w:lang w:val="en-GB"/>
        </w:rPr>
        <w:t xml:space="preserve">ucosal </w:t>
      </w:r>
      <w:proofErr w:type="spellStart"/>
      <w:r w:rsidR="00FB37C1" w:rsidRPr="00CD4428">
        <w:rPr>
          <w:rFonts w:ascii="Book Antiqua" w:eastAsia="SabonLTStd-Roman" w:hAnsi="Book Antiqua" w:cstheme="minorHAnsi"/>
          <w:sz w:val="24"/>
          <w:szCs w:val="24"/>
          <w:lang w:val="en-GB"/>
        </w:rPr>
        <w:t>addressin</w:t>
      </w:r>
      <w:proofErr w:type="spellEnd"/>
      <w:r w:rsidR="00FB37C1" w:rsidRPr="00CD4428">
        <w:rPr>
          <w:rFonts w:ascii="Book Antiqua" w:eastAsia="SabonLTStd-Roman" w:hAnsi="Book Antiqua" w:cstheme="minorHAnsi"/>
          <w:sz w:val="24"/>
          <w:szCs w:val="24"/>
          <w:lang w:val="en-GB"/>
        </w:rPr>
        <w:t xml:space="preserve"> cell adhesion </w:t>
      </w:r>
      <w:r w:rsidR="00670193" w:rsidRPr="00CD4428">
        <w:rPr>
          <w:rFonts w:ascii="Book Antiqua" w:eastAsia="SabonLTStd-Roman" w:hAnsi="Book Antiqua" w:cstheme="minorHAnsi"/>
          <w:sz w:val="24"/>
          <w:szCs w:val="24"/>
          <w:lang w:val="en-GB"/>
        </w:rPr>
        <w:t>m</w:t>
      </w:r>
      <w:r w:rsidR="00FB37C1" w:rsidRPr="00CD4428">
        <w:rPr>
          <w:rFonts w:ascii="Book Antiqua" w:eastAsia="SabonLTStd-Roman" w:hAnsi="Book Antiqua" w:cstheme="minorHAnsi"/>
          <w:sz w:val="24"/>
          <w:szCs w:val="24"/>
          <w:lang w:val="en-GB"/>
        </w:rPr>
        <w:t>olecule</w:t>
      </w:r>
      <w:r w:rsidR="00760B6C">
        <w:rPr>
          <w:rFonts w:asciiTheme="minorEastAsia" w:hAnsiTheme="minorEastAsia" w:cstheme="minorHAnsi" w:hint="eastAsia"/>
          <w:sz w:val="24"/>
          <w:szCs w:val="24"/>
          <w:lang w:val="en-GB" w:eastAsia="zh-CN"/>
        </w:rPr>
        <w:t>.</w:t>
      </w:r>
    </w:p>
    <w:p w14:paraId="48BC343E" w14:textId="77777777" w:rsidR="00760B6C" w:rsidRDefault="00760B6C">
      <w:pPr>
        <w:rPr>
          <w:rFonts w:ascii="Book Antiqua" w:eastAsia="SabonLTStd-Roman" w:hAnsi="Book Antiqua" w:cstheme="minorHAnsi"/>
          <w:sz w:val="24"/>
          <w:szCs w:val="24"/>
          <w:lang w:val="en-GB"/>
        </w:rPr>
      </w:pPr>
      <w:r>
        <w:rPr>
          <w:rFonts w:ascii="Book Antiqua" w:eastAsia="SabonLTStd-Roman" w:hAnsi="Book Antiqua" w:cstheme="minorHAnsi"/>
          <w:sz w:val="24"/>
          <w:szCs w:val="24"/>
          <w:lang w:val="en-GB"/>
        </w:rPr>
        <w:br w:type="page"/>
      </w:r>
    </w:p>
    <w:p w14:paraId="0F689AEF" w14:textId="2356C3E5" w:rsidR="00C34F9D" w:rsidRDefault="005E3E9E" w:rsidP="00E17439">
      <w:pPr>
        <w:autoSpaceDE w:val="0"/>
        <w:autoSpaceDN w:val="0"/>
        <w:adjustRightInd w:val="0"/>
        <w:snapToGrid w:val="0"/>
        <w:spacing w:after="0" w:line="360" w:lineRule="auto"/>
        <w:jc w:val="both"/>
        <w:rPr>
          <w:rFonts w:ascii="Book Antiqua" w:hAnsi="Book Antiqua" w:cstheme="minorHAnsi"/>
          <w:noProof/>
          <w:sz w:val="24"/>
          <w:szCs w:val="24"/>
          <w:lang w:val="en-US" w:eastAsia="zh-CN"/>
        </w:rPr>
      </w:pPr>
      <w:r>
        <w:rPr>
          <w:rFonts w:ascii="Book Antiqua" w:hAnsi="Book Antiqua" w:cstheme="minorHAnsi" w:hint="eastAsia"/>
          <w:noProof/>
          <w:sz w:val="24"/>
          <w:szCs w:val="24"/>
          <w:lang w:val="en-US" w:eastAsia="zh-CN"/>
        </w:rPr>
        <w:lastRenderedPageBreak/>
        <w:t>A</w:t>
      </w:r>
    </w:p>
    <w:p w14:paraId="2C8FCA75" w14:textId="52A5F66A" w:rsidR="005E3E9E" w:rsidRDefault="005E3E9E" w:rsidP="00E17439">
      <w:pPr>
        <w:autoSpaceDE w:val="0"/>
        <w:autoSpaceDN w:val="0"/>
        <w:adjustRightInd w:val="0"/>
        <w:snapToGrid w:val="0"/>
        <w:spacing w:after="0" w:line="360" w:lineRule="auto"/>
        <w:jc w:val="both"/>
        <w:rPr>
          <w:rFonts w:ascii="Book Antiqua" w:hAnsi="Book Antiqua" w:cstheme="minorHAnsi"/>
          <w:noProof/>
          <w:sz w:val="24"/>
          <w:szCs w:val="24"/>
          <w:lang w:val="en-US" w:eastAsia="zh-CN"/>
        </w:rPr>
      </w:pPr>
      <w:r w:rsidRPr="00CD4428">
        <w:rPr>
          <w:rFonts w:ascii="Book Antiqua" w:eastAsia="SabonLTStd-Roman" w:hAnsi="Book Antiqua" w:cstheme="minorHAnsi"/>
          <w:noProof/>
          <w:sz w:val="24"/>
          <w:szCs w:val="24"/>
          <w:lang w:val="en-US" w:eastAsia="zh-CN"/>
        </w:rPr>
        <w:drawing>
          <wp:inline distT="0" distB="0" distL="0" distR="0" wp14:anchorId="43EB32A0" wp14:editId="69DDC823">
            <wp:extent cx="4727276" cy="3096883"/>
            <wp:effectExtent l="0" t="0" r="16510" b="2794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C69D5D" w14:textId="664AC908" w:rsidR="005E3E9E" w:rsidRDefault="005E3E9E" w:rsidP="00E17439">
      <w:pPr>
        <w:autoSpaceDE w:val="0"/>
        <w:autoSpaceDN w:val="0"/>
        <w:adjustRightInd w:val="0"/>
        <w:snapToGrid w:val="0"/>
        <w:spacing w:after="0" w:line="360" w:lineRule="auto"/>
        <w:jc w:val="both"/>
        <w:rPr>
          <w:rFonts w:ascii="Book Antiqua" w:hAnsi="Book Antiqua" w:cstheme="minorHAnsi"/>
          <w:sz w:val="24"/>
          <w:szCs w:val="24"/>
          <w:lang w:val="en-GB" w:eastAsia="zh-CN"/>
        </w:rPr>
      </w:pPr>
      <w:r>
        <w:rPr>
          <w:rFonts w:ascii="Book Antiqua" w:hAnsi="Book Antiqua" w:cstheme="minorHAnsi" w:hint="eastAsia"/>
          <w:sz w:val="24"/>
          <w:szCs w:val="24"/>
          <w:lang w:val="en-GB" w:eastAsia="zh-CN"/>
        </w:rPr>
        <w:t>B</w:t>
      </w:r>
    </w:p>
    <w:p w14:paraId="3264F654" w14:textId="0750D42B" w:rsidR="005E3E9E" w:rsidRPr="005E3E9E" w:rsidRDefault="005E3E9E" w:rsidP="00E17439">
      <w:pPr>
        <w:autoSpaceDE w:val="0"/>
        <w:autoSpaceDN w:val="0"/>
        <w:adjustRightInd w:val="0"/>
        <w:snapToGrid w:val="0"/>
        <w:spacing w:after="0" w:line="360" w:lineRule="auto"/>
        <w:jc w:val="both"/>
        <w:rPr>
          <w:rFonts w:ascii="Book Antiqua" w:hAnsi="Book Antiqua" w:cstheme="minorHAnsi"/>
          <w:sz w:val="24"/>
          <w:szCs w:val="24"/>
          <w:lang w:val="en-GB" w:eastAsia="zh-CN"/>
        </w:rPr>
      </w:pPr>
      <w:r w:rsidRPr="00CD4428">
        <w:rPr>
          <w:rFonts w:ascii="Book Antiqua" w:eastAsia="SabonLTStd-Roman" w:hAnsi="Book Antiqua" w:cstheme="minorHAnsi"/>
          <w:noProof/>
          <w:sz w:val="24"/>
          <w:szCs w:val="24"/>
          <w:lang w:val="en-US" w:eastAsia="zh-CN"/>
        </w:rPr>
        <w:drawing>
          <wp:inline distT="0" distB="0" distL="0" distR="0" wp14:anchorId="42E83A55" wp14:editId="3E35EB5C">
            <wp:extent cx="4727276" cy="2863970"/>
            <wp:effectExtent l="0" t="0" r="16510" b="1270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852BE3" w14:textId="4C8A199E" w:rsidR="00A028A2" w:rsidRPr="005E3E9E" w:rsidRDefault="000C5B0D" w:rsidP="005E3E9E">
      <w:pPr>
        <w:autoSpaceDE w:val="0"/>
        <w:autoSpaceDN w:val="0"/>
        <w:adjustRightInd w:val="0"/>
        <w:snapToGrid w:val="0"/>
        <w:spacing w:after="0" w:line="360" w:lineRule="auto"/>
        <w:jc w:val="both"/>
        <w:rPr>
          <w:rFonts w:ascii="Book Antiqua" w:hAnsi="Book Antiqua" w:cstheme="minorHAnsi"/>
          <w:b/>
          <w:sz w:val="24"/>
          <w:szCs w:val="24"/>
          <w:lang w:val="en-GB" w:eastAsia="zh-CN"/>
        </w:rPr>
      </w:pPr>
      <w:r w:rsidRPr="00CD4428">
        <w:rPr>
          <w:rFonts w:ascii="Book Antiqua" w:eastAsia="SabonLTStd-Roman" w:hAnsi="Book Antiqua" w:cstheme="minorHAnsi"/>
          <w:b/>
          <w:sz w:val="24"/>
          <w:szCs w:val="24"/>
          <w:lang w:val="en-GB"/>
        </w:rPr>
        <w:t>Fig</w:t>
      </w:r>
      <w:r w:rsidR="00760B6C">
        <w:rPr>
          <w:rFonts w:ascii="Book Antiqua" w:hAnsi="Book Antiqua" w:cstheme="minorHAnsi" w:hint="eastAsia"/>
          <w:b/>
          <w:sz w:val="24"/>
          <w:szCs w:val="24"/>
          <w:lang w:val="en-GB" w:eastAsia="zh-CN"/>
        </w:rPr>
        <w:t xml:space="preserve">ure </w:t>
      </w:r>
      <w:proofErr w:type="gramStart"/>
      <w:r w:rsidR="00083D41" w:rsidRPr="00CD4428">
        <w:rPr>
          <w:rFonts w:ascii="Book Antiqua" w:eastAsia="SabonLTStd-Roman" w:hAnsi="Book Antiqua" w:cstheme="minorHAnsi"/>
          <w:b/>
          <w:sz w:val="24"/>
          <w:szCs w:val="24"/>
          <w:lang w:val="en-GB"/>
        </w:rPr>
        <w:t>2</w:t>
      </w:r>
      <w:proofErr w:type="gramEnd"/>
      <w:r w:rsidR="00600A6E" w:rsidRPr="00CD4428">
        <w:rPr>
          <w:rFonts w:ascii="Book Antiqua" w:hAnsi="Book Antiqua" w:cstheme="minorHAnsi"/>
          <w:b/>
          <w:sz w:val="24"/>
          <w:szCs w:val="24"/>
          <w:lang w:val="en-GB" w:eastAsia="zh-CN"/>
        </w:rPr>
        <w:t xml:space="preserve"> </w:t>
      </w:r>
      <w:r w:rsidRPr="00CD4428">
        <w:rPr>
          <w:rFonts w:ascii="Book Antiqua" w:eastAsia="SabonLTStd-Roman" w:hAnsi="Book Antiqua" w:cstheme="minorHAnsi"/>
          <w:b/>
          <w:sz w:val="24"/>
          <w:szCs w:val="24"/>
          <w:lang w:val="en-GB"/>
        </w:rPr>
        <w:t>Real-</w:t>
      </w:r>
      <w:r w:rsidR="00CB01A2" w:rsidRPr="00CD4428">
        <w:rPr>
          <w:rFonts w:ascii="Book Antiqua" w:eastAsia="SabonLTStd-Roman" w:hAnsi="Book Antiqua" w:cstheme="minorHAnsi"/>
          <w:b/>
          <w:sz w:val="24"/>
          <w:szCs w:val="24"/>
          <w:lang w:val="en-GB"/>
        </w:rPr>
        <w:t xml:space="preserve">world </w:t>
      </w:r>
      <w:r w:rsidRPr="00CD4428">
        <w:rPr>
          <w:rFonts w:ascii="Book Antiqua" w:eastAsia="SabonLTStd-Roman" w:hAnsi="Book Antiqua" w:cstheme="minorHAnsi"/>
          <w:b/>
          <w:sz w:val="24"/>
          <w:szCs w:val="24"/>
          <w:lang w:val="en-GB"/>
        </w:rPr>
        <w:t xml:space="preserve">studies with </w:t>
      </w:r>
      <w:proofErr w:type="spellStart"/>
      <w:r w:rsidRPr="00CD4428">
        <w:rPr>
          <w:rFonts w:ascii="Book Antiqua" w:eastAsia="SabonLTStd-Roman" w:hAnsi="Book Antiqua" w:cstheme="minorHAnsi"/>
          <w:b/>
          <w:sz w:val="24"/>
          <w:szCs w:val="24"/>
          <w:lang w:val="en-GB"/>
        </w:rPr>
        <w:t>vedolizumab</w:t>
      </w:r>
      <w:proofErr w:type="spellEnd"/>
      <w:r w:rsidRPr="00CD4428">
        <w:rPr>
          <w:rFonts w:ascii="Book Antiqua" w:eastAsia="SabonLTStd-Roman" w:hAnsi="Book Antiqua" w:cstheme="minorHAnsi"/>
          <w:b/>
          <w:sz w:val="24"/>
          <w:szCs w:val="24"/>
          <w:lang w:val="en-GB"/>
        </w:rPr>
        <w:t xml:space="preserve"> in </w:t>
      </w:r>
      <w:r w:rsidR="00CB01A2" w:rsidRPr="00CD4428">
        <w:rPr>
          <w:rFonts w:ascii="Book Antiqua" w:eastAsia="SabonLTStd-Roman" w:hAnsi="Book Antiqua" w:cstheme="minorHAnsi"/>
          <w:b/>
          <w:sz w:val="24"/>
          <w:szCs w:val="24"/>
          <w:lang w:val="en-GB"/>
        </w:rPr>
        <w:t xml:space="preserve">patients with </w:t>
      </w:r>
      <w:r w:rsidRPr="00CD4428">
        <w:rPr>
          <w:rFonts w:ascii="Book Antiqua" w:eastAsia="SabonLTStd-Roman" w:hAnsi="Book Antiqua" w:cstheme="minorHAnsi"/>
          <w:b/>
          <w:sz w:val="24"/>
          <w:szCs w:val="24"/>
          <w:lang w:val="en-GB"/>
        </w:rPr>
        <w:t>ulcerative colitis</w:t>
      </w:r>
      <w:r w:rsidR="005E3E9E">
        <w:rPr>
          <w:rFonts w:ascii="Book Antiqua" w:hAnsi="Book Antiqua" w:cstheme="minorHAnsi" w:hint="eastAsia"/>
          <w:b/>
          <w:sz w:val="24"/>
          <w:szCs w:val="24"/>
          <w:lang w:val="en-GB" w:eastAsia="zh-CN"/>
        </w:rPr>
        <w:t xml:space="preserve"> (A) and </w:t>
      </w:r>
      <w:r w:rsidR="005E3E9E" w:rsidRPr="00CD4428">
        <w:rPr>
          <w:rFonts w:ascii="Book Antiqua" w:eastAsia="SabonLTStd-Roman" w:hAnsi="Book Antiqua" w:cstheme="minorHAnsi"/>
          <w:b/>
          <w:sz w:val="24"/>
          <w:szCs w:val="24"/>
          <w:lang w:val="en-GB"/>
        </w:rPr>
        <w:t>Crohn’s disease</w:t>
      </w:r>
      <w:r w:rsidR="005E3E9E">
        <w:rPr>
          <w:rFonts w:ascii="Book Antiqua" w:hAnsi="Book Antiqua" w:cstheme="minorHAnsi" w:hint="eastAsia"/>
          <w:b/>
          <w:sz w:val="24"/>
          <w:szCs w:val="24"/>
          <w:lang w:val="en-GB" w:eastAsia="zh-CN"/>
        </w:rPr>
        <w:t xml:space="preserve"> (</w:t>
      </w:r>
      <w:r w:rsidR="005E3E9E" w:rsidRPr="005E3E9E">
        <w:rPr>
          <w:rFonts w:ascii="Book Antiqua" w:hAnsi="Book Antiqua" w:cstheme="minorHAnsi" w:hint="eastAsia"/>
          <w:b/>
          <w:caps/>
          <w:sz w:val="24"/>
          <w:szCs w:val="24"/>
          <w:lang w:val="en-GB" w:eastAsia="zh-CN"/>
        </w:rPr>
        <w:t>b</w:t>
      </w:r>
      <w:r w:rsidR="005E3E9E">
        <w:rPr>
          <w:rFonts w:ascii="Book Antiqua" w:hAnsi="Book Antiqua" w:cstheme="minorHAnsi" w:hint="eastAsia"/>
          <w:b/>
          <w:sz w:val="24"/>
          <w:szCs w:val="24"/>
          <w:lang w:val="en-GB" w:eastAsia="zh-CN"/>
        </w:rPr>
        <w:t>)</w:t>
      </w:r>
      <w:r w:rsidR="00AF7E5B" w:rsidRPr="00CD4428">
        <w:rPr>
          <w:rFonts w:ascii="Book Antiqua" w:eastAsia="SabonLTStd-Roman" w:hAnsi="Book Antiqua" w:cstheme="minorHAnsi"/>
          <w:b/>
          <w:sz w:val="24"/>
          <w:szCs w:val="24"/>
          <w:lang w:val="en-GB"/>
        </w:rPr>
        <w:t xml:space="preserve">: </w:t>
      </w:r>
      <w:r w:rsidR="00AF7E5B" w:rsidRPr="005E3E9E">
        <w:rPr>
          <w:rFonts w:ascii="Book Antiqua" w:eastAsia="SabonLTStd-Roman" w:hAnsi="Book Antiqua" w:cstheme="minorHAnsi"/>
          <w:b/>
          <w:caps/>
          <w:sz w:val="24"/>
          <w:szCs w:val="24"/>
          <w:lang w:val="en-GB"/>
        </w:rPr>
        <w:t>r</w:t>
      </w:r>
      <w:r w:rsidR="00AF7E5B" w:rsidRPr="00CD4428">
        <w:rPr>
          <w:rFonts w:ascii="Book Antiqua" w:eastAsia="SabonLTStd-Roman" w:hAnsi="Book Antiqua" w:cstheme="minorHAnsi"/>
          <w:b/>
          <w:sz w:val="24"/>
          <w:szCs w:val="24"/>
          <w:lang w:val="en-GB"/>
        </w:rPr>
        <w:t>esults at week 14</w:t>
      </w:r>
      <w:r w:rsidR="00760B6C">
        <w:rPr>
          <w:rFonts w:ascii="Book Antiqua" w:hAnsi="Book Antiqua" w:cstheme="minorHAnsi" w:hint="eastAsia"/>
          <w:b/>
          <w:sz w:val="24"/>
          <w:szCs w:val="24"/>
          <w:lang w:val="en-GB" w:eastAsia="zh-CN"/>
        </w:rPr>
        <w:t>.</w:t>
      </w:r>
    </w:p>
    <w:sectPr w:rsidR="00A028A2" w:rsidRPr="005E3E9E">
      <w:headerReference w:type="default" r:id="rId13"/>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43D0CB" w16cid:durableId="1E60E257"/>
  <w16cid:commentId w16cid:paraId="6C3E8121" w16cid:durableId="1E60E258"/>
  <w16cid:commentId w16cid:paraId="34ECCC32" w16cid:durableId="1E60E259"/>
  <w16cid:commentId w16cid:paraId="5C68717C" w16cid:durableId="1E60E2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24039" w14:textId="77777777" w:rsidR="00BD7A87" w:rsidRDefault="00BD7A87" w:rsidP="005B391D">
      <w:pPr>
        <w:spacing w:after="0" w:line="240" w:lineRule="auto"/>
      </w:pPr>
      <w:r>
        <w:separator/>
      </w:r>
    </w:p>
  </w:endnote>
  <w:endnote w:type="continuationSeparator" w:id="0">
    <w:p w14:paraId="44E5EF88" w14:textId="77777777" w:rsidR="00BD7A87" w:rsidRDefault="00BD7A87" w:rsidP="005B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ill Sans MT">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SabonLTStd-Roman">
    <w:altName w:val="MS Gothic"/>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B9316" w14:textId="77777777" w:rsidR="00BD7A87" w:rsidRDefault="00BD7A87" w:rsidP="005B391D">
      <w:pPr>
        <w:spacing w:after="0" w:line="240" w:lineRule="auto"/>
      </w:pPr>
      <w:r>
        <w:separator/>
      </w:r>
    </w:p>
  </w:footnote>
  <w:footnote w:type="continuationSeparator" w:id="0">
    <w:p w14:paraId="2F945E14" w14:textId="77777777" w:rsidR="00BD7A87" w:rsidRDefault="00BD7A87" w:rsidP="005B3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6CEF2" w14:textId="77777777" w:rsidR="00493066" w:rsidRDefault="004930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216DF"/>
    <w:multiLevelType w:val="hybridMultilevel"/>
    <w:tmpl w:val="FBB4BA06"/>
    <w:lvl w:ilvl="0" w:tplc="A9F0DD2E">
      <w:start w:val="1"/>
      <w:numFmt w:val="decimal"/>
      <w:lvlText w:val="%1."/>
      <w:lvlJc w:val="righ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A23846"/>
    <w:multiLevelType w:val="hybridMultilevel"/>
    <w:tmpl w:val="45F8A1C8"/>
    <w:lvl w:ilvl="0" w:tplc="A9F0DD2E">
      <w:start w:val="1"/>
      <w:numFmt w:val="decimal"/>
      <w:lvlText w:val="%1."/>
      <w:lvlJc w:val="righ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FF4013"/>
    <w:multiLevelType w:val="hybridMultilevel"/>
    <w:tmpl w:val="C8BEC6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E493796"/>
    <w:multiLevelType w:val="hybridMultilevel"/>
    <w:tmpl w:val="58EA6F84"/>
    <w:lvl w:ilvl="0" w:tplc="813C596E">
      <w:start w:val="1"/>
      <w:numFmt w:val="decimal"/>
      <w:lvlText w:val="%1."/>
      <w:lvlJc w:val="righ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994232C"/>
    <w:multiLevelType w:val="hybridMultilevel"/>
    <w:tmpl w:val="BC9665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n-GB" w:vendorID="64" w:dllVersion="4096" w:nlCheck="1" w:checkStyle="0"/>
  <w:activeWritingStyle w:appName="MSWord" w:lang="it-IT" w:vendorID="64" w:dllVersion="4096" w:nlCheck="1" w:checkStyle="0"/>
  <w:activeWritingStyle w:appName="MSWord" w:lang="es-ES" w:vendorID="64" w:dllVersion="6" w:nlCheck="1" w:checkStyle="1"/>
  <w:activeWritingStyle w:appName="MSWord" w:lang="en-GB" w:vendorID="64" w:dllVersion="131078" w:nlCheck="1" w:checkStyle="0"/>
  <w:activeWritingStyle w:appName="MSWord" w:lang="it-IT" w:vendorID="64" w:dllVersion="131078" w:nlCheck="1" w:checkStyle="0"/>
  <w:activeWritingStyle w:appName="MSWord" w:lang="en-US" w:vendorID="64" w:dllVersion="131078"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86"/>
    <w:rsid w:val="00003717"/>
    <w:rsid w:val="000043FC"/>
    <w:rsid w:val="000071F5"/>
    <w:rsid w:val="00007266"/>
    <w:rsid w:val="00007556"/>
    <w:rsid w:val="00007A96"/>
    <w:rsid w:val="00013A2B"/>
    <w:rsid w:val="0002136D"/>
    <w:rsid w:val="0002356B"/>
    <w:rsid w:val="0002480F"/>
    <w:rsid w:val="0002546F"/>
    <w:rsid w:val="00025FBE"/>
    <w:rsid w:val="00027458"/>
    <w:rsid w:val="00031461"/>
    <w:rsid w:val="00031E5A"/>
    <w:rsid w:val="00032026"/>
    <w:rsid w:val="00032E5F"/>
    <w:rsid w:val="00037343"/>
    <w:rsid w:val="000523B9"/>
    <w:rsid w:val="000540B9"/>
    <w:rsid w:val="00054575"/>
    <w:rsid w:val="00062F81"/>
    <w:rsid w:val="000634F9"/>
    <w:rsid w:val="00063B89"/>
    <w:rsid w:val="00066459"/>
    <w:rsid w:val="000667B5"/>
    <w:rsid w:val="00066AD8"/>
    <w:rsid w:val="00074606"/>
    <w:rsid w:val="0007488B"/>
    <w:rsid w:val="00080D53"/>
    <w:rsid w:val="00082B68"/>
    <w:rsid w:val="00083D41"/>
    <w:rsid w:val="00083DF8"/>
    <w:rsid w:val="00084DA9"/>
    <w:rsid w:val="00084E26"/>
    <w:rsid w:val="000852D5"/>
    <w:rsid w:val="00090A15"/>
    <w:rsid w:val="00091977"/>
    <w:rsid w:val="0009331C"/>
    <w:rsid w:val="000979D2"/>
    <w:rsid w:val="000A152B"/>
    <w:rsid w:val="000A15CB"/>
    <w:rsid w:val="000A247A"/>
    <w:rsid w:val="000A256E"/>
    <w:rsid w:val="000A2B76"/>
    <w:rsid w:val="000A4B6B"/>
    <w:rsid w:val="000A6ED5"/>
    <w:rsid w:val="000B0B24"/>
    <w:rsid w:val="000B75B8"/>
    <w:rsid w:val="000B7C8E"/>
    <w:rsid w:val="000C5B0D"/>
    <w:rsid w:val="000D1C7B"/>
    <w:rsid w:val="000D3CF9"/>
    <w:rsid w:val="000E0DF8"/>
    <w:rsid w:val="000E0FEB"/>
    <w:rsid w:val="000E20FC"/>
    <w:rsid w:val="000F2E69"/>
    <w:rsid w:val="001009D3"/>
    <w:rsid w:val="00107D00"/>
    <w:rsid w:val="00112160"/>
    <w:rsid w:val="00115D4A"/>
    <w:rsid w:val="00116909"/>
    <w:rsid w:val="001172D3"/>
    <w:rsid w:val="00117BE4"/>
    <w:rsid w:val="00120E40"/>
    <w:rsid w:val="00121E29"/>
    <w:rsid w:val="001236C2"/>
    <w:rsid w:val="001313D1"/>
    <w:rsid w:val="00134796"/>
    <w:rsid w:val="00141094"/>
    <w:rsid w:val="00143651"/>
    <w:rsid w:val="00145792"/>
    <w:rsid w:val="0014654C"/>
    <w:rsid w:val="00147112"/>
    <w:rsid w:val="00150826"/>
    <w:rsid w:val="001514BA"/>
    <w:rsid w:val="00154AA9"/>
    <w:rsid w:val="00155B38"/>
    <w:rsid w:val="00160F67"/>
    <w:rsid w:val="001615C8"/>
    <w:rsid w:val="00162411"/>
    <w:rsid w:val="001668BA"/>
    <w:rsid w:val="00170FDE"/>
    <w:rsid w:val="00171F99"/>
    <w:rsid w:val="0017213B"/>
    <w:rsid w:val="00175993"/>
    <w:rsid w:val="0017653C"/>
    <w:rsid w:val="00176EBE"/>
    <w:rsid w:val="0017791E"/>
    <w:rsid w:val="00181BFB"/>
    <w:rsid w:val="00183FF7"/>
    <w:rsid w:val="001853E8"/>
    <w:rsid w:val="00190C48"/>
    <w:rsid w:val="001A02DB"/>
    <w:rsid w:val="001A0C9B"/>
    <w:rsid w:val="001A38BC"/>
    <w:rsid w:val="001A4581"/>
    <w:rsid w:val="001A7D20"/>
    <w:rsid w:val="001B614E"/>
    <w:rsid w:val="001B6968"/>
    <w:rsid w:val="001B7472"/>
    <w:rsid w:val="001B78BE"/>
    <w:rsid w:val="001B7AC5"/>
    <w:rsid w:val="001C089A"/>
    <w:rsid w:val="001C208A"/>
    <w:rsid w:val="001C2E38"/>
    <w:rsid w:val="001C35B2"/>
    <w:rsid w:val="001C3F97"/>
    <w:rsid w:val="001C7A31"/>
    <w:rsid w:val="001D02D9"/>
    <w:rsid w:val="001D0685"/>
    <w:rsid w:val="001D3151"/>
    <w:rsid w:val="001D5922"/>
    <w:rsid w:val="001D592C"/>
    <w:rsid w:val="001D69E0"/>
    <w:rsid w:val="001D70DC"/>
    <w:rsid w:val="001E1BB7"/>
    <w:rsid w:val="001E4149"/>
    <w:rsid w:val="001E740F"/>
    <w:rsid w:val="001F1799"/>
    <w:rsid w:val="001F33ED"/>
    <w:rsid w:val="001F4C46"/>
    <w:rsid w:val="001F61F9"/>
    <w:rsid w:val="002004F6"/>
    <w:rsid w:val="002017AD"/>
    <w:rsid w:val="00202634"/>
    <w:rsid w:val="00203BC1"/>
    <w:rsid w:val="00211024"/>
    <w:rsid w:val="00217BE7"/>
    <w:rsid w:val="002203D3"/>
    <w:rsid w:val="0023346F"/>
    <w:rsid w:val="00234ABB"/>
    <w:rsid w:val="002359D1"/>
    <w:rsid w:val="0023658A"/>
    <w:rsid w:val="00236FAD"/>
    <w:rsid w:val="0024023C"/>
    <w:rsid w:val="00240A03"/>
    <w:rsid w:val="00242B58"/>
    <w:rsid w:val="00243A1E"/>
    <w:rsid w:val="002452EB"/>
    <w:rsid w:val="00247043"/>
    <w:rsid w:val="002532B8"/>
    <w:rsid w:val="00254DF9"/>
    <w:rsid w:val="00255AD6"/>
    <w:rsid w:val="0026071E"/>
    <w:rsid w:val="002608F2"/>
    <w:rsid w:val="00264196"/>
    <w:rsid w:val="00265F12"/>
    <w:rsid w:val="00270E57"/>
    <w:rsid w:val="002750C7"/>
    <w:rsid w:val="00280846"/>
    <w:rsid w:val="002816DC"/>
    <w:rsid w:val="00286EC1"/>
    <w:rsid w:val="002917FB"/>
    <w:rsid w:val="00295AEF"/>
    <w:rsid w:val="002965FF"/>
    <w:rsid w:val="002A2688"/>
    <w:rsid w:val="002A394E"/>
    <w:rsid w:val="002A5EB5"/>
    <w:rsid w:val="002A5F3F"/>
    <w:rsid w:val="002A6526"/>
    <w:rsid w:val="002A7532"/>
    <w:rsid w:val="002B1D19"/>
    <w:rsid w:val="002B1D69"/>
    <w:rsid w:val="002B440C"/>
    <w:rsid w:val="002B6B7A"/>
    <w:rsid w:val="002B7DD2"/>
    <w:rsid w:val="002C0452"/>
    <w:rsid w:val="002C2358"/>
    <w:rsid w:val="002C40AC"/>
    <w:rsid w:val="002C43C9"/>
    <w:rsid w:val="002C580C"/>
    <w:rsid w:val="002C58E2"/>
    <w:rsid w:val="002D0062"/>
    <w:rsid w:val="002D207C"/>
    <w:rsid w:val="002D4248"/>
    <w:rsid w:val="002E0420"/>
    <w:rsid w:val="002E28CC"/>
    <w:rsid w:val="002E4D4C"/>
    <w:rsid w:val="002E4FDF"/>
    <w:rsid w:val="002E6CDB"/>
    <w:rsid w:val="002E7D1E"/>
    <w:rsid w:val="002F40E1"/>
    <w:rsid w:val="00300962"/>
    <w:rsid w:val="00303132"/>
    <w:rsid w:val="003036F8"/>
    <w:rsid w:val="00304733"/>
    <w:rsid w:val="003075EA"/>
    <w:rsid w:val="0030765A"/>
    <w:rsid w:val="00307CB6"/>
    <w:rsid w:val="00310041"/>
    <w:rsid w:val="003111BF"/>
    <w:rsid w:val="00312D3D"/>
    <w:rsid w:val="00320AEC"/>
    <w:rsid w:val="00321822"/>
    <w:rsid w:val="00321A60"/>
    <w:rsid w:val="00325D99"/>
    <w:rsid w:val="003309A1"/>
    <w:rsid w:val="00330C68"/>
    <w:rsid w:val="0033225C"/>
    <w:rsid w:val="00332ADF"/>
    <w:rsid w:val="00332F4A"/>
    <w:rsid w:val="00335AEC"/>
    <w:rsid w:val="00335F62"/>
    <w:rsid w:val="00343CFD"/>
    <w:rsid w:val="00346917"/>
    <w:rsid w:val="0034738B"/>
    <w:rsid w:val="00347BDE"/>
    <w:rsid w:val="00347DAD"/>
    <w:rsid w:val="00351C90"/>
    <w:rsid w:val="00352611"/>
    <w:rsid w:val="003526DB"/>
    <w:rsid w:val="00352756"/>
    <w:rsid w:val="00352E4F"/>
    <w:rsid w:val="00353C6D"/>
    <w:rsid w:val="00354B48"/>
    <w:rsid w:val="00355D74"/>
    <w:rsid w:val="00357616"/>
    <w:rsid w:val="003606F2"/>
    <w:rsid w:val="00360DF8"/>
    <w:rsid w:val="00361CF4"/>
    <w:rsid w:val="00363E3F"/>
    <w:rsid w:val="0036441E"/>
    <w:rsid w:val="0036506C"/>
    <w:rsid w:val="003654F9"/>
    <w:rsid w:val="00373B2F"/>
    <w:rsid w:val="003753DE"/>
    <w:rsid w:val="00380319"/>
    <w:rsid w:val="003804E1"/>
    <w:rsid w:val="003805FA"/>
    <w:rsid w:val="003869BE"/>
    <w:rsid w:val="00396772"/>
    <w:rsid w:val="003974FD"/>
    <w:rsid w:val="003A180E"/>
    <w:rsid w:val="003A262A"/>
    <w:rsid w:val="003A2AD8"/>
    <w:rsid w:val="003A4931"/>
    <w:rsid w:val="003A4F82"/>
    <w:rsid w:val="003A52EF"/>
    <w:rsid w:val="003A595F"/>
    <w:rsid w:val="003B071A"/>
    <w:rsid w:val="003B1F1C"/>
    <w:rsid w:val="003B4A93"/>
    <w:rsid w:val="003B52F4"/>
    <w:rsid w:val="003B546C"/>
    <w:rsid w:val="003B68C5"/>
    <w:rsid w:val="003B73CE"/>
    <w:rsid w:val="003C1C02"/>
    <w:rsid w:val="003C3D7C"/>
    <w:rsid w:val="003C5FE0"/>
    <w:rsid w:val="003D0928"/>
    <w:rsid w:val="003D1F34"/>
    <w:rsid w:val="003D2981"/>
    <w:rsid w:val="003D481A"/>
    <w:rsid w:val="003D4C2E"/>
    <w:rsid w:val="003D7C3D"/>
    <w:rsid w:val="003E176E"/>
    <w:rsid w:val="003E1972"/>
    <w:rsid w:val="003E3C77"/>
    <w:rsid w:val="003E66E1"/>
    <w:rsid w:val="003F1D0D"/>
    <w:rsid w:val="003F6038"/>
    <w:rsid w:val="003F73F5"/>
    <w:rsid w:val="003F741E"/>
    <w:rsid w:val="0040358B"/>
    <w:rsid w:val="004073EB"/>
    <w:rsid w:val="00411BBB"/>
    <w:rsid w:val="00412C36"/>
    <w:rsid w:val="00420056"/>
    <w:rsid w:val="00420344"/>
    <w:rsid w:val="004208C8"/>
    <w:rsid w:val="00422295"/>
    <w:rsid w:val="004249E8"/>
    <w:rsid w:val="00425251"/>
    <w:rsid w:val="004325F3"/>
    <w:rsid w:val="00432BBD"/>
    <w:rsid w:val="004342B6"/>
    <w:rsid w:val="004406BE"/>
    <w:rsid w:val="00440D84"/>
    <w:rsid w:val="004428BA"/>
    <w:rsid w:val="004430F7"/>
    <w:rsid w:val="0044678B"/>
    <w:rsid w:val="0044690F"/>
    <w:rsid w:val="00446924"/>
    <w:rsid w:val="004469B4"/>
    <w:rsid w:val="00447895"/>
    <w:rsid w:val="004509D0"/>
    <w:rsid w:val="004514CE"/>
    <w:rsid w:val="00454B00"/>
    <w:rsid w:val="00455A6F"/>
    <w:rsid w:val="00455D75"/>
    <w:rsid w:val="00456E51"/>
    <w:rsid w:val="0046029E"/>
    <w:rsid w:val="00462428"/>
    <w:rsid w:val="00463D46"/>
    <w:rsid w:val="004648D7"/>
    <w:rsid w:val="00466806"/>
    <w:rsid w:val="00470417"/>
    <w:rsid w:val="00472842"/>
    <w:rsid w:val="00474343"/>
    <w:rsid w:val="004751DA"/>
    <w:rsid w:val="00475858"/>
    <w:rsid w:val="0047754B"/>
    <w:rsid w:val="004779A3"/>
    <w:rsid w:val="00480ADF"/>
    <w:rsid w:val="00483069"/>
    <w:rsid w:val="00484B23"/>
    <w:rsid w:val="00490AE2"/>
    <w:rsid w:val="00493066"/>
    <w:rsid w:val="00497001"/>
    <w:rsid w:val="0049759A"/>
    <w:rsid w:val="004A3514"/>
    <w:rsid w:val="004A3672"/>
    <w:rsid w:val="004A4526"/>
    <w:rsid w:val="004A4837"/>
    <w:rsid w:val="004A5EF4"/>
    <w:rsid w:val="004A75D5"/>
    <w:rsid w:val="004B0916"/>
    <w:rsid w:val="004B2CB9"/>
    <w:rsid w:val="004B53A9"/>
    <w:rsid w:val="004B6722"/>
    <w:rsid w:val="004C0950"/>
    <w:rsid w:val="004C115F"/>
    <w:rsid w:val="004C3E54"/>
    <w:rsid w:val="004C4E79"/>
    <w:rsid w:val="004C65BE"/>
    <w:rsid w:val="004C6CA1"/>
    <w:rsid w:val="004D18AD"/>
    <w:rsid w:val="004D258D"/>
    <w:rsid w:val="004D5C43"/>
    <w:rsid w:val="004D5E05"/>
    <w:rsid w:val="004D5FEE"/>
    <w:rsid w:val="004D69BC"/>
    <w:rsid w:val="004E1AF3"/>
    <w:rsid w:val="004E237B"/>
    <w:rsid w:val="004E2888"/>
    <w:rsid w:val="004E2A68"/>
    <w:rsid w:val="004E6E76"/>
    <w:rsid w:val="004F0735"/>
    <w:rsid w:val="004F52E0"/>
    <w:rsid w:val="004F6021"/>
    <w:rsid w:val="004F6ADB"/>
    <w:rsid w:val="004F789C"/>
    <w:rsid w:val="0051086E"/>
    <w:rsid w:val="0051433C"/>
    <w:rsid w:val="00515CF7"/>
    <w:rsid w:val="0051703F"/>
    <w:rsid w:val="00517B53"/>
    <w:rsid w:val="0052122C"/>
    <w:rsid w:val="005232FF"/>
    <w:rsid w:val="005237D9"/>
    <w:rsid w:val="00527460"/>
    <w:rsid w:val="0052757B"/>
    <w:rsid w:val="00527B2E"/>
    <w:rsid w:val="00530928"/>
    <w:rsid w:val="00533715"/>
    <w:rsid w:val="005349E5"/>
    <w:rsid w:val="00535527"/>
    <w:rsid w:val="00536C15"/>
    <w:rsid w:val="00537FF8"/>
    <w:rsid w:val="005408AD"/>
    <w:rsid w:val="0054731E"/>
    <w:rsid w:val="0055663D"/>
    <w:rsid w:val="0055666D"/>
    <w:rsid w:val="00561BC0"/>
    <w:rsid w:val="005636EE"/>
    <w:rsid w:val="005639FC"/>
    <w:rsid w:val="00563C53"/>
    <w:rsid w:val="0056543D"/>
    <w:rsid w:val="00565F86"/>
    <w:rsid w:val="005676E0"/>
    <w:rsid w:val="00567AD5"/>
    <w:rsid w:val="005735ED"/>
    <w:rsid w:val="00573F17"/>
    <w:rsid w:val="00574A3E"/>
    <w:rsid w:val="00575625"/>
    <w:rsid w:val="00577329"/>
    <w:rsid w:val="0058521B"/>
    <w:rsid w:val="005857FB"/>
    <w:rsid w:val="00590110"/>
    <w:rsid w:val="005951CD"/>
    <w:rsid w:val="00597350"/>
    <w:rsid w:val="005A1845"/>
    <w:rsid w:val="005A52D4"/>
    <w:rsid w:val="005B2858"/>
    <w:rsid w:val="005B391D"/>
    <w:rsid w:val="005B50ED"/>
    <w:rsid w:val="005B55A4"/>
    <w:rsid w:val="005B6775"/>
    <w:rsid w:val="005C02DF"/>
    <w:rsid w:val="005C087C"/>
    <w:rsid w:val="005C106A"/>
    <w:rsid w:val="005C1925"/>
    <w:rsid w:val="005C33E1"/>
    <w:rsid w:val="005C6A44"/>
    <w:rsid w:val="005C79B8"/>
    <w:rsid w:val="005D2360"/>
    <w:rsid w:val="005D340A"/>
    <w:rsid w:val="005D3B0B"/>
    <w:rsid w:val="005D4B2A"/>
    <w:rsid w:val="005D6491"/>
    <w:rsid w:val="005D65F7"/>
    <w:rsid w:val="005D68E2"/>
    <w:rsid w:val="005E09CA"/>
    <w:rsid w:val="005E303C"/>
    <w:rsid w:val="005E37CF"/>
    <w:rsid w:val="005E3E9E"/>
    <w:rsid w:val="005E5D85"/>
    <w:rsid w:val="005E7F65"/>
    <w:rsid w:val="005F03FC"/>
    <w:rsid w:val="005F1495"/>
    <w:rsid w:val="005F3087"/>
    <w:rsid w:val="005F35BF"/>
    <w:rsid w:val="005F37A2"/>
    <w:rsid w:val="005F7979"/>
    <w:rsid w:val="00600A6E"/>
    <w:rsid w:val="006028F5"/>
    <w:rsid w:val="006078D2"/>
    <w:rsid w:val="00611DE8"/>
    <w:rsid w:val="00613491"/>
    <w:rsid w:val="00613C39"/>
    <w:rsid w:val="00614FE5"/>
    <w:rsid w:val="006157CD"/>
    <w:rsid w:val="006200F1"/>
    <w:rsid w:val="00620CF5"/>
    <w:rsid w:val="0062124E"/>
    <w:rsid w:val="006233A2"/>
    <w:rsid w:val="006237F0"/>
    <w:rsid w:val="00625DD4"/>
    <w:rsid w:val="006274C9"/>
    <w:rsid w:val="006439F1"/>
    <w:rsid w:val="0064483C"/>
    <w:rsid w:val="0065028B"/>
    <w:rsid w:val="00650741"/>
    <w:rsid w:val="00650F2D"/>
    <w:rsid w:val="00652548"/>
    <w:rsid w:val="00654C5E"/>
    <w:rsid w:val="00655F6A"/>
    <w:rsid w:val="00656291"/>
    <w:rsid w:val="00656D2E"/>
    <w:rsid w:val="00660D6A"/>
    <w:rsid w:val="006613CD"/>
    <w:rsid w:val="00662299"/>
    <w:rsid w:val="006633D9"/>
    <w:rsid w:val="006634A6"/>
    <w:rsid w:val="00670193"/>
    <w:rsid w:val="00675FA6"/>
    <w:rsid w:val="00676993"/>
    <w:rsid w:val="00677F47"/>
    <w:rsid w:val="00682DA6"/>
    <w:rsid w:val="006844E0"/>
    <w:rsid w:val="00684530"/>
    <w:rsid w:val="00686E39"/>
    <w:rsid w:val="00687670"/>
    <w:rsid w:val="00690924"/>
    <w:rsid w:val="00692698"/>
    <w:rsid w:val="006948A0"/>
    <w:rsid w:val="006A1B0A"/>
    <w:rsid w:val="006A2385"/>
    <w:rsid w:val="006A792E"/>
    <w:rsid w:val="006A7BD9"/>
    <w:rsid w:val="006B2B5A"/>
    <w:rsid w:val="006B2C06"/>
    <w:rsid w:val="006B555B"/>
    <w:rsid w:val="006B661C"/>
    <w:rsid w:val="006B7B93"/>
    <w:rsid w:val="006C15C5"/>
    <w:rsid w:val="006D013B"/>
    <w:rsid w:val="006D135A"/>
    <w:rsid w:val="006D7985"/>
    <w:rsid w:val="006E08BF"/>
    <w:rsid w:val="006E0E51"/>
    <w:rsid w:val="006E188D"/>
    <w:rsid w:val="006E1BB6"/>
    <w:rsid w:val="006E240B"/>
    <w:rsid w:val="006E636B"/>
    <w:rsid w:val="006F1DF5"/>
    <w:rsid w:val="006F2E42"/>
    <w:rsid w:val="006F7785"/>
    <w:rsid w:val="006F7FDC"/>
    <w:rsid w:val="00702E39"/>
    <w:rsid w:val="00702EDA"/>
    <w:rsid w:val="00703BEB"/>
    <w:rsid w:val="00705709"/>
    <w:rsid w:val="00705D5D"/>
    <w:rsid w:val="00707A25"/>
    <w:rsid w:val="007107F8"/>
    <w:rsid w:val="0071107D"/>
    <w:rsid w:val="00711423"/>
    <w:rsid w:val="00716108"/>
    <w:rsid w:val="00717918"/>
    <w:rsid w:val="007214A2"/>
    <w:rsid w:val="007265A7"/>
    <w:rsid w:val="00731C86"/>
    <w:rsid w:val="00732523"/>
    <w:rsid w:val="00733070"/>
    <w:rsid w:val="00733865"/>
    <w:rsid w:val="007340F0"/>
    <w:rsid w:val="00734F39"/>
    <w:rsid w:val="00735DC7"/>
    <w:rsid w:val="007414B2"/>
    <w:rsid w:val="0074165B"/>
    <w:rsid w:val="00743981"/>
    <w:rsid w:val="007444A0"/>
    <w:rsid w:val="00744B92"/>
    <w:rsid w:val="007450B5"/>
    <w:rsid w:val="00747498"/>
    <w:rsid w:val="007476F4"/>
    <w:rsid w:val="00752531"/>
    <w:rsid w:val="00753B61"/>
    <w:rsid w:val="007559E0"/>
    <w:rsid w:val="00756CC2"/>
    <w:rsid w:val="0075753A"/>
    <w:rsid w:val="00760B6C"/>
    <w:rsid w:val="007638F0"/>
    <w:rsid w:val="007759CC"/>
    <w:rsid w:val="00776B3F"/>
    <w:rsid w:val="00786830"/>
    <w:rsid w:val="007877D0"/>
    <w:rsid w:val="00796496"/>
    <w:rsid w:val="00796BF8"/>
    <w:rsid w:val="007A031C"/>
    <w:rsid w:val="007A1832"/>
    <w:rsid w:val="007A292C"/>
    <w:rsid w:val="007A37E1"/>
    <w:rsid w:val="007A48DA"/>
    <w:rsid w:val="007A60F8"/>
    <w:rsid w:val="007A7B32"/>
    <w:rsid w:val="007B0C6B"/>
    <w:rsid w:val="007B26F0"/>
    <w:rsid w:val="007B4CBC"/>
    <w:rsid w:val="007B4F79"/>
    <w:rsid w:val="007C0464"/>
    <w:rsid w:val="007C0552"/>
    <w:rsid w:val="007C1BB6"/>
    <w:rsid w:val="007C2D83"/>
    <w:rsid w:val="007C4A79"/>
    <w:rsid w:val="007C5844"/>
    <w:rsid w:val="007C6335"/>
    <w:rsid w:val="007C6557"/>
    <w:rsid w:val="007D0420"/>
    <w:rsid w:val="007D1127"/>
    <w:rsid w:val="007D4786"/>
    <w:rsid w:val="007D54CD"/>
    <w:rsid w:val="007D6110"/>
    <w:rsid w:val="007D65AA"/>
    <w:rsid w:val="007E299E"/>
    <w:rsid w:val="007E3A76"/>
    <w:rsid w:val="007E3E0D"/>
    <w:rsid w:val="007E4DF9"/>
    <w:rsid w:val="007E722B"/>
    <w:rsid w:val="007E7424"/>
    <w:rsid w:val="007F157F"/>
    <w:rsid w:val="007F5771"/>
    <w:rsid w:val="007F5ECC"/>
    <w:rsid w:val="007F67F6"/>
    <w:rsid w:val="007F7779"/>
    <w:rsid w:val="00801123"/>
    <w:rsid w:val="008051BD"/>
    <w:rsid w:val="00807FE3"/>
    <w:rsid w:val="00810326"/>
    <w:rsid w:val="008103AB"/>
    <w:rsid w:val="00814403"/>
    <w:rsid w:val="0081653E"/>
    <w:rsid w:val="00816E09"/>
    <w:rsid w:val="008239AA"/>
    <w:rsid w:val="00827FD7"/>
    <w:rsid w:val="00834467"/>
    <w:rsid w:val="0083740B"/>
    <w:rsid w:val="0084329B"/>
    <w:rsid w:val="00843DF7"/>
    <w:rsid w:val="00844D76"/>
    <w:rsid w:val="008469D4"/>
    <w:rsid w:val="0085009E"/>
    <w:rsid w:val="00852D14"/>
    <w:rsid w:val="00857DD4"/>
    <w:rsid w:val="00857E9D"/>
    <w:rsid w:val="00860036"/>
    <w:rsid w:val="00860DBF"/>
    <w:rsid w:val="00861826"/>
    <w:rsid w:val="00862555"/>
    <w:rsid w:val="00864A98"/>
    <w:rsid w:val="00864C1A"/>
    <w:rsid w:val="00864C21"/>
    <w:rsid w:val="008659F5"/>
    <w:rsid w:val="00866912"/>
    <w:rsid w:val="00870E52"/>
    <w:rsid w:val="00874182"/>
    <w:rsid w:val="00875F84"/>
    <w:rsid w:val="0087614B"/>
    <w:rsid w:val="00876275"/>
    <w:rsid w:val="00880708"/>
    <w:rsid w:val="008812DE"/>
    <w:rsid w:val="0088600F"/>
    <w:rsid w:val="00887C66"/>
    <w:rsid w:val="00892497"/>
    <w:rsid w:val="0089318E"/>
    <w:rsid w:val="008931F9"/>
    <w:rsid w:val="00895C5C"/>
    <w:rsid w:val="00896F7C"/>
    <w:rsid w:val="008A3735"/>
    <w:rsid w:val="008A3E80"/>
    <w:rsid w:val="008A650A"/>
    <w:rsid w:val="008B06B2"/>
    <w:rsid w:val="008B3E3B"/>
    <w:rsid w:val="008C034D"/>
    <w:rsid w:val="008C17A9"/>
    <w:rsid w:val="008C3AB5"/>
    <w:rsid w:val="008C3CD4"/>
    <w:rsid w:val="008D0712"/>
    <w:rsid w:val="008D319B"/>
    <w:rsid w:val="008D3381"/>
    <w:rsid w:val="008D37A9"/>
    <w:rsid w:val="008D53A9"/>
    <w:rsid w:val="008D5CE0"/>
    <w:rsid w:val="008D7013"/>
    <w:rsid w:val="008E3285"/>
    <w:rsid w:val="008E60CB"/>
    <w:rsid w:val="008E7515"/>
    <w:rsid w:val="008E7E8E"/>
    <w:rsid w:val="008F074E"/>
    <w:rsid w:val="008F3E9D"/>
    <w:rsid w:val="008F63D6"/>
    <w:rsid w:val="0090365F"/>
    <w:rsid w:val="00906047"/>
    <w:rsid w:val="00906DC0"/>
    <w:rsid w:val="009108C7"/>
    <w:rsid w:val="00912B8B"/>
    <w:rsid w:val="009132F2"/>
    <w:rsid w:val="009147EC"/>
    <w:rsid w:val="00915ADA"/>
    <w:rsid w:val="00916B30"/>
    <w:rsid w:val="009274BF"/>
    <w:rsid w:val="00927E2D"/>
    <w:rsid w:val="00933EE8"/>
    <w:rsid w:val="00935BAD"/>
    <w:rsid w:val="00936E0F"/>
    <w:rsid w:val="009374CA"/>
    <w:rsid w:val="00937C12"/>
    <w:rsid w:val="009426AA"/>
    <w:rsid w:val="009513C7"/>
    <w:rsid w:val="0096321C"/>
    <w:rsid w:val="00965359"/>
    <w:rsid w:val="00965A93"/>
    <w:rsid w:val="00970340"/>
    <w:rsid w:val="00970BBE"/>
    <w:rsid w:val="00971516"/>
    <w:rsid w:val="009740BB"/>
    <w:rsid w:val="0097493C"/>
    <w:rsid w:val="0098161F"/>
    <w:rsid w:val="009828C4"/>
    <w:rsid w:val="00984099"/>
    <w:rsid w:val="00987030"/>
    <w:rsid w:val="00987B06"/>
    <w:rsid w:val="00987FCE"/>
    <w:rsid w:val="009939F5"/>
    <w:rsid w:val="00993B01"/>
    <w:rsid w:val="009947BF"/>
    <w:rsid w:val="009963B6"/>
    <w:rsid w:val="00997DBF"/>
    <w:rsid w:val="009A00E3"/>
    <w:rsid w:val="009B18D2"/>
    <w:rsid w:val="009B26EC"/>
    <w:rsid w:val="009B59C8"/>
    <w:rsid w:val="009B6A9F"/>
    <w:rsid w:val="009C1AC9"/>
    <w:rsid w:val="009D00B4"/>
    <w:rsid w:val="009D1253"/>
    <w:rsid w:val="009D1A0C"/>
    <w:rsid w:val="009D23E0"/>
    <w:rsid w:val="009D4774"/>
    <w:rsid w:val="009D5F8B"/>
    <w:rsid w:val="009D61FC"/>
    <w:rsid w:val="009D6BEC"/>
    <w:rsid w:val="009E0CE3"/>
    <w:rsid w:val="009E24AE"/>
    <w:rsid w:val="009E25FA"/>
    <w:rsid w:val="009E7A87"/>
    <w:rsid w:val="009F1770"/>
    <w:rsid w:val="009F3B36"/>
    <w:rsid w:val="009F7B77"/>
    <w:rsid w:val="00A012D0"/>
    <w:rsid w:val="00A01C8B"/>
    <w:rsid w:val="00A028A2"/>
    <w:rsid w:val="00A02FEC"/>
    <w:rsid w:val="00A03FC5"/>
    <w:rsid w:val="00A048F3"/>
    <w:rsid w:val="00A062EC"/>
    <w:rsid w:val="00A16D02"/>
    <w:rsid w:val="00A17B03"/>
    <w:rsid w:val="00A20E27"/>
    <w:rsid w:val="00A23691"/>
    <w:rsid w:val="00A264BD"/>
    <w:rsid w:val="00A269F4"/>
    <w:rsid w:val="00A27186"/>
    <w:rsid w:val="00A30C7E"/>
    <w:rsid w:val="00A317C6"/>
    <w:rsid w:val="00A42770"/>
    <w:rsid w:val="00A44CF8"/>
    <w:rsid w:val="00A47F89"/>
    <w:rsid w:val="00A52510"/>
    <w:rsid w:val="00A53980"/>
    <w:rsid w:val="00A55DB4"/>
    <w:rsid w:val="00A60801"/>
    <w:rsid w:val="00A60FBD"/>
    <w:rsid w:val="00A61717"/>
    <w:rsid w:val="00A638B9"/>
    <w:rsid w:val="00A64CB1"/>
    <w:rsid w:val="00A64CBA"/>
    <w:rsid w:val="00A651B6"/>
    <w:rsid w:val="00A66459"/>
    <w:rsid w:val="00A71D93"/>
    <w:rsid w:val="00A75B34"/>
    <w:rsid w:val="00A7693E"/>
    <w:rsid w:val="00A84CF3"/>
    <w:rsid w:val="00A86D7E"/>
    <w:rsid w:val="00A939D4"/>
    <w:rsid w:val="00A93AF8"/>
    <w:rsid w:val="00A9423A"/>
    <w:rsid w:val="00A95628"/>
    <w:rsid w:val="00A97653"/>
    <w:rsid w:val="00AA1AC6"/>
    <w:rsid w:val="00AA1B38"/>
    <w:rsid w:val="00AA32AE"/>
    <w:rsid w:val="00AC0321"/>
    <w:rsid w:val="00AC2529"/>
    <w:rsid w:val="00AC7812"/>
    <w:rsid w:val="00AD1E14"/>
    <w:rsid w:val="00AD4EC2"/>
    <w:rsid w:val="00AD6570"/>
    <w:rsid w:val="00AD664D"/>
    <w:rsid w:val="00AE0377"/>
    <w:rsid w:val="00AE6957"/>
    <w:rsid w:val="00AF7E5B"/>
    <w:rsid w:val="00B01014"/>
    <w:rsid w:val="00B02B5F"/>
    <w:rsid w:val="00B07016"/>
    <w:rsid w:val="00B073E1"/>
    <w:rsid w:val="00B079D1"/>
    <w:rsid w:val="00B1210F"/>
    <w:rsid w:val="00B15F75"/>
    <w:rsid w:val="00B16017"/>
    <w:rsid w:val="00B160F3"/>
    <w:rsid w:val="00B16ED7"/>
    <w:rsid w:val="00B22B53"/>
    <w:rsid w:val="00B342C0"/>
    <w:rsid w:val="00B342D2"/>
    <w:rsid w:val="00B34683"/>
    <w:rsid w:val="00B36ECD"/>
    <w:rsid w:val="00B42015"/>
    <w:rsid w:val="00B425FB"/>
    <w:rsid w:val="00B449EF"/>
    <w:rsid w:val="00B44E07"/>
    <w:rsid w:val="00B461F7"/>
    <w:rsid w:val="00B464E7"/>
    <w:rsid w:val="00B50D49"/>
    <w:rsid w:val="00B510FE"/>
    <w:rsid w:val="00B5465C"/>
    <w:rsid w:val="00B550A1"/>
    <w:rsid w:val="00B61911"/>
    <w:rsid w:val="00B63964"/>
    <w:rsid w:val="00B675F1"/>
    <w:rsid w:val="00B73ED3"/>
    <w:rsid w:val="00B74632"/>
    <w:rsid w:val="00B74D40"/>
    <w:rsid w:val="00B767D6"/>
    <w:rsid w:val="00B76AC0"/>
    <w:rsid w:val="00B865C9"/>
    <w:rsid w:val="00B87EC4"/>
    <w:rsid w:val="00B92939"/>
    <w:rsid w:val="00B93F24"/>
    <w:rsid w:val="00B97503"/>
    <w:rsid w:val="00B97ECC"/>
    <w:rsid w:val="00BA2DBB"/>
    <w:rsid w:val="00BA4042"/>
    <w:rsid w:val="00BA5856"/>
    <w:rsid w:val="00BA71E1"/>
    <w:rsid w:val="00BA7939"/>
    <w:rsid w:val="00BB2824"/>
    <w:rsid w:val="00BB4084"/>
    <w:rsid w:val="00BB47CB"/>
    <w:rsid w:val="00BB5374"/>
    <w:rsid w:val="00BB56CC"/>
    <w:rsid w:val="00BB7DC7"/>
    <w:rsid w:val="00BC1350"/>
    <w:rsid w:val="00BC48C6"/>
    <w:rsid w:val="00BC6A47"/>
    <w:rsid w:val="00BD566D"/>
    <w:rsid w:val="00BD6341"/>
    <w:rsid w:val="00BD7A87"/>
    <w:rsid w:val="00BE209D"/>
    <w:rsid w:val="00BE469A"/>
    <w:rsid w:val="00BE55ED"/>
    <w:rsid w:val="00BE6277"/>
    <w:rsid w:val="00BF37ED"/>
    <w:rsid w:val="00BF56E2"/>
    <w:rsid w:val="00C003EF"/>
    <w:rsid w:val="00C00B01"/>
    <w:rsid w:val="00C02272"/>
    <w:rsid w:val="00C031B4"/>
    <w:rsid w:val="00C05D2A"/>
    <w:rsid w:val="00C0623F"/>
    <w:rsid w:val="00C10532"/>
    <w:rsid w:val="00C10E09"/>
    <w:rsid w:val="00C11F69"/>
    <w:rsid w:val="00C12BA7"/>
    <w:rsid w:val="00C13714"/>
    <w:rsid w:val="00C13BD8"/>
    <w:rsid w:val="00C145D4"/>
    <w:rsid w:val="00C208E9"/>
    <w:rsid w:val="00C20AD6"/>
    <w:rsid w:val="00C2352F"/>
    <w:rsid w:val="00C24224"/>
    <w:rsid w:val="00C24B79"/>
    <w:rsid w:val="00C25983"/>
    <w:rsid w:val="00C34F9D"/>
    <w:rsid w:val="00C374A6"/>
    <w:rsid w:val="00C46F1C"/>
    <w:rsid w:val="00C50EE3"/>
    <w:rsid w:val="00C5148D"/>
    <w:rsid w:val="00C55781"/>
    <w:rsid w:val="00C55CF8"/>
    <w:rsid w:val="00C57C55"/>
    <w:rsid w:val="00C57D79"/>
    <w:rsid w:val="00C618DF"/>
    <w:rsid w:val="00C62068"/>
    <w:rsid w:val="00C660C8"/>
    <w:rsid w:val="00C67173"/>
    <w:rsid w:val="00C6728D"/>
    <w:rsid w:val="00C70305"/>
    <w:rsid w:val="00C729C1"/>
    <w:rsid w:val="00C734E3"/>
    <w:rsid w:val="00C73FD6"/>
    <w:rsid w:val="00C74F14"/>
    <w:rsid w:val="00C77BFC"/>
    <w:rsid w:val="00C80C19"/>
    <w:rsid w:val="00C81EA3"/>
    <w:rsid w:val="00C82A8A"/>
    <w:rsid w:val="00C82EEE"/>
    <w:rsid w:val="00C834C3"/>
    <w:rsid w:val="00C83BD5"/>
    <w:rsid w:val="00C84B06"/>
    <w:rsid w:val="00C84EF5"/>
    <w:rsid w:val="00C85522"/>
    <w:rsid w:val="00C86C08"/>
    <w:rsid w:val="00C87D98"/>
    <w:rsid w:val="00C9018D"/>
    <w:rsid w:val="00C954DC"/>
    <w:rsid w:val="00CA2D39"/>
    <w:rsid w:val="00CA407E"/>
    <w:rsid w:val="00CA46D8"/>
    <w:rsid w:val="00CA5DE1"/>
    <w:rsid w:val="00CB01A2"/>
    <w:rsid w:val="00CB09B9"/>
    <w:rsid w:val="00CB3B48"/>
    <w:rsid w:val="00CB3CAB"/>
    <w:rsid w:val="00CB68DB"/>
    <w:rsid w:val="00CB7CE1"/>
    <w:rsid w:val="00CC1DC6"/>
    <w:rsid w:val="00CC2344"/>
    <w:rsid w:val="00CC4462"/>
    <w:rsid w:val="00CC5563"/>
    <w:rsid w:val="00CC63A8"/>
    <w:rsid w:val="00CC671E"/>
    <w:rsid w:val="00CD1BFD"/>
    <w:rsid w:val="00CD4428"/>
    <w:rsid w:val="00CD5144"/>
    <w:rsid w:val="00CD60BE"/>
    <w:rsid w:val="00CD7160"/>
    <w:rsid w:val="00CD7CC1"/>
    <w:rsid w:val="00CE173A"/>
    <w:rsid w:val="00CE2088"/>
    <w:rsid w:val="00CE4B60"/>
    <w:rsid w:val="00CF7AE1"/>
    <w:rsid w:val="00D0073A"/>
    <w:rsid w:val="00D0193C"/>
    <w:rsid w:val="00D05147"/>
    <w:rsid w:val="00D0786C"/>
    <w:rsid w:val="00D115C7"/>
    <w:rsid w:val="00D13019"/>
    <w:rsid w:val="00D13878"/>
    <w:rsid w:val="00D13F73"/>
    <w:rsid w:val="00D15F7A"/>
    <w:rsid w:val="00D163DC"/>
    <w:rsid w:val="00D200C8"/>
    <w:rsid w:val="00D21FB0"/>
    <w:rsid w:val="00D2286C"/>
    <w:rsid w:val="00D25BD3"/>
    <w:rsid w:val="00D272F9"/>
    <w:rsid w:val="00D31FC6"/>
    <w:rsid w:val="00D3288E"/>
    <w:rsid w:val="00D336F8"/>
    <w:rsid w:val="00D35179"/>
    <w:rsid w:val="00D35468"/>
    <w:rsid w:val="00D35CFA"/>
    <w:rsid w:val="00D44E7B"/>
    <w:rsid w:val="00D462AB"/>
    <w:rsid w:val="00D472FD"/>
    <w:rsid w:val="00D521FC"/>
    <w:rsid w:val="00D573A8"/>
    <w:rsid w:val="00D57D35"/>
    <w:rsid w:val="00D60EF0"/>
    <w:rsid w:val="00D61ABC"/>
    <w:rsid w:val="00D639B3"/>
    <w:rsid w:val="00D63F8E"/>
    <w:rsid w:val="00D64394"/>
    <w:rsid w:val="00D643D2"/>
    <w:rsid w:val="00D65F90"/>
    <w:rsid w:val="00D709C6"/>
    <w:rsid w:val="00D70AE9"/>
    <w:rsid w:val="00D70E9B"/>
    <w:rsid w:val="00D807E1"/>
    <w:rsid w:val="00D81BE1"/>
    <w:rsid w:val="00D81DEE"/>
    <w:rsid w:val="00D839FA"/>
    <w:rsid w:val="00D8477E"/>
    <w:rsid w:val="00D91808"/>
    <w:rsid w:val="00D97276"/>
    <w:rsid w:val="00DA0EE4"/>
    <w:rsid w:val="00DA1704"/>
    <w:rsid w:val="00DA3505"/>
    <w:rsid w:val="00DB1258"/>
    <w:rsid w:val="00DB2BF1"/>
    <w:rsid w:val="00DB43A2"/>
    <w:rsid w:val="00DB46D2"/>
    <w:rsid w:val="00DB67AB"/>
    <w:rsid w:val="00DC236D"/>
    <w:rsid w:val="00DC343C"/>
    <w:rsid w:val="00DD4EEC"/>
    <w:rsid w:val="00DE1626"/>
    <w:rsid w:val="00DE49DD"/>
    <w:rsid w:val="00DE638D"/>
    <w:rsid w:val="00DE686E"/>
    <w:rsid w:val="00DE7AA7"/>
    <w:rsid w:val="00DF19E3"/>
    <w:rsid w:val="00DF3EAB"/>
    <w:rsid w:val="00DF46BE"/>
    <w:rsid w:val="00DF7B36"/>
    <w:rsid w:val="00E01056"/>
    <w:rsid w:val="00E054D4"/>
    <w:rsid w:val="00E05DDA"/>
    <w:rsid w:val="00E06722"/>
    <w:rsid w:val="00E07EC3"/>
    <w:rsid w:val="00E12DC9"/>
    <w:rsid w:val="00E12E7D"/>
    <w:rsid w:val="00E17439"/>
    <w:rsid w:val="00E17779"/>
    <w:rsid w:val="00E20386"/>
    <w:rsid w:val="00E20DDB"/>
    <w:rsid w:val="00E20FC6"/>
    <w:rsid w:val="00E235DD"/>
    <w:rsid w:val="00E25930"/>
    <w:rsid w:val="00E25A43"/>
    <w:rsid w:val="00E25F41"/>
    <w:rsid w:val="00E26F78"/>
    <w:rsid w:val="00E27F16"/>
    <w:rsid w:val="00E34588"/>
    <w:rsid w:val="00E403DE"/>
    <w:rsid w:val="00E426BD"/>
    <w:rsid w:val="00E42F92"/>
    <w:rsid w:val="00E43CCE"/>
    <w:rsid w:val="00E445F1"/>
    <w:rsid w:val="00E455A6"/>
    <w:rsid w:val="00E456B2"/>
    <w:rsid w:val="00E45F91"/>
    <w:rsid w:val="00E520DD"/>
    <w:rsid w:val="00E524D5"/>
    <w:rsid w:val="00E53C1F"/>
    <w:rsid w:val="00E60275"/>
    <w:rsid w:val="00E61FE9"/>
    <w:rsid w:val="00E62323"/>
    <w:rsid w:val="00E65569"/>
    <w:rsid w:val="00E66AF1"/>
    <w:rsid w:val="00E72201"/>
    <w:rsid w:val="00E72F22"/>
    <w:rsid w:val="00E7781C"/>
    <w:rsid w:val="00E77E1E"/>
    <w:rsid w:val="00E8497C"/>
    <w:rsid w:val="00E85589"/>
    <w:rsid w:val="00E86DB9"/>
    <w:rsid w:val="00E87299"/>
    <w:rsid w:val="00E873CA"/>
    <w:rsid w:val="00E874EC"/>
    <w:rsid w:val="00E90555"/>
    <w:rsid w:val="00E91E25"/>
    <w:rsid w:val="00E936AB"/>
    <w:rsid w:val="00E961E2"/>
    <w:rsid w:val="00E970A4"/>
    <w:rsid w:val="00EA0505"/>
    <w:rsid w:val="00EA0619"/>
    <w:rsid w:val="00EA6EA9"/>
    <w:rsid w:val="00EA7B7C"/>
    <w:rsid w:val="00EB1815"/>
    <w:rsid w:val="00EB1E72"/>
    <w:rsid w:val="00EB35A3"/>
    <w:rsid w:val="00EB5F20"/>
    <w:rsid w:val="00EB5F28"/>
    <w:rsid w:val="00EB6020"/>
    <w:rsid w:val="00EB78ED"/>
    <w:rsid w:val="00EC026B"/>
    <w:rsid w:val="00EC0916"/>
    <w:rsid w:val="00EC159A"/>
    <w:rsid w:val="00EC163F"/>
    <w:rsid w:val="00EC20CD"/>
    <w:rsid w:val="00EC5E1E"/>
    <w:rsid w:val="00EC628C"/>
    <w:rsid w:val="00EC6517"/>
    <w:rsid w:val="00ED1D40"/>
    <w:rsid w:val="00ED1E59"/>
    <w:rsid w:val="00ED5F06"/>
    <w:rsid w:val="00ED7343"/>
    <w:rsid w:val="00EE5D94"/>
    <w:rsid w:val="00EF16F4"/>
    <w:rsid w:val="00EF1AC2"/>
    <w:rsid w:val="00EF24D7"/>
    <w:rsid w:val="00EF69CB"/>
    <w:rsid w:val="00F00093"/>
    <w:rsid w:val="00F016B3"/>
    <w:rsid w:val="00F0170D"/>
    <w:rsid w:val="00F01A2C"/>
    <w:rsid w:val="00F033AB"/>
    <w:rsid w:val="00F03C07"/>
    <w:rsid w:val="00F057EA"/>
    <w:rsid w:val="00F057ED"/>
    <w:rsid w:val="00F05E96"/>
    <w:rsid w:val="00F07EF8"/>
    <w:rsid w:val="00F10506"/>
    <w:rsid w:val="00F132F9"/>
    <w:rsid w:val="00F140D3"/>
    <w:rsid w:val="00F15B8C"/>
    <w:rsid w:val="00F16894"/>
    <w:rsid w:val="00F20CC6"/>
    <w:rsid w:val="00F211C1"/>
    <w:rsid w:val="00F24EB6"/>
    <w:rsid w:val="00F25485"/>
    <w:rsid w:val="00F2587F"/>
    <w:rsid w:val="00F3108B"/>
    <w:rsid w:val="00F33193"/>
    <w:rsid w:val="00F333D4"/>
    <w:rsid w:val="00F34FD2"/>
    <w:rsid w:val="00F355CC"/>
    <w:rsid w:val="00F37BC6"/>
    <w:rsid w:val="00F4057D"/>
    <w:rsid w:val="00F45968"/>
    <w:rsid w:val="00F459D8"/>
    <w:rsid w:val="00F46B1D"/>
    <w:rsid w:val="00F47D80"/>
    <w:rsid w:val="00F53FB2"/>
    <w:rsid w:val="00F54F96"/>
    <w:rsid w:val="00F56CB9"/>
    <w:rsid w:val="00F70F06"/>
    <w:rsid w:val="00F7156A"/>
    <w:rsid w:val="00F752EA"/>
    <w:rsid w:val="00F77992"/>
    <w:rsid w:val="00F80147"/>
    <w:rsid w:val="00F8134A"/>
    <w:rsid w:val="00F86353"/>
    <w:rsid w:val="00F87142"/>
    <w:rsid w:val="00F921F4"/>
    <w:rsid w:val="00F9425C"/>
    <w:rsid w:val="00FA1D3B"/>
    <w:rsid w:val="00FA5666"/>
    <w:rsid w:val="00FA6017"/>
    <w:rsid w:val="00FB0F40"/>
    <w:rsid w:val="00FB299A"/>
    <w:rsid w:val="00FB37C1"/>
    <w:rsid w:val="00FC04CF"/>
    <w:rsid w:val="00FC27D7"/>
    <w:rsid w:val="00FC42E3"/>
    <w:rsid w:val="00FC74D6"/>
    <w:rsid w:val="00FC7B01"/>
    <w:rsid w:val="00FD0B90"/>
    <w:rsid w:val="00FD3F34"/>
    <w:rsid w:val="00FD3F54"/>
    <w:rsid w:val="00FD753C"/>
    <w:rsid w:val="00FE21EB"/>
    <w:rsid w:val="00FE2B17"/>
    <w:rsid w:val="00FE3F15"/>
    <w:rsid w:val="00FE6294"/>
    <w:rsid w:val="00FF0F48"/>
    <w:rsid w:val="00FF17D4"/>
    <w:rsid w:val="00FF1DEC"/>
    <w:rsid w:val="00FF6B3D"/>
    <w:rsid w:val="00FF7FA9"/>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615D1"/>
  <w15:docId w15:val="{10402E19-E61A-443F-B82F-24234630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5CF7"/>
    <w:pPr>
      <w:autoSpaceDE w:val="0"/>
      <w:autoSpaceDN w:val="0"/>
      <w:adjustRightInd w:val="0"/>
      <w:spacing w:after="0" w:line="240" w:lineRule="auto"/>
    </w:pPr>
    <w:rPr>
      <w:rFonts w:ascii="Gill Sans MT" w:hAnsi="Gill Sans MT" w:cs="Gill Sans MT"/>
      <w:color w:val="000000"/>
      <w:sz w:val="24"/>
      <w:szCs w:val="24"/>
    </w:rPr>
  </w:style>
  <w:style w:type="paragraph" w:customStyle="1" w:styleId="Pa19">
    <w:name w:val="Pa19"/>
    <w:basedOn w:val="Default"/>
    <w:next w:val="Default"/>
    <w:uiPriority w:val="99"/>
    <w:rsid w:val="00515CF7"/>
    <w:pPr>
      <w:spacing w:line="161" w:lineRule="atLeast"/>
    </w:pPr>
    <w:rPr>
      <w:rFonts w:cstheme="minorBidi"/>
      <w:color w:val="auto"/>
    </w:rPr>
  </w:style>
  <w:style w:type="paragraph" w:customStyle="1" w:styleId="Pa0">
    <w:name w:val="Pa0"/>
    <w:basedOn w:val="Default"/>
    <w:next w:val="Default"/>
    <w:uiPriority w:val="99"/>
    <w:rsid w:val="00515CF7"/>
    <w:pPr>
      <w:spacing w:line="161" w:lineRule="atLeast"/>
    </w:pPr>
    <w:rPr>
      <w:rFonts w:cstheme="minorBidi"/>
      <w:color w:val="auto"/>
    </w:rPr>
  </w:style>
  <w:style w:type="character" w:customStyle="1" w:styleId="A10">
    <w:name w:val="A10"/>
    <w:uiPriority w:val="99"/>
    <w:rsid w:val="00515CF7"/>
    <w:rPr>
      <w:rFonts w:cs="Gill Sans MT"/>
      <w:color w:val="000000"/>
      <w:sz w:val="9"/>
      <w:szCs w:val="9"/>
    </w:rPr>
  </w:style>
  <w:style w:type="paragraph" w:styleId="NormalWeb">
    <w:name w:val="Normal (Web)"/>
    <w:basedOn w:val="Normal"/>
    <w:uiPriority w:val="99"/>
    <w:semiHidden/>
    <w:unhideWhenUsed/>
    <w:rsid w:val="002452E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Header">
    <w:name w:val="header"/>
    <w:basedOn w:val="Normal"/>
    <w:link w:val="HeaderChar"/>
    <w:uiPriority w:val="99"/>
    <w:unhideWhenUsed/>
    <w:rsid w:val="005B39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5B391D"/>
  </w:style>
  <w:style w:type="paragraph" w:styleId="Footer">
    <w:name w:val="footer"/>
    <w:basedOn w:val="Normal"/>
    <w:link w:val="FooterChar"/>
    <w:uiPriority w:val="99"/>
    <w:unhideWhenUsed/>
    <w:rsid w:val="005B39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5B391D"/>
  </w:style>
  <w:style w:type="paragraph" w:styleId="ListParagraph">
    <w:name w:val="List Paragraph"/>
    <w:basedOn w:val="Normal"/>
    <w:uiPriority w:val="34"/>
    <w:qFormat/>
    <w:rsid w:val="00BD6341"/>
    <w:pPr>
      <w:ind w:left="720"/>
      <w:contextualSpacing/>
    </w:pPr>
  </w:style>
  <w:style w:type="character" w:styleId="CommentReference">
    <w:name w:val="annotation reference"/>
    <w:basedOn w:val="DefaultParagraphFont"/>
    <w:uiPriority w:val="99"/>
    <w:semiHidden/>
    <w:unhideWhenUsed/>
    <w:rsid w:val="007265A7"/>
    <w:rPr>
      <w:sz w:val="16"/>
      <w:szCs w:val="16"/>
    </w:rPr>
  </w:style>
  <w:style w:type="paragraph" w:styleId="CommentText">
    <w:name w:val="annotation text"/>
    <w:basedOn w:val="Normal"/>
    <w:link w:val="CommentTextChar"/>
    <w:uiPriority w:val="99"/>
    <w:semiHidden/>
    <w:unhideWhenUsed/>
    <w:rsid w:val="007265A7"/>
    <w:pPr>
      <w:spacing w:line="240" w:lineRule="auto"/>
    </w:pPr>
    <w:rPr>
      <w:sz w:val="20"/>
      <w:szCs w:val="20"/>
    </w:rPr>
  </w:style>
  <w:style w:type="character" w:customStyle="1" w:styleId="CommentTextChar">
    <w:name w:val="Comment Text Char"/>
    <w:basedOn w:val="DefaultParagraphFont"/>
    <w:link w:val="CommentText"/>
    <w:uiPriority w:val="99"/>
    <w:semiHidden/>
    <w:rsid w:val="007265A7"/>
    <w:rPr>
      <w:sz w:val="20"/>
      <w:szCs w:val="20"/>
    </w:rPr>
  </w:style>
  <w:style w:type="paragraph" w:styleId="CommentSubject">
    <w:name w:val="annotation subject"/>
    <w:basedOn w:val="CommentText"/>
    <w:next w:val="CommentText"/>
    <w:link w:val="CommentSubjectChar"/>
    <w:uiPriority w:val="99"/>
    <w:semiHidden/>
    <w:unhideWhenUsed/>
    <w:rsid w:val="007265A7"/>
    <w:rPr>
      <w:b/>
      <w:bCs/>
    </w:rPr>
  </w:style>
  <w:style w:type="character" w:customStyle="1" w:styleId="CommentSubjectChar">
    <w:name w:val="Comment Subject Char"/>
    <w:basedOn w:val="CommentTextChar"/>
    <w:link w:val="CommentSubject"/>
    <w:uiPriority w:val="99"/>
    <w:semiHidden/>
    <w:rsid w:val="007265A7"/>
    <w:rPr>
      <w:b/>
      <w:bCs/>
      <w:sz w:val="20"/>
      <w:szCs w:val="20"/>
    </w:rPr>
  </w:style>
  <w:style w:type="paragraph" w:styleId="BalloonText">
    <w:name w:val="Balloon Text"/>
    <w:basedOn w:val="Normal"/>
    <w:link w:val="BalloonTextChar"/>
    <w:uiPriority w:val="99"/>
    <w:semiHidden/>
    <w:unhideWhenUsed/>
    <w:rsid w:val="00726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5A7"/>
    <w:rPr>
      <w:rFonts w:ascii="Segoe UI" w:hAnsi="Segoe UI" w:cs="Segoe UI"/>
      <w:sz w:val="18"/>
      <w:szCs w:val="18"/>
    </w:rPr>
  </w:style>
  <w:style w:type="paragraph" w:styleId="Revision">
    <w:name w:val="Revision"/>
    <w:hidden/>
    <w:uiPriority w:val="99"/>
    <w:semiHidden/>
    <w:rsid w:val="007265A7"/>
    <w:pPr>
      <w:spacing w:after="0" w:line="240" w:lineRule="auto"/>
    </w:pPr>
  </w:style>
  <w:style w:type="character" w:styleId="Hyperlink">
    <w:name w:val="Hyperlink"/>
    <w:basedOn w:val="DefaultParagraphFont"/>
    <w:uiPriority w:val="99"/>
    <w:unhideWhenUsed/>
    <w:rsid w:val="005D3B0B"/>
    <w:rPr>
      <w:color w:val="0563C1" w:themeColor="hyperlink"/>
      <w:u w:val="single"/>
    </w:rPr>
  </w:style>
  <w:style w:type="paragraph" w:customStyle="1" w:styleId="1">
    <w:name w:val="正文1"/>
    <w:uiPriority w:val="99"/>
    <w:rsid w:val="00D573A8"/>
    <w:pPr>
      <w:spacing w:after="0" w:line="276" w:lineRule="auto"/>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460839">
      <w:bodyDiv w:val="1"/>
      <w:marLeft w:val="0"/>
      <w:marRight w:val="0"/>
      <w:marTop w:val="0"/>
      <w:marBottom w:val="0"/>
      <w:divBdr>
        <w:top w:val="none" w:sz="0" w:space="0" w:color="auto"/>
        <w:left w:val="none" w:sz="0" w:space="0" w:color="auto"/>
        <w:bottom w:val="none" w:sz="0" w:space="0" w:color="auto"/>
        <w:right w:val="none" w:sz="0" w:space="0" w:color="auto"/>
      </w:divBdr>
    </w:div>
    <w:div w:id="676688850">
      <w:bodyDiv w:val="1"/>
      <w:marLeft w:val="0"/>
      <w:marRight w:val="0"/>
      <w:marTop w:val="0"/>
      <w:marBottom w:val="0"/>
      <w:divBdr>
        <w:top w:val="none" w:sz="0" w:space="0" w:color="auto"/>
        <w:left w:val="none" w:sz="0" w:space="0" w:color="auto"/>
        <w:bottom w:val="none" w:sz="0" w:space="0" w:color="auto"/>
        <w:right w:val="none" w:sz="0" w:space="0" w:color="auto"/>
      </w:divBdr>
    </w:div>
    <w:div w:id="706681865">
      <w:bodyDiv w:val="1"/>
      <w:marLeft w:val="0"/>
      <w:marRight w:val="0"/>
      <w:marTop w:val="0"/>
      <w:marBottom w:val="0"/>
      <w:divBdr>
        <w:top w:val="none" w:sz="0" w:space="0" w:color="auto"/>
        <w:left w:val="none" w:sz="0" w:space="0" w:color="auto"/>
        <w:bottom w:val="none" w:sz="0" w:space="0" w:color="auto"/>
        <w:right w:val="none" w:sz="0" w:space="0" w:color="auto"/>
      </w:divBdr>
    </w:div>
    <w:div w:id="1149251482">
      <w:bodyDiv w:val="1"/>
      <w:marLeft w:val="0"/>
      <w:marRight w:val="0"/>
      <w:marTop w:val="0"/>
      <w:marBottom w:val="0"/>
      <w:divBdr>
        <w:top w:val="none" w:sz="0" w:space="0" w:color="auto"/>
        <w:left w:val="none" w:sz="0" w:space="0" w:color="auto"/>
        <w:bottom w:val="none" w:sz="0" w:space="0" w:color="auto"/>
        <w:right w:val="none" w:sz="0" w:space="0" w:color="auto"/>
      </w:divBdr>
    </w:div>
    <w:div w:id="1340546955">
      <w:bodyDiv w:val="1"/>
      <w:marLeft w:val="0"/>
      <w:marRight w:val="0"/>
      <w:marTop w:val="0"/>
      <w:marBottom w:val="0"/>
      <w:divBdr>
        <w:top w:val="none" w:sz="0" w:space="0" w:color="auto"/>
        <w:left w:val="none" w:sz="0" w:space="0" w:color="auto"/>
        <w:bottom w:val="none" w:sz="0" w:space="0" w:color="auto"/>
        <w:right w:val="none" w:sz="0" w:space="0" w:color="auto"/>
      </w:divBdr>
      <w:divsChild>
        <w:div w:id="667102338">
          <w:marLeft w:val="0"/>
          <w:marRight w:val="0"/>
          <w:marTop w:val="27"/>
          <w:marBottom w:val="27"/>
          <w:divBdr>
            <w:top w:val="none" w:sz="0" w:space="0" w:color="auto"/>
            <w:left w:val="none" w:sz="0" w:space="0" w:color="auto"/>
            <w:bottom w:val="none" w:sz="0" w:space="0" w:color="auto"/>
            <w:right w:val="none" w:sz="0" w:space="0" w:color="auto"/>
          </w:divBdr>
        </w:div>
        <w:div w:id="201479646">
          <w:marLeft w:val="0"/>
          <w:marRight w:val="0"/>
          <w:marTop w:val="0"/>
          <w:marBottom w:val="0"/>
          <w:divBdr>
            <w:top w:val="none" w:sz="0" w:space="0" w:color="auto"/>
            <w:left w:val="none" w:sz="0" w:space="0" w:color="auto"/>
            <w:bottom w:val="none" w:sz="0" w:space="0" w:color="auto"/>
            <w:right w:val="none" w:sz="0" w:space="0" w:color="auto"/>
          </w:divBdr>
        </w:div>
      </w:divsChild>
    </w:div>
    <w:div w:id="17889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marialiascribano@virgilio.it"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59079774378399"/>
          <c:y val="0.108144392167808"/>
          <c:w val="0.84028527795636498"/>
          <c:h val="0.62825301530033795"/>
        </c:manualLayout>
      </c:layout>
      <c:barChart>
        <c:barDir val="col"/>
        <c:grouping val="clustered"/>
        <c:varyColors val="0"/>
        <c:ser>
          <c:idx val="0"/>
          <c:order val="0"/>
          <c:tx>
            <c:strRef>
              <c:f>Sheet1!$B$1</c:f>
              <c:strCache>
                <c:ptCount val="1"/>
                <c:pt idx="0">
                  <c:v>Clinical response</c:v>
                </c:pt>
              </c:strCache>
            </c:strRef>
          </c:tx>
          <c:spPr>
            <a:solidFill>
              <a:sysClr val="windowText" lastClr="000000"/>
            </a:solidFill>
            <a:ln w="12700">
              <a:solidFill>
                <a:srgbClr val="0082BA">
                  <a:lumMod val="75000"/>
                </a:srgbClr>
              </a:solidFill>
            </a:ln>
            <a:effectLst/>
            <a:scene3d>
              <a:camera prst="orthographicFront"/>
              <a:lightRig rig="threePt" dir="t"/>
            </a:scene3d>
            <a:sp3d>
              <a:bevelT/>
            </a:sp3d>
          </c:spPr>
          <c:invertIfNegative val="0"/>
          <c:cat>
            <c:strRef>
              <c:f>Sheet1!$A$2:$A$7</c:f>
              <c:strCache>
                <c:ptCount val="6"/>
                <c:pt idx="0">
                  <c:v>Amiot </c:v>
                </c:pt>
                <c:pt idx="1">
                  <c:v>Baumgart</c:v>
                </c:pt>
                <c:pt idx="2">
                  <c:v>Kopylov</c:v>
                </c:pt>
                <c:pt idx="3">
                  <c:v>Shelton</c:v>
                </c:pt>
                <c:pt idx="4">
                  <c:v>Stallmach </c:v>
                </c:pt>
                <c:pt idx="5">
                  <c:v>Samaan </c:v>
                </c:pt>
              </c:strCache>
            </c:strRef>
          </c:cat>
          <c:val>
            <c:numRef>
              <c:f>Sheet1!$B$2:$B$7</c:f>
              <c:numCache>
                <c:formatCode>General</c:formatCode>
                <c:ptCount val="6"/>
                <c:pt idx="0">
                  <c:v>57</c:v>
                </c:pt>
                <c:pt idx="1">
                  <c:v>57.4</c:v>
                </c:pt>
                <c:pt idx="2">
                  <c:v>43.2</c:v>
                </c:pt>
                <c:pt idx="3">
                  <c:v>53.5</c:v>
                </c:pt>
                <c:pt idx="4">
                  <c:v>45</c:v>
                </c:pt>
                <c:pt idx="5">
                  <c:v>55</c:v>
                </c:pt>
              </c:numCache>
            </c:numRef>
          </c:val>
          <c:extLst xmlns:c16r2="http://schemas.microsoft.com/office/drawing/2015/06/chart">
            <c:ext xmlns:c16="http://schemas.microsoft.com/office/drawing/2014/chart" uri="{C3380CC4-5D6E-409C-BE32-E72D297353CC}">
              <c16:uniqueId val="{00000000-2E46-4793-9387-6A90937A31E8}"/>
            </c:ext>
          </c:extLst>
        </c:ser>
        <c:ser>
          <c:idx val="1"/>
          <c:order val="1"/>
          <c:tx>
            <c:strRef>
              <c:f>Sheet1!$C$1</c:f>
              <c:strCache>
                <c:ptCount val="1"/>
                <c:pt idx="0">
                  <c:v>Clinical remission</c:v>
                </c:pt>
              </c:strCache>
            </c:strRef>
          </c:tx>
          <c:spPr>
            <a:solidFill>
              <a:sysClr val="window" lastClr="FFFFFF">
                <a:lumMod val="50000"/>
              </a:sysClr>
            </a:solidFill>
            <a:ln w="12700">
              <a:solidFill>
                <a:srgbClr val="84BD00">
                  <a:lumMod val="75000"/>
                </a:srgbClr>
              </a:solidFill>
            </a:ln>
            <a:effectLst/>
            <a:scene3d>
              <a:camera prst="orthographicFront"/>
              <a:lightRig rig="threePt" dir="t"/>
            </a:scene3d>
            <a:sp3d>
              <a:bevelT/>
            </a:sp3d>
          </c:spPr>
          <c:invertIfNegative val="0"/>
          <c:cat>
            <c:strRef>
              <c:f>Sheet1!$A$2:$A$7</c:f>
              <c:strCache>
                <c:ptCount val="6"/>
                <c:pt idx="0">
                  <c:v>Amiot </c:v>
                </c:pt>
                <c:pt idx="1">
                  <c:v>Baumgart</c:v>
                </c:pt>
                <c:pt idx="2">
                  <c:v>Kopylov</c:v>
                </c:pt>
                <c:pt idx="3">
                  <c:v>Shelton</c:v>
                </c:pt>
                <c:pt idx="4">
                  <c:v>Stallmach </c:v>
                </c:pt>
                <c:pt idx="5">
                  <c:v>Samaan </c:v>
                </c:pt>
              </c:strCache>
            </c:strRef>
          </c:cat>
          <c:val>
            <c:numRef>
              <c:f>Sheet1!$C$2:$C$7</c:f>
              <c:numCache>
                <c:formatCode>General</c:formatCode>
                <c:ptCount val="6"/>
                <c:pt idx="0">
                  <c:v>39</c:v>
                </c:pt>
                <c:pt idx="1">
                  <c:v>23.5</c:v>
                </c:pt>
                <c:pt idx="2">
                  <c:v>28.4</c:v>
                </c:pt>
                <c:pt idx="3">
                  <c:v>29.3</c:v>
                </c:pt>
                <c:pt idx="4">
                  <c:v>22</c:v>
                </c:pt>
                <c:pt idx="5">
                  <c:v>39</c:v>
                </c:pt>
              </c:numCache>
            </c:numRef>
          </c:val>
          <c:extLst xmlns:c16r2="http://schemas.microsoft.com/office/drawing/2015/06/chart">
            <c:ext xmlns:c16="http://schemas.microsoft.com/office/drawing/2014/chart" uri="{C3380CC4-5D6E-409C-BE32-E72D297353CC}">
              <c16:uniqueId val="{00000001-2E46-4793-9387-6A90937A31E8}"/>
            </c:ext>
          </c:extLst>
        </c:ser>
        <c:ser>
          <c:idx val="2"/>
          <c:order val="2"/>
          <c:tx>
            <c:strRef>
              <c:f>Sheet1!$D$1</c:f>
              <c:strCache>
                <c:ptCount val="1"/>
                <c:pt idx="0">
                  <c:v>Steroid-free remission</c:v>
                </c:pt>
              </c:strCache>
            </c:strRef>
          </c:tx>
          <c:spPr>
            <a:solidFill>
              <a:sysClr val="window" lastClr="FFFFFF">
                <a:lumMod val="85000"/>
              </a:sysClr>
            </a:solidFill>
            <a:scene3d>
              <a:camera prst="orthographicFront"/>
              <a:lightRig rig="threePt" dir="t"/>
            </a:scene3d>
            <a:sp3d>
              <a:bevelT/>
            </a:sp3d>
          </c:spPr>
          <c:invertIfNegative val="0"/>
          <c:cat>
            <c:strRef>
              <c:f>Sheet1!$A$2:$A$7</c:f>
              <c:strCache>
                <c:ptCount val="6"/>
                <c:pt idx="0">
                  <c:v>Amiot </c:v>
                </c:pt>
                <c:pt idx="1">
                  <c:v>Baumgart</c:v>
                </c:pt>
                <c:pt idx="2">
                  <c:v>Kopylov</c:v>
                </c:pt>
                <c:pt idx="3">
                  <c:v>Shelton</c:v>
                </c:pt>
                <c:pt idx="4">
                  <c:v>Stallmach </c:v>
                </c:pt>
                <c:pt idx="5">
                  <c:v>Samaan </c:v>
                </c:pt>
              </c:strCache>
            </c:strRef>
          </c:cat>
          <c:val>
            <c:numRef>
              <c:f>Sheet1!$D$2:$D$7</c:f>
              <c:numCache>
                <c:formatCode>General</c:formatCode>
                <c:ptCount val="6"/>
                <c:pt idx="0">
                  <c:v>36</c:v>
                </c:pt>
                <c:pt idx="1">
                  <c:v>19.100000000000001</c:v>
                </c:pt>
                <c:pt idx="2">
                  <c:v>24.3</c:v>
                </c:pt>
                <c:pt idx="3">
                  <c:v>23.1</c:v>
                </c:pt>
                <c:pt idx="4">
                  <c:v>15</c:v>
                </c:pt>
                <c:pt idx="5">
                  <c:v>33</c:v>
                </c:pt>
              </c:numCache>
            </c:numRef>
          </c:val>
          <c:extLst xmlns:c16r2="http://schemas.microsoft.com/office/drawing/2015/06/chart">
            <c:ext xmlns:c16="http://schemas.microsoft.com/office/drawing/2014/chart" uri="{C3380CC4-5D6E-409C-BE32-E72D297353CC}">
              <c16:uniqueId val="{00000000-BCBF-4106-A24A-26AA33CA0A9D}"/>
            </c:ext>
          </c:extLst>
        </c:ser>
        <c:dLbls>
          <c:showLegendKey val="0"/>
          <c:showVal val="0"/>
          <c:showCatName val="0"/>
          <c:showSerName val="0"/>
          <c:showPercent val="0"/>
          <c:showBubbleSize val="0"/>
        </c:dLbls>
        <c:gapWidth val="92"/>
        <c:axId val="774808024"/>
        <c:axId val="677866192"/>
      </c:barChart>
      <c:valAx>
        <c:axId val="677866192"/>
        <c:scaling>
          <c:orientation val="minMax"/>
          <c:max val="70"/>
          <c:min val="0"/>
        </c:scaling>
        <c:delete val="0"/>
        <c:axPos val="l"/>
        <c:numFmt formatCode="General" sourceLinked="1"/>
        <c:majorTickMark val="out"/>
        <c:minorTickMark val="none"/>
        <c:tickLblPos val="nextTo"/>
        <c:spPr>
          <a:ln w="19050">
            <a:solidFill>
              <a:srgbClr val="000000"/>
            </a:solidFill>
          </a:ln>
        </c:spPr>
        <c:txPr>
          <a:bodyPr/>
          <a:lstStyle/>
          <a:p>
            <a:pPr>
              <a:defRPr sz="1000" b="1">
                <a:solidFill>
                  <a:schemeClr val="tx1"/>
                </a:solidFill>
              </a:defRPr>
            </a:pPr>
            <a:endParaRPr lang="en-US"/>
          </a:p>
        </c:txPr>
        <c:crossAx val="774808024"/>
        <c:crosses val="autoZero"/>
        <c:crossBetween val="between"/>
        <c:majorUnit val="10"/>
      </c:valAx>
      <c:catAx>
        <c:axId val="774808024"/>
        <c:scaling>
          <c:orientation val="minMax"/>
        </c:scaling>
        <c:delete val="0"/>
        <c:axPos val="b"/>
        <c:numFmt formatCode="General" sourceLinked="0"/>
        <c:majorTickMark val="out"/>
        <c:minorTickMark val="none"/>
        <c:tickLblPos val="nextTo"/>
        <c:spPr>
          <a:ln w="19050">
            <a:solidFill>
              <a:srgbClr val="000000"/>
            </a:solidFill>
          </a:ln>
        </c:spPr>
        <c:txPr>
          <a:bodyPr/>
          <a:lstStyle/>
          <a:p>
            <a:pPr>
              <a:defRPr sz="1200" b="1">
                <a:solidFill>
                  <a:schemeClr val="tx1"/>
                </a:solidFill>
              </a:defRPr>
            </a:pPr>
            <a:endParaRPr lang="en-US"/>
          </a:p>
        </c:txPr>
        <c:crossAx val="677866192"/>
        <c:crosses val="autoZero"/>
        <c:auto val="1"/>
        <c:lblAlgn val="ctr"/>
        <c:lblOffset val="0"/>
        <c:noMultiLvlLbl val="0"/>
      </c:catAx>
    </c:plotArea>
    <c:legend>
      <c:legendPos val="t"/>
      <c:overlay val="0"/>
      <c:txPr>
        <a:bodyPr/>
        <a:lstStyle/>
        <a:p>
          <a:pPr>
            <a:defRPr sz="1200"/>
          </a:pPr>
          <a:endParaRPr lang="en-US"/>
        </a:p>
      </c:txPr>
    </c:legend>
    <c:plotVisOnly val="1"/>
    <c:dispBlanksAs val="gap"/>
    <c:showDLblsOverMax val="0"/>
  </c:chart>
  <c:txPr>
    <a:bodyPr/>
    <a:lstStyle/>
    <a:p>
      <a:pPr>
        <a:defRPr sz="18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59079774378399"/>
          <c:y val="0.108144392167808"/>
          <c:w val="0.84028527795636498"/>
          <c:h val="0.62825301530033795"/>
        </c:manualLayout>
      </c:layout>
      <c:barChart>
        <c:barDir val="col"/>
        <c:grouping val="clustered"/>
        <c:varyColors val="0"/>
        <c:ser>
          <c:idx val="0"/>
          <c:order val="0"/>
          <c:tx>
            <c:strRef>
              <c:f>Sheet1!$B$1</c:f>
              <c:strCache>
                <c:ptCount val="1"/>
                <c:pt idx="0">
                  <c:v>Clinical response</c:v>
                </c:pt>
              </c:strCache>
            </c:strRef>
          </c:tx>
          <c:spPr>
            <a:solidFill>
              <a:sysClr val="windowText" lastClr="000000"/>
            </a:solidFill>
            <a:ln w="12700">
              <a:solidFill>
                <a:srgbClr val="0082BA">
                  <a:lumMod val="75000"/>
                </a:srgbClr>
              </a:solidFill>
            </a:ln>
            <a:effectLst/>
            <a:scene3d>
              <a:camera prst="orthographicFront"/>
              <a:lightRig rig="threePt" dir="t"/>
            </a:scene3d>
            <a:sp3d>
              <a:bevelT/>
            </a:sp3d>
          </c:spPr>
          <c:invertIfNegative val="0"/>
          <c:cat>
            <c:strRef>
              <c:f>Sheet1!$A$2:$A$7</c:f>
              <c:strCache>
                <c:ptCount val="6"/>
                <c:pt idx="0">
                  <c:v>Amiot </c:v>
                </c:pt>
                <c:pt idx="1">
                  <c:v>Baumgart</c:v>
                </c:pt>
                <c:pt idx="2">
                  <c:v>Kopylov</c:v>
                </c:pt>
                <c:pt idx="3">
                  <c:v>Shelton</c:v>
                </c:pt>
                <c:pt idx="4">
                  <c:v>Stallmach </c:v>
                </c:pt>
                <c:pt idx="5">
                  <c:v>Samaan </c:v>
                </c:pt>
              </c:strCache>
            </c:strRef>
          </c:cat>
          <c:val>
            <c:numRef>
              <c:f>Sheet1!$B$2:$B$7</c:f>
              <c:numCache>
                <c:formatCode>General</c:formatCode>
                <c:ptCount val="6"/>
                <c:pt idx="0">
                  <c:v>64</c:v>
                </c:pt>
                <c:pt idx="1">
                  <c:v>60.8</c:v>
                </c:pt>
                <c:pt idx="2">
                  <c:v>53.1</c:v>
                </c:pt>
                <c:pt idx="3">
                  <c:v>48.9</c:v>
                </c:pt>
                <c:pt idx="4">
                  <c:v>34</c:v>
                </c:pt>
                <c:pt idx="5">
                  <c:v>63</c:v>
                </c:pt>
              </c:numCache>
            </c:numRef>
          </c:val>
          <c:extLst xmlns:c16r2="http://schemas.microsoft.com/office/drawing/2015/06/chart">
            <c:ext xmlns:c16="http://schemas.microsoft.com/office/drawing/2014/chart" uri="{C3380CC4-5D6E-409C-BE32-E72D297353CC}">
              <c16:uniqueId val="{00000000-2E46-4793-9387-6A90937A31E8}"/>
            </c:ext>
          </c:extLst>
        </c:ser>
        <c:ser>
          <c:idx val="1"/>
          <c:order val="1"/>
          <c:tx>
            <c:strRef>
              <c:f>Sheet1!$C$1</c:f>
              <c:strCache>
                <c:ptCount val="1"/>
                <c:pt idx="0">
                  <c:v>Clinical remission</c:v>
                </c:pt>
              </c:strCache>
            </c:strRef>
          </c:tx>
          <c:spPr>
            <a:solidFill>
              <a:sysClr val="window" lastClr="FFFFFF">
                <a:lumMod val="50000"/>
              </a:sysClr>
            </a:solidFill>
            <a:ln w="12700">
              <a:solidFill>
                <a:srgbClr val="84BD00">
                  <a:lumMod val="75000"/>
                </a:srgbClr>
              </a:solidFill>
            </a:ln>
            <a:effectLst/>
            <a:scene3d>
              <a:camera prst="orthographicFront"/>
              <a:lightRig rig="threePt" dir="t"/>
            </a:scene3d>
            <a:sp3d>
              <a:bevelT/>
            </a:sp3d>
          </c:spPr>
          <c:invertIfNegative val="0"/>
          <c:cat>
            <c:strRef>
              <c:f>Sheet1!$A$2:$A$7</c:f>
              <c:strCache>
                <c:ptCount val="6"/>
                <c:pt idx="0">
                  <c:v>Amiot </c:v>
                </c:pt>
                <c:pt idx="1">
                  <c:v>Baumgart</c:v>
                </c:pt>
                <c:pt idx="2">
                  <c:v>Kopylov</c:v>
                </c:pt>
                <c:pt idx="3">
                  <c:v>Shelton</c:v>
                </c:pt>
                <c:pt idx="4">
                  <c:v>Stallmach </c:v>
                </c:pt>
                <c:pt idx="5">
                  <c:v>Samaan </c:v>
                </c:pt>
              </c:strCache>
            </c:strRef>
          </c:cat>
          <c:val>
            <c:numRef>
              <c:f>Sheet1!$C$2:$C$7</c:f>
              <c:numCache>
                <c:formatCode>General</c:formatCode>
                <c:ptCount val="6"/>
                <c:pt idx="0">
                  <c:v>36</c:v>
                </c:pt>
                <c:pt idx="1">
                  <c:v>23.7</c:v>
                </c:pt>
                <c:pt idx="2">
                  <c:v>34.6</c:v>
                </c:pt>
                <c:pt idx="3">
                  <c:v>23.9</c:v>
                </c:pt>
                <c:pt idx="4">
                  <c:v>19</c:v>
                </c:pt>
                <c:pt idx="5">
                  <c:v>37</c:v>
                </c:pt>
              </c:numCache>
            </c:numRef>
          </c:val>
          <c:extLst xmlns:c16r2="http://schemas.microsoft.com/office/drawing/2015/06/chart">
            <c:ext xmlns:c16="http://schemas.microsoft.com/office/drawing/2014/chart" uri="{C3380CC4-5D6E-409C-BE32-E72D297353CC}">
              <c16:uniqueId val="{00000001-2E46-4793-9387-6A90937A31E8}"/>
            </c:ext>
          </c:extLst>
        </c:ser>
        <c:ser>
          <c:idx val="2"/>
          <c:order val="2"/>
          <c:tx>
            <c:strRef>
              <c:f>Sheet1!$D$1</c:f>
              <c:strCache>
                <c:ptCount val="1"/>
                <c:pt idx="0">
                  <c:v>Steroid-free remission</c:v>
                </c:pt>
              </c:strCache>
            </c:strRef>
          </c:tx>
          <c:spPr>
            <a:solidFill>
              <a:sysClr val="window" lastClr="FFFFFF">
                <a:lumMod val="85000"/>
              </a:sysClr>
            </a:solidFill>
            <a:scene3d>
              <a:camera prst="orthographicFront"/>
              <a:lightRig rig="threePt" dir="t"/>
            </a:scene3d>
            <a:sp3d>
              <a:bevelT/>
            </a:sp3d>
          </c:spPr>
          <c:invertIfNegative val="0"/>
          <c:cat>
            <c:strRef>
              <c:f>Sheet1!$A$2:$A$7</c:f>
              <c:strCache>
                <c:ptCount val="6"/>
                <c:pt idx="0">
                  <c:v>Amiot </c:v>
                </c:pt>
                <c:pt idx="1">
                  <c:v>Baumgart</c:v>
                </c:pt>
                <c:pt idx="2">
                  <c:v>Kopylov</c:v>
                </c:pt>
                <c:pt idx="3">
                  <c:v>Shelton</c:v>
                </c:pt>
                <c:pt idx="4">
                  <c:v>Stallmach </c:v>
                </c:pt>
                <c:pt idx="5">
                  <c:v>Samaan </c:v>
                </c:pt>
              </c:strCache>
            </c:strRef>
          </c:cat>
          <c:val>
            <c:numRef>
              <c:f>Sheet1!$D$2:$D$7</c:f>
              <c:numCache>
                <c:formatCode>General</c:formatCode>
                <c:ptCount val="6"/>
                <c:pt idx="0">
                  <c:v>31</c:v>
                </c:pt>
                <c:pt idx="1">
                  <c:v>19.600000000000001</c:v>
                </c:pt>
                <c:pt idx="2">
                  <c:v>29.2</c:v>
                </c:pt>
                <c:pt idx="3">
                  <c:v>18.8</c:v>
                </c:pt>
                <c:pt idx="4">
                  <c:v>7</c:v>
                </c:pt>
                <c:pt idx="5">
                  <c:v>26</c:v>
                </c:pt>
              </c:numCache>
            </c:numRef>
          </c:val>
          <c:extLst xmlns:c16r2="http://schemas.microsoft.com/office/drawing/2015/06/chart">
            <c:ext xmlns:c16="http://schemas.microsoft.com/office/drawing/2014/chart" uri="{C3380CC4-5D6E-409C-BE32-E72D297353CC}">
              <c16:uniqueId val="{00000000-BCBF-4106-A24A-26AA33CA0A9D}"/>
            </c:ext>
          </c:extLst>
        </c:ser>
        <c:dLbls>
          <c:showLegendKey val="0"/>
          <c:showVal val="0"/>
          <c:showCatName val="0"/>
          <c:showSerName val="0"/>
          <c:showPercent val="0"/>
          <c:showBubbleSize val="0"/>
        </c:dLbls>
        <c:gapWidth val="92"/>
        <c:axId val="774809200"/>
        <c:axId val="774808808"/>
      </c:barChart>
      <c:valAx>
        <c:axId val="774808808"/>
        <c:scaling>
          <c:orientation val="minMax"/>
          <c:max val="70"/>
          <c:min val="0"/>
        </c:scaling>
        <c:delete val="0"/>
        <c:axPos val="l"/>
        <c:numFmt formatCode="General" sourceLinked="1"/>
        <c:majorTickMark val="out"/>
        <c:minorTickMark val="none"/>
        <c:tickLblPos val="nextTo"/>
        <c:spPr>
          <a:ln w="19050">
            <a:solidFill>
              <a:srgbClr val="000000"/>
            </a:solidFill>
          </a:ln>
        </c:spPr>
        <c:txPr>
          <a:bodyPr/>
          <a:lstStyle/>
          <a:p>
            <a:pPr>
              <a:defRPr sz="1000" b="1">
                <a:solidFill>
                  <a:schemeClr val="tx1"/>
                </a:solidFill>
              </a:defRPr>
            </a:pPr>
            <a:endParaRPr lang="en-US"/>
          </a:p>
        </c:txPr>
        <c:crossAx val="774809200"/>
        <c:crosses val="autoZero"/>
        <c:crossBetween val="between"/>
        <c:majorUnit val="10"/>
      </c:valAx>
      <c:catAx>
        <c:axId val="774809200"/>
        <c:scaling>
          <c:orientation val="minMax"/>
        </c:scaling>
        <c:delete val="0"/>
        <c:axPos val="b"/>
        <c:numFmt formatCode="General" sourceLinked="0"/>
        <c:majorTickMark val="out"/>
        <c:minorTickMark val="none"/>
        <c:tickLblPos val="nextTo"/>
        <c:spPr>
          <a:ln w="19050">
            <a:solidFill>
              <a:srgbClr val="000000"/>
            </a:solidFill>
          </a:ln>
        </c:spPr>
        <c:txPr>
          <a:bodyPr/>
          <a:lstStyle/>
          <a:p>
            <a:pPr>
              <a:defRPr sz="1200" b="1">
                <a:solidFill>
                  <a:schemeClr val="tx1"/>
                </a:solidFill>
              </a:defRPr>
            </a:pPr>
            <a:endParaRPr lang="en-US"/>
          </a:p>
        </c:txPr>
        <c:crossAx val="774808808"/>
        <c:crosses val="autoZero"/>
        <c:auto val="1"/>
        <c:lblAlgn val="ctr"/>
        <c:lblOffset val="0"/>
        <c:noMultiLvlLbl val="0"/>
      </c:catAx>
    </c:plotArea>
    <c:legend>
      <c:legendPos val="t"/>
      <c:overlay val="0"/>
      <c:txPr>
        <a:bodyPr/>
        <a:lstStyle/>
        <a:p>
          <a:pPr>
            <a:defRPr sz="1200"/>
          </a:pPr>
          <a:endParaRPr lang="en-US"/>
        </a:p>
      </c:txPr>
    </c:legend>
    <c:plotVisOnly val="1"/>
    <c:dispBlanksAs val="gap"/>
    <c:showDLblsOverMax val="0"/>
  </c:chart>
  <c:txPr>
    <a:bodyPr/>
    <a:lstStyle/>
    <a:p>
      <a:pPr>
        <a:defRPr sz="1800"/>
      </a:pPr>
      <a:endParaRPr lang="en-US"/>
    </a:p>
  </c:txPr>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4D68C-5514-4C49-B3A1-B521CDB3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7829</Words>
  <Characters>44631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dc:creator>
  <cp:keywords/>
  <dc:description/>
  <cp:lastModifiedBy>Na Ma</cp:lastModifiedBy>
  <cp:revision>3</cp:revision>
  <cp:lastPrinted>2018-03-28T16:56:00Z</cp:lastPrinted>
  <dcterms:created xsi:type="dcterms:W3CDTF">2018-05-18T01:19:00Z</dcterms:created>
  <dcterms:modified xsi:type="dcterms:W3CDTF">2018-05-18T01:20:00Z</dcterms:modified>
</cp:coreProperties>
</file>