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2761" w:rsidRPr="00C82350" w:rsidRDefault="007C2761" w:rsidP="00C82350">
      <w:pPr>
        <w:widowControl w:val="0"/>
        <w:suppressAutoHyphens w:val="0"/>
        <w:adjustRightInd w:val="0"/>
        <w:snapToGrid w:val="0"/>
        <w:spacing w:after="0" w:line="360" w:lineRule="auto"/>
        <w:jc w:val="both"/>
        <w:rPr>
          <w:rFonts w:ascii="Book Antiqua" w:hAnsi="Book Antiqua" w:cs="SimSun"/>
          <w:b/>
          <w:i/>
          <w:color w:val="000000"/>
          <w:lang w:val="en-GB"/>
        </w:rPr>
      </w:pPr>
      <w:r w:rsidRPr="00C82350">
        <w:rPr>
          <w:rFonts w:ascii="Book Antiqua" w:hAnsi="Book Antiqua" w:cs="SimSun"/>
          <w:b/>
          <w:color w:val="000000"/>
          <w:lang w:val="en-GB"/>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C82350">
        <w:rPr>
          <w:rFonts w:ascii="Book Antiqua" w:hAnsi="Book Antiqua" w:cs="SimSun"/>
          <w:b/>
          <w:i/>
          <w:color w:val="000000"/>
          <w:lang w:val="en-GB"/>
        </w:rPr>
        <w:t xml:space="preserve">World Journal of </w:t>
      </w:r>
      <w:bookmarkStart w:id="7" w:name="OLE_LINK1222"/>
      <w:bookmarkStart w:id="8" w:name="OLE_LINK1223"/>
      <w:r w:rsidRPr="00C82350">
        <w:rPr>
          <w:rFonts w:ascii="Book Antiqua" w:hAnsi="Book Antiqua" w:cs="SimSun"/>
          <w:b/>
          <w:i/>
          <w:color w:val="000000"/>
          <w:lang w:val="en-GB"/>
        </w:rPr>
        <w:t>Gastroenterology</w:t>
      </w:r>
      <w:bookmarkEnd w:id="0"/>
      <w:bookmarkEnd w:id="1"/>
      <w:bookmarkEnd w:id="2"/>
      <w:bookmarkEnd w:id="3"/>
      <w:bookmarkEnd w:id="4"/>
      <w:bookmarkEnd w:id="5"/>
      <w:bookmarkEnd w:id="6"/>
      <w:bookmarkEnd w:id="7"/>
      <w:bookmarkEnd w:id="8"/>
    </w:p>
    <w:p w:rsidR="007C2761" w:rsidRPr="00C82350" w:rsidRDefault="007C2761" w:rsidP="00C82350">
      <w:pPr>
        <w:adjustRightInd w:val="0"/>
        <w:snapToGrid w:val="0"/>
        <w:spacing w:after="0" w:line="360" w:lineRule="auto"/>
        <w:jc w:val="both"/>
        <w:rPr>
          <w:rFonts w:ascii="Book Antiqua" w:hAnsi="Book Antiqua" w:cs="Arial"/>
          <w:b/>
          <w:color w:val="000000"/>
          <w:lang w:val="en-GB"/>
        </w:rPr>
      </w:pPr>
      <w:r w:rsidRPr="00C82350">
        <w:rPr>
          <w:rFonts w:ascii="Book Antiqua" w:hAnsi="Book Antiqua"/>
          <w:b/>
          <w:bCs/>
          <w:color w:val="222222"/>
          <w:lang w:val="en-GB"/>
        </w:rPr>
        <w:t>Manuscript NO</w:t>
      </w:r>
      <w:r w:rsidRPr="00C82350">
        <w:rPr>
          <w:rFonts w:ascii="Book Antiqua" w:hAnsi="Book Antiqua" w:cs="Arial"/>
          <w:b/>
          <w:color w:val="000000"/>
          <w:lang w:val="en-GB"/>
        </w:rPr>
        <w:t>: 39749</w:t>
      </w:r>
    </w:p>
    <w:p w:rsidR="007C2761" w:rsidRPr="00C82350" w:rsidRDefault="007C2761" w:rsidP="00C82350">
      <w:pPr>
        <w:widowControl w:val="0"/>
        <w:suppressAutoHyphens w:val="0"/>
        <w:adjustRightInd w:val="0"/>
        <w:snapToGrid w:val="0"/>
        <w:spacing w:after="0" w:line="360" w:lineRule="auto"/>
        <w:jc w:val="both"/>
        <w:rPr>
          <w:rFonts w:ascii="Book Antiqua" w:hAnsi="Book Antiqua"/>
          <w:b/>
          <w:color w:val="auto"/>
          <w:lang w:val="en-US"/>
        </w:rPr>
      </w:pPr>
      <w:bookmarkStart w:id="9" w:name="OLE_LINK3"/>
      <w:bookmarkStart w:id="10" w:name="OLE_LINK4"/>
      <w:r w:rsidRPr="00C82350">
        <w:rPr>
          <w:rFonts w:ascii="Book Antiqua" w:hAnsi="Book Antiqua"/>
          <w:b/>
          <w:color w:val="000000"/>
          <w:shd w:val="clear" w:color="auto" w:fill="FFFFFF"/>
          <w:lang w:val="en-GB"/>
        </w:rPr>
        <w:t>Manuscript Type</w:t>
      </w:r>
      <w:r w:rsidRPr="00C82350">
        <w:rPr>
          <w:rFonts w:ascii="Book Antiqua" w:hAnsi="Book Antiqua"/>
          <w:b/>
          <w:color w:val="000000"/>
          <w:lang w:val="en-GB"/>
        </w:rPr>
        <w:t xml:space="preserve">: </w:t>
      </w:r>
      <w:bookmarkEnd w:id="9"/>
      <w:bookmarkEnd w:id="10"/>
      <w:r w:rsidRPr="00C82350">
        <w:rPr>
          <w:rFonts w:ascii="Book Antiqua" w:hAnsi="Book Antiqua"/>
          <w:b/>
          <w:color w:val="auto"/>
          <w:lang w:val="en-US"/>
        </w:rPr>
        <w:t>MINIREVIEWS</w:t>
      </w:r>
    </w:p>
    <w:p w:rsidR="00C82350" w:rsidRPr="00C82350" w:rsidRDefault="00C82350" w:rsidP="00C82350">
      <w:pPr>
        <w:widowControl w:val="0"/>
        <w:suppressAutoHyphens w:val="0"/>
        <w:adjustRightInd w:val="0"/>
        <w:snapToGrid w:val="0"/>
        <w:spacing w:after="0" w:line="360" w:lineRule="auto"/>
        <w:jc w:val="both"/>
        <w:rPr>
          <w:rFonts w:ascii="Book Antiqua" w:hAnsi="Book Antiqua"/>
          <w:color w:val="auto"/>
          <w:lang w:val="en-US"/>
        </w:rPr>
      </w:pPr>
    </w:p>
    <w:p w:rsidR="007C2761" w:rsidRPr="00C82350" w:rsidRDefault="007C2761" w:rsidP="00C82350">
      <w:pPr>
        <w:widowControl w:val="0"/>
        <w:suppressAutoHyphens w:val="0"/>
        <w:adjustRightInd w:val="0"/>
        <w:snapToGrid w:val="0"/>
        <w:spacing w:after="0" w:line="360" w:lineRule="auto"/>
        <w:jc w:val="both"/>
        <w:rPr>
          <w:rFonts w:ascii="Book Antiqua" w:hAnsi="Book Antiqua"/>
          <w:b/>
          <w:bCs/>
          <w:color w:val="auto"/>
          <w:lang w:val="en-US"/>
        </w:rPr>
      </w:pPr>
      <w:r w:rsidRPr="00C82350">
        <w:rPr>
          <w:rFonts w:ascii="Book Antiqua" w:hAnsi="Book Antiqua"/>
          <w:b/>
          <w:bCs/>
          <w:color w:val="auto"/>
          <w:lang w:val="en-US"/>
        </w:rPr>
        <w:t xml:space="preserve">Current guidelines for the management of non-alcoholic fatty liver disease: </w:t>
      </w:r>
      <w:r w:rsidR="00C82350" w:rsidRPr="00C82350">
        <w:rPr>
          <w:rFonts w:ascii="Book Antiqua" w:hAnsi="Book Antiqua"/>
          <w:b/>
          <w:bCs/>
          <w:color w:val="auto"/>
          <w:lang w:val="en-US"/>
        </w:rPr>
        <w:t>A</w:t>
      </w:r>
      <w:r w:rsidRPr="00C82350">
        <w:rPr>
          <w:rFonts w:ascii="Book Antiqua" w:hAnsi="Book Antiqua"/>
          <w:b/>
          <w:bCs/>
          <w:color w:val="auto"/>
          <w:lang w:val="en-US"/>
        </w:rPr>
        <w:t xml:space="preserve"> systematic r</w:t>
      </w:r>
      <w:r w:rsidR="003762DA">
        <w:rPr>
          <w:rFonts w:ascii="Book Antiqua" w:hAnsi="Book Antiqua"/>
          <w:b/>
          <w:bCs/>
          <w:color w:val="auto"/>
          <w:lang w:val="en-US"/>
        </w:rPr>
        <w:t>eview with comparative analysis</w:t>
      </w:r>
    </w:p>
    <w:p w:rsidR="007C2761" w:rsidRPr="00C82350" w:rsidRDefault="007C2761" w:rsidP="00C82350">
      <w:pPr>
        <w:adjustRightInd w:val="0"/>
        <w:snapToGrid w:val="0"/>
        <w:spacing w:after="0" w:line="360" w:lineRule="auto"/>
        <w:jc w:val="both"/>
        <w:rPr>
          <w:rFonts w:ascii="Book Antiqua" w:hAnsi="Book Antiqua" w:cs="Garamond-Bold"/>
          <w:b/>
          <w:bCs/>
          <w:lang w:val="en-GB"/>
        </w:rPr>
      </w:pPr>
    </w:p>
    <w:p w:rsidR="007C2761" w:rsidRPr="00C82350" w:rsidRDefault="007C2761" w:rsidP="00C82350">
      <w:pPr>
        <w:adjustRightInd w:val="0"/>
        <w:snapToGrid w:val="0"/>
        <w:spacing w:after="0" w:line="360" w:lineRule="auto"/>
        <w:jc w:val="both"/>
        <w:rPr>
          <w:rFonts w:ascii="Book Antiqua" w:hAnsi="Book Antiqua"/>
        </w:rPr>
      </w:pPr>
      <w:r w:rsidRPr="00C82350">
        <w:rPr>
          <w:rFonts w:ascii="Book Antiqua" w:hAnsi="Book Antiqua" w:cs="Garamond"/>
        </w:rPr>
        <w:t>Leoni S</w:t>
      </w:r>
      <w:r w:rsidRPr="00C82350">
        <w:rPr>
          <w:rFonts w:ascii="Book Antiqua" w:hAnsi="Book Antiqua"/>
        </w:rPr>
        <w:t xml:space="preserve"> </w:t>
      </w:r>
      <w:r w:rsidRPr="00C82350">
        <w:rPr>
          <w:rFonts w:ascii="Book Antiqua" w:hAnsi="Book Antiqua"/>
          <w:i/>
        </w:rPr>
        <w:t>et al</w:t>
      </w:r>
      <w:r w:rsidRPr="00C82350">
        <w:rPr>
          <w:rFonts w:ascii="Book Antiqua" w:hAnsi="Book Antiqua"/>
        </w:rPr>
        <w:t xml:space="preserve">. NAFLD </w:t>
      </w:r>
      <w:r w:rsidR="00C97600">
        <w:rPr>
          <w:rFonts w:ascii="Book Antiqua" w:hAnsi="Book Antiqua"/>
        </w:rPr>
        <w:t>guidelines</w:t>
      </w:r>
    </w:p>
    <w:p w:rsidR="007C2761" w:rsidRPr="00C82350" w:rsidRDefault="007C2761" w:rsidP="00C82350">
      <w:pPr>
        <w:widowControl w:val="0"/>
        <w:suppressAutoHyphens w:val="0"/>
        <w:adjustRightInd w:val="0"/>
        <w:snapToGrid w:val="0"/>
        <w:spacing w:after="0" w:line="360" w:lineRule="auto"/>
        <w:jc w:val="both"/>
        <w:rPr>
          <w:rFonts w:ascii="Book Antiqua" w:hAnsi="Book Antiqua"/>
          <w:b/>
          <w:bCs/>
          <w:color w:val="auto"/>
        </w:rPr>
      </w:pPr>
    </w:p>
    <w:p w:rsidR="007C2761" w:rsidRPr="00C82350" w:rsidRDefault="007C2761" w:rsidP="00C82350">
      <w:pPr>
        <w:widowControl w:val="0"/>
        <w:suppressAutoHyphens w:val="0"/>
        <w:adjustRightInd w:val="0"/>
        <w:snapToGrid w:val="0"/>
        <w:spacing w:after="0" w:line="360" w:lineRule="auto"/>
        <w:jc w:val="both"/>
        <w:rPr>
          <w:rFonts w:ascii="Book Antiqua" w:hAnsi="Book Antiqua"/>
          <w:color w:val="auto"/>
        </w:rPr>
      </w:pPr>
      <w:r w:rsidRPr="00C82350">
        <w:rPr>
          <w:rFonts w:ascii="Book Antiqua" w:hAnsi="Book Antiqua"/>
          <w:color w:val="auto"/>
        </w:rPr>
        <w:t>Simona Leoni, Francesco Tovoli, Lucia Napoli, Ilaria Serio, Silvia Ferri, Luigi Bolondi</w:t>
      </w:r>
    </w:p>
    <w:p w:rsidR="007C2761" w:rsidRPr="00C82350" w:rsidRDefault="007C2761" w:rsidP="00C82350">
      <w:pPr>
        <w:widowControl w:val="0"/>
        <w:suppressAutoHyphens w:val="0"/>
        <w:adjustRightInd w:val="0"/>
        <w:snapToGrid w:val="0"/>
        <w:spacing w:after="0" w:line="360" w:lineRule="auto"/>
        <w:jc w:val="both"/>
        <w:rPr>
          <w:rFonts w:ascii="Book Antiqua" w:hAnsi="Book Antiqua"/>
          <w:color w:val="auto"/>
        </w:rPr>
      </w:pPr>
    </w:p>
    <w:p w:rsidR="007C2761" w:rsidRDefault="00C82350" w:rsidP="00C82350">
      <w:pPr>
        <w:pStyle w:val="CommentText"/>
        <w:adjustRightInd w:val="0"/>
        <w:snapToGrid w:val="0"/>
        <w:spacing w:after="0" w:line="360" w:lineRule="auto"/>
        <w:jc w:val="both"/>
        <w:rPr>
          <w:rFonts w:ascii="Book Antiqua" w:hAnsi="Book Antiqua"/>
          <w:b/>
          <w:bCs/>
          <w:sz w:val="24"/>
          <w:szCs w:val="24"/>
          <w:lang w:val="en-GB"/>
        </w:rPr>
      </w:pPr>
      <w:bookmarkStart w:id="11" w:name="OLE_LINK846"/>
      <w:bookmarkStart w:id="12" w:name="OLE_LINK764"/>
      <w:bookmarkStart w:id="13" w:name="OLE_LINK763"/>
      <w:bookmarkStart w:id="14" w:name="OLE_LINK634"/>
      <w:bookmarkStart w:id="15" w:name="OLE_LINK633"/>
      <w:r w:rsidRPr="00C82350">
        <w:rPr>
          <w:rFonts w:ascii="Book Antiqua" w:hAnsi="Book Antiqua"/>
          <w:b/>
          <w:bCs/>
          <w:sz w:val="24"/>
          <w:szCs w:val="24"/>
          <w:lang w:val="en-GB"/>
        </w:rPr>
        <w:t>Simona Leoni, Francesco Tovoli, Lucia Napoli, Ilaria Serio, Silvia Ferri, Luigi Bolondi</w:t>
      </w:r>
      <w:r>
        <w:rPr>
          <w:rFonts w:ascii="Book Antiqua" w:hAnsi="Book Antiqua" w:hint="eastAsia"/>
          <w:b/>
          <w:bCs/>
          <w:sz w:val="24"/>
          <w:szCs w:val="24"/>
          <w:lang w:val="en-GB"/>
        </w:rPr>
        <w:t xml:space="preserve">, </w:t>
      </w:r>
      <w:r w:rsidR="007C2761" w:rsidRPr="00C82350">
        <w:rPr>
          <w:rFonts w:ascii="Book Antiqua" w:hAnsi="Book Antiqua"/>
          <w:bCs/>
          <w:sz w:val="24"/>
          <w:szCs w:val="24"/>
          <w:lang w:val="en-GB"/>
        </w:rPr>
        <w:t>Department of Medical and Surgical Sciences (DIMEC), Division of Internal Medicine, University of Bologna</w:t>
      </w:r>
      <w:r>
        <w:rPr>
          <w:rFonts w:ascii="Book Antiqua" w:hAnsi="Book Antiqua" w:hint="eastAsia"/>
          <w:bCs/>
          <w:sz w:val="24"/>
          <w:szCs w:val="24"/>
          <w:lang w:val="en-GB"/>
        </w:rPr>
        <w:t>,</w:t>
      </w:r>
      <w:r w:rsidR="007C2761" w:rsidRPr="00C82350">
        <w:rPr>
          <w:rFonts w:ascii="Book Antiqua" w:hAnsi="Book Antiqua"/>
          <w:bCs/>
          <w:sz w:val="24"/>
          <w:szCs w:val="24"/>
          <w:lang w:val="en-GB"/>
        </w:rPr>
        <w:t xml:space="preserve"> </w:t>
      </w:r>
      <w:r w:rsidRPr="00C82350">
        <w:rPr>
          <w:rFonts w:ascii="Book Antiqua" w:hAnsi="Book Antiqua"/>
          <w:bCs/>
          <w:sz w:val="24"/>
          <w:szCs w:val="24"/>
          <w:lang w:val="en-GB"/>
        </w:rPr>
        <w:t xml:space="preserve">Bologna </w:t>
      </w:r>
      <w:r w:rsidR="007C2761" w:rsidRPr="00C82350">
        <w:rPr>
          <w:rFonts w:ascii="Book Antiqua" w:hAnsi="Book Antiqua"/>
          <w:bCs/>
          <w:sz w:val="24"/>
          <w:szCs w:val="24"/>
          <w:lang w:val="en-GB"/>
        </w:rPr>
        <w:t>40136, Italy</w:t>
      </w:r>
    </w:p>
    <w:bookmarkEnd w:id="11"/>
    <w:bookmarkEnd w:id="12"/>
    <w:bookmarkEnd w:id="13"/>
    <w:bookmarkEnd w:id="14"/>
    <w:bookmarkEnd w:id="15"/>
    <w:p w:rsidR="007C2761" w:rsidRPr="00C82350" w:rsidRDefault="007C2761" w:rsidP="00C82350">
      <w:pPr>
        <w:widowControl w:val="0"/>
        <w:suppressAutoHyphens w:val="0"/>
        <w:adjustRightInd w:val="0"/>
        <w:snapToGrid w:val="0"/>
        <w:spacing w:after="0" w:line="360" w:lineRule="auto"/>
        <w:jc w:val="both"/>
        <w:rPr>
          <w:rFonts w:ascii="Book Antiqua" w:hAnsi="Book Antiqua"/>
          <w:color w:val="auto"/>
          <w:lang w:val="en-GB"/>
        </w:rPr>
      </w:pPr>
    </w:p>
    <w:p w:rsidR="00C82350" w:rsidRDefault="007C2761" w:rsidP="00C82350">
      <w:pPr>
        <w:widowControl w:val="0"/>
        <w:suppressAutoHyphens w:val="0"/>
        <w:adjustRightInd w:val="0"/>
        <w:snapToGrid w:val="0"/>
        <w:spacing w:after="0" w:line="360" w:lineRule="auto"/>
        <w:jc w:val="both"/>
        <w:rPr>
          <w:rFonts w:ascii="Book Antiqua" w:hAnsi="Book Antiqua"/>
          <w:color w:val="auto"/>
        </w:rPr>
      </w:pPr>
      <w:r w:rsidRPr="00C82350">
        <w:rPr>
          <w:rFonts w:ascii="Book Antiqua" w:hAnsi="Book Antiqua"/>
          <w:b/>
          <w:bCs/>
          <w:color w:val="auto"/>
        </w:rPr>
        <w:t xml:space="preserve">ORCID number: </w:t>
      </w:r>
      <w:r w:rsidRPr="00C82350">
        <w:rPr>
          <w:rFonts w:ascii="Book Antiqua" w:hAnsi="Book Antiqua"/>
          <w:color w:val="auto"/>
        </w:rPr>
        <w:t>Simona Leoni (0000-0001-8825-9698)</w:t>
      </w:r>
      <w:r w:rsidR="00C82350">
        <w:rPr>
          <w:rFonts w:ascii="Book Antiqua" w:hAnsi="Book Antiqua" w:hint="eastAsia"/>
          <w:color w:val="auto"/>
        </w:rPr>
        <w:t>;</w:t>
      </w:r>
      <w:r w:rsidRPr="00C82350">
        <w:rPr>
          <w:rFonts w:ascii="Book Antiqua" w:hAnsi="Book Antiqua"/>
          <w:color w:val="auto"/>
        </w:rPr>
        <w:t xml:space="preserve"> Francesco Tovoli (0000-0002-8350-1155)</w:t>
      </w:r>
      <w:r w:rsidR="00C82350">
        <w:rPr>
          <w:rFonts w:ascii="Book Antiqua" w:hAnsi="Book Antiqua" w:hint="eastAsia"/>
          <w:color w:val="auto"/>
        </w:rPr>
        <w:t>;</w:t>
      </w:r>
      <w:r w:rsidRPr="00C82350">
        <w:rPr>
          <w:rFonts w:ascii="Book Antiqua" w:hAnsi="Book Antiqua"/>
          <w:color w:val="auto"/>
        </w:rPr>
        <w:t xml:space="preserve"> Lucia Napoli (0000-0002-5499-9310)</w:t>
      </w:r>
      <w:r w:rsidR="00C82350">
        <w:rPr>
          <w:rFonts w:ascii="Book Antiqua" w:hAnsi="Book Antiqua" w:hint="eastAsia"/>
          <w:color w:val="auto"/>
        </w:rPr>
        <w:t>;</w:t>
      </w:r>
      <w:r w:rsidRPr="00C82350">
        <w:rPr>
          <w:rFonts w:ascii="Book Antiqua" w:hAnsi="Book Antiqua"/>
          <w:color w:val="auto"/>
        </w:rPr>
        <w:t xml:space="preserve"> Ilaria Serio (0000-0002-6676-4148)</w:t>
      </w:r>
      <w:r w:rsidR="00C82350">
        <w:rPr>
          <w:rFonts w:ascii="Book Antiqua" w:hAnsi="Book Antiqua" w:hint="eastAsia"/>
          <w:color w:val="auto"/>
        </w:rPr>
        <w:t>;</w:t>
      </w:r>
      <w:r w:rsidRPr="00C82350">
        <w:rPr>
          <w:rFonts w:ascii="Book Antiqua" w:hAnsi="Book Antiqua"/>
          <w:color w:val="auto"/>
        </w:rPr>
        <w:t xml:space="preserve"> Silvia Ferri (0000-0002-6033-8594)</w:t>
      </w:r>
      <w:r w:rsidR="00C82350">
        <w:rPr>
          <w:rFonts w:ascii="Book Antiqua" w:hAnsi="Book Antiqua" w:hint="eastAsia"/>
          <w:color w:val="auto"/>
        </w:rPr>
        <w:t>;</w:t>
      </w:r>
      <w:r w:rsidRPr="00C82350">
        <w:rPr>
          <w:rFonts w:ascii="Book Antiqua" w:hAnsi="Book Antiqua"/>
          <w:color w:val="auto"/>
        </w:rPr>
        <w:t xml:space="preserve"> Luigi Bolondi (0000-0002-1021-6388)</w:t>
      </w:r>
      <w:r w:rsidR="00C82350">
        <w:rPr>
          <w:rFonts w:ascii="Book Antiqua" w:hAnsi="Book Antiqua" w:hint="eastAsia"/>
          <w:color w:val="auto"/>
        </w:rPr>
        <w:t>.</w:t>
      </w:r>
    </w:p>
    <w:p w:rsidR="00C82350" w:rsidRDefault="00C82350" w:rsidP="00C82350">
      <w:pPr>
        <w:widowControl w:val="0"/>
        <w:suppressAutoHyphens w:val="0"/>
        <w:adjustRightInd w:val="0"/>
        <w:snapToGrid w:val="0"/>
        <w:spacing w:after="0" w:line="360" w:lineRule="auto"/>
        <w:jc w:val="both"/>
        <w:rPr>
          <w:rFonts w:ascii="Book Antiqua" w:hAnsi="Book Antiqua"/>
          <w:color w:val="auto"/>
        </w:rPr>
      </w:pPr>
    </w:p>
    <w:p w:rsidR="007C2761" w:rsidRDefault="00C82350" w:rsidP="00C82350">
      <w:pPr>
        <w:widowControl w:val="0"/>
        <w:suppressAutoHyphens w:val="0"/>
        <w:adjustRightInd w:val="0"/>
        <w:snapToGrid w:val="0"/>
        <w:spacing w:after="0" w:line="360" w:lineRule="auto"/>
        <w:jc w:val="both"/>
        <w:rPr>
          <w:rFonts w:ascii="Book Antiqua" w:hAnsi="Book Antiqua"/>
          <w:color w:val="auto"/>
          <w:lang w:val="en-US"/>
        </w:rPr>
      </w:pPr>
      <w:r>
        <w:rPr>
          <w:rFonts w:ascii="Book Antiqua" w:hAnsi="Book Antiqua"/>
          <w:b/>
          <w:bCs/>
          <w:color w:val="auto"/>
          <w:lang w:val="en-US"/>
        </w:rPr>
        <w:t>Author</w:t>
      </w:r>
      <w:r w:rsidR="007C2761" w:rsidRPr="00C82350">
        <w:rPr>
          <w:rFonts w:ascii="Book Antiqua" w:hAnsi="Book Antiqua"/>
          <w:b/>
          <w:bCs/>
          <w:color w:val="auto"/>
          <w:lang w:val="en-US"/>
        </w:rPr>
        <w:t xml:space="preserve"> contributions</w:t>
      </w:r>
      <w:r w:rsidR="007C2761" w:rsidRPr="00C82350">
        <w:rPr>
          <w:rFonts w:ascii="Book Antiqua" w:hAnsi="Book Antiqua"/>
          <w:color w:val="auto"/>
          <w:lang w:val="en-US"/>
        </w:rPr>
        <w:t>: All authors equally contributed to this paper with conception and design of the study, literature review and analysis, drafting and critical revision, editing and approval of final version.</w:t>
      </w:r>
    </w:p>
    <w:p w:rsidR="00C82350" w:rsidRPr="00C82350" w:rsidRDefault="00C82350" w:rsidP="00C82350">
      <w:pPr>
        <w:widowControl w:val="0"/>
        <w:suppressAutoHyphens w:val="0"/>
        <w:adjustRightInd w:val="0"/>
        <w:snapToGrid w:val="0"/>
        <w:spacing w:after="0" w:line="360" w:lineRule="auto"/>
        <w:jc w:val="both"/>
        <w:rPr>
          <w:rFonts w:ascii="Book Antiqua" w:hAnsi="Book Antiqua"/>
          <w:color w:val="auto"/>
          <w:lang w:val="en-US"/>
        </w:rPr>
      </w:pPr>
    </w:p>
    <w:p w:rsidR="007C2761" w:rsidRPr="00C82350" w:rsidRDefault="007C2761" w:rsidP="00C82350">
      <w:pPr>
        <w:adjustRightInd w:val="0"/>
        <w:snapToGrid w:val="0"/>
        <w:spacing w:after="0" w:line="360" w:lineRule="auto"/>
        <w:jc w:val="both"/>
        <w:rPr>
          <w:rFonts w:ascii="Book Antiqua" w:hAnsi="Book Antiqua"/>
          <w:color w:val="000000"/>
          <w:lang w:val="en-GB"/>
        </w:rPr>
      </w:pPr>
      <w:r w:rsidRPr="00C82350">
        <w:rPr>
          <w:rFonts w:ascii="Book Antiqua" w:hAnsi="Book Antiqua"/>
          <w:b/>
          <w:color w:val="000000"/>
          <w:lang w:val="en-GB"/>
        </w:rPr>
        <w:t>Conflict-of-interest statement:</w:t>
      </w:r>
      <w:r w:rsidRPr="00C82350">
        <w:rPr>
          <w:rFonts w:ascii="Book Antiqua" w:hAnsi="Book Antiqua"/>
          <w:color w:val="000000"/>
          <w:lang w:val="en-GB"/>
        </w:rPr>
        <w:t xml:space="preserve"> To the best of our knowledge, no conflict of interest exists.</w:t>
      </w:r>
    </w:p>
    <w:p w:rsidR="007C2761" w:rsidRDefault="007C2761" w:rsidP="00C82350">
      <w:pPr>
        <w:widowControl w:val="0"/>
        <w:suppressAutoHyphens w:val="0"/>
        <w:adjustRightInd w:val="0"/>
        <w:snapToGrid w:val="0"/>
        <w:spacing w:after="0" w:line="360" w:lineRule="auto"/>
        <w:jc w:val="both"/>
        <w:rPr>
          <w:rFonts w:ascii="Book Antiqua" w:hAnsi="Book Antiqua"/>
          <w:color w:val="auto"/>
          <w:lang w:val="en-GB"/>
        </w:rPr>
      </w:pPr>
    </w:p>
    <w:p w:rsidR="00C82350" w:rsidRPr="00C82350" w:rsidRDefault="00C82350" w:rsidP="00C82350">
      <w:pPr>
        <w:suppressAutoHyphens w:val="0"/>
        <w:spacing w:after="0" w:line="360" w:lineRule="auto"/>
        <w:jc w:val="both"/>
        <w:rPr>
          <w:rFonts w:ascii="Book Antiqua" w:eastAsia="MS Mincho" w:hAnsi="Book Antiqua"/>
          <w:b/>
          <w:color w:val="000000"/>
          <w:lang w:val="en-US" w:eastAsia="it-IT"/>
        </w:rPr>
      </w:pPr>
      <w:r w:rsidRPr="00C82350">
        <w:rPr>
          <w:rFonts w:ascii="Book Antiqua" w:eastAsia="MS Mincho" w:hAnsi="Book Antiqua"/>
          <w:b/>
          <w:color w:val="000000"/>
          <w:lang w:val="en-US" w:eastAsia="it-IT"/>
        </w:rPr>
        <w:t xml:space="preserve">Open-Access: </w:t>
      </w:r>
      <w:r w:rsidRPr="00C82350">
        <w:rPr>
          <w:rFonts w:ascii="Book Antiqua" w:eastAsia="MS Mincho" w:hAnsi="Book Antiqua"/>
          <w:color w:val="000000"/>
          <w:lang w:val="en-US" w:eastAsia="it-IT"/>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w:t>
      </w:r>
      <w:r w:rsidRPr="00C82350">
        <w:rPr>
          <w:rFonts w:ascii="Book Antiqua" w:eastAsia="MS Mincho" w:hAnsi="Book Antiqua"/>
          <w:color w:val="000000"/>
          <w:lang w:val="en-US" w:eastAsia="it-IT"/>
        </w:rPr>
        <w:lastRenderedPageBreak/>
        <w:t>provided the original work is properly cited and the use is non-commercial. See: http://creativecommons.org/licenses/by-nc/4.0/</w:t>
      </w:r>
    </w:p>
    <w:p w:rsidR="00C82350" w:rsidRPr="00C82350" w:rsidRDefault="00C82350" w:rsidP="00C82350">
      <w:pPr>
        <w:widowControl w:val="0"/>
        <w:suppressAutoHyphens w:val="0"/>
        <w:adjustRightInd w:val="0"/>
        <w:snapToGrid w:val="0"/>
        <w:spacing w:after="0" w:line="360" w:lineRule="auto"/>
        <w:jc w:val="both"/>
        <w:rPr>
          <w:rFonts w:ascii="Book Antiqua" w:hAnsi="Book Antiqua"/>
          <w:color w:val="000000"/>
          <w:kern w:val="2"/>
          <w:lang w:val="en-US"/>
        </w:rPr>
      </w:pPr>
    </w:p>
    <w:p w:rsidR="00C82350" w:rsidRPr="00C82350" w:rsidRDefault="00C82350" w:rsidP="00C82350">
      <w:pPr>
        <w:widowControl w:val="0"/>
        <w:suppressAutoHyphens w:val="0"/>
        <w:adjustRightInd w:val="0"/>
        <w:snapToGrid w:val="0"/>
        <w:spacing w:after="0" w:line="360" w:lineRule="auto"/>
        <w:jc w:val="both"/>
        <w:rPr>
          <w:rFonts w:ascii="Book Antiqua" w:hAnsi="Book Antiqua" w:cs="Arial Unicode MS"/>
          <w:color w:val="000000"/>
          <w:kern w:val="2"/>
          <w:lang w:val="en-US"/>
        </w:rPr>
      </w:pPr>
      <w:r w:rsidRPr="00C82350">
        <w:rPr>
          <w:rFonts w:ascii="Book Antiqua" w:hAnsi="Book Antiqua" w:cs="Arial Unicode MS"/>
          <w:b/>
          <w:color w:val="000000"/>
          <w:kern w:val="2"/>
          <w:lang w:val="en-US"/>
        </w:rPr>
        <w:t>Manuscript source:</w:t>
      </w:r>
      <w:r w:rsidRPr="00C82350">
        <w:rPr>
          <w:rFonts w:ascii="Book Antiqua" w:hAnsi="Book Antiqua" w:cs="Arial Unicode MS"/>
          <w:color w:val="000000"/>
          <w:kern w:val="2"/>
          <w:lang w:val="en-US"/>
        </w:rPr>
        <w:t xml:space="preserve"> Invited manuscript</w:t>
      </w:r>
    </w:p>
    <w:p w:rsidR="00C82350" w:rsidRPr="00C82350" w:rsidRDefault="00C82350" w:rsidP="00C82350">
      <w:pPr>
        <w:widowControl w:val="0"/>
        <w:suppressAutoHyphens w:val="0"/>
        <w:adjustRightInd w:val="0"/>
        <w:snapToGrid w:val="0"/>
        <w:spacing w:after="0" w:line="360" w:lineRule="auto"/>
        <w:jc w:val="both"/>
        <w:rPr>
          <w:rFonts w:ascii="Book Antiqua" w:hAnsi="Book Antiqua"/>
          <w:color w:val="auto"/>
          <w:lang w:val="en-US"/>
        </w:rPr>
      </w:pPr>
    </w:p>
    <w:p w:rsidR="007C2761" w:rsidRPr="00C82350" w:rsidRDefault="007C2761" w:rsidP="00C82350">
      <w:pPr>
        <w:widowControl w:val="0"/>
        <w:suppressAutoHyphens w:val="0"/>
        <w:adjustRightInd w:val="0"/>
        <w:snapToGrid w:val="0"/>
        <w:spacing w:after="0" w:line="360" w:lineRule="auto"/>
        <w:jc w:val="both"/>
        <w:rPr>
          <w:rFonts w:ascii="Book Antiqua" w:hAnsi="Book Antiqua"/>
          <w:color w:val="auto"/>
          <w:lang w:val="en-GB"/>
        </w:rPr>
      </w:pPr>
      <w:r w:rsidRPr="00C82350">
        <w:rPr>
          <w:rFonts w:ascii="Book Antiqua" w:hAnsi="Book Antiqua"/>
          <w:b/>
          <w:bCs/>
          <w:color w:val="auto"/>
          <w:lang w:val="en-GB"/>
        </w:rPr>
        <w:t>Correspondence to</w:t>
      </w:r>
      <w:r w:rsidRPr="00C82350">
        <w:rPr>
          <w:rFonts w:ascii="Book Antiqua" w:hAnsi="Book Antiqua"/>
          <w:b/>
          <w:color w:val="auto"/>
          <w:lang w:val="en-GB"/>
        </w:rPr>
        <w:t>: Simona Leoni</w:t>
      </w:r>
      <w:r w:rsidR="00C82350" w:rsidRPr="00C82350">
        <w:rPr>
          <w:rFonts w:ascii="Book Antiqua" w:hAnsi="Book Antiqua" w:hint="eastAsia"/>
          <w:b/>
          <w:color w:val="auto"/>
          <w:lang w:val="en-GB"/>
        </w:rPr>
        <w:t>,</w:t>
      </w:r>
      <w:r w:rsidRPr="00C82350">
        <w:rPr>
          <w:rFonts w:ascii="Book Antiqua" w:hAnsi="Book Antiqua"/>
          <w:b/>
          <w:color w:val="auto"/>
          <w:lang w:val="en-GB"/>
        </w:rPr>
        <w:t xml:space="preserve"> MD, PhD</w:t>
      </w:r>
      <w:r w:rsidR="00CE1F0F">
        <w:rPr>
          <w:rFonts w:ascii="Book Antiqua" w:hAnsi="Book Antiqua" w:hint="eastAsia"/>
          <w:b/>
          <w:color w:val="auto"/>
          <w:lang w:val="en-GB"/>
        </w:rPr>
        <w:t>,</w:t>
      </w:r>
      <w:r w:rsidR="00C82350" w:rsidRPr="00C82350">
        <w:rPr>
          <w:rFonts w:ascii="Book Antiqua" w:hAnsi="Book Antiqua" w:hint="eastAsia"/>
          <w:b/>
          <w:color w:val="auto"/>
          <w:lang w:val="en-GB"/>
        </w:rPr>
        <w:t xml:space="preserve"> </w:t>
      </w:r>
      <w:r w:rsidR="00C82350" w:rsidRPr="00C82350">
        <w:rPr>
          <w:rFonts w:ascii="Book Antiqua" w:hAnsi="Book Antiqua"/>
          <w:b/>
          <w:color w:val="auto"/>
          <w:lang w:val="en-GB"/>
        </w:rPr>
        <w:t>Doctor</w:t>
      </w:r>
      <w:r w:rsidR="00C82350" w:rsidRPr="00C82350">
        <w:rPr>
          <w:rFonts w:ascii="Book Antiqua" w:hAnsi="Book Antiqua" w:hint="eastAsia"/>
          <w:b/>
          <w:color w:val="auto"/>
          <w:lang w:val="en-GB"/>
        </w:rPr>
        <w:t>,</w:t>
      </w:r>
      <w:r w:rsidR="009177BC">
        <w:rPr>
          <w:rFonts w:ascii="Book Antiqua" w:hAnsi="Book Antiqua" w:hint="eastAsia"/>
          <w:color w:val="auto"/>
          <w:lang w:val="en-GB"/>
        </w:rPr>
        <w:t xml:space="preserve"> </w:t>
      </w:r>
      <w:r w:rsidR="00C82350" w:rsidRPr="00C82350">
        <w:rPr>
          <w:rFonts w:ascii="Book Antiqua" w:hAnsi="Book Antiqua"/>
          <w:bCs/>
          <w:lang w:val="en-GB"/>
        </w:rPr>
        <w:t>Department of Medical and Surgical Sciences (DIMEC), Division of Internal Medicine, University of Bologna</w:t>
      </w:r>
      <w:r w:rsidR="00C82350">
        <w:rPr>
          <w:rFonts w:ascii="Book Antiqua" w:hAnsi="Book Antiqua" w:hint="eastAsia"/>
          <w:bCs/>
          <w:lang w:val="en-GB"/>
        </w:rPr>
        <w:t>,</w:t>
      </w:r>
      <w:r w:rsidR="00C82350" w:rsidRPr="00C82350">
        <w:rPr>
          <w:rFonts w:ascii="Book Antiqua" w:hAnsi="Book Antiqua"/>
          <w:bCs/>
          <w:lang w:val="en-GB"/>
        </w:rPr>
        <w:t xml:space="preserve"> </w:t>
      </w:r>
      <w:r w:rsidRPr="00C82350">
        <w:rPr>
          <w:rFonts w:ascii="Book Antiqua" w:hAnsi="Book Antiqua"/>
          <w:color w:val="auto"/>
          <w:lang w:val="en-GB"/>
        </w:rPr>
        <w:t xml:space="preserve">via Massarenti 9, </w:t>
      </w:r>
      <w:bookmarkStart w:id="16" w:name="OLE_LINK1"/>
      <w:bookmarkStart w:id="17" w:name="OLE_LINK2"/>
      <w:r w:rsidRPr="00C82350">
        <w:rPr>
          <w:rFonts w:ascii="Book Antiqua" w:hAnsi="Book Antiqua"/>
          <w:color w:val="auto"/>
          <w:lang w:val="en-GB"/>
        </w:rPr>
        <w:t>Bologna</w:t>
      </w:r>
      <w:r w:rsidR="00C82350">
        <w:rPr>
          <w:rFonts w:ascii="Book Antiqua" w:hAnsi="Book Antiqua" w:hint="eastAsia"/>
          <w:color w:val="auto"/>
          <w:lang w:val="en-GB"/>
        </w:rPr>
        <w:t xml:space="preserve"> </w:t>
      </w:r>
      <w:bookmarkEnd w:id="16"/>
      <w:bookmarkEnd w:id="17"/>
      <w:r w:rsidRPr="00C82350">
        <w:rPr>
          <w:rFonts w:ascii="Book Antiqua" w:hAnsi="Book Antiqua"/>
          <w:color w:val="auto"/>
          <w:lang w:val="en-GB"/>
        </w:rPr>
        <w:t>40138</w:t>
      </w:r>
      <w:r w:rsidR="00C82350">
        <w:rPr>
          <w:rFonts w:ascii="Book Antiqua" w:hAnsi="Book Antiqua"/>
          <w:color w:val="auto"/>
          <w:lang w:val="en-GB"/>
        </w:rPr>
        <w:t>, Italy</w:t>
      </w:r>
      <w:r w:rsidRPr="00C82350">
        <w:rPr>
          <w:rFonts w:ascii="Book Antiqua" w:hAnsi="Book Antiqua"/>
          <w:color w:val="auto"/>
          <w:lang w:val="en-GB"/>
        </w:rPr>
        <w:t>.</w:t>
      </w:r>
      <w:r w:rsidR="00C82350">
        <w:rPr>
          <w:rFonts w:ascii="Book Antiqua" w:hAnsi="Book Antiqua" w:hint="eastAsia"/>
          <w:color w:val="auto"/>
          <w:lang w:val="en-GB"/>
        </w:rPr>
        <w:t xml:space="preserve"> </w:t>
      </w:r>
      <w:r w:rsidR="00C82350" w:rsidRPr="00C82350">
        <w:rPr>
          <w:rFonts w:ascii="Book Antiqua" w:hAnsi="Book Antiqua"/>
          <w:color w:val="auto"/>
          <w:lang w:val="en-GB"/>
        </w:rPr>
        <w:t>simona.leoni@aosp.bo.it</w:t>
      </w:r>
    </w:p>
    <w:p w:rsidR="007C2761" w:rsidRPr="00C82350" w:rsidRDefault="007C2761" w:rsidP="00C82350">
      <w:pPr>
        <w:widowControl w:val="0"/>
        <w:suppressAutoHyphens w:val="0"/>
        <w:adjustRightInd w:val="0"/>
        <w:snapToGrid w:val="0"/>
        <w:spacing w:after="0" w:line="360" w:lineRule="auto"/>
        <w:jc w:val="both"/>
        <w:rPr>
          <w:rFonts w:ascii="Book Antiqua" w:hAnsi="Book Antiqua"/>
          <w:color w:val="auto"/>
          <w:lang w:val="en-GB"/>
        </w:rPr>
      </w:pPr>
      <w:r w:rsidRPr="00C82350">
        <w:rPr>
          <w:rFonts w:ascii="Book Antiqua" w:hAnsi="Book Antiqua"/>
          <w:b/>
          <w:bCs/>
          <w:color w:val="auto"/>
          <w:lang w:val="en-US"/>
        </w:rPr>
        <w:t>Telephone</w:t>
      </w:r>
      <w:r w:rsidRPr="00C82350">
        <w:rPr>
          <w:rFonts w:ascii="Book Antiqua" w:hAnsi="Book Antiqua"/>
          <w:color w:val="auto"/>
          <w:lang w:val="en-US"/>
        </w:rPr>
        <w:t>:</w:t>
      </w:r>
      <w:r w:rsidR="00C82350">
        <w:rPr>
          <w:rFonts w:ascii="Book Antiqua" w:hAnsi="Book Antiqua"/>
          <w:color w:val="auto"/>
          <w:lang w:val="en-GB"/>
        </w:rPr>
        <w:t xml:space="preserve"> +39-</w:t>
      </w:r>
      <w:r w:rsidRPr="00C82350">
        <w:rPr>
          <w:rFonts w:ascii="Book Antiqua" w:hAnsi="Book Antiqua"/>
          <w:color w:val="auto"/>
          <w:lang w:val="en-GB"/>
        </w:rPr>
        <w:t>51</w:t>
      </w:r>
      <w:r w:rsidR="00C82350">
        <w:rPr>
          <w:rFonts w:ascii="Book Antiqua" w:hAnsi="Book Antiqua" w:hint="eastAsia"/>
          <w:color w:val="auto"/>
          <w:lang w:val="en-GB"/>
        </w:rPr>
        <w:t>-</w:t>
      </w:r>
      <w:r w:rsidRPr="00C82350">
        <w:rPr>
          <w:rFonts w:ascii="Book Antiqua" w:hAnsi="Book Antiqua"/>
          <w:color w:val="auto"/>
          <w:lang w:val="en-GB"/>
        </w:rPr>
        <w:t>2142214</w:t>
      </w:r>
    </w:p>
    <w:p w:rsidR="007C2761" w:rsidRDefault="007C2761" w:rsidP="00C82350">
      <w:pPr>
        <w:widowControl w:val="0"/>
        <w:suppressAutoHyphens w:val="0"/>
        <w:adjustRightInd w:val="0"/>
        <w:snapToGrid w:val="0"/>
        <w:spacing w:after="0" w:line="360" w:lineRule="auto"/>
        <w:jc w:val="both"/>
        <w:rPr>
          <w:rFonts w:ascii="Book Antiqua" w:hAnsi="Book Antiqua"/>
          <w:color w:val="auto"/>
          <w:lang w:val="en-GB"/>
        </w:rPr>
      </w:pPr>
      <w:r w:rsidRPr="00C82350">
        <w:rPr>
          <w:rFonts w:ascii="Book Antiqua" w:hAnsi="Book Antiqua"/>
          <w:b/>
          <w:bCs/>
          <w:color w:val="auto"/>
          <w:lang w:val="en-US"/>
        </w:rPr>
        <w:t>Fax</w:t>
      </w:r>
      <w:r w:rsidRPr="00C82350">
        <w:rPr>
          <w:rFonts w:ascii="Book Antiqua" w:hAnsi="Book Antiqua"/>
          <w:color w:val="auto"/>
          <w:lang w:val="en-US"/>
        </w:rPr>
        <w:t>:</w:t>
      </w:r>
      <w:r w:rsidR="00C82350">
        <w:rPr>
          <w:rFonts w:ascii="Book Antiqua" w:hAnsi="Book Antiqua"/>
          <w:color w:val="auto"/>
          <w:lang w:val="en-GB"/>
        </w:rPr>
        <w:t xml:space="preserve"> +39-</w:t>
      </w:r>
      <w:r w:rsidRPr="00C82350">
        <w:rPr>
          <w:rFonts w:ascii="Book Antiqua" w:hAnsi="Book Antiqua"/>
          <w:color w:val="auto"/>
          <w:lang w:val="en-GB"/>
        </w:rPr>
        <w:t>51</w:t>
      </w:r>
      <w:r w:rsidR="00C82350">
        <w:rPr>
          <w:rFonts w:ascii="Book Antiqua" w:hAnsi="Book Antiqua" w:hint="eastAsia"/>
          <w:color w:val="auto"/>
          <w:lang w:val="en-GB"/>
        </w:rPr>
        <w:t>-</w:t>
      </w:r>
      <w:r w:rsidR="00C82350">
        <w:rPr>
          <w:rFonts w:ascii="Book Antiqua" w:hAnsi="Book Antiqua"/>
          <w:color w:val="auto"/>
          <w:lang w:val="en-GB"/>
        </w:rPr>
        <w:t>2142725</w:t>
      </w:r>
    </w:p>
    <w:p w:rsidR="00C82350" w:rsidRDefault="00C82350" w:rsidP="00C82350">
      <w:pPr>
        <w:widowControl w:val="0"/>
        <w:suppressAutoHyphens w:val="0"/>
        <w:adjustRightInd w:val="0"/>
        <w:snapToGrid w:val="0"/>
        <w:spacing w:after="0" w:line="360" w:lineRule="auto"/>
        <w:jc w:val="both"/>
        <w:rPr>
          <w:rFonts w:ascii="Book Antiqua" w:hAnsi="Book Antiqua"/>
          <w:color w:val="auto"/>
          <w:lang w:val="en-GB"/>
        </w:rPr>
      </w:pPr>
    </w:p>
    <w:p w:rsidR="00C82350" w:rsidRPr="00C82350" w:rsidRDefault="00C82350" w:rsidP="00C82350">
      <w:pPr>
        <w:widowControl w:val="0"/>
        <w:suppressAutoHyphens w:val="0"/>
        <w:adjustRightInd w:val="0"/>
        <w:snapToGrid w:val="0"/>
        <w:spacing w:after="0" w:line="360" w:lineRule="auto"/>
        <w:jc w:val="both"/>
        <w:rPr>
          <w:rFonts w:ascii="Book Antiqua" w:hAnsi="Book Antiqua"/>
          <w:color w:val="000000"/>
          <w:kern w:val="2"/>
          <w:lang w:val="en-US"/>
        </w:rPr>
      </w:pPr>
      <w:r w:rsidRPr="00C82350">
        <w:rPr>
          <w:rFonts w:ascii="Book Antiqua" w:hAnsi="Book Antiqua"/>
          <w:b/>
          <w:color w:val="000000"/>
          <w:kern w:val="2"/>
          <w:lang w:val="en-US"/>
        </w:rPr>
        <w:t>Received:</w:t>
      </w:r>
      <w:r w:rsidRPr="00C82350">
        <w:rPr>
          <w:rFonts w:ascii="Book Antiqua" w:hAnsi="Book Antiqua"/>
          <w:color w:val="000000"/>
          <w:kern w:val="2"/>
          <w:lang w:val="en-US"/>
        </w:rPr>
        <w:t xml:space="preserve"> </w:t>
      </w:r>
      <w:r>
        <w:rPr>
          <w:rFonts w:ascii="Book Antiqua" w:hAnsi="Book Antiqua" w:cs="Arial" w:hint="eastAsia"/>
          <w:color w:val="000000"/>
          <w:lang w:val="en-US"/>
        </w:rPr>
        <w:t>May</w:t>
      </w:r>
      <w:r w:rsidRPr="00C82350">
        <w:rPr>
          <w:rFonts w:ascii="Book Antiqua" w:hAnsi="Book Antiqua" w:cs="Arial" w:hint="eastAsia"/>
          <w:color w:val="000000"/>
          <w:lang w:val="en-US"/>
        </w:rPr>
        <w:t xml:space="preserve"> </w:t>
      </w:r>
      <w:r>
        <w:rPr>
          <w:rFonts w:ascii="Book Antiqua" w:hAnsi="Book Antiqua" w:cs="Arial" w:hint="eastAsia"/>
          <w:color w:val="000000"/>
          <w:lang w:val="en-US"/>
        </w:rPr>
        <w:t>9</w:t>
      </w:r>
      <w:r w:rsidRPr="00C82350">
        <w:rPr>
          <w:rFonts w:ascii="Book Antiqua" w:hAnsi="Book Antiqua" w:cs="Arial" w:hint="eastAsia"/>
          <w:color w:val="000000"/>
          <w:lang w:val="en-US"/>
        </w:rPr>
        <w:t>, 2018</w:t>
      </w:r>
    </w:p>
    <w:p w:rsidR="00C82350" w:rsidRPr="00C82350" w:rsidRDefault="00C82350" w:rsidP="00C82350">
      <w:pPr>
        <w:widowControl w:val="0"/>
        <w:suppressAutoHyphens w:val="0"/>
        <w:adjustRightInd w:val="0"/>
        <w:snapToGrid w:val="0"/>
        <w:spacing w:after="0" w:line="360" w:lineRule="auto"/>
        <w:jc w:val="both"/>
        <w:rPr>
          <w:rFonts w:ascii="Book Antiqua" w:hAnsi="Book Antiqua"/>
          <w:color w:val="000000"/>
          <w:kern w:val="2"/>
          <w:lang w:val="en-US"/>
        </w:rPr>
      </w:pPr>
      <w:r w:rsidRPr="00C82350">
        <w:rPr>
          <w:rFonts w:ascii="Book Antiqua" w:hAnsi="Book Antiqua"/>
          <w:b/>
          <w:color w:val="000000"/>
          <w:kern w:val="2"/>
          <w:lang w:val="en-US"/>
        </w:rPr>
        <w:t>Peer-review started:</w:t>
      </w:r>
      <w:r w:rsidRPr="00C82350">
        <w:rPr>
          <w:rFonts w:ascii="Book Antiqua" w:hAnsi="Book Antiqua"/>
          <w:color w:val="000000"/>
          <w:kern w:val="2"/>
          <w:lang w:val="en-US"/>
        </w:rPr>
        <w:t xml:space="preserve"> </w:t>
      </w:r>
      <w:r>
        <w:rPr>
          <w:rFonts w:ascii="Book Antiqua" w:hAnsi="Book Antiqua" w:cs="Arial" w:hint="eastAsia"/>
          <w:color w:val="000000"/>
          <w:lang w:val="en-US"/>
        </w:rPr>
        <w:t>May</w:t>
      </w:r>
      <w:r w:rsidRPr="00C82350">
        <w:rPr>
          <w:rFonts w:ascii="Book Antiqua" w:hAnsi="Book Antiqua" w:cs="Arial" w:hint="eastAsia"/>
          <w:color w:val="000000"/>
          <w:lang w:val="en-US"/>
        </w:rPr>
        <w:t xml:space="preserve"> </w:t>
      </w:r>
      <w:r>
        <w:rPr>
          <w:rFonts w:ascii="Book Antiqua" w:hAnsi="Book Antiqua" w:cs="Arial" w:hint="eastAsia"/>
          <w:color w:val="000000"/>
          <w:lang w:val="en-US"/>
        </w:rPr>
        <w:t>10</w:t>
      </w:r>
      <w:r w:rsidRPr="00C82350">
        <w:rPr>
          <w:rFonts w:ascii="Book Antiqua" w:hAnsi="Book Antiqua" w:cs="Arial" w:hint="eastAsia"/>
          <w:color w:val="000000"/>
          <w:lang w:val="en-US"/>
        </w:rPr>
        <w:t>, 2018</w:t>
      </w:r>
    </w:p>
    <w:p w:rsidR="00C82350" w:rsidRPr="00C82350" w:rsidRDefault="00C82350" w:rsidP="00C82350">
      <w:pPr>
        <w:widowControl w:val="0"/>
        <w:suppressAutoHyphens w:val="0"/>
        <w:adjustRightInd w:val="0"/>
        <w:snapToGrid w:val="0"/>
        <w:spacing w:after="0" w:line="360" w:lineRule="auto"/>
        <w:jc w:val="both"/>
        <w:rPr>
          <w:rFonts w:ascii="Book Antiqua" w:hAnsi="Book Antiqua"/>
          <w:color w:val="000000"/>
          <w:kern w:val="2"/>
          <w:lang w:val="en-US"/>
        </w:rPr>
      </w:pPr>
      <w:r w:rsidRPr="00C82350">
        <w:rPr>
          <w:rFonts w:ascii="Book Antiqua" w:hAnsi="Book Antiqua"/>
          <w:b/>
          <w:color w:val="000000"/>
          <w:kern w:val="2"/>
          <w:lang w:val="en-US"/>
        </w:rPr>
        <w:t>First decision:</w:t>
      </w:r>
      <w:r w:rsidRPr="00C82350">
        <w:rPr>
          <w:rFonts w:ascii="Book Antiqua" w:hAnsi="Book Antiqua"/>
          <w:color w:val="000000"/>
          <w:kern w:val="2"/>
          <w:lang w:val="en-US"/>
        </w:rPr>
        <w:t xml:space="preserve"> </w:t>
      </w:r>
      <w:r>
        <w:rPr>
          <w:rFonts w:ascii="Book Antiqua" w:hAnsi="Book Antiqua" w:cs="Arial" w:hint="eastAsia"/>
          <w:color w:val="000000"/>
          <w:lang w:val="en-US"/>
        </w:rPr>
        <w:t>May</w:t>
      </w:r>
      <w:r w:rsidRPr="00C82350">
        <w:rPr>
          <w:rFonts w:ascii="Book Antiqua" w:hAnsi="Book Antiqua" w:cs="Arial" w:hint="eastAsia"/>
          <w:color w:val="000000"/>
          <w:lang w:val="en-US"/>
        </w:rPr>
        <w:t xml:space="preserve"> </w:t>
      </w:r>
      <w:r>
        <w:rPr>
          <w:rFonts w:ascii="Book Antiqua" w:hAnsi="Book Antiqua" w:cs="Arial" w:hint="eastAsia"/>
          <w:color w:val="000000"/>
          <w:lang w:val="en-US"/>
        </w:rPr>
        <w:t>24</w:t>
      </w:r>
      <w:r w:rsidRPr="00C82350">
        <w:rPr>
          <w:rFonts w:ascii="Book Antiqua" w:hAnsi="Book Antiqua" w:cs="Arial" w:hint="eastAsia"/>
          <w:color w:val="000000"/>
          <w:lang w:val="en-US"/>
        </w:rPr>
        <w:t>, 2018</w:t>
      </w:r>
      <w:bookmarkStart w:id="18" w:name="_GoBack"/>
      <w:bookmarkEnd w:id="18"/>
    </w:p>
    <w:p w:rsidR="00C82350" w:rsidRPr="00C82350" w:rsidRDefault="00C82350" w:rsidP="00C82350">
      <w:pPr>
        <w:widowControl w:val="0"/>
        <w:suppressAutoHyphens w:val="0"/>
        <w:adjustRightInd w:val="0"/>
        <w:snapToGrid w:val="0"/>
        <w:spacing w:after="0" w:line="360" w:lineRule="auto"/>
        <w:jc w:val="both"/>
        <w:rPr>
          <w:rFonts w:ascii="Book Antiqua" w:hAnsi="Book Antiqua"/>
          <w:color w:val="000000"/>
          <w:kern w:val="2"/>
          <w:lang w:val="en-US"/>
        </w:rPr>
      </w:pPr>
      <w:r w:rsidRPr="00C82350">
        <w:rPr>
          <w:rFonts w:ascii="Book Antiqua" w:hAnsi="Book Antiqua"/>
          <w:b/>
          <w:color w:val="000000"/>
          <w:kern w:val="2"/>
          <w:lang w:val="en-US"/>
        </w:rPr>
        <w:t>Revised:</w:t>
      </w:r>
      <w:r w:rsidRPr="00C82350">
        <w:rPr>
          <w:rFonts w:ascii="Book Antiqua" w:hAnsi="Book Antiqua"/>
          <w:color w:val="000000"/>
          <w:kern w:val="2"/>
          <w:lang w:val="en-US"/>
        </w:rPr>
        <w:t xml:space="preserve"> </w:t>
      </w:r>
      <w:r>
        <w:rPr>
          <w:rFonts w:ascii="Book Antiqua" w:hAnsi="Book Antiqua" w:cs="Arial" w:hint="eastAsia"/>
          <w:color w:val="000000"/>
          <w:lang w:val="en-US"/>
        </w:rPr>
        <w:t>May</w:t>
      </w:r>
      <w:r w:rsidRPr="00C82350">
        <w:rPr>
          <w:rFonts w:ascii="Book Antiqua" w:hAnsi="Book Antiqua" w:cs="Arial" w:hint="eastAsia"/>
          <w:color w:val="000000"/>
          <w:lang w:val="en-US"/>
        </w:rPr>
        <w:t xml:space="preserve"> </w:t>
      </w:r>
      <w:r>
        <w:rPr>
          <w:rFonts w:ascii="Book Antiqua" w:hAnsi="Book Antiqua" w:cs="Arial" w:hint="eastAsia"/>
          <w:color w:val="000000"/>
          <w:lang w:val="en-US"/>
        </w:rPr>
        <w:t>31</w:t>
      </w:r>
      <w:r w:rsidRPr="00C82350">
        <w:rPr>
          <w:rFonts w:ascii="Book Antiqua" w:hAnsi="Book Antiqua" w:cs="Arial" w:hint="eastAsia"/>
          <w:color w:val="000000"/>
          <w:lang w:val="en-US"/>
        </w:rPr>
        <w:t>, 2018</w:t>
      </w:r>
    </w:p>
    <w:p w:rsidR="00C82350" w:rsidRPr="00C82350" w:rsidRDefault="00C82350" w:rsidP="00C82350">
      <w:pPr>
        <w:widowControl w:val="0"/>
        <w:suppressAutoHyphens w:val="0"/>
        <w:adjustRightInd w:val="0"/>
        <w:snapToGrid w:val="0"/>
        <w:spacing w:after="0" w:line="360" w:lineRule="auto"/>
        <w:jc w:val="both"/>
        <w:rPr>
          <w:rFonts w:ascii="Book Antiqua" w:hAnsi="Book Antiqua"/>
          <w:color w:val="000000"/>
          <w:kern w:val="2"/>
          <w:lang w:val="en-US"/>
        </w:rPr>
      </w:pPr>
      <w:r w:rsidRPr="00C82350">
        <w:rPr>
          <w:rFonts w:ascii="Book Antiqua" w:hAnsi="Book Antiqua"/>
          <w:b/>
          <w:color w:val="000000"/>
          <w:kern w:val="2"/>
          <w:lang w:val="en-US"/>
        </w:rPr>
        <w:t>Accepted:</w:t>
      </w:r>
      <w:r w:rsidR="00A42FE6" w:rsidRPr="00A42FE6">
        <w:t xml:space="preserve"> </w:t>
      </w:r>
      <w:r w:rsidR="00A42FE6" w:rsidRPr="00A42FE6">
        <w:rPr>
          <w:rFonts w:ascii="Book Antiqua" w:hAnsi="Book Antiqua"/>
          <w:color w:val="000000"/>
          <w:kern w:val="2"/>
          <w:lang w:val="en-US"/>
        </w:rPr>
        <w:t>June 25, 2018</w:t>
      </w:r>
      <w:r w:rsidRPr="00C82350">
        <w:rPr>
          <w:rFonts w:ascii="Book Antiqua" w:hAnsi="Book Antiqua"/>
          <w:color w:val="000000"/>
          <w:kern w:val="2"/>
          <w:lang w:val="en-US"/>
        </w:rPr>
        <w:t xml:space="preserve"> </w:t>
      </w:r>
    </w:p>
    <w:p w:rsidR="00C82350" w:rsidRPr="00C82350" w:rsidRDefault="00C82350" w:rsidP="00C82350">
      <w:pPr>
        <w:widowControl w:val="0"/>
        <w:suppressAutoHyphens w:val="0"/>
        <w:adjustRightInd w:val="0"/>
        <w:snapToGrid w:val="0"/>
        <w:spacing w:after="0" w:line="360" w:lineRule="auto"/>
        <w:jc w:val="both"/>
        <w:rPr>
          <w:rFonts w:ascii="Book Antiqua" w:hAnsi="Book Antiqua"/>
          <w:b/>
          <w:color w:val="000000"/>
          <w:kern w:val="2"/>
          <w:lang w:val="en-US"/>
        </w:rPr>
      </w:pPr>
      <w:r w:rsidRPr="00C82350">
        <w:rPr>
          <w:rFonts w:ascii="Book Antiqua" w:hAnsi="Book Antiqua"/>
          <w:b/>
          <w:color w:val="000000"/>
          <w:kern w:val="2"/>
          <w:lang w:val="en-US"/>
        </w:rPr>
        <w:t>Article in press:</w:t>
      </w:r>
    </w:p>
    <w:p w:rsidR="00C82350" w:rsidRPr="00C82350" w:rsidRDefault="00C82350" w:rsidP="00C82350">
      <w:pPr>
        <w:widowControl w:val="0"/>
        <w:suppressAutoHyphens w:val="0"/>
        <w:adjustRightInd w:val="0"/>
        <w:snapToGrid w:val="0"/>
        <w:spacing w:after="0" w:line="360" w:lineRule="auto"/>
        <w:jc w:val="both"/>
        <w:rPr>
          <w:rFonts w:ascii="Book Antiqua" w:hAnsi="Book Antiqua"/>
          <w:b/>
          <w:color w:val="000000"/>
          <w:kern w:val="2"/>
          <w:lang w:val="en-US"/>
        </w:rPr>
      </w:pPr>
      <w:r w:rsidRPr="00C82350">
        <w:rPr>
          <w:rFonts w:ascii="Book Antiqua" w:hAnsi="Book Antiqua"/>
          <w:b/>
          <w:color w:val="000000"/>
          <w:kern w:val="2"/>
          <w:lang w:val="en-US"/>
        </w:rPr>
        <w:t>Published online:</w:t>
      </w:r>
    </w:p>
    <w:p w:rsidR="00C82350" w:rsidRPr="00C82350" w:rsidRDefault="00C82350" w:rsidP="00C82350">
      <w:pPr>
        <w:widowControl w:val="0"/>
        <w:suppressAutoHyphens w:val="0"/>
        <w:adjustRightInd w:val="0"/>
        <w:snapToGrid w:val="0"/>
        <w:spacing w:after="0" w:line="360" w:lineRule="auto"/>
        <w:jc w:val="both"/>
        <w:rPr>
          <w:rFonts w:ascii="Book Antiqua" w:hAnsi="Book Antiqua"/>
          <w:color w:val="auto"/>
          <w:lang w:val="en-GB"/>
        </w:rPr>
      </w:pPr>
    </w:p>
    <w:p w:rsidR="007C2761" w:rsidRPr="00C82350" w:rsidRDefault="00C82350" w:rsidP="00C82350">
      <w:pPr>
        <w:widowControl w:val="0"/>
        <w:suppressAutoHyphens w:val="0"/>
        <w:adjustRightInd w:val="0"/>
        <w:snapToGrid w:val="0"/>
        <w:spacing w:after="0" w:line="360" w:lineRule="auto"/>
        <w:jc w:val="both"/>
        <w:rPr>
          <w:rFonts w:ascii="Book Antiqua" w:hAnsi="Book Antiqua"/>
          <w:b/>
          <w:color w:val="auto"/>
          <w:lang w:val="en-GB"/>
        </w:rPr>
      </w:pPr>
      <w:r>
        <w:rPr>
          <w:rFonts w:ascii="Book Antiqua" w:hAnsi="Book Antiqua"/>
          <w:b/>
          <w:color w:val="auto"/>
          <w:lang w:val="en-GB"/>
        </w:rPr>
        <w:br w:type="page"/>
      </w:r>
      <w:r w:rsidR="007C2761" w:rsidRPr="00C82350">
        <w:rPr>
          <w:rFonts w:ascii="Book Antiqua" w:hAnsi="Book Antiqua"/>
          <w:b/>
          <w:color w:val="auto"/>
          <w:lang w:val="en-GB"/>
        </w:rPr>
        <w:lastRenderedPageBreak/>
        <w:t>Abstract</w:t>
      </w:r>
    </w:p>
    <w:p w:rsidR="007C2761" w:rsidRPr="00C82350" w:rsidRDefault="007C2761" w:rsidP="00C82350">
      <w:pPr>
        <w:widowControl w:val="0"/>
        <w:suppressAutoHyphens w:val="0"/>
        <w:adjustRightInd w:val="0"/>
        <w:snapToGrid w:val="0"/>
        <w:spacing w:after="0" w:line="360" w:lineRule="auto"/>
        <w:jc w:val="both"/>
        <w:rPr>
          <w:rFonts w:ascii="Book Antiqua" w:hAnsi="Book Antiqua"/>
          <w:color w:val="auto"/>
          <w:lang w:val="en-GB"/>
        </w:rPr>
      </w:pPr>
      <w:r w:rsidRPr="00C82350">
        <w:rPr>
          <w:rFonts w:ascii="Book Antiqua" w:hAnsi="Book Antiqua"/>
          <w:color w:val="auto"/>
          <w:lang w:val="en-GB"/>
        </w:rPr>
        <w:t>The current epidemic of non-alcoholic fatty liver disease (NAFLD) is reshaping the field of hepatology all around the world. The widespread diffusion of metabolic risk factors such as obesity, type2-diabetes mellitus, and dyslipidemia has led to a worldwide diffusion of NAFLD. In parallel to the increased availability of effective anti-viral agents, NAFLD is rapidly becoming the most common cause of chronic liver disease in Western Countries, and a similar trend is expected in Eastern Countries in the next years. This epidemic and its consequences have prompted experts from all over the word in identifying effective strategies for the diagnosis, management, and treatment of NAFLD. Different scientific societies from Europe, America, and Asia-Pacific regions have proposed guidelines based on the most recent evidence about NAFLD. These guidelines are consistent with the key elements in the management of NAFLD, but still, show significant difference about some critical points. We reviewed the current literature in English language to identify the most recent scientific guidelines about NAFLD with the aim to find and critically analyse the main differences. We distinguished guidelines from 5 different scientific societies whose reputation is worldwide recognised and who are representative of the clinical practice in different geographical regions. Differences were noted in: the definition of NAFLD, the opportunity of NAFLD screening in high-risk patients, the non-invasive test proposed for the diagnosis of NAFLD and the identification of NAFLD patients with advanced fibrosis, in the follow-up protocols and, finally, in the treatment strategy (especially in the proposed pharmacological management). These difference have been discussed in the light of the possible evolution of the scenario of NAFLD in the next years.</w:t>
      </w:r>
    </w:p>
    <w:p w:rsidR="007C2761" w:rsidRPr="00C82350" w:rsidRDefault="007C2761" w:rsidP="00C82350">
      <w:pPr>
        <w:widowControl w:val="0"/>
        <w:suppressAutoHyphens w:val="0"/>
        <w:adjustRightInd w:val="0"/>
        <w:snapToGrid w:val="0"/>
        <w:spacing w:after="0" w:line="360" w:lineRule="auto"/>
        <w:jc w:val="both"/>
        <w:rPr>
          <w:rFonts w:ascii="Book Antiqua" w:hAnsi="Book Antiqua"/>
          <w:color w:val="auto"/>
          <w:lang w:val="en-GB"/>
        </w:rPr>
      </w:pPr>
    </w:p>
    <w:p w:rsidR="007C2761" w:rsidRPr="00C82350" w:rsidRDefault="007C2761" w:rsidP="00C82350">
      <w:pPr>
        <w:widowControl w:val="0"/>
        <w:suppressAutoHyphens w:val="0"/>
        <w:adjustRightInd w:val="0"/>
        <w:snapToGrid w:val="0"/>
        <w:spacing w:after="0" w:line="360" w:lineRule="auto"/>
        <w:jc w:val="both"/>
        <w:rPr>
          <w:rFonts w:ascii="Book Antiqua" w:hAnsi="Book Antiqua"/>
          <w:color w:val="auto"/>
          <w:lang w:val="en-GB"/>
        </w:rPr>
      </w:pPr>
      <w:r w:rsidRPr="00C82350">
        <w:rPr>
          <w:rFonts w:ascii="Book Antiqua" w:hAnsi="Book Antiqua"/>
          <w:b/>
          <w:color w:val="auto"/>
          <w:lang w:val="en-GB"/>
        </w:rPr>
        <w:t>Key</w:t>
      </w:r>
      <w:r w:rsidR="002E2366">
        <w:rPr>
          <w:rFonts w:ascii="Book Antiqua" w:hAnsi="Book Antiqua" w:hint="eastAsia"/>
          <w:b/>
          <w:color w:val="auto"/>
          <w:lang w:val="en-GB"/>
        </w:rPr>
        <w:t xml:space="preserve"> </w:t>
      </w:r>
      <w:r w:rsidRPr="00C82350">
        <w:rPr>
          <w:rFonts w:ascii="Book Antiqua" w:hAnsi="Book Antiqua"/>
          <w:b/>
          <w:color w:val="auto"/>
          <w:lang w:val="en-GB"/>
        </w:rPr>
        <w:t>word</w:t>
      </w:r>
      <w:r w:rsidRPr="002E2366">
        <w:rPr>
          <w:rFonts w:ascii="Book Antiqua" w:hAnsi="Book Antiqua"/>
          <w:b/>
          <w:color w:val="auto"/>
          <w:lang w:val="en-GB"/>
        </w:rPr>
        <w:t>s:</w:t>
      </w:r>
      <w:r w:rsidRPr="00C82350">
        <w:rPr>
          <w:rFonts w:ascii="Book Antiqua" w:hAnsi="Book Antiqua"/>
          <w:color w:val="auto"/>
          <w:lang w:val="en-GB"/>
        </w:rPr>
        <w:t xml:space="preserve"> </w:t>
      </w:r>
      <w:r w:rsidR="002E2366" w:rsidRPr="00C82350">
        <w:rPr>
          <w:rFonts w:ascii="Book Antiqua" w:hAnsi="Book Antiqua"/>
          <w:color w:val="auto"/>
          <w:lang w:val="en-GB"/>
        </w:rPr>
        <w:t>N</w:t>
      </w:r>
      <w:r w:rsidRPr="00C82350">
        <w:rPr>
          <w:rFonts w:ascii="Book Antiqua" w:hAnsi="Book Antiqua"/>
          <w:color w:val="auto"/>
          <w:lang w:val="en-GB"/>
        </w:rPr>
        <w:t>on-alcoholic fatty liver disease;</w:t>
      </w:r>
      <w:r w:rsidR="002E2366" w:rsidRPr="00C82350">
        <w:rPr>
          <w:rFonts w:ascii="Book Antiqua" w:hAnsi="Book Antiqua"/>
          <w:color w:val="auto"/>
          <w:lang w:val="en-GB"/>
        </w:rPr>
        <w:t xml:space="preserve"> L</w:t>
      </w:r>
      <w:r w:rsidRPr="00C82350">
        <w:rPr>
          <w:rFonts w:ascii="Book Antiqua" w:hAnsi="Book Antiqua"/>
          <w:color w:val="auto"/>
          <w:lang w:val="en-GB"/>
        </w:rPr>
        <w:t>iver steatosis;</w:t>
      </w:r>
      <w:r w:rsidR="002E2366" w:rsidRPr="00C82350">
        <w:rPr>
          <w:rFonts w:ascii="Book Antiqua" w:hAnsi="Book Antiqua"/>
          <w:color w:val="auto"/>
          <w:lang w:val="en-GB"/>
        </w:rPr>
        <w:t xml:space="preserve"> L</w:t>
      </w:r>
      <w:r w:rsidRPr="00C82350">
        <w:rPr>
          <w:rFonts w:ascii="Book Antiqua" w:hAnsi="Book Antiqua"/>
          <w:color w:val="auto"/>
          <w:lang w:val="en-GB"/>
        </w:rPr>
        <w:t xml:space="preserve">iver biopsy; </w:t>
      </w:r>
      <w:r w:rsidR="002E2366" w:rsidRPr="00C82350">
        <w:rPr>
          <w:rFonts w:ascii="Book Antiqua" w:hAnsi="Book Antiqua"/>
          <w:color w:val="auto"/>
          <w:lang w:val="en-GB"/>
        </w:rPr>
        <w:t>N</w:t>
      </w:r>
      <w:r w:rsidRPr="00C82350">
        <w:rPr>
          <w:rFonts w:ascii="Book Antiqua" w:hAnsi="Book Antiqua"/>
          <w:color w:val="auto"/>
          <w:lang w:val="en-GB"/>
        </w:rPr>
        <w:t xml:space="preserve">on-invasive diagnosis; </w:t>
      </w:r>
      <w:r w:rsidR="002E2366" w:rsidRPr="00C82350">
        <w:rPr>
          <w:rFonts w:ascii="Book Antiqua" w:hAnsi="Book Antiqua"/>
          <w:color w:val="auto"/>
          <w:lang w:val="en-GB"/>
        </w:rPr>
        <w:t>M</w:t>
      </w:r>
      <w:r w:rsidRPr="00C82350">
        <w:rPr>
          <w:rFonts w:ascii="Book Antiqua" w:hAnsi="Book Antiqua"/>
          <w:color w:val="auto"/>
          <w:lang w:val="en-GB"/>
        </w:rPr>
        <w:t xml:space="preserve">etformin; </w:t>
      </w:r>
      <w:r w:rsidR="002E2366" w:rsidRPr="00C82350">
        <w:rPr>
          <w:rFonts w:ascii="Book Antiqua" w:hAnsi="Book Antiqua"/>
          <w:color w:val="auto"/>
          <w:lang w:val="en-GB"/>
        </w:rPr>
        <w:t>P</w:t>
      </w:r>
      <w:r w:rsidRPr="00C82350">
        <w:rPr>
          <w:rFonts w:ascii="Book Antiqua" w:hAnsi="Book Antiqua"/>
          <w:color w:val="auto"/>
          <w:lang w:val="en-GB"/>
        </w:rPr>
        <w:t xml:space="preserve">ioglitazone; </w:t>
      </w:r>
      <w:r w:rsidR="002E2366" w:rsidRPr="00C82350">
        <w:rPr>
          <w:rFonts w:ascii="Book Antiqua" w:hAnsi="Book Antiqua"/>
          <w:color w:val="auto"/>
          <w:lang w:val="en-GB"/>
        </w:rPr>
        <w:t>C</w:t>
      </w:r>
      <w:r w:rsidRPr="00C82350">
        <w:rPr>
          <w:rFonts w:ascii="Book Antiqua" w:hAnsi="Book Antiqua"/>
          <w:color w:val="auto"/>
          <w:lang w:val="en-GB"/>
        </w:rPr>
        <w:t>linical guidelines</w:t>
      </w:r>
    </w:p>
    <w:p w:rsidR="007C2761" w:rsidRDefault="007C2761" w:rsidP="00C82350">
      <w:pPr>
        <w:widowControl w:val="0"/>
        <w:suppressAutoHyphens w:val="0"/>
        <w:adjustRightInd w:val="0"/>
        <w:snapToGrid w:val="0"/>
        <w:spacing w:after="0" w:line="360" w:lineRule="auto"/>
        <w:jc w:val="both"/>
        <w:rPr>
          <w:rFonts w:ascii="Book Antiqua" w:hAnsi="Book Antiqua"/>
          <w:color w:val="auto"/>
          <w:lang w:val="en-GB"/>
        </w:rPr>
      </w:pPr>
    </w:p>
    <w:p w:rsidR="002E2366" w:rsidRPr="002E2366" w:rsidRDefault="002E2366" w:rsidP="002E2366">
      <w:pPr>
        <w:widowControl w:val="0"/>
        <w:suppressAutoHyphens w:val="0"/>
        <w:adjustRightInd w:val="0"/>
        <w:snapToGrid w:val="0"/>
        <w:spacing w:after="0" w:line="360" w:lineRule="auto"/>
        <w:jc w:val="both"/>
        <w:rPr>
          <w:rFonts w:ascii="Book Antiqua" w:hAnsi="Book Antiqua" w:cs="Tahoma"/>
          <w:color w:val="000000"/>
          <w:kern w:val="2"/>
          <w:lang w:val="en-US"/>
        </w:rPr>
      </w:pPr>
      <w:bookmarkStart w:id="19" w:name="OLE_LINK148"/>
      <w:bookmarkStart w:id="20" w:name="OLE_LINK149"/>
      <w:bookmarkStart w:id="21" w:name="OLE_LINK200"/>
      <w:bookmarkStart w:id="22" w:name="OLE_LINK288"/>
      <w:bookmarkStart w:id="23" w:name="OLE_LINK1864"/>
      <w:bookmarkStart w:id="24" w:name="OLE_LINK16"/>
      <w:bookmarkStart w:id="25" w:name="OLE_LINK382"/>
      <w:bookmarkStart w:id="26" w:name="OLE_LINK306"/>
      <w:bookmarkStart w:id="27" w:name="OLE_LINK569"/>
      <w:bookmarkStart w:id="28" w:name="OLE_LINK682"/>
      <w:r w:rsidRPr="002E2366">
        <w:rPr>
          <w:rFonts w:ascii="Book Antiqua" w:hAnsi="Book Antiqua" w:cs="Tahoma"/>
          <w:b/>
          <w:color w:val="000000"/>
          <w:kern w:val="2"/>
          <w:lang w:val="en-US" w:eastAsia="ja-JP"/>
        </w:rPr>
        <w:t>© The Author(s) 201</w:t>
      </w:r>
      <w:r w:rsidRPr="002E2366">
        <w:rPr>
          <w:rFonts w:ascii="Book Antiqua" w:hAnsi="Book Antiqua" w:cs="Tahoma"/>
          <w:b/>
          <w:color w:val="000000"/>
          <w:kern w:val="2"/>
          <w:lang w:val="en-US"/>
        </w:rPr>
        <w:t>8</w:t>
      </w:r>
      <w:r w:rsidRPr="002E2366">
        <w:rPr>
          <w:rFonts w:ascii="Book Antiqua" w:hAnsi="Book Antiqua" w:cs="Tahoma"/>
          <w:b/>
          <w:color w:val="000000"/>
          <w:kern w:val="2"/>
          <w:lang w:val="en-US" w:eastAsia="ja-JP"/>
        </w:rPr>
        <w:t>.</w:t>
      </w:r>
      <w:r w:rsidRPr="002E2366">
        <w:rPr>
          <w:rFonts w:ascii="Book Antiqua" w:hAnsi="Book Antiqua" w:cs="Tahoma"/>
          <w:color w:val="000000"/>
          <w:kern w:val="2"/>
          <w:lang w:val="en-US" w:eastAsia="ja-JP"/>
        </w:rPr>
        <w:t xml:space="preserve"> Published by Baishideng Publishing Group Inc. All rights reserved.</w:t>
      </w:r>
      <w:bookmarkEnd w:id="19"/>
      <w:bookmarkEnd w:id="20"/>
      <w:bookmarkEnd w:id="21"/>
      <w:bookmarkEnd w:id="22"/>
      <w:bookmarkEnd w:id="23"/>
      <w:bookmarkEnd w:id="24"/>
      <w:bookmarkEnd w:id="25"/>
      <w:bookmarkEnd w:id="26"/>
      <w:bookmarkEnd w:id="27"/>
      <w:bookmarkEnd w:id="28"/>
    </w:p>
    <w:p w:rsidR="002E2366" w:rsidRPr="00C82350" w:rsidRDefault="002E2366" w:rsidP="00C82350">
      <w:pPr>
        <w:widowControl w:val="0"/>
        <w:suppressAutoHyphens w:val="0"/>
        <w:adjustRightInd w:val="0"/>
        <w:snapToGrid w:val="0"/>
        <w:spacing w:after="0" w:line="360" w:lineRule="auto"/>
        <w:jc w:val="both"/>
        <w:rPr>
          <w:rFonts w:ascii="Book Antiqua" w:hAnsi="Book Antiqua"/>
          <w:color w:val="auto"/>
          <w:lang w:val="en-GB"/>
        </w:rPr>
      </w:pPr>
    </w:p>
    <w:p w:rsidR="007C2761" w:rsidRPr="00C82350" w:rsidRDefault="007C2761" w:rsidP="00C82350">
      <w:pPr>
        <w:widowControl w:val="0"/>
        <w:suppressAutoHyphens w:val="0"/>
        <w:adjustRightInd w:val="0"/>
        <w:snapToGrid w:val="0"/>
        <w:spacing w:after="0" w:line="360" w:lineRule="auto"/>
        <w:jc w:val="both"/>
        <w:rPr>
          <w:rFonts w:ascii="Book Antiqua" w:hAnsi="Book Antiqua"/>
          <w:color w:val="auto"/>
          <w:lang w:val="en-GB"/>
        </w:rPr>
      </w:pPr>
      <w:r w:rsidRPr="00C82350">
        <w:rPr>
          <w:rFonts w:ascii="Book Antiqua" w:hAnsi="Book Antiqua"/>
          <w:b/>
          <w:color w:val="auto"/>
          <w:lang w:val="en-GB"/>
        </w:rPr>
        <w:t>Core tip:</w:t>
      </w:r>
      <w:r w:rsidRPr="00C82350">
        <w:rPr>
          <w:rFonts w:ascii="Book Antiqua" w:hAnsi="Book Antiqua"/>
          <w:color w:val="auto"/>
          <w:lang w:val="en-GB"/>
        </w:rPr>
        <w:t xml:space="preserve"> Non-alcoholic fatty liver disease (NAFLD) is becoming the most common cause of chronic liver disease. As such, an increasing number of scientific reports are investing this condition. To translate these evidence into clinical practice, international scientific societies have proposed </w:t>
      </w:r>
      <w:r w:rsidRPr="00C82350">
        <w:rPr>
          <w:rFonts w:ascii="Book Antiqua" w:hAnsi="Book Antiqua"/>
          <w:color w:val="auto"/>
          <w:lang w:val="en-GB"/>
        </w:rPr>
        <w:lastRenderedPageBreak/>
        <w:t>guidelines for the management of NAFLD. In this review, we will critically analyse both the converging and diverging points in the current clinical guidelines of NAFLD, with a particular focus on the diagnostic and</w:t>
      </w:r>
      <w:r w:rsidR="002E2366">
        <w:rPr>
          <w:rFonts w:ascii="Book Antiqua" w:hAnsi="Book Antiqua"/>
          <w:color w:val="auto"/>
          <w:lang w:val="en-GB"/>
        </w:rPr>
        <w:t xml:space="preserve"> therapeutic aspects.</w:t>
      </w:r>
    </w:p>
    <w:p w:rsidR="007C2761" w:rsidRPr="00C82350" w:rsidRDefault="007C2761" w:rsidP="00C82350">
      <w:pPr>
        <w:adjustRightInd w:val="0"/>
        <w:snapToGrid w:val="0"/>
        <w:spacing w:after="0" w:line="360" w:lineRule="auto"/>
        <w:jc w:val="both"/>
        <w:rPr>
          <w:rFonts w:ascii="Book Antiqua" w:hAnsi="Book Antiqua"/>
          <w:b/>
          <w:color w:val="FF0000"/>
          <w:lang w:val="en-GB"/>
        </w:rPr>
      </w:pPr>
    </w:p>
    <w:p w:rsidR="007C2761" w:rsidRPr="00C82350" w:rsidRDefault="007C2761" w:rsidP="00C82350">
      <w:pPr>
        <w:widowControl w:val="0"/>
        <w:suppressAutoHyphens w:val="0"/>
        <w:adjustRightInd w:val="0"/>
        <w:snapToGrid w:val="0"/>
        <w:spacing w:after="0" w:line="360" w:lineRule="auto"/>
        <w:jc w:val="both"/>
        <w:rPr>
          <w:rFonts w:ascii="Book Antiqua" w:hAnsi="Book Antiqua"/>
          <w:color w:val="auto"/>
          <w:lang w:val="en-US"/>
        </w:rPr>
      </w:pPr>
      <w:bookmarkStart w:id="29" w:name="OLE_LINK903"/>
      <w:bookmarkStart w:id="30" w:name="OLE_LINK878"/>
      <w:bookmarkStart w:id="31" w:name="OLE_LINK864"/>
      <w:bookmarkStart w:id="32" w:name="OLE_LINK831"/>
      <w:bookmarkStart w:id="33" w:name="OLE_LINK830"/>
      <w:bookmarkStart w:id="34" w:name="OLE_LINK818"/>
      <w:bookmarkStart w:id="35" w:name="OLE_LINK794"/>
      <w:bookmarkStart w:id="36" w:name="OLE_LINK788"/>
      <w:bookmarkStart w:id="37" w:name="OLE_LINK597"/>
      <w:bookmarkStart w:id="38" w:name="OLE_LINK1059"/>
      <w:bookmarkStart w:id="39" w:name="OLE_LINK1058"/>
      <w:bookmarkStart w:id="40" w:name="OLE_LINK1057"/>
      <w:bookmarkStart w:id="41" w:name="OLE_LINK1056"/>
      <w:bookmarkStart w:id="42" w:name="OLE_LINK464"/>
      <w:bookmarkStart w:id="43" w:name="OLE_LINK455"/>
      <w:bookmarkStart w:id="44" w:name="OLE_LINK134"/>
      <w:bookmarkStart w:id="45" w:name="OLE_LINK130"/>
      <w:r w:rsidRPr="00C82350">
        <w:rPr>
          <w:rFonts w:ascii="Book Antiqua" w:hAnsi="Book Antiqua"/>
          <w:color w:val="auto"/>
          <w:lang w:val="en-US"/>
        </w:rPr>
        <w:t xml:space="preserve">Leoni S, Tovoli F, Napoli L, Serio I, Ferri S, Bolondi L. Current guidelines for the management of non-alcoholic fatty liver disease: </w:t>
      </w:r>
      <w:r w:rsidR="002E2366" w:rsidRPr="00C82350">
        <w:rPr>
          <w:rFonts w:ascii="Book Antiqua" w:hAnsi="Book Antiqua"/>
          <w:color w:val="auto"/>
          <w:lang w:val="en-US"/>
        </w:rPr>
        <w:t>A</w:t>
      </w:r>
      <w:r w:rsidRPr="00C82350">
        <w:rPr>
          <w:rFonts w:ascii="Book Antiqua" w:hAnsi="Book Antiqua"/>
          <w:color w:val="auto"/>
          <w:lang w:val="en-US"/>
        </w:rPr>
        <w:t xml:space="preserve"> systematic review with comparative analysis. </w:t>
      </w:r>
      <w:r w:rsidRPr="00C82350">
        <w:rPr>
          <w:rFonts w:ascii="Book Antiqua" w:hAnsi="Book Antiqua"/>
          <w:i/>
          <w:color w:val="auto"/>
          <w:lang w:val="en-US"/>
        </w:rPr>
        <w:t xml:space="preserve">World J Gastroenterol </w:t>
      </w:r>
      <w:r w:rsidRPr="00C82350">
        <w:rPr>
          <w:rFonts w:ascii="Book Antiqua" w:hAnsi="Book Antiqua"/>
          <w:color w:val="auto"/>
          <w:lang w:val="en-US"/>
        </w:rPr>
        <w:t>2018; In press</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7C2761" w:rsidRPr="00C82350" w:rsidRDefault="007C2761" w:rsidP="00C82350">
      <w:pPr>
        <w:widowControl w:val="0"/>
        <w:suppressAutoHyphens w:val="0"/>
        <w:adjustRightInd w:val="0"/>
        <w:snapToGrid w:val="0"/>
        <w:spacing w:after="0" w:line="360" w:lineRule="auto"/>
        <w:jc w:val="both"/>
        <w:rPr>
          <w:rFonts w:ascii="Book Antiqua" w:hAnsi="Book Antiqua"/>
          <w:b/>
          <w:bCs/>
          <w:color w:val="auto"/>
          <w:lang w:val="en-US"/>
        </w:rPr>
      </w:pPr>
    </w:p>
    <w:p w:rsidR="007C2761" w:rsidRPr="00C82350" w:rsidRDefault="007C2761" w:rsidP="00C82350">
      <w:pPr>
        <w:widowControl w:val="0"/>
        <w:suppressAutoHyphens w:val="0"/>
        <w:adjustRightInd w:val="0"/>
        <w:snapToGrid w:val="0"/>
        <w:spacing w:after="0" w:line="360" w:lineRule="auto"/>
        <w:jc w:val="both"/>
        <w:rPr>
          <w:rFonts w:ascii="Book Antiqua" w:hAnsi="Book Antiqua"/>
          <w:b/>
          <w:bCs/>
          <w:color w:val="auto"/>
          <w:lang w:val="en-US"/>
        </w:rPr>
      </w:pPr>
      <w:r w:rsidRPr="00C82350">
        <w:rPr>
          <w:rFonts w:ascii="Book Antiqua" w:hAnsi="Book Antiqua"/>
          <w:b/>
          <w:bCs/>
          <w:color w:val="auto"/>
          <w:lang w:val="en-US"/>
        </w:rPr>
        <w:br w:type="page"/>
      </w:r>
      <w:r w:rsidRPr="00C82350">
        <w:rPr>
          <w:rFonts w:ascii="Book Antiqua" w:hAnsi="Book Antiqua"/>
          <w:b/>
          <w:bCs/>
          <w:color w:val="auto"/>
          <w:lang w:val="en-US"/>
        </w:rPr>
        <w:lastRenderedPageBreak/>
        <w:t>INTRODUCTION</w:t>
      </w:r>
    </w:p>
    <w:p w:rsidR="007C2761" w:rsidRPr="00C82350" w:rsidRDefault="007C2761" w:rsidP="00C82350">
      <w:pPr>
        <w:widowControl w:val="0"/>
        <w:suppressAutoHyphens w:val="0"/>
        <w:adjustRightInd w:val="0"/>
        <w:snapToGrid w:val="0"/>
        <w:spacing w:after="0" w:line="360" w:lineRule="auto"/>
        <w:jc w:val="both"/>
        <w:rPr>
          <w:rFonts w:ascii="Book Antiqua" w:hAnsi="Book Antiqua"/>
          <w:color w:val="auto"/>
          <w:lang w:val="en-US"/>
        </w:rPr>
      </w:pPr>
      <w:r w:rsidRPr="00C82350">
        <w:rPr>
          <w:rFonts w:ascii="Book Antiqua" w:hAnsi="Book Antiqua"/>
          <w:color w:val="auto"/>
          <w:lang w:val="en-US"/>
        </w:rPr>
        <w:t>Non-alcoholic fatty liver disease (NAFLD) includes a spectrum of disorders ranging from the simple fatty liver to non-alcoholic steatohepatitis, with increasing fibrosis leading to cirrhosis</w:t>
      </w:r>
      <w:r w:rsidR="002E2366" w:rsidRPr="002E2366">
        <w:rPr>
          <w:rFonts w:ascii="Book Antiqua" w:hAnsi="Book Antiqua"/>
          <w:color w:val="auto"/>
          <w:vertAlign w:val="superscript"/>
          <w:lang w:val="en-US"/>
        </w:rPr>
        <w:t>[</w:t>
      </w:r>
      <w:r w:rsidRPr="002E2366">
        <w:rPr>
          <w:rFonts w:ascii="Book Antiqua" w:hAnsi="Book Antiqua"/>
          <w:color w:val="auto"/>
          <w:vertAlign w:val="superscript"/>
          <w:lang w:val="en-US"/>
        </w:rPr>
        <w:t>1]</w:t>
      </w:r>
      <w:r w:rsidRPr="00C82350">
        <w:rPr>
          <w:rFonts w:ascii="Book Antiqua" w:hAnsi="Book Antiqua"/>
          <w:color w:val="auto"/>
          <w:lang w:val="en-US"/>
        </w:rPr>
        <w:t>. The prevalence of NAFLD is alarmingly growing worldwide in adult and children/adolescent populations, with a bidirectional association between NAFLD and metabolic syndrome</w:t>
      </w:r>
      <w:r w:rsidR="002E2366" w:rsidRPr="002E2366">
        <w:rPr>
          <w:rFonts w:ascii="Book Antiqua" w:hAnsi="Book Antiqua"/>
          <w:color w:val="auto"/>
          <w:vertAlign w:val="superscript"/>
          <w:lang w:val="en-US"/>
        </w:rPr>
        <w:t>[</w:t>
      </w:r>
      <w:r w:rsidRPr="002E2366">
        <w:rPr>
          <w:rFonts w:ascii="Book Antiqua" w:hAnsi="Book Antiqua"/>
          <w:color w:val="auto"/>
          <w:vertAlign w:val="superscript"/>
          <w:lang w:val="en-US"/>
        </w:rPr>
        <w:t>2]</w:t>
      </w:r>
      <w:r w:rsidRPr="00C82350">
        <w:rPr>
          <w:rFonts w:ascii="Book Antiqua" w:hAnsi="Book Antiqua"/>
          <w:color w:val="auto"/>
          <w:lang w:val="en-US"/>
        </w:rPr>
        <w:t>. Obesity, insulin resistance, type 2 diabetes mellitus, and dyslipidemia are the most relevant metabolic conditions related to this spectrum of diseases</w:t>
      </w:r>
      <w:r w:rsidR="002E2366" w:rsidRPr="002E2366">
        <w:rPr>
          <w:rFonts w:ascii="Book Antiqua" w:hAnsi="Book Antiqua"/>
          <w:color w:val="auto"/>
          <w:vertAlign w:val="superscript"/>
          <w:lang w:val="en-US"/>
        </w:rPr>
        <w:t>[</w:t>
      </w:r>
      <w:r w:rsidRPr="002E2366">
        <w:rPr>
          <w:rFonts w:ascii="Book Antiqua" w:hAnsi="Book Antiqua"/>
          <w:color w:val="auto"/>
          <w:vertAlign w:val="superscript"/>
          <w:lang w:val="en-US"/>
        </w:rPr>
        <w:t>1</w:t>
      </w:r>
      <w:r w:rsidR="00DD0CC3">
        <w:rPr>
          <w:rFonts w:ascii="Book Antiqua" w:hAnsi="Book Antiqua" w:hint="eastAsia"/>
          <w:color w:val="auto"/>
          <w:vertAlign w:val="superscript"/>
          <w:lang w:val="en-US"/>
        </w:rPr>
        <w:t>,2</w:t>
      </w:r>
      <w:r w:rsidRPr="002E2366">
        <w:rPr>
          <w:rFonts w:ascii="Book Antiqua" w:hAnsi="Book Antiqua"/>
          <w:color w:val="auto"/>
          <w:vertAlign w:val="superscript"/>
          <w:lang w:val="en-US"/>
        </w:rPr>
        <w:t>]</w:t>
      </w:r>
      <w:r w:rsidRPr="00C82350">
        <w:rPr>
          <w:rFonts w:ascii="Book Antiqua" w:hAnsi="Book Antiqua"/>
          <w:color w:val="auto"/>
          <w:lang w:val="en-US"/>
        </w:rPr>
        <w:t xml:space="preserve">. </w:t>
      </w:r>
    </w:p>
    <w:p w:rsidR="007C2761" w:rsidRPr="00C82350" w:rsidRDefault="007C2761" w:rsidP="002E2366">
      <w:pPr>
        <w:widowControl w:val="0"/>
        <w:suppressAutoHyphens w:val="0"/>
        <w:adjustRightInd w:val="0"/>
        <w:snapToGrid w:val="0"/>
        <w:spacing w:after="0" w:line="360" w:lineRule="auto"/>
        <w:ind w:firstLineChars="100" w:firstLine="240"/>
        <w:jc w:val="both"/>
        <w:rPr>
          <w:rFonts w:ascii="Book Antiqua" w:hAnsi="Book Antiqua"/>
          <w:color w:val="auto"/>
          <w:lang w:val="en-US"/>
        </w:rPr>
      </w:pPr>
      <w:r w:rsidRPr="00C82350">
        <w:rPr>
          <w:rFonts w:ascii="Book Antiqua" w:hAnsi="Book Antiqua"/>
          <w:color w:val="auto"/>
          <w:lang w:val="en-US"/>
        </w:rPr>
        <w:t>Clinicians and researchers from several scientific Associations worldwide put significant efforts into increasing knowledge and developing high-quality International Guidelines to improve the management of NAFLD patients in clinical practice. Multidisciplinary panels of experts in different continents have performed systematic analysis and review of the literature on specified topics in the last years. These efforts have led to the creation and publication of various Guidelines.</w:t>
      </w:r>
    </w:p>
    <w:p w:rsidR="007C2761" w:rsidRPr="00C82350" w:rsidRDefault="007C2761" w:rsidP="002E2366">
      <w:pPr>
        <w:widowControl w:val="0"/>
        <w:suppressAutoHyphens w:val="0"/>
        <w:adjustRightInd w:val="0"/>
        <w:snapToGrid w:val="0"/>
        <w:spacing w:after="0" w:line="360" w:lineRule="auto"/>
        <w:ind w:firstLineChars="100" w:firstLine="240"/>
        <w:jc w:val="both"/>
        <w:rPr>
          <w:rFonts w:ascii="Book Antiqua" w:hAnsi="Book Antiqua"/>
          <w:color w:val="auto"/>
          <w:lang w:val="en-US"/>
        </w:rPr>
      </w:pPr>
      <w:r w:rsidRPr="00C82350">
        <w:rPr>
          <w:rFonts w:ascii="Book Antiqua" w:hAnsi="Book Antiqua"/>
          <w:color w:val="auto"/>
          <w:lang w:val="en-US"/>
        </w:rPr>
        <w:t>This paper aims to review and compare the most recently published International Guidelines for the diagnosis and the management of NAFLD in adult populations, to critically evaluate similarities and discrepancies. In particular, we tried to analyse some critical questions and challenges for clinicians in real life.</w:t>
      </w:r>
    </w:p>
    <w:p w:rsidR="007C2761" w:rsidRPr="00C82350" w:rsidRDefault="007C2761" w:rsidP="00C82350">
      <w:pPr>
        <w:widowControl w:val="0"/>
        <w:suppressAutoHyphens w:val="0"/>
        <w:adjustRightInd w:val="0"/>
        <w:snapToGrid w:val="0"/>
        <w:spacing w:after="0" w:line="360" w:lineRule="auto"/>
        <w:jc w:val="both"/>
        <w:rPr>
          <w:rFonts w:ascii="Book Antiqua" w:hAnsi="Book Antiqua"/>
          <w:color w:val="auto"/>
          <w:lang w:val="en-US"/>
        </w:rPr>
      </w:pPr>
    </w:p>
    <w:p w:rsidR="007C2761" w:rsidRPr="00C82350" w:rsidRDefault="007C2761" w:rsidP="00C82350">
      <w:pPr>
        <w:widowControl w:val="0"/>
        <w:suppressAutoHyphens w:val="0"/>
        <w:adjustRightInd w:val="0"/>
        <w:snapToGrid w:val="0"/>
        <w:spacing w:after="0" w:line="360" w:lineRule="auto"/>
        <w:jc w:val="both"/>
        <w:rPr>
          <w:rFonts w:ascii="Book Antiqua" w:hAnsi="Book Antiqua"/>
          <w:b/>
          <w:bCs/>
          <w:color w:val="auto"/>
          <w:lang w:val="en-US"/>
        </w:rPr>
      </w:pPr>
      <w:r w:rsidRPr="00C82350">
        <w:rPr>
          <w:rFonts w:ascii="Book Antiqua" w:hAnsi="Book Antiqua"/>
          <w:b/>
          <w:bCs/>
          <w:color w:val="auto"/>
          <w:lang w:val="en-US"/>
        </w:rPr>
        <w:t>LITERATURE SEARCH</w:t>
      </w:r>
    </w:p>
    <w:p w:rsidR="007C2761" w:rsidRPr="00C82350" w:rsidRDefault="007C2761" w:rsidP="00C82350">
      <w:pPr>
        <w:widowControl w:val="0"/>
        <w:suppressAutoHyphens w:val="0"/>
        <w:adjustRightInd w:val="0"/>
        <w:snapToGrid w:val="0"/>
        <w:spacing w:after="0" w:line="360" w:lineRule="auto"/>
        <w:jc w:val="both"/>
        <w:rPr>
          <w:rFonts w:ascii="Book Antiqua" w:hAnsi="Book Antiqua"/>
          <w:color w:val="auto"/>
          <w:lang w:val="en-US"/>
        </w:rPr>
      </w:pPr>
      <w:r w:rsidRPr="00C82350">
        <w:rPr>
          <w:rFonts w:ascii="Book Antiqua" w:hAnsi="Book Antiqua"/>
          <w:color w:val="auto"/>
          <w:lang w:val="en-US"/>
        </w:rPr>
        <w:t xml:space="preserve">We performed a database search on PubMed selecting papers published between January 2016 and January </w:t>
      </w:r>
      <w:smartTag w:uri="urn:schemas-microsoft-com:office:smarttags" w:element="metricconverter">
        <w:smartTagPr>
          <w:attr w:name="ProductID" w:val="2018 in"/>
        </w:smartTagPr>
        <w:r w:rsidRPr="00C82350">
          <w:rPr>
            <w:rFonts w:ascii="Book Antiqua" w:hAnsi="Book Antiqua"/>
            <w:color w:val="auto"/>
            <w:lang w:val="en-US"/>
          </w:rPr>
          <w:t>2018 in</w:t>
        </w:r>
      </w:smartTag>
      <w:r w:rsidRPr="00C82350">
        <w:rPr>
          <w:rFonts w:ascii="Book Antiqua" w:hAnsi="Book Antiqua"/>
          <w:color w:val="auto"/>
          <w:lang w:val="en-US"/>
        </w:rPr>
        <w:t xml:space="preserve"> the English language. The following keywords and terms were considered</w:t>
      </w:r>
      <w:r w:rsidR="002E2366">
        <w:rPr>
          <w:rFonts w:ascii="Book Antiqua" w:hAnsi="Book Antiqua"/>
          <w:color w:val="auto"/>
          <w:lang w:val="en-US"/>
        </w:rPr>
        <w:t xml:space="preserve">: </w:t>
      </w:r>
      <w:r w:rsidR="002E2366">
        <w:rPr>
          <w:rFonts w:ascii="Book Antiqua" w:hAnsi="Book Antiqua" w:hint="eastAsia"/>
          <w:color w:val="auto"/>
          <w:lang w:val="en-US"/>
        </w:rPr>
        <w:t>(</w:t>
      </w:r>
      <w:r w:rsidRPr="00C82350">
        <w:rPr>
          <w:rFonts w:ascii="Book Antiqua" w:hAnsi="Book Antiqua"/>
          <w:color w:val="auto"/>
          <w:lang w:val="en-US"/>
        </w:rPr>
        <w:t xml:space="preserve">1) </w:t>
      </w:r>
      <w:r w:rsidRPr="002E2366">
        <w:rPr>
          <w:rFonts w:ascii="Book Antiqua" w:hAnsi="Book Antiqua"/>
          <w:iCs/>
          <w:color w:val="auto"/>
          <w:lang w:val="en-US"/>
        </w:rPr>
        <w:t>Fatty liver disease</w:t>
      </w:r>
      <w:r w:rsidRPr="00C82350">
        <w:rPr>
          <w:rFonts w:ascii="Book Antiqua" w:hAnsi="Book Antiqua"/>
          <w:color w:val="auto"/>
          <w:lang w:val="en-US"/>
        </w:rPr>
        <w:t xml:space="preserve"> (("fatty liver"[MeSH Terms] OR ("fatty"[All Fields] AND "liver"[All Fields]) OR "fatty liver"[All Fields]) </w:t>
      </w:r>
      <w:r w:rsidR="002E2366" w:rsidRPr="00C82350">
        <w:rPr>
          <w:rFonts w:ascii="Book Antiqua" w:hAnsi="Book Antiqua"/>
          <w:color w:val="auto"/>
          <w:lang w:val="en-US"/>
        </w:rPr>
        <w:t xml:space="preserve">AND </w:t>
      </w:r>
      <w:r w:rsidRPr="00C82350">
        <w:rPr>
          <w:rFonts w:ascii="Book Antiqua" w:hAnsi="Book Antiqua"/>
          <w:color w:val="auto"/>
          <w:lang w:val="en-US"/>
        </w:rPr>
        <w:t xml:space="preserve">("disease"[MeSH Terms] OR "disease"[All Fields])) </w:t>
      </w:r>
      <w:r w:rsidRPr="002E2366">
        <w:rPr>
          <w:rFonts w:ascii="Book Antiqua" w:hAnsi="Book Antiqua"/>
          <w:iCs/>
          <w:color w:val="auto"/>
          <w:lang w:val="en-US"/>
        </w:rPr>
        <w:t>AND guideline</w:t>
      </w:r>
      <w:r w:rsidRPr="002E2366">
        <w:rPr>
          <w:rFonts w:ascii="Book Antiqua" w:hAnsi="Book Antiqua"/>
          <w:color w:val="auto"/>
          <w:lang w:val="en-US"/>
        </w:rPr>
        <w:t xml:space="preserve"> </w:t>
      </w:r>
      <w:r w:rsidRPr="00C82350">
        <w:rPr>
          <w:rFonts w:ascii="Book Antiqua" w:hAnsi="Book Antiqua"/>
          <w:color w:val="auto"/>
          <w:lang w:val="en-US"/>
        </w:rPr>
        <w:t xml:space="preserve">("guideline"[Publication Type] OR "guidelines as topic"[MeSH Terms] OR "guideline"[All Fields]) </w:t>
      </w:r>
      <w:r w:rsidRPr="00C82350">
        <w:rPr>
          <w:rFonts w:ascii="Book Antiqua" w:hAnsi="Book Antiqua"/>
          <w:i/>
          <w:iCs/>
          <w:color w:val="auto"/>
          <w:lang w:val="en-US"/>
        </w:rPr>
        <w:t xml:space="preserve">AND management </w:t>
      </w:r>
      <w:r w:rsidRPr="00C82350">
        <w:rPr>
          <w:rFonts w:ascii="Book Antiqua" w:hAnsi="Book Antiqua"/>
          <w:color w:val="auto"/>
          <w:lang w:val="en-US"/>
        </w:rPr>
        <w:t>("organization and administration"[MeSH Terms] OR ("organization"[All Fields] AND "administration"[All Fields]) OR "organization and administration"[All Fields] OR "management"[All Fields] OR "disease management"[MeSH Terms] OR ("disease"[All Fields] AND "management"[All Fields]) OR "dis</w:t>
      </w:r>
      <w:r w:rsidR="002E2366">
        <w:rPr>
          <w:rFonts w:ascii="Book Antiqua" w:hAnsi="Book Antiqua"/>
          <w:color w:val="auto"/>
          <w:lang w:val="en-US"/>
        </w:rPr>
        <w:t>ease management"[All Fields]);</w:t>
      </w:r>
      <w:r w:rsidR="002E2366">
        <w:rPr>
          <w:rFonts w:ascii="Book Antiqua" w:hAnsi="Book Antiqua" w:hint="eastAsia"/>
          <w:color w:val="auto"/>
          <w:lang w:val="en-US"/>
        </w:rPr>
        <w:t xml:space="preserve"> (</w:t>
      </w:r>
      <w:r w:rsidRPr="00C82350">
        <w:rPr>
          <w:rFonts w:ascii="Book Antiqua" w:hAnsi="Book Antiqua"/>
          <w:color w:val="auto"/>
          <w:lang w:val="en-US"/>
        </w:rPr>
        <w:t xml:space="preserve">2) </w:t>
      </w:r>
      <w:r w:rsidRPr="002E2366">
        <w:rPr>
          <w:rFonts w:ascii="Book Antiqua" w:hAnsi="Book Antiqua"/>
          <w:iCs/>
          <w:color w:val="auto"/>
          <w:lang w:val="en-US"/>
        </w:rPr>
        <w:t>Fatty liver disease AND recommendation</w:t>
      </w:r>
      <w:r w:rsidRPr="00C82350">
        <w:rPr>
          <w:rFonts w:ascii="Book Antiqua" w:hAnsi="Book Antiqua"/>
          <w:i/>
          <w:iCs/>
          <w:color w:val="auto"/>
          <w:lang w:val="en-US"/>
        </w:rPr>
        <w:t xml:space="preserve"> </w:t>
      </w:r>
      <w:r w:rsidRPr="00C82350">
        <w:rPr>
          <w:rFonts w:ascii="Book Antiqua" w:hAnsi="Book Antiqua"/>
          <w:color w:val="auto"/>
          <w:lang w:val="en-US"/>
        </w:rPr>
        <w:t>(("fatty liver"[MeSH Terms] OR ("fatty"[All Fields] AND "liver"[All Fields]) OR "fatty liver"[All Fields]) AND ("disease"[MeSH Terms] OR "disease"[All Fields])) AND recommendation[All Fields]</w:t>
      </w:r>
      <w:r w:rsidR="002E2366">
        <w:rPr>
          <w:rFonts w:ascii="Book Antiqua" w:hAnsi="Book Antiqua" w:hint="eastAsia"/>
          <w:color w:val="auto"/>
          <w:lang w:val="en-US"/>
        </w:rPr>
        <w:t>; (</w:t>
      </w:r>
      <w:r w:rsidRPr="00C82350">
        <w:rPr>
          <w:rFonts w:ascii="Book Antiqua" w:hAnsi="Book Antiqua"/>
          <w:color w:val="auto"/>
          <w:lang w:val="en-US"/>
        </w:rPr>
        <w:t xml:space="preserve">3) </w:t>
      </w:r>
      <w:r w:rsidRPr="002E2366">
        <w:rPr>
          <w:rFonts w:ascii="Book Antiqua" w:hAnsi="Book Antiqua"/>
          <w:iCs/>
          <w:color w:val="auto"/>
          <w:lang w:val="en-US"/>
        </w:rPr>
        <w:t>Fatty liver disease and position paper</w:t>
      </w:r>
      <w:r w:rsidRPr="00C82350">
        <w:rPr>
          <w:rFonts w:ascii="Book Antiqua" w:hAnsi="Book Antiqua"/>
          <w:i/>
          <w:iCs/>
          <w:color w:val="auto"/>
          <w:lang w:val="en-US"/>
        </w:rPr>
        <w:t xml:space="preserve"> </w:t>
      </w:r>
      <w:r w:rsidRPr="00C82350">
        <w:rPr>
          <w:rFonts w:ascii="Book Antiqua" w:hAnsi="Book Antiqua"/>
          <w:color w:val="auto"/>
          <w:lang w:val="en-US"/>
        </w:rPr>
        <w:t xml:space="preserve">(("fatty liver"[MeSH Terms] </w:t>
      </w:r>
      <w:r w:rsidRPr="00C82350">
        <w:rPr>
          <w:rFonts w:ascii="Book Antiqua" w:hAnsi="Book Antiqua"/>
          <w:color w:val="auto"/>
          <w:lang w:val="en-US"/>
        </w:rPr>
        <w:lastRenderedPageBreak/>
        <w:t>OR ("fatty"[All Fields] AND "liver"[All Fields]) OR "fatty liver"[All Fields]) AND ("disease"[MeSH Terms] OR "disease"[All Fields])) AND (position[All Fields] AND ("paper"[MeSH Terms] OR "paper"[All Fields]))</w:t>
      </w:r>
      <w:r w:rsidR="002E2366">
        <w:rPr>
          <w:rFonts w:ascii="Book Antiqua" w:hAnsi="Book Antiqua" w:hint="eastAsia"/>
          <w:color w:val="auto"/>
          <w:lang w:val="en-US"/>
        </w:rPr>
        <w:t>.</w:t>
      </w:r>
    </w:p>
    <w:p w:rsidR="007C2761" w:rsidRPr="00C82350" w:rsidRDefault="007C2761" w:rsidP="002E2366">
      <w:pPr>
        <w:widowControl w:val="0"/>
        <w:shd w:val="clear" w:color="auto" w:fill="FFFFFF"/>
        <w:suppressAutoHyphens w:val="0"/>
        <w:adjustRightInd w:val="0"/>
        <w:snapToGrid w:val="0"/>
        <w:spacing w:after="0" w:line="360" w:lineRule="auto"/>
        <w:ind w:firstLineChars="100" w:firstLine="240"/>
        <w:jc w:val="both"/>
        <w:rPr>
          <w:rFonts w:ascii="Book Antiqua" w:hAnsi="Book Antiqua"/>
          <w:color w:val="auto"/>
          <w:lang w:val="en-US"/>
        </w:rPr>
      </w:pPr>
      <w:r w:rsidRPr="00C82350">
        <w:rPr>
          <w:rFonts w:ascii="Book Antiqua" w:hAnsi="Book Antiqua"/>
          <w:color w:val="auto"/>
          <w:lang w:val="en-US"/>
        </w:rPr>
        <w:t>According to this criteria, 11</w:t>
      </w:r>
      <w:r w:rsidRPr="00C82350">
        <w:rPr>
          <w:rFonts w:ascii="Book Antiqua" w:hAnsi="Book Antiqua"/>
          <w:color w:val="auto"/>
          <w:shd w:val="clear" w:color="auto" w:fill="FFFFFF"/>
          <w:lang w:val="en-US"/>
        </w:rPr>
        <w:t>9</w:t>
      </w:r>
      <w:r w:rsidRPr="00C82350">
        <w:rPr>
          <w:rFonts w:ascii="Book Antiqua" w:hAnsi="Book Antiqua"/>
          <w:color w:val="auto"/>
          <w:lang w:val="en-US"/>
        </w:rPr>
        <w:t xml:space="preserve"> papers were identified. As a second step, we excluded papers which were not pertinent to any of the following criteria: </w:t>
      </w:r>
      <w:r w:rsidR="002E2366">
        <w:rPr>
          <w:rFonts w:ascii="Book Antiqua" w:hAnsi="Book Antiqua" w:hint="eastAsia"/>
          <w:color w:val="auto"/>
          <w:lang w:val="en-US"/>
        </w:rPr>
        <w:t>(</w:t>
      </w:r>
      <w:r w:rsidRPr="00C82350">
        <w:rPr>
          <w:rFonts w:ascii="Book Antiqua" w:hAnsi="Book Antiqua"/>
          <w:color w:val="auto"/>
          <w:lang w:val="en-US"/>
        </w:rPr>
        <w:t xml:space="preserve">1) Clinical Guidelines related to diagnosis and management of NAFLD in the adult population; </w:t>
      </w:r>
      <w:r w:rsidR="002E2366">
        <w:rPr>
          <w:rFonts w:ascii="Book Antiqua" w:hAnsi="Book Antiqua" w:hint="eastAsia"/>
          <w:color w:val="auto"/>
          <w:lang w:val="en-US"/>
        </w:rPr>
        <w:t>(</w:t>
      </w:r>
      <w:r w:rsidRPr="00C82350">
        <w:rPr>
          <w:rFonts w:ascii="Book Antiqua" w:hAnsi="Book Antiqua"/>
          <w:color w:val="auto"/>
          <w:lang w:val="en-US"/>
        </w:rPr>
        <w:t xml:space="preserve">2) </w:t>
      </w:r>
      <w:r w:rsidR="002E2366" w:rsidRPr="00C82350">
        <w:rPr>
          <w:rFonts w:ascii="Book Antiqua" w:hAnsi="Book Antiqua"/>
          <w:color w:val="auto"/>
          <w:lang w:val="en-US"/>
        </w:rPr>
        <w:t>c</w:t>
      </w:r>
      <w:r w:rsidRPr="00C82350">
        <w:rPr>
          <w:rFonts w:ascii="Book Antiqua" w:hAnsi="Book Antiqua"/>
          <w:color w:val="auto"/>
          <w:lang w:val="en-US"/>
        </w:rPr>
        <w:t>linical Guidelines published by Governmental agenc</w:t>
      </w:r>
      <w:r w:rsidR="002E2366">
        <w:rPr>
          <w:rFonts w:ascii="Book Antiqua" w:hAnsi="Book Antiqua"/>
          <w:color w:val="auto"/>
          <w:lang w:val="en-US"/>
        </w:rPr>
        <w:t>ies and Scientific Associations</w:t>
      </w:r>
      <w:r w:rsidR="002E2366">
        <w:rPr>
          <w:rFonts w:ascii="Book Antiqua" w:hAnsi="Book Antiqua" w:hint="eastAsia"/>
          <w:color w:val="auto"/>
          <w:lang w:val="en-US"/>
        </w:rPr>
        <w:t>.</w:t>
      </w:r>
    </w:p>
    <w:p w:rsidR="007C2761" w:rsidRPr="00C82350" w:rsidRDefault="007C2761" w:rsidP="002E2366">
      <w:pPr>
        <w:widowControl w:val="0"/>
        <w:suppressAutoHyphens w:val="0"/>
        <w:adjustRightInd w:val="0"/>
        <w:snapToGrid w:val="0"/>
        <w:spacing w:after="0" w:line="360" w:lineRule="auto"/>
        <w:ind w:firstLineChars="100" w:firstLine="240"/>
        <w:jc w:val="both"/>
        <w:rPr>
          <w:rFonts w:ascii="Book Antiqua" w:hAnsi="Book Antiqua"/>
          <w:color w:val="auto"/>
          <w:lang w:val="en-US"/>
        </w:rPr>
      </w:pPr>
      <w:r w:rsidRPr="00C82350">
        <w:rPr>
          <w:rFonts w:ascii="Book Antiqua" w:hAnsi="Book Antiqua"/>
          <w:color w:val="auto"/>
          <w:lang w:val="en-US"/>
        </w:rPr>
        <w:t>According to the selection criteria,</w:t>
      </w:r>
      <w:r w:rsidRPr="00C82350">
        <w:rPr>
          <w:rFonts w:ascii="Book Antiqua" w:hAnsi="Book Antiqua"/>
          <w:color w:val="auto"/>
          <w:shd w:val="clear" w:color="auto" w:fill="FFFFFF"/>
          <w:lang w:val="en-US"/>
        </w:rPr>
        <w:t xml:space="preserve"> out of 119 results of PubMed research, 5 Guidelines </w:t>
      </w:r>
      <w:r w:rsidRPr="00C82350">
        <w:rPr>
          <w:rFonts w:ascii="Book Antiqua" w:hAnsi="Book Antiqua"/>
          <w:color w:val="auto"/>
          <w:lang w:val="en-US"/>
        </w:rPr>
        <w:t>were finally included in this analysis. These guidelines are strictly focused on the topic of diagnosis and management of NAFLD in adult, excluding pediatric populations and special groups. In detail, the five selected papers included (from the oldest to the newest date of publication):</w:t>
      </w:r>
      <w:r w:rsidR="002E2366">
        <w:rPr>
          <w:rFonts w:ascii="Book Antiqua" w:hAnsi="Book Antiqua" w:hint="eastAsia"/>
          <w:color w:val="auto"/>
          <w:lang w:val="en-US"/>
        </w:rPr>
        <w:t xml:space="preserve"> (</w:t>
      </w:r>
      <w:r w:rsidRPr="00C82350">
        <w:rPr>
          <w:rFonts w:ascii="Book Antiqua" w:hAnsi="Book Antiqua"/>
          <w:color w:val="auto"/>
          <w:lang w:val="en-US"/>
        </w:rPr>
        <w:t xml:space="preserve">1) “EASL-EASD-EASO Clinical Practice Guidelines for the management of non-alcoholic fatty liver disease” by the European Association for </w:t>
      </w:r>
      <w:r w:rsidR="00FC698D">
        <w:rPr>
          <w:rFonts w:ascii="Book Antiqua" w:hAnsi="Book Antiqua"/>
          <w:color w:val="auto"/>
          <w:lang w:val="en-US"/>
        </w:rPr>
        <w:t xml:space="preserve">the Study of The Liver (EASL), </w:t>
      </w:r>
      <w:r w:rsidRPr="00C82350">
        <w:rPr>
          <w:rFonts w:ascii="Book Antiqua" w:hAnsi="Book Antiqua"/>
          <w:color w:val="auto"/>
          <w:lang w:val="en-US"/>
        </w:rPr>
        <w:t>published in 2016</w:t>
      </w:r>
      <w:r w:rsidR="002E2366" w:rsidRPr="002E2366">
        <w:rPr>
          <w:rFonts w:ascii="Book Antiqua" w:hAnsi="Book Antiqua"/>
          <w:color w:val="auto"/>
          <w:vertAlign w:val="superscript"/>
          <w:lang w:val="en-US"/>
        </w:rPr>
        <w:t>[</w:t>
      </w:r>
      <w:r w:rsidRPr="002E2366">
        <w:rPr>
          <w:rFonts w:ascii="Book Antiqua" w:hAnsi="Book Antiqua"/>
          <w:color w:val="auto"/>
          <w:vertAlign w:val="superscript"/>
          <w:lang w:val="en-US"/>
        </w:rPr>
        <w:t>3]</w:t>
      </w:r>
      <w:r w:rsidR="002E2366">
        <w:rPr>
          <w:rFonts w:ascii="Book Antiqua" w:hAnsi="Book Antiqua" w:hint="eastAsia"/>
          <w:color w:val="auto"/>
          <w:lang w:val="en-US"/>
        </w:rPr>
        <w:t>; (</w:t>
      </w:r>
      <w:r w:rsidRPr="00C82350">
        <w:rPr>
          <w:rFonts w:ascii="Book Antiqua" w:hAnsi="Book Antiqua"/>
          <w:color w:val="auto"/>
          <w:lang w:val="en-US"/>
        </w:rPr>
        <w:t xml:space="preserve">2) </w:t>
      </w:r>
      <w:r w:rsidR="002E2366">
        <w:rPr>
          <w:rFonts w:ascii="Book Antiqua" w:hAnsi="Book Antiqua"/>
          <w:color w:val="auto"/>
          <w:lang w:val="en-US"/>
        </w:rPr>
        <w:t>“</w:t>
      </w:r>
      <w:r w:rsidRPr="00C82350">
        <w:rPr>
          <w:rFonts w:ascii="Book Antiqua" w:hAnsi="Book Antiqua"/>
          <w:color w:val="auto"/>
          <w:lang w:val="en-US"/>
        </w:rPr>
        <w:t xml:space="preserve">Nonalcoholic fatty liver disease (NAFLD): </w:t>
      </w:r>
      <w:r w:rsidR="002E2366" w:rsidRPr="00C82350">
        <w:rPr>
          <w:rFonts w:ascii="Book Antiqua" w:hAnsi="Book Antiqua"/>
          <w:color w:val="auto"/>
          <w:lang w:val="en-US"/>
        </w:rPr>
        <w:t>A</w:t>
      </w:r>
      <w:r w:rsidRPr="00C82350">
        <w:rPr>
          <w:rFonts w:ascii="Book Antiqua" w:hAnsi="Book Antiqua"/>
          <w:color w:val="auto"/>
          <w:lang w:val="en-US"/>
        </w:rPr>
        <w:t>ssessment and management</w:t>
      </w:r>
      <w:r w:rsidR="002E2366">
        <w:rPr>
          <w:rFonts w:ascii="Book Antiqua" w:hAnsi="Book Antiqua"/>
          <w:color w:val="auto"/>
          <w:lang w:val="en-US"/>
        </w:rPr>
        <w:t>”</w:t>
      </w:r>
      <w:r w:rsidRPr="00C82350">
        <w:rPr>
          <w:rFonts w:ascii="Book Antiqua" w:hAnsi="Book Antiqua"/>
          <w:color w:val="auto"/>
          <w:lang w:val="en-US"/>
        </w:rPr>
        <w:t xml:space="preserve"> by the National Institute for Health and Care Excellence (NICE), published in 2016</w:t>
      </w:r>
      <w:r w:rsidR="002E2366" w:rsidRPr="002E2366">
        <w:rPr>
          <w:rFonts w:ascii="Book Antiqua" w:hAnsi="Book Antiqua"/>
          <w:color w:val="auto"/>
          <w:vertAlign w:val="superscript"/>
          <w:lang w:val="en-US"/>
        </w:rPr>
        <w:t>[</w:t>
      </w:r>
      <w:r w:rsidRPr="002E2366">
        <w:rPr>
          <w:rFonts w:ascii="Book Antiqua" w:hAnsi="Book Antiqua"/>
          <w:color w:val="auto"/>
          <w:vertAlign w:val="superscript"/>
          <w:lang w:val="en-US"/>
        </w:rPr>
        <w:t>4]</w:t>
      </w:r>
      <w:r w:rsidR="002E2366">
        <w:rPr>
          <w:rFonts w:ascii="Book Antiqua" w:hAnsi="Book Antiqua" w:hint="eastAsia"/>
          <w:color w:val="auto"/>
          <w:lang w:val="en-US"/>
        </w:rPr>
        <w:t>; (</w:t>
      </w:r>
      <w:r w:rsidRPr="00C82350">
        <w:rPr>
          <w:rFonts w:ascii="Book Antiqua" w:hAnsi="Book Antiqua"/>
          <w:color w:val="auto"/>
          <w:lang w:val="en-US"/>
        </w:rPr>
        <w:t>3)“Asia-Pacific Working Party on Non-Alcoholic Fatty Liver Disease guidelines”</w:t>
      </w:r>
      <w:r w:rsidR="00FC698D">
        <w:rPr>
          <w:rFonts w:ascii="Book Antiqua" w:hAnsi="Book Antiqua"/>
          <w:color w:val="auto"/>
          <w:lang w:val="en-US"/>
        </w:rPr>
        <w:t xml:space="preserve"> </w:t>
      </w:r>
      <w:r w:rsidRPr="00C82350">
        <w:rPr>
          <w:rFonts w:ascii="Book Antiqua" w:hAnsi="Book Antiqua"/>
          <w:color w:val="auto"/>
          <w:lang w:val="en-US"/>
        </w:rPr>
        <w:t>published in 2017</w:t>
      </w:r>
      <w:r w:rsidR="002E2366" w:rsidRPr="002E2366">
        <w:rPr>
          <w:rFonts w:ascii="Book Antiqua" w:hAnsi="Book Antiqua"/>
          <w:color w:val="auto"/>
          <w:vertAlign w:val="superscript"/>
          <w:lang w:val="en-US"/>
        </w:rPr>
        <w:t>[</w:t>
      </w:r>
      <w:r w:rsidRPr="002E2366">
        <w:rPr>
          <w:rFonts w:ascii="Book Antiqua" w:hAnsi="Book Antiqua"/>
          <w:color w:val="auto"/>
          <w:vertAlign w:val="superscript"/>
          <w:lang w:val="en-US"/>
        </w:rPr>
        <w:t>5,6]</w:t>
      </w:r>
      <w:r w:rsidR="002E2366">
        <w:rPr>
          <w:rFonts w:ascii="Book Antiqua" w:hAnsi="Book Antiqua" w:hint="eastAsia"/>
          <w:color w:val="auto"/>
          <w:lang w:val="en-US"/>
        </w:rPr>
        <w:t>; (</w:t>
      </w:r>
      <w:r w:rsidRPr="00C82350">
        <w:rPr>
          <w:rFonts w:ascii="Book Antiqua" w:hAnsi="Book Antiqua"/>
          <w:color w:val="auto"/>
          <w:lang w:val="en-US"/>
        </w:rPr>
        <w:t>4) Italian Association for the Study of the Liver (AISF). AISF position paper on nonalcoholic fatty liver disease (NAFLD): Updates and future directions, published in 2017</w:t>
      </w:r>
      <w:r w:rsidR="002E2366" w:rsidRPr="00DD0CC3">
        <w:rPr>
          <w:rFonts w:ascii="Book Antiqua" w:hAnsi="Book Antiqua"/>
          <w:color w:val="auto"/>
          <w:vertAlign w:val="superscript"/>
          <w:lang w:val="en-US"/>
        </w:rPr>
        <w:t>[7]</w:t>
      </w:r>
      <w:r w:rsidR="002E2366">
        <w:rPr>
          <w:rFonts w:ascii="Book Antiqua" w:hAnsi="Book Antiqua"/>
          <w:color w:val="auto"/>
          <w:lang w:val="en-US"/>
        </w:rPr>
        <w:t xml:space="preserve">; </w:t>
      </w:r>
      <w:r w:rsidR="002E2366">
        <w:rPr>
          <w:rFonts w:ascii="Book Antiqua" w:hAnsi="Book Antiqua" w:hint="eastAsia"/>
          <w:color w:val="auto"/>
          <w:lang w:val="en-US"/>
        </w:rPr>
        <w:t>(</w:t>
      </w:r>
      <w:r w:rsidRPr="00C82350">
        <w:rPr>
          <w:rFonts w:ascii="Book Antiqua" w:hAnsi="Book Antiqua"/>
          <w:color w:val="auto"/>
          <w:lang w:val="en-US"/>
        </w:rPr>
        <w:t>5)</w:t>
      </w:r>
      <w:r w:rsidR="002E2366">
        <w:rPr>
          <w:rFonts w:ascii="Book Antiqua" w:hAnsi="Book Antiqua" w:hint="eastAsia"/>
          <w:color w:val="auto"/>
          <w:lang w:val="en-US"/>
        </w:rPr>
        <w:t xml:space="preserve"> </w:t>
      </w:r>
      <w:r w:rsidR="002E2366">
        <w:rPr>
          <w:rFonts w:ascii="Book Antiqua" w:hAnsi="Book Antiqua"/>
          <w:color w:val="auto"/>
          <w:lang w:val="en-US"/>
        </w:rPr>
        <w:t>“</w:t>
      </w:r>
      <w:r w:rsidRPr="00C82350">
        <w:rPr>
          <w:rFonts w:ascii="Book Antiqua" w:hAnsi="Book Antiqua"/>
          <w:color w:val="auto"/>
          <w:lang w:val="en-US"/>
        </w:rPr>
        <w:t>The diagnosis and Management of Nonalcoholic Fatty Liver Disease: Practice Guidance From the American Association for the Study of Liver Diseases” published in 2018</w:t>
      </w:r>
      <w:r w:rsidR="002E2366" w:rsidRPr="002E2366">
        <w:rPr>
          <w:rFonts w:ascii="Book Antiqua" w:hAnsi="Book Antiqua"/>
          <w:color w:val="auto"/>
          <w:vertAlign w:val="superscript"/>
          <w:lang w:val="en-US"/>
        </w:rPr>
        <w:t>[</w:t>
      </w:r>
      <w:r w:rsidRPr="002E2366">
        <w:rPr>
          <w:rFonts w:ascii="Book Antiqua" w:hAnsi="Book Antiqua"/>
          <w:color w:val="auto"/>
          <w:vertAlign w:val="superscript"/>
          <w:lang w:val="en-US"/>
        </w:rPr>
        <w:t>8]</w:t>
      </w:r>
      <w:r w:rsidRPr="00C82350">
        <w:rPr>
          <w:rFonts w:ascii="Book Antiqua" w:hAnsi="Book Antiqua"/>
          <w:color w:val="auto"/>
          <w:lang w:val="en-US"/>
        </w:rPr>
        <w:t>.</w:t>
      </w:r>
      <w:r w:rsidR="002E2366">
        <w:rPr>
          <w:rFonts w:ascii="Book Antiqua" w:hAnsi="Book Antiqua" w:hint="eastAsia"/>
          <w:color w:val="auto"/>
          <w:lang w:val="en-US"/>
        </w:rPr>
        <w:t xml:space="preserve"> </w:t>
      </w:r>
    </w:p>
    <w:p w:rsidR="007C2761" w:rsidRPr="00C82350" w:rsidRDefault="007C2761" w:rsidP="00C82350">
      <w:pPr>
        <w:widowControl w:val="0"/>
        <w:suppressAutoHyphens w:val="0"/>
        <w:adjustRightInd w:val="0"/>
        <w:snapToGrid w:val="0"/>
        <w:spacing w:after="0" w:line="360" w:lineRule="auto"/>
        <w:jc w:val="both"/>
        <w:rPr>
          <w:rFonts w:ascii="Book Antiqua" w:hAnsi="Book Antiqua"/>
          <w:color w:val="auto"/>
          <w:lang w:val="en-US"/>
        </w:rPr>
      </w:pPr>
    </w:p>
    <w:p w:rsidR="007C2761" w:rsidRPr="00C82350" w:rsidRDefault="007C2761" w:rsidP="00C82350">
      <w:pPr>
        <w:widowControl w:val="0"/>
        <w:suppressAutoHyphens w:val="0"/>
        <w:adjustRightInd w:val="0"/>
        <w:snapToGrid w:val="0"/>
        <w:spacing w:after="0" w:line="360" w:lineRule="auto"/>
        <w:jc w:val="both"/>
        <w:rPr>
          <w:rFonts w:ascii="Book Antiqua" w:hAnsi="Book Antiqua"/>
          <w:b/>
          <w:bCs/>
          <w:color w:val="auto"/>
          <w:lang w:val="en-US"/>
        </w:rPr>
      </w:pPr>
      <w:r w:rsidRPr="00C82350">
        <w:rPr>
          <w:rFonts w:ascii="Book Antiqua" w:hAnsi="Book Antiqua"/>
          <w:b/>
          <w:bCs/>
          <w:color w:val="auto"/>
          <w:lang w:val="en-US"/>
        </w:rPr>
        <w:t>OPEN QUESTIONS</w:t>
      </w:r>
    </w:p>
    <w:p w:rsidR="007C2761" w:rsidRPr="002E2366" w:rsidRDefault="007C2761" w:rsidP="00C82350">
      <w:pPr>
        <w:widowControl w:val="0"/>
        <w:suppressAutoHyphens w:val="0"/>
        <w:adjustRightInd w:val="0"/>
        <w:snapToGrid w:val="0"/>
        <w:spacing w:after="0" w:line="360" w:lineRule="auto"/>
        <w:jc w:val="both"/>
        <w:rPr>
          <w:rFonts w:ascii="Book Antiqua" w:hAnsi="Book Antiqua"/>
          <w:b/>
          <w:bCs/>
          <w:i/>
          <w:color w:val="auto"/>
          <w:lang w:val="en-US"/>
        </w:rPr>
      </w:pPr>
      <w:r w:rsidRPr="002E2366">
        <w:rPr>
          <w:rFonts w:ascii="Book Antiqua" w:hAnsi="Book Antiqua"/>
          <w:b/>
          <w:bCs/>
          <w:i/>
          <w:color w:val="auto"/>
          <w:lang w:val="en-US"/>
        </w:rPr>
        <w:t>Definition, classification, and diagnostic criteria of NAFLD</w:t>
      </w:r>
    </w:p>
    <w:p w:rsidR="007C2761" w:rsidRPr="002E2366" w:rsidRDefault="007C2761" w:rsidP="00C82350">
      <w:pPr>
        <w:widowControl w:val="0"/>
        <w:suppressAutoHyphens w:val="0"/>
        <w:adjustRightInd w:val="0"/>
        <w:snapToGrid w:val="0"/>
        <w:spacing w:after="0" w:line="360" w:lineRule="auto"/>
        <w:jc w:val="both"/>
        <w:rPr>
          <w:rFonts w:ascii="Book Antiqua" w:hAnsi="Book Antiqua"/>
          <w:b/>
          <w:color w:val="auto"/>
          <w:lang w:val="en-US"/>
        </w:rPr>
      </w:pPr>
      <w:r w:rsidRPr="002E2366">
        <w:rPr>
          <w:rFonts w:ascii="Book Antiqua" w:hAnsi="Book Antiqua"/>
          <w:b/>
          <w:color w:val="auto"/>
          <w:lang w:val="en-US"/>
        </w:rPr>
        <w:t>Definition and classification</w:t>
      </w:r>
      <w:r w:rsidR="002E2366" w:rsidRPr="002E2366">
        <w:rPr>
          <w:rFonts w:ascii="Book Antiqua" w:hAnsi="Book Antiqua" w:hint="eastAsia"/>
          <w:b/>
          <w:color w:val="auto"/>
          <w:lang w:val="en-US"/>
        </w:rPr>
        <w:t>:</w:t>
      </w:r>
      <w:r w:rsidR="002E2366">
        <w:rPr>
          <w:rFonts w:ascii="Book Antiqua" w:hAnsi="Book Antiqua" w:hint="eastAsia"/>
          <w:b/>
          <w:color w:val="auto"/>
          <w:lang w:val="en-US"/>
        </w:rPr>
        <w:t xml:space="preserve"> </w:t>
      </w:r>
      <w:r w:rsidRPr="00C82350">
        <w:rPr>
          <w:rFonts w:ascii="Book Antiqua" w:hAnsi="Book Antiqua"/>
          <w:color w:val="auto"/>
          <w:lang w:val="en-US"/>
        </w:rPr>
        <w:t>A definition of NAFLD is reported in all Guideli</w:t>
      </w:r>
      <w:r w:rsidRPr="002E2366">
        <w:rPr>
          <w:rFonts w:ascii="Book Antiqua" w:hAnsi="Book Antiqua"/>
          <w:color w:val="auto"/>
          <w:lang w:val="en-US"/>
        </w:rPr>
        <w:t>nes (Table 1). T</w:t>
      </w:r>
      <w:r w:rsidRPr="00C82350">
        <w:rPr>
          <w:rFonts w:ascii="Book Antiqua" w:hAnsi="Book Antiqua"/>
          <w:color w:val="auto"/>
          <w:lang w:val="en-US"/>
        </w:rPr>
        <w:t xml:space="preserve">he characteristic points of NAFLD definition include </w:t>
      </w:r>
      <w:r w:rsidR="002E2366">
        <w:rPr>
          <w:rFonts w:ascii="Book Antiqua" w:hAnsi="Book Antiqua" w:hint="eastAsia"/>
          <w:color w:val="auto"/>
          <w:lang w:val="en-US"/>
        </w:rPr>
        <w:t>(</w:t>
      </w:r>
      <w:r w:rsidRPr="00C82350">
        <w:rPr>
          <w:rFonts w:ascii="Book Antiqua" w:hAnsi="Book Antiqua"/>
          <w:color w:val="auto"/>
          <w:lang w:val="en-US"/>
        </w:rPr>
        <w:t xml:space="preserve">1) the evidence of excessive hepatic fat accumulation in the liver parenchyma (detected by imaging techniques or histology); </w:t>
      </w:r>
      <w:r w:rsidR="002E2366">
        <w:rPr>
          <w:rFonts w:ascii="Book Antiqua" w:hAnsi="Book Antiqua" w:hint="eastAsia"/>
          <w:color w:val="auto"/>
          <w:lang w:val="en-US"/>
        </w:rPr>
        <w:t>(</w:t>
      </w:r>
      <w:r w:rsidRPr="00C82350">
        <w:rPr>
          <w:rFonts w:ascii="Book Antiqua" w:hAnsi="Book Antiqua"/>
          <w:color w:val="auto"/>
          <w:lang w:val="en-US"/>
        </w:rPr>
        <w:t xml:space="preserve">2) the absence of other secondary causes of hepatic </w:t>
      </w:r>
      <w:r w:rsidR="002E2366">
        <w:rPr>
          <w:rFonts w:ascii="Book Antiqua" w:hAnsi="Book Antiqua"/>
          <w:color w:val="auto"/>
          <w:lang w:val="en-US"/>
        </w:rPr>
        <w:t>fat. Out of them,</w:t>
      </w:r>
      <w:r w:rsidRPr="00C82350">
        <w:rPr>
          <w:rFonts w:ascii="Book Antiqua" w:hAnsi="Book Antiqua"/>
          <w:color w:val="auto"/>
          <w:lang w:val="en-US"/>
        </w:rPr>
        <w:t xml:space="preserve"> to strictly define NAFLD patients a significant ongoing or recent alcohol consumption have to be excluded in all recommendation</w:t>
      </w:r>
      <w:r w:rsidR="002E2366" w:rsidRPr="002E2366">
        <w:rPr>
          <w:rFonts w:ascii="Book Antiqua" w:hAnsi="Book Antiqua"/>
          <w:color w:val="auto"/>
          <w:vertAlign w:val="superscript"/>
          <w:lang w:val="en-US"/>
        </w:rPr>
        <w:t>[</w:t>
      </w:r>
      <w:r w:rsidRPr="002E2366">
        <w:rPr>
          <w:rFonts w:ascii="Book Antiqua" w:hAnsi="Book Antiqua"/>
          <w:color w:val="auto"/>
          <w:vertAlign w:val="superscript"/>
          <w:lang w:val="en-US"/>
        </w:rPr>
        <w:t>3-8].</w:t>
      </w:r>
    </w:p>
    <w:p w:rsidR="007C2761" w:rsidRPr="00C82350" w:rsidRDefault="007C2761" w:rsidP="002E2366">
      <w:pPr>
        <w:widowControl w:val="0"/>
        <w:suppressAutoHyphens w:val="0"/>
        <w:adjustRightInd w:val="0"/>
        <w:snapToGrid w:val="0"/>
        <w:spacing w:after="0" w:line="360" w:lineRule="auto"/>
        <w:ind w:firstLineChars="100" w:firstLine="240"/>
        <w:jc w:val="both"/>
        <w:rPr>
          <w:rFonts w:ascii="Book Antiqua" w:hAnsi="Book Antiqua"/>
          <w:color w:val="auto"/>
          <w:lang w:val="en-US"/>
        </w:rPr>
      </w:pPr>
      <w:r w:rsidRPr="00C82350">
        <w:rPr>
          <w:rFonts w:ascii="Book Antiqua" w:hAnsi="Book Antiqua"/>
          <w:color w:val="auto"/>
          <w:lang w:val="en-US"/>
        </w:rPr>
        <w:t xml:space="preserve">All recommendations identify some different clinical-pathological entities, according to the progression of hepatic histological changes. Simple steatosis and non-alcoholic steatohepatitis </w:t>
      </w:r>
      <w:r w:rsidRPr="00C82350">
        <w:rPr>
          <w:rFonts w:ascii="Book Antiqua" w:hAnsi="Book Antiqua"/>
          <w:color w:val="auto"/>
          <w:lang w:val="en-US"/>
        </w:rPr>
        <w:lastRenderedPageBreak/>
        <w:t>(NASH) are defined in all guidelines</w:t>
      </w:r>
      <w:r w:rsidR="002E2366" w:rsidRPr="002E2366">
        <w:rPr>
          <w:rFonts w:ascii="Book Antiqua" w:hAnsi="Book Antiqua"/>
          <w:color w:val="auto"/>
          <w:vertAlign w:val="superscript"/>
          <w:lang w:val="en-US"/>
        </w:rPr>
        <w:t>[</w:t>
      </w:r>
      <w:r w:rsidRPr="002E2366">
        <w:rPr>
          <w:rFonts w:ascii="Book Antiqua" w:hAnsi="Book Antiqua"/>
          <w:color w:val="auto"/>
          <w:vertAlign w:val="superscript"/>
          <w:lang w:val="en-US"/>
        </w:rPr>
        <w:t>3-8]</w:t>
      </w:r>
      <w:r w:rsidRPr="00C82350">
        <w:rPr>
          <w:rFonts w:ascii="Book Antiqua" w:hAnsi="Book Antiqua"/>
          <w:b/>
          <w:color w:val="auto"/>
          <w:lang w:val="en-US"/>
        </w:rPr>
        <w:t>.</w:t>
      </w:r>
      <w:r w:rsidRPr="00C82350">
        <w:rPr>
          <w:rFonts w:ascii="Book Antiqua" w:hAnsi="Book Antiqua"/>
          <w:color w:val="auto"/>
          <w:lang w:val="en-US"/>
        </w:rPr>
        <w:t xml:space="preserve"> In detail simple steatosis, also called non-alcoholic fatty liver (NAFL) includes all of the case characterized by steatosis with minimal or absent lobular inflammation. On the contrary, NASH is characterized by hepatocyte ballooning degeneration, diffused lobular inflammation and fibrosis (F</w:t>
      </w:r>
      <w:r w:rsidR="004C200F" w:rsidRPr="00C82350">
        <w:rPr>
          <w:rFonts w:ascii="Book Antiqua" w:hAnsi="Book Antiqua"/>
          <w:color w:val="auto"/>
          <w:lang w:val="en-US"/>
        </w:rPr>
        <w:t>igure</w:t>
      </w:r>
      <w:r w:rsidRPr="00C82350">
        <w:rPr>
          <w:rFonts w:ascii="Book Antiqua" w:hAnsi="Book Antiqua"/>
          <w:color w:val="auto"/>
          <w:lang w:val="en-US"/>
        </w:rPr>
        <w:t xml:space="preserve"> 1)</w:t>
      </w:r>
    </w:p>
    <w:p w:rsidR="004C200F" w:rsidRDefault="007C2761" w:rsidP="004C200F">
      <w:pPr>
        <w:widowControl w:val="0"/>
        <w:suppressAutoHyphens w:val="0"/>
        <w:adjustRightInd w:val="0"/>
        <w:snapToGrid w:val="0"/>
        <w:spacing w:after="0" w:line="360" w:lineRule="auto"/>
        <w:ind w:firstLineChars="100" w:firstLine="240"/>
        <w:jc w:val="both"/>
        <w:rPr>
          <w:rFonts w:ascii="Book Antiqua" w:hAnsi="Book Antiqua"/>
          <w:color w:val="auto"/>
          <w:lang w:val="en-US"/>
        </w:rPr>
      </w:pPr>
      <w:r w:rsidRPr="00C82350">
        <w:rPr>
          <w:rFonts w:ascii="Book Antiqua" w:hAnsi="Book Antiqua"/>
          <w:color w:val="auto"/>
          <w:lang w:val="en-US"/>
        </w:rPr>
        <w:t>Additionally, EASL Asia-Pacific Guidelines and AISF position paper also underline the problem of NAFLD-related HCC, potentially occurring in patients with NAFLD but without cirrhosis</w:t>
      </w:r>
      <w:r w:rsidR="002E2366" w:rsidRPr="004C200F">
        <w:rPr>
          <w:rFonts w:ascii="Book Antiqua" w:hAnsi="Book Antiqua"/>
          <w:color w:val="auto"/>
          <w:vertAlign w:val="superscript"/>
          <w:lang w:val="en-US"/>
        </w:rPr>
        <w:t>[</w:t>
      </w:r>
      <w:r w:rsidRPr="004C200F">
        <w:rPr>
          <w:rFonts w:ascii="Book Antiqua" w:hAnsi="Book Antiqua"/>
          <w:color w:val="auto"/>
          <w:vertAlign w:val="superscript"/>
          <w:lang w:val="en-US"/>
        </w:rPr>
        <w:t>9,10]</w:t>
      </w:r>
      <w:r w:rsidRPr="00C82350">
        <w:rPr>
          <w:rFonts w:ascii="Book Antiqua" w:hAnsi="Book Antiqua"/>
          <w:color w:val="auto"/>
          <w:lang w:val="en-US"/>
        </w:rPr>
        <w:t xml:space="preserve">. </w:t>
      </w:r>
    </w:p>
    <w:p w:rsidR="004C200F" w:rsidRDefault="004C200F" w:rsidP="00C82350">
      <w:pPr>
        <w:widowControl w:val="0"/>
        <w:suppressAutoHyphens w:val="0"/>
        <w:adjustRightInd w:val="0"/>
        <w:snapToGrid w:val="0"/>
        <w:spacing w:after="0" w:line="360" w:lineRule="auto"/>
        <w:jc w:val="both"/>
        <w:rPr>
          <w:rFonts w:ascii="Book Antiqua" w:hAnsi="Book Antiqua"/>
          <w:b/>
          <w:color w:val="auto"/>
          <w:lang w:val="en-US"/>
        </w:rPr>
      </w:pPr>
    </w:p>
    <w:p w:rsidR="007C2761" w:rsidRDefault="007C2761" w:rsidP="00C82350">
      <w:pPr>
        <w:widowControl w:val="0"/>
        <w:suppressAutoHyphens w:val="0"/>
        <w:adjustRightInd w:val="0"/>
        <w:snapToGrid w:val="0"/>
        <w:spacing w:after="0" w:line="360" w:lineRule="auto"/>
        <w:jc w:val="both"/>
        <w:rPr>
          <w:rFonts w:ascii="Book Antiqua" w:hAnsi="Book Antiqua"/>
          <w:color w:val="auto"/>
          <w:lang w:val="en-US"/>
        </w:rPr>
      </w:pPr>
      <w:r w:rsidRPr="004C200F">
        <w:rPr>
          <w:rFonts w:ascii="Book Antiqua" w:hAnsi="Book Antiqua"/>
          <w:b/>
          <w:color w:val="auto"/>
          <w:lang w:val="en-US"/>
        </w:rPr>
        <w:t xml:space="preserve">Diagnostic criteria: </w:t>
      </w:r>
      <w:r w:rsidR="004C200F" w:rsidRPr="004C200F">
        <w:rPr>
          <w:rFonts w:ascii="Book Antiqua" w:hAnsi="Book Antiqua"/>
          <w:b/>
          <w:color w:val="auto"/>
          <w:lang w:val="en-US"/>
        </w:rPr>
        <w:t>T</w:t>
      </w:r>
      <w:r w:rsidRPr="004C200F">
        <w:rPr>
          <w:rFonts w:ascii="Book Antiqua" w:hAnsi="Book Antiqua"/>
          <w:b/>
          <w:color w:val="auto"/>
          <w:lang w:val="en-US"/>
        </w:rPr>
        <w:t>he role of alcohol</w:t>
      </w:r>
      <w:r w:rsidR="004C200F">
        <w:rPr>
          <w:rFonts w:ascii="Book Antiqua" w:hAnsi="Book Antiqua" w:hint="eastAsia"/>
          <w:b/>
          <w:color w:val="auto"/>
          <w:lang w:val="en-US"/>
        </w:rPr>
        <w:t xml:space="preserve">: </w:t>
      </w:r>
      <w:r w:rsidRPr="00C82350">
        <w:rPr>
          <w:rFonts w:ascii="Book Antiqua" w:hAnsi="Book Antiqua"/>
          <w:color w:val="auto"/>
          <w:lang w:val="en-US"/>
        </w:rPr>
        <w:t>The agreement between the different guidelines is not complete when defining the threshold dose of alcohol consumption. As shown in</w:t>
      </w:r>
      <w:r w:rsidRPr="004C200F">
        <w:rPr>
          <w:rFonts w:ascii="Book Antiqua" w:hAnsi="Book Antiqua"/>
          <w:color w:val="auto"/>
          <w:lang w:val="en-US"/>
        </w:rPr>
        <w:t xml:space="preserve"> </w:t>
      </w:r>
      <w:r w:rsidRPr="004C200F">
        <w:rPr>
          <w:rFonts w:ascii="Book Antiqua" w:hAnsi="Book Antiqua"/>
          <w:bCs/>
          <w:color w:val="auto"/>
          <w:lang w:val="en-US"/>
        </w:rPr>
        <w:t>Table 1,</w:t>
      </w:r>
      <w:r w:rsidRPr="004C200F">
        <w:rPr>
          <w:rFonts w:ascii="Book Antiqua" w:hAnsi="Book Antiqua"/>
          <w:color w:val="auto"/>
          <w:lang w:val="en-US"/>
        </w:rPr>
        <w:t xml:space="preserve"> </w:t>
      </w:r>
      <w:r w:rsidRPr="00C82350">
        <w:rPr>
          <w:rFonts w:ascii="Book Antiqua" w:hAnsi="Book Antiqua"/>
          <w:color w:val="auto"/>
          <w:lang w:val="en-US"/>
        </w:rPr>
        <w:t>EASL</w:t>
      </w:r>
      <w:r w:rsidR="002E2366" w:rsidRPr="004C200F">
        <w:rPr>
          <w:rFonts w:ascii="Book Antiqua" w:hAnsi="Book Antiqua"/>
          <w:color w:val="auto"/>
          <w:vertAlign w:val="superscript"/>
          <w:lang w:val="en-US"/>
        </w:rPr>
        <w:t>[</w:t>
      </w:r>
      <w:r w:rsidRPr="004C200F">
        <w:rPr>
          <w:rFonts w:ascii="Book Antiqua" w:hAnsi="Book Antiqua"/>
          <w:color w:val="auto"/>
          <w:vertAlign w:val="superscript"/>
          <w:lang w:val="en-US"/>
        </w:rPr>
        <w:t>3]</w:t>
      </w:r>
      <w:r w:rsidRPr="004C200F">
        <w:rPr>
          <w:rFonts w:ascii="Book Antiqua" w:hAnsi="Book Antiqua"/>
          <w:color w:val="auto"/>
          <w:lang w:val="en-US"/>
        </w:rPr>
        <w:t xml:space="preserve">, </w:t>
      </w:r>
      <w:r w:rsidRPr="00C82350">
        <w:rPr>
          <w:rFonts w:ascii="Book Antiqua" w:hAnsi="Book Antiqua"/>
          <w:color w:val="auto"/>
          <w:lang w:val="en-US"/>
        </w:rPr>
        <w:t>NICE, and AISF guidelines</w:t>
      </w:r>
      <w:r w:rsidR="002E2366" w:rsidRPr="004C200F">
        <w:rPr>
          <w:rFonts w:ascii="Book Antiqua" w:hAnsi="Book Antiqua"/>
          <w:color w:val="auto"/>
          <w:vertAlign w:val="superscript"/>
          <w:lang w:val="en-US"/>
        </w:rPr>
        <w:t>[</w:t>
      </w:r>
      <w:r w:rsidRPr="004C200F">
        <w:rPr>
          <w:rFonts w:ascii="Book Antiqua" w:hAnsi="Book Antiqua"/>
          <w:color w:val="auto"/>
          <w:vertAlign w:val="superscript"/>
          <w:lang w:val="en-US"/>
        </w:rPr>
        <w:t>3,4,7]</w:t>
      </w:r>
      <w:r w:rsidRPr="00C82350">
        <w:rPr>
          <w:rFonts w:ascii="Book Antiqua" w:hAnsi="Book Antiqua"/>
          <w:color w:val="auto"/>
          <w:lang w:val="en-US"/>
        </w:rPr>
        <w:t xml:space="preserve"> consider as significant an alcohol consumption &gt; 30 g/d in men and &gt; 20 g/d in women. The AASLD guidance</w:t>
      </w:r>
      <w:r w:rsidR="002E2366" w:rsidRPr="004C200F">
        <w:rPr>
          <w:rFonts w:ascii="Book Antiqua" w:hAnsi="Book Antiqua"/>
          <w:color w:val="auto"/>
          <w:vertAlign w:val="superscript"/>
          <w:lang w:val="en-US"/>
        </w:rPr>
        <w:t>[</w:t>
      </w:r>
      <w:r w:rsidRPr="004C200F">
        <w:rPr>
          <w:rFonts w:ascii="Book Antiqua" w:hAnsi="Book Antiqua"/>
          <w:color w:val="auto"/>
          <w:vertAlign w:val="superscript"/>
          <w:lang w:val="en-US"/>
        </w:rPr>
        <w:t>8]</w:t>
      </w:r>
      <w:r w:rsidRPr="00C82350">
        <w:rPr>
          <w:rFonts w:ascii="Book Antiqua" w:hAnsi="Book Antiqua"/>
          <w:color w:val="auto"/>
          <w:lang w:val="en-US"/>
        </w:rPr>
        <w:t xml:space="preserve"> indicate the reasonable threshold for significant alcohol consumption &gt;</w:t>
      </w:r>
      <w:r w:rsidR="00DD0CC3">
        <w:rPr>
          <w:rFonts w:ascii="Book Antiqua" w:hAnsi="Book Antiqua" w:hint="eastAsia"/>
          <w:color w:val="auto"/>
          <w:lang w:val="en-US"/>
        </w:rPr>
        <w:t xml:space="preserve"> </w:t>
      </w:r>
      <w:r w:rsidRPr="00C82350">
        <w:rPr>
          <w:rFonts w:ascii="Book Antiqua" w:hAnsi="Book Antiqua"/>
          <w:color w:val="auto"/>
          <w:lang w:val="en-US"/>
        </w:rPr>
        <w:t>21 standard drink on average per week in men and &gt; 14 in women. For Asia-Pacific Guidelines</w:t>
      </w:r>
      <w:r w:rsidR="002E2366" w:rsidRPr="004C200F">
        <w:rPr>
          <w:rFonts w:ascii="Book Antiqua" w:hAnsi="Book Antiqua"/>
          <w:color w:val="auto"/>
          <w:vertAlign w:val="superscript"/>
          <w:lang w:val="en-US"/>
        </w:rPr>
        <w:t>[</w:t>
      </w:r>
      <w:r w:rsidRPr="004C200F">
        <w:rPr>
          <w:rFonts w:ascii="Book Antiqua" w:hAnsi="Book Antiqua"/>
          <w:color w:val="auto"/>
          <w:vertAlign w:val="superscript"/>
          <w:lang w:val="en-US"/>
        </w:rPr>
        <w:t xml:space="preserve">5] </w:t>
      </w:r>
      <w:r w:rsidRPr="00C82350">
        <w:rPr>
          <w:rFonts w:ascii="Book Antiqua" w:hAnsi="Book Antiqua"/>
          <w:color w:val="auto"/>
          <w:lang w:val="en-US"/>
        </w:rPr>
        <w:t xml:space="preserve">a significant alcohol intake was considered &gt; 7 standard alcoholic drinks/week (70 g ethanol) in women and &gt; 14 (140 g) in men. </w:t>
      </w:r>
    </w:p>
    <w:p w:rsidR="004C200F" w:rsidRPr="004C200F" w:rsidRDefault="004C200F" w:rsidP="00C82350">
      <w:pPr>
        <w:widowControl w:val="0"/>
        <w:suppressAutoHyphens w:val="0"/>
        <w:adjustRightInd w:val="0"/>
        <w:snapToGrid w:val="0"/>
        <w:spacing w:after="0" w:line="360" w:lineRule="auto"/>
        <w:jc w:val="both"/>
        <w:rPr>
          <w:rFonts w:ascii="Book Antiqua" w:hAnsi="Book Antiqua"/>
          <w:color w:val="auto"/>
          <w:lang w:val="en-US"/>
        </w:rPr>
      </w:pPr>
    </w:p>
    <w:p w:rsidR="007C2761" w:rsidRPr="004C200F" w:rsidRDefault="007C2761" w:rsidP="00C82350">
      <w:pPr>
        <w:widowControl w:val="0"/>
        <w:suppressAutoHyphens w:val="0"/>
        <w:adjustRightInd w:val="0"/>
        <w:snapToGrid w:val="0"/>
        <w:spacing w:after="0" w:line="360" w:lineRule="auto"/>
        <w:jc w:val="both"/>
        <w:rPr>
          <w:rFonts w:ascii="Book Antiqua" w:hAnsi="Book Antiqua"/>
          <w:b/>
          <w:bCs/>
          <w:i/>
          <w:iCs/>
          <w:color w:val="auto"/>
          <w:lang w:val="en-US"/>
        </w:rPr>
      </w:pPr>
      <w:r w:rsidRPr="004C200F">
        <w:rPr>
          <w:rFonts w:ascii="Book Antiqua" w:hAnsi="Book Antiqua"/>
          <w:b/>
          <w:bCs/>
          <w:i/>
          <w:iCs/>
          <w:color w:val="auto"/>
          <w:lang w:val="en-US"/>
        </w:rPr>
        <w:t>W</w:t>
      </w:r>
      <w:r w:rsidR="004C200F" w:rsidRPr="004C200F">
        <w:rPr>
          <w:rFonts w:ascii="Book Antiqua" w:hAnsi="Book Antiqua"/>
          <w:b/>
          <w:bCs/>
          <w:i/>
          <w:iCs/>
          <w:color w:val="auto"/>
          <w:lang w:val="en-US"/>
        </w:rPr>
        <w:t>ho should be screened for</w:t>
      </w:r>
      <w:r w:rsidRPr="004C200F">
        <w:rPr>
          <w:rFonts w:ascii="Book Antiqua" w:hAnsi="Book Antiqua"/>
          <w:b/>
          <w:bCs/>
          <w:i/>
          <w:iCs/>
          <w:color w:val="auto"/>
          <w:lang w:val="en-US"/>
        </w:rPr>
        <w:t xml:space="preserve"> NAFLD?</w:t>
      </w:r>
    </w:p>
    <w:p w:rsidR="007C2761" w:rsidRPr="00C82350" w:rsidRDefault="007C2761" w:rsidP="00C82350">
      <w:pPr>
        <w:widowControl w:val="0"/>
        <w:suppressAutoHyphens w:val="0"/>
        <w:adjustRightInd w:val="0"/>
        <w:snapToGrid w:val="0"/>
        <w:spacing w:after="0" w:line="360" w:lineRule="auto"/>
        <w:jc w:val="both"/>
        <w:rPr>
          <w:rFonts w:ascii="Book Antiqua" w:hAnsi="Book Antiqua"/>
          <w:color w:val="auto"/>
          <w:lang w:val="en-US"/>
        </w:rPr>
      </w:pPr>
      <w:r w:rsidRPr="00C82350">
        <w:rPr>
          <w:rFonts w:ascii="Book Antiqua" w:hAnsi="Book Antiqua"/>
          <w:color w:val="auto"/>
          <w:lang w:val="en-US"/>
        </w:rPr>
        <w:t>According to the screening programs adopted for other diseases, systematic screening has to be performed for significant health problem with available diagnostic facilities and accepted treatment. Also, there should be recognisable latent or early symptomatic stage, identifiable with sensitive tests. To adequately perform a screening program, the natural history of the disease should be understood, and the economic burden should be suitable.</w:t>
      </w:r>
    </w:p>
    <w:p w:rsidR="007C2761" w:rsidRPr="00C82350" w:rsidRDefault="007C2761" w:rsidP="004C200F">
      <w:pPr>
        <w:widowControl w:val="0"/>
        <w:suppressAutoHyphens w:val="0"/>
        <w:adjustRightInd w:val="0"/>
        <w:snapToGrid w:val="0"/>
        <w:spacing w:after="0" w:line="360" w:lineRule="auto"/>
        <w:ind w:firstLineChars="100" w:firstLine="240"/>
        <w:jc w:val="both"/>
        <w:rPr>
          <w:rFonts w:ascii="Book Antiqua" w:hAnsi="Book Antiqua"/>
          <w:color w:val="auto"/>
          <w:lang w:val="en-US"/>
        </w:rPr>
      </w:pPr>
      <w:r w:rsidRPr="00C82350">
        <w:rPr>
          <w:rFonts w:ascii="Book Antiqua" w:hAnsi="Book Antiqua"/>
          <w:color w:val="auto"/>
          <w:lang w:val="en-US"/>
        </w:rPr>
        <w:t xml:space="preserve">The international guidelines partially diverge about this topic. This disagreement derives from essential considerations regarding natural history, special groups, diagnosis, and therapy: </w:t>
      </w:r>
      <w:r w:rsidR="004C200F">
        <w:rPr>
          <w:rFonts w:ascii="Book Antiqua" w:hAnsi="Book Antiqua" w:hint="eastAsia"/>
          <w:color w:val="auto"/>
          <w:lang w:val="en-US"/>
        </w:rPr>
        <w:t>(</w:t>
      </w:r>
      <w:r w:rsidRPr="00C82350">
        <w:rPr>
          <w:rFonts w:ascii="Book Antiqua" w:hAnsi="Book Antiqua"/>
          <w:color w:val="auto"/>
          <w:lang w:val="en-US"/>
        </w:rPr>
        <w:t>1) NAFLD in a common cause of chronic liver disease in general population but cause severe liver disease in a small proportion of affected people</w:t>
      </w:r>
      <w:r w:rsidR="002E2366" w:rsidRPr="004C200F">
        <w:rPr>
          <w:rFonts w:ascii="Book Antiqua" w:hAnsi="Book Antiqua"/>
          <w:color w:val="auto"/>
          <w:vertAlign w:val="superscript"/>
          <w:lang w:val="en-US"/>
        </w:rPr>
        <w:t>[</w:t>
      </w:r>
      <w:r w:rsidRPr="004C200F">
        <w:rPr>
          <w:rFonts w:ascii="Book Antiqua" w:hAnsi="Book Antiqua"/>
          <w:color w:val="auto"/>
          <w:vertAlign w:val="superscript"/>
          <w:lang w:val="en-US"/>
        </w:rPr>
        <w:t>1]</w:t>
      </w:r>
      <w:r w:rsidRPr="00C82350">
        <w:rPr>
          <w:rFonts w:ascii="Book Antiqua" w:hAnsi="Book Antiqua"/>
          <w:color w:val="auto"/>
          <w:lang w:val="en-US"/>
        </w:rPr>
        <w:t xml:space="preserve">; </w:t>
      </w:r>
      <w:r w:rsidR="004C200F">
        <w:rPr>
          <w:rFonts w:ascii="Book Antiqua" w:hAnsi="Book Antiqua" w:hint="eastAsia"/>
          <w:color w:val="auto"/>
          <w:lang w:val="en-US"/>
        </w:rPr>
        <w:t>(</w:t>
      </w:r>
      <w:r w:rsidRPr="00C82350">
        <w:rPr>
          <w:rFonts w:ascii="Book Antiqua" w:hAnsi="Book Antiqua"/>
          <w:color w:val="auto"/>
          <w:lang w:val="en-US"/>
        </w:rPr>
        <w:t>2)Type II diabetes patients have higher prevalence of NAFLD, NASH and advanced fibrosis</w:t>
      </w:r>
      <w:r w:rsidR="002E2366" w:rsidRPr="004C200F">
        <w:rPr>
          <w:rFonts w:ascii="Book Antiqua" w:hAnsi="Book Antiqua"/>
          <w:color w:val="auto"/>
          <w:vertAlign w:val="superscript"/>
          <w:lang w:val="en-US"/>
        </w:rPr>
        <w:t>[</w:t>
      </w:r>
      <w:r w:rsidRPr="004C200F">
        <w:rPr>
          <w:rFonts w:ascii="Book Antiqua" w:hAnsi="Book Antiqua"/>
          <w:color w:val="auto"/>
          <w:vertAlign w:val="superscript"/>
          <w:lang w:val="en-US"/>
        </w:rPr>
        <w:t>11-13]</w:t>
      </w:r>
      <w:r w:rsidRPr="00C82350">
        <w:rPr>
          <w:rFonts w:ascii="Book Antiqua" w:hAnsi="Book Antiqua"/>
          <w:color w:val="auto"/>
          <w:lang w:val="en-US"/>
        </w:rPr>
        <w:t xml:space="preserve">; </w:t>
      </w:r>
      <w:r w:rsidR="004C200F">
        <w:rPr>
          <w:rFonts w:ascii="Book Antiqua" w:hAnsi="Book Antiqua" w:hint="eastAsia"/>
          <w:color w:val="auto"/>
          <w:lang w:val="en-US"/>
        </w:rPr>
        <w:t>(</w:t>
      </w:r>
      <w:r w:rsidRPr="00C82350">
        <w:rPr>
          <w:rFonts w:ascii="Book Antiqua" w:hAnsi="Book Antiqua"/>
          <w:color w:val="auto"/>
          <w:lang w:val="en-US"/>
        </w:rPr>
        <w:t xml:space="preserve">3) There is a current lack of effective drug treatment; </w:t>
      </w:r>
      <w:r w:rsidR="004C200F">
        <w:rPr>
          <w:rFonts w:ascii="Book Antiqua" w:hAnsi="Book Antiqua" w:hint="eastAsia"/>
          <w:color w:val="auto"/>
          <w:lang w:val="en-US"/>
        </w:rPr>
        <w:t>(</w:t>
      </w:r>
      <w:r w:rsidRPr="00C82350">
        <w:rPr>
          <w:rFonts w:ascii="Book Antiqua" w:hAnsi="Book Antiqua"/>
          <w:color w:val="auto"/>
          <w:lang w:val="en-US"/>
        </w:rPr>
        <w:t xml:space="preserve">4) Liver biopsy is a procedure with related risks; </w:t>
      </w:r>
      <w:r w:rsidR="004C200F">
        <w:rPr>
          <w:rFonts w:ascii="Book Antiqua" w:hAnsi="Book Antiqua" w:hint="eastAsia"/>
          <w:color w:val="auto"/>
          <w:lang w:val="en-US"/>
        </w:rPr>
        <w:t>(</w:t>
      </w:r>
      <w:r w:rsidRPr="00C82350">
        <w:rPr>
          <w:rFonts w:ascii="Book Antiqua" w:hAnsi="Book Antiqua"/>
          <w:color w:val="auto"/>
          <w:lang w:val="en-US"/>
        </w:rPr>
        <w:t>6) Few cost-effective analysis are available</w:t>
      </w:r>
      <w:r w:rsidR="002E2366" w:rsidRPr="004C200F">
        <w:rPr>
          <w:rFonts w:ascii="Book Antiqua" w:hAnsi="Book Antiqua"/>
          <w:color w:val="auto"/>
          <w:vertAlign w:val="superscript"/>
          <w:lang w:val="en-US"/>
        </w:rPr>
        <w:t>[</w:t>
      </w:r>
      <w:r w:rsidRPr="004C200F">
        <w:rPr>
          <w:rFonts w:ascii="Book Antiqua" w:hAnsi="Book Antiqua"/>
          <w:color w:val="auto"/>
          <w:vertAlign w:val="superscript"/>
          <w:lang w:val="en-US"/>
        </w:rPr>
        <w:t>14]</w:t>
      </w:r>
      <w:r w:rsidRPr="00C82350">
        <w:rPr>
          <w:rFonts w:ascii="Book Antiqua" w:hAnsi="Book Antiqua"/>
          <w:color w:val="auto"/>
          <w:lang w:val="en-US"/>
        </w:rPr>
        <w:t>.</w:t>
      </w:r>
    </w:p>
    <w:p w:rsidR="007C2761" w:rsidRPr="00C82350" w:rsidRDefault="007C2761" w:rsidP="004C200F">
      <w:pPr>
        <w:widowControl w:val="0"/>
        <w:suppressAutoHyphens w:val="0"/>
        <w:adjustRightInd w:val="0"/>
        <w:snapToGrid w:val="0"/>
        <w:spacing w:after="0" w:line="360" w:lineRule="auto"/>
        <w:ind w:firstLineChars="100" w:firstLine="240"/>
        <w:jc w:val="both"/>
        <w:rPr>
          <w:rFonts w:ascii="Book Antiqua" w:hAnsi="Book Antiqua"/>
          <w:color w:val="auto"/>
          <w:lang w:val="en-US"/>
        </w:rPr>
      </w:pPr>
      <w:r w:rsidRPr="00C82350">
        <w:rPr>
          <w:rFonts w:ascii="Book Antiqua" w:hAnsi="Book Antiqua"/>
          <w:color w:val="auto"/>
          <w:lang w:val="en-US"/>
        </w:rPr>
        <w:t>All these considerations imply a different approach to screening in NAFLD by the Scientific Societies. Only EASL, NICE Asia-Pacific Guidelines</w:t>
      </w:r>
      <w:r w:rsidR="002E2366" w:rsidRPr="004C200F">
        <w:rPr>
          <w:rFonts w:ascii="Book Antiqua" w:hAnsi="Book Antiqua"/>
          <w:color w:val="auto"/>
          <w:vertAlign w:val="superscript"/>
          <w:lang w:val="en-US"/>
        </w:rPr>
        <w:t>[</w:t>
      </w:r>
      <w:r w:rsidRPr="004C200F">
        <w:rPr>
          <w:rFonts w:ascii="Book Antiqua" w:hAnsi="Book Antiqua"/>
          <w:color w:val="auto"/>
          <w:vertAlign w:val="superscript"/>
          <w:lang w:val="en-US"/>
        </w:rPr>
        <w:t>3-5]</w:t>
      </w:r>
      <w:r w:rsidRPr="00C82350">
        <w:rPr>
          <w:rFonts w:ascii="Book Antiqua" w:hAnsi="Book Antiqua"/>
          <w:color w:val="auto"/>
          <w:lang w:val="en-US"/>
        </w:rPr>
        <w:t xml:space="preserve"> recommend screening respectively in particular, "high-risk" groups</w:t>
      </w:r>
      <w:r w:rsidRPr="004C200F">
        <w:rPr>
          <w:rFonts w:ascii="Book Antiqua" w:hAnsi="Book Antiqua"/>
          <w:color w:val="auto"/>
          <w:lang w:val="en-US"/>
        </w:rPr>
        <w:t xml:space="preserve"> </w:t>
      </w:r>
      <w:r w:rsidRPr="004C200F">
        <w:rPr>
          <w:rFonts w:ascii="Book Antiqua" w:hAnsi="Book Antiqua"/>
          <w:bCs/>
          <w:color w:val="auto"/>
          <w:lang w:val="en-US"/>
        </w:rPr>
        <w:t>(</w:t>
      </w:r>
      <w:r w:rsidRPr="001C58DF">
        <w:rPr>
          <w:rFonts w:ascii="Book Antiqua" w:hAnsi="Book Antiqua"/>
          <w:bCs/>
          <w:color w:val="auto"/>
          <w:lang w:val="en-US"/>
        </w:rPr>
        <w:t>Table 2</w:t>
      </w:r>
      <w:r w:rsidRPr="004C200F">
        <w:rPr>
          <w:rFonts w:ascii="Book Antiqua" w:hAnsi="Book Antiqua"/>
          <w:bCs/>
          <w:color w:val="auto"/>
          <w:lang w:val="en-US"/>
        </w:rPr>
        <w:t>)</w:t>
      </w:r>
      <w:r w:rsidRPr="004C200F">
        <w:rPr>
          <w:rFonts w:ascii="Book Antiqua" w:hAnsi="Book Antiqua"/>
          <w:color w:val="auto"/>
          <w:lang w:val="en-US"/>
        </w:rPr>
        <w:t xml:space="preserve">. </w:t>
      </w:r>
      <w:r w:rsidRPr="00C82350">
        <w:rPr>
          <w:rFonts w:ascii="Book Antiqua" w:hAnsi="Book Antiqua"/>
          <w:color w:val="auto"/>
          <w:lang w:val="en-US"/>
        </w:rPr>
        <w:t xml:space="preserve">On the contrary, AASLD guidelines emphasise that, to date, </w:t>
      </w:r>
      <w:r w:rsidRPr="00C82350">
        <w:rPr>
          <w:rFonts w:ascii="Book Antiqua" w:hAnsi="Book Antiqua"/>
          <w:color w:val="auto"/>
          <w:lang w:val="en-US"/>
        </w:rPr>
        <w:lastRenderedPageBreak/>
        <w:t>there is no evidence of cost-effectiveness to support a NAFLD screening in adults even if they have several metabolic risk factors, instead suggesting a concept of "vigilance" in these populations</w:t>
      </w:r>
      <w:r w:rsidR="002E2366" w:rsidRPr="004C200F">
        <w:rPr>
          <w:rFonts w:ascii="Book Antiqua" w:hAnsi="Book Antiqua"/>
          <w:color w:val="auto"/>
          <w:vertAlign w:val="superscript"/>
          <w:lang w:val="en-US"/>
        </w:rPr>
        <w:t>[</w:t>
      </w:r>
      <w:r w:rsidRPr="004C200F">
        <w:rPr>
          <w:rFonts w:ascii="Book Antiqua" w:hAnsi="Book Antiqua"/>
          <w:color w:val="auto"/>
          <w:vertAlign w:val="superscript"/>
          <w:lang w:val="en-US"/>
        </w:rPr>
        <w:t>8]</w:t>
      </w:r>
      <w:r w:rsidR="004C200F" w:rsidRPr="00C82350">
        <w:rPr>
          <w:rFonts w:ascii="Book Antiqua" w:hAnsi="Book Antiqua"/>
          <w:color w:val="auto"/>
          <w:lang w:val="en-US"/>
        </w:rPr>
        <w:t>.</w:t>
      </w:r>
    </w:p>
    <w:p w:rsidR="007C2761" w:rsidRPr="004C200F" w:rsidRDefault="007C2761" w:rsidP="00C82350">
      <w:pPr>
        <w:widowControl w:val="0"/>
        <w:suppressAutoHyphens w:val="0"/>
        <w:adjustRightInd w:val="0"/>
        <w:snapToGrid w:val="0"/>
        <w:spacing w:after="0" w:line="360" w:lineRule="auto"/>
        <w:jc w:val="both"/>
        <w:rPr>
          <w:rFonts w:ascii="Book Antiqua" w:hAnsi="Book Antiqua"/>
          <w:color w:val="auto"/>
          <w:lang w:val="en-US"/>
        </w:rPr>
      </w:pPr>
    </w:p>
    <w:p w:rsidR="007C2761" w:rsidRPr="004C200F" w:rsidRDefault="007C2761" w:rsidP="00C82350">
      <w:pPr>
        <w:widowControl w:val="0"/>
        <w:suppressAutoHyphens w:val="0"/>
        <w:adjustRightInd w:val="0"/>
        <w:snapToGrid w:val="0"/>
        <w:spacing w:after="0" w:line="360" w:lineRule="auto"/>
        <w:jc w:val="both"/>
        <w:rPr>
          <w:rFonts w:ascii="Book Antiqua" w:hAnsi="Book Antiqua"/>
          <w:b/>
          <w:i/>
          <w:iCs/>
          <w:color w:val="auto"/>
          <w:lang w:val="en-US"/>
        </w:rPr>
      </w:pPr>
      <w:r w:rsidRPr="004C200F">
        <w:rPr>
          <w:rFonts w:ascii="Book Antiqua" w:hAnsi="Book Antiqua"/>
          <w:b/>
          <w:i/>
          <w:iCs/>
          <w:color w:val="auto"/>
          <w:lang w:val="en-US"/>
        </w:rPr>
        <w:t>W</w:t>
      </w:r>
      <w:r w:rsidR="004C200F" w:rsidRPr="004C200F">
        <w:rPr>
          <w:rFonts w:ascii="Book Antiqua" w:hAnsi="Book Antiqua"/>
          <w:b/>
          <w:i/>
          <w:iCs/>
          <w:color w:val="auto"/>
          <w:lang w:val="en-US"/>
        </w:rPr>
        <w:t xml:space="preserve">hich noninvasive test(s) should be used to diagnose </w:t>
      </w:r>
      <w:r w:rsidRPr="004C200F">
        <w:rPr>
          <w:rFonts w:ascii="Book Antiqua" w:hAnsi="Book Antiqua"/>
          <w:b/>
          <w:i/>
          <w:iCs/>
          <w:color w:val="auto"/>
          <w:lang w:val="en-US"/>
        </w:rPr>
        <w:t>NAFLD?</w:t>
      </w:r>
    </w:p>
    <w:p w:rsidR="007C2761" w:rsidRDefault="007C2761" w:rsidP="00C82350">
      <w:pPr>
        <w:widowControl w:val="0"/>
        <w:suppressAutoHyphens w:val="0"/>
        <w:adjustRightInd w:val="0"/>
        <w:snapToGrid w:val="0"/>
        <w:spacing w:after="0" w:line="360" w:lineRule="auto"/>
        <w:jc w:val="both"/>
        <w:rPr>
          <w:rFonts w:ascii="Book Antiqua" w:hAnsi="Book Antiqua"/>
          <w:color w:val="auto"/>
          <w:lang w:val="en-US"/>
        </w:rPr>
      </w:pPr>
      <w:r w:rsidRPr="00C82350">
        <w:rPr>
          <w:rFonts w:ascii="Book Antiqua" w:hAnsi="Book Antiqua"/>
          <w:color w:val="auto"/>
          <w:lang w:val="en-US"/>
        </w:rPr>
        <w:t>Worldwide guidelines agree that, whenever NAFLD is suspected, the initial diagnostic workup should include a noninvasive imaging examination to confirm the presence of steatosis and general liver biochemistry</w:t>
      </w:r>
      <w:r w:rsidR="002E2366" w:rsidRPr="004C200F">
        <w:rPr>
          <w:rFonts w:ascii="Book Antiqua" w:hAnsi="Book Antiqua"/>
          <w:color w:val="auto"/>
          <w:vertAlign w:val="superscript"/>
          <w:lang w:val="en-US"/>
        </w:rPr>
        <w:t>[</w:t>
      </w:r>
      <w:r w:rsidRPr="004C200F">
        <w:rPr>
          <w:rFonts w:ascii="Book Antiqua" w:hAnsi="Book Antiqua"/>
          <w:color w:val="auto"/>
          <w:vertAlign w:val="superscript"/>
          <w:lang w:val="en-US"/>
        </w:rPr>
        <w:t>3-8]</w:t>
      </w:r>
      <w:r w:rsidR="004C200F">
        <w:rPr>
          <w:rFonts w:ascii="Book Antiqua" w:hAnsi="Book Antiqua"/>
          <w:color w:val="auto"/>
          <w:lang w:val="en-US"/>
        </w:rPr>
        <w:t xml:space="preserve">. </w:t>
      </w:r>
      <w:r w:rsidRPr="00C82350">
        <w:rPr>
          <w:rFonts w:ascii="Book Antiqua" w:hAnsi="Book Antiqua"/>
          <w:color w:val="auto"/>
          <w:lang w:val="en-US"/>
        </w:rPr>
        <w:t>Non-invasive assessment should aim first of all to identify NAFLD among patients with metabolic risk factors, and then to monitor disease progression and treatment response, identifying patients with the worst prognosis</w:t>
      </w:r>
      <w:r w:rsidR="002E2366" w:rsidRPr="004C200F">
        <w:rPr>
          <w:rFonts w:ascii="Book Antiqua" w:hAnsi="Book Antiqua"/>
          <w:color w:val="auto"/>
          <w:vertAlign w:val="superscript"/>
          <w:lang w:val="en-US"/>
        </w:rPr>
        <w:t>[</w:t>
      </w:r>
      <w:r w:rsidRPr="004C200F">
        <w:rPr>
          <w:rFonts w:ascii="Book Antiqua" w:hAnsi="Book Antiqua"/>
          <w:color w:val="auto"/>
          <w:vertAlign w:val="superscript"/>
          <w:lang w:val="en-US"/>
        </w:rPr>
        <w:t>3]</w:t>
      </w:r>
      <w:r w:rsidRPr="00C82350">
        <w:rPr>
          <w:rFonts w:ascii="Book Antiqua" w:hAnsi="Book Antiqua"/>
          <w:color w:val="auto"/>
          <w:lang w:val="en-US"/>
        </w:rPr>
        <w:t>.</w:t>
      </w:r>
    </w:p>
    <w:p w:rsidR="004C200F" w:rsidRPr="00C82350" w:rsidRDefault="004C200F" w:rsidP="00C82350">
      <w:pPr>
        <w:widowControl w:val="0"/>
        <w:suppressAutoHyphens w:val="0"/>
        <w:adjustRightInd w:val="0"/>
        <w:snapToGrid w:val="0"/>
        <w:spacing w:after="0" w:line="360" w:lineRule="auto"/>
        <w:jc w:val="both"/>
        <w:rPr>
          <w:rFonts w:ascii="Book Antiqua" w:hAnsi="Book Antiqua"/>
          <w:color w:val="auto"/>
          <w:lang w:val="en-US"/>
        </w:rPr>
      </w:pPr>
    </w:p>
    <w:p w:rsidR="007C2761" w:rsidRPr="004C200F" w:rsidRDefault="007C2761" w:rsidP="00C82350">
      <w:pPr>
        <w:widowControl w:val="0"/>
        <w:suppressAutoHyphens w:val="0"/>
        <w:adjustRightInd w:val="0"/>
        <w:snapToGrid w:val="0"/>
        <w:spacing w:after="0" w:line="360" w:lineRule="auto"/>
        <w:jc w:val="both"/>
        <w:rPr>
          <w:rFonts w:ascii="Book Antiqua" w:hAnsi="Book Antiqua"/>
          <w:b/>
          <w:bCs/>
          <w:iCs/>
          <w:color w:val="auto"/>
          <w:lang w:val="en-US"/>
        </w:rPr>
      </w:pPr>
      <w:r w:rsidRPr="004C200F">
        <w:rPr>
          <w:rFonts w:ascii="Book Antiqua" w:hAnsi="Book Antiqua"/>
          <w:b/>
          <w:bCs/>
          <w:iCs/>
          <w:color w:val="auto"/>
          <w:lang w:val="en-US"/>
        </w:rPr>
        <w:t>Imaging</w:t>
      </w:r>
      <w:r w:rsidR="004C200F">
        <w:rPr>
          <w:rFonts w:ascii="Book Antiqua" w:hAnsi="Book Antiqua" w:hint="eastAsia"/>
          <w:b/>
          <w:bCs/>
          <w:iCs/>
          <w:color w:val="auto"/>
          <w:lang w:val="en-US"/>
        </w:rPr>
        <w:t xml:space="preserve">: </w:t>
      </w:r>
      <w:r w:rsidRPr="00C82350">
        <w:rPr>
          <w:rFonts w:ascii="Book Antiqua" w:hAnsi="Book Antiqua"/>
          <w:color w:val="auto"/>
          <w:lang w:val="en-US"/>
        </w:rPr>
        <w:t>There is a consensus for using abdominal ultrasound (US) as the first-line examination to identify liver steatosis in patients with increased liver blood exams or suspected NAFLD, in daily clinical practice (F</w:t>
      </w:r>
      <w:r w:rsidR="004C200F" w:rsidRPr="00C82350">
        <w:rPr>
          <w:rFonts w:ascii="Book Antiqua" w:hAnsi="Book Antiqua"/>
          <w:color w:val="auto"/>
          <w:lang w:val="en-US"/>
        </w:rPr>
        <w:t>igure</w:t>
      </w:r>
      <w:r w:rsidRPr="00C82350">
        <w:rPr>
          <w:rFonts w:ascii="Book Antiqua" w:hAnsi="Book Antiqua"/>
          <w:color w:val="auto"/>
          <w:lang w:val="en-US"/>
        </w:rPr>
        <w:t xml:space="preserve"> 2). The main advantages of US derive from its broad availability and low cost. However, its sensitivity among morbidly obese patients (BMI &gt;</w:t>
      </w:r>
      <w:r w:rsidR="004C200F">
        <w:rPr>
          <w:rFonts w:ascii="Book Antiqua" w:hAnsi="Book Antiqua" w:hint="eastAsia"/>
          <w:color w:val="auto"/>
          <w:lang w:val="en-US"/>
        </w:rPr>
        <w:t xml:space="preserve"> </w:t>
      </w:r>
      <w:r w:rsidRPr="00C82350">
        <w:rPr>
          <w:rFonts w:ascii="Book Antiqua" w:hAnsi="Book Antiqua"/>
          <w:color w:val="auto"/>
          <w:lang w:val="en-US"/>
        </w:rPr>
        <w:t>40 kg/m</w:t>
      </w:r>
      <w:r w:rsidRPr="00C82350">
        <w:rPr>
          <w:rFonts w:ascii="Book Antiqua" w:hAnsi="Book Antiqua"/>
          <w:color w:val="auto"/>
          <w:vertAlign w:val="superscript"/>
          <w:lang w:val="en-US"/>
        </w:rPr>
        <w:t>2</w:t>
      </w:r>
      <w:r w:rsidRPr="00C82350">
        <w:rPr>
          <w:rFonts w:ascii="Book Antiqua" w:hAnsi="Book Antiqua"/>
          <w:color w:val="auto"/>
          <w:lang w:val="en-US"/>
        </w:rPr>
        <w:t>) is low, and it may miss the diagnosis when the liver hepatic fat content is &lt;</w:t>
      </w:r>
      <w:r w:rsidR="004C200F">
        <w:rPr>
          <w:rFonts w:ascii="Book Antiqua" w:hAnsi="Book Antiqua" w:hint="eastAsia"/>
          <w:color w:val="auto"/>
          <w:lang w:val="en-US"/>
        </w:rPr>
        <w:t xml:space="preserve"> </w:t>
      </w:r>
      <w:r w:rsidRPr="00C82350">
        <w:rPr>
          <w:rFonts w:ascii="Book Antiqua" w:hAnsi="Book Antiqua"/>
          <w:color w:val="auto"/>
          <w:lang w:val="en-US"/>
        </w:rPr>
        <w:t>20%</w:t>
      </w:r>
      <w:r w:rsidR="002E2366" w:rsidRPr="004C200F">
        <w:rPr>
          <w:rFonts w:ascii="Book Antiqua" w:hAnsi="Book Antiqua"/>
          <w:color w:val="auto"/>
          <w:vertAlign w:val="superscript"/>
          <w:lang w:val="en-US"/>
        </w:rPr>
        <w:t>[</w:t>
      </w:r>
      <w:r w:rsidRPr="004C200F">
        <w:rPr>
          <w:rFonts w:ascii="Book Antiqua" w:hAnsi="Book Antiqua"/>
          <w:color w:val="auto"/>
          <w:vertAlign w:val="superscript"/>
          <w:lang w:val="en-US"/>
        </w:rPr>
        <w:t>15,16]</w:t>
      </w:r>
      <w:r w:rsidRPr="00C82350">
        <w:rPr>
          <w:rFonts w:ascii="Book Antiqua" w:hAnsi="Book Antiqua"/>
          <w:color w:val="auto"/>
          <w:lang w:val="en-US"/>
        </w:rPr>
        <w:t>. Despite these limitations, EASL and AISF underline how ultrasound can significantly assess moderate and severe steatosis, even if an observer dependency remains</w:t>
      </w:r>
      <w:r w:rsidR="002E2366" w:rsidRPr="004C200F">
        <w:rPr>
          <w:rFonts w:ascii="Book Antiqua" w:hAnsi="Book Antiqua"/>
          <w:color w:val="auto"/>
          <w:vertAlign w:val="superscript"/>
          <w:lang w:val="en-US"/>
        </w:rPr>
        <w:t>[</w:t>
      </w:r>
      <w:r w:rsidRPr="004C200F">
        <w:rPr>
          <w:rFonts w:ascii="Book Antiqua" w:hAnsi="Book Antiqua"/>
          <w:color w:val="auto"/>
          <w:vertAlign w:val="superscript"/>
          <w:lang w:val="en-US"/>
        </w:rPr>
        <w:t>15]</w:t>
      </w:r>
      <w:r w:rsidRPr="00C82350">
        <w:rPr>
          <w:rFonts w:ascii="Book Antiqua" w:hAnsi="Book Antiqua"/>
          <w:color w:val="auto"/>
          <w:lang w:val="en-US"/>
        </w:rPr>
        <w:t>. NICE guidelines propose to use liver ultrasound to detect hepatic steatosis for children with metabolic syndrome and type 2 diabetes and to retest it every three years if the first examination is negative</w:t>
      </w:r>
      <w:r w:rsidR="002E2366" w:rsidRPr="004C200F">
        <w:rPr>
          <w:rFonts w:ascii="Book Antiqua" w:hAnsi="Book Antiqua"/>
          <w:color w:val="auto"/>
          <w:vertAlign w:val="superscript"/>
          <w:lang w:val="en-US"/>
        </w:rPr>
        <w:t>[</w:t>
      </w:r>
      <w:r w:rsidRPr="004C200F">
        <w:rPr>
          <w:rFonts w:ascii="Book Antiqua" w:hAnsi="Book Antiqua"/>
          <w:color w:val="auto"/>
          <w:vertAlign w:val="superscript"/>
          <w:lang w:val="en-US"/>
        </w:rPr>
        <w:t>4]</w:t>
      </w:r>
      <w:r w:rsidRPr="00C82350">
        <w:rPr>
          <w:rFonts w:ascii="Book Antiqua" w:hAnsi="Book Antiqua"/>
          <w:color w:val="auto"/>
          <w:lang w:val="en-US"/>
        </w:rPr>
        <w:t>.</w:t>
      </w:r>
    </w:p>
    <w:p w:rsidR="007C2761" w:rsidRPr="00C82350" w:rsidRDefault="004C200F" w:rsidP="004C200F">
      <w:pPr>
        <w:widowControl w:val="0"/>
        <w:suppressAutoHyphens w:val="0"/>
        <w:adjustRightInd w:val="0"/>
        <w:snapToGrid w:val="0"/>
        <w:spacing w:after="0" w:line="360" w:lineRule="auto"/>
        <w:ind w:firstLineChars="100" w:firstLine="240"/>
        <w:jc w:val="both"/>
        <w:rPr>
          <w:rFonts w:ascii="Book Antiqua" w:hAnsi="Book Antiqua"/>
          <w:color w:val="auto"/>
          <w:lang w:val="en-US"/>
        </w:rPr>
      </w:pPr>
      <w:r>
        <w:rPr>
          <w:rFonts w:ascii="Book Antiqua" w:hAnsi="Book Antiqua"/>
          <w:color w:val="auto"/>
          <w:lang w:val="en-US"/>
        </w:rPr>
        <w:t xml:space="preserve">On the other hand, </w:t>
      </w:r>
      <w:r w:rsidR="007C2761" w:rsidRPr="00C82350">
        <w:rPr>
          <w:rFonts w:ascii="Book Antiqua" w:hAnsi="Book Antiqua"/>
          <w:color w:val="auto"/>
          <w:lang w:val="en-US"/>
        </w:rPr>
        <w:t>magnetic resonance imaging (MRI), either by proton density fat fraction (</w:t>
      </w:r>
      <w:r w:rsidR="007C2761" w:rsidRPr="00C82350">
        <w:rPr>
          <w:rFonts w:ascii="Book Antiqua" w:hAnsi="Book Antiqua"/>
          <w:color w:val="auto"/>
          <w:vertAlign w:val="superscript"/>
          <w:lang w:val="en-US"/>
        </w:rPr>
        <w:t>1</w:t>
      </w:r>
      <w:r w:rsidR="007C2761" w:rsidRPr="00C82350">
        <w:rPr>
          <w:rFonts w:ascii="Book Antiqua" w:hAnsi="Book Antiqua"/>
          <w:color w:val="auto"/>
          <w:lang w:val="en-US"/>
        </w:rPr>
        <w:t xml:space="preserve">H-MRS) or spectroscopy, remains the gold standard to assess and quantify hepatic steatosis, detecting the amount of liver fat as low as 5-10%, its use in the clinical practice is still limited. In fact, despite its robust accuracy, its limited availability, high costs and </w:t>
      </w:r>
      <w:r>
        <w:rPr>
          <w:rFonts w:ascii="Book Antiqua" w:hAnsi="Book Antiqua" w:hint="eastAsia"/>
          <w:color w:val="auto"/>
          <w:lang w:val="en-US"/>
        </w:rPr>
        <w:t xml:space="preserve">a </w:t>
      </w:r>
      <w:r w:rsidR="007C2761" w:rsidRPr="00C82350">
        <w:rPr>
          <w:rFonts w:ascii="Book Antiqua" w:hAnsi="Book Antiqua"/>
          <w:color w:val="auto"/>
          <w:lang w:val="en-US"/>
        </w:rPr>
        <w:t>long time of execution, make the procedure not recommende</w:t>
      </w:r>
      <w:r>
        <w:rPr>
          <w:rFonts w:ascii="Book Antiqua" w:hAnsi="Book Antiqua"/>
          <w:color w:val="auto"/>
          <w:lang w:val="en-US"/>
        </w:rPr>
        <w:t>d in the daily clinical setting</w:t>
      </w:r>
      <w:r w:rsidR="002E2366" w:rsidRPr="004C200F">
        <w:rPr>
          <w:rFonts w:ascii="Book Antiqua" w:hAnsi="Book Antiqua"/>
          <w:color w:val="auto"/>
          <w:vertAlign w:val="superscript"/>
          <w:lang w:val="en-US"/>
        </w:rPr>
        <w:t>[</w:t>
      </w:r>
      <w:r w:rsidR="007C2761" w:rsidRPr="004C200F">
        <w:rPr>
          <w:rFonts w:ascii="Book Antiqua" w:hAnsi="Book Antiqua"/>
          <w:color w:val="auto"/>
          <w:vertAlign w:val="superscript"/>
          <w:lang w:val="en-US"/>
        </w:rPr>
        <w:t>17]</w:t>
      </w:r>
      <w:r w:rsidR="007C2761" w:rsidRPr="00C82350">
        <w:rPr>
          <w:rFonts w:ascii="Book Antiqua" w:hAnsi="Book Antiqua"/>
          <w:color w:val="auto"/>
          <w:lang w:val="en-US"/>
        </w:rPr>
        <w:t xml:space="preserve">. Asia-Pacific guidelines specify that </w:t>
      </w:r>
      <w:r w:rsidR="007C2761" w:rsidRPr="00C82350">
        <w:rPr>
          <w:rFonts w:ascii="Book Antiqua" w:hAnsi="Book Antiqua"/>
          <w:color w:val="auto"/>
          <w:vertAlign w:val="superscript"/>
          <w:lang w:val="en-US"/>
        </w:rPr>
        <w:t>1</w:t>
      </w:r>
      <w:r w:rsidR="007C2761" w:rsidRPr="00C82350">
        <w:rPr>
          <w:rFonts w:ascii="Book Antiqua" w:hAnsi="Book Antiqua"/>
          <w:color w:val="auto"/>
          <w:lang w:val="en-US"/>
        </w:rPr>
        <w:t>H</w:t>
      </w:r>
      <w:r>
        <w:rPr>
          <w:rFonts w:ascii="Book Antiqua" w:hAnsi="Book Antiqua" w:hint="eastAsia"/>
          <w:color w:val="auto"/>
          <w:lang w:val="en-US"/>
        </w:rPr>
        <w:t>-</w:t>
      </w:r>
      <w:r w:rsidR="007C2761" w:rsidRPr="00C82350">
        <w:rPr>
          <w:rFonts w:ascii="Book Antiqua" w:hAnsi="Book Antiqua"/>
          <w:color w:val="auto"/>
          <w:lang w:val="en-US"/>
        </w:rPr>
        <w:t>MRS is the best option to quantify even moderate changes in liver fat content in clinical trials, considering its high sensitivity compared to histological-proven liver fat reversal. Similarly, EASL guidelines highlight its role, primarily as screening imaging examination for clinical trials and experimental studies</w:t>
      </w:r>
      <w:r w:rsidR="002E2366" w:rsidRPr="004C200F">
        <w:rPr>
          <w:rFonts w:ascii="Book Antiqua" w:hAnsi="Book Antiqua"/>
          <w:color w:val="auto"/>
          <w:vertAlign w:val="superscript"/>
          <w:lang w:val="en-US"/>
        </w:rPr>
        <w:t>[</w:t>
      </w:r>
      <w:r w:rsidR="007C2761" w:rsidRPr="004C200F">
        <w:rPr>
          <w:rFonts w:ascii="Book Antiqua" w:hAnsi="Book Antiqua"/>
          <w:color w:val="auto"/>
          <w:vertAlign w:val="superscript"/>
          <w:lang w:val="en-US"/>
        </w:rPr>
        <w:t>3]</w:t>
      </w:r>
      <w:r w:rsidR="007C2761" w:rsidRPr="00C82350">
        <w:rPr>
          <w:rFonts w:ascii="Book Antiqua" w:hAnsi="Book Antiqua"/>
          <w:color w:val="auto"/>
          <w:lang w:val="en-US"/>
        </w:rPr>
        <w:t>.</w:t>
      </w:r>
    </w:p>
    <w:p w:rsidR="007C2761" w:rsidRDefault="007C2761" w:rsidP="004C200F">
      <w:pPr>
        <w:widowControl w:val="0"/>
        <w:suppressAutoHyphens w:val="0"/>
        <w:adjustRightInd w:val="0"/>
        <w:snapToGrid w:val="0"/>
        <w:spacing w:after="0" w:line="360" w:lineRule="auto"/>
        <w:ind w:firstLineChars="100" w:firstLine="240"/>
        <w:jc w:val="both"/>
        <w:rPr>
          <w:rFonts w:ascii="Book Antiqua" w:hAnsi="Book Antiqua"/>
          <w:color w:val="auto"/>
          <w:lang w:val="en-US"/>
        </w:rPr>
      </w:pPr>
      <w:r w:rsidRPr="00C82350">
        <w:rPr>
          <w:rFonts w:ascii="Book Antiqua" w:hAnsi="Book Antiqua"/>
          <w:color w:val="auto"/>
          <w:lang w:val="en-US"/>
        </w:rPr>
        <w:t xml:space="preserve">Another imaging technique used to quantify liver fat content is the ultrasonography-based </w:t>
      </w:r>
      <w:r w:rsidRPr="00C82350">
        <w:rPr>
          <w:rFonts w:ascii="Book Antiqua" w:hAnsi="Book Antiqua"/>
          <w:color w:val="auto"/>
          <w:lang w:val="en-US"/>
        </w:rPr>
        <w:lastRenderedPageBreak/>
        <w:t>transient elastography (TE) using continuou</w:t>
      </w:r>
      <w:r w:rsidR="004C200F">
        <w:rPr>
          <w:rFonts w:ascii="Book Antiqua" w:hAnsi="Book Antiqua"/>
          <w:color w:val="auto"/>
          <w:lang w:val="en-US"/>
        </w:rPr>
        <w:t xml:space="preserve">s attenuation parameter (CAP). </w:t>
      </w:r>
      <w:r w:rsidRPr="00C82350">
        <w:rPr>
          <w:rFonts w:ascii="Book Antiqua" w:hAnsi="Book Antiqua"/>
          <w:color w:val="auto"/>
          <w:lang w:val="en-US"/>
        </w:rPr>
        <w:t>This promising tool has shown a good sensitivity, measuring simultaneously liver stiffness, potentially evaluating NAFLD severity at the same setting</w:t>
      </w:r>
      <w:r w:rsidR="002E2366" w:rsidRPr="004C200F">
        <w:rPr>
          <w:rFonts w:ascii="Book Antiqua" w:hAnsi="Book Antiqua"/>
          <w:color w:val="auto"/>
          <w:vertAlign w:val="superscript"/>
          <w:lang w:val="en-US"/>
        </w:rPr>
        <w:t>[</w:t>
      </w:r>
      <w:r w:rsidRPr="004C200F">
        <w:rPr>
          <w:rFonts w:ascii="Book Antiqua" w:hAnsi="Book Antiqua"/>
          <w:color w:val="auto"/>
          <w:vertAlign w:val="superscript"/>
          <w:lang w:val="en-US"/>
        </w:rPr>
        <w:t>13]</w:t>
      </w:r>
      <w:r w:rsidRPr="00C82350">
        <w:rPr>
          <w:rFonts w:ascii="Book Antiqua" w:hAnsi="Book Antiqua"/>
          <w:i/>
          <w:color w:val="auto"/>
          <w:lang w:val="en-US"/>
        </w:rPr>
        <w:t>.</w:t>
      </w:r>
      <w:r w:rsidRPr="00C82350">
        <w:rPr>
          <w:rFonts w:ascii="Book Antiqua" w:hAnsi="Book Antiqua"/>
          <w:color w:val="auto"/>
          <w:lang w:val="en-US"/>
        </w:rPr>
        <w:t xml:space="preserve"> However, despite its low cost and rapidity of execution, its role in the clinical practice has still to be defined. In fact, EASL guidelines specify that TE has never been compared with hepatic steatosis measured by </w:t>
      </w:r>
      <w:r w:rsidRPr="00C82350">
        <w:rPr>
          <w:rFonts w:ascii="Book Antiqua" w:hAnsi="Book Antiqua"/>
          <w:color w:val="auto"/>
          <w:vertAlign w:val="superscript"/>
          <w:lang w:val="en-US"/>
        </w:rPr>
        <w:t>1</w:t>
      </w:r>
      <w:r w:rsidRPr="00C82350">
        <w:rPr>
          <w:rFonts w:ascii="Book Antiqua" w:hAnsi="Book Antiqua"/>
          <w:color w:val="auto"/>
          <w:lang w:val="en-US"/>
        </w:rPr>
        <w:t>H-MRS and there are limited data about its ability to discriminate different histological patterns</w:t>
      </w:r>
      <w:r w:rsidR="002E2366" w:rsidRPr="004C200F">
        <w:rPr>
          <w:rFonts w:ascii="Book Antiqua" w:hAnsi="Book Antiqua"/>
          <w:color w:val="auto"/>
          <w:vertAlign w:val="superscript"/>
          <w:lang w:val="en-US"/>
        </w:rPr>
        <w:t>[</w:t>
      </w:r>
      <w:r w:rsidRPr="004C200F">
        <w:rPr>
          <w:rFonts w:ascii="Book Antiqua" w:hAnsi="Book Antiqua"/>
          <w:color w:val="auto"/>
          <w:vertAlign w:val="superscript"/>
          <w:lang w:val="en-US"/>
        </w:rPr>
        <w:t>3]</w:t>
      </w:r>
      <w:r w:rsidRPr="00C82350">
        <w:rPr>
          <w:rFonts w:ascii="Book Antiqua" w:hAnsi="Book Antiqua"/>
          <w:color w:val="auto"/>
          <w:lang w:val="en-US"/>
        </w:rPr>
        <w:t>. On the other hand, Asia-Pacific guidelines propose CAP as a useful screening tool for NAFLD diagnosis, as well as for demonstrating improvement in hepatic steatosis after lifestyle intervention and body weight reduction</w:t>
      </w:r>
      <w:r w:rsidRPr="004C200F">
        <w:rPr>
          <w:rFonts w:ascii="Book Antiqua" w:hAnsi="Book Antiqua"/>
          <w:color w:val="auto"/>
          <w:vertAlign w:val="superscript"/>
          <w:lang w:val="en-US"/>
        </w:rPr>
        <w:t>[5]</w:t>
      </w:r>
      <w:r w:rsidRPr="00C82350">
        <w:rPr>
          <w:rFonts w:ascii="Book Antiqua" w:hAnsi="Book Antiqua"/>
          <w:color w:val="auto"/>
          <w:lang w:val="en-US"/>
        </w:rPr>
        <w:t>.</w:t>
      </w:r>
    </w:p>
    <w:p w:rsidR="004C200F" w:rsidRPr="00C82350" w:rsidRDefault="004C200F" w:rsidP="004C200F">
      <w:pPr>
        <w:widowControl w:val="0"/>
        <w:suppressAutoHyphens w:val="0"/>
        <w:adjustRightInd w:val="0"/>
        <w:snapToGrid w:val="0"/>
        <w:spacing w:after="0" w:line="360" w:lineRule="auto"/>
        <w:ind w:firstLineChars="100" w:firstLine="240"/>
        <w:jc w:val="both"/>
        <w:rPr>
          <w:rFonts w:ascii="Book Antiqua" w:hAnsi="Book Antiqua"/>
          <w:color w:val="auto"/>
          <w:lang w:val="en-US"/>
        </w:rPr>
      </w:pPr>
    </w:p>
    <w:p w:rsidR="007C2761" w:rsidRPr="004C200F" w:rsidRDefault="007C2761" w:rsidP="00C82350">
      <w:pPr>
        <w:widowControl w:val="0"/>
        <w:suppressAutoHyphens w:val="0"/>
        <w:adjustRightInd w:val="0"/>
        <w:snapToGrid w:val="0"/>
        <w:spacing w:after="0" w:line="360" w:lineRule="auto"/>
        <w:jc w:val="both"/>
        <w:rPr>
          <w:rFonts w:ascii="Book Antiqua" w:hAnsi="Book Antiqua"/>
          <w:b/>
          <w:color w:val="auto"/>
          <w:lang w:val="en-US"/>
        </w:rPr>
      </w:pPr>
      <w:r w:rsidRPr="004C200F">
        <w:rPr>
          <w:rFonts w:ascii="Book Antiqua" w:hAnsi="Book Antiqua"/>
          <w:b/>
          <w:color w:val="auto"/>
          <w:lang w:val="en-US"/>
        </w:rPr>
        <w:t>Conve</w:t>
      </w:r>
      <w:r w:rsidR="004C200F" w:rsidRPr="004C200F">
        <w:rPr>
          <w:rFonts w:ascii="Book Antiqua" w:hAnsi="Book Antiqua"/>
          <w:b/>
          <w:color w:val="auto"/>
          <w:lang w:val="en-US"/>
        </w:rPr>
        <w:t>ntional liver biochemistr</w:t>
      </w:r>
      <w:r w:rsidR="004C200F" w:rsidRPr="004C200F">
        <w:rPr>
          <w:rFonts w:ascii="Book Antiqua" w:hAnsi="Book Antiqua" w:hint="eastAsia"/>
          <w:b/>
          <w:color w:val="auto"/>
          <w:lang w:val="en-US"/>
        </w:rPr>
        <w:t xml:space="preserve">: </w:t>
      </w:r>
      <w:r w:rsidRPr="00C82350">
        <w:rPr>
          <w:rFonts w:ascii="Book Antiqua" w:hAnsi="Book Antiqua"/>
          <w:color w:val="auto"/>
          <w:lang w:val="en-US"/>
        </w:rPr>
        <w:t>Although NAFLD may present by standard laboratory liver tests, frequently a slight increase of aspartate aminotransferase (AST) or alanine aminotransferase (ALT) or gamma-glutamyl transpeptidase (GammaGT) is observed.</w:t>
      </w:r>
      <w:r w:rsidR="00FC698D">
        <w:rPr>
          <w:rFonts w:ascii="Book Antiqua" w:hAnsi="Book Antiqua"/>
          <w:color w:val="auto"/>
          <w:lang w:val="en-US"/>
        </w:rPr>
        <w:t xml:space="preserve"> </w:t>
      </w:r>
      <w:r w:rsidRPr="00C82350">
        <w:rPr>
          <w:rFonts w:ascii="Book Antiqua" w:hAnsi="Book Antiqua"/>
          <w:color w:val="auto"/>
          <w:lang w:val="en-US"/>
        </w:rPr>
        <w:t>However, all the guidelines agree that normal levels of liver enzymes may not exclude NAFLD, being a not sensitive screening test</w:t>
      </w:r>
      <w:r w:rsidR="002E2366" w:rsidRPr="004C200F">
        <w:rPr>
          <w:rFonts w:ascii="Book Antiqua" w:hAnsi="Book Antiqua"/>
          <w:color w:val="auto"/>
          <w:vertAlign w:val="superscript"/>
          <w:lang w:val="en-US"/>
        </w:rPr>
        <w:t>[</w:t>
      </w:r>
      <w:r w:rsidRPr="004C200F">
        <w:rPr>
          <w:rFonts w:ascii="Book Antiqua" w:hAnsi="Book Antiqua"/>
          <w:color w:val="auto"/>
          <w:vertAlign w:val="superscript"/>
          <w:lang w:val="en-US"/>
        </w:rPr>
        <w:t>3</w:t>
      </w:r>
      <w:r w:rsidR="004C200F">
        <w:rPr>
          <w:rFonts w:ascii="Book Antiqua" w:hAnsi="Book Antiqua" w:hint="eastAsia"/>
          <w:color w:val="auto"/>
          <w:vertAlign w:val="superscript"/>
          <w:lang w:val="en-US"/>
        </w:rPr>
        <w:t>-</w:t>
      </w:r>
      <w:r w:rsidRPr="004C200F">
        <w:rPr>
          <w:rFonts w:ascii="Book Antiqua" w:hAnsi="Book Antiqua"/>
          <w:color w:val="auto"/>
          <w:vertAlign w:val="superscript"/>
          <w:lang w:val="en-US"/>
        </w:rPr>
        <w:t>8]</w:t>
      </w:r>
      <w:r w:rsidRPr="00C82350">
        <w:rPr>
          <w:rFonts w:ascii="Book Antiqua" w:hAnsi="Book Antiqua"/>
          <w:color w:val="auto"/>
          <w:lang w:val="en-US"/>
        </w:rPr>
        <w:t>.</w:t>
      </w:r>
    </w:p>
    <w:p w:rsidR="007C2761" w:rsidRPr="00C82350" w:rsidRDefault="007C2761" w:rsidP="004C200F">
      <w:pPr>
        <w:widowControl w:val="0"/>
        <w:suppressAutoHyphens w:val="0"/>
        <w:adjustRightInd w:val="0"/>
        <w:snapToGrid w:val="0"/>
        <w:spacing w:after="0" w:line="360" w:lineRule="auto"/>
        <w:ind w:firstLineChars="200" w:firstLine="480"/>
        <w:jc w:val="both"/>
        <w:rPr>
          <w:rFonts w:ascii="Book Antiqua" w:hAnsi="Book Antiqua"/>
          <w:color w:val="auto"/>
          <w:shd w:val="clear" w:color="auto" w:fill="FFFFFF"/>
          <w:lang w:val="en-US"/>
        </w:rPr>
      </w:pPr>
      <w:r w:rsidRPr="00C82350">
        <w:rPr>
          <w:rFonts w:ascii="Book Antiqua" w:hAnsi="Book Antiqua"/>
          <w:color w:val="auto"/>
          <w:lang w:val="en-US"/>
        </w:rPr>
        <w:t xml:space="preserve">Moreover, laboratory alterations may hide another cause of liver disease, in which steatosis is a coexisting condition. On the other hand, detection of abnormalities of laboratory exams (such as ferritin or autoantibodies) not always reflects the presence of another liver disease, but could be an </w:t>
      </w:r>
      <w:r w:rsidRPr="00C82350">
        <w:rPr>
          <w:rFonts w:ascii="Book Antiqua" w:hAnsi="Book Antiqua"/>
          <w:color w:val="auto"/>
          <w:shd w:val="clear" w:color="auto" w:fill="FFFFFF"/>
          <w:lang w:val="en-US"/>
        </w:rPr>
        <w:t>epiphenomenon of NAFLD with no further clinical significance.</w:t>
      </w:r>
    </w:p>
    <w:p w:rsidR="007C2761" w:rsidRPr="00C82350" w:rsidRDefault="007C2761" w:rsidP="004C200F">
      <w:pPr>
        <w:widowControl w:val="0"/>
        <w:suppressAutoHyphens w:val="0"/>
        <w:adjustRightInd w:val="0"/>
        <w:snapToGrid w:val="0"/>
        <w:spacing w:after="0" w:line="360" w:lineRule="auto"/>
        <w:ind w:firstLineChars="200" w:firstLine="480"/>
        <w:jc w:val="both"/>
        <w:rPr>
          <w:rFonts w:ascii="Book Antiqua" w:hAnsi="Book Antiqua"/>
          <w:color w:val="auto"/>
          <w:shd w:val="clear" w:color="auto" w:fill="FFFFFF"/>
          <w:lang w:val="en-US"/>
        </w:rPr>
      </w:pPr>
      <w:r w:rsidRPr="00C82350">
        <w:rPr>
          <w:rFonts w:ascii="Book Antiqua" w:hAnsi="Book Antiqua"/>
          <w:color w:val="auto"/>
          <w:shd w:val="clear" w:color="auto" w:fill="FFFFFF"/>
          <w:lang w:val="en-US"/>
        </w:rPr>
        <w:t>In particular, AASLD guidelines underline that elevate serum ferritin and low titers of autoimmune antibodies (especially antinuclear and anti-smooth muscle antibodies) are common features among NAFLD patients</w:t>
      </w:r>
      <w:r w:rsidR="002E2366" w:rsidRPr="004C200F">
        <w:rPr>
          <w:rFonts w:ascii="Book Antiqua" w:hAnsi="Book Antiqua"/>
          <w:color w:val="auto"/>
          <w:shd w:val="clear" w:color="auto" w:fill="FFFFFF"/>
          <w:vertAlign w:val="superscript"/>
          <w:lang w:val="en-US"/>
        </w:rPr>
        <w:t>[</w:t>
      </w:r>
      <w:r w:rsidRPr="004C200F">
        <w:rPr>
          <w:rFonts w:ascii="Book Antiqua" w:hAnsi="Book Antiqua"/>
          <w:color w:val="auto"/>
          <w:shd w:val="clear" w:color="auto" w:fill="FFFFFF"/>
          <w:vertAlign w:val="superscript"/>
          <w:lang w:val="en-US"/>
        </w:rPr>
        <w:t>18,19]</w:t>
      </w:r>
      <w:r w:rsidRPr="00C82350">
        <w:rPr>
          <w:rFonts w:ascii="Book Antiqua" w:hAnsi="Book Antiqua"/>
          <w:color w:val="auto"/>
          <w:shd w:val="clear" w:color="auto" w:fill="FFFFFF"/>
          <w:lang w:val="en-US"/>
        </w:rPr>
        <w:t>, and may not automatically indicate the presence of hemochromatosis or autoimmune liver disease</w:t>
      </w:r>
      <w:r w:rsidR="002E2366" w:rsidRPr="004C200F">
        <w:rPr>
          <w:rFonts w:ascii="Book Antiqua" w:hAnsi="Book Antiqua"/>
          <w:color w:val="auto"/>
          <w:shd w:val="clear" w:color="auto" w:fill="FFFFFF"/>
          <w:vertAlign w:val="superscript"/>
          <w:lang w:val="en-US"/>
        </w:rPr>
        <w:t>[</w:t>
      </w:r>
      <w:r w:rsidRPr="004C200F">
        <w:rPr>
          <w:rFonts w:ascii="Book Antiqua" w:hAnsi="Book Antiqua"/>
          <w:color w:val="auto"/>
          <w:shd w:val="clear" w:color="auto" w:fill="FFFFFF"/>
          <w:vertAlign w:val="superscript"/>
          <w:lang w:val="en-US"/>
        </w:rPr>
        <w:t>8]</w:t>
      </w:r>
      <w:r w:rsidRPr="00C82350">
        <w:rPr>
          <w:rFonts w:ascii="Book Antiqua" w:hAnsi="Book Antiqua"/>
          <w:color w:val="auto"/>
          <w:shd w:val="clear" w:color="auto" w:fill="FFFFFF"/>
          <w:lang w:val="en-US"/>
        </w:rPr>
        <w:t>.</w:t>
      </w:r>
    </w:p>
    <w:p w:rsidR="007C2761" w:rsidRPr="00C82350" w:rsidRDefault="007C2761" w:rsidP="00C82350">
      <w:pPr>
        <w:widowControl w:val="0"/>
        <w:suppressAutoHyphens w:val="0"/>
        <w:adjustRightInd w:val="0"/>
        <w:snapToGrid w:val="0"/>
        <w:spacing w:after="0" w:line="360" w:lineRule="auto"/>
        <w:jc w:val="both"/>
        <w:rPr>
          <w:rFonts w:ascii="Book Antiqua" w:hAnsi="Book Antiqua"/>
          <w:color w:val="auto"/>
          <w:lang w:val="en-GB"/>
        </w:rPr>
      </w:pPr>
    </w:p>
    <w:p w:rsidR="007C2761" w:rsidRPr="00C82350" w:rsidRDefault="007C2761" w:rsidP="00C82350">
      <w:pPr>
        <w:widowControl w:val="0"/>
        <w:suppressAutoHyphens w:val="0"/>
        <w:adjustRightInd w:val="0"/>
        <w:snapToGrid w:val="0"/>
        <w:spacing w:after="0" w:line="360" w:lineRule="auto"/>
        <w:jc w:val="both"/>
        <w:rPr>
          <w:rFonts w:ascii="Book Antiqua" w:hAnsi="Book Antiqua"/>
          <w:b/>
          <w:i/>
          <w:color w:val="auto"/>
          <w:lang w:val="en-US"/>
        </w:rPr>
      </w:pPr>
      <w:r w:rsidRPr="00C82350">
        <w:rPr>
          <w:rFonts w:ascii="Book Antiqua" w:hAnsi="Book Antiqua"/>
          <w:b/>
          <w:i/>
          <w:color w:val="auto"/>
          <w:lang w:val="en-US"/>
        </w:rPr>
        <w:t>W</w:t>
      </w:r>
      <w:r w:rsidR="00363BF8" w:rsidRPr="00C82350">
        <w:rPr>
          <w:rFonts w:ascii="Book Antiqua" w:hAnsi="Book Antiqua"/>
          <w:b/>
          <w:i/>
          <w:color w:val="auto"/>
          <w:lang w:val="en-US"/>
        </w:rPr>
        <w:t>hich is the role of diagnostic and prognostic scores?</w:t>
      </w:r>
    </w:p>
    <w:p w:rsidR="007C2761" w:rsidRPr="00363BF8" w:rsidRDefault="007C2761" w:rsidP="00C82350">
      <w:pPr>
        <w:widowControl w:val="0"/>
        <w:suppressAutoHyphens w:val="0"/>
        <w:adjustRightInd w:val="0"/>
        <w:snapToGrid w:val="0"/>
        <w:spacing w:after="0" w:line="360" w:lineRule="auto"/>
        <w:jc w:val="both"/>
        <w:rPr>
          <w:rFonts w:ascii="Book Antiqua" w:hAnsi="Book Antiqua"/>
          <w:b/>
          <w:color w:val="auto"/>
          <w:lang w:val="en-US"/>
        </w:rPr>
      </w:pPr>
      <w:r w:rsidRPr="00363BF8">
        <w:rPr>
          <w:rFonts w:ascii="Book Antiqua" w:hAnsi="Book Antiqua"/>
          <w:b/>
          <w:color w:val="auto"/>
          <w:lang w:val="en-US"/>
        </w:rPr>
        <w:t>Noninvasive predictor biomarkers and scores of steatosis and steatohepatitis</w:t>
      </w:r>
      <w:r w:rsidR="00363BF8">
        <w:rPr>
          <w:rFonts w:ascii="Book Antiqua" w:hAnsi="Book Antiqua" w:hint="eastAsia"/>
          <w:b/>
          <w:color w:val="auto"/>
          <w:lang w:val="en-US"/>
        </w:rPr>
        <w:t xml:space="preserve">: </w:t>
      </w:r>
      <w:r w:rsidRPr="00C82350">
        <w:rPr>
          <w:rFonts w:ascii="Book Antiqua" w:hAnsi="Book Antiqua"/>
          <w:color w:val="auto"/>
          <w:lang w:val="en-US"/>
        </w:rPr>
        <w:t>The current absence of a highly specific and sensitive noninvasive marker predicting inflammation and fibrosis is leading to a considerable interest in the identification of new markers of disease progression and to the development of clinical scores of disease severity.</w:t>
      </w:r>
    </w:p>
    <w:p w:rsidR="007C2761" w:rsidRPr="00C82350" w:rsidRDefault="007C2761" w:rsidP="00363BF8">
      <w:pPr>
        <w:widowControl w:val="0"/>
        <w:suppressAutoHyphens w:val="0"/>
        <w:adjustRightInd w:val="0"/>
        <w:snapToGrid w:val="0"/>
        <w:spacing w:after="0" w:line="360" w:lineRule="auto"/>
        <w:ind w:firstLineChars="100" w:firstLine="240"/>
        <w:jc w:val="both"/>
        <w:rPr>
          <w:rFonts w:ascii="Book Antiqua" w:hAnsi="Book Antiqua"/>
          <w:color w:val="auto"/>
          <w:lang w:val="en-US"/>
        </w:rPr>
      </w:pPr>
      <w:r w:rsidRPr="00C82350">
        <w:rPr>
          <w:rFonts w:ascii="Book Antiqua" w:hAnsi="Book Antiqua"/>
          <w:color w:val="auto"/>
          <w:lang w:val="en-US"/>
        </w:rPr>
        <w:t>To assess the presence of steatosis, EASL, Asia-Pacific, and Italian guidelines mention the Fatty Liver Index (FLI)</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20]</w:t>
      </w:r>
      <w:r w:rsidRPr="00C82350">
        <w:rPr>
          <w:rFonts w:ascii="Book Antiqua" w:hAnsi="Book Antiqua"/>
          <w:color w:val="auto"/>
          <w:lang w:val="en-US"/>
        </w:rPr>
        <w:t xml:space="preserve"> and the NAFLD liver fat score</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21]</w:t>
      </w:r>
      <w:r w:rsidRPr="00C82350">
        <w:rPr>
          <w:rFonts w:ascii="Book Antiqua" w:hAnsi="Book Antiqua"/>
          <w:color w:val="auto"/>
          <w:lang w:val="en-US"/>
        </w:rPr>
        <w:t xml:space="preserve">. Both of these scores are easily calculated using </w:t>
      </w:r>
      <w:r w:rsidRPr="00C82350">
        <w:rPr>
          <w:rFonts w:ascii="Book Antiqua" w:hAnsi="Book Antiqua"/>
          <w:color w:val="auto"/>
          <w:lang w:val="en-US"/>
        </w:rPr>
        <w:lastRenderedPageBreak/>
        <w:t>common blood exams and simple clinical information. In detail, FLI is calculated from serum triglyceride, body mass index, waist circumference, and gamma-glutamyltransferase</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20]</w:t>
      </w:r>
      <w:r w:rsidRPr="00C82350">
        <w:rPr>
          <w:rFonts w:ascii="Book Antiqua" w:hAnsi="Book Antiqua"/>
          <w:color w:val="auto"/>
          <w:lang w:val="en-US"/>
        </w:rPr>
        <w:t>, while NAFLD liver fat score is calculated evaluating the presence/absence of metabolic syndrome and type 2 diabetes, fasting serum insulin, and aminotransferases</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21]</w:t>
      </w:r>
      <w:r w:rsidRPr="00C82350">
        <w:rPr>
          <w:rFonts w:ascii="Book Antiqua" w:hAnsi="Book Antiqua"/>
          <w:color w:val="auto"/>
          <w:lang w:val="en-US"/>
        </w:rPr>
        <w:t>.They have been validated in a cohort of severely obese patients and the general population, reliably predicting the presence of steatosis, but not its severity</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22]</w:t>
      </w:r>
      <w:r w:rsidRPr="00C82350">
        <w:rPr>
          <w:rFonts w:ascii="Book Antiqua" w:hAnsi="Book Antiqua"/>
          <w:color w:val="auto"/>
          <w:lang w:val="en-US"/>
        </w:rPr>
        <w:t>. On the contrary, the AASLD guidelines underline that only inflammation and fibrosis dictate the prognosis of NAFLD patients and, consequently, highlight the lack of evidence of the usefulness of quantifying hepatic steatosis in</w:t>
      </w:r>
      <w:r w:rsidR="00363BF8">
        <w:rPr>
          <w:rFonts w:ascii="Book Antiqua" w:hAnsi="Book Antiqua"/>
          <w:color w:val="auto"/>
          <w:lang w:val="en-US"/>
        </w:rPr>
        <w:t xml:space="preserve"> the routine clinical setting. </w:t>
      </w:r>
      <w:r w:rsidRPr="00C82350">
        <w:rPr>
          <w:rFonts w:ascii="Book Antiqua" w:hAnsi="Book Antiqua"/>
          <w:color w:val="auto"/>
          <w:lang w:val="en-US"/>
        </w:rPr>
        <w:t>Instead, AASLD guidelines underline that the simultaneous presence of several metabolic diseases is the most potent predictor of hepatic inflammation and adverse outcome in patients with NAFLD.</w:t>
      </w:r>
    </w:p>
    <w:p w:rsidR="007C2761" w:rsidRPr="00C82350" w:rsidRDefault="007C2761" w:rsidP="00363BF8">
      <w:pPr>
        <w:widowControl w:val="0"/>
        <w:suppressAutoHyphens w:val="0"/>
        <w:adjustRightInd w:val="0"/>
        <w:snapToGrid w:val="0"/>
        <w:spacing w:after="0" w:line="360" w:lineRule="auto"/>
        <w:ind w:firstLineChars="100" w:firstLine="240"/>
        <w:jc w:val="both"/>
        <w:rPr>
          <w:rFonts w:ascii="Book Antiqua" w:hAnsi="Book Antiqua"/>
          <w:color w:val="auto"/>
          <w:lang w:val="en-US"/>
        </w:rPr>
      </w:pPr>
      <w:r w:rsidRPr="00C82350">
        <w:rPr>
          <w:rFonts w:ascii="Book Antiqua" w:hAnsi="Book Antiqua"/>
          <w:color w:val="auto"/>
          <w:lang w:val="en-US"/>
        </w:rPr>
        <w:t>The cytokeratin-18 fragment is currently the most studied biomarker to assess the presence of inflammation. Its circulating levels have been largely investigated as a signal of hepatocellular apoptotic activity and therefore as a characteristic feature of NASH</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23]</w:t>
      </w:r>
      <w:r w:rsidRPr="00C82350">
        <w:rPr>
          <w:rFonts w:ascii="Book Antiqua" w:hAnsi="Book Antiqua"/>
          <w:color w:val="auto"/>
          <w:lang w:val="en-US"/>
        </w:rPr>
        <w:t>.</w:t>
      </w:r>
      <w:r w:rsidR="00FC698D">
        <w:rPr>
          <w:rFonts w:ascii="Book Antiqua" w:hAnsi="Book Antiqua"/>
          <w:color w:val="auto"/>
          <w:lang w:val="en-US"/>
        </w:rPr>
        <w:t xml:space="preserve"> </w:t>
      </w:r>
      <w:r w:rsidRPr="00C82350">
        <w:rPr>
          <w:rFonts w:ascii="Book Antiqua" w:hAnsi="Book Antiqua"/>
          <w:color w:val="auto"/>
          <w:lang w:val="en-US"/>
        </w:rPr>
        <w:t>Its role is addressed both by Asia-Pacific and EASL guidelines, which agree that the current evidence does not support its use in clinical practice and that more studies are needed</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3,5]</w:t>
      </w:r>
      <w:r w:rsidRPr="00C82350">
        <w:rPr>
          <w:rFonts w:ascii="Book Antiqua" w:hAnsi="Book Antiqua"/>
          <w:i/>
          <w:color w:val="auto"/>
          <w:lang w:val="en-US"/>
        </w:rPr>
        <w:t xml:space="preserve">. </w:t>
      </w:r>
      <w:r w:rsidRPr="00C82350">
        <w:rPr>
          <w:rFonts w:ascii="Book Antiqua" w:hAnsi="Book Antiqua"/>
          <w:color w:val="auto"/>
          <w:lang w:val="en-US"/>
        </w:rPr>
        <w:t>In particular, Asia-Pacific guidelines highlight how increased levels of cytokeratin-18 have good</w:t>
      </w:r>
      <w:r w:rsidR="000A01D3">
        <w:rPr>
          <w:rFonts w:ascii="Book Antiqua" w:hAnsi="Book Antiqua"/>
          <w:color w:val="auto"/>
          <w:lang w:val="en-US"/>
        </w:rPr>
        <w:t xml:space="preserve"> predictive value for NASH </w:t>
      </w:r>
      <w:r w:rsidR="000A01D3" w:rsidRPr="000A01D3">
        <w:rPr>
          <w:rFonts w:ascii="Book Antiqua" w:hAnsi="Book Antiqua"/>
          <w:i/>
          <w:color w:val="auto"/>
          <w:lang w:val="en-US"/>
        </w:rPr>
        <w:t>v</w:t>
      </w:r>
      <w:r w:rsidRPr="000A01D3">
        <w:rPr>
          <w:rFonts w:ascii="Book Antiqua" w:hAnsi="Book Antiqua"/>
          <w:i/>
          <w:color w:val="auto"/>
          <w:lang w:val="en-US"/>
        </w:rPr>
        <w:t>s</w:t>
      </w:r>
      <w:r w:rsidRPr="00C82350">
        <w:rPr>
          <w:rFonts w:ascii="Book Antiqua" w:hAnsi="Book Antiqua"/>
          <w:color w:val="auto"/>
          <w:lang w:val="en-US"/>
        </w:rPr>
        <w:t xml:space="preserve"> normal livers but do not differentiate NASH </w:t>
      </w:r>
      <w:r w:rsidRPr="000A01D3">
        <w:rPr>
          <w:rFonts w:ascii="Book Antiqua" w:hAnsi="Book Antiqua"/>
          <w:i/>
          <w:color w:val="auto"/>
          <w:lang w:val="en-US"/>
        </w:rPr>
        <w:t>vs</w:t>
      </w:r>
      <w:r w:rsidRPr="00C82350">
        <w:rPr>
          <w:rFonts w:ascii="Book Antiqua" w:hAnsi="Book Antiqua"/>
          <w:color w:val="auto"/>
          <w:lang w:val="en-US"/>
        </w:rPr>
        <w:t xml:space="preserve"> simple steatosis</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24,25]</w:t>
      </w:r>
      <w:r w:rsidR="00363BF8">
        <w:rPr>
          <w:rFonts w:ascii="Book Antiqua" w:hAnsi="Book Antiqua"/>
          <w:color w:val="auto"/>
          <w:lang w:val="en-US"/>
        </w:rPr>
        <w:t>.</w:t>
      </w:r>
      <w:r w:rsidRPr="00C82350">
        <w:rPr>
          <w:rFonts w:ascii="Book Antiqua" w:hAnsi="Book Antiqua"/>
          <w:color w:val="auto"/>
          <w:lang w:val="en-US"/>
        </w:rPr>
        <w:t xml:space="preserve"> On the other hand, EASL guidelines specify that has been demonstrated that cytokeratin-18 serum levels decrease parallel with histological improvement, but its predictive value is not better than ALT in identifying histological responders</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26]</w:t>
      </w:r>
      <w:r w:rsidRPr="00C82350">
        <w:rPr>
          <w:rFonts w:ascii="Book Antiqua" w:hAnsi="Book Antiqua"/>
          <w:color w:val="auto"/>
          <w:lang w:val="en-US"/>
        </w:rPr>
        <w:t xml:space="preserve">. </w:t>
      </w:r>
    </w:p>
    <w:p w:rsidR="007C2761" w:rsidRPr="00C82350" w:rsidRDefault="007C2761" w:rsidP="00363BF8">
      <w:pPr>
        <w:widowControl w:val="0"/>
        <w:suppressAutoHyphens w:val="0"/>
        <w:adjustRightInd w:val="0"/>
        <w:snapToGrid w:val="0"/>
        <w:spacing w:after="0" w:line="360" w:lineRule="auto"/>
        <w:ind w:firstLineChars="100" w:firstLine="240"/>
        <w:jc w:val="both"/>
        <w:rPr>
          <w:rFonts w:ascii="Book Antiqua" w:hAnsi="Book Antiqua"/>
          <w:color w:val="auto"/>
          <w:lang w:val="en-US"/>
        </w:rPr>
      </w:pPr>
      <w:r w:rsidRPr="00C82350">
        <w:rPr>
          <w:rFonts w:ascii="Book Antiqua" w:hAnsi="Book Antiqua"/>
          <w:color w:val="auto"/>
          <w:lang w:val="en-US"/>
        </w:rPr>
        <w:t>To conclude, guidelines agree that noninvasive tests for detecting NASH and distinguishing it from simple steatosis are not currently available and that liver biopsy remains necessary to detect hepatocyte ballooning and lobular inflammation</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3</w:t>
      </w:r>
      <w:r w:rsidR="00DD0CC3">
        <w:rPr>
          <w:rFonts w:ascii="Book Antiqua" w:hAnsi="Book Antiqua" w:hint="eastAsia"/>
          <w:color w:val="auto"/>
          <w:vertAlign w:val="superscript"/>
          <w:lang w:val="en-US"/>
        </w:rPr>
        <w:t>-</w:t>
      </w:r>
      <w:r w:rsidRPr="00363BF8">
        <w:rPr>
          <w:rFonts w:ascii="Book Antiqua" w:hAnsi="Book Antiqua"/>
          <w:color w:val="auto"/>
          <w:vertAlign w:val="superscript"/>
          <w:lang w:val="en-US"/>
        </w:rPr>
        <w:t>8]</w:t>
      </w:r>
      <w:r w:rsidRPr="00C82350">
        <w:rPr>
          <w:rFonts w:ascii="Book Antiqua" w:hAnsi="Book Antiqua"/>
          <w:color w:val="auto"/>
          <w:lang w:val="en-US"/>
        </w:rPr>
        <w:t>.</w:t>
      </w:r>
    </w:p>
    <w:p w:rsidR="007C2761" w:rsidRPr="00C82350" w:rsidRDefault="007C2761" w:rsidP="00C82350">
      <w:pPr>
        <w:widowControl w:val="0"/>
        <w:suppressAutoHyphens w:val="0"/>
        <w:adjustRightInd w:val="0"/>
        <w:snapToGrid w:val="0"/>
        <w:spacing w:after="0" w:line="360" w:lineRule="auto"/>
        <w:jc w:val="both"/>
        <w:rPr>
          <w:rFonts w:ascii="Book Antiqua" w:hAnsi="Book Antiqua"/>
          <w:color w:val="auto"/>
          <w:lang w:val="en-US"/>
        </w:rPr>
      </w:pPr>
    </w:p>
    <w:p w:rsidR="007C2761" w:rsidRPr="00363BF8" w:rsidRDefault="007C2761" w:rsidP="00C82350">
      <w:pPr>
        <w:widowControl w:val="0"/>
        <w:suppressAutoHyphens w:val="0"/>
        <w:adjustRightInd w:val="0"/>
        <w:snapToGrid w:val="0"/>
        <w:spacing w:after="0" w:line="360" w:lineRule="auto"/>
        <w:jc w:val="both"/>
        <w:rPr>
          <w:rFonts w:ascii="Book Antiqua" w:hAnsi="Book Antiqua"/>
          <w:b/>
          <w:color w:val="auto"/>
          <w:lang w:val="en-US"/>
        </w:rPr>
      </w:pPr>
      <w:r w:rsidRPr="00363BF8">
        <w:rPr>
          <w:rFonts w:ascii="Book Antiqua" w:hAnsi="Book Antiqua"/>
          <w:b/>
          <w:color w:val="auto"/>
          <w:lang w:val="en-US"/>
        </w:rPr>
        <w:t>Noninvasive assessment of advanced fibrosis</w:t>
      </w:r>
      <w:r w:rsidR="00363BF8">
        <w:rPr>
          <w:rFonts w:ascii="Book Antiqua" w:hAnsi="Book Antiqua" w:hint="eastAsia"/>
          <w:b/>
          <w:color w:val="auto"/>
          <w:lang w:val="en-US"/>
        </w:rPr>
        <w:t xml:space="preserve">: </w:t>
      </w:r>
      <w:r w:rsidRPr="00C82350">
        <w:rPr>
          <w:rFonts w:ascii="Book Antiqua" w:hAnsi="Book Antiqua"/>
          <w:color w:val="auto"/>
          <w:lang w:val="en-US"/>
        </w:rPr>
        <w:t>Liver fibrosis is considered the leading prognostic factor among patients with NAFLD because of its strong correlation with survival rate and liver-related outcomes</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27]</w:t>
      </w:r>
      <w:r w:rsidRPr="00C82350">
        <w:rPr>
          <w:rFonts w:ascii="Book Antiqua" w:hAnsi="Book Antiqua"/>
          <w:i/>
          <w:color w:val="auto"/>
          <w:lang w:val="en-US"/>
        </w:rPr>
        <w:t xml:space="preserve">. </w:t>
      </w:r>
      <w:r w:rsidRPr="00C82350">
        <w:rPr>
          <w:rFonts w:ascii="Book Antiqua" w:hAnsi="Book Antiqua"/>
          <w:color w:val="auto"/>
          <w:lang w:val="en-US"/>
        </w:rPr>
        <w:t>Therefore, NAFLD patients with advanced fibrosis need a closer monitoring and a rigorous adherence to treatment. However, to date, no methods easily performed in daily clinical practice and with a high predictive value for differentiating grades of liver fibrosis have been identified.</w:t>
      </w:r>
    </w:p>
    <w:p w:rsidR="007C2761" w:rsidRPr="00C82350" w:rsidRDefault="007C2761" w:rsidP="00363BF8">
      <w:pPr>
        <w:widowControl w:val="0"/>
        <w:suppressAutoHyphens w:val="0"/>
        <w:adjustRightInd w:val="0"/>
        <w:snapToGrid w:val="0"/>
        <w:spacing w:after="0" w:line="360" w:lineRule="auto"/>
        <w:ind w:firstLineChars="100" w:firstLine="240"/>
        <w:jc w:val="both"/>
        <w:rPr>
          <w:rFonts w:ascii="Book Antiqua" w:hAnsi="Book Antiqua"/>
          <w:color w:val="auto"/>
          <w:lang w:val="en-US"/>
        </w:rPr>
      </w:pPr>
      <w:r w:rsidRPr="00C82350">
        <w:rPr>
          <w:rFonts w:ascii="Book Antiqua" w:hAnsi="Book Antiqua"/>
          <w:color w:val="auto"/>
          <w:lang w:val="en-US"/>
        </w:rPr>
        <w:lastRenderedPageBreak/>
        <w:t>Different tools have been investigated at this purpose, including noninvasive scores (NAFLD fibrosis score, Fibrosis 4 calculator, AST/ALT ratio index), serum biomarkers (ELF panel, Fibrometer, Fibrotest, Hepascore) and imaging techniques, such as transient elastography, magnetic resonance elastography (MRE) and shear wave elastography</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28]</w:t>
      </w:r>
      <w:r w:rsidRPr="00C82350">
        <w:rPr>
          <w:rFonts w:ascii="Book Antiqua" w:hAnsi="Book Antiqua"/>
          <w:i/>
          <w:color w:val="auto"/>
          <w:lang w:val="en-US"/>
        </w:rPr>
        <w:t>.</w:t>
      </w:r>
    </w:p>
    <w:p w:rsidR="007C2761" w:rsidRPr="00C82350" w:rsidRDefault="007C2761" w:rsidP="00363BF8">
      <w:pPr>
        <w:widowControl w:val="0"/>
        <w:suppressAutoHyphens w:val="0"/>
        <w:adjustRightInd w:val="0"/>
        <w:snapToGrid w:val="0"/>
        <w:spacing w:after="0" w:line="360" w:lineRule="auto"/>
        <w:ind w:firstLineChars="100" w:firstLine="240"/>
        <w:jc w:val="both"/>
        <w:rPr>
          <w:rFonts w:ascii="Book Antiqua" w:hAnsi="Book Antiqua"/>
          <w:color w:val="auto"/>
          <w:lang w:val="en-US"/>
        </w:rPr>
      </w:pPr>
      <w:r w:rsidRPr="00C82350">
        <w:rPr>
          <w:rFonts w:ascii="Book Antiqua" w:hAnsi="Book Antiqua"/>
          <w:color w:val="auto"/>
          <w:lang w:val="en-US"/>
        </w:rPr>
        <w:t>According to the NICE guideline, the enhanced liver fibrosis (ELF) blood test has shown the best cost-effectiveness in identifying patients with advanced fibrosis stages</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29]</w:t>
      </w:r>
      <w:r w:rsidRPr="00C82350">
        <w:rPr>
          <w:rFonts w:ascii="Book Antiqua" w:hAnsi="Book Antiqua"/>
          <w:color w:val="auto"/>
          <w:lang w:val="en-US"/>
        </w:rPr>
        <w:t xml:space="preserve"> and therefore should be offered to all patients with an incidental diagnosis of NAFLD</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4]</w:t>
      </w:r>
      <w:r w:rsidR="00363BF8">
        <w:rPr>
          <w:rFonts w:ascii="Book Antiqua" w:hAnsi="Book Antiqua"/>
          <w:color w:val="auto"/>
          <w:lang w:val="en-US"/>
        </w:rPr>
        <w:t xml:space="preserve">. </w:t>
      </w:r>
      <w:r w:rsidRPr="00C82350">
        <w:rPr>
          <w:rFonts w:ascii="Book Antiqua" w:hAnsi="Book Antiqua"/>
          <w:color w:val="auto"/>
          <w:lang w:val="en-US"/>
        </w:rPr>
        <w:t>On the other hand, EASL and Italian guidelines suggest the use of NAFLD fibrosis score (NFS) and Fibrosis 4 calculator (FIB-4) as noninvasive scores to identify patients with different risk of advanced fibrosis</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3,7]</w:t>
      </w:r>
      <w:r w:rsidRPr="00C82350">
        <w:rPr>
          <w:rFonts w:ascii="Book Antiqua" w:hAnsi="Book Antiqua"/>
          <w:color w:val="auto"/>
          <w:lang w:val="en-US"/>
        </w:rPr>
        <w:t>. These two scores have been validated in various ethnically NAFLD patients, predicting liver and cardiovascular-related mortality</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30]</w:t>
      </w:r>
      <w:r w:rsidR="00363BF8">
        <w:rPr>
          <w:rFonts w:ascii="Book Antiqua" w:hAnsi="Book Antiqua"/>
          <w:color w:val="auto"/>
          <w:lang w:val="en-US"/>
        </w:rPr>
        <w:t xml:space="preserve">. </w:t>
      </w:r>
      <w:r w:rsidRPr="00C82350">
        <w:rPr>
          <w:rFonts w:ascii="Book Antiqua" w:hAnsi="Book Antiqua"/>
          <w:color w:val="auto"/>
          <w:lang w:val="en-US"/>
        </w:rPr>
        <w:t>Moreover AASLD guidelines highlight that in a recent study both NFS and FIB-4 have shown the best predictive value for advanced fibrosis among histological proven NAFLD patients in comparison with other scores</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28]</w:t>
      </w:r>
      <w:r w:rsidRPr="00C82350">
        <w:rPr>
          <w:rFonts w:ascii="Book Antiqua" w:hAnsi="Book Antiqua"/>
          <w:color w:val="auto"/>
          <w:lang w:val="en-US"/>
        </w:rPr>
        <w:t>. EASL guidelines underline that NFS has a stronger negative predictive value for advanced fibrosis than the corresponding positive predictive value</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30]</w:t>
      </w:r>
      <w:r w:rsidRPr="00C82350">
        <w:rPr>
          <w:rFonts w:ascii="Book Antiqua" w:hAnsi="Book Antiqua"/>
          <w:color w:val="auto"/>
          <w:lang w:val="en-US"/>
        </w:rPr>
        <w:t>. Hence, it should be used for excluding the presence of advanced fibrosis better than stratifying NAFLD patients on different fibrosis stages</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3]</w:t>
      </w:r>
      <w:r w:rsidRPr="00C82350">
        <w:rPr>
          <w:rFonts w:ascii="Book Antiqua" w:hAnsi="Book Antiqua"/>
          <w:color w:val="auto"/>
          <w:lang w:val="en-US"/>
        </w:rPr>
        <w:t>.</w:t>
      </w:r>
    </w:p>
    <w:p w:rsidR="007C2761" w:rsidRPr="00C82350" w:rsidRDefault="007C2761" w:rsidP="00363BF8">
      <w:pPr>
        <w:widowControl w:val="0"/>
        <w:suppressAutoHyphens w:val="0"/>
        <w:adjustRightInd w:val="0"/>
        <w:snapToGrid w:val="0"/>
        <w:spacing w:after="0" w:line="360" w:lineRule="auto"/>
        <w:ind w:firstLineChars="100" w:firstLine="240"/>
        <w:jc w:val="both"/>
        <w:rPr>
          <w:rFonts w:ascii="Book Antiqua" w:hAnsi="Book Antiqua"/>
          <w:i/>
          <w:color w:val="auto"/>
          <w:lang w:val="en-US"/>
        </w:rPr>
      </w:pPr>
      <w:r w:rsidRPr="00C82350">
        <w:rPr>
          <w:rFonts w:ascii="Book Antiqua" w:hAnsi="Book Antiqua"/>
          <w:color w:val="auto"/>
          <w:lang w:val="en-US"/>
        </w:rPr>
        <w:t>Transient elastography has been recently approved by US Food and Drug Administration to investigate adult and pediatric patients with liver disease. Its cut-off value for advanced fibrosis for adults with NAFLD has been established to 9.9 KpA with 95% sensitivity and 77% specificity</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31]</w:t>
      </w:r>
      <w:r w:rsidRPr="00C82350">
        <w:rPr>
          <w:rFonts w:ascii="Book Antiqua" w:hAnsi="Book Antiqua"/>
          <w:color w:val="auto"/>
          <w:lang w:val="en-US"/>
        </w:rPr>
        <w:t>. In particular, elastography score has been shown to have good diagnostic accuracy for the presence of clinically significant fibro</w:t>
      </w:r>
      <w:r w:rsidR="00363BF8">
        <w:rPr>
          <w:rFonts w:ascii="Book Antiqua" w:hAnsi="Book Antiqua"/>
          <w:color w:val="auto"/>
          <w:lang w:val="en-US"/>
        </w:rPr>
        <w:t>sis, with an AUROC of 0.93 (95%</w:t>
      </w:r>
      <w:r w:rsidRPr="00C82350">
        <w:rPr>
          <w:rFonts w:ascii="Book Antiqua" w:hAnsi="Book Antiqua"/>
          <w:color w:val="auto"/>
          <w:lang w:val="en-US"/>
        </w:rPr>
        <w:t>CI</w:t>
      </w:r>
      <w:r w:rsidR="00363BF8">
        <w:rPr>
          <w:rFonts w:ascii="Book Antiqua" w:hAnsi="Book Antiqua" w:hint="eastAsia"/>
          <w:color w:val="auto"/>
          <w:lang w:val="en-US"/>
        </w:rPr>
        <w:t>:</w:t>
      </w:r>
      <w:r w:rsidRPr="00C82350">
        <w:rPr>
          <w:rFonts w:ascii="Book Antiqua" w:hAnsi="Book Antiqua"/>
          <w:color w:val="auto"/>
          <w:lang w:val="en-US"/>
        </w:rPr>
        <w:t xml:space="preserve"> 0.89</w:t>
      </w:r>
      <w:r w:rsidR="00363BF8">
        <w:rPr>
          <w:rFonts w:ascii="Book Antiqua" w:hAnsi="Book Antiqua" w:hint="eastAsia"/>
          <w:color w:val="auto"/>
          <w:lang w:val="en-US"/>
        </w:rPr>
        <w:t>-</w:t>
      </w:r>
      <w:r w:rsidRPr="00C82350">
        <w:rPr>
          <w:rFonts w:ascii="Book Antiqua" w:hAnsi="Book Antiqua"/>
          <w:color w:val="auto"/>
          <w:lang w:val="en-US"/>
        </w:rPr>
        <w:t>0.096) for advanced fibrosis (≥</w:t>
      </w:r>
      <w:r w:rsidR="00363BF8">
        <w:rPr>
          <w:rFonts w:ascii="Book Antiqua" w:hAnsi="Book Antiqua" w:hint="eastAsia"/>
          <w:color w:val="auto"/>
          <w:lang w:val="en-US"/>
        </w:rPr>
        <w:t xml:space="preserve"> </w:t>
      </w:r>
      <w:r w:rsidRPr="00C82350">
        <w:rPr>
          <w:rFonts w:ascii="Book Antiqua" w:hAnsi="Book Antiqua"/>
          <w:color w:val="auto"/>
          <w:lang w:val="en-US"/>
        </w:rPr>
        <w:t>F3) and cirrhosis, and with a negative predictive value of 90% in ruling out cirrhosis when using a cut-off of 7.9 kPa. However, the ability in differentiating between F2 and F3 fibrosis seems less robust. Because of this high rate of false-positive results, EASL and Asia-Pacific guidelines point out that its low specificity limits its use in daily practice in diagnosing advanced grade of fibrosis and cirrhosis, as well as by a high failure rate</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5]</w:t>
      </w:r>
      <w:r w:rsidR="00363BF8">
        <w:rPr>
          <w:rFonts w:ascii="Book Antiqua" w:hAnsi="Book Antiqua"/>
          <w:color w:val="auto"/>
          <w:lang w:val="en-US"/>
        </w:rPr>
        <w:t xml:space="preserve">. </w:t>
      </w:r>
      <w:r w:rsidRPr="00C82350">
        <w:rPr>
          <w:rFonts w:ascii="Book Antiqua" w:hAnsi="Book Antiqua"/>
          <w:color w:val="auto"/>
          <w:lang w:val="en-US"/>
        </w:rPr>
        <w:t>Moreover considering the unreliable results among patients with high BMI and thoracic fold thickness, EASL guidelines highlight that it should not be used alone as first-line detection tool to identify advanced fibrosis or cirrhosis</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3]</w:t>
      </w:r>
      <w:r w:rsidRPr="00C82350">
        <w:rPr>
          <w:rFonts w:ascii="Book Antiqua" w:hAnsi="Book Antiqua"/>
          <w:color w:val="auto"/>
          <w:lang w:val="en-US"/>
        </w:rPr>
        <w:t>. In this setting, its poor performance can be improved by using M or XL-probe, increasing the success rate</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32</w:t>
      </w:r>
      <w:r w:rsidR="00DD0CC3">
        <w:rPr>
          <w:rFonts w:ascii="Book Antiqua" w:hAnsi="Book Antiqua" w:hint="eastAsia"/>
          <w:color w:val="auto"/>
          <w:vertAlign w:val="superscript"/>
          <w:lang w:val="en-US"/>
        </w:rPr>
        <w:t>,33</w:t>
      </w:r>
      <w:r w:rsidRPr="00363BF8">
        <w:rPr>
          <w:rFonts w:ascii="Book Antiqua" w:hAnsi="Book Antiqua"/>
          <w:color w:val="auto"/>
          <w:vertAlign w:val="superscript"/>
          <w:lang w:val="en-US"/>
        </w:rPr>
        <w:t>]</w:t>
      </w:r>
      <w:r w:rsidRPr="00C82350">
        <w:rPr>
          <w:rFonts w:ascii="Book Antiqua" w:hAnsi="Book Antiqua"/>
          <w:i/>
          <w:color w:val="auto"/>
          <w:lang w:val="en-US"/>
        </w:rPr>
        <w:t>.</w:t>
      </w:r>
    </w:p>
    <w:p w:rsidR="007C2761" w:rsidRPr="00C82350" w:rsidRDefault="007C2761" w:rsidP="00363BF8">
      <w:pPr>
        <w:widowControl w:val="0"/>
        <w:suppressAutoHyphens w:val="0"/>
        <w:adjustRightInd w:val="0"/>
        <w:snapToGrid w:val="0"/>
        <w:spacing w:after="0" w:line="360" w:lineRule="auto"/>
        <w:ind w:firstLineChars="100" w:firstLine="240"/>
        <w:jc w:val="both"/>
        <w:rPr>
          <w:rFonts w:ascii="Book Antiqua" w:hAnsi="Book Antiqua"/>
          <w:color w:val="auto"/>
          <w:lang w:val="en-US"/>
        </w:rPr>
      </w:pPr>
      <w:r w:rsidRPr="00C82350">
        <w:rPr>
          <w:rFonts w:ascii="Book Antiqua" w:hAnsi="Book Antiqua"/>
          <w:color w:val="auto"/>
          <w:lang w:val="en-US"/>
        </w:rPr>
        <w:lastRenderedPageBreak/>
        <w:t>American guidelines underline the vital role of magnetic resonance elastography (MRE) in identifying different degrees of fibrosis in patients with NAFLD, performing better than transient elastography for recognising intermediate stage of fibrosis, but showing a same predictive value for advanced fibrosis stages</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34]</w:t>
      </w:r>
      <w:r w:rsidR="00363BF8">
        <w:rPr>
          <w:rFonts w:ascii="Book Antiqua" w:hAnsi="Book Antiqua"/>
          <w:color w:val="auto"/>
          <w:lang w:val="en-US"/>
        </w:rPr>
        <w:t xml:space="preserve">. </w:t>
      </w:r>
      <w:r w:rsidRPr="00C82350">
        <w:rPr>
          <w:rFonts w:ascii="Book Antiqua" w:hAnsi="Book Antiqua"/>
          <w:color w:val="auto"/>
          <w:lang w:val="en-US"/>
        </w:rPr>
        <w:t>Therefore AASLD guidelines conclude that MRE and transient elastography are both useful tools for identifying NAFLD patients with advanced liver fibrosis.</w:t>
      </w:r>
    </w:p>
    <w:p w:rsidR="007C2761" w:rsidRPr="00C82350" w:rsidRDefault="007C2761" w:rsidP="00363BF8">
      <w:pPr>
        <w:widowControl w:val="0"/>
        <w:suppressAutoHyphens w:val="0"/>
        <w:adjustRightInd w:val="0"/>
        <w:snapToGrid w:val="0"/>
        <w:spacing w:after="0" w:line="360" w:lineRule="auto"/>
        <w:ind w:firstLineChars="100" w:firstLine="240"/>
        <w:jc w:val="both"/>
        <w:rPr>
          <w:rFonts w:ascii="Book Antiqua" w:hAnsi="Book Antiqua"/>
          <w:color w:val="auto"/>
          <w:lang w:val="en-US"/>
        </w:rPr>
      </w:pPr>
      <w:r w:rsidRPr="00C82350">
        <w:rPr>
          <w:rFonts w:ascii="Book Antiqua" w:hAnsi="Book Antiqua"/>
          <w:color w:val="auto"/>
          <w:lang w:val="en-US"/>
        </w:rPr>
        <w:t>On the other hand, shear wave elastography, in the same way as transient elastography, seems to be inappropriate to discriminate between intermediate stages of fibrosis and provide reliable results only in 73% of patients with BMI ≥</w:t>
      </w:r>
      <w:r w:rsidR="00363BF8">
        <w:rPr>
          <w:rFonts w:ascii="Book Antiqua" w:hAnsi="Book Antiqua" w:hint="eastAsia"/>
          <w:color w:val="auto"/>
          <w:lang w:val="en-US"/>
        </w:rPr>
        <w:t xml:space="preserve"> </w:t>
      </w:r>
      <w:r w:rsidRPr="00C82350">
        <w:rPr>
          <w:rFonts w:ascii="Book Antiqua" w:hAnsi="Book Antiqua"/>
          <w:color w:val="auto"/>
          <w:lang w:val="en-US"/>
        </w:rPr>
        <w:t>30 Kg/m</w:t>
      </w:r>
      <w:r w:rsidRPr="00363BF8">
        <w:rPr>
          <w:rFonts w:ascii="Book Antiqua" w:hAnsi="Book Antiqua"/>
          <w:color w:val="auto"/>
          <w:vertAlign w:val="superscript"/>
          <w:lang w:val="en-US"/>
        </w:rPr>
        <w:t>2</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35]</w:t>
      </w:r>
      <w:r w:rsidRPr="00C82350">
        <w:rPr>
          <w:rFonts w:ascii="Book Antiqua" w:hAnsi="Book Antiqua"/>
          <w:color w:val="auto"/>
          <w:lang w:val="en-US"/>
        </w:rPr>
        <w:t>.</w:t>
      </w:r>
    </w:p>
    <w:p w:rsidR="007C2761" w:rsidRPr="00C82350" w:rsidRDefault="007C2761" w:rsidP="00C82350">
      <w:pPr>
        <w:widowControl w:val="0"/>
        <w:suppressAutoHyphens w:val="0"/>
        <w:adjustRightInd w:val="0"/>
        <w:snapToGrid w:val="0"/>
        <w:spacing w:after="0" w:line="360" w:lineRule="auto"/>
        <w:jc w:val="both"/>
        <w:rPr>
          <w:rFonts w:ascii="Book Antiqua" w:hAnsi="Book Antiqua"/>
          <w:b/>
          <w:color w:val="auto"/>
          <w:lang w:val="en-US"/>
        </w:rPr>
      </w:pPr>
    </w:p>
    <w:p w:rsidR="007C2761" w:rsidRPr="00363BF8" w:rsidRDefault="007C2761" w:rsidP="00C82350">
      <w:pPr>
        <w:widowControl w:val="0"/>
        <w:suppressAutoHyphens w:val="0"/>
        <w:adjustRightInd w:val="0"/>
        <w:snapToGrid w:val="0"/>
        <w:spacing w:after="0" w:line="360" w:lineRule="auto"/>
        <w:jc w:val="both"/>
        <w:rPr>
          <w:rFonts w:ascii="Book Antiqua" w:hAnsi="Book Antiqua"/>
          <w:b/>
          <w:i/>
          <w:color w:val="auto"/>
          <w:lang w:val="en-US"/>
        </w:rPr>
      </w:pPr>
      <w:r w:rsidRPr="00363BF8">
        <w:rPr>
          <w:rFonts w:ascii="Book Antiqua" w:hAnsi="Book Antiqua"/>
          <w:b/>
          <w:i/>
          <w:color w:val="auto"/>
          <w:lang w:val="en-US"/>
        </w:rPr>
        <w:t>W</w:t>
      </w:r>
      <w:r w:rsidR="00363BF8" w:rsidRPr="00363BF8">
        <w:rPr>
          <w:rFonts w:ascii="Book Antiqua" w:hAnsi="Book Antiqua"/>
          <w:b/>
          <w:i/>
          <w:color w:val="auto"/>
          <w:lang w:val="en-US"/>
        </w:rPr>
        <w:t>hich are the best diagnostic algorithms and follow-up strategies</w:t>
      </w:r>
      <w:r w:rsidRPr="00363BF8">
        <w:rPr>
          <w:rFonts w:ascii="Book Antiqua" w:hAnsi="Book Antiqua"/>
          <w:b/>
          <w:i/>
          <w:color w:val="auto"/>
          <w:lang w:val="en-US"/>
        </w:rPr>
        <w:t>?</w:t>
      </w:r>
    </w:p>
    <w:p w:rsidR="007C2761" w:rsidRPr="00C82350" w:rsidRDefault="007C2761" w:rsidP="00C82350">
      <w:pPr>
        <w:widowControl w:val="0"/>
        <w:suppressAutoHyphens w:val="0"/>
        <w:adjustRightInd w:val="0"/>
        <w:snapToGrid w:val="0"/>
        <w:spacing w:after="0" w:line="360" w:lineRule="auto"/>
        <w:jc w:val="both"/>
        <w:rPr>
          <w:rFonts w:ascii="Book Antiqua" w:hAnsi="Book Antiqua"/>
          <w:color w:val="auto"/>
          <w:lang w:val="en-US"/>
        </w:rPr>
      </w:pPr>
      <w:r w:rsidRPr="00C82350">
        <w:rPr>
          <w:rFonts w:ascii="Book Antiqua" w:hAnsi="Book Antiqua"/>
          <w:color w:val="auto"/>
          <w:lang w:val="en-US"/>
        </w:rPr>
        <w:t>The optimal strategy for stratifying NAFLD patients and follow disease progressio</w:t>
      </w:r>
      <w:r w:rsidR="00363BF8">
        <w:rPr>
          <w:rFonts w:ascii="Book Antiqua" w:hAnsi="Book Antiqua"/>
          <w:color w:val="auto"/>
          <w:lang w:val="en-US"/>
        </w:rPr>
        <w:t>n has not been yet established.</w:t>
      </w:r>
      <w:r w:rsidR="00363BF8">
        <w:rPr>
          <w:rFonts w:ascii="Book Antiqua" w:hAnsi="Book Antiqua" w:hint="eastAsia"/>
          <w:color w:val="auto"/>
          <w:lang w:val="en-US"/>
        </w:rPr>
        <w:t xml:space="preserve"> </w:t>
      </w:r>
      <w:r w:rsidRPr="00C82350">
        <w:rPr>
          <w:rFonts w:ascii="Book Antiqua" w:hAnsi="Book Antiqua"/>
          <w:color w:val="auto"/>
          <w:lang w:val="en-US"/>
        </w:rPr>
        <w:t>According to EASL and Italian guidelines, the combination of noninvasive scores (NFS and FIB-4) and transient elastography should be used to identify patients at low risk of advanced liver disease and for clinical decision-making. Moreover, this combination may instead identify patients who should undergo a liver biopsy to confirm advanced fibrosis, and in whom a more intensive approach is needed)</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3,7]</w:t>
      </w:r>
      <w:r w:rsidRPr="00C82350">
        <w:rPr>
          <w:rFonts w:ascii="Book Antiqua" w:hAnsi="Book Antiqua"/>
          <w:color w:val="auto"/>
          <w:lang w:val="en-US"/>
        </w:rPr>
        <w:t>. Noninvasive serum scores should be calculated for every patient with NAFLD to exclude the presence of significant fibrosis. If it cannot be ruled out, then transient elastography should be performed. Hence, if advanced fibrosis is suspected, liver biopsy should be performed for final diagnosis</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3,7]</w:t>
      </w:r>
      <w:r w:rsidRPr="00C82350">
        <w:rPr>
          <w:rFonts w:ascii="Book Antiqua" w:hAnsi="Book Antiqua"/>
          <w:color w:val="auto"/>
          <w:lang w:val="en-US"/>
        </w:rPr>
        <w:t>. Moreover, a clinical, laboratory and instrumental follow-up for noninvasive monitoring of fibrosis, is suggested every two years for NAFLD patients with normal liver enzymes and low risk of advanced fibrosis. Patients with evidence of NASH or fibrosis should be screened annually and those with cirrhosis every six months, to perform HCC surveillance</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3,7]</w:t>
      </w:r>
      <w:r w:rsidRPr="00C82350">
        <w:rPr>
          <w:rFonts w:ascii="Book Antiqua" w:hAnsi="Book Antiqua"/>
          <w:color w:val="auto"/>
          <w:lang w:val="en-US"/>
        </w:rPr>
        <w:t>.</w:t>
      </w:r>
    </w:p>
    <w:p w:rsidR="007C2761" w:rsidRPr="00C82350" w:rsidRDefault="007C2761" w:rsidP="00363BF8">
      <w:pPr>
        <w:widowControl w:val="0"/>
        <w:suppressAutoHyphens w:val="0"/>
        <w:adjustRightInd w:val="0"/>
        <w:snapToGrid w:val="0"/>
        <w:spacing w:after="0" w:line="360" w:lineRule="auto"/>
        <w:ind w:firstLineChars="100" w:firstLine="240"/>
        <w:jc w:val="both"/>
        <w:rPr>
          <w:rFonts w:ascii="Book Antiqua" w:hAnsi="Book Antiqua"/>
          <w:color w:val="auto"/>
          <w:lang w:val="en-US"/>
        </w:rPr>
      </w:pPr>
      <w:r w:rsidRPr="00C82350">
        <w:rPr>
          <w:rFonts w:ascii="Book Antiqua" w:hAnsi="Book Antiqua"/>
          <w:color w:val="auto"/>
          <w:lang w:val="en-US"/>
        </w:rPr>
        <w:t>Similarly, the AASLD guidelines consider NFS, FIB-4, transient elastography, and MRE as the first-line examination to detect patients with advanced fibrosis</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8]</w:t>
      </w:r>
      <w:r w:rsidRPr="00C82350">
        <w:rPr>
          <w:rFonts w:ascii="Book Antiqua" w:hAnsi="Book Antiqua"/>
          <w:color w:val="auto"/>
          <w:lang w:val="en-US"/>
        </w:rPr>
        <w:t>. Differently from the EASL guidance, however, no diagnostic algorithms or follow up strategies are provided.</w:t>
      </w:r>
    </w:p>
    <w:p w:rsidR="007C2761" w:rsidRPr="00C82350" w:rsidRDefault="007C2761" w:rsidP="00363BF8">
      <w:pPr>
        <w:widowControl w:val="0"/>
        <w:suppressAutoHyphens w:val="0"/>
        <w:adjustRightInd w:val="0"/>
        <w:snapToGrid w:val="0"/>
        <w:spacing w:after="0" w:line="360" w:lineRule="auto"/>
        <w:ind w:firstLineChars="100" w:firstLine="240"/>
        <w:jc w:val="both"/>
        <w:rPr>
          <w:rFonts w:ascii="Book Antiqua" w:hAnsi="Book Antiqua"/>
          <w:color w:val="auto"/>
          <w:lang w:val="en-US"/>
        </w:rPr>
      </w:pPr>
      <w:r w:rsidRPr="00C82350">
        <w:rPr>
          <w:rFonts w:ascii="Book Antiqua" w:hAnsi="Book Antiqua"/>
          <w:color w:val="auto"/>
          <w:lang w:val="en-US"/>
        </w:rPr>
        <w:t>The Asia-Pacific guidelines also agree that combined use of serum tests and imaging tools may offer more reliable information than using either method alone</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6]</w:t>
      </w:r>
      <w:r w:rsidRPr="00C82350">
        <w:rPr>
          <w:rFonts w:ascii="Book Antiqua" w:hAnsi="Book Antiqua"/>
          <w:color w:val="auto"/>
          <w:lang w:val="en-US"/>
        </w:rPr>
        <w:t>. However, they do not specify which noninvasive test is best.</w:t>
      </w:r>
    </w:p>
    <w:p w:rsidR="007C2761" w:rsidRPr="00C82350" w:rsidRDefault="007C2761" w:rsidP="00363BF8">
      <w:pPr>
        <w:widowControl w:val="0"/>
        <w:suppressAutoHyphens w:val="0"/>
        <w:adjustRightInd w:val="0"/>
        <w:snapToGrid w:val="0"/>
        <w:spacing w:after="0" w:line="360" w:lineRule="auto"/>
        <w:ind w:firstLineChars="100" w:firstLine="240"/>
        <w:jc w:val="both"/>
        <w:rPr>
          <w:rFonts w:ascii="Book Antiqua" w:hAnsi="Book Antiqua"/>
          <w:color w:val="auto"/>
          <w:lang w:val="en-US"/>
        </w:rPr>
      </w:pPr>
      <w:r w:rsidRPr="00C82350">
        <w:rPr>
          <w:rFonts w:ascii="Book Antiqua" w:hAnsi="Book Antiqua"/>
          <w:color w:val="auto"/>
          <w:lang w:val="en-US"/>
        </w:rPr>
        <w:t xml:space="preserve">According to the NICE guidelines, every patient with an incidental finding of NAFLD should be screened for advanced fibrosis by ELF blood test. If negative, it should be repeated every three years </w:t>
      </w:r>
      <w:r w:rsidRPr="00C82350">
        <w:rPr>
          <w:rFonts w:ascii="Book Antiqua" w:hAnsi="Book Antiqua"/>
          <w:color w:val="auto"/>
          <w:lang w:val="en-US"/>
        </w:rPr>
        <w:lastRenderedPageBreak/>
        <w:t>for adults and two years for children. Moreover, children and young people with type 2 diabetes mellitus or metabolic syndrome, but without steatosis at ultrasound examination, should be reevaluated every three years</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4]</w:t>
      </w:r>
      <w:r w:rsidRPr="00C82350">
        <w:rPr>
          <w:rFonts w:ascii="Book Antiqua" w:hAnsi="Book Antiqua"/>
          <w:color w:val="auto"/>
          <w:lang w:val="en-US"/>
        </w:rPr>
        <w:t>.</w:t>
      </w:r>
    </w:p>
    <w:p w:rsidR="007C2761" w:rsidRPr="00C82350" w:rsidRDefault="007C2761" w:rsidP="00C82350">
      <w:pPr>
        <w:widowControl w:val="0"/>
        <w:suppressAutoHyphens w:val="0"/>
        <w:adjustRightInd w:val="0"/>
        <w:snapToGrid w:val="0"/>
        <w:spacing w:after="0" w:line="360" w:lineRule="auto"/>
        <w:jc w:val="both"/>
        <w:rPr>
          <w:rFonts w:ascii="Book Antiqua" w:hAnsi="Book Antiqua"/>
          <w:color w:val="auto"/>
          <w:lang w:val="en-GB"/>
        </w:rPr>
      </w:pPr>
    </w:p>
    <w:p w:rsidR="007C2761" w:rsidRPr="00C82350" w:rsidRDefault="007C2761" w:rsidP="00C82350">
      <w:pPr>
        <w:widowControl w:val="0"/>
        <w:suppressAutoHyphens w:val="0"/>
        <w:adjustRightInd w:val="0"/>
        <w:snapToGrid w:val="0"/>
        <w:spacing w:after="0" w:line="360" w:lineRule="auto"/>
        <w:jc w:val="both"/>
        <w:rPr>
          <w:rFonts w:ascii="Book Antiqua" w:hAnsi="Book Antiqua"/>
          <w:b/>
          <w:i/>
          <w:iCs/>
          <w:color w:val="auto"/>
          <w:lang w:val="en-US"/>
        </w:rPr>
      </w:pPr>
      <w:r w:rsidRPr="00C82350">
        <w:rPr>
          <w:rFonts w:ascii="Book Antiqua" w:hAnsi="Book Antiqua"/>
          <w:b/>
          <w:i/>
          <w:iCs/>
          <w:color w:val="auto"/>
          <w:lang w:val="en-US"/>
        </w:rPr>
        <w:t>W</w:t>
      </w:r>
      <w:r w:rsidR="00363BF8" w:rsidRPr="00C82350">
        <w:rPr>
          <w:rFonts w:ascii="Book Antiqua" w:hAnsi="Book Antiqua"/>
          <w:b/>
          <w:i/>
          <w:iCs/>
          <w:color w:val="auto"/>
          <w:lang w:val="en-US"/>
        </w:rPr>
        <w:t>ho should undergo liver biopsy</w:t>
      </w:r>
      <w:r w:rsidRPr="00C82350">
        <w:rPr>
          <w:rFonts w:ascii="Book Antiqua" w:hAnsi="Book Antiqua"/>
          <w:b/>
          <w:i/>
          <w:iCs/>
          <w:color w:val="auto"/>
          <w:lang w:val="en-US"/>
        </w:rPr>
        <w:t>?</w:t>
      </w:r>
    </w:p>
    <w:p w:rsidR="007C2761" w:rsidRPr="00C82350" w:rsidRDefault="007C2761" w:rsidP="00C82350">
      <w:pPr>
        <w:widowControl w:val="0"/>
        <w:suppressAutoHyphens w:val="0"/>
        <w:adjustRightInd w:val="0"/>
        <w:snapToGrid w:val="0"/>
        <w:spacing w:after="0" w:line="360" w:lineRule="auto"/>
        <w:jc w:val="both"/>
        <w:rPr>
          <w:rFonts w:ascii="Book Antiqua" w:hAnsi="Book Antiqua"/>
          <w:color w:val="auto"/>
          <w:lang w:val="en-US"/>
        </w:rPr>
      </w:pPr>
      <w:r w:rsidRPr="00C82350">
        <w:rPr>
          <w:rFonts w:ascii="Book Antiqua" w:hAnsi="Book Antiqua"/>
          <w:color w:val="auto"/>
          <w:lang w:val="en-US"/>
        </w:rPr>
        <w:t>To date, liver biopsy is the gold standard for diagnosing NASH and staging liver fibrosis, despite several limitations such as sampling error, variability in interpretation by pathologists, high cost and patient discomfort</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36]</w:t>
      </w:r>
      <w:r w:rsidRPr="00C82350">
        <w:rPr>
          <w:rFonts w:ascii="Book Antiqua" w:hAnsi="Book Antiqua"/>
          <w:color w:val="auto"/>
          <w:lang w:val="en-US"/>
        </w:rPr>
        <w:t>. The “NAFLD Activity Score” (NAS)</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37]</w:t>
      </w:r>
      <w:r w:rsidRPr="00C82350">
        <w:rPr>
          <w:rFonts w:ascii="Book Antiqua" w:hAnsi="Book Antiqua"/>
          <w:color w:val="auto"/>
          <w:lang w:val="en-US"/>
        </w:rPr>
        <w:t xml:space="preserve"> and the "Steatosis Activity Fibrosis" (SAF) scoring system</w:t>
      </w:r>
      <w:r w:rsidR="002E2366" w:rsidRPr="00DD0CC3">
        <w:rPr>
          <w:rFonts w:ascii="Book Antiqua" w:hAnsi="Book Antiqua"/>
          <w:color w:val="auto"/>
          <w:vertAlign w:val="subscript"/>
          <w:lang w:val="en-US"/>
        </w:rPr>
        <w:t>[</w:t>
      </w:r>
      <w:r w:rsidRPr="00DD0CC3">
        <w:rPr>
          <w:rFonts w:ascii="Book Antiqua" w:hAnsi="Book Antiqua"/>
          <w:color w:val="auto"/>
          <w:vertAlign w:val="subscript"/>
          <w:lang w:val="en-US"/>
        </w:rPr>
        <w:t>38]</w:t>
      </w:r>
      <w:r w:rsidRPr="00C82350">
        <w:rPr>
          <w:rFonts w:ascii="Book Antiqua" w:hAnsi="Book Antiqua"/>
          <w:color w:val="auto"/>
          <w:lang w:val="en-US"/>
        </w:rPr>
        <w:t xml:space="preserve"> are recommended to assess disease activity</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8]</w:t>
      </w:r>
      <w:r w:rsidRPr="00C82350">
        <w:rPr>
          <w:rFonts w:ascii="Book Antiqua" w:hAnsi="Book Antiqua"/>
          <w:color w:val="auto"/>
          <w:lang w:val="en-US"/>
        </w:rPr>
        <w:t>.</w:t>
      </w:r>
    </w:p>
    <w:p w:rsidR="007C2761" w:rsidRPr="00C82350" w:rsidRDefault="007C2761" w:rsidP="00363BF8">
      <w:pPr>
        <w:widowControl w:val="0"/>
        <w:suppressAutoHyphens w:val="0"/>
        <w:adjustRightInd w:val="0"/>
        <w:snapToGrid w:val="0"/>
        <w:spacing w:after="0" w:line="360" w:lineRule="auto"/>
        <w:ind w:firstLineChars="100" w:firstLine="240"/>
        <w:jc w:val="both"/>
        <w:rPr>
          <w:rFonts w:ascii="Book Antiqua" w:hAnsi="Book Antiqua"/>
          <w:color w:val="auto"/>
          <w:lang w:val="en-US"/>
        </w:rPr>
      </w:pPr>
      <w:r w:rsidRPr="00C82350">
        <w:rPr>
          <w:rFonts w:ascii="Book Antiqua" w:hAnsi="Book Antiqua"/>
          <w:color w:val="auto"/>
          <w:lang w:val="en-US"/>
        </w:rPr>
        <w:t xml:space="preserve">Except for the NICE guidelines (which do not provide specific indications about which patients should undergo liver biopsy), all of the remaining guidelines substantially agree that confirmatory liver biopsy should not be performed in every NAFLD patients. Instead, it should be reserved for the following two situations: </w:t>
      </w:r>
      <w:r w:rsidR="00363BF8">
        <w:rPr>
          <w:rFonts w:ascii="Book Antiqua" w:hAnsi="Book Antiqua" w:hint="eastAsia"/>
          <w:color w:val="auto"/>
          <w:lang w:val="en-US"/>
        </w:rPr>
        <w:t>(</w:t>
      </w:r>
      <w:r w:rsidRPr="00C82350">
        <w:rPr>
          <w:rFonts w:ascii="Book Antiqua" w:hAnsi="Book Antiqua"/>
          <w:color w:val="auto"/>
          <w:lang w:val="en-US"/>
        </w:rPr>
        <w:t xml:space="preserve">1) </w:t>
      </w:r>
      <w:r w:rsidR="00363BF8" w:rsidRPr="00C82350">
        <w:rPr>
          <w:rFonts w:ascii="Book Antiqua" w:hAnsi="Book Antiqua"/>
          <w:color w:val="auto"/>
          <w:lang w:val="en-US"/>
        </w:rPr>
        <w:t>U</w:t>
      </w:r>
      <w:r w:rsidRPr="00C82350">
        <w:rPr>
          <w:rFonts w:ascii="Book Antiqua" w:hAnsi="Book Antiqua"/>
          <w:color w:val="auto"/>
          <w:lang w:val="en-US"/>
        </w:rPr>
        <w:t xml:space="preserve">ncertain diagnosis; </w:t>
      </w:r>
      <w:r w:rsidR="00363BF8">
        <w:rPr>
          <w:rFonts w:ascii="Book Antiqua" w:hAnsi="Book Antiqua" w:hint="eastAsia"/>
          <w:color w:val="auto"/>
          <w:lang w:val="en-US"/>
        </w:rPr>
        <w:t>(</w:t>
      </w:r>
      <w:r w:rsidRPr="00C82350">
        <w:rPr>
          <w:rFonts w:ascii="Book Antiqua" w:hAnsi="Book Antiqua"/>
          <w:color w:val="auto"/>
          <w:lang w:val="en-US"/>
        </w:rPr>
        <w:t>2) suspect of NAFLD-related advanced liver disease.</w:t>
      </w:r>
    </w:p>
    <w:p w:rsidR="007C2761" w:rsidRPr="00C82350" w:rsidRDefault="007C2761" w:rsidP="00363BF8">
      <w:pPr>
        <w:widowControl w:val="0"/>
        <w:suppressAutoHyphens w:val="0"/>
        <w:adjustRightInd w:val="0"/>
        <w:snapToGrid w:val="0"/>
        <w:spacing w:after="0" w:line="360" w:lineRule="auto"/>
        <w:ind w:firstLineChars="100" w:firstLine="240"/>
        <w:jc w:val="both"/>
        <w:rPr>
          <w:rFonts w:ascii="Book Antiqua" w:hAnsi="Book Antiqua"/>
          <w:color w:val="auto"/>
          <w:lang w:val="en-US"/>
        </w:rPr>
      </w:pPr>
      <w:r w:rsidRPr="00C82350">
        <w:rPr>
          <w:rFonts w:ascii="Book Antiqua" w:hAnsi="Book Antiqua"/>
          <w:color w:val="auto"/>
          <w:lang w:val="en-US"/>
        </w:rPr>
        <w:t>The AASLD guidelines suggest to perform liver biopsy in patients with metabolic syndrome who are at increased risk of liver inflammation, or when NFS, FIB-4 or liver stiffness measured by transient elastography or MRE suggest the presence of advanced liver fibrosis. In that case, patients would benefit the most from diagnosis, obtaining crucial prognostic information</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8]</w:t>
      </w:r>
      <w:r w:rsidRPr="00C82350">
        <w:rPr>
          <w:rFonts w:ascii="Book Antiqua" w:hAnsi="Book Antiqua"/>
          <w:color w:val="auto"/>
          <w:lang w:val="en-US"/>
        </w:rPr>
        <w:t>.</w:t>
      </w:r>
    </w:p>
    <w:p w:rsidR="007C2761" w:rsidRPr="00C82350" w:rsidRDefault="007C2761" w:rsidP="00363BF8">
      <w:pPr>
        <w:widowControl w:val="0"/>
        <w:suppressAutoHyphens w:val="0"/>
        <w:adjustRightInd w:val="0"/>
        <w:snapToGrid w:val="0"/>
        <w:spacing w:after="0" w:line="360" w:lineRule="auto"/>
        <w:ind w:firstLineChars="100" w:firstLine="240"/>
        <w:jc w:val="both"/>
        <w:rPr>
          <w:rFonts w:ascii="Book Antiqua" w:hAnsi="Book Antiqua"/>
          <w:color w:val="auto"/>
          <w:lang w:val="en-US"/>
        </w:rPr>
      </w:pPr>
      <w:r w:rsidRPr="00C82350">
        <w:rPr>
          <w:rFonts w:ascii="Book Antiqua" w:hAnsi="Book Antiqua"/>
          <w:color w:val="auto"/>
          <w:lang w:val="en-US"/>
        </w:rPr>
        <w:t>Similarly, EASL and Italian guidelines recommend performing a liver biopsy when both serum and imaging noninvasive tools show a medium/high risk of advanced liver disease, with the aim to confirm the presence of advanced liver fibrosis. Furthermore, they underline that in selected NAFLD patients at high risk of disease progression, the repetition of liver biopsy should be considered case-by-case every five years</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3,7]</w:t>
      </w:r>
      <w:r w:rsidRPr="00C82350">
        <w:rPr>
          <w:rFonts w:ascii="Book Antiqua" w:hAnsi="Book Antiqua"/>
          <w:color w:val="auto"/>
          <w:lang w:val="en-US"/>
        </w:rPr>
        <w:t>. On the other hand, the Asia-Pacific guidelines recommend biopsy only when a competing aetiology of chronic liver disease cannot be excluded just by laboratory exams and personal anamnesis, or results of noninvasive tests are inconclusive</w:t>
      </w:r>
      <w:r w:rsidR="002E2366" w:rsidRPr="00363BF8">
        <w:rPr>
          <w:rFonts w:ascii="Book Antiqua" w:hAnsi="Book Antiqua"/>
          <w:color w:val="auto"/>
          <w:vertAlign w:val="superscript"/>
          <w:lang w:val="en-US"/>
        </w:rPr>
        <w:t>[</w:t>
      </w:r>
      <w:r w:rsidRPr="00363BF8">
        <w:rPr>
          <w:rFonts w:ascii="Book Antiqua" w:hAnsi="Book Antiqua"/>
          <w:color w:val="auto"/>
          <w:vertAlign w:val="superscript"/>
          <w:lang w:val="en-US"/>
        </w:rPr>
        <w:t>5,6]</w:t>
      </w:r>
      <w:r w:rsidRPr="00C82350">
        <w:rPr>
          <w:rFonts w:ascii="Book Antiqua" w:hAnsi="Book Antiqua"/>
          <w:color w:val="auto"/>
          <w:lang w:val="en-US"/>
        </w:rPr>
        <w:t>.</w:t>
      </w:r>
    </w:p>
    <w:p w:rsidR="007C2761" w:rsidRPr="00C82350" w:rsidRDefault="007C2761" w:rsidP="00C82350">
      <w:pPr>
        <w:widowControl w:val="0"/>
        <w:suppressAutoHyphens w:val="0"/>
        <w:adjustRightInd w:val="0"/>
        <w:snapToGrid w:val="0"/>
        <w:spacing w:after="0" w:line="360" w:lineRule="auto"/>
        <w:jc w:val="both"/>
        <w:rPr>
          <w:rFonts w:ascii="Book Antiqua" w:hAnsi="Book Antiqua"/>
          <w:color w:val="auto"/>
          <w:lang w:val="en-US"/>
        </w:rPr>
      </w:pPr>
    </w:p>
    <w:p w:rsidR="007C2761" w:rsidRPr="00B7749E" w:rsidRDefault="007C2761" w:rsidP="00C82350">
      <w:pPr>
        <w:widowControl w:val="0"/>
        <w:suppressAutoHyphens w:val="0"/>
        <w:adjustRightInd w:val="0"/>
        <w:snapToGrid w:val="0"/>
        <w:spacing w:after="0" w:line="360" w:lineRule="auto"/>
        <w:jc w:val="both"/>
        <w:rPr>
          <w:rFonts w:ascii="Book Antiqua" w:hAnsi="Book Antiqua"/>
          <w:b/>
          <w:i/>
          <w:iCs/>
          <w:color w:val="auto"/>
          <w:lang w:val="en-GB"/>
        </w:rPr>
      </w:pPr>
      <w:r w:rsidRPr="00C82350">
        <w:rPr>
          <w:rFonts w:ascii="Book Antiqua" w:hAnsi="Book Antiqua"/>
          <w:b/>
          <w:i/>
          <w:iCs/>
          <w:color w:val="auto"/>
          <w:lang w:val="en-GB"/>
        </w:rPr>
        <w:t>H</w:t>
      </w:r>
      <w:r w:rsidR="00B7749E" w:rsidRPr="00C82350">
        <w:rPr>
          <w:rFonts w:ascii="Book Antiqua" w:hAnsi="Book Antiqua"/>
          <w:b/>
          <w:i/>
          <w:iCs/>
          <w:color w:val="auto"/>
          <w:lang w:val="en-GB"/>
        </w:rPr>
        <w:t>ow to treat NAFLD</w:t>
      </w:r>
      <w:r w:rsidR="00B7749E">
        <w:rPr>
          <w:rFonts w:ascii="Book Antiqua" w:hAnsi="Book Antiqua"/>
          <w:b/>
          <w:i/>
          <w:iCs/>
          <w:color w:val="auto"/>
          <w:lang w:val="en-GB"/>
        </w:rPr>
        <w:t>?</w:t>
      </w:r>
    </w:p>
    <w:p w:rsidR="007C2761" w:rsidRPr="00B7749E" w:rsidRDefault="007C2761" w:rsidP="00C82350">
      <w:pPr>
        <w:widowControl w:val="0"/>
        <w:suppressAutoHyphens w:val="0"/>
        <w:adjustRightInd w:val="0"/>
        <w:snapToGrid w:val="0"/>
        <w:spacing w:after="0" w:line="360" w:lineRule="auto"/>
        <w:jc w:val="both"/>
        <w:rPr>
          <w:rFonts w:ascii="Book Antiqua" w:hAnsi="Book Antiqua"/>
          <w:b/>
          <w:color w:val="auto"/>
          <w:lang w:val="en-GB"/>
        </w:rPr>
      </w:pPr>
      <w:r w:rsidRPr="00C82350">
        <w:rPr>
          <w:rFonts w:ascii="Book Antiqua" w:hAnsi="Book Antiqua"/>
          <w:b/>
          <w:color w:val="auto"/>
          <w:lang w:val="en-GB"/>
        </w:rPr>
        <w:t>Lifestyle changes</w:t>
      </w:r>
      <w:r w:rsidR="00B7749E">
        <w:rPr>
          <w:rFonts w:ascii="Book Antiqua" w:hAnsi="Book Antiqua" w:hint="eastAsia"/>
          <w:b/>
          <w:color w:val="auto"/>
          <w:lang w:val="en-GB"/>
        </w:rPr>
        <w:t xml:space="preserve">: </w:t>
      </w:r>
      <w:r w:rsidRPr="00C82350">
        <w:rPr>
          <w:rFonts w:ascii="Book Antiqua" w:hAnsi="Book Antiqua"/>
          <w:color w:val="auto"/>
          <w:lang w:val="en-GB"/>
        </w:rPr>
        <w:t xml:space="preserve">Lifestyle modification consisting of diet, exercise, and weight loss has been advocated to treat patients with NAFLD in all guidelines </w:t>
      </w:r>
      <w:r w:rsidRPr="001C58DF">
        <w:rPr>
          <w:rFonts w:ascii="Book Antiqua" w:hAnsi="Book Antiqua"/>
          <w:color w:val="auto"/>
          <w:lang w:val="en-GB"/>
        </w:rPr>
        <w:t>(Table</w:t>
      </w:r>
      <w:r w:rsidR="001C58DF" w:rsidRPr="001C58DF">
        <w:rPr>
          <w:rFonts w:ascii="Book Antiqua" w:hAnsi="Book Antiqua" w:hint="eastAsia"/>
          <w:color w:val="auto"/>
          <w:lang w:val="en-GB"/>
        </w:rPr>
        <w:t>s</w:t>
      </w:r>
      <w:r w:rsidRPr="001C58DF">
        <w:rPr>
          <w:rFonts w:ascii="Book Antiqua" w:hAnsi="Book Antiqua"/>
          <w:color w:val="auto"/>
          <w:lang w:val="en-GB"/>
        </w:rPr>
        <w:t xml:space="preserve"> </w:t>
      </w:r>
      <w:r w:rsidR="001C58DF" w:rsidRPr="001C58DF">
        <w:rPr>
          <w:rFonts w:ascii="Book Antiqua" w:hAnsi="Book Antiqua" w:hint="eastAsia"/>
          <w:color w:val="auto"/>
          <w:lang w:val="en-GB"/>
        </w:rPr>
        <w:t xml:space="preserve">3 and </w:t>
      </w:r>
      <w:r w:rsidRPr="001C58DF">
        <w:rPr>
          <w:rFonts w:ascii="Book Antiqua" w:hAnsi="Book Antiqua"/>
          <w:color w:val="auto"/>
          <w:lang w:val="en-GB"/>
        </w:rPr>
        <w:t>4</w:t>
      </w:r>
      <w:r w:rsidRPr="00B7749E">
        <w:rPr>
          <w:rFonts w:ascii="Book Antiqua" w:hAnsi="Book Antiqua"/>
          <w:color w:val="auto"/>
          <w:lang w:val="en-GB"/>
        </w:rPr>
        <w:t xml:space="preserve">). </w:t>
      </w:r>
      <w:r w:rsidRPr="00C82350">
        <w:rPr>
          <w:rFonts w:ascii="Book Antiqua" w:hAnsi="Book Antiqua"/>
          <w:color w:val="auto"/>
          <w:lang w:val="en-GB"/>
        </w:rPr>
        <w:t>Indeed</w:t>
      </w:r>
      <w:r w:rsidRPr="00C82350">
        <w:rPr>
          <w:rFonts w:ascii="Book Antiqua" w:hAnsi="Book Antiqua"/>
          <w:b/>
          <w:color w:val="auto"/>
          <w:lang w:val="en-GB"/>
        </w:rPr>
        <w:t xml:space="preserve">, </w:t>
      </w:r>
      <w:r w:rsidRPr="00C82350">
        <w:rPr>
          <w:rFonts w:ascii="Book Antiqua" w:hAnsi="Book Antiqua"/>
          <w:color w:val="auto"/>
          <w:lang w:val="en-GB"/>
        </w:rPr>
        <w:t>weight loss has been reported as a keystone element in improving the histology features of NASH</w:t>
      </w:r>
      <w:r w:rsidR="002E2366" w:rsidRPr="00B7749E">
        <w:rPr>
          <w:rFonts w:ascii="Book Antiqua" w:hAnsi="Book Antiqua"/>
          <w:color w:val="auto"/>
          <w:vertAlign w:val="superscript"/>
          <w:lang w:val="en-GB"/>
        </w:rPr>
        <w:t>[</w:t>
      </w:r>
      <w:r w:rsidRPr="00B7749E">
        <w:rPr>
          <w:rFonts w:ascii="Book Antiqua" w:hAnsi="Book Antiqua"/>
          <w:color w:val="auto"/>
          <w:vertAlign w:val="superscript"/>
          <w:lang w:val="en-GB"/>
        </w:rPr>
        <w:t>39,40]</w:t>
      </w:r>
      <w:r w:rsidRPr="00C82350">
        <w:rPr>
          <w:rFonts w:ascii="Book Antiqua" w:hAnsi="Book Antiqua"/>
          <w:color w:val="auto"/>
          <w:lang w:val="en-GB"/>
        </w:rPr>
        <w:t>.</w:t>
      </w:r>
    </w:p>
    <w:p w:rsidR="007C2761" w:rsidRPr="00C82350" w:rsidRDefault="007C2761" w:rsidP="00B7749E">
      <w:pPr>
        <w:widowControl w:val="0"/>
        <w:suppressAutoHyphens w:val="0"/>
        <w:adjustRightInd w:val="0"/>
        <w:snapToGrid w:val="0"/>
        <w:spacing w:after="0" w:line="360" w:lineRule="auto"/>
        <w:ind w:firstLineChars="100" w:firstLine="240"/>
        <w:jc w:val="both"/>
        <w:rPr>
          <w:rFonts w:ascii="Book Antiqua" w:hAnsi="Book Antiqua"/>
          <w:color w:val="auto"/>
          <w:lang w:val="en-GB"/>
        </w:rPr>
      </w:pPr>
      <w:r w:rsidRPr="00C82350">
        <w:rPr>
          <w:rFonts w:ascii="Book Antiqua" w:hAnsi="Book Antiqua"/>
          <w:color w:val="auto"/>
          <w:lang w:val="en-GB"/>
        </w:rPr>
        <w:lastRenderedPageBreak/>
        <w:t>According to the AISF position paper</w:t>
      </w:r>
      <w:r w:rsidR="002E2366" w:rsidRPr="00B7749E">
        <w:rPr>
          <w:rFonts w:ascii="Book Antiqua" w:hAnsi="Book Antiqua"/>
          <w:color w:val="auto"/>
          <w:vertAlign w:val="superscript"/>
          <w:lang w:val="en-GB"/>
        </w:rPr>
        <w:t>[</w:t>
      </w:r>
      <w:r w:rsidRPr="00B7749E">
        <w:rPr>
          <w:rFonts w:ascii="Book Antiqua" w:hAnsi="Book Antiqua"/>
          <w:color w:val="auto"/>
          <w:vertAlign w:val="superscript"/>
          <w:lang w:val="en-GB"/>
        </w:rPr>
        <w:t>7]</w:t>
      </w:r>
      <w:r w:rsidRPr="00C82350">
        <w:rPr>
          <w:rFonts w:ascii="Book Antiqua" w:hAnsi="Book Antiqua"/>
          <w:color w:val="auto"/>
          <w:lang w:val="en-GB"/>
        </w:rPr>
        <w:t>, the best therapeutic approach is an adequate lifestyle change focused on weight loss and achieved by physical activity (aerobic activities and resistance training) and healthy diet. In particular, an energy restriction obtained with a</w:t>
      </w:r>
      <w:r w:rsidR="007E3572">
        <w:rPr>
          <w:rFonts w:ascii="Book Antiqua" w:hAnsi="Book Antiqua"/>
          <w:color w:val="auto"/>
          <w:lang w:val="en-GB"/>
        </w:rPr>
        <w:t xml:space="preserve"> low calorie (1200-1600 kcal/d</w:t>
      </w:r>
      <w:r w:rsidRPr="00C82350">
        <w:rPr>
          <w:rFonts w:ascii="Book Antiqua" w:hAnsi="Book Antiqua"/>
          <w:color w:val="auto"/>
          <w:lang w:val="en-GB"/>
        </w:rPr>
        <w:t>), low fat (less than 10% of saturated fatty acid), low carbohydrate diet (&lt; 50% of total kcal) is suggested. A Mediterranean diet is recommended as the most effective dietary option to induce a weight loss together with beneficial effects on all cardio-metabolic risk factors associated with NAFLD</w:t>
      </w:r>
      <w:r w:rsidR="002E2366" w:rsidRPr="00B7749E">
        <w:rPr>
          <w:rFonts w:ascii="Book Antiqua" w:hAnsi="Book Antiqua"/>
          <w:color w:val="auto"/>
          <w:vertAlign w:val="superscript"/>
          <w:lang w:val="en-GB"/>
        </w:rPr>
        <w:t>[</w:t>
      </w:r>
      <w:r w:rsidRPr="00B7749E">
        <w:rPr>
          <w:rFonts w:ascii="Book Antiqua" w:hAnsi="Book Antiqua"/>
          <w:color w:val="auto"/>
          <w:vertAlign w:val="superscript"/>
          <w:lang w:val="en-GB"/>
        </w:rPr>
        <w:t>7]</w:t>
      </w:r>
      <w:r w:rsidRPr="00C82350">
        <w:rPr>
          <w:rFonts w:ascii="Book Antiqua" w:hAnsi="Book Antiqua"/>
          <w:color w:val="auto"/>
          <w:lang w:val="en-GB"/>
        </w:rPr>
        <w:t>.</w:t>
      </w:r>
    </w:p>
    <w:p w:rsidR="007C2761" w:rsidRPr="00C82350" w:rsidRDefault="007C2761" w:rsidP="00B7749E">
      <w:pPr>
        <w:pStyle w:val="HTMLPreformatted"/>
        <w:widowControl w:val="0"/>
        <w:suppressAutoHyphens w:val="0"/>
        <w:adjustRightInd w:val="0"/>
        <w:snapToGrid w:val="0"/>
        <w:spacing w:after="0" w:line="360" w:lineRule="auto"/>
        <w:ind w:firstLineChars="100" w:firstLine="240"/>
        <w:jc w:val="both"/>
        <w:rPr>
          <w:rFonts w:ascii="Book Antiqua" w:hAnsi="Book Antiqua"/>
          <w:color w:val="auto"/>
          <w:sz w:val="24"/>
          <w:szCs w:val="24"/>
          <w:shd w:val="clear" w:color="auto" w:fill="FFFFFF"/>
          <w:lang w:val="en-GB"/>
        </w:rPr>
      </w:pPr>
      <w:r w:rsidRPr="00C82350">
        <w:rPr>
          <w:rFonts w:ascii="Book Antiqua" w:hAnsi="Book Antiqua"/>
          <w:color w:val="auto"/>
          <w:sz w:val="24"/>
          <w:szCs w:val="24"/>
          <w:shd w:val="clear" w:color="auto" w:fill="FFFFFF"/>
          <w:lang w:val="en-GB"/>
        </w:rPr>
        <w:t>The Asia-Pacific guidelines agree with a lifestyle intervention strategy for the treatment of NAFLD, focusing the attention on the timing of weight loss</w:t>
      </w:r>
      <w:r w:rsidR="00B7749E">
        <w:rPr>
          <w:rFonts w:ascii="Book Antiqua" w:hAnsi="Book Antiqua" w:hint="eastAsia"/>
          <w:color w:val="auto"/>
          <w:sz w:val="24"/>
          <w:szCs w:val="24"/>
          <w:shd w:val="clear" w:color="auto" w:fill="FFFFFF"/>
          <w:lang w:val="en-GB"/>
        </w:rPr>
        <w:t xml:space="preserve"> </w:t>
      </w:r>
      <w:r w:rsidRPr="00C82350">
        <w:rPr>
          <w:rFonts w:ascii="Book Antiqua" w:hAnsi="Book Antiqua"/>
          <w:color w:val="auto"/>
          <w:sz w:val="24"/>
          <w:szCs w:val="24"/>
          <w:shd w:val="clear" w:color="auto" w:fill="FFFFFF"/>
          <w:lang w:val="en-GB"/>
        </w:rPr>
        <w:t xml:space="preserve">that should be gradual because of the </w:t>
      </w:r>
      <w:r w:rsidRPr="00C82350">
        <w:rPr>
          <w:rFonts w:ascii="Book Antiqua" w:hAnsi="Book Antiqua"/>
          <w:color w:val="auto"/>
          <w:sz w:val="24"/>
          <w:szCs w:val="24"/>
          <w:shd w:val="clear" w:color="auto" w:fill="FFFFFF"/>
          <w:lang w:val="en-US"/>
        </w:rPr>
        <w:t xml:space="preserve">deleterious effect of </w:t>
      </w:r>
      <w:r w:rsidRPr="00C82350">
        <w:rPr>
          <w:rFonts w:ascii="Book Antiqua" w:hAnsi="Book Antiqua"/>
          <w:color w:val="auto"/>
          <w:sz w:val="24"/>
          <w:szCs w:val="24"/>
          <w:shd w:val="clear" w:color="auto" w:fill="FFFFFF"/>
          <w:lang w:val="en-GB"/>
        </w:rPr>
        <w:t>crash diets on NASH. Very low-calorie diets are considered unsustainable, and any specific regimen is preferred over the others</w:t>
      </w:r>
      <w:r w:rsidR="002E2366" w:rsidRPr="00B7749E">
        <w:rPr>
          <w:rFonts w:ascii="Book Antiqua" w:hAnsi="Book Antiqua"/>
          <w:color w:val="auto"/>
          <w:sz w:val="24"/>
          <w:szCs w:val="24"/>
          <w:shd w:val="clear" w:color="auto" w:fill="FFFFFF"/>
          <w:vertAlign w:val="superscript"/>
          <w:lang w:val="en-GB"/>
        </w:rPr>
        <w:t>[</w:t>
      </w:r>
      <w:r w:rsidRPr="00B7749E">
        <w:rPr>
          <w:rFonts w:ascii="Book Antiqua" w:hAnsi="Book Antiqua"/>
          <w:color w:val="auto"/>
          <w:sz w:val="24"/>
          <w:szCs w:val="24"/>
          <w:shd w:val="clear" w:color="auto" w:fill="FFFFFF"/>
          <w:vertAlign w:val="superscript"/>
          <w:lang w:val="en-GB"/>
        </w:rPr>
        <w:t>6]</w:t>
      </w:r>
      <w:r w:rsidRPr="00C82350">
        <w:rPr>
          <w:rFonts w:ascii="Book Antiqua" w:hAnsi="Book Antiqua"/>
          <w:color w:val="auto"/>
          <w:sz w:val="24"/>
          <w:szCs w:val="24"/>
          <w:shd w:val="clear" w:color="auto" w:fill="FFFFFF"/>
          <w:lang w:val="en-GB"/>
        </w:rPr>
        <w:t xml:space="preserve">. </w:t>
      </w:r>
    </w:p>
    <w:p w:rsidR="007C2761" w:rsidRPr="00C82350" w:rsidRDefault="007C2761" w:rsidP="00B7749E">
      <w:pPr>
        <w:pStyle w:val="HTMLPreformatted"/>
        <w:widowControl w:val="0"/>
        <w:suppressAutoHyphens w:val="0"/>
        <w:adjustRightInd w:val="0"/>
        <w:snapToGrid w:val="0"/>
        <w:spacing w:after="0" w:line="360" w:lineRule="auto"/>
        <w:ind w:firstLineChars="100" w:firstLine="240"/>
        <w:jc w:val="both"/>
        <w:rPr>
          <w:rFonts w:ascii="Book Antiqua" w:hAnsi="Book Antiqua"/>
          <w:color w:val="auto"/>
          <w:sz w:val="24"/>
          <w:szCs w:val="24"/>
          <w:lang w:val="en-GB"/>
        </w:rPr>
      </w:pPr>
      <w:r w:rsidRPr="00C82350">
        <w:rPr>
          <w:rFonts w:ascii="Book Antiqua" w:hAnsi="Book Antiqua"/>
          <w:color w:val="auto"/>
          <w:sz w:val="24"/>
          <w:szCs w:val="24"/>
          <w:lang w:val="en-GB"/>
        </w:rPr>
        <w:t>Also, the EASL</w:t>
      </w:r>
      <w:r w:rsidR="002E2366" w:rsidRPr="00DD0CC3">
        <w:rPr>
          <w:rFonts w:ascii="Book Antiqua" w:hAnsi="Book Antiqua"/>
          <w:color w:val="auto"/>
          <w:sz w:val="24"/>
          <w:szCs w:val="24"/>
          <w:vertAlign w:val="superscript"/>
          <w:lang w:val="en-GB"/>
        </w:rPr>
        <w:t>[</w:t>
      </w:r>
      <w:bookmarkStart w:id="46" w:name="__DdeLink__1540_242041817"/>
      <w:r w:rsidRPr="00DD0CC3">
        <w:rPr>
          <w:rFonts w:ascii="Book Antiqua" w:hAnsi="Book Antiqua"/>
          <w:color w:val="auto"/>
          <w:sz w:val="24"/>
          <w:szCs w:val="24"/>
          <w:vertAlign w:val="superscript"/>
          <w:lang w:val="en-GB"/>
        </w:rPr>
        <w:t>3]</w:t>
      </w:r>
      <w:bookmarkEnd w:id="46"/>
      <w:r w:rsidRPr="00C82350">
        <w:rPr>
          <w:rFonts w:ascii="Book Antiqua" w:hAnsi="Book Antiqua"/>
          <w:color w:val="auto"/>
          <w:sz w:val="24"/>
          <w:szCs w:val="24"/>
          <w:lang w:val="en-GB"/>
        </w:rPr>
        <w:t>, NICE</w:t>
      </w:r>
      <w:r w:rsidR="002E2366" w:rsidRPr="00DD0CC3">
        <w:rPr>
          <w:rFonts w:ascii="Book Antiqua" w:hAnsi="Book Antiqua"/>
          <w:color w:val="auto"/>
          <w:sz w:val="24"/>
          <w:szCs w:val="24"/>
          <w:vertAlign w:val="superscript"/>
          <w:lang w:val="en-GB"/>
        </w:rPr>
        <w:t>[</w:t>
      </w:r>
      <w:r w:rsidRPr="00DD0CC3">
        <w:rPr>
          <w:rFonts w:ascii="Book Antiqua" w:hAnsi="Book Antiqua"/>
          <w:color w:val="auto"/>
          <w:sz w:val="24"/>
          <w:szCs w:val="24"/>
          <w:vertAlign w:val="superscript"/>
          <w:lang w:val="en-GB"/>
        </w:rPr>
        <w:t>4]</w:t>
      </w:r>
      <w:r w:rsidRPr="00C82350">
        <w:rPr>
          <w:rFonts w:ascii="Book Antiqua" w:hAnsi="Book Antiqua"/>
          <w:color w:val="auto"/>
          <w:sz w:val="24"/>
          <w:szCs w:val="24"/>
          <w:lang w:val="en-GB"/>
        </w:rPr>
        <w:t>, and AASLD</w:t>
      </w:r>
      <w:r w:rsidR="002E2366" w:rsidRPr="00B7749E">
        <w:rPr>
          <w:rFonts w:ascii="Book Antiqua" w:hAnsi="Book Antiqua"/>
          <w:color w:val="auto"/>
          <w:sz w:val="24"/>
          <w:szCs w:val="24"/>
          <w:vertAlign w:val="superscript"/>
          <w:lang w:val="en-GB"/>
        </w:rPr>
        <w:t>[</w:t>
      </w:r>
      <w:r w:rsidRPr="00B7749E">
        <w:rPr>
          <w:rFonts w:ascii="Book Antiqua" w:hAnsi="Book Antiqua"/>
          <w:color w:val="auto"/>
          <w:sz w:val="24"/>
          <w:szCs w:val="24"/>
          <w:vertAlign w:val="superscript"/>
          <w:lang w:val="en-GB"/>
        </w:rPr>
        <w:t>8]</w:t>
      </w:r>
      <w:r w:rsidR="00B7749E">
        <w:rPr>
          <w:rFonts w:ascii="Book Antiqua" w:hAnsi="Book Antiqua"/>
          <w:color w:val="auto"/>
          <w:sz w:val="24"/>
          <w:szCs w:val="24"/>
          <w:lang w:val="en-GB"/>
        </w:rPr>
        <w:t xml:space="preserve"> </w:t>
      </w:r>
      <w:r w:rsidRPr="00C82350">
        <w:rPr>
          <w:rFonts w:ascii="Book Antiqua" w:hAnsi="Book Antiqua"/>
          <w:color w:val="auto"/>
          <w:sz w:val="24"/>
          <w:szCs w:val="24"/>
          <w:lang w:val="en-GB"/>
        </w:rPr>
        <w:t xml:space="preserve">guidelines recommend structured programmes aimed at lifestyle changes towards a healthy diet and habitual physical activity. According to all of these guidelines, a 7–10% weight loss is the target of most lifestyle interventions. </w:t>
      </w:r>
    </w:p>
    <w:p w:rsidR="007C2761" w:rsidRPr="00C82350" w:rsidRDefault="007C2761" w:rsidP="00C82350">
      <w:pPr>
        <w:widowControl w:val="0"/>
        <w:suppressAutoHyphens w:val="0"/>
        <w:adjustRightInd w:val="0"/>
        <w:snapToGrid w:val="0"/>
        <w:spacing w:after="0" w:line="360" w:lineRule="auto"/>
        <w:jc w:val="both"/>
        <w:rPr>
          <w:rFonts w:ascii="Book Antiqua" w:hAnsi="Book Antiqua"/>
          <w:color w:val="auto"/>
          <w:lang w:val="en-GB"/>
        </w:rPr>
      </w:pPr>
    </w:p>
    <w:p w:rsidR="00B7749E" w:rsidRDefault="00B7749E" w:rsidP="00C82350">
      <w:pPr>
        <w:widowControl w:val="0"/>
        <w:suppressAutoHyphens w:val="0"/>
        <w:adjustRightInd w:val="0"/>
        <w:snapToGrid w:val="0"/>
        <w:spacing w:after="0" w:line="360" w:lineRule="auto"/>
        <w:jc w:val="both"/>
        <w:rPr>
          <w:rFonts w:ascii="Book Antiqua" w:hAnsi="Book Antiqua"/>
          <w:color w:val="auto"/>
          <w:lang w:val="en-GB"/>
        </w:rPr>
      </w:pPr>
      <w:r>
        <w:rPr>
          <w:rFonts w:ascii="Book Antiqua" w:hAnsi="Book Antiqua"/>
          <w:b/>
          <w:color w:val="auto"/>
          <w:lang w:val="en-GB"/>
        </w:rPr>
        <w:t>Pharmacological treatment</w:t>
      </w:r>
      <w:r>
        <w:rPr>
          <w:rFonts w:ascii="Book Antiqua" w:hAnsi="Book Antiqua" w:hint="eastAsia"/>
          <w:b/>
          <w:color w:val="auto"/>
          <w:lang w:val="en-GB"/>
        </w:rPr>
        <w:t xml:space="preserve">: </w:t>
      </w:r>
      <w:r w:rsidRPr="00B7749E">
        <w:rPr>
          <w:rFonts w:ascii="Book Antiqua" w:hAnsi="Book Antiqua" w:hint="eastAsia"/>
          <w:color w:val="auto"/>
          <w:lang w:val="en-GB"/>
        </w:rPr>
        <w:t>(1)</w:t>
      </w:r>
      <w:r>
        <w:rPr>
          <w:rFonts w:ascii="Book Antiqua" w:hAnsi="Book Antiqua" w:hint="eastAsia"/>
          <w:b/>
          <w:color w:val="auto"/>
          <w:lang w:val="en-GB"/>
        </w:rPr>
        <w:t xml:space="preserve"> </w:t>
      </w:r>
      <w:r w:rsidR="007C2761" w:rsidRPr="00B7749E">
        <w:rPr>
          <w:rFonts w:ascii="Book Antiqua" w:hAnsi="Book Antiqua"/>
          <w:color w:val="auto"/>
          <w:lang w:val="en-GB"/>
        </w:rPr>
        <w:t>Who to treat</w:t>
      </w:r>
      <w:r>
        <w:rPr>
          <w:rFonts w:ascii="Book Antiqua" w:hAnsi="Book Antiqua" w:hint="eastAsia"/>
          <w:color w:val="auto"/>
          <w:lang w:val="en-GB"/>
        </w:rPr>
        <w:t xml:space="preserve">: </w:t>
      </w:r>
      <w:r w:rsidR="007C2761" w:rsidRPr="00C82350">
        <w:rPr>
          <w:rFonts w:ascii="Book Antiqua" w:hAnsi="Book Antiqua"/>
          <w:color w:val="auto"/>
          <w:lang w:val="en-GB"/>
        </w:rPr>
        <w:t>According to the EASL guidelines</w:t>
      </w:r>
      <w:r w:rsidR="002E2366" w:rsidRPr="00B7749E">
        <w:rPr>
          <w:rFonts w:ascii="Book Antiqua" w:hAnsi="Book Antiqua"/>
          <w:color w:val="auto"/>
          <w:vertAlign w:val="superscript"/>
          <w:lang w:val="en-GB"/>
        </w:rPr>
        <w:t>[</w:t>
      </w:r>
      <w:r w:rsidR="007C2761" w:rsidRPr="00B7749E">
        <w:rPr>
          <w:rFonts w:ascii="Book Antiqua" w:hAnsi="Book Antiqua"/>
          <w:color w:val="auto"/>
          <w:vertAlign w:val="superscript"/>
          <w:lang w:val="en-GB"/>
        </w:rPr>
        <w:t>3]</w:t>
      </w:r>
      <w:r w:rsidR="007C2761" w:rsidRPr="00C82350">
        <w:rPr>
          <w:rFonts w:ascii="Book Antiqua" w:hAnsi="Book Antiqua"/>
          <w:color w:val="auto"/>
          <w:lang w:val="en-GB"/>
        </w:rPr>
        <w:t>, pharmacological therapy should be reserved for:</w:t>
      </w:r>
      <w:r>
        <w:rPr>
          <w:rFonts w:ascii="Book Antiqua" w:hAnsi="Book Antiqua" w:hint="eastAsia"/>
          <w:color w:val="auto"/>
          <w:lang w:val="en-GB"/>
        </w:rPr>
        <w:t xml:space="preserve"> </w:t>
      </w:r>
      <w:r w:rsidRPr="00C82350">
        <w:rPr>
          <w:rFonts w:ascii="Book Antiqua" w:hAnsi="Book Antiqua"/>
          <w:color w:val="auto"/>
          <w:lang w:val="en-GB"/>
        </w:rPr>
        <w:t>P</w:t>
      </w:r>
      <w:r w:rsidR="007C2761" w:rsidRPr="00C82350">
        <w:rPr>
          <w:rFonts w:ascii="Book Antiqua" w:hAnsi="Book Antiqua"/>
          <w:color w:val="auto"/>
          <w:lang w:val="en-GB"/>
        </w:rPr>
        <w:t>rogressive NASH (bridging fibrosis and cirrhosis)</w:t>
      </w:r>
      <w:r>
        <w:rPr>
          <w:rFonts w:ascii="Book Antiqua" w:hAnsi="Book Antiqua" w:hint="eastAsia"/>
          <w:color w:val="auto"/>
          <w:lang w:val="en-GB"/>
        </w:rPr>
        <w:t xml:space="preserve">; </w:t>
      </w:r>
      <w:r w:rsidR="007C2761" w:rsidRPr="00C82350">
        <w:rPr>
          <w:rFonts w:ascii="Book Antiqua" w:hAnsi="Book Antiqua"/>
          <w:color w:val="auto"/>
          <w:lang w:val="en-GB"/>
        </w:rPr>
        <w:t>early-stage NASH</w:t>
      </w:r>
      <w:r w:rsidR="00FC698D">
        <w:rPr>
          <w:rFonts w:ascii="Book Antiqua" w:hAnsi="Book Antiqua"/>
          <w:color w:val="auto"/>
          <w:lang w:val="en-GB"/>
        </w:rPr>
        <w:t xml:space="preserve"> </w:t>
      </w:r>
      <w:r w:rsidR="007C2761" w:rsidRPr="00C82350">
        <w:rPr>
          <w:rFonts w:ascii="Book Antiqua" w:hAnsi="Book Antiqua"/>
          <w:color w:val="auto"/>
          <w:lang w:val="en-GB"/>
        </w:rPr>
        <w:t>at high risk for disease progression (age &gt; 50years, metabolic syndrome, diabetes mellitus or increased ALT)</w:t>
      </w:r>
      <w:r w:rsidR="002E2366" w:rsidRPr="00B7749E">
        <w:rPr>
          <w:rFonts w:ascii="Book Antiqua" w:hAnsi="Book Antiqua"/>
          <w:color w:val="auto"/>
          <w:vertAlign w:val="superscript"/>
          <w:lang w:val="en-GB"/>
        </w:rPr>
        <w:t>[</w:t>
      </w:r>
      <w:r w:rsidR="007C2761" w:rsidRPr="00B7749E">
        <w:rPr>
          <w:rFonts w:ascii="Book Antiqua" w:hAnsi="Book Antiqua"/>
          <w:color w:val="auto"/>
          <w:vertAlign w:val="superscript"/>
          <w:lang w:val="en-GB"/>
        </w:rPr>
        <w:t>41]</w:t>
      </w:r>
      <w:r w:rsidR="007C2761" w:rsidRPr="00C82350">
        <w:rPr>
          <w:rFonts w:ascii="Book Antiqua" w:hAnsi="Book Antiqua"/>
          <w:color w:val="auto"/>
          <w:lang w:val="en-GB"/>
        </w:rPr>
        <w:t>;</w:t>
      </w:r>
      <w:r>
        <w:rPr>
          <w:rFonts w:ascii="Book Antiqua" w:hAnsi="Book Antiqua" w:hint="eastAsia"/>
          <w:color w:val="auto"/>
          <w:lang w:val="en-GB"/>
        </w:rPr>
        <w:t xml:space="preserve"> </w:t>
      </w:r>
      <w:r w:rsidR="007C2761" w:rsidRPr="00C82350">
        <w:rPr>
          <w:rFonts w:ascii="Book Antiqua" w:hAnsi="Book Antiqua"/>
          <w:color w:val="auto"/>
          <w:lang w:val="en-GB"/>
        </w:rPr>
        <w:t>active NASH with high necroinflammatory activities</w:t>
      </w:r>
      <w:r w:rsidR="002E2366" w:rsidRPr="00B7749E">
        <w:rPr>
          <w:rFonts w:ascii="Book Antiqua" w:hAnsi="Book Antiqua"/>
          <w:color w:val="auto"/>
          <w:vertAlign w:val="superscript"/>
          <w:lang w:val="en-GB"/>
        </w:rPr>
        <w:t>[</w:t>
      </w:r>
      <w:r w:rsidR="007C2761" w:rsidRPr="00B7749E">
        <w:rPr>
          <w:rFonts w:ascii="Book Antiqua" w:hAnsi="Book Antiqua"/>
          <w:color w:val="auto"/>
          <w:vertAlign w:val="superscript"/>
          <w:lang w:val="en-GB"/>
        </w:rPr>
        <w:t>42]</w:t>
      </w:r>
      <w:r>
        <w:rPr>
          <w:rFonts w:ascii="Book Antiqua" w:hAnsi="Book Antiqua"/>
          <w:color w:val="auto"/>
          <w:lang w:val="en-GB"/>
        </w:rPr>
        <w:t>. Similarly, in the</w:t>
      </w:r>
      <w:r>
        <w:rPr>
          <w:rFonts w:ascii="Book Antiqua" w:hAnsi="Book Antiqua" w:hint="eastAsia"/>
          <w:color w:val="auto"/>
          <w:lang w:val="en-GB"/>
        </w:rPr>
        <w:t xml:space="preserve"> </w:t>
      </w:r>
      <w:r w:rsidR="007C2761" w:rsidRPr="00C82350">
        <w:rPr>
          <w:rFonts w:ascii="Book Antiqua" w:hAnsi="Book Antiqua"/>
          <w:color w:val="auto"/>
          <w:lang w:val="en-GB"/>
        </w:rPr>
        <w:t>AASLD and Asia-Pacific guidelines, a pharmacological approach is recommended only for patients with NASH and fibrosis</w:t>
      </w:r>
      <w:r w:rsidR="002E2366" w:rsidRPr="00B7749E">
        <w:rPr>
          <w:rFonts w:ascii="Book Antiqua" w:hAnsi="Book Antiqua"/>
          <w:color w:val="auto"/>
          <w:vertAlign w:val="superscript"/>
          <w:lang w:val="en-GB"/>
        </w:rPr>
        <w:t>[</w:t>
      </w:r>
      <w:r w:rsidR="007C2761" w:rsidRPr="00B7749E">
        <w:rPr>
          <w:rFonts w:ascii="Book Antiqua" w:hAnsi="Book Antiqua"/>
          <w:color w:val="auto"/>
          <w:vertAlign w:val="superscript"/>
          <w:lang w:val="en-GB"/>
        </w:rPr>
        <w:t>8]</w:t>
      </w:r>
      <w:r w:rsidR="007C2761" w:rsidRPr="00C82350">
        <w:rPr>
          <w:rFonts w:ascii="Book Antiqua" w:hAnsi="Book Antiqua"/>
          <w:color w:val="auto"/>
          <w:lang w:val="en-GB"/>
        </w:rPr>
        <w:t>. In the NICE guidance, just people with an advanced liver fibrosi</w:t>
      </w:r>
      <w:r>
        <w:rPr>
          <w:rFonts w:ascii="Book Antiqua" w:hAnsi="Book Antiqua"/>
          <w:color w:val="auto"/>
          <w:lang w:val="en-GB"/>
        </w:rPr>
        <w:t xml:space="preserve">s (ELF test &gt; </w:t>
      </w:r>
      <w:r w:rsidR="007C2761" w:rsidRPr="00C82350">
        <w:rPr>
          <w:rFonts w:ascii="Book Antiqua" w:hAnsi="Book Antiqua"/>
          <w:color w:val="auto"/>
          <w:lang w:val="en-GB"/>
        </w:rPr>
        <w:t>10.51) are proposed for pharmacological treatment</w:t>
      </w:r>
      <w:r w:rsidR="002E2366" w:rsidRPr="00B7749E">
        <w:rPr>
          <w:rFonts w:ascii="Book Antiqua" w:hAnsi="Book Antiqua"/>
          <w:color w:val="auto"/>
          <w:vertAlign w:val="superscript"/>
          <w:lang w:val="en-GB"/>
        </w:rPr>
        <w:t>[</w:t>
      </w:r>
      <w:r w:rsidR="007C2761" w:rsidRPr="00B7749E">
        <w:rPr>
          <w:rFonts w:ascii="Book Antiqua" w:hAnsi="Book Antiqua"/>
          <w:color w:val="auto"/>
          <w:vertAlign w:val="superscript"/>
          <w:lang w:val="en-GB"/>
        </w:rPr>
        <w:t>4]</w:t>
      </w:r>
      <w:r w:rsidR="007C2761" w:rsidRPr="00C82350">
        <w:rPr>
          <w:rFonts w:ascii="Book Antiqua" w:hAnsi="Book Antiqua"/>
          <w:color w:val="auto"/>
          <w:lang w:val="en-GB"/>
        </w:rPr>
        <w:t>. In the AISF position paper, drug therapy is suggested for patients who are at high risk for disease progression</w:t>
      </w:r>
      <w:r w:rsidR="002E2366" w:rsidRPr="00B7749E">
        <w:rPr>
          <w:rFonts w:ascii="Book Antiqua" w:hAnsi="Book Antiqua"/>
          <w:color w:val="auto"/>
          <w:vertAlign w:val="superscript"/>
          <w:lang w:val="en-GB"/>
        </w:rPr>
        <w:t>[</w:t>
      </w:r>
      <w:r w:rsidR="007C2761" w:rsidRPr="00B7749E">
        <w:rPr>
          <w:rFonts w:ascii="Book Antiqua" w:hAnsi="Book Antiqua"/>
          <w:color w:val="auto"/>
          <w:vertAlign w:val="superscript"/>
          <w:lang w:val="en-GB"/>
        </w:rPr>
        <w:t>7]</w:t>
      </w:r>
      <w:r w:rsidR="007C2761" w:rsidRPr="00C82350">
        <w:rPr>
          <w:rFonts w:ascii="Book Antiqua" w:hAnsi="Book Antiqua"/>
          <w:color w:val="auto"/>
          <w:lang w:val="en-GB"/>
        </w:rPr>
        <w:t>.</w:t>
      </w:r>
      <w:r>
        <w:rPr>
          <w:rFonts w:ascii="Book Antiqua" w:hAnsi="Book Antiqua" w:hint="eastAsia"/>
          <w:color w:val="auto"/>
          <w:lang w:val="en-GB"/>
        </w:rPr>
        <w:t xml:space="preserve"> (2) </w:t>
      </w:r>
      <w:r w:rsidR="007C2761" w:rsidRPr="00B7749E">
        <w:rPr>
          <w:rFonts w:ascii="Book Antiqua" w:hAnsi="Book Antiqua"/>
          <w:color w:val="auto"/>
          <w:lang w:val="en-GB"/>
        </w:rPr>
        <w:t>Pharmacologic treatment</w:t>
      </w:r>
      <w:r>
        <w:rPr>
          <w:rFonts w:ascii="Book Antiqua" w:hAnsi="Book Antiqua" w:hint="eastAsia"/>
          <w:color w:val="auto"/>
          <w:lang w:val="en-GB"/>
        </w:rPr>
        <w:t xml:space="preserve">: </w:t>
      </w:r>
      <w:r w:rsidR="007C2761" w:rsidRPr="00C82350">
        <w:rPr>
          <w:rFonts w:ascii="Book Antiqua" w:hAnsi="Book Antiqua"/>
          <w:color w:val="auto"/>
          <w:lang w:val="en-GB"/>
        </w:rPr>
        <w:t>Currently, no drugs have been approved for the treatment of NASH by the US Food and Drug Administration or by the European Medicines Agency. All guidelines acknowledge that any medicines prescribed explicitly for NAFLD should be considered as an off-label treatment and that the decision should be discussed with the patient, carefully balancing the benefits and the safety. However, the guidelines are widely discordant about possibly helpful drugs</w:t>
      </w:r>
      <w:r w:rsidR="007C2761" w:rsidRPr="00B7749E">
        <w:rPr>
          <w:rFonts w:ascii="Book Antiqua" w:hAnsi="Book Antiqua"/>
          <w:color w:val="auto"/>
          <w:lang w:val="en-GB"/>
        </w:rPr>
        <w:t xml:space="preserve"> (Table 5)</w:t>
      </w:r>
      <w:r>
        <w:rPr>
          <w:rFonts w:ascii="Book Antiqua" w:hAnsi="Book Antiqua" w:hint="eastAsia"/>
          <w:color w:val="auto"/>
          <w:lang w:val="en-GB"/>
        </w:rPr>
        <w:t xml:space="preserve">. </w:t>
      </w:r>
    </w:p>
    <w:p w:rsidR="007C2761" w:rsidRPr="00C82350" w:rsidRDefault="007C2761" w:rsidP="00B7749E">
      <w:pPr>
        <w:widowControl w:val="0"/>
        <w:suppressAutoHyphens w:val="0"/>
        <w:adjustRightInd w:val="0"/>
        <w:snapToGrid w:val="0"/>
        <w:spacing w:after="0" w:line="360" w:lineRule="auto"/>
        <w:ind w:firstLineChars="100" w:firstLine="240"/>
        <w:jc w:val="both"/>
        <w:rPr>
          <w:rFonts w:ascii="Book Antiqua" w:hAnsi="Book Antiqua"/>
          <w:color w:val="auto"/>
          <w:lang w:val="en-GB"/>
        </w:rPr>
      </w:pPr>
      <w:r w:rsidRPr="00B7749E">
        <w:rPr>
          <w:rFonts w:ascii="Book Antiqua" w:hAnsi="Book Antiqua"/>
          <w:color w:val="auto"/>
          <w:lang w:val="en-GB"/>
        </w:rPr>
        <w:t>Metformin</w:t>
      </w:r>
      <w:r w:rsidR="00B7749E">
        <w:rPr>
          <w:rFonts w:ascii="Book Antiqua" w:hAnsi="Book Antiqua" w:hint="eastAsia"/>
          <w:color w:val="auto"/>
          <w:lang w:val="en-GB"/>
        </w:rPr>
        <w:t xml:space="preserve">: </w:t>
      </w:r>
      <w:r w:rsidRPr="00C82350">
        <w:rPr>
          <w:rFonts w:ascii="Book Antiqua" w:hAnsi="Book Antiqua"/>
          <w:color w:val="auto"/>
          <w:lang w:val="en-GB"/>
        </w:rPr>
        <w:t xml:space="preserve">Due to the evidence of its limited efficacy in improving the histological features of </w:t>
      </w:r>
      <w:r w:rsidRPr="00C82350">
        <w:rPr>
          <w:rFonts w:ascii="Book Antiqua" w:hAnsi="Book Antiqua"/>
          <w:color w:val="auto"/>
          <w:lang w:val="en-GB"/>
        </w:rPr>
        <w:lastRenderedPageBreak/>
        <w:t>NAFLD</w:t>
      </w:r>
      <w:r w:rsidR="002E2366" w:rsidRPr="00B7749E">
        <w:rPr>
          <w:rFonts w:ascii="Book Antiqua" w:hAnsi="Book Antiqua"/>
          <w:color w:val="auto"/>
          <w:vertAlign w:val="superscript"/>
          <w:lang w:val="en-GB"/>
        </w:rPr>
        <w:t>[</w:t>
      </w:r>
      <w:r w:rsidRPr="00B7749E">
        <w:rPr>
          <w:rFonts w:ascii="Book Antiqua" w:hAnsi="Book Antiqua"/>
          <w:color w:val="auto"/>
          <w:vertAlign w:val="superscript"/>
          <w:lang w:val="en-GB"/>
        </w:rPr>
        <w:t>43</w:t>
      </w:r>
      <w:r w:rsidR="00B7749E">
        <w:rPr>
          <w:rFonts w:ascii="Book Antiqua" w:hAnsi="Book Antiqua" w:hint="eastAsia"/>
          <w:color w:val="auto"/>
          <w:vertAlign w:val="superscript"/>
          <w:lang w:val="en-GB"/>
        </w:rPr>
        <w:t>-</w:t>
      </w:r>
      <w:r w:rsidRPr="00B7749E">
        <w:rPr>
          <w:rFonts w:ascii="Book Antiqua" w:hAnsi="Book Antiqua"/>
          <w:color w:val="auto"/>
          <w:vertAlign w:val="superscript"/>
          <w:lang w:val="en-GB"/>
        </w:rPr>
        <w:t>45]</w:t>
      </w:r>
      <w:r w:rsidRPr="00C82350">
        <w:rPr>
          <w:rFonts w:ascii="Book Antiqua" w:hAnsi="Book Antiqua"/>
          <w:color w:val="auto"/>
          <w:lang w:val="en-GB"/>
        </w:rPr>
        <w:t>, metformin is not recommended by any guidelines to specifically treat NAFLD</w:t>
      </w:r>
      <w:r w:rsidR="002E2366" w:rsidRPr="00B7749E">
        <w:rPr>
          <w:rFonts w:ascii="Book Antiqua" w:hAnsi="Book Antiqua"/>
          <w:color w:val="auto"/>
          <w:vertAlign w:val="superscript"/>
          <w:lang w:val="en-GB"/>
        </w:rPr>
        <w:t>[</w:t>
      </w:r>
      <w:r w:rsidRPr="00B7749E">
        <w:rPr>
          <w:rFonts w:ascii="Book Antiqua" w:hAnsi="Book Antiqua"/>
          <w:color w:val="auto"/>
          <w:vertAlign w:val="superscript"/>
          <w:lang w:val="en-GB"/>
        </w:rPr>
        <w:t>3</w:t>
      </w:r>
      <w:r w:rsidR="00B7749E">
        <w:rPr>
          <w:rFonts w:ascii="Book Antiqua" w:hAnsi="Book Antiqua" w:hint="eastAsia"/>
          <w:color w:val="auto"/>
          <w:vertAlign w:val="superscript"/>
          <w:lang w:val="en-GB"/>
        </w:rPr>
        <w:t>-</w:t>
      </w:r>
      <w:r w:rsidRPr="00B7749E">
        <w:rPr>
          <w:rFonts w:ascii="Book Antiqua" w:hAnsi="Book Antiqua"/>
          <w:color w:val="auto"/>
          <w:vertAlign w:val="superscript"/>
          <w:lang w:val="en-GB"/>
        </w:rPr>
        <w:t>8]</w:t>
      </w:r>
      <w:r w:rsidRPr="00C82350">
        <w:rPr>
          <w:rFonts w:ascii="Book Antiqua" w:hAnsi="Book Antiqua"/>
          <w:color w:val="auto"/>
          <w:lang w:val="en-GB"/>
        </w:rPr>
        <w:t xml:space="preserve">. </w:t>
      </w:r>
    </w:p>
    <w:p w:rsidR="007C2761" w:rsidRDefault="007C2761" w:rsidP="00F646A4">
      <w:pPr>
        <w:widowControl w:val="0"/>
        <w:suppressAutoHyphens w:val="0"/>
        <w:adjustRightInd w:val="0"/>
        <w:snapToGrid w:val="0"/>
        <w:spacing w:after="0" w:line="360" w:lineRule="auto"/>
        <w:ind w:firstLineChars="100" w:firstLine="240"/>
        <w:jc w:val="both"/>
        <w:rPr>
          <w:rFonts w:ascii="Book Antiqua" w:hAnsi="Book Antiqua"/>
          <w:color w:val="auto"/>
          <w:lang w:val="en-GB"/>
        </w:rPr>
      </w:pPr>
      <w:r w:rsidRPr="00B7749E">
        <w:rPr>
          <w:rFonts w:ascii="Book Antiqua" w:hAnsi="Book Antiqua"/>
          <w:color w:val="auto"/>
          <w:lang w:val="en-GB"/>
        </w:rPr>
        <w:t>Pioglitazone</w:t>
      </w:r>
      <w:r w:rsidR="00B7749E">
        <w:rPr>
          <w:rFonts w:ascii="Book Antiqua" w:hAnsi="Book Antiqua" w:hint="eastAsia"/>
          <w:color w:val="auto"/>
          <w:lang w:val="en-GB"/>
        </w:rPr>
        <w:t xml:space="preserve">: </w:t>
      </w:r>
      <w:r w:rsidRPr="00C82350">
        <w:rPr>
          <w:rFonts w:ascii="Book Antiqua" w:hAnsi="Book Antiqua"/>
          <w:color w:val="auto"/>
          <w:lang w:val="en-GB"/>
        </w:rPr>
        <w:t>Pioglitazone, a thiazolidinedione, is a peroxisome proliferator-activated receptor (PPAR) gamma agonist with insulin-sensitising effects. Treatment with pioglitazone improves insulin sensitivity, aminotransferases, steatosis, inflammation, and ballooning in patients with NASH and prediabetes or T2DM</w:t>
      </w:r>
      <w:r w:rsidR="002E2366" w:rsidRPr="00B7749E">
        <w:rPr>
          <w:rFonts w:ascii="Book Antiqua" w:hAnsi="Book Antiqua"/>
          <w:color w:val="auto"/>
          <w:vertAlign w:val="superscript"/>
          <w:lang w:val="en-GB"/>
        </w:rPr>
        <w:t>[</w:t>
      </w:r>
      <w:r w:rsidRPr="00B7749E">
        <w:rPr>
          <w:rFonts w:ascii="Book Antiqua" w:hAnsi="Book Antiqua"/>
          <w:color w:val="auto"/>
          <w:vertAlign w:val="superscript"/>
          <w:lang w:val="en-GB"/>
        </w:rPr>
        <w:t>46]</w:t>
      </w:r>
      <w:r w:rsidR="00B7749E">
        <w:rPr>
          <w:rFonts w:ascii="Book Antiqua" w:hAnsi="Book Antiqua"/>
          <w:color w:val="auto"/>
          <w:lang w:val="en-GB"/>
        </w:rPr>
        <w:t>. The PIVENS trial (</w:t>
      </w:r>
      <w:r w:rsidRPr="00C82350">
        <w:rPr>
          <w:rFonts w:ascii="Book Antiqua" w:hAnsi="Book Antiqua"/>
          <w:color w:val="auto"/>
          <w:lang w:val="en-GB"/>
        </w:rPr>
        <w:t xml:space="preserve">a large multicenter RCT) compared </w:t>
      </w:r>
      <w:r w:rsidR="007E3572">
        <w:rPr>
          <w:rFonts w:ascii="Book Antiqua" w:hAnsi="Book Antiqua"/>
          <w:color w:val="auto"/>
          <w:lang w:val="en-GB"/>
        </w:rPr>
        <w:t>low dose pioglitazone (30 mg/d</w:t>
      </w:r>
      <w:r w:rsidRPr="00C82350">
        <w:rPr>
          <w:rFonts w:ascii="Book Antiqua" w:hAnsi="Book Antiqua"/>
          <w:color w:val="auto"/>
          <w:lang w:val="en-GB"/>
        </w:rPr>
        <w:t xml:space="preserve">) </w:t>
      </w:r>
      <w:r w:rsidRPr="000A01D3">
        <w:rPr>
          <w:rFonts w:ascii="Book Antiqua" w:hAnsi="Book Antiqua"/>
          <w:i/>
          <w:color w:val="auto"/>
          <w:lang w:val="en-GB"/>
        </w:rPr>
        <w:t>vs</w:t>
      </w:r>
      <w:r w:rsidRPr="00C82350">
        <w:rPr>
          <w:rFonts w:ascii="Book Antiqua" w:hAnsi="Book Antiqua"/>
          <w:color w:val="auto"/>
          <w:lang w:val="en-GB"/>
        </w:rPr>
        <w:t xml:space="preserve"> vitamin E (800 UI/d)</w:t>
      </w:r>
      <w:r w:rsidRPr="00B7749E">
        <w:rPr>
          <w:rFonts w:ascii="Book Antiqua" w:hAnsi="Book Antiqua"/>
          <w:i/>
          <w:color w:val="auto"/>
          <w:lang w:val="en-GB"/>
        </w:rPr>
        <w:t xml:space="preserve"> vs</w:t>
      </w:r>
      <w:r w:rsidRPr="00C82350">
        <w:rPr>
          <w:rFonts w:ascii="Book Antiqua" w:hAnsi="Book Antiqua"/>
          <w:color w:val="auto"/>
          <w:lang w:val="en-GB"/>
        </w:rPr>
        <w:t xml:space="preserve"> placebo for two years in patients without overt diabetes. Pioglitazone improved all histological features (except for fibrosis) and achieved resolution of NASH more often than placebo</w:t>
      </w:r>
      <w:r w:rsidR="002E2366" w:rsidRPr="00B7749E">
        <w:rPr>
          <w:rFonts w:ascii="Book Antiqua" w:hAnsi="Book Antiqua"/>
          <w:color w:val="auto"/>
          <w:vertAlign w:val="superscript"/>
          <w:lang w:val="en-GB"/>
        </w:rPr>
        <w:t>[</w:t>
      </w:r>
      <w:r w:rsidRPr="00B7749E">
        <w:rPr>
          <w:rFonts w:ascii="Book Antiqua" w:hAnsi="Book Antiqua"/>
          <w:color w:val="auto"/>
          <w:vertAlign w:val="superscript"/>
          <w:lang w:val="en-GB"/>
        </w:rPr>
        <w:t>47]</w:t>
      </w:r>
      <w:r w:rsidRPr="00C82350">
        <w:rPr>
          <w:rFonts w:ascii="Book Antiqua" w:hAnsi="Book Antiqua"/>
          <w:color w:val="auto"/>
          <w:lang w:val="en-GB"/>
        </w:rPr>
        <w:t>. The histological benefit occurred together with ALT improvement and partial correction of insulin resistance. The main side effects of glitazones are weight gain</w:t>
      </w:r>
      <w:r w:rsidR="002E2366" w:rsidRPr="00B7749E">
        <w:rPr>
          <w:rFonts w:ascii="Book Antiqua" w:hAnsi="Book Antiqua"/>
          <w:color w:val="auto"/>
          <w:vertAlign w:val="superscript"/>
          <w:lang w:val="en-GB"/>
        </w:rPr>
        <w:t>[</w:t>
      </w:r>
      <w:r w:rsidRPr="00B7749E">
        <w:rPr>
          <w:rFonts w:ascii="Book Antiqua" w:hAnsi="Book Antiqua"/>
          <w:color w:val="auto"/>
          <w:vertAlign w:val="superscript"/>
          <w:lang w:val="en-GB"/>
        </w:rPr>
        <w:t>48-51]</w:t>
      </w:r>
      <w:r w:rsidRPr="00C82350">
        <w:rPr>
          <w:rFonts w:ascii="Book Antiqua" w:hAnsi="Book Antiqua"/>
          <w:color w:val="auto"/>
          <w:lang w:val="en-GB"/>
        </w:rPr>
        <w:t>, and bone fractures in women</w:t>
      </w:r>
      <w:r w:rsidR="002E2366" w:rsidRPr="00B7749E">
        <w:rPr>
          <w:rFonts w:ascii="Book Antiqua" w:hAnsi="Book Antiqua"/>
          <w:color w:val="auto"/>
          <w:vertAlign w:val="superscript"/>
          <w:lang w:val="en-GB"/>
        </w:rPr>
        <w:t>[</w:t>
      </w:r>
      <w:r w:rsidRPr="00B7749E">
        <w:rPr>
          <w:rFonts w:ascii="Book Antiqua" w:hAnsi="Book Antiqua"/>
          <w:color w:val="auto"/>
          <w:vertAlign w:val="superscript"/>
          <w:lang w:val="en-GB"/>
        </w:rPr>
        <w:t>52]</w:t>
      </w:r>
      <w:r w:rsidR="00F646A4">
        <w:rPr>
          <w:rFonts w:ascii="Book Antiqua" w:hAnsi="Book Antiqua"/>
          <w:color w:val="auto"/>
          <w:lang w:val="en-GB"/>
        </w:rPr>
        <w:t xml:space="preserve">. </w:t>
      </w:r>
      <w:r w:rsidRPr="00C82350">
        <w:rPr>
          <w:rFonts w:ascii="Book Antiqua" w:hAnsi="Book Antiqua"/>
          <w:color w:val="auto"/>
          <w:lang w:val="en-GB"/>
        </w:rPr>
        <w:t>The use of pioglitazone for the treatment of NAFLD is endorsed both by the NICE and AASLD guidelines, with significant limitations. In the first case, pioglitazone should be prescribed only in second and third level centres, after a careful evaluation</w:t>
      </w:r>
      <w:r w:rsidR="002E2366" w:rsidRPr="00B7749E">
        <w:rPr>
          <w:rFonts w:ascii="Book Antiqua" w:hAnsi="Book Antiqua"/>
          <w:color w:val="auto"/>
          <w:vertAlign w:val="superscript"/>
          <w:lang w:val="en-GB"/>
        </w:rPr>
        <w:t>[</w:t>
      </w:r>
      <w:r w:rsidRPr="00B7749E">
        <w:rPr>
          <w:rFonts w:ascii="Book Antiqua" w:hAnsi="Book Antiqua"/>
          <w:color w:val="auto"/>
          <w:vertAlign w:val="superscript"/>
          <w:lang w:val="en-GB"/>
        </w:rPr>
        <w:t>4]</w:t>
      </w:r>
      <w:r w:rsidRPr="00C82350">
        <w:rPr>
          <w:rFonts w:ascii="Book Antiqua" w:hAnsi="Book Antiqua"/>
          <w:color w:val="auto"/>
          <w:lang w:val="en-GB"/>
        </w:rPr>
        <w:t>. In the latter case, pioglitazone is reserved for patients with biopsy-proven NASH</w:t>
      </w:r>
      <w:r w:rsidR="002E2366" w:rsidRPr="00B7749E">
        <w:rPr>
          <w:rFonts w:ascii="Book Antiqua" w:hAnsi="Book Antiqua"/>
          <w:color w:val="auto"/>
          <w:vertAlign w:val="superscript"/>
          <w:lang w:val="en-GB"/>
        </w:rPr>
        <w:t>[</w:t>
      </w:r>
      <w:r w:rsidRPr="00B7749E">
        <w:rPr>
          <w:rFonts w:ascii="Book Antiqua" w:hAnsi="Book Antiqua"/>
          <w:color w:val="auto"/>
          <w:vertAlign w:val="superscript"/>
          <w:lang w:val="en-GB"/>
        </w:rPr>
        <w:t>8]</w:t>
      </w:r>
      <w:r w:rsidRPr="00C82350">
        <w:rPr>
          <w:rFonts w:ascii="Book Antiqua" w:hAnsi="Book Antiqua"/>
          <w:color w:val="auto"/>
          <w:lang w:val="en-GB"/>
        </w:rPr>
        <w:t>.</w:t>
      </w:r>
      <w:r w:rsidR="00F646A4">
        <w:rPr>
          <w:rFonts w:ascii="Book Antiqua" w:hAnsi="Book Antiqua" w:hint="eastAsia"/>
          <w:color w:val="auto"/>
          <w:lang w:val="en-GB"/>
        </w:rPr>
        <w:t xml:space="preserve"> </w:t>
      </w:r>
      <w:r w:rsidRPr="00C82350">
        <w:rPr>
          <w:rFonts w:ascii="Book Antiqua" w:hAnsi="Book Antiqua"/>
          <w:color w:val="auto"/>
          <w:lang w:val="en-GB"/>
        </w:rPr>
        <w:t>The EASL guidelines are more cautious, generically suggesting to consider pioglitazone for the treatment of diabetes in patients with a concurrent NAFLD</w:t>
      </w:r>
      <w:r w:rsidR="002E2366" w:rsidRPr="00F646A4">
        <w:rPr>
          <w:rFonts w:ascii="Book Antiqua" w:hAnsi="Book Antiqua"/>
          <w:color w:val="auto"/>
          <w:vertAlign w:val="superscript"/>
          <w:lang w:val="en-GB"/>
        </w:rPr>
        <w:t>[</w:t>
      </w:r>
      <w:r w:rsidRPr="00F646A4">
        <w:rPr>
          <w:rFonts w:ascii="Book Antiqua" w:hAnsi="Book Antiqua"/>
          <w:color w:val="auto"/>
          <w:vertAlign w:val="superscript"/>
          <w:lang w:val="en-GB"/>
        </w:rPr>
        <w:t>3]</w:t>
      </w:r>
      <w:r w:rsidRPr="00C82350">
        <w:rPr>
          <w:rFonts w:ascii="Book Antiqua" w:hAnsi="Book Antiqua"/>
          <w:color w:val="auto"/>
          <w:lang w:val="en-GB"/>
        </w:rPr>
        <w:t>. Even the Asia-Pacific and the Italian guidelines acknowledge the potential benefits of pioglitazone, however, suggest that more evidence should be available before a firm recommendation can be made</w:t>
      </w:r>
      <w:r w:rsidR="002E2366" w:rsidRPr="00F646A4">
        <w:rPr>
          <w:rFonts w:ascii="Book Antiqua" w:hAnsi="Book Antiqua"/>
          <w:color w:val="auto"/>
          <w:vertAlign w:val="superscript"/>
          <w:lang w:val="en-GB"/>
        </w:rPr>
        <w:t>[</w:t>
      </w:r>
      <w:r w:rsidRPr="00F646A4">
        <w:rPr>
          <w:rFonts w:ascii="Book Antiqua" w:hAnsi="Book Antiqua"/>
          <w:color w:val="auto"/>
          <w:vertAlign w:val="superscript"/>
          <w:lang w:val="en-GB"/>
        </w:rPr>
        <w:t>6,7]</w:t>
      </w:r>
      <w:r w:rsidRPr="00C82350">
        <w:rPr>
          <w:rFonts w:ascii="Book Antiqua" w:hAnsi="Book Antiqua"/>
          <w:color w:val="auto"/>
          <w:lang w:val="en-GB"/>
        </w:rPr>
        <w:t>.</w:t>
      </w:r>
    </w:p>
    <w:p w:rsidR="007C2761" w:rsidRPr="00C82350" w:rsidRDefault="007C2761" w:rsidP="00F646A4">
      <w:pPr>
        <w:widowControl w:val="0"/>
        <w:suppressAutoHyphens w:val="0"/>
        <w:adjustRightInd w:val="0"/>
        <w:snapToGrid w:val="0"/>
        <w:spacing w:after="0" w:line="360" w:lineRule="auto"/>
        <w:ind w:firstLineChars="100" w:firstLine="240"/>
        <w:jc w:val="both"/>
        <w:rPr>
          <w:rFonts w:ascii="Book Antiqua" w:hAnsi="Book Antiqua"/>
          <w:color w:val="auto"/>
          <w:lang w:val="en-GB"/>
        </w:rPr>
      </w:pPr>
      <w:r w:rsidRPr="00F646A4">
        <w:rPr>
          <w:rFonts w:ascii="Book Antiqua" w:hAnsi="Book Antiqua"/>
          <w:color w:val="auto"/>
          <w:lang w:val="en-GB"/>
        </w:rPr>
        <w:t>Vitamin E</w:t>
      </w:r>
      <w:r w:rsidR="00F646A4">
        <w:rPr>
          <w:rFonts w:ascii="Book Antiqua" w:hAnsi="Book Antiqua" w:hint="eastAsia"/>
          <w:color w:val="auto"/>
          <w:lang w:val="en-GB"/>
        </w:rPr>
        <w:t xml:space="preserve">: </w:t>
      </w:r>
      <w:r w:rsidRPr="00C82350">
        <w:rPr>
          <w:rFonts w:ascii="Book Antiqua" w:hAnsi="Book Antiqua"/>
          <w:color w:val="auto"/>
          <w:lang w:val="en-GB"/>
        </w:rPr>
        <w:t xml:space="preserve">Vitamin E is an anti-oxidant and has been investigated to treat NASH. In the PIVENS trial, vitamin E at a dose of 800 IU/d of </w:t>
      </w:r>
      <w:r w:rsidRPr="00C82350">
        <w:rPr>
          <w:rFonts w:ascii="Book Antiqua" w:hAnsi="Book Antiqua"/>
          <w:color w:val="auto"/>
        </w:rPr>
        <w:t>α</w:t>
      </w:r>
      <w:r w:rsidRPr="00C82350">
        <w:rPr>
          <w:rFonts w:ascii="Book Antiqua" w:hAnsi="Book Antiqua"/>
          <w:color w:val="auto"/>
          <w:lang w:val="en-GB"/>
        </w:rPr>
        <w:t>-tocopherol for 96 w</w:t>
      </w:r>
      <w:r w:rsidR="00F646A4">
        <w:rPr>
          <w:rFonts w:ascii="Book Antiqua" w:hAnsi="Book Antiqua"/>
          <w:color w:val="auto"/>
          <w:lang w:val="en-GB"/>
        </w:rPr>
        <w:t>k</w:t>
      </w:r>
      <w:r w:rsidRPr="00C82350">
        <w:rPr>
          <w:rFonts w:ascii="Book Antiqua" w:hAnsi="Book Antiqua"/>
          <w:color w:val="auto"/>
          <w:lang w:val="en-GB"/>
        </w:rPr>
        <w:t xml:space="preserve"> was associated with a decrease in serum aminotransferases and histological improvement in steatosis, inflammation, and ballooning and resolution of steatohepatitis in adults with NASH</w:t>
      </w:r>
      <w:r w:rsidR="002E2366" w:rsidRPr="00F646A4">
        <w:rPr>
          <w:rFonts w:ascii="Book Antiqua" w:hAnsi="Book Antiqua"/>
          <w:color w:val="auto"/>
          <w:vertAlign w:val="superscript"/>
          <w:lang w:val="en-GB"/>
        </w:rPr>
        <w:t>[</w:t>
      </w:r>
      <w:r w:rsidRPr="00F646A4">
        <w:rPr>
          <w:rFonts w:ascii="Book Antiqua" w:hAnsi="Book Antiqua"/>
          <w:color w:val="auto"/>
          <w:vertAlign w:val="superscript"/>
          <w:lang w:val="en-GB"/>
        </w:rPr>
        <w:t>47]</w:t>
      </w:r>
      <w:r w:rsidR="00F646A4">
        <w:rPr>
          <w:rFonts w:ascii="Book Antiqua" w:hAnsi="Book Antiqua"/>
          <w:color w:val="auto"/>
          <w:lang w:val="en-GB"/>
        </w:rPr>
        <w:t xml:space="preserve">. </w:t>
      </w:r>
      <w:r w:rsidRPr="00C82350">
        <w:rPr>
          <w:rFonts w:ascii="Book Antiqua" w:hAnsi="Book Antiqua"/>
          <w:color w:val="auto"/>
          <w:lang w:val="en-GB"/>
        </w:rPr>
        <w:t>Long-term safety of vitamin E is under dispute, with two different meta-analyses leading to conflicting results when analysing the all-cause mortality in patients treated with t doses of &gt;</w:t>
      </w:r>
      <w:r w:rsidR="00F646A4">
        <w:rPr>
          <w:rFonts w:ascii="Book Antiqua" w:hAnsi="Book Antiqua" w:hint="eastAsia"/>
          <w:color w:val="auto"/>
          <w:lang w:val="en-GB"/>
        </w:rPr>
        <w:t xml:space="preserve"> </w:t>
      </w:r>
      <w:r w:rsidRPr="00C82350">
        <w:rPr>
          <w:rFonts w:ascii="Book Antiqua" w:hAnsi="Book Antiqua"/>
          <w:color w:val="auto"/>
          <w:lang w:val="en-GB"/>
        </w:rPr>
        <w:t>800 IU/d</w:t>
      </w:r>
      <w:r w:rsidR="002E2366" w:rsidRPr="00F646A4">
        <w:rPr>
          <w:rFonts w:ascii="Book Antiqua" w:hAnsi="Book Antiqua"/>
          <w:color w:val="auto"/>
          <w:vertAlign w:val="superscript"/>
          <w:lang w:val="en-GB"/>
        </w:rPr>
        <w:t>[</w:t>
      </w:r>
      <w:r w:rsidRPr="00F646A4">
        <w:rPr>
          <w:rFonts w:ascii="Book Antiqua" w:hAnsi="Book Antiqua"/>
          <w:color w:val="auto"/>
          <w:vertAlign w:val="superscript"/>
          <w:lang w:val="en-GB"/>
        </w:rPr>
        <w:t>51,52]</w:t>
      </w:r>
      <w:r w:rsidR="00F646A4">
        <w:rPr>
          <w:rFonts w:ascii="Book Antiqua" w:hAnsi="Book Antiqua"/>
          <w:color w:val="auto"/>
          <w:lang w:val="en-GB"/>
        </w:rPr>
        <w:t xml:space="preserve">. </w:t>
      </w:r>
      <w:r w:rsidRPr="00C82350">
        <w:rPr>
          <w:rFonts w:ascii="Book Antiqua" w:hAnsi="Book Antiqua"/>
          <w:color w:val="auto"/>
          <w:lang w:val="en-GB"/>
        </w:rPr>
        <w:t>Similarly to pioglitazone, vitamin E is recommended by the NICE and AASLD guidelines (limited to biopsy-proven NASH in the latter case)</w:t>
      </w:r>
      <w:r w:rsidR="002E2366" w:rsidRPr="00F646A4">
        <w:rPr>
          <w:rFonts w:ascii="Book Antiqua" w:hAnsi="Book Antiqua"/>
          <w:color w:val="auto"/>
          <w:vertAlign w:val="superscript"/>
          <w:lang w:val="en-GB"/>
        </w:rPr>
        <w:t>[</w:t>
      </w:r>
      <w:r w:rsidRPr="00F646A4">
        <w:rPr>
          <w:rFonts w:ascii="Book Antiqua" w:hAnsi="Book Antiqua"/>
          <w:color w:val="auto"/>
          <w:vertAlign w:val="superscript"/>
          <w:lang w:val="en-GB"/>
        </w:rPr>
        <w:t>4,8]</w:t>
      </w:r>
      <w:r w:rsidRPr="00C82350">
        <w:rPr>
          <w:rFonts w:ascii="Book Antiqua" w:hAnsi="Book Antiqua"/>
          <w:color w:val="auto"/>
          <w:lang w:val="en-GB"/>
        </w:rPr>
        <w:t>. EASL and AISF guidelines call for more evidence before any recommendation</w:t>
      </w:r>
      <w:r w:rsidR="002E2366" w:rsidRPr="00F646A4">
        <w:rPr>
          <w:rFonts w:ascii="Book Antiqua" w:hAnsi="Book Antiqua"/>
          <w:color w:val="auto"/>
          <w:vertAlign w:val="superscript"/>
          <w:lang w:val="en-GB"/>
        </w:rPr>
        <w:t>[</w:t>
      </w:r>
      <w:r w:rsidRPr="00F646A4">
        <w:rPr>
          <w:rFonts w:ascii="Book Antiqua" w:hAnsi="Book Antiqua"/>
          <w:color w:val="auto"/>
          <w:vertAlign w:val="superscript"/>
          <w:lang w:val="en-GB"/>
        </w:rPr>
        <w:t>3,7]</w:t>
      </w:r>
      <w:r w:rsidRPr="00C82350">
        <w:rPr>
          <w:rFonts w:ascii="Book Antiqua" w:hAnsi="Book Antiqua"/>
          <w:color w:val="auto"/>
          <w:lang w:val="en-GB"/>
        </w:rPr>
        <w:t>, while Asia-Pacific guidelines advice against the use of vitamin E which is described as not beneficial by the current evidence</w:t>
      </w:r>
      <w:r w:rsidR="002E2366" w:rsidRPr="00F646A4">
        <w:rPr>
          <w:rFonts w:ascii="Book Antiqua" w:hAnsi="Book Antiqua"/>
          <w:color w:val="auto"/>
          <w:vertAlign w:val="superscript"/>
          <w:lang w:val="en-GB"/>
        </w:rPr>
        <w:t>[</w:t>
      </w:r>
      <w:r w:rsidRPr="00F646A4">
        <w:rPr>
          <w:rFonts w:ascii="Book Antiqua" w:hAnsi="Book Antiqua"/>
          <w:color w:val="auto"/>
          <w:vertAlign w:val="superscript"/>
          <w:lang w:val="en-GB"/>
        </w:rPr>
        <w:t>6]</w:t>
      </w:r>
      <w:r w:rsidRPr="00C82350">
        <w:rPr>
          <w:rFonts w:ascii="Book Antiqua" w:hAnsi="Book Antiqua"/>
          <w:color w:val="auto"/>
          <w:lang w:val="en-GB"/>
        </w:rPr>
        <w:t>.</w:t>
      </w:r>
    </w:p>
    <w:p w:rsidR="007C2761" w:rsidRPr="00C82350" w:rsidRDefault="007C2761" w:rsidP="00F646A4">
      <w:pPr>
        <w:widowControl w:val="0"/>
        <w:suppressAutoHyphens w:val="0"/>
        <w:adjustRightInd w:val="0"/>
        <w:snapToGrid w:val="0"/>
        <w:spacing w:after="0" w:line="360" w:lineRule="auto"/>
        <w:ind w:firstLineChars="100" w:firstLine="240"/>
        <w:jc w:val="both"/>
        <w:rPr>
          <w:rFonts w:ascii="Book Antiqua" w:hAnsi="Book Antiqua"/>
          <w:color w:val="auto"/>
          <w:lang w:val="en-GB"/>
        </w:rPr>
      </w:pPr>
      <w:r w:rsidRPr="00F646A4">
        <w:rPr>
          <w:rFonts w:ascii="Book Antiqua" w:hAnsi="Book Antiqua"/>
          <w:color w:val="auto"/>
          <w:lang w:val="en-GB"/>
        </w:rPr>
        <w:t>Glucagon-like peptide-1 (GLP-1) analogues</w:t>
      </w:r>
      <w:r w:rsidR="00F646A4">
        <w:rPr>
          <w:rFonts w:ascii="Book Antiqua" w:hAnsi="Book Antiqua" w:hint="eastAsia"/>
          <w:color w:val="auto"/>
          <w:lang w:val="en-GB"/>
        </w:rPr>
        <w:t xml:space="preserve">: </w:t>
      </w:r>
      <w:r w:rsidRPr="00C82350">
        <w:rPr>
          <w:rFonts w:ascii="Book Antiqua" w:hAnsi="Book Antiqua"/>
          <w:color w:val="auto"/>
          <w:lang w:val="en-GB"/>
        </w:rPr>
        <w:t>Incretin-mimetics, acting on the glucose-insulin interplay have shown favourable results in pre-marketing studies on liver enzymes</w:t>
      </w:r>
      <w:r w:rsidR="002E2366" w:rsidRPr="00F646A4">
        <w:rPr>
          <w:rFonts w:ascii="Book Antiqua" w:hAnsi="Book Antiqua"/>
          <w:color w:val="auto"/>
          <w:vertAlign w:val="superscript"/>
          <w:lang w:val="en-GB"/>
        </w:rPr>
        <w:t>[</w:t>
      </w:r>
      <w:r w:rsidRPr="00F646A4">
        <w:rPr>
          <w:rFonts w:ascii="Book Antiqua" w:hAnsi="Book Antiqua"/>
          <w:color w:val="auto"/>
          <w:vertAlign w:val="superscript"/>
          <w:lang w:val="en-GB"/>
        </w:rPr>
        <w:t>53]</w:t>
      </w:r>
      <w:r w:rsidRPr="00C82350">
        <w:rPr>
          <w:rFonts w:ascii="Book Antiqua" w:hAnsi="Book Antiqua"/>
          <w:color w:val="auto"/>
          <w:lang w:val="en-GB"/>
        </w:rPr>
        <w:t xml:space="preserve">. Also, in a </w:t>
      </w:r>
      <w:r w:rsidRPr="00C82350">
        <w:rPr>
          <w:rFonts w:ascii="Book Antiqua" w:hAnsi="Book Antiqua"/>
          <w:color w:val="auto"/>
          <w:lang w:val="en-GB"/>
        </w:rPr>
        <w:lastRenderedPageBreak/>
        <w:t>published randomised, placebo-controlled trial consisting of 52 patients with biopsy-proven NASH, liraglutide administered subc</w:t>
      </w:r>
      <w:r w:rsidR="007E3572">
        <w:rPr>
          <w:rFonts w:ascii="Book Antiqua" w:hAnsi="Book Antiqua"/>
          <w:color w:val="auto"/>
          <w:lang w:val="en-GB"/>
        </w:rPr>
        <w:t>utaneously once-daily for 48 wk</w:t>
      </w:r>
      <w:r w:rsidRPr="00C82350">
        <w:rPr>
          <w:rFonts w:ascii="Book Antiqua" w:hAnsi="Book Antiqua"/>
          <w:color w:val="auto"/>
          <w:lang w:val="en-GB"/>
        </w:rPr>
        <w:t xml:space="preserve"> was associated with greater resolution of NASH and less progression of fibrosis</w:t>
      </w:r>
      <w:r w:rsidR="002E2366" w:rsidRPr="00F646A4">
        <w:rPr>
          <w:rFonts w:ascii="Book Antiqua" w:hAnsi="Book Antiqua"/>
          <w:color w:val="auto"/>
          <w:vertAlign w:val="superscript"/>
          <w:lang w:val="en-GB"/>
        </w:rPr>
        <w:t>[</w:t>
      </w:r>
      <w:r w:rsidRPr="00F646A4">
        <w:rPr>
          <w:rFonts w:ascii="Book Antiqua" w:hAnsi="Book Antiqua"/>
          <w:color w:val="auto"/>
          <w:vertAlign w:val="superscript"/>
          <w:lang w:val="en-GB"/>
        </w:rPr>
        <w:t>54]</w:t>
      </w:r>
      <w:r w:rsidR="00F646A4">
        <w:rPr>
          <w:rFonts w:ascii="Book Antiqua" w:hAnsi="Book Antiqua"/>
          <w:color w:val="auto"/>
          <w:lang w:val="en-GB"/>
        </w:rPr>
        <w:t xml:space="preserve">. </w:t>
      </w:r>
      <w:r w:rsidRPr="00C82350">
        <w:rPr>
          <w:rFonts w:ascii="Book Antiqua" w:hAnsi="Book Antiqua"/>
          <w:color w:val="auto"/>
          <w:lang w:val="en-GB"/>
        </w:rPr>
        <w:t>Both the AASLD and NICE recommendations state that there is still too few evidence to support the use of GLP-1 analogues to specifically treat liver disease in patients with NAFLD</w:t>
      </w:r>
      <w:r w:rsidR="002E2366" w:rsidRPr="00F646A4">
        <w:rPr>
          <w:rFonts w:ascii="Book Antiqua" w:hAnsi="Book Antiqua"/>
          <w:color w:val="auto"/>
          <w:vertAlign w:val="superscript"/>
          <w:lang w:val="en-GB"/>
        </w:rPr>
        <w:t>[</w:t>
      </w:r>
      <w:r w:rsidRPr="00F646A4">
        <w:rPr>
          <w:rFonts w:ascii="Book Antiqua" w:hAnsi="Book Antiqua"/>
          <w:color w:val="auto"/>
          <w:vertAlign w:val="superscript"/>
          <w:lang w:val="en-GB"/>
        </w:rPr>
        <w:t>4,8]</w:t>
      </w:r>
      <w:r w:rsidRPr="00C82350">
        <w:rPr>
          <w:rFonts w:ascii="Book Antiqua" w:hAnsi="Book Antiqua"/>
          <w:color w:val="auto"/>
          <w:lang w:val="en-GB"/>
        </w:rPr>
        <w:t>. The remaining guidelines also agree on this point, however also state that further evidence may prove the efficacy of these drugs. In particular, the APASL guidelines consider some more elements in their recommendations. On the one hand, GLP-1 agonists appeared to reduce glycated haemoglobin more efficiently in Asian patients with type 2 diabetes mellitus</w:t>
      </w:r>
      <w:r w:rsidR="002E2366" w:rsidRPr="00F646A4">
        <w:rPr>
          <w:rFonts w:ascii="Book Antiqua" w:hAnsi="Book Antiqua"/>
          <w:color w:val="auto"/>
          <w:vertAlign w:val="superscript"/>
          <w:lang w:val="en-GB"/>
        </w:rPr>
        <w:t>[</w:t>
      </w:r>
      <w:r w:rsidRPr="00F646A4">
        <w:rPr>
          <w:rFonts w:ascii="Book Antiqua" w:hAnsi="Book Antiqua"/>
          <w:color w:val="auto"/>
          <w:vertAlign w:val="superscript"/>
          <w:lang w:val="en-GB"/>
        </w:rPr>
        <w:t>55]</w:t>
      </w:r>
      <w:r w:rsidRPr="00C82350">
        <w:rPr>
          <w:rFonts w:ascii="Book Antiqua" w:hAnsi="Book Antiqua"/>
          <w:color w:val="auto"/>
          <w:lang w:val="en-GB"/>
        </w:rPr>
        <w:t>. On the other hand, there has been no study on Asian NASH patients, even if the pharmacokinetics of GLP-1 agonists do not appear to differ between Asian and non-Asian patients according to preliminary evidence</w:t>
      </w:r>
      <w:r w:rsidR="002E2366" w:rsidRPr="00F646A4">
        <w:rPr>
          <w:rFonts w:ascii="Book Antiqua" w:hAnsi="Book Antiqua"/>
          <w:color w:val="auto"/>
          <w:vertAlign w:val="superscript"/>
          <w:lang w:val="en-GB"/>
        </w:rPr>
        <w:t>[</w:t>
      </w:r>
      <w:r w:rsidRPr="00F646A4">
        <w:rPr>
          <w:rFonts w:ascii="Book Antiqua" w:hAnsi="Book Antiqua"/>
          <w:color w:val="auto"/>
          <w:vertAlign w:val="superscript"/>
          <w:lang w:val="en-GB"/>
        </w:rPr>
        <w:t>56,57]</w:t>
      </w:r>
      <w:r w:rsidRPr="00C82350">
        <w:rPr>
          <w:rFonts w:ascii="Book Antiqua" w:hAnsi="Book Antiqua"/>
          <w:color w:val="auto"/>
          <w:lang w:val="en-GB"/>
        </w:rPr>
        <w:t xml:space="preserve">. </w:t>
      </w:r>
    </w:p>
    <w:p w:rsidR="007C2761" w:rsidRPr="00C82350" w:rsidRDefault="007C2761" w:rsidP="00F646A4">
      <w:pPr>
        <w:widowControl w:val="0"/>
        <w:suppressAutoHyphens w:val="0"/>
        <w:adjustRightInd w:val="0"/>
        <w:snapToGrid w:val="0"/>
        <w:spacing w:after="0" w:line="360" w:lineRule="auto"/>
        <w:ind w:firstLineChars="100" w:firstLine="240"/>
        <w:jc w:val="both"/>
        <w:rPr>
          <w:rFonts w:ascii="Book Antiqua" w:hAnsi="Book Antiqua"/>
          <w:color w:val="auto"/>
          <w:lang w:val="en-GB"/>
        </w:rPr>
      </w:pPr>
      <w:r w:rsidRPr="00F646A4">
        <w:rPr>
          <w:rFonts w:ascii="Book Antiqua" w:hAnsi="Book Antiqua"/>
          <w:color w:val="auto"/>
          <w:lang w:val="en-GB"/>
        </w:rPr>
        <w:t>Statins</w:t>
      </w:r>
      <w:r w:rsidR="00F646A4">
        <w:rPr>
          <w:rFonts w:ascii="Book Antiqua" w:hAnsi="Book Antiqua" w:hint="eastAsia"/>
          <w:color w:val="auto"/>
          <w:lang w:val="en-GB"/>
        </w:rPr>
        <w:t xml:space="preserve">: </w:t>
      </w:r>
      <w:r w:rsidRPr="00C82350">
        <w:rPr>
          <w:rFonts w:ascii="Book Antiqua" w:hAnsi="Book Antiqua"/>
          <w:color w:val="auto"/>
          <w:lang w:val="en-GB"/>
        </w:rPr>
        <w:t>Historically, the use of statins in patients with chronic liver diseases has been considered as potentially troublesome due to the risk of hepatotoxicity. At the same time, a considerable portion of NAFLD patients usually receives statins because of their multiple cardiovascular risk factors. Consequently, the primary concern of the guidelines is the safety of statins. In this regard, a</w:t>
      </w:r>
      <w:r w:rsidR="00FC698D">
        <w:rPr>
          <w:rFonts w:ascii="Book Antiqua" w:hAnsi="Book Antiqua"/>
          <w:color w:val="auto"/>
          <w:lang w:val="en-GB"/>
        </w:rPr>
        <w:t xml:space="preserve"> </w:t>
      </w:r>
      <w:r w:rsidRPr="00C82350">
        <w:rPr>
          <w:rFonts w:ascii="Book Antiqua" w:hAnsi="Book Antiqua"/>
          <w:color w:val="auto"/>
          <w:lang w:val="en-GB"/>
        </w:rPr>
        <w:t>recent review underlined the safety of statin and their efficacy in reducing the associated cardiovascular morbidity in patients with NAFLD, including those with slightly e</w:t>
      </w:r>
      <w:r w:rsidR="00F646A4">
        <w:rPr>
          <w:rFonts w:ascii="Book Antiqua" w:hAnsi="Book Antiqua"/>
          <w:color w:val="auto"/>
          <w:lang w:val="en-GB"/>
        </w:rPr>
        <w:t>levated alanine transaminases (</w:t>
      </w:r>
      <w:r w:rsidRPr="00C82350">
        <w:rPr>
          <w:rFonts w:ascii="Book Antiqua" w:hAnsi="Book Antiqua"/>
          <w:color w:val="auto"/>
          <w:lang w:val="en-GB"/>
        </w:rPr>
        <w:t>up to 3</w:t>
      </w:r>
      <w:r w:rsidR="00F646A4">
        <w:rPr>
          <w:rFonts w:ascii="Book Antiqua" w:hAnsi="Book Antiqua" w:hint="eastAsia"/>
          <w:color w:val="auto"/>
          <w:lang w:val="en-GB"/>
        </w:rPr>
        <w:t xml:space="preserve"> </w:t>
      </w:r>
      <w:r w:rsidR="00F646A4" w:rsidRPr="00C82350">
        <w:rPr>
          <w:rFonts w:ascii="Book Antiqua" w:hAnsi="Book Antiqua"/>
          <w:color w:val="auto"/>
          <w:lang w:val="en-GB"/>
        </w:rPr>
        <w:t>×</w:t>
      </w:r>
      <w:r w:rsidRPr="00C82350">
        <w:rPr>
          <w:rFonts w:ascii="Book Antiqua" w:hAnsi="Book Antiqua"/>
          <w:color w:val="auto"/>
          <w:lang w:val="en-GB"/>
        </w:rPr>
        <w:t xml:space="preserve"> reference upper limit)</w:t>
      </w:r>
      <w:r w:rsidR="002E2366" w:rsidRPr="00F646A4">
        <w:rPr>
          <w:rFonts w:ascii="Book Antiqua" w:hAnsi="Book Antiqua"/>
          <w:color w:val="auto"/>
          <w:vertAlign w:val="superscript"/>
          <w:lang w:val="en-GB"/>
        </w:rPr>
        <w:t>[</w:t>
      </w:r>
      <w:r w:rsidRPr="00F646A4">
        <w:rPr>
          <w:rFonts w:ascii="Book Antiqua" w:hAnsi="Book Antiqua"/>
          <w:color w:val="auto"/>
          <w:vertAlign w:val="superscript"/>
          <w:lang w:val="en-GB"/>
        </w:rPr>
        <w:t>58]</w:t>
      </w:r>
      <w:r w:rsidR="00F646A4" w:rsidRPr="00F646A4">
        <w:rPr>
          <w:rFonts w:ascii="Book Antiqua" w:hAnsi="Book Antiqua" w:hint="eastAsia"/>
          <w:color w:val="auto"/>
          <w:lang w:val="en-GB"/>
        </w:rPr>
        <w:t>.</w:t>
      </w:r>
      <w:r w:rsidR="00F646A4">
        <w:rPr>
          <w:rFonts w:ascii="Book Antiqua" w:hAnsi="Book Antiqua" w:hint="eastAsia"/>
          <w:color w:val="auto"/>
          <w:lang w:val="en-GB"/>
        </w:rPr>
        <w:t xml:space="preserve"> </w:t>
      </w:r>
      <w:r w:rsidRPr="00C82350">
        <w:rPr>
          <w:rFonts w:ascii="Book Antiqua" w:hAnsi="Book Antiqua"/>
          <w:color w:val="auto"/>
          <w:lang w:val="en-GB"/>
        </w:rPr>
        <w:t>All of the guidelines agree about the safety of prescribing statins (or continuing an ongoing statin therapy) in patients with NAFLD, even with compensated cirrhosis. However, routine prescription of a statin is not recommended in patients with decompensated cirrhosis and acute liver failure</w:t>
      </w:r>
      <w:r w:rsidR="002E2366" w:rsidRPr="00F646A4">
        <w:rPr>
          <w:rFonts w:ascii="Book Antiqua" w:hAnsi="Book Antiqua"/>
          <w:color w:val="auto"/>
          <w:vertAlign w:val="superscript"/>
          <w:lang w:val="en-GB"/>
        </w:rPr>
        <w:t>[</w:t>
      </w:r>
      <w:r w:rsidRPr="00F646A4">
        <w:rPr>
          <w:rFonts w:ascii="Book Antiqua" w:hAnsi="Book Antiqua"/>
          <w:color w:val="auto"/>
          <w:vertAlign w:val="superscript"/>
          <w:lang w:val="en-GB"/>
        </w:rPr>
        <w:t>59,60]</w:t>
      </w:r>
      <w:r w:rsidRPr="00C82350">
        <w:rPr>
          <w:rFonts w:ascii="Book Antiqua" w:hAnsi="Book Antiqua"/>
          <w:color w:val="auto"/>
          <w:lang w:val="en-GB"/>
        </w:rPr>
        <w:t>.</w:t>
      </w:r>
    </w:p>
    <w:p w:rsidR="007C2761" w:rsidRDefault="007C2761" w:rsidP="00F646A4">
      <w:pPr>
        <w:widowControl w:val="0"/>
        <w:suppressAutoHyphens w:val="0"/>
        <w:adjustRightInd w:val="0"/>
        <w:snapToGrid w:val="0"/>
        <w:spacing w:after="0" w:line="360" w:lineRule="auto"/>
        <w:ind w:firstLineChars="100" w:firstLine="240"/>
        <w:jc w:val="both"/>
        <w:rPr>
          <w:rFonts w:ascii="Book Antiqua" w:hAnsi="Book Antiqua"/>
          <w:color w:val="auto"/>
          <w:lang w:val="en-GB"/>
        </w:rPr>
      </w:pPr>
      <w:r w:rsidRPr="00F646A4">
        <w:rPr>
          <w:rFonts w:ascii="Book Antiqua" w:hAnsi="Book Antiqua"/>
          <w:color w:val="auto"/>
          <w:lang w:val="en-GB"/>
        </w:rPr>
        <w:t>Silymarin</w:t>
      </w:r>
      <w:r w:rsidR="00F646A4">
        <w:rPr>
          <w:rFonts w:ascii="Book Antiqua" w:hAnsi="Book Antiqua" w:hint="eastAsia"/>
          <w:color w:val="auto"/>
          <w:lang w:val="en-GB"/>
        </w:rPr>
        <w:t xml:space="preserve">: </w:t>
      </w:r>
      <w:r w:rsidRPr="00C82350">
        <w:rPr>
          <w:rFonts w:ascii="Book Antiqua" w:hAnsi="Book Antiqua"/>
          <w:color w:val="auto"/>
          <w:lang w:val="en-US"/>
        </w:rPr>
        <w:t>Silymarin</w:t>
      </w:r>
      <w:r w:rsidRPr="00C82350">
        <w:rPr>
          <w:rFonts w:ascii="Book Antiqua" w:hAnsi="Book Antiqua"/>
          <w:color w:val="auto"/>
          <w:lang w:val="en-GB"/>
        </w:rPr>
        <w:t>is a complex mixture of six major flavonolignans (silybin</w:t>
      </w:r>
      <w:r w:rsidR="00F646A4">
        <w:rPr>
          <w:rFonts w:ascii="Book Antiqua" w:hAnsi="Book Antiqua" w:hint="eastAsia"/>
          <w:color w:val="auto"/>
          <w:lang w:val="en-GB"/>
        </w:rPr>
        <w:t>s</w:t>
      </w:r>
      <w:r w:rsidRPr="00C82350">
        <w:rPr>
          <w:rFonts w:ascii="Book Antiqua" w:hAnsi="Book Antiqua"/>
          <w:color w:val="auto"/>
          <w:lang w:val="en-GB"/>
        </w:rPr>
        <w:t xml:space="preserve"> A and B, isosilybins A and B, silychristin, and silydianin), as well as other minor polyphenolic compounds</w:t>
      </w:r>
      <w:r w:rsidR="002E2366" w:rsidRPr="00F646A4">
        <w:rPr>
          <w:rFonts w:ascii="Book Antiqua" w:hAnsi="Book Antiqua"/>
          <w:color w:val="auto"/>
          <w:vertAlign w:val="superscript"/>
          <w:lang w:val="en-GB"/>
        </w:rPr>
        <w:t>[</w:t>
      </w:r>
      <w:r w:rsidRPr="00F646A4">
        <w:rPr>
          <w:rFonts w:ascii="Book Antiqua" w:hAnsi="Book Antiqua"/>
          <w:color w:val="auto"/>
          <w:vertAlign w:val="superscript"/>
          <w:lang w:val="en-GB"/>
        </w:rPr>
        <w:t>61</w:t>
      </w:r>
      <w:r w:rsidRPr="00DD0CC3">
        <w:rPr>
          <w:rFonts w:ascii="Book Antiqua" w:hAnsi="Book Antiqua"/>
          <w:color w:val="auto"/>
          <w:vertAlign w:val="superscript"/>
          <w:lang w:val="en-GB"/>
        </w:rPr>
        <w:t>]</w:t>
      </w:r>
      <w:r w:rsidRPr="00C82350">
        <w:rPr>
          <w:rFonts w:ascii="Book Antiqua" w:hAnsi="Book Antiqua"/>
          <w:color w:val="auto"/>
          <w:lang w:val="en-GB"/>
        </w:rPr>
        <w:t>.In a randomised, double-blinded, placebo-controlled study on patients with biopsy-proven NASH, silymarin dosage of 700</w:t>
      </w:r>
      <w:r w:rsidR="00F646A4">
        <w:rPr>
          <w:rFonts w:ascii="Book Antiqua" w:hAnsi="Book Antiqua"/>
          <w:color w:val="auto"/>
          <w:lang w:val="en-GB"/>
        </w:rPr>
        <w:t xml:space="preserve"> mg three times daily for 48 wk</w:t>
      </w:r>
      <w:r w:rsidRPr="00C82350">
        <w:rPr>
          <w:rFonts w:ascii="Book Antiqua" w:hAnsi="Book Antiqua"/>
          <w:color w:val="auto"/>
          <w:lang w:val="en-GB"/>
        </w:rPr>
        <w:t xml:space="preserve"> resulted in a significantly higher percentage of fibrosis reduction compared with placebo (22.4% </w:t>
      </w:r>
      <w:r w:rsidRPr="00F646A4">
        <w:rPr>
          <w:rFonts w:ascii="Book Antiqua" w:hAnsi="Book Antiqua"/>
          <w:i/>
          <w:color w:val="auto"/>
          <w:lang w:val="en-GB"/>
        </w:rPr>
        <w:t>vs</w:t>
      </w:r>
      <w:r w:rsidRPr="00C82350">
        <w:rPr>
          <w:rFonts w:ascii="Book Antiqua" w:hAnsi="Book Antiqua"/>
          <w:color w:val="auto"/>
          <w:lang w:val="en-GB"/>
        </w:rPr>
        <w:t xml:space="preserve"> 6.0%, </w:t>
      </w:r>
      <w:r w:rsidRPr="00F646A4">
        <w:rPr>
          <w:rFonts w:ascii="Book Antiqua" w:hAnsi="Book Antiqua"/>
          <w:i/>
          <w:color w:val="auto"/>
          <w:lang w:val="en-GB"/>
        </w:rPr>
        <w:t>P</w:t>
      </w:r>
      <w:r w:rsidR="00F646A4">
        <w:rPr>
          <w:rFonts w:ascii="Book Antiqua" w:hAnsi="Book Antiqua" w:hint="eastAsia"/>
          <w:color w:val="auto"/>
          <w:lang w:val="en-GB"/>
        </w:rPr>
        <w:t xml:space="preserve"> </w:t>
      </w:r>
      <w:r w:rsidRPr="00C82350">
        <w:rPr>
          <w:rFonts w:ascii="Book Antiqua" w:hAnsi="Book Antiqua"/>
          <w:color w:val="auto"/>
          <w:lang w:val="en-GB"/>
        </w:rPr>
        <w:t>=</w:t>
      </w:r>
      <w:r w:rsidR="00F646A4">
        <w:rPr>
          <w:rFonts w:ascii="Book Antiqua" w:hAnsi="Book Antiqua" w:hint="eastAsia"/>
          <w:color w:val="auto"/>
          <w:lang w:val="en-GB"/>
        </w:rPr>
        <w:t xml:space="preserve"> </w:t>
      </w:r>
      <w:r w:rsidRPr="00C82350">
        <w:rPr>
          <w:rFonts w:ascii="Book Antiqua" w:hAnsi="Book Antiqua"/>
          <w:color w:val="auto"/>
          <w:lang w:val="en-GB"/>
        </w:rPr>
        <w:t>0.023)</w:t>
      </w:r>
      <w:r w:rsidR="002E2366" w:rsidRPr="00F646A4">
        <w:rPr>
          <w:rFonts w:ascii="Book Antiqua" w:hAnsi="Book Antiqua"/>
          <w:color w:val="auto"/>
          <w:vertAlign w:val="superscript"/>
          <w:lang w:val="en-GB"/>
        </w:rPr>
        <w:t>[</w:t>
      </w:r>
      <w:r w:rsidRPr="00F646A4">
        <w:rPr>
          <w:rFonts w:ascii="Book Antiqua" w:hAnsi="Book Antiqua"/>
          <w:color w:val="auto"/>
          <w:vertAlign w:val="superscript"/>
          <w:lang w:val="en-GB"/>
        </w:rPr>
        <w:t>62]</w:t>
      </w:r>
      <w:r w:rsidRPr="00C82350">
        <w:rPr>
          <w:rFonts w:ascii="Book Antiqua" w:hAnsi="Book Antiqua"/>
          <w:color w:val="auto"/>
          <w:lang w:val="en-GB"/>
        </w:rPr>
        <w:t>. The dosage was safe and well tolerated</w:t>
      </w:r>
      <w:r w:rsidR="002E2366" w:rsidRPr="00F646A4">
        <w:rPr>
          <w:rFonts w:ascii="Book Antiqua" w:hAnsi="Book Antiqua"/>
          <w:color w:val="auto"/>
          <w:vertAlign w:val="superscript"/>
          <w:lang w:val="en-GB"/>
        </w:rPr>
        <w:t>[</w:t>
      </w:r>
      <w:r w:rsidRPr="00F646A4">
        <w:rPr>
          <w:rFonts w:ascii="Book Antiqua" w:hAnsi="Book Antiqua"/>
          <w:color w:val="auto"/>
          <w:vertAlign w:val="superscript"/>
          <w:lang w:val="en-GB"/>
        </w:rPr>
        <w:t>62]</w:t>
      </w:r>
      <w:r w:rsidRPr="00C82350">
        <w:rPr>
          <w:rFonts w:ascii="Book Antiqua" w:hAnsi="Book Antiqua"/>
          <w:color w:val="auto"/>
          <w:lang w:val="en-GB"/>
        </w:rPr>
        <w:t>. Silymarin is mentioned as a potentially useful treatment for NASH in Asia-Pacific guidelines only. However, optimal dose and duration still require further studies before a full recommendation</w:t>
      </w:r>
      <w:r w:rsidR="002E2366" w:rsidRPr="00F646A4">
        <w:rPr>
          <w:rFonts w:ascii="Book Antiqua" w:hAnsi="Book Antiqua"/>
          <w:color w:val="auto"/>
          <w:vertAlign w:val="superscript"/>
          <w:lang w:val="en-GB"/>
        </w:rPr>
        <w:t>[</w:t>
      </w:r>
      <w:r w:rsidRPr="00F646A4">
        <w:rPr>
          <w:rFonts w:ascii="Book Antiqua" w:hAnsi="Book Antiqua"/>
          <w:color w:val="auto"/>
          <w:vertAlign w:val="superscript"/>
          <w:lang w:val="en-GB"/>
        </w:rPr>
        <w:t>6]</w:t>
      </w:r>
      <w:r w:rsidRPr="00C82350">
        <w:rPr>
          <w:rFonts w:ascii="Book Antiqua" w:hAnsi="Book Antiqua"/>
          <w:color w:val="auto"/>
          <w:lang w:val="en-GB"/>
        </w:rPr>
        <w:t>.</w:t>
      </w:r>
    </w:p>
    <w:p w:rsidR="00F646A4" w:rsidRPr="00F646A4" w:rsidRDefault="00F646A4" w:rsidP="00F646A4">
      <w:pPr>
        <w:widowControl w:val="0"/>
        <w:suppressAutoHyphens w:val="0"/>
        <w:adjustRightInd w:val="0"/>
        <w:snapToGrid w:val="0"/>
        <w:spacing w:after="0" w:line="360" w:lineRule="auto"/>
        <w:ind w:firstLineChars="100" w:firstLine="240"/>
        <w:jc w:val="both"/>
        <w:rPr>
          <w:rFonts w:ascii="Book Antiqua" w:hAnsi="Book Antiqua"/>
          <w:color w:val="auto"/>
          <w:lang w:val="en-GB"/>
        </w:rPr>
      </w:pPr>
    </w:p>
    <w:p w:rsidR="007C2761" w:rsidRPr="00B7749E" w:rsidRDefault="007C2761" w:rsidP="00C82350">
      <w:pPr>
        <w:widowControl w:val="0"/>
        <w:suppressAutoHyphens w:val="0"/>
        <w:adjustRightInd w:val="0"/>
        <w:snapToGrid w:val="0"/>
        <w:spacing w:after="0" w:line="360" w:lineRule="auto"/>
        <w:jc w:val="both"/>
        <w:rPr>
          <w:rFonts w:ascii="Book Antiqua" w:hAnsi="Book Antiqua"/>
          <w:b/>
          <w:color w:val="auto"/>
          <w:lang w:val="en-GB"/>
        </w:rPr>
      </w:pPr>
      <w:r w:rsidRPr="00C82350">
        <w:rPr>
          <w:rFonts w:ascii="Book Antiqua" w:hAnsi="Book Antiqua"/>
          <w:b/>
          <w:color w:val="auto"/>
          <w:lang w:val="en-GB"/>
        </w:rPr>
        <w:t>Bariatric surgery</w:t>
      </w:r>
      <w:r w:rsidR="00B7749E">
        <w:rPr>
          <w:rFonts w:ascii="Book Antiqua" w:hAnsi="Book Antiqua" w:hint="eastAsia"/>
          <w:b/>
          <w:color w:val="auto"/>
          <w:lang w:val="en-GB"/>
        </w:rPr>
        <w:t xml:space="preserve">: </w:t>
      </w:r>
      <w:r w:rsidRPr="00C82350">
        <w:rPr>
          <w:rFonts w:ascii="Book Antiqua" w:hAnsi="Book Antiqua"/>
          <w:color w:val="auto"/>
          <w:lang w:val="en-GB"/>
        </w:rPr>
        <w:t>In patients unresponsive to lifestyle changes and pharmacotherapy, bariatric surgery is an option for reducing weight and metabolic complications, with stable results in the long-term</w:t>
      </w:r>
      <w:r w:rsidR="002E2366" w:rsidRPr="00F646A4">
        <w:rPr>
          <w:rFonts w:ascii="Book Antiqua" w:hAnsi="Book Antiqua"/>
          <w:color w:val="auto"/>
          <w:vertAlign w:val="superscript"/>
          <w:lang w:val="en-GB"/>
        </w:rPr>
        <w:t>[</w:t>
      </w:r>
      <w:r w:rsidRPr="00F646A4">
        <w:rPr>
          <w:rFonts w:ascii="Book Antiqua" w:hAnsi="Book Antiqua"/>
          <w:color w:val="auto"/>
          <w:vertAlign w:val="superscript"/>
          <w:lang w:val="en-GB"/>
        </w:rPr>
        <w:t>63]</w:t>
      </w:r>
      <w:r w:rsidRPr="00C82350">
        <w:rPr>
          <w:rFonts w:ascii="Book Antiqua" w:hAnsi="Book Antiqua"/>
          <w:color w:val="auto"/>
          <w:lang w:val="en-GB"/>
        </w:rPr>
        <w:t>. Bariatric surgery can also improve liver histology, both regarding steatosis and ballooning</w:t>
      </w:r>
      <w:r w:rsidR="002E2366" w:rsidRPr="00F646A4">
        <w:rPr>
          <w:rFonts w:ascii="Book Antiqua" w:hAnsi="Book Antiqua"/>
          <w:color w:val="auto"/>
          <w:vertAlign w:val="superscript"/>
          <w:lang w:val="en-GB"/>
        </w:rPr>
        <w:t>[</w:t>
      </w:r>
      <w:r w:rsidRPr="00F646A4">
        <w:rPr>
          <w:rFonts w:ascii="Book Antiqua" w:hAnsi="Book Antiqua"/>
          <w:color w:val="auto"/>
          <w:vertAlign w:val="superscript"/>
          <w:lang w:val="en-GB"/>
        </w:rPr>
        <w:t>64,65]</w:t>
      </w:r>
      <w:r w:rsidRPr="00C82350">
        <w:rPr>
          <w:rFonts w:ascii="Book Antiqua" w:hAnsi="Book Antiqua"/>
          <w:color w:val="auto"/>
          <w:lang w:val="en-GB"/>
        </w:rPr>
        <w:t xml:space="preserve"> and fibrosis</w:t>
      </w:r>
      <w:r w:rsidR="002E2366" w:rsidRPr="00F646A4">
        <w:rPr>
          <w:rFonts w:ascii="Book Antiqua" w:hAnsi="Book Antiqua"/>
          <w:color w:val="auto"/>
          <w:vertAlign w:val="superscript"/>
          <w:lang w:val="en-GB"/>
        </w:rPr>
        <w:t>[</w:t>
      </w:r>
      <w:r w:rsidRPr="00F646A4">
        <w:rPr>
          <w:rFonts w:ascii="Book Antiqua" w:hAnsi="Book Antiqua"/>
          <w:color w:val="auto"/>
          <w:vertAlign w:val="superscript"/>
          <w:lang w:val="en-GB"/>
        </w:rPr>
        <w:t>65]</w:t>
      </w:r>
      <w:r w:rsidRPr="00C82350">
        <w:rPr>
          <w:rFonts w:ascii="Book Antiqua" w:hAnsi="Book Antiqua"/>
          <w:color w:val="auto"/>
          <w:lang w:val="en-GB"/>
        </w:rPr>
        <w:t>. However, the presence of established cirrhosis is associated with peri-operative risks. In particular, in the analysis performed from the Nationwide Inpatient Sample (1998-2007), mortality was higher in patients with compensated cirrhosis (0.9%) and much higher in those with decompensated cirrhosis (16.3%)</w:t>
      </w:r>
      <w:r w:rsidR="002E2366" w:rsidRPr="00F646A4">
        <w:rPr>
          <w:rFonts w:ascii="Book Antiqua" w:hAnsi="Book Antiqua"/>
          <w:color w:val="auto"/>
          <w:vertAlign w:val="superscript"/>
          <w:lang w:val="en-GB"/>
        </w:rPr>
        <w:t>[</w:t>
      </w:r>
      <w:r w:rsidRPr="00F646A4">
        <w:rPr>
          <w:rFonts w:ascii="Book Antiqua" w:hAnsi="Book Antiqua"/>
          <w:color w:val="auto"/>
          <w:vertAlign w:val="superscript"/>
          <w:lang w:val="en-GB"/>
        </w:rPr>
        <w:t>66]</w:t>
      </w:r>
      <w:r w:rsidR="00F646A4">
        <w:rPr>
          <w:rFonts w:ascii="Book Antiqua" w:hAnsi="Book Antiqua"/>
          <w:color w:val="auto"/>
          <w:lang w:val="en-GB"/>
        </w:rPr>
        <w:t xml:space="preserve">. </w:t>
      </w:r>
      <w:r w:rsidRPr="00C82350">
        <w:rPr>
          <w:rFonts w:ascii="Book Antiqua" w:hAnsi="Book Antiqua"/>
          <w:color w:val="auto"/>
          <w:lang w:val="en-GB"/>
        </w:rPr>
        <w:t xml:space="preserve">No robust data on the comparative effects of different bariatric procedures on liver fat are available in the literature. </w:t>
      </w:r>
    </w:p>
    <w:p w:rsidR="007C2761" w:rsidRPr="00C82350" w:rsidRDefault="007C2761" w:rsidP="00F646A4">
      <w:pPr>
        <w:widowControl w:val="0"/>
        <w:suppressAutoHyphens w:val="0"/>
        <w:adjustRightInd w:val="0"/>
        <w:snapToGrid w:val="0"/>
        <w:spacing w:after="0" w:line="360" w:lineRule="auto"/>
        <w:ind w:firstLineChars="100" w:firstLine="240"/>
        <w:jc w:val="both"/>
        <w:rPr>
          <w:rFonts w:ascii="Book Antiqua" w:hAnsi="Book Antiqua"/>
          <w:color w:val="auto"/>
          <w:lang w:val="en-GB"/>
        </w:rPr>
      </w:pPr>
      <w:r w:rsidRPr="00C82350">
        <w:rPr>
          <w:rFonts w:ascii="Book Antiqua" w:hAnsi="Book Antiqua"/>
          <w:color w:val="auto"/>
          <w:lang w:val="en-GB"/>
        </w:rPr>
        <w:t>Based on the evidence as mentioned earlier, the EASL guidelines</w:t>
      </w:r>
      <w:r w:rsidR="00F646A4">
        <w:rPr>
          <w:rFonts w:ascii="Book Antiqua" w:hAnsi="Book Antiqua" w:hint="eastAsia"/>
          <w:color w:val="auto"/>
          <w:lang w:val="en-GB"/>
        </w:rPr>
        <w:t xml:space="preserve"> </w:t>
      </w:r>
      <w:r w:rsidRPr="00C82350">
        <w:rPr>
          <w:rFonts w:ascii="Book Antiqua" w:hAnsi="Book Antiqua"/>
          <w:color w:val="auto"/>
          <w:lang w:val="en-GB"/>
        </w:rPr>
        <w:t>consider</w:t>
      </w:r>
      <w:r w:rsidR="00F646A4">
        <w:rPr>
          <w:rFonts w:ascii="Book Antiqua" w:hAnsi="Book Antiqua" w:hint="eastAsia"/>
          <w:color w:val="auto"/>
          <w:lang w:val="en-GB"/>
        </w:rPr>
        <w:t xml:space="preserve"> </w:t>
      </w:r>
      <w:r w:rsidRPr="00C82350">
        <w:rPr>
          <w:rFonts w:ascii="Book Antiqua" w:hAnsi="Book Antiqua"/>
          <w:color w:val="auto"/>
          <w:lang w:val="en-GB"/>
        </w:rPr>
        <w:t>bariatric surgery an option in patients unresponsive to lifestyle changes and pharmacotherapy, for reducing weight and metabolic complications</w:t>
      </w:r>
      <w:r w:rsidR="002E2366" w:rsidRPr="00F646A4">
        <w:rPr>
          <w:rFonts w:ascii="Book Antiqua" w:hAnsi="Book Antiqua"/>
          <w:color w:val="auto"/>
          <w:vertAlign w:val="superscript"/>
          <w:lang w:val="en-GB"/>
        </w:rPr>
        <w:t>[</w:t>
      </w:r>
      <w:r w:rsidRPr="00F646A4">
        <w:rPr>
          <w:rFonts w:ascii="Book Antiqua" w:hAnsi="Book Antiqua"/>
          <w:color w:val="auto"/>
          <w:vertAlign w:val="superscript"/>
          <w:lang w:val="en-GB"/>
        </w:rPr>
        <w:t>3]</w:t>
      </w:r>
      <w:r w:rsidRPr="00C82350">
        <w:rPr>
          <w:rFonts w:ascii="Book Antiqua" w:hAnsi="Book Antiqua"/>
          <w:color w:val="auto"/>
          <w:lang w:val="en-GB"/>
        </w:rPr>
        <w:t>. Guidance statements by the AASLD also consider a role of foregut bariatric surgery in otherwise eligible obese individuals with NAFLD or NASH</w:t>
      </w:r>
      <w:r w:rsidR="002E2366" w:rsidRPr="00F646A4">
        <w:rPr>
          <w:rFonts w:ascii="Book Antiqua" w:hAnsi="Book Antiqua"/>
          <w:color w:val="auto"/>
          <w:vertAlign w:val="superscript"/>
          <w:lang w:val="en-GB"/>
        </w:rPr>
        <w:t>[</w:t>
      </w:r>
      <w:r w:rsidRPr="00F646A4">
        <w:rPr>
          <w:rFonts w:ascii="Book Antiqua" w:hAnsi="Book Antiqua"/>
          <w:color w:val="auto"/>
          <w:vertAlign w:val="superscript"/>
          <w:lang w:val="en-GB"/>
        </w:rPr>
        <w:t>8]</w:t>
      </w:r>
      <w:r w:rsidRPr="00C82350">
        <w:rPr>
          <w:rFonts w:ascii="Book Antiqua" w:hAnsi="Book Antiqua"/>
          <w:color w:val="auto"/>
          <w:lang w:val="en-GB"/>
        </w:rPr>
        <w:t>.</w:t>
      </w:r>
    </w:p>
    <w:p w:rsidR="007C2761" w:rsidRDefault="007C2761" w:rsidP="00F646A4">
      <w:pPr>
        <w:widowControl w:val="0"/>
        <w:suppressAutoHyphens w:val="0"/>
        <w:adjustRightInd w:val="0"/>
        <w:snapToGrid w:val="0"/>
        <w:spacing w:after="0" w:line="360" w:lineRule="auto"/>
        <w:ind w:firstLineChars="100" w:firstLine="240"/>
        <w:jc w:val="both"/>
        <w:rPr>
          <w:rFonts w:ascii="Book Antiqua" w:hAnsi="Book Antiqua"/>
          <w:color w:val="auto"/>
          <w:lang w:val="en-GB"/>
        </w:rPr>
      </w:pPr>
      <w:r w:rsidRPr="00C82350">
        <w:rPr>
          <w:rFonts w:ascii="Book Antiqua" w:hAnsi="Book Antiqua"/>
          <w:color w:val="auto"/>
          <w:lang w:val="en-GB"/>
        </w:rPr>
        <w:t>The Asia-Pacific recommendation limits the role of bariatric surgery only to patients with class II obesity (BMI &gt; 32.5 Kg/m</w:t>
      </w:r>
      <w:r w:rsidRPr="00C82350">
        <w:rPr>
          <w:rFonts w:ascii="Book Antiqua" w:hAnsi="Book Antiqua"/>
          <w:color w:val="auto"/>
          <w:vertAlign w:val="superscript"/>
          <w:lang w:val="en-GB"/>
        </w:rPr>
        <w:t xml:space="preserve">2 </w:t>
      </w:r>
      <w:r w:rsidRPr="00C82350">
        <w:rPr>
          <w:rFonts w:ascii="Book Antiqua" w:hAnsi="Book Antiqua"/>
          <w:color w:val="auto"/>
          <w:lang w:val="en-GB"/>
        </w:rPr>
        <w:t>in Asians and 35 Kg/m</w:t>
      </w:r>
      <w:r w:rsidRPr="00C82350">
        <w:rPr>
          <w:rFonts w:ascii="Book Antiqua" w:hAnsi="Book Antiqua"/>
          <w:color w:val="auto"/>
          <w:vertAlign w:val="superscript"/>
          <w:lang w:val="en-GB"/>
        </w:rPr>
        <w:t>2</w:t>
      </w:r>
      <w:r w:rsidRPr="00C82350">
        <w:rPr>
          <w:rFonts w:ascii="Book Antiqua" w:hAnsi="Book Antiqua"/>
          <w:color w:val="auto"/>
          <w:lang w:val="en-GB"/>
        </w:rPr>
        <w:t xml:space="preserve"> in Caucasians)</w:t>
      </w:r>
      <w:r w:rsidR="002E2366" w:rsidRPr="00F646A4">
        <w:rPr>
          <w:rFonts w:ascii="Book Antiqua" w:hAnsi="Book Antiqua"/>
          <w:color w:val="auto"/>
          <w:vertAlign w:val="superscript"/>
          <w:lang w:val="en-GB"/>
        </w:rPr>
        <w:t>[</w:t>
      </w:r>
      <w:r w:rsidRPr="00F646A4">
        <w:rPr>
          <w:rFonts w:ascii="Book Antiqua" w:hAnsi="Book Antiqua"/>
          <w:color w:val="auto"/>
          <w:vertAlign w:val="superscript"/>
          <w:lang w:val="en-GB"/>
        </w:rPr>
        <w:t>6]</w:t>
      </w:r>
      <w:r w:rsidRPr="00C82350">
        <w:rPr>
          <w:rFonts w:ascii="Book Antiqua" w:hAnsi="Book Antiqua"/>
          <w:color w:val="auto"/>
          <w:lang w:val="en-GB"/>
        </w:rPr>
        <w:t>. AISF and NICE guidelines do not mention bariatric surgery.</w:t>
      </w:r>
    </w:p>
    <w:p w:rsidR="00F646A4" w:rsidRPr="00C82350" w:rsidRDefault="00F646A4" w:rsidP="00F646A4">
      <w:pPr>
        <w:widowControl w:val="0"/>
        <w:suppressAutoHyphens w:val="0"/>
        <w:adjustRightInd w:val="0"/>
        <w:snapToGrid w:val="0"/>
        <w:spacing w:after="0" w:line="360" w:lineRule="auto"/>
        <w:ind w:firstLineChars="100" w:firstLine="240"/>
        <w:jc w:val="both"/>
        <w:rPr>
          <w:rFonts w:ascii="Book Antiqua" w:hAnsi="Book Antiqua"/>
          <w:color w:val="auto"/>
          <w:lang w:val="en-GB"/>
        </w:rPr>
      </w:pPr>
    </w:p>
    <w:p w:rsidR="007C2761" w:rsidRPr="00F646A4" w:rsidRDefault="007C2761" w:rsidP="00C82350">
      <w:pPr>
        <w:widowControl w:val="0"/>
        <w:suppressAutoHyphens w:val="0"/>
        <w:adjustRightInd w:val="0"/>
        <w:snapToGrid w:val="0"/>
        <w:spacing w:after="0" w:line="360" w:lineRule="auto"/>
        <w:jc w:val="both"/>
        <w:rPr>
          <w:rFonts w:ascii="Book Antiqua" w:hAnsi="Book Antiqua"/>
          <w:b/>
          <w:color w:val="auto"/>
          <w:lang w:val="en-GB"/>
        </w:rPr>
      </w:pPr>
      <w:r w:rsidRPr="00C82350">
        <w:rPr>
          <w:rFonts w:ascii="Book Antiqua" w:hAnsi="Book Antiqua"/>
          <w:b/>
          <w:color w:val="auto"/>
          <w:lang w:val="en-GB"/>
        </w:rPr>
        <w:t xml:space="preserve">Liver </w:t>
      </w:r>
      <w:r w:rsidR="00F646A4" w:rsidRPr="00C82350">
        <w:rPr>
          <w:rFonts w:ascii="Book Antiqua" w:hAnsi="Book Antiqua"/>
          <w:b/>
          <w:color w:val="auto"/>
          <w:lang w:val="en-GB"/>
        </w:rPr>
        <w:t>t</w:t>
      </w:r>
      <w:r w:rsidRPr="00C82350">
        <w:rPr>
          <w:rFonts w:ascii="Book Antiqua" w:hAnsi="Book Antiqua"/>
          <w:b/>
          <w:color w:val="auto"/>
          <w:lang w:val="en-GB"/>
        </w:rPr>
        <w:t>ransplantation</w:t>
      </w:r>
      <w:r w:rsidR="00F646A4">
        <w:rPr>
          <w:rFonts w:ascii="Book Antiqua" w:hAnsi="Book Antiqua" w:hint="eastAsia"/>
          <w:b/>
          <w:color w:val="auto"/>
          <w:lang w:val="en-GB"/>
        </w:rPr>
        <w:t xml:space="preserve">: </w:t>
      </w:r>
      <w:r w:rsidRPr="00C82350">
        <w:rPr>
          <w:rFonts w:ascii="Book Antiqua" w:hAnsi="Book Antiqua"/>
          <w:color w:val="auto"/>
          <w:lang w:val="en-GB"/>
        </w:rPr>
        <w:t>NASH is becoming the most common indication to liver transplantation in Western Countries</w:t>
      </w:r>
      <w:r w:rsidR="002E2366" w:rsidRPr="00F646A4">
        <w:rPr>
          <w:rFonts w:ascii="Book Antiqua" w:hAnsi="Book Antiqua"/>
          <w:color w:val="auto"/>
          <w:vertAlign w:val="superscript"/>
          <w:lang w:val="en-GB"/>
        </w:rPr>
        <w:t>[</w:t>
      </w:r>
      <w:r w:rsidRPr="00F646A4">
        <w:rPr>
          <w:rFonts w:ascii="Book Antiqua" w:hAnsi="Book Antiqua"/>
          <w:color w:val="auto"/>
          <w:vertAlign w:val="superscript"/>
          <w:lang w:val="en-GB"/>
        </w:rPr>
        <w:t>67]</w:t>
      </w:r>
      <w:r w:rsidRPr="00C82350">
        <w:rPr>
          <w:rFonts w:ascii="Book Antiqua" w:hAnsi="Book Antiqua"/>
          <w:color w:val="auto"/>
          <w:lang w:val="en-GB"/>
        </w:rPr>
        <w:t>. Because of the high prev</w:t>
      </w:r>
      <w:r w:rsidR="00F646A4">
        <w:rPr>
          <w:rFonts w:ascii="Book Antiqua" w:hAnsi="Book Antiqua"/>
          <w:color w:val="auto"/>
          <w:lang w:val="en-GB"/>
        </w:rPr>
        <w:t xml:space="preserve">alence of obesity, sarcopenia, </w:t>
      </w:r>
      <w:r w:rsidRPr="00C82350">
        <w:rPr>
          <w:rFonts w:ascii="Book Antiqua" w:hAnsi="Book Antiqua"/>
          <w:color w:val="auto"/>
          <w:lang w:val="en-GB"/>
        </w:rPr>
        <w:t>cardiovascular disease and chronic kidney disease among patients with NASH, there is a higher frequency of post-transplant complications and increased graft loss</w:t>
      </w:r>
      <w:r w:rsidR="002E2366" w:rsidRPr="00F646A4">
        <w:rPr>
          <w:rFonts w:ascii="Book Antiqua" w:hAnsi="Book Antiqua"/>
          <w:color w:val="auto"/>
          <w:vertAlign w:val="superscript"/>
          <w:lang w:val="en-GB"/>
        </w:rPr>
        <w:t>[</w:t>
      </w:r>
      <w:r w:rsidRPr="00F646A4">
        <w:rPr>
          <w:rFonts w:ascii="Book Antiqua" w:hAnsi="Book Antiqua"/>
          <w:color w:val="auto"/>
          <w:vertAlign w:val="superscript"/>
          <w:lang w:val="en-GB"/>
        </w:rPr>
        <w:t>68,69]</w:t>
      </w:r>
      <w:r w:rsidRPr="00C82350">
        <w:rPr>
          <w:rFonts w:ascii="Book Antiqua" w:hAnsi="Book Antiqua"/>
          <w:color w:val="auto"/>
          <w:lang w:val="en-GB"/>
        </w:rPr>
        <w:t>.</w:t>
      </w:r>
      <w:r w:rsidR="00FC698D">
        <w:rPr>
          <w:rFonts w:ascii="Book Antiqua" w:hAnsi="Book Antiqua"/>
          <w:color w:val="auto"/>
          <w:lang w:val="en-GB"/>
        </w:rPr>
        <w:t xml:space="preserve"> </w:t>
      </w:r>
      <w:r w:rsidRPr="00C82350">
        <w:rPr>
          <w:rFonts w:ascii="Book Antiqua" w:hAnsi="Book Antiqua"/>
          <w:color w:val="auto"/>
          <w:lang w:val="en-GB"/>
        </w:rPr>
        <w:t>Because of the risk of prolonged ventilation, poor wound healing, higher rate of primary graft non-function, and increased infectious complications, patients with severe obesity (BMI &gt; 40 kg/m</w:t>
      </w:r>
      <w:r w:rsidRPr="00DD0CC3">
        <w:rPr>
          <w:rFonts w:ascii="Book Antiqua" w:hAnsi="Book Antiqua"/>
          <w:color w:val="auto"/>
          <w:vertAlign w:val="superscript"/>
          <w:lang w:val="en-GB"/>
        </w:rPr>
        <w:t>2</w:t>
      </w:r>
      <w:r w:rsidRPr="00C82350">
        <w:rPr>
          <w:rFonts w:ascii="Book Antiqua" w:hAnsi="Book Antiqua"/>
          <w:color w:val="auto"/>
          <w:lang w:val="en-GB"/>
        </w:rPr>
        <w:t>)</w:t>
      </w:r>
      <w:r w:rsidR="00FC698D">
        <w:rPr>
          <w:rFonts w:ascii="Book Antiqua" w:hAnsi="Book Antiqua"/>
          <w:color w:val="auto"/>
          <w:lang w:val="en-GB"/>
        </w:rPr>
        <w:t xml:space="preserve"> </w:t>
      </w:r>
      <w:r w:rsidRPr="00C82350">
        <w:rPr>
          <w:rFonts w:ascii="Book Antiqua" w:hAnsi="Book Antiqua"/>
          <w:color w:val="auto"/>
          <w:lang w:val="en-GB"/>
        </w:rPr>
        <w:t>may even be considered unﬁt for liver transplantation, unless efforts are made preoperatively to reduce body weight with individualized plans of lifestyle modiﬁcations</w:t>
      </w:r>
      <w:r w:rsidR="002E2366" w:rsidRPr="00F646A4">
        <w:rPr>
          <w:rFonts w:ascii="Book Antiqua" w:hAnsi="Book Antiqua"/>
          <w:color w:val="auto"/>
          <w:vertAlign w:val="superscript"/>
          <w:lang w:val="en-GB"/>
        </w:rPr>
        <w:t>[</w:t>
      </w:r>
      <w:r w:rsidRPr="00F646A4">
        <w:rPr>
          <w:rFonts w:ascii="Book Antiqua" w:hAnsi="Book Antiqua"/>
          <w:color w:val="auto"/>
          <w:vertAlign w:val="superscript"/>
          <w:lang w:val="en-GB"/>
        </w:rPr>
        <w:t>70]</w:t>
      </w:r>
      <w:r w:rsidRPr="00C82350">
        <w:rPr>
          <w:rFonts w:ascii="Book Antiqua" w:hAnsi="Book Antiqua"/>
          <w:color w:val="auto"/>
          <w:lang w:val="en-GB"/>
        </w:rPr>
        <w:t>.</w:t>
      </w:r>
    </w:p>
    <w:p w:rsidR="007C2761" w:rsidRPr="00C82350" w:rsidRDefault="007C2761" w:rsidP="00F646A4">
      <w:pPr>
        <w:widowControl w:val="0"/>
        <w:suppressAutoHyphens w:val="0"/>
        <w:adjustRightInd w:val="0"/>
        <w:snapToGrid w:val="0"/>
        <w:spacing w:after="0" w:line="360" w:lineRule="auto"/>
        <w:ind w:firstLineChars="100" w:firstLine="240"/>
        <w:jc w:val="both"/>
        <w:rPr>
          <w:rFonts w:ascii="Book Antiqua" w:hAnsi="Book Antiqua"/>
          <w:color w:val="auto"/>
          <w:lang w:val="en-GB"/>
        </w:rPr>
      </w:pPr>
      <w:r w:rsidRPr="00C82350">
        <w:rPr>
          <w:rFonts w:ascii="Book Antiqua" w:hAnsi="Book Antiqua"/>
          <w:color w:val="auto"/>
          <w:lang w:val="en-GB"/>
        </w:rPr>
        <w:t>AISF and NICE guidance do not mention liver transplantation. All of the remaining guidelines agree that liver transplantation is an acceptable procedure in NASH patients with an end-stage liver disease, with the same indications adopted for other etiologies of liver disease</w:t>
      </w:r>
      <w:r w:rsidR="002E2366" w:rsidRPr="00F646A4">
        <w:rPr>
          <w:rFonts w:ascii="Book Antiqua" w:hAnsi="Book Antiqua"/>
          <w:color w:val="auto"/>
          <w:vertAlign w:val="superscript"/>
          <w:lang w:val="en-GB"/>
        </w:rPr>
        <w:t>[</w:t>
      </w:r>
      <w:r w:rsidRPr="00F646A4">
        <w:rPr>
          <w:rFonts w:ascii="Book Antiqua" w:hAnsi="Book Antiqua"/>
          <w:color w:val="auto"/>
          <w:vertAlign w:val="superscript"/>
          <w:lang w:val="en-GB"/>
        </w:rPr>
        <w:t>3-8]</w:t>
      </w:r>
      <w:r w:rsidR="00F646A4">
        <w:rPr>
          <w:rFonts w:ascii="Book Antiqua" w:hAnsi="Book Antiqua"/>
          <w:color w:val="auto"/>
          <w:lang w:val="en-GB"/>
        </w:rPr>
        <w:t>.</w:t>
      </w:r>
    </w:p>
    <w:p w:rsidR="007C2761" w:rsidRPr="00C82350" w:rsidRDefault="007C2761" w:rsidP="00C82350">
      <w:pPr>
        <w:widowControl w:val="0"/>
        <w:suppressAutoHyphens w:val="0"/>
        <w:adjustRightInd w:val="0"/>
        <w:snapToGrid w:val="0"/>
        <w:spacing w:after="0" w:line="360" w:lineRule="auto"/>
        <w:jc w:val="both"/>
        <w:rPr>
          <w:rFonts w:ascii="Book Antiqua" w:hAnsi="Book Antiqua"/>
          <w:color w:val="auto"/>
          <w:lang w:val="en-GB"/>
        </w:rPr>
      </w:pPr>
    </w:p>
    <w:p w:rsidR="007C2761" w:rsidRPr="00C82350" w:rsidRDefault="003806BE" w:rsidP="00C82350">
      <w:pPr>
        <w:widowControl w:val="0"/>
        <w:suppressAutoHyphens w:val="0"/>
        <w:adjustRightInd w:val="0"/>
        <w:snapToGrid w:val="0"/>
        <w:spacing w:after="0" w:line="360" w:lineRule="auto"/>
        <w:jc w:val="both"/>
        <w:rPr>
          <w:rFonts w:ascii="Book Antiqua" w:hAnsi="Book Antiqua"/>
          <w:b/>
          <w:color w:val="auto"/>
          <w:lang w:val="en-GB"/>
        </w:rPr>
      </w:pPr>
      <w:r>
        <w:rPr>
          <w:rFonts w:ascii="Book Antiqua" w:hAnsi="Book Antiqua"/>
          <w:b/>
          <w:color w:val="auto"/>
          <w:lang w:val="en-GB"/>
        </w:rPr>
        <w:lastRenderedPageBreak/>
        <w:t>CONCLUSION</w:t>
      </w:r>
    </w:p>
    <w:p w:rsidR="007C2761" w:rsidRPr="00C82350" w:rsidRDefault="007C2761" w:rsidP="00C82350">
      <w:pPr>
        <w:widowControl w:val="0"/>
        <w:suppressAutoHyphens w:val="0"/>
        <w:adjustRightInd w:val="0"/>
        <w:snapToGrid w:val="0"/>
        <w:spacing w:after="0" w:line="360" w:lineRule="auto"/>
        <w:jc w:val="both"/>
        <w:rPr>
          <w:rFonts w:ascii="Book Antiqua" w:hAnsi="Book Antiqua"/>
          <w:color w:val="auto"/>
          <w:lang w:val="en-GB"/>
        </w:rPr>
      </w:pPr>
      <w:r w:rsidRPr="00C82350">
        <w:rPr>
          <w:rFonts w:ascii="Book Antiqua" w:hAnsi="Book Antiqua"/>
          <w:color w:val="auto"/>
          <w:lang w:val="en-GB"/>
        </w:rPr>
        <w:t>The comparative analysis of the most recent international guidelines for the management of NAFLD showed some common orientation between the different recommendations, as well as diverging points. The most notable differences involved: the identification of the alcohol threshold defining NAFLD, the screening strategies in high-risk populations, the preferred non-invasive biomarkers for the assessment of advanced fibrosis, and the pharmacological treatment. These differences should not be necessarily seen as a limitation, but rather an expression of the geographical differences in genetic predisposition to NAFLD, lifestyle habits, healthcare systems. Arguably, the similarity in the recommendations could greatly help in ensuring homogenous management of NALFD all over the world, with favourable repercussions both in clinical practice and in clinical trials. In the next years, we might see a trend toward more homogenous guidelines thanks to the increasing body of evidence. In particular, the advancements in the imaging technologies could lead to new and widely accepted noninvasive methods to assess advanced liver fibrosis. Moreover, some clinical trials are investigating potentially effective drugs. If positive, the currently diverging pharmacological recommendations may reach a higher concordance. NAFLD is becoming a leading field of research in hepatology: new evidence is destined to change the current landscape of knowledge, prompting greater benefits to the patients as well as changes in the recommendations for clinical practice.</w:t>
      </w:r>
    </w:p>
    <w:p w:rsidR="007C2761" w:rsidRPr="00C82350" w:rsidRDefault="007C2761" w:rsidP="00C82350">
      <w:pPr>
        <w:widowControl w:val="0"/>
        <w:suppressAutoHyphens w:val="0"/>
        <w:adjustRightInd w:val="0"/>
        <w:snapToGrid w:val="0"/>
        <w:spacing w:after="0" w:line="360" w:lineRule="auto"/>
        <w:jc w:val="both"/>
        <w:rPr>
          <w:rFonts w:ascii="Book Antiqua" w:hAnsi="Book Antiqua"/>
          <w:b/>
          <w:color w:val="auto"/>
          <w:lang w:val="en-GB"/>
        </w:rPr>
      </w:pPr>
    </w:p>
    <w:p w:rsidR="007C2761" w:rsidRPr="00C82350" w:rsidRDefault="007C2761" w:rsidP="00C82350">
      <w:pPr>
        <w:widowControl w:val="0"/>
        <w:suppressAutoHyphens w:val="0"/>
        <w:adjustRightInd w:val="0"/>
        <w:snapToGrid w:val="0"/>
        <w:spacing w:after="0" w:line="360" w:lineRule="auto"/>
        <w:jc w:val="both"/>
        <w:rPr>
          <w:rFonts w:ascii="Book Antiqua" w:hAnsi="Book Antiqua"/>
          <w:b/>
          <w:color w:val="auto"/>
          <w:lang w:val="en-GB"/>
        </w:rPr>
      </w:pPr>
      <w:r w:rsidRPr="00C82350">
        <w:rPr>
          <w:rFonts w:ascii="Book Antiqua" w:hAnsi="Book Antiqua"/>
          <w:b/>
          <w:color w:val="auto"/>
          <w:lang w:val="en-GB"/>
        </w:rPr>
        <w:br w:type="page"/>
      </w:r>
      <w:r w:rsidRPr="00C82350">
        <w:rPr>
          <w:rFonts w:ascii="Book Antiqua" w:hAnsi="Book Antiqua"/>
          <w:b/>
          <w:color w:val="auto"/>
          <w:lang w:val="en-GB"/>
        </w:rPr>
        <w:lastRenderedPageBreak/>
        <w:t>REFERENCES</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1 </w:t>
      </w:r>
      <w:r w:rsidRPr="00B13942">
        <w:rPr>
          <w:rFonts w:ascii="Book Antiqua" w:hAnsi="Book Antiqua"/>
          <w:b/>
          <w:color w:val="auto"/>
          <w:kern w:val="2"/>
          <w:lang w:val="en-US"/>
        </w:rPr>
        <w:t>De Minicis S</w:t>
      </w:r>
      <w:r w:rsidRPr="00B13942">
        <w:rPr>
          <w:rFonts w:ascii="Book Antiqua" w:hAnsi="Book Antiqua"/>
          <w:color w:val="auto"/>
          <w:kern w:val="2"/>
          <w:lang w:val="en-US"/>
        </w:rPr>
        <w:t xml:space="preserve">, Day C, Svegliati-Baroni G. From NAFLD to NASH and HCC: pathogenetic mechanisms and therapeutic insights. </w:t>
      </w:r>
      <w:r w:rsidRPr="00B13942">
        <w:rPr>
          <w:rFonts w:ascii="Book Antiqua" w:hAnsi="Book Antiqua"/>
          <w:i/>
          <w:color w:val="auto"/>
          <w:kern w:val="2"/>
          <w:lang w:val="en-US"/>
        </w:rPr>
        <w:t>Curr Pharm Des</w:t>
      </w:r>
      <w:r w:rsidRPr="00B13942">
        <w:rPr>
          <w:rFonts w:ascii="Book Antiqua" w:hAnsi="Book Antiqua"/>
          <w:color w:val="auto"/>
          <w:kern w:val="2"/>
          <w:lang w:val="en-US"/>
        </w:rPr>
        <w:t xml:space="preserve"> 2013; </w:t>
      </w:r>
      <w:r w:rsidRPr="00B13942">
        <w:rPr>
          <w:rFonts w:ascii="Book Antiqua" w:hAnsi="Book Antiqua"/>
          <w:b/>
          <w:color w:val="auto"/>
          <w:kern w:val="2"/>
          <w:lang w:val="en-US"/>
        </w:rPr>
        <w:t>19</w:t>
      </w:r>
      <w:r w:rsidRPr="00B13942">
        <w:rPr>
          <w:rFonts w:ascii="Book Antiqua" w:hAnsi="Book Antiqua"/>
          <w:color w:val="auto"/>
          <w:kern w:val="2"/>
          <w:lang w:val="en-US"/>
        </w:rPr>
        <w:t>: 5239-5249 [PMID: 23394093]</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2 </w:t>
      </w:r>
      <w:r w:rsidRPr="00B13942">
        <w:rPr>
          <w:rFonts w:ascii="Book Antiqua" w:hAnsi="Book Antiqua"/>
          <w:b/>
          <w:color w:val="auto"/>
          <w:kern w:val="2"/>
          <w:lang w:val="en-US"/>
        </w:rPr>
        <w:t>Schwimmer JB</w:t>
      </w:r>
      <w:r w:rsidRPr="00B13942">
        <w:rPr>
          <w:rFonts w:ascii="Book Antiqua" w:hAnsi="Book Antiqua"/>
          <w:color w:val="auto"/>
          <w:kern w:val="2"/>
          <w:lang w:val="en-US"/>
        </w:rPr>
        <w:t xml:space="preserve">, Deutsch R, Kahen T, Lavine JE, Stanley C, Behling C. Prevalence of fatty liver in children and adolescents. </w:t>
      </w:r>
      <w:r w:rsidRPr="00B13942">
        <w:rPr>
          <w:rFonts w:ascii="Book Antiqua" w:hAnsi="Book Antiqua"/>
          <w:i/>
          <w:color w:val="auto"/>
          <w:kern w:val="2"/>
          <w:lang w:val="en-US"/>
        </w:rPr>
        <w:t>Pediatrics</w:t>
      </w:r>
      <w:r w:rsidRPr="00B13942">
        <w:rPr>
          <w:rFonts w:ascii="Book Antiqua" w:hAnsi="Book Antiqua"/>
          <w:color w:val="auto"/>
          <w:kern w:val="2"/>
          <w:lang w:val="en-US"/>
        </w:rPr>
        <w:t xml:space="preserve"> 2006; </w:t>
      </w:r>
      <w:r w:rsidRPr="00B13942">
        <w:rPr>
          <w:rFonts w:ascii="Book Antiqua" w:hAnsi="Book Antiqua"/>
          <w:b/>
          <w:color w:val="auto"/>
          <w:kern w:val="2"/>
          <w:lang w:val="en-US"/>
        </w:rPr>
        <w:t>118</w:t>
      </w:r>
      <w:r w:rsidRPr="00B13942">
        <w:rPr>
          <w:rFonts w:ascii="Book Antiqua" w:hAnsi="Book Antiqua"/>
          <w:color w:val="auto"/>
          <w:kern w:val="2"/>
          <w:lang w:val="en-US"/>
        </w:rPr>
        <w:t>: 1388-1393 [PMID: 17015527 DOI: 10.1542/peds.2006-1212]</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3 </w:t>
      </w:r>
      <w:r w:rsidRPr="00B13942">
        <w:rPr>
          <w:rFonts w:ascii="Book Antiqua" w:hAnsi="Book Antiqua"/>
          <w:b/>
          <w:color w:val="auto"/>
          <w:kern w:val="2"/>
          <w:lang w:val="en-US"/>
        </w:rPr>
        <w:t>European Association for the Study of the Liver (EASL).</w:t>
      </w:r>
      <w:r w:rsidRPr="00B13942">
        <w:rPr>
          <w:rFonts w:ascii="Book Antiqua" w:hAnsi="Book Antiqua" w:hint="eastAsia"/>
          <w:color w:val="auto"/>
          <w:kern w:val="2"/>
          <w:lang w:val="en-US"/>
        </w:rPr>
        <w:t xml:space="preserve"> </w:t>
      </w:r>
      <w:r w:rsidRPr="00B13942">
        <w:rPr>
          <w:rFonts w:ascii="Book Antiqua" w:hAnsi="Book Antiqua"/>
          <w:color w:val="auto"/>
          <w:kern w:val="2"/>
          <w:lang w:val="en-US"/>
        </w:rPr>
        <w:t xml:space="preserve">European Association for the Study of Diabetes (EASD); European Association for the Study of Obesity (EASO). EASL-EASD-EASO Clinical Practice Guidelines for the management of non-alcoholic fatty liver disease. </w:t>
      </w:r>
      <w:r w:rsidRPr="00B13942">
        <w:rPr>
          <w:rFonts w:ascii="Book Antiqua" w:hAnsi="Book Antiqua"/>
          <w:i/>
          <w:color w:val="auto"/>
          <w:kern w:val="2"/>
          <w:lang w:val="en-US"/>
        </w:rPr>
        <w:t>J Hepatol</w:t>
      </w:r>
      <w:r w:rsidRPr="00B13942">
        <w:rPr>
          <w:rFonts w:ascii="Book Antiqua" w:hAnsi="Book Antiqua"/>
          <w:color w:val="auto"/>
          <w:kern w:val="2"/>
          <w:lang w:val="en-US"/>
        </w:rPr>
        <w:t xml:space="preserve"> 2016; </w:t>
      </w:r>
      <w:r w:rsidRPr="00B13942">
        <w:rPr>
          <w:rFonts w:ascii="Book Antiqua" w:hAnsi="Book Antiqua"/>
          <w:b/>
          <w:color w:val="auto"/>
          <w:kern w:val="2"/>
          <w:lang w:val="en-US"/>
        </w:rPr>
        <w:t>64</w:t>
      </w:r>
      <w:r w:rsidRPr="00B13942">
        <w:rPr>
          <w:rFonts w:ascii="Book Antiqua" w:hAnsi="Book Antiqua"/>
          <w:color w:val="auto"/>
          <w:kern w:val="2"/>
          <w:lang w:val="en-US"/>
        </w:rPr>
        <w:t>: 1388-1402 [PMID: 27062661 DOI: 10.1016/j.jhep.2015.11.004]</w:t>
      </w:r>
    </w:p>
    <w:p w:rsidR="00B13942" w:rsidRPr="00B13942" w:rsidRDefault="00B13942" w:rsidP="00B13942">
      <w:pPr>
        <w:widowControl w:val="0"/>
        <w:suppressAutoHyphens w:val="0"/>
        <w:spacing w:after="0" w:line="360" w:lineRule="auto"/>
        <w:jc w:val="both"/>
        <w:rPr>
          <w:rFonts w:ascii="Book Antiqua" w:hAnsi="Book Antiqua" w:cs="Book Antiqua"/>
          <w:color w:val="auto"/>
          <w:szCs w:val="22"/>
          <w:lang w:val="en-US"/>
        </w:rPr>
      </w:pPr>
      <w:r w:rsidRPr="00B13942">
        <w:rPr>
          <w:rFonts w:ascii="Book Antiqua" w:hAnsi="Book Antiqua"/>
          <w:color w:val="auto"/>
          <w:kern w:val="2"/>
          <w:lang w:val="en-US"/>
        </w:rPr>
        <w:t xml:space="preserve">4) National Institute for Health and Care Excellence (UK). Non-Alcoholic Fatty Liver Disease: Assessment and Management. </w:t>
      </w:r>
      <w:bookmarkStart w:id="47" w:name="OLE_LINK695"/>
      <w:r w:rsidRPr="00B13942">
        <w:rPr>
          <w:rFonts w:ascii="Book Antiqua" w:hAnsi="Book Antiqua" w:cs="Book Antiqua"/>
          <w:color w:val="auto"/>
          <w:szCs w:val="22"/>
          <w:lang w:val="en-US"/>
        </w:rPr>
        <w:t>Available from: URL:</w:t>
      </w:r>
      <w:r w:rsidRPr="00B13942">
        <w:rPr>
          <w:rFonts w:ascii="Book Antiqua" w:hAnsi="Book Antiqua" w:cs="Book Antiqua" w:hint="eastAsia"/>
          <w:color w:val="auto"/>
          <w:szCs w:val="22"/>
          <w:lang w:val="en-US"/>
        </w:rPr>
        <w:t xml:space="preserve"> http//</w:t>
      </w:r>
      <w:bookmarkEnd w:id="47"/>
      <w:r w:rsidRPr="00B13942">
        <w:rPr>
          <w:rFonts w:ascii="Book Antiqua" w:hAnsi="Book Antiqua"/>
          <w:color w:val="auto"/>
          <w:kern w:val="2"/>
          <w:lang w:val="en-US"/>
        </w:rPr>
        <w:t>www.niceorg.uk\guidance\ng49</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5 </w:t>
      </w:r>
      <w:r w:rsidRPr="00B13942">
        <w:rPr>
          <w:rFonts w:ascii="Book Antiqua" w:hAnsi="Book Antiqua"/>
          <w:b/>
          <w:color w:val="auto"/>
          <w:kern w:val="2"/>
          <w:lang w:val="en-US"/>
        </w:rPr>
        <w:t>Wong VW</w:t>
      </w:r>
      <w:r w:rsidRPr="00B13942">
        <w:rPr>
          <w:rFonts w:ascii="Book Antiqua" w:hAnsi="Book Antiqua"/>
          <w:color w:val="auto"/>
          <w:kern w:val="2"/>
          <w:lang w:val="en-US"/>
        </w:rPr>
        <w:t xml:space="preserve">, Chan WK, Chitturi S, Chawla Y, Dan YY, Duseja A, Fan J, Goh KL, Hamaguchi M, Hashimoto E, Kim SU, Lesmana LA, Lin YC, Liu CJ, Ni YH, Sollano J, Wong SK, Wong GL, Chan HL, Farrell G. Asia-Pacific Working Party on Non-alcoholic Fatty Liver Disease guidelines 2017-Part 1: Definition, risk factors and assessment. </w:t>
      </w:r>
      <w:r w:rsidRPr="00B13942">
        <w:rPr>
          <w:rFonts w:ascii="Book Antiqua" w:hAnsi="Book Antiqua"/>
          <w:i/>
          <w:color w:val="auto"/>
          <w:kern w:val="2"/>
          <w:lang w:val="en-US"/>
        </w:rPr>
        <w:t>J Gastroenterol Hepatol</w:t>
      </w:r>
      <w:r w:rsidRPr="00B13942">
        <w:rPr>
          <w:rFonts w:ascii="Book Antiqua" w:hAnsi="Book Antiqua"/>
          <w:color w:val="auto"/>
          <w:kern w:val="2"/>
          <w:lang w:val="en-US"/>
        </w:rPr>
        <w:t xml:space="preserve"> 2018; </w:t>
      </w:r>
      <w:r w:rsidRPr="00B13942">
        <w:rPr>
          <w:rFonts w:ascii="Book Antiqua" w:hAnsi="Book Antiqua"/>
          <w:b/>
          <w:color w:val="auto"/>
          <w:kern w:val="2"/>
          <w:lang w:val="en-US"/>
        </w:rPr>
        <w:t>33</w:t>
      </w:r>
      <w:r w:rsidRPr="00B13942">
        <w:rPr>
          <w:rFonts w:ascii="Book Antiqua" w:hAnsi="Book Antiqua"/>
          <w:color w:val="auto"/>
          <w:kern w:val="2"/>
          <w:lang w:val="en-US"/>
        </w:rPr>
        <w:t>: 70-85 [PMID: 28670712 DOI: 10.1111/jgh.13857]</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6 </w:t>
      </w:r>
      <w:r w:rsidRPr="00B13942">
        <w:rPr>
          <w:rFonts w:ascii="Book Antiqua" w:hAnsi="Book Antiqua"/>
          <w:b/>
          <w:color w:val="auto"/>
          <w:kern w:val="2"/>
          <w:lang w:val="en-US"/>
        </w:rPr>
        <w:t>Chitturi S</w:t>
      </w:r>
      <w:r w:rsidRPr="00B13942">
        <w:rPr>
          <w:rFonts w:ascii="Book Antiqua" w:hAnsi="Book Antiqua"/>
          <w:color w:val="auto"/>
          <w:kern w:val="2"/>
          <w:lang w:val="en-US"/>
        </w:rPr>
        <w:t xml:space="preserve">, Wong VW, Chan WK, Wong GL, Wong SK, Sollano J, Ni YH, Liu CJ, Lin YC, Lesmana LA, Kim SU, Hashimoto E, Hamaguchi M, Goh KL, Fan J, Duseja A, Dan YY, Chawla Y, Farrell G, Chan HL. The Asia-Pacific Working Party on Non-alcoholic Fatty Liver Disease guidelines 2017-Part 2: Management and special groups. </w:t>
      </w:r>
      <w:r w:rsidRPr="00B13942">
        <w:rPr>
          <w:rFonts w:ascii="Book Antiqua" w:hAnsi="Book Antiqua"/>
          <w:i/>
          <w:color w:val="auto"/>
          <w:kern w:val="2"/>
          <w:lang w:val="en-US"/>
        </w:rPr>
        <w:t>J Gastroenterol Hepatol</w:t>
      </w:r>
      <w:r w:rsidRPr="00B13942">
        <w:rPr>
          <w:rFonts w:ascii="Book Antiqua" w:hAnsi="Book Antiqua"/>
          <w:color w:val="auto"/>
          <w:kern w:val="2"/>
          <w:lang w:val="en-US"/>
        </w:rPr>
        <w:t xml:space="preserve"> 2018; </w:t>
      </w:r>
      <w:r w:rsidRPr="00B13942">
        <w:rPr>
          <w:rFonts w:ascii="Book Antiqua" w:hAnsi="Book Antiqua"/>
          <w:b/>
          <w:color w:val="auto"/>
          <w:kern w:val="2"/>
          <w:lang w:val="en-US"/>
        </w:rPr>
        <w:t>33</w:t>
      </w:r>
      <w:r w:rsidRPr="00B13942">
        <w:rPr>
          <w:rFonts w:ascii="Book Antiqua" w:hAnsi="Book Antiqua"/>
          <w:color w:val="auto"/>
          <w:kern w:val="2"/>
          <w:lang w:val="en-US"/>
        </w:rPr>
        <w:t>: 86-98 [PMID: 28692197 DOI: 10.1111/jgh.13856]</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7 </w:t>
      </w:r>
      <w:r w:rsidRPr="00B13942">
        <w:rPr>
          <w:rFonts w:ascii="Book Antiqua" w:hAnsi="Book Antiqua"/>
          <w:b/>
          <w:color w:val="auto"/>
          <w:kern w:val="2"/>
          <w:lang w:val="en-US"/>
        </w:rPr>
        <w:t>Italian Association for the Study of the Liver (AISF)</w:t>
      </w:r>
      <w:r w:rsidRPr="00B13942">
        <w:rPr>
          <w:rFonts w:ascii="Book Antiqua" w:hAnsi="Book Antiqua" w:hint="eastAsia"/>
          <w:color w:val="auto"/>
          <w:kern w:val="2"/>
          <w:lang w:val="en-US"/>
        </w:rPr>
        <w:t xml:space="preserve">. </w:t>
      </w:r>
      <w:r w:rsidRPr="00B13942">
        <w:rPr>
          <w:rFonts w:ascii="Book Antiqua" w:hAnsi="Book Antiqua"/>
          <w:color w:val="auto"/>
          <w:kern w:val="2"/>
          <w:lang w:val="en-US"/>
        </w:rPr>
        <w:t xml:space="preserve">AISF position paper on nonalcoholic fatty liver disease (NAFLD): Updates and future directions. </w:t>
      </w:r>
      <w:r w:rsidRPr="00B13942">
        <w:rPr>
          <w:rFonts w:ascii="Book Antiqua" w:hAnsi="Book Antiqua"/>
          <w:i/>
          <w:color w:val="auto"/>
          <w:kern w:val="2"/>
          <w:lang w:val="en-US"/>
        </w:rPr>
        <w:t>Dig Liver Dis</w:t>
      </w:r>
      <w:r w:rsidRPr="00B13942">
        <w:rPr>
          <w:rFonts w:ascii="Book Antiqua" w:hAnsi="Book Antiqua"/>
          <w:color w:val="auto"/>
          <w:kern w:val="2"/>
          <w:lang w:val="en-US"/>
        </w:rPr>
        <w:t xml:space="preserve"> 2017; </w:t>
      </w:r>
      <w:r w:rsidRPr="00B13942">
        <w:rPr>
          <w:rFonts w:ascii="Book Antiqua" w:hAnsi="Book Antiqua"/>
          <w:b/>
          <w:color w:val="auto"/>
          <w:kern w:val="2"/>
          <w:lang w:val="en-US"/>
        </w:rPr>
        <w:t>49</w:t>
      </w:r>
      <w:r w:rsidRPr="00B13942">
        <w:rPr>
          <w:rFonts w:ascii="Book Antiqua" w:hAnsi="Book Antiqua"/>
          <w:color w:val="auto"/>
          <w:kern w:val="2"/>
          <w:lang w:val="en-US"/>
        </w:rPr>
        <w:t>: 471-483 [PMID: 28215516 DOI: 10.1016/j.dld.2017.01.147]</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8 </w:t>
      </w:r>
      <w:r w:rsidRPr="00B13942">
        <w:rPr>
          <w:rFonts w:ascii="Book Antiqua" w:hAnsi="Book Antiqua"/>
          <w:b/>
          <w:color w:val="auto"/>
          <w:kern w:val="2"/>
          <w:lang w:val="en-US"/>
        </w:rPr>
        <w:t>Chalasani N</w:t>
      </w:r>
      <w:r w:rsidRPr="00B13942">
        <w:rPr>
          <w:rFonts w:ascii="Book Antiqua" w:hAnsi="Book Antiqua"/>
          <w:color w:val="auto"/>
          <w:kern w:val="2"/>
          <w:lang w:val="en-US"/>
        </w:rPr>
        <w:t xml:space="preserve">, Younossi Z, Lavine JE, Charlton M, Cusi K, Rinella M, Harrison SA, Brunt EM, Sanyal AJ. The diagnosis and management of nonalcoholic fatty liver disease: Practice guidance from the American Association for the Study of Liver Diseases. </w:t>
      </w:r>
      <w:r w:rsidRPr="00B13942">
        <w:rPr>
          <w:rFonts w:ascii="Book Antiqua" w:hAnsi="Book Antiqua"/>
          <w:i/>
          <w:color w:val="auto"/>
          <w:kern w:val="2"/>
          <w:lang w:val="en-US"/>
        </w:rPr>
        <w:t>Hepatology</w:t>
      </w:r>
      <w:r w:rsidRPr="00B13942">
        <w:rPr>
          <w:rFonts w:ascii="Book Antiqua" w:hAnsi="Book Antiqua"/>
          <w:color w:val="auto"/>
          <w:kern w:val="2"/>
          <w:lang w:val="en-US"/>
        </w:rPr>
        <w:t xml:space="preserve"> 2018; </w:t>
      </w:r>
      <w:r w:rsidRPr="00B13942">
        <w:rPr>
          <w:rFonts w:ascii="Book Antiqua" w:hAnsi="Book Antiqua"/>
          <w:b/>
          <w:color w:val="auto"/>
          <w:kern w:val="2"/>
          <w:lang w:val="en-US"/>
        </w:rPr>
        <w:t>67</w:t>
      </w:r>
      <w:r w:rsidRPr="00B13942">
        <w:rPr>
          <w:rFonts w:ascii="Book Antiqua" w:hAnsi="Book Antiqua"/>
          <w:color w:val="auto"/>
          <w:kern w:val="2"/>
          <w:lang w:val="en-US"/>
        </w:rPr>
        <w:t>: 328-357 [PMID: 28714183 DOI: 10.1002/hep.29367]</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lastRenderedPageBreak/>
        <w:t xml:space="preserve">9 </w:t>
      </w:r>
      <w:r w:rsidRPr="00B13942">
        <w:rPr>
          <w:rFonts w:ascii="Book Antiqua" w:hAnsi="Book Antiqua"/>
          <w:b/>
          <w:color w:val="auto"/>
          <w:kern w:val="2"/>
          <w:lang w:val="en-US"/>
        </w:rPr>
        <w:t>Paradis V</w:t>
      </w:r>
      <w:r w:rsidRPr="00B13942">
        <w:rPr>
          <w:rFonts w:ascii="Book Antiqua" w:hAnsi="Book Antiqua"/>
          <w:color w:val="auto"/>
          <w:kern w:val="2"/>
          <w:lang w:val="en-US"/>
        </w:rPr>
        <w:t xml:space="preserve">, Zalinski S, Chelbi E, Guedj N, Degos F, Vilgrain V, Bedossa P, Belghiti J. Hepatocellular carcinomas in patients with metabolic syndrome often develop without significant liver fibrosis: a pathological analysis. </w:t>
      </w:r>
      <w:r w:rsidRPr="00B13942">
        <w:rPr>
          <w:rFonts w:ascii="Book Antiqua" w:hAnsi="Book Antiqua"/>
          <w:i/>
          <w:color w:val="auto"/>
          <w:kern w:val="2"/>
          <w:lang w:val="en-US"/>
        </w:rPr>
        <w:t>Hepatology</w:t>
      </w:r>
      <w:r w:rsidRPr="00B13942">
        <w:rPr>
          <w:rFonts w:ascii="Book Antiqua" w:hAnsi="Book Antiqua"/>
          <w:color w:val="auto"/>
          <w:kern w:val="2"/>
          <w:lang w:val="en-US"/>
        </w:rPr>
        <w:t xml:space="preserve"> 2009; </w:t>
      </w:r>
      <w:r w:rsidRPr="00B13942">
        <w:rPr>
          <w:rFonts w:ascii="Book Antiqua" w:hAnsi="Book Antiqua"/>
          <w:b/>
          <w:color w:val="auto"/>
          <w:kern w:val="2"/>
          <w:lang w:val="en-US"/>
        </w:rPr>
        <w:t>49</w:t>
      </w:r>
      <w:r w:rsidRPr="00B13942">
        <w:rPr>
          <w:rFonts w:ascii="Book Antiqua" w:hAnsi="Book Antiqua"/>
          <w:color w:val="auto"/>
          <w:kern w:val="2"/>
          <w:lang w:val="en-US"/>
        </w:rPr>
        <w:t>: 851-859 [PMID: 19115377 DOI: 10.1002/hep.22734]</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10 </w:t>
      </w:r>
      <w:r w:rsidRPr="00B13942">
        <w:rPr>
          <w:rFonts w:ascii="Book Antiqua" w:hAnsi="Book Antiqua"/>
          <w:b/>
          <w:color w:val="auto"/>
          <w:kern w:val="2"/>
          <w:lang w:val="en-US"/>
        </w:rPr>
        <w:t>Piscaglia F</w:t>
      </w:r>
      <w:r w:rsidRPr="00B13942">
        <w:rPr>
          <w:rFonts w:ascii="Book Antiqua" w:hAnsi="Book Antiqua"/>
          <w:color w:val="auto"/>
          <w:kern w:val="2"/>
          <w:lang w:val="en-US"/>
        </w:rPr>
        <w:t xml:space="preserve">, Svegliati-Baroni G, Barchetti A, Pecorelli A, Marinelli S, Tiribelli C, Bellentani S; HCC-NAFLD Italian Study Group. Clinical patterns of hepatocellular carcinoma in nonalcoholic fatty liver disease: A multicenter prospective study. </w:t>
      </w:r>
      <w:r w:rsidRPr="00B13942">
        <w:rPr>
          <w:rFonts w:ascii="Book Antiqua" w:hAnsi="Book Antiqua"/>
          <w:i/>
          <w:color w:val="auto"/>
          <w:kern w:val="2"/>
          <w:lang w:val="en-US"/>
        </w:rPr>
        <w:t>Hepatology</w:t>
      </w:r>
      <w:r w:rsidRPr="00B13942">
        <w:rPr>
          <w:rFonts w:ascii="Book Antiqua" w:hAnsi="Book Antiqua"/>
          <w:color w:val="auto"/>
          <w:kern w:val="2"/>
          <w:lang w:val="en-US"/>
        </w:rPr>
        <w:t xml:space="preserve"> 2016; </w:t>
      </w:r>
      <w:r w:rsidRPr="00B13942">
        <w:rPr>
          <w:rFonts w:ascii="Book Antiqua" w:hAnsi="Book Antiqua"/>
          <w:b/>
          <w:color w:val="auto"/>
          <w:kern w:val="2"/>
          <w:lang w:val="en-US"/>
        </w:rPr>
        <w:t>63</w:t>
      </w:r>
      <w:r w:rsidRPr="00B13942">
        <w:rPr>
          <w:rFonts w:ascii="Book Antiqua" w:hAnsi="Book Antiqua"/>
          <w:color w:val="auto"/>
          <w:kern w:val="2"/>
          <w:lang w:val="en-US"/>
        </w:rPr>
        <w:t>: 827-838 [PMID: 26599351 DOI: 10.1002/hep.28368]</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11 </w:t>
      </w:r>
      <w:r w:rsidRPr="00B13942">
        <w:rPr>
          <w:rFonts w:ascii="Book Antiqua" w:hAnsi="Book Antiqua"/>
          <w:b/>
          <w:color w:val="auto"/>
          <w:kern w:val="2"/>
          <w:lang w:val="en-US"/>
        </w:rPr>
        <w:t>Portillo-Sanchez P</w:t>
      </w:r>
      <w:r w:rsidRPr="00B13942">
        <w:rPr>
          <w:rFonts w:ascii="Book Antiqua" w:hAnsi="Book Antiqua"/>
          <w:color w:val="auto"/>
          <w:kern w:val="2"/>
          <w:lang w:val="en-US"/>
        </w:rPr>
        <w:t xml:space="preserve">, Bril F, Maximos M, Lomonaco R, Biernacki D, Orsak B, Subbarayan S, Webb A, Hecht J, Cusi K. High Prevalence of Nonalcoholic Fatty Liver Disease in Patients With Type 2 Diabetes Mellitus and Normal Plasma Aminotransferase Levels. </w:t>
      </w:r>
      <w:r w:rsidRPr="00B13942">
        <w:rPr>
          <w:rFonts w:ascii="Book Antiqua" w:hAnsi="Book Antiqua"/>
          <w:i/>
          <w:color w:val="auto"/>
          <w:kern w:val="2"/>
          <w:lang w:val="en-US"/>
        </w:rPr>
        <w:t>J Clin Endocrinol Metab</w:t>
      </w:r>
      <w:r w:rsidRPr="00B13942">
        <w:rPr>
          <w:rFonts w:ascii="Book Antiqua" w:hAnsi="Book Antiqua"/>
          <w:color w:val="auto"/>
          <w:kern w:val="2"/>
          <w:lang w:val="en-US"/>
        </w:rPr>
        <w:t xml:space="preserve"> 2015; </w:t>
      </w:r>
      <w:r w:rsidRPr="00B13942">
        <w:rPr>
          <w:rFonts w:ascii="Book Antiqua" w:hAnsi="Book Antiqua"/>
          <w:b/>
          <w:color w:val="auto"/>
          <w:kern w:val="2"/>
          <w:lang w:val="en-US"/>
        </w:rPr>
        <w:t>100</w:t>
      </w:r>
      <w:r w:rsidRPr="00B13942">
        <w:rPr>
          <w:rFonts w:ascii="Book Antiqua" w:hAnsi="Book Antiqua"/>
          <w:color w:val="auto"/>
          <w:kern w:val="2"/>
          <w:lang w:val="en-US"/>
        </w:rPr>
        <w:t>: 2231-2238 [PMID: 25885947 DOI: 10.1210/jc.2015-1966]</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12 </w:t>
      </w:r>
      <w:r w:rsidRPr="00B13942">
        <w:rPr>
          <w:rFonts w:ascii="Book Antiqua" w:hAnsi="Book Antiqua"/>
          <w:b/>
          <w:color w:val="auto"/>
          <w:kern w:val="2"/>
          <w:lang w:val="en-US"/>
        </w:rPr>
        <w:t>Koehler EM</w:t>
      </w:r>
      <w:r w:rsidRPr="00B13942">
        <w:rPr>
          <w:rFonts w:ascii="Book Antiqua" w:hAnsi="Book Antiqua"/>
          <w:color w:val="auto"/>
          <w:kern w:val="2"/>
          <w:lang w:val="en-US"/>
        </w:rPr>
        <w:t xml:space="preserve">, Plompen EP, Schouten JN, Hansen BE, Darwish Murad S, Taimr P, Leebeek FW, Hofman A, Stricker BH, Castera L, Janssen HL. Presence of diabetes mellitus and steatosis is associated with liver stiffness in a general population: The Rotterdam study. </w:t>
      </w:r>
      <w:r w:rsidRPr="00B13942">
        <w:rPr>
          <w:rFonts w:ascii="Book Antiqua" w:hAnsi="Book Antiqua"/>
          <w:i/>
          <w:color w:val="auto"/>
          <w:kern w:val="2"/>
          <w:lang w:val="en-US"/>
        </w:rPr>
        <w:t>Hepatology</w:t>
      </w:r>
      <w:r w:rsidRPr="00B13942">
        <w:rPr>
          <w:rFonts w:ascii="Book Antiqua" w:hAnsi="Book Antiqua"/>
          <w:color w:val="auto"/>
          <w:kern w:val="2"/>
          <w:lang w:val="en-US"/>
        </w:rPr>
        <w:t xml:space="preserve"> 2016; </w:t>
      </w:r>
      <w:r w:rsidRPr="00B13942">
        <w:rPr>
          <w:rFonts w:ascii="Book Antiqua" w:hAnsi="Book Antiqua"/>
          <w:b/>
          <w:color w:val="auto"/>
          <w:kern w:val="2"/>
          <w:lang w:val="en-US"/>
        </w:rPr>
        <w:t>63</w:t>
      </w:r>
      <w:r w:rsidRPr="00B13942">
        <w:rPr>
          <w:rFonts w:ascii="Book Antiqua" w:hAnsi="Book Antiqua"/>
          <w:color w:val="auto"/>
          <w:kern w:val="2"/>
          <w:lang w:val="en-US"/>
        </w:rPr>
        <w:t>: 138-147 [PMID: 26171685 DOI: 10.1002/hep.27981]</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13 </w:t>
      </w:r>
      <w:r w:rsidRPr="00B13942">
        <w:rPr>
          <w:rFonts w:ascii="Book Antiqua" w:hAnsi="Book Antiqua"/>
          <w:b/>
          <w:color w:val="auto"/>
          <w:kern w:val="2"/>
          <w:lang w:val="en-US"/>
        </w:rPr>
        <w:t>Kwok R</w:t>
      </w:r>
      <w:r w:rsidRPr="00B13942">
        <w:rPr>
          <w:rFonts w:ascii="Book Antiqua" w:hAnsi="Book Antiqua"/>
          <w:color w:val="auto"/>
          <w:kern w:val="2"/>
          <w:lang w:val="en-US"/>
        </w:rPr>
        <w:t xml:space="preserve">, Choi KC, Wong GL, Zhang Y, Chan HL, Luk AO, Shu SS, Chan AW, Yeung MW, Chan JC, Kong AP, Wong VW. Screening diabetic patients for non-alcoholic fatty liver disease with controlled attenuation parameter and liver stiffness measurements: a prospective cohort study. </w:t>
      </w:r>
      <w:r w:rsidRPr="00B13942">
        <w:rPr>
          <w:rFonts w:ascii="Book Antiqua" w:hAnsi="Book Antiqua"/>
          <w:i/>
          <w:color w:val="auto"/>
          <w:kern w:val="2"/>
          <w:lang w:val="en-US"/>
        </w:rPr>
        <w:t>Gut</w:t>
      </w:r>
      <w:r w:rsidRPr="00B13942">
        <w:rPr>
          <w:rFonts w:ascii="Book Antiqua" w:hAnsi="Book Antiqua"/>
          <w:color w:val="auto"/>
          <w:kern w:val="2"/>
          <w:lang w:val="en-US"/>
        </w:rPr>
        <w:t xml:space="preserve"> 2016; </w:t>
      </w:r>
      <w:r w:rsidRPr="00B13942">
        <w:rPr>
          <w:rFonts w:ascii="Book Antiqua" w:hAnsi="Book Antiqua"/>
          <w:b/>
          <w:color w:val="auto"/>
          <w:kern w:val="2"/>
          <w:lang w:val="en-US"/>
        </w:rPr>
        <w:t>65</w:t>
      </w:r>
      <w:r w:rsidRPr="00B13942">
        <w:rPr>
          <w:rFonts w:ascii="Book Antiqua" w:hAnsi="Book Antiqua"/>
          <w:color w:val="auto"/>
          <w:kern w:val="2"/>
          <w:lang w:val="en-US"/>
        </w:rPr>
        <w:t>: 1359-1368 [PMID: 25873639 DOI: 10.1136/gutjnl-2015-309265]</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14 </w:t>
      </w:r>
      <w:r w:rsidRPr="00B13942">
        <w:rPr>
          <w:rFonts w:ascii="Book Antiqua" w:hAnsi="Book Antiqua"/>
          <w:b/>
          <w:color w:val="auto"/>
          <w:kern w:val="2"/>
          <w:lang w:val="en-US"/>
        </w:rPr>
        <w:t>Klebanoff MJ</w:t>
      </w:r>
      <w:r w:rsidRPr="00B13942">
        <w:rPr>
          <w:rFonts w:ascii="Book Antiqua" w:hAnsi="Book Antiqua"/>
          <w:color w:val="auto"/>
          <w:kern w:val="2"/>
          <w:lang w:val="en-US"/>
        </w:rPr>
        <w:t xml:space="preserve">, Corey KE, Chhatwal J, Kaplan LM, Chung RT, Hur C. Bariatric surgery for nonalcoholic steatohepatitis: A clinical and cost-effectiveness analysis. </w:t>
      </w:r>
      <w:r w:rsidRPr="00B13942">
        <w:rPr>
          <w:rFonts w:ascii="Book Antiqua" w:hAnsi="Book Antiqua"/>
          <w:i/>
          <w:color w:val="auto"/>
          <w:kern w:val="2"/>
          <w:lang w:val="en-US"/>
        </w:rPr>
        <w:t>Hepatology</w:t>
      </w:r>
      <w:r w:rsidRPr="00B13942">
        <w:rPr>
          <w:rFonts w:ascii="Book Antiqua" w:hAnsi="Book Antiqua"/>
          <w:color w:val="auto"/>
          <w:kern w:val="2"/>
          <w:lang w:val="en-US"/>
        </w:rPr>
        <w:t xml:space="preserve"> 2017; </w:t>
      </w:r>
      <w:r w:rsidRPr="00B13942">
        <w:rPr>
          <w:rFonts w:ascii="Book Antiqua" w:hAnsi="Book Antiqua"/>
          <w:b/>
          <w:color w:val="auto"/>
          <w:kern w:val="2"/>
          <w:lang w:val="en-US"/>
        </w:rPr>
        <w:t>65</w:t>
      </w:r>
      <w:r w:rsidRPr="00B13942">
        <w:rPr>
          <w:rFonts w:ascii="Book Antiqua" w:hAnsi="Book Antiqua"/>
          <w:color w:val="auto"/>
          <w:kern w:val="2"/>
          <w:lang w:val="en-US"/>
        </w:rPr>
        <w:t>: 1156-1164 [PMID: 27880977 DOI: 10.1002/hep.28958]</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15 </w:t>
      </w:r>
      <w:r w:rsidRPr="00B13942">
        <w:rPr>
          <w:rFonts w:ascii="Book Antiqua" w:hAnsi="Book Antiqua"/>
          <w:b/>
          <w:color w:val="auto"/>
          <w:kern w:val="2"/>
          <w:lang w:val="en-US"/>
        </w:rPr>
        <w:t>Saadeh S</w:t>
      </w:r>
      <w:r w:rsidRPr="00B13942">
        <w:rPr>
          <w:rFonts w:ascii="Book Antiqua" w:hAnsi="Book Antiqua"/>
          <w:color w:val="auto"/>
          <w:kern w:val="2"/>
          <w:lang w:val="en-US"/>
        </w:rPr>
        <w:t xml:space="preserve">, Younossi ZM, Remer EM, Gramlich T, Ong JP, Hurley M, Mullen KD, Cooper JN, Sheridan MJ. The utility of radiological imaging in nonalcoholic fatty liver disease. </w:t>
      </w:r>
      <w:r w:rsidRPr="00B13942">
        <w:rPr>
          <w:rFonts w:ascii="Book Antiqua" w:hAnsi="Book Antiqua"/>
          <w:i/>
          <w:color w:val="auto"/>
          <w:kern w:val="2"/>
          <w:lang w:val="en-US"/>
        </w:rPr>
        <w:t>Gastroenterology</w:t>
      </w:r>
      <w:r w:rsidRPr="00B13942">
        <w:rPr>
          <w:rFonts w:ascii="Book Antiqua" w:hAnsi="Book Antiqua"/>
          <w:color w:val="auto"/>
          <w:kern w:val="2"/>
          <w:lang w:val="en-US"/>
        </w:rPr>
        <w:t xml:space="preserve"> 2002; </w:t>
      </w:r>
      <w:r w:rsidRPr="00B13942">
        <w:rPr>
          <w:rFonts w:ascii="Book Antiqua" w:hAnsi="Book Antiqua"/>
          <w:b/>
          <w:color w:val="auto"/>
          <w:kern w:val="2"/>
          <w:lang w:val="en-US"/>
        </w:rPr>
        <w:t>123</w:t>
      </w:r>
      <w:r w:rsidRPr="00B13942">
        <w:rPr>
          <w:rFonts w:ascii="Book Antiqua" w:hAnsi="Book Antiqua"/>
          <w:color w:val="auto"/>
          <w:kern w:val="2"/>
          <w:lang w:val="en-US"/>
        </w:rPr>
        <w:t>: 745-750 [PMID: 12198701 DOI: 10.1053/gast.2002.35354]</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16 </w:t>
      </w:r>
      <w:r w:rsidRPr="00B13942">
        <w:rPr>
          <w:rFonts w:ascii="Book Antiqua" w:hAnsi="Book Antiqua"/>
          <w:b/>
          <w:color w:val="auto"/>
          <w:kern w:val="2"/>
          <w:lang w:val="en-US"/>
        </w:rPr>
        <w:t>Ryan CK</w:t>
      </w:r>
      <w:r w:rsidRPr="00B13942">
        <w:rPr>
          <w:rFonts w:ascii="Book Antiqua" w:hAnsi="Book Antiqua"/>
          <w:color w:val="auto"/>
          <w:kern w:val="2"/>
          <w:lang w:val="en-US"/>
        </w:rPr>
        <w:t xml:space="preserve">, Johnson LA, Germin BI, Marcos A. One hundred consecutive hepatic biopsies in the workup of living donors for right lobe liver transplantation. </w:t>
      </w:r>
      <w:r w:rsidRPr="00B13942">
        <w:rPr>
          <w:rFonts w:ascii="Book Antiqua" w:hAnsi="Book Antiqua"/>
          <w:i/>
          <w:color w:val="auto"/>
          <w:kern w:val="2"/>
          <w:lang w:val="en-US"/>
        </w:rPr>
        <w:t>Liver Transpl</w:t>
      </w:r>
      <w:r w:rsidRPr="00B13942">
        <w:rPr>
          <w:rFonts w:ascii="Book Antiqua" w:hAnsi="Book Antiqua"/>
          <w:color w:val="auto"/>
          <w:kern w:val="2"/>
          <w:lang w:val="en-US"/>
        </w:rPr>
        <w:t xml:space="preserve"> 2002; </w:t>
      </w:r>
      <w:r w:rsidRPr="00B13942">
        <w:rPr>
          <w:rFonts w:ascii="Book Antiqua" w:hAnsi="Book Antiqua"/>
          <w:b/>
          <w:color w:val="auto"/>
          <w:kern w:val="2"/>
          <w:lang w:val="en-US"/>
        </w:rPr>
        <w:t>8</w:t>
      </w:r>
      <w:r w:rsidRPr="00B13942">
        <w:rPr>
          <w:rFonts w:ascii="Book Antiqua" w:hAnsi="Book Antiqua"/>
          <w:color w:val="auto"/>
          <w:kern w:val="2"/>
          <w:lang w:val="en-US"/>
        </w:rPr>
        <w:t>: 1114-1122 [PMID: 12474149 DOI: 10.1053/jlts.2002.36740]</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17 </w:t>
      </w:r>
      <w:r w:rsidRPr="00B13942">
        <w:rPr>
          <w:rFonts w:ascii="Book Antiqua" w:hAnsi="Book Antiqua"/>
          <w:b/>
          <w:color w:val="auto"/>
          <w:kern w:val="2"/>
          <w:lang w:val="en-US"/>
        </w:rPr>
        <w:t>Szczepaniak LS</w:t>
      </w:r>
      <w:r w:rsidRPr="00B13942">
        <w:rPr>
          <w:rFonts w:ascii="Book Antiqua" w:hAnsi="Book Antiqua"/>
          <w:color w:val="auto"/>
          <w:kern w:val="2"/>
          <w:lang w:val="en-US"/>
        </w:rPr>
        <w:t xml:space="preserve">, Nurenberg P, Leonard D, Browning JD, Reingold JS, Grundy S, Hobbs HH, </w:t>
      </w:r>
      <w:r w:rsidRPr="00B13942">
        <w:rPr>
          <w:rFonts w:ascii="Book Antiqua" w:hAnsi="Book Antiqua"/>
          <w:color w:val="auto"/>
          <w:kern w:val="2"/>
          <w:lang w:val="en-US"/>
        </w:rPr>
        <w:lastRenderedPageBreak/>
        <w:t xml:space="preserve">Dobbins RL. Magnetic resonance spectroscopy to measure hepatic triglyceride content: prevalence of hepatic steatosis in the general population. </w:t>
      </w:r>
      <w:r w:rsidRPr="00B13942">
        <w:rPr>
          <w:rFonts w:ascii="Book Antiqua" w:hAnsi="Book Antiqua"/>
          <w:i/>
          <w:color w:val="auto"/>
          <w:kern w:val="2"/>
          <w:lang w:val="en-US"/>
        </w:rPr>
        <w:t>Am J Physiol Endocrinol Metab</w:t>
      </w:r>
      <w:r w:rsidRPr="00B13942">
        <w:rPr>
          <w:rFonts w:ascii="Book Antiqua" w:hAnsi="Book Antiqua"/>
          <w:color w:val="auto"/>
          <w:kern w:val="2"/>
          <w:lang w:val="en-US"/>
        </w:rPr>
        <w:t xml:space="preserve"> 2005; </w:t>
      </w:r>
      <w:r w:rsidRPr="00B13942">
        <w:rPr>
          <w:rFonts w:ascii="Book Antiqua" w:hAnsi="Book Antiqua"/>
          <w:b/>
          <w:color w:val="auto"/>
          <w:kern w:val="2"/>
          <w:lang w:val="en-US"/>
        </w:rPr>
        <w:t>288</w:t>
      </w:r>
      <w:r w:rsidRPr="00B13942">
        <w:rPr>
          <w:rFonts w:ascii="Book Antiqua" w:hAnsi="Book Antiqua"/>
          <w:color w:val="auto"/>
          <w:kern w:val="2"/>
          <w:lang w:val="en-US"/>
        </w:rPr>
        <w:t>: E462-E468 [PMID: 15339742 DOI: 10.1152/ajpendo.00064.2004]</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18 </w:t>
      </w:r>
      <w:r w:rsidRPr="00B13942">
        <w:rPr>
          <w:rFonts w:ascii="Book Antiqua" w:hAnsi="Book Antiqua"/>
          <w:b/>
          <w:color w:val="auto"/>
          <w:kern w:val="2"/>
          <w:lang w:val="en-US"/>
        </w:rPr>
        <w:t>Valenti L</w:t>
      </w:r>
      <w:r w:rsidRPr="00B13942">
        <w:rPr>
          <w:rFonts w:ascii="Book Antiqua" w:hAnsi="Book Antiqua"/>
          <w:color w:val="auto"/>
          <w:kern w:val="2"/>
          <w:lang w:val="en-US"/>
        </w:rPr>
        <w:t xml:space="preserve">, Fracanzani AL, Bugianesi E, Dongiovanni P, Galmozzi E, Vanni E, Canavesi E, Lattuada E, Roviaro G, Marchesini G, Fargion S. HFE genotype, parenchymal iron accumulation, and liver fibrosis in patients with nonalcoholic fatty liver disease. </w:t>
      </w:r>
      <w:r w:rsidRPr="00B13942">
        <w:rPr>
          <w:rFonts w:ascii="Book Antiqua" w:hAnsi="Book Antiqua"/>
          <w:i/>
          <w:color w:val="auto"/>
          <w:kern w:val="2"/>
          <w:lang w:val="en-US"/>
        </w:rPr>
        <w:t>Gastroenterology</w:t>
      </w:r>
      <w:r w:rsidRPr="00B13942">
        <w:rPr>
          <w:rFonts w:ascii="Book Antiqua" w:hAnsi="Book Antiqua"/>
          <w:color w:val="auto"/>
          <w:kern w:val="2"/>
          <w:lang w:val="en-US"/>
        </w:rPr>
        <w:t xml:space="preserve"> 2010; </w:t>
      </w:r>
      <w:r w:rsidRPr="00B13942">
        <w:rPr>
          <w:rFonts w:ascii="Book Antiqua" w:hAnsi="Book Antiqua"/>
          <w:b/>
          <w:color w:val="auto"/>
          <w:kern w:val="2"/>
          <w:lang w:val="en-US"/>
        </w:rPr>
        <w:t>138</w:t>
      </w:r>
      <w:r w:rsidRPr="00B13942">
        <w:rPr>
          <w:rFonts w:ascii="Book Antiqua" w:hAnsi="Book Antiqua"/>
          <w:color w:val="auto"/>
          <w:kern w:val="2"/>
          <w:lang w:val="en-US"/>
        </w:rPr>
        <w:t>: 905-912 [PMID: 19931264 DOI: 10.1053/j.gastro.2009.11.013]</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19 </w:t>
      </w:r>
      <w:r w:rsidRPr="00B13942">
        <w:rPr>
          <w:rFonts w:ascii="Book Antiqua" w:hAnsi="Book Antiqua"/>
          <w:b/>
          <w:color w:val="auto"/>
          <w:kern w:val="2"/>
          <w:lang w:val="en-US"/>
        </w:rPr>
        <w:t>Vuppalanchi R</w:t>
      </w:r>
      <w:r w:rsidRPr="00B13942">
        <w:rPr>
          <w:rFonts w:ascii="Book Antiqua" w:hAnsi="Book Antiqua"/>
          <w:color w:val="auto"/>
          <w:kern w:val="2"/>
          <w:lang w:val="en-US"/>
        </w:rPr>
        <w:t xml:space="preserve">, Gould RJ, Wilson LA, Unalp-Arida A, Cummings OW, Chalasani N, Kowdley KV; Nonalcoholic Steatohepatitis Clinical Research Network (NASH CRN). Clinical significance of serum autoantibodies in patients with NAFLD: results from the nonalcoholic steatohepatitis clinical research network. </w:t>
      </w:r>
      <w:r w:rsidRPr="00B13942">
        <w:rPr>
          <w:rFonts w:ascii="Book Antiqua" w:hAnsi="Book Antiqua"/>
          <w:i/>
          <w:color w:val="auto"/>
          <w:kern w:val="2"/>
          <w:lang w:val="en-US"/>
        </w:rPr>
        <w:t>Hepatol Int</w:t>
      </w:r>
      <w:r w:rsidRPr="00B13942">
        <w:rPr>
          <w:rFonts w:ascii="Book Antiqua" w:hAnsi="Book Antiqua"/>
          <w:color w:val="auto"/>
          <w:kern w:val="2"/>
          <w:lang w:val="en-US"/>
        </w:rPr>
        <w:t xml:space="preserve"> 2012; </w:t>
      </w:r>
      <w:r w:rsidRPr="00B13942">
        <w:rPr>
          <w:rFonts w:ascii="Book Antiqua" w:hAnsi="Book Antiqua"/>
          <w:b/>
          <w:color w:val="auto"/>
          <w:kern w:val="2"/>
          <w:lang w:val="en-US"/>
        </w:rPr>
        <w:t>6</w:t>
      </w:r>
      <w:r w:rsidRPr="00B13942">
        <w:rPr>
          <w:rFonts w:ascii="Book Antiqua" w:hAnsi="Book Antiqua"/>
          <w:color w:val="auto"/>
          <w:kern w:val="2"/>
          <w:lang w:val="en-US"/>
        </w:rPr>
        <w:t>: 379-385 [PMID: 21557024 DOI: 10.1007/s12072-011-9277-8]</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20 </w:t>
      </w:r>
      <w:r w:rsidRPr="00B13942">
        <w:rPr>
          <w:rFonts w:ascii="Book Antiqua" w:hAnsi="Book Antiqua"/>
          <w:b/>
          <w:color w:val="auto"/>
          <w:kern w:val="2"/>
          <w:lang w:val="en-US"/>
        </w:rPr>
        <w:t>Bedogni G</w:t>
      </w:r>
      <w:r w:rsidRPr="00B13942">
        <w:rPr>
          <w:rFonts w:ascii="Book Antiqua" w:hAnsi="Book Antiqua"/>
          <w:color w:val="auto"/>
          <w:kern w:val="2"/>
          <w:lang w:val="en-US"/>
        </w:rPr>
        <w:t xml:space="preserve">, Bellentani S, Miglioli L, Masutti F, Passalacqua M, Castiglione A, Tiribelli C. The Fatty Liver Index: a simple and accurate predictor of hepatic steatosis in the general population. </w:t>
      </w:r>
      <w:r w:rsidRPr="00B13942">
        <w:rPr>
          <w:rFonts w:ascii="Book Antiqua" w:hAnsi="Book Antiqua"/>
          <w:i/>
          <w:color w:val="auto"/>
          <w:kern w:val="2"/>
          <w:lang w:val="en-US"/>
        </w:rPr>
        <w:t>BMC Gastroenterol</w:t>
      </w:r>
      <w:r w:rsidRPr="00B13942">
        <w:rPr>
          <w:rFonts w:ascii="Book Antiqua" w:hAnsi="Book Antiqua"/>
          <w:color w:val="auto"/>
          <w:kern w:val="2"/>
          <w:lang w:val="en-US"/>
        </w:rPr>
        <w:t xml:space="preserve"> 2006; </w:t>
      </w:r>
      <w:r w:rsidRPr="00B13942">
        <w:rPr>
          <w:rFonts w:ascii="Book Antiqua" w:hAnsi="Book Antiqua"/>
          <w:b/>
          <w:color w:val="auto"/>
          <w:kern w:val="2"/>
          <w:lang w:val="en-US"/>
        </w:rPr>
        <w:t>6</w:t>
      </w:r>
      <w:r w:rsidRPr="00B13942">
        <w:rPr>
          <w:rFonts w:ascii="Book Antiqua" w:hAnsi="Book Antiqua"/>
          <w:color w:val="auto"/>
          <w:kern w:val="2"/>
          <w:lang w:val="en-US"/>
        </w:rPr>
        <w:t>: 33 [PMID: 17081293 DOI: 10.1186/1471-230X-6-33]</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21 </w:t>
      </w:r>
      <w:r w:rsidRPr="00B13942">
        <w:rPr>
          <w:rFonts w:ascii="Book Antiqua" w:hAnsi="Book Antiqua"/>
          <w:b/>
          <w:color w:val="auto"/>
          <w:kern w:val="2"/>
          <w:lang w:val="en-US"/>
        </w:rPr>
        <w:t>Kotronen A</w:t>
      </w:r>
      <w:r w:rsidRPr="00B13942">
        <w:rPr>
          <w:rFonts w:ascii="Book Antiqua" w:hAnsi="Book Antiqua"/>
          <w:color w:val="auto"/>
          <w:kern w:val="2"/>
          <w:lang w:val="en-US"/>
        </w:rPr>
        <w:t xml:space="preserve">, Peltonen M, Hakkarainen A, Sevastianova K, Bergholm R, Johansson LM, Lundbom N, Rissanen A, Ridderstråle M, Groop L, Orho-Melander M, Yki-Järvinen H. Prediction of non-alcoholic fatty liver disease and liver fat using metabolic and genetic factors. </w:t>
      </w:r>
      <w:r w:rsidRPr="00B13942">
        <w:rPr>
          <w:rFonts w:ascii="Book Antiqua" w:hAnsi="Book Antiqua"/>
          <w:i/>
          <w:color w:val="auto"/>
          <w:kern w:val="2"/>
          <w:lang w:val="en-US"/>
        </w:rPr>
        <w:t>Gastroenterology</w:t>
      </w:r>
      <w:r w:rsidRPr="00B13942">
        <w:rPr>
          <w:rFonts w:ascii="Book Antiqua" w:hAnsi="Book Antiqua"/>
          <w:color w:val="auto"/>
          <w:kern w:val="2"/>
          <w:lang w:val="en-US"/>
        </w:rPr>
        <w:t xml:space="preserve"> 2009; </w:t>
      </w:r>
      <w:r w:rsidRPr="00B13942">
        <w:rPr>
          <w:rFonts w:ascii="Book Antiqua" w:hAnsi="Book Antiqua"/>
          <w:b/>
          <w:color w:val="auto"/>
          <w:kern w:val="2"/>
          <w:lang w:val="en-US"/>
        </w:rPr>
        <w:t>137</w:t>
      </w:r>
      <w:r w:rsidRPr="00B13942">
        <w:rPr>
          <w:rFonts w:ascii="Book Antiqua" w:hAnsi="Book Antiqua"/>
          <w:color w:val="auto"/>
          <w:kern w:val="2"/>
          <w:lang w:val="en-US"/>
        </w:rPr>
        <w:t>: 865-872 [PMID: 19524579 DOI: 10.1053/j.gastro.2009.06.005]</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22 </w:t>
      </w:r>
      <w:r w:rsidRPr="00B13942">
        <w:rPr>
          <w:rFonts w:ascii="Book Antiqua" w:hAnsi="Book Antiqua"/>
          <w:b/>
          <w:color w:val="auto"/>
          <w:kern w:val="2"/>
          <w:lang w:val="en-US"/>
        </w:rPr>
        <w:t>Fedchuk L</w:t>
      </w:r>
      <w:r w:rsidRPr="00B13942">
        <w:rPr>
          <w:rFonts w:ascii="Book Antiqua" w:hAnsi="Book Antiqua"/>
          <w:color w:val="auto"/>
          <w:kern w:val="2"/>
          <w:lang w:val="en-US"/>
        </w:rPr>
        <w:t xml:space="preserve">, Nascimbeni F, Pais R, Charlotte F, Housset C, Ratziu V; LIDO Study Group. Performance and limitations of steatosis biomarkers in patients with nonalcoholic fatty liver disease. </w:t>
      </w:r>
      <w:r w:rsidRPr="00B13942">
        <w:rPr>
          <w:rFonts w:ascii="Book Antiqua" w:hAnsi="Book Antiqua"/>
          <w:i/>
          <w:color w:val="auto"/>
          <w:kern w:val="2"/>
          <w:lang w:val="en-US"/>
        </w:rPr>
        <w:t>Aliment Pharmacol Ther</w:t>
      </w:r>
      <w:r w:rsidRPr="00B13942">
        <w:rPr>
          <w:rFonts w:ascii="Book Antiqua" w:hAnsi="Book Antiqua"/>
          <w:color w:val="auto"/>
          <w:kern w:val="2"/>
          <w:lang w:val="en-US"/>
        </w:rPr>
        <w:t xml:space="preserve"> 2014; </w:t>
      </w:r>
      <w:r w:rsidRPr="00B13942">
        <w:rPr>
          <w:rFonts w:ascii="Book Antiqua" w:hAnsi="Book Antiqua"/>
          <w:b/>
          <w:color w:val="auto"/>
          <w:kern w:val="2"/>
          <w:lang w:val="en-US"/>
        </w:rPr>
        <w:t>40</w:t>
      </w:r>
      <w:r w:rsidRPr="00B13942">
        <w:rPr>
          <w:rFonts w:ascii="Book Antiqua" w:hAnsi="Book Antiqua"/>
          <w:color w:val="auto"/>
          <w:kern w:val="2"/>
          <w:lang w:val="en-US"/>
        </w:rPr>
        <w:t>: 1209-1222 [PMID: 25267215 DOI: 10.1111/apt.12963]</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23 </w:t>
      </w:r>
      <w:r w:rsidRPr="00B13942">
        <w:rPr>
          <w:rFonts w:ascii="Book Antiqua" w:hAnsi="Book Antiqua"/>
          <w:b/>
          <w:color w:val="auto"/>
          <w:kern w:val="2"/>
          <w:lang w:val="en-US"/>
        </w:rPr>
        <w:t>Feldstein AE</w:t>
      </w:r>
      <w:r w:rsidRPr="00B13942">
        <w:rPr>
          <w:rFonts w:ascii="Book Antiqua" w:hAnsi="Book Antiqua"/>
          <w:color w:val="auto"/>
          <w:kern w:val="2"/>
          <w:lang w:val="en-US"/>
        </w:rPr>
        <w:t xml:space="preserve">, Wieckowska A, Lopez AR, Liu YC, Zein NN, McCullough AJ. Cytokeratin-18 fragment levels as noninvasive biomarkers for nonalcoholic steatohepatitis: a multicenter validation study. </w:t>
      </w:r>
      <w:r w:rsidRPr="00B13942">
        <w:rPr>
          <w:rFonts w:ascii="Book Antiqua" w:hAnsi="Book Antiqua"/>
          <w:i/>
          <w:color w:val="auto"/>
          <w:kern w:val="2"/>
          <w:lang w:val="en-US"/>
        </w:rPr>
        <w:t>Hepatology</w:t>
      </w:r>
      <w:r w:rsidRPr="00B13942">
        <w:rPr>
          <w:rFonts w:ascii="Book Antiqua" w:hAnsi="Book Antiqua"/>
          <w:color w:val="auto"/>
          <w:kern w:val="2"/>
          <w:lang w:val="en-US"/>
        </w:rPr>
        <w:t xml:space="preserve"> 2009; </w:t>
      </w:r>
      <w:r w:rsidRPr="00B13942">
        <w:rPr>
          <w:rFonts w:ascii="Book Antiqua" w:hAnsi="Book Antiqua"/>
          <w:b/>
          <w:color w:val="auto"/>
          <w:kern w:val="2"/>
          <w:lang w:val="en-US"/>
        </w:rPr>
        <w:t>50</w:t>
      </w:r>
      <w:r w:rsidRPr="00B13942">
        <w:rPr>
          <w:rFonts w:ascii="Book Antiqua" w:hAnsi="Book Antiqua"/>
          <w:color w:val="auto"/>
          <w:kern w:val="2"/>
          <w:lang w:val="en-US"/>
        </w:rPr>
        <w:t>: 1072-1078 [PMID: 19585618 DOI: 10.1002/hep.23050]</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24 </w:t>
      </w:r>
      <w:r w:rsidRPr="00B13942">
        <w:rPr>
          <w:rFonts w:ascii="Book Antiqua" w:hAnsi="Book Antiqua"/>
          <w:b/>
          <w:color w:val="auto"/>
          <w:kern w:val="2"/>
          <w:lang w:val="en-US"/>
        </w:rPr>
        <w:t>Shen J</w:t>
      </w:r>
      <w:r w:rsidRPr="00B13942">
        <w:rPr>
          <w:rFonts w:ascii="Book Antiqua" w:hAnsi="Book Antiqua"/>
          <w:color w:val="auto"/>
          <w:kern w:val="2"/>
          <w:lang w:val="en-US"/>
        </w:rPr>
        <w:t xml:space="preserve">, Chan HL, Wong GL, Chan AW, Choi PC, Chan HY, Chim AM, Yeung DK, Yu J, Chu WC, Wong VW. Assessment of non-alcoholic fatty liver disease using serum total cell death and apoptosis markers. </w:t>
      </w:r>
      <w:r w:rsidRPr="00B13942">
        <w:rPr>
          <w:rFonts w:ascii="Book Antiqua" w:hAnsi="Book Antiqua"/>
          <w:i/>
          <w:color w:val="auto"/>
          <w:kern w:val="2"/>
          <w:lang w:val="en-US"/>
        </w:rPr>
        <w:t>Aliment Pharmacol Ther</w:t>
      </w:r>
      <w:r w:rsidRPr="00B13942">
        <w:rPr>
          <w:rFonts w:ascii="Book Antiqua" w:hAnsi="Book Antiqua"/>
          <w:color w:val="auto"/>
          <w:kern w:val="2"/>
          <w:lang w:val="en-US"/>
        </w:rPr>
        <w:t xml:space="preserve"> 2012; </w:t>
      </w:r>
      <w:r w:rsidRPr="00B13942">
        <w:rPr>
          <w:rFonts w:ascii="Book Antiqua" w:hAnsi="Book Antiqua"/>
          <w:b/>
          <w:color w:val="auto"/>
          <w:kern w:val="2"/>
          <w:lang w:val="en-US"/>
        </w:rPr>
        <w:t>36</w:t>
      </w:r>
      <w:r w:rsidRPr="00B13942">
        <w:rPr>
          <w:rFonts w:ascii="Book Antiqua" w:hAnsi="Book Antiqua"/>
          <w:color w:val="auto"/>
          <w:kern w:val="2"/>
          <w:lang w:val="en-US"/>
        </w:rPr>
        <w:t>: 1057-1066 [PMID: 23066946 DOI: 10.1111/apt.12091]</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25 </w:t>
      </w:r>
      <w:r w:rsidRPr="00B13942">
        <w:rPr>
          <w:rFonts w:ascii="Book Antiqua" w:hAnsi="Book Antiqua"/>
          <w:b/>
          <w:color w:val="auto"/>
          <w:kern w:val="2"/>
          <w:lang w:val="en-US"/>
        </w:rPr>
        <w:t>Chan WK</w:t>
      </w:r>
      <w:r w:rsidRPr="00B13942">
        <w:rPr>
          <w:rFonts w:ascii="Book Antiqua" w:hAnsi="Book Antiqua"/>
          <w:color w:val="auto"/>
          <w:kern w:val="2"/>
          <w:lang w:val="en-US"/>
        </w:rPr>
        <w:t xml:space="preserve">, Sthaneshwar P, Nik Mustapha NR, Mahadeva S. Limited utility of plasma M30 in discriminating non-alcoholic steatohepatitis from steatosis--a comparison with routine biochemical </w:t>
      </w:r>
      <w:r w:rsidRPr="00B13942">
        <w:rPr>
          <w:rFonts w:ascii="Book Antiqua" w:hAnsi="Book Antiqua"/>
          <w:color w:val="auto"/>
          <w:kern w:val="2"/>
          <w:lang w:val="en-US"/>
        </w:rPr>
        <w:lastRenderedPageBreak/>
        <w:t xml:space="preserve">markers. </w:t>
      </w:r>
      <w:r w:rsidRPr="00B13942">
        <w:rPr>
          <w:rFonts w:ascii="Book Antiqua" w:hAnsi="Book Antiqua"/>
          <w:i/>
          <w:color w:val="auto"/>
          <w:kern w:val="2"/>
          <w:lang w:val="en-US"/>
        </w:rPr>
        <w:t>PLoS One</w:t>
      </w:r>
      <w:r w:rsidRPr="00B13942">
        <w:rPr>
          <w:rFonts w:ascii="Book Antiqua" w:hAnsi="Book Antiqua"/>
          <w:color w:val="auto"/>
          <w:kern w:val="2"/>
          <w:lang w:val="en-US"/>
        </w:rPr>
        <w:t xml:space="preserve"> 2014; </w:t>
      </w:r>
      <w:r w:rsidRPr="00B13942">
        <w:rPr>
          <w:rFonts w:ascii="Book Antiqua" w:hAnsi="Book Antiqua"/>
          <w:b/>
          <w:color w:val="auto"/>
          <w:kern w:val="2"/>
          <w:lang w:val="en-US"/>
        </w:rPr>
        <w:t>9</w:t>
      </w:r>
      <w:r w:rsidRPr="00B13942">
        <w:rPr>
          <w:rFonts w:ascii="Book Antiqua" w:hAnsi="Book Antiqua"/>
          <w:color w:val="auto"/>
          <w:kern w:val="2"/>
          <w:lang w:val="en-US"/>
        </w:rPr>
        <w:t>: e105903 [PMID: 25184298 DOI: 10.1371/journal.pone.0105903]</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26 </w:t>
      </w:r>
      <w:r w:rsidRPr="00B13942">
        <w:rPr>
          <w:rFonts w:ascii="Book Antiqua" w:hAnsi="Book Antiqua"/>
          <w:b/>
          <w:color w:val="auto"/>
          <w:kern w:val="2"/>
          <w:lang w:val="en-US"/>
        </w:rPr>
        <w:t>Vuppalanchi R</w:t>
      </w:r>
      <w:r w:rsidRPr="00B13942">
        <w:rPr>
          <w:rFonts w:ascii="Book Antiqua" w:hAnsi="Book Antiqua"/>
          <w:color w:val="auto"/>
          <w:kern w:val="2"/>
          <w:lang w:val="en-US"/>
        </w:rPr>
        <w:t xml:space="preserve">, Jain AK, Deppe R, Yates K, Comerford M, Masuoka HC, Neuschwander-Tetri BA, Loomba R, Brunt EM, Kleiner DE, Molleston JP, Schwimmer JB, Lavine JE, Tonascia J, Chalasani N. Relationship between changes in serum levels of keratin 18 and changes in liver histology in children and adults with nonalcoholic fatty liver disease. </w:t>
      </w:r>
      <w:r w:rsidRPr="00B13942">
        <w:rPr>
          <w:rFonts w:ascii="Book Antiqua" w:hAnsi="Book Antiqua"/>
          <w:i/>
          <w:color w:val="auto"/>
          <w:kern w:val="2"/>
          <w:lang w:val="en-US"/>
        </w:rPr>
        <w:t>Clin Gastroenterol Hepatol</w:t>
      </w:r>
      <w:r w:rsidRPr="00B13942">
        <w:rPr>
          <w:rFonts w:ascii="Book Antiqua" w:hAnsi="Book Antiqua"/>
          <w:color w:val="auto"/>
          <w:kern w:val="2"/>
          <w:lang w:val="en-US"/>
        </w:rPr>
        <w:t xml:space="preserve"> 2014; </w:t>
      </w:r>
      <w:r w:rsidRPr="00B13942">
        <w:rPr>
          <w:rFonts w:ascii="Book Antiqua" w:hAnsi="Book Antiqua"/>
          <w:b/>
          <w:color w:val="auto"/>
          <w:kern w:val="2"/>
          <w:lang w:val="en-US"/>
        </w:rPr>
        <w:t>12</w:t>
      </w:r>
      <w:r w:rsidRPr="00B13942">
        <w:rPr>
          <w:rFonts w:ascii="Book Antiqua" w:hAnsi="Book Antiqua"/>
          <w:color w:val="auto"/>
          <w:kern w:val="2"/>
          <w:lang w:val="en-US"/>
        </w:rPr>
        <w:t>: 2121-30.e1-2 [PMID: 24846279 DOI: 10.1016/j.cgh.2014.05.010]</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27 </w:t>
      </w:r>
      <w:r w:rsidRPr="00B13942">
        <w:rPr>
          <w:rFonts w:ascii="Book Antiqua" w:hAnsi="Book Antiqua"/>
          <w:b/>
          <w:color w:val="auto"/>
          <w:kern w:val="2"/>
          <w:lang w:val="en-US"/>
        </w:rPr>
        <w:t>Ekstedt M</w:t>
      </w:r>
      <w:r w:rsidRPr="00B13942">
        <w:rPr>
          <w:rFonts w:ascii="Book Antiqua" w:hAnsi="Book Antiqua"/>
          <w:color w:val="auto"/>
          <w:kern w:val="2"/>
          <w:lang w:val="en-US"/>
        </w:rPr>
        <w:t xml:space="preserve">, Hagström H, Nasr P, Fredrikson M, Stål P, Kechagias S, Hultcrantz R. Fibrosis stage is the strongest predictor for disease-specific mortality in NAFLD after up to 33 years of follow-up. </w:t>
      </w:r>
      <w:r w:rsidRPr="00B13942">
        <w:rPr>
          <w:rFonts w:ascii="Book Antiqua" w:hAnsi="Book Antiqua"/>
          <w:i/>
          <w:color w:val="auto"/>
          <w:kern w:val="2"/>
          <w:lang w:val="en-US"/>
        </w:rPr>
        <w:t>Hepatology</w:t>
      </w:r>
      <w:r w:rsidRPr="00B13942">
        <w:rPr>
          <w:rFonts w:ascii="Book Antiqua" w:hAnsi="Book Antiqua"/>
          <w:color w:val="auto"/>
          <w:kern w:val="2"/>
          <w:lang w:val="en-US"/>
        </w:rPr>
        <w:t xml:space="preserve"> 2015; </w:t>
      </w:r>
      <w:r w:rsidRPr="00B13942">
        <w:rPr>
          <w:rFonts w:ascii="Book Antiqua" w:hAnsi="Book Antiqua"/>
          <w:b/>
          <w:color w:val="auto"/>
          <w:kern w:val="2"/>
          <w:lang w:val="en-US"/>
        </w:rPr>
        <w:t>61</w:t>
      </w:r>
      <w:r w:rsidRPr="00B13942">
        <w:rPr>
          <w:rFonts w:ascii="Book Antiqua" w:hAnsi="Book Antiqua"/>
          <w:color w:val="auto"/>
          <w:kern w:val="2"/>
          <w:lang w:val="en-US"/>
        </w:rPr>
        <w:t>: 1547-1554 [PMID: 25125077 DOI: 10.1002/hep.27368]</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28 </w:t>
      </w:r>
      <w:r w:rsidRPr="00B13942">
        <w:rPr>
          <w:rFonts w:ascii="Book Antiqua" w:hAnsi="Book Antiqua"/>
          <w:b/>
          <w:color w:val="auto"/>
          <w:kern w:val="2"/>
          <w:lang w:val="en-US"/>
        </w:rPr>
        <w:t>Kaswala DH</w:t>
      </w:r>
      <w:r w:rsidRPr="00B13942">
        <w:rPr>
          <w:rFonts w:ascii="Book Antiqua" w:hAnsi="Book Antiqua"/>
          <w:color w:val="auto"/>
          <w:kern w:val="2"/>
          <w:lang w:val="en-US"/>
        </w:rPr>
        <w:t xml:space="preserve">, Lai M, Afdhal NH. Fibrosis Assessment in Nonalcoholic Fatty Liver Disease (NAFLD) in 2016. </w:t>
      </w:r>
      <w:r w:rsidRPr="00B13942">
        <w:rPr>
          <w:rFonts w:ascii="Book Antiqua" w:hAnsi="Book Antiqua"/>
          <w:i/>
          <w:color w:val="auto"/>
          <w:kern w:val="2"/>
          <w:lang w:val="en-US"/>
        </w:rPr>
        <w:t>Dig Dis Sci</w:t>
      </w:r>
      <w:r w:rsidRPr="00B13942">
        <w:rPr>
          <w:rFonts w:ascii="Book Antiqua" w:hAnsi="Book Antiqua"/>
          <w:color w:val="auto"/>
          <w:kern w:val="2"/>
          <w:lang w:val="en-US"/>
        </w:rPr>
        <w:t xml:space="preserve"> 2016; </w:t>
      </w:r>
      <w:r w:rsidRPr="00B13942">
        <w:rPr>
          <w:rFonts w:ascii="Book Antiqua" w:hAnsi="Book Antiqua"/>
          <w:b/>
          <w:color w:val="auto"/>
          <w:kern w:val="2"/>
          <w:lang w:val="en-US"/>
        </w:rPr>
        <w:t>61</w:t>
      </w:r>
      <w:r w:rsidRPr="00B13942">
        <w:rPr>
          <w:rFonts w:ascii="Book Antiqua" w:hAnsi="Book Antiqua"/>
          <w:color w:val="auto"/>
          <w:kern w:val="2"/>
          <w:lang w:val="en-US"/>
        </w:rPr>
        <w:t>: 1356-1364 [PMID: 27017224 DOI: 10.1007/s10620-016-4079-4]</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29 </w:t>
      </w:r>
      <w:r w:rsidRPr="00B13942">
        <w:rPr>
          <w:rFonts w:ascii="Book Antiqua" w:hAnsi="Book Antiqua"/>
          <w:b/>
          <w:color w:val="auto"/>
          <w:kern w:val="2"/>
          <w:lang w:val="en-US"/>
        </w:rPr>
        <w:t>Fagan KJ</w:t>
      </w:r>
      <w:r w:rsidRPr="00B13942">
        <w:rPr>
          <w:rFonts w:ascii="Book Antiqua" w:hAnsi="Book Antiqua"/>
          <w:color w:val="auto"/>
          <w:kern w:val="2"/>
          <w:lang w:val="en-US"/>
        </w:rPr>
        <w:t xml:space="preserve">, Pretorius CJ, Horsfall LU, Irvine KM, Wilgen U, Choi K, Fletcher LM, Tate J, Melino M, Nusrat S, Miller GC, Clouston AD, Ballard E, O'Rourke P, Lampe G, Ungerer JP, Powell EE. ELF score ≥9.8 indicates advanced hepatic fibrosis and is influenced by age, steatosis and histological activity. </w:t>
      </w:r>
      <w:r w:rsidRPr="00B13942">
        <w:rPr>
          <w:rFonts w:ascii="Book Antiqua" w:hAnsi="Book Antiqua"/>
          <w:i/>
          <w:color w:val="auto"/>
          <w:kern w:val="2"/>
          <w:lang w:val="en-US"/>
        </w:rPr>
        <w:t>Liver Int</w:t>
      </w:r>
      <w:r w:rsidRPr="00B13942">
        <w:rPr>
          <w:rFonts w:ascii="Book Antiqua" w:hAnsi="Book Antiqua"/>
          <w:color w:val="auto"/>
          <w:kern w:val="2"/>
          <w:lang w:val="en-US"/>
        </w:rPr>
        <w:t xml:space="preserve"> 2015; </w:t>
      </w:r>
      <w:r w:rsidRPr="00B13942">
        <w:rPr>
          <w:rFonts w:ascii="Book Antiqua" w:hAnsi="Book Antiqua"/>
          <w:b/>
          <w:color w:val="auto"/>
          <w:kern w:val="2"/>
          <w:lang w:val="en-US"/>
        </w:rPr>
        <w:t>35</w:t>
      </w:r>
      <w:r w:rsidRPr="00B13942">
        <w:rPr>
          <w:rFonts w:ascii="Book Antiqua" w:hAnsi="Book Antiqua"/>
          <w:color w:val="auto"/>
          <w:kern w:val="2"/>
          <w:lang w:val="en-US"/>
        </w:rPr>
        <w:t>: 1673-1681 [PMID: 25495373 DOI: 10.1111/liv.12760]</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30 </w:t>
      </w:r>
      <w:r w:rsidRPr="00B13942">
        <w:rPr>
          <w:rFonts w:ascii="Book Antiqua" w:hAnsi="Book Antiqua"/>
          <w:b/>
          <w:color w:val="auto"/>
          <w:kern w:val="2"/>
          <w:lang w:val="en-US"/>
        </w:rPr>
        <w:t>Guha IN</w:t>
      </w:r>
      <w:r w:rsidRPr="00B13942">
        <w:rPr>
          <w:rFonts w:ascii="Book Antiqua" w:hAnsi="Book Antiqua"/>
          <w:color w:val="auto"/>
          <w:kern w:val="2"/>
          <w:lang w:val="en-US"/>
        </w:rPr>
        <w:t xml:space="preserve">, Parkes J, Roderick P, Chattopadhyay D, Cross R, Harris S, Kaye P, Burt AD, Ryder SD, Aithal GP, Day CP, Rosenberg WM. Noninvasive markers of fibrosis in nonalcoholic fatty liver disease: Validating the European Liver Fibrosis Panel and exploring simple markers. </w:t>
      </w:r>
      <w:r w:rsidRPr="00B13942">
        <w:rPr>
          <w:rFonts w:ascii="Book Antiqua" w:hAnsi="Book Antiqua"/>
          <w:i/>
          <w:color w:val="auto"/>
          <w:kern w:val="2"/>
          <w:lang w:val="en-US"/>
        </w:rPr>
        <w:t>Hepatology</w:t>
      </w:r>
      <w:r w:rsidRPr="00B13942">
        <w:rPr>
          <w:rFonts w:ascii="Book Antiqua" w:hAnsi="Book Antiqua"/>
          <w:color w:val="auto"/>
          <w:kern w:val="2"/>
          <w:lang w:val="en-US"/>
        </w:rPr>
        <w:t xml:space="preserve"> 2008; </w:t>
      </w:r>
      <w:r w:rsidRPr="00B13942">
        <w:rPr>
          <w:rFonts w:ascii="Book Antiqua" w:hAnsi="Book Antiqua"/>
          <w:b/>
          <w:color w:val="auto"/>
          <w:kern w:val="2"/>
          <w:lang w:val="en-US"/>
        </w:rPr>
        <w:t>47</w:t>
      </w:r>
      <w:r w:rsidRPr="00B13942">
        <w:rPr>
          <w:rFonts w:ascii="Book Antiqua" w:hAnsi="Book Antiqua"/>
          <w:color w:val="auto"/>
          <w:kern w:val="2"/>
          <w:lang w:val="en-US"/>
        </w:rPr>
        <w:t>: 455-460 [PMID: 18038452]</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31 </w:t>
      </w:r>
      <w:r w:rsidRPr="00B13942">
        <w:rPr>
          <w:rFonts w:ascii="Book Antiqua" w:hAnsi="Book Antiqua"/>
          <w:b/>
          <w:color w:val="auto"/>
          <w:kern w:val="2"/>
          <w:lang w:val="en-US"/>
        </w:rPr>
        <w:t>Tapper EB</w:t>
      </w:r>
      <w:r w:rsidRPr="00B13942">
        <w:rPr>
          <w:rFonts w:ascii="Book Antiqua" w:hAnsi="Book Antiqua"/>
          <w:color w:val="auto"/>
          <w:kern w:val="2"/>
          <w:lang w:val="en-US"/>
        </w:rPr>
        <w:t xml:space="preserve">, Challies T, Nasser I, Afdhal NH, Lai M. The Performance of Vibration Controlled Transient Elastography in a US Cohort of Patients With Nonalcoholic Fatty Liver Disease. </w:t>
      </w:r>
      <w:r w:rsidRPr="00B13942">
        <w:rPr>
          <w:rFonts w:ascii="Book Antiqua" w:hAnsi="Book Antiqua"/>
          <w:i/>
          <w:color w:val="auto"/>
          <w:kern w:val="2"/>
          <w:lang w:val="en-US"/>
        </w:rPr>
        <w:t>Am J Gastroenterol</w:t>
      </w:r>
      <w:r w:rsidRPr="00B13942">
        <w:rPr>
          <w:rFonts w:ascii="Book Antiqua" w:hAnsi="Book Antiqua"/>
          <w:color w:val="auto"/>
          <w:kern w:val="2"/>
          <w:lang w:val="en-US"/>
        </w:rPr>
        <w:t xml:space="preserve"> 2016; </w:t>
      </w:r>
      <w:r w:rsidRPr="00B13942">
        <w:rPr>
          <w:rFonts w:ascii="Book Antiqua" w:hAnsi="Book Antiqua"/>
          <w:b/>
          <w:color w:val="auto"/>
          <w:kern w:val="2"/>
          <w:lang w:val="en-US"/>
        </w:rPr>
        <w:t>111</w:t>
      </w:r>
      <w:r w:rsidRPr="00B13942">
        <w:rPr>
          <w:rFonts w:ascii="Book Antiqua" w:hAnsi="Book Antiqua"/>
          <w:color w:val="auto"/>
          <w:kern w:val="2"/>
          <w:lang w:val="en-US"/>
        </w:rPr>
        <w:t>: 677-684 [PMID: 26977758 DOI: 10.1038/ajg.2016.49]</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32 </w:t>
      </w:r>
      <w:r w:rsidRPr="00B13942">
        <w:rPr>
          <w:rFonts w:ascii="Book Antiqua" w:hAnsi="Book Antiqua"/>
          <w:b/>
          <w:color w:val="auto"/>
          <w:kern w:val="2"/>
          <w:lang w:val="en-US"/>
        </w:rPr>
        <w:t>Wong VW</w:t>
      </w:r>
      <w:r w:rsidRPr="00B13942">
        <w:rPr>
          <w:rFonts w:ascii="Book Antiqua" w:hAnsi="Book Antiqua"/>
          <w:color w:val="auto"/>
          <w:kern w:val="2"/>
          <w:lang w:val="en-US"/>
        </w:rPr>
        <w:t xml:space="preserve">, Vergniol J, Wong GL, Foucher J, Chan AW, Chermak F, Choi PC, Merrouche W, Chu SH, Pesque S, Chan HL, de Lédinghen V. Liver stiffness measurement using XL probe in patients with nonalcoholic fatty liver disease. </w:t>
      </w:r>
      <w:r w:rsidRPr="00B13942">
        <w:rPr>
          <w:rFonts w:ascii="Book Antiqua" w:hAnsi="Book Antiqua"/>
          <w:i/>
          <w:color w:val="auto"/>
          <w:kern w:val="2"/>
          <w:lang w:val="en-US"/>
        </w:rPr>
        <w:t>Am J Gastroenterol</w:t>
      </w:r>
      <w:r w:rsidRPr="00B13942">
        <w:rPr>
          <w:rFonts w:ascii="Book Antiqua" w:hAnsi="Book Antiqua"/>
          <w:color w:val="auto"/>
          <w:kern w:val="2"/>
          <w:lang w:val="en-US"/>
        </w:rPr>
        <w:t xml:space="preserve"> 2012; </w:t>
      </w:r>
      <w:r w:rsidRPr="00B13942">
        <w:rPr>
          <w:rFonts w:ascii="Book Antiqua" w:hAnsi="Book Antiqua"/>
          <w:b/>
          <w:color w:val="auto"/>
          <w:kern w:val="2"/>
          <w:lang w:val="en-US"/>
        </w:rPr>
        <w:t>107</w:t>
      </w:r>
      <w:r w:rsidRPr="00B13942">
        <w:rPr>
          <w:rFonts w:ascii="Book Antiqua" w:hAnsi="Book Antiqua"/>
          <w:color w:val="auto"/>
          <w:kern w:val="2"/>
          <w:lang w:val="en-US"/>
        </w:rPr>
        <w:t>: 1862-1871 [PMID: 23032979 DOI: 10.1038/ajg.2012.331]</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33 </w:t>
      </w:r>
      <w:r w:rsidRPr="00B13942">
        <w:rPr>
          <w:rFonts w:ascii="Book Antiqua" w:hAnsi="Book Antiqua"/>
          <w:b/>
          <w:color w:val="auto"/>
          <w:kern w:val="2"/>
          <w:lang w:val="en-US"/>
        </w:rPr>
        <w:t>Wong VW</w:t>
      </w:r>
      <w:r w:rsidRPr="00B13942">
        <w:rPr>
          <w:rFonts w:ascii="Book Antiqua" w:hAnsi="Book Antiqua"/>
          <w:color w:val="auto"/>
          <w:kern w:val="2"/>
          <w:lang w:val="en-US"/>
        </w:rPr>
        <w:t xml:space="preserve">, Vergniol J, Wong GL, Foucher J, Chan HL, Le Bail B, Choi PC, Kowo M, Chan AW, Merrouche W, Sung JJ, de Lédinghen V. Diagnosis of fibrosis and cirrhosis using liver stiffness measurement in nonalcoholic fatty liver disease. </w:t>
      </w:r>
      <w:r w:rsidRPr="00B13942">
        <w:rPr>
          <w:rFonts w:ascii="Book Antiqua" w:hAnsi="Book Antiqua"/>
          <w:i/>
          <w:color w:val="auto"/>
          <w:kern w:val="2"/>
          <w:lang w:val="en-US"/>
        </w:rPr>
        <w:t>Hepatology</w:t>
      </w:r>
      <w:r w:rsidRPr="00B13942">
        <w:rPr>
          <w:rFonts w:ascii="Book Antiqua" w:hAnsi="Book Antiqua"/>
          <w:color w:val="auto"/>
          <w:kern w:val="2"/>
          <w:lang w:val="en-US"/>
        </w:rPr>
        <w:t xml:space="preserve"> 2010; </w:t>
      </w:r>
      <w:r w:rsidRPr="00B13942">
        <w:rPr>
          <w:rFonts w:ascii="Book Antiqua" w:hAnsi="Book Antiqua"/>
          <w:b/>
          <w:color w:val="auto"/>
          <w:kern w:val="2"/>
          <w:lang w:val="en-US"/>
        </w:rPr>
        <w:t>51</w:t>
      </w:r>
      <w:r w:rsidRPr="00B13942">
        <w:rPr>
          <w:rFonts w:ascii="Book Antiqua" w:hAnsi="Book Antiqua"/>
          <w:color w:val="auto"/>
          <w:kern w:val="2"/>
          <w:lang w:val="en-US"/>
        </w:rPr>
        <w:t xml:space="preserve">: 454-462 [PMID: 20101745 DOI: </w:t>
      </w:r>
      <w:r w:rsidRPr="00B13942">
        <w:rPr>
          <w:rFonts w:ascii="Book Antiqua" w:hAnsi="Book Antiqua"/>
          <w:color w:val="auto"/>
          <w:kern w:val="2"/>
          <w:lang w:val="en-US"/>
        </w:rPr>
        <w:lastRenderedPageBreak/>
        <w:t>10.1002/hep.23312]</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34 </w:t>
      </w:r>
      <w:r w:rsidRPr="00B13942">
        <w:rPr>
          <w:rFonts w:ascii="Book Antiqua" w:hAnsi="Book Antiqua"/>
          <w:b/>
          <w:color w:val="auto"/>
          <w:kern w:val="2"/>
          <w:lang w:val="en-US"/>
        </w:rPr>
        <w:t>Imajo K</w:t>
      </w:r>
      <w:r w:rsidRPr="00B13942">
        <w:rPr>
          <w:rFonts w:ascii="Book Antiqua" w:hAnsi="Book Antiqua"/>
          <w:color w:val="auto"/>
          <w:kern w:val="2"/>
          <w:lang w:val="en-US"/>
        </w:rPr>
        <w:t xml:space="preserve">, Kessoku T, Honda Y, Tomeno W, Ogawa Y, Mawatari H, Fujita K, Yoneda M, Taguri M, Hyogo H, Sumida Y, Ono M, Eguchi Y, Inoue T, Yamanaka T, Wada K, Saito S, Nakajima A. Magnetic Resonance Imaging More Accurately Classifies Steatosis and Fibrosis in Patients With Nonalcoholic Fatty Liver Disease Than Transient Elastography. </w:t>
      </w:r>
      <w:r w:rsidRPr="00B13942">
        <w:rPr>
          <w:rFonts w:ascii="Book Antiqua" w:hAnsi="Book Antiqua"/>
          <w:i/>
          <w:color w:val="auto"/>
          <w:kern w:val="2"/>
          <w:lang w:val="en-US"/>
        </w:rPr>
        <w:t>Gastroenterology</w:t>
      </w:r>
      <w:r w:rsidRPr="00B13942">
        <w:rPr>
          <w:rFonts w:ascii="Book Antiqua" w:hAnsi="Book Antiqua"/>
          <w:color w:val="auto"/>
          <w:kern w:val="2"/>
          <w:lang w:val="en-US"/>
        </w:rPr>
        <w:t xml:space="preserve"> 2016; </w:t>
      </w:r>
      <w:r w:rsidRPr="00B13942">
        <w:rPr>
          <w:rFonts w:ascii="Book Antiqua" w:hAnsi="Book Antiqua"/>
          <w:b/>
          <w:color w:val="auto"/>
          <w:kern w:val="2"/>
          <w:lang w:val="en-US"/>
        </w:rPr>
        <w:t>150</w:t>
      </w:r>
      <w:r w:rsidRPr="00B13942">
        <w:rPr>
          <w:rFonts w:ascii="Book Antiqua" w:hAnsi="Book Antiqua"/>
          <w:color w:val="auto"/>
          <w:kern w:val="2"/>
          <w:lang w:val="en-US"/>
        </w:rPr>
        <w:t>: 626-637.e7 [PMID: 26677985 DOI: 10.1053/j.gastro.2015.11.048]</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35 </w:t>
      </w:r>
      <w:r w:rsidRPr="00B13942">
        <w:rPr>
          <w:rFonts w:ascii="Book Antiqua" w:hAnsi="Book Antiqua"/>
          <w:b/>
          <w:color w:val="auto"/>
          <w:kern w:val="2"/>
          <w:lang w:val="en-US"/>
        </w:rPr>
        <w:t>Cheah MC</w:t>
      </w:r>
      <w:r w:rsidRPr="00B13942">
        <w:rPr>
          <w:rFonts w:ascii="Book Antiqua" w:hAnsi="Book Antiqua"/>
          <w:color w:val="auto"/>
          <w:kern w:val="2"/>
          <w:lang w:val="en-US"/>
        </w:rPr>
        <w:t xml:space="preserve">, McCullough AJ, Goh GB. Current Modalities of Fibrosis Assessment in Non-alcoholic Fatty Liver Disease. </w:t>
      </w:r>
      <w:r w:rsidRPr="00B13942">
        <w:rPr>
          <w:rFonts w:ascii="Book Antiqua" w:hAnsi="Book Antiqua"/>
          <w:i/>
          <w:color w:val="auto"/>
          <w:kern w:val="2"/>
          <w:lang w:val="en-US"/>
        </w:rPr>
        <w:t>J Clin Transl Hepatol</w:t>
      </w:r>
      <w:r w:rsidRPr="00B13942">
        <w:rPr>
          <w:rFonts w:ascii="Book Antiqua" w:hAnsi="Book Antiqua"/>
          <w:color w:val="auto"/>
          <w:kern w:val="2"/>
          <w:lang w:val="en-US"/>
        </w:rPr>
        <w:t xml:space="preserve"> 2017; </w:t>
      </w:r>
      <w:r w:rsidRPr="00B13942">
        <w:rPr>
          <w:rFonts w:ascii="Book Antiqua" w:hAnsi="Book Antiqua"/>
          <w:b/>
          <w:color w:val="auto"/>
          <w:kern w:val="2"/>
          <w:lang w:val="en-US"/>
        </w:rPr>
        <w:t>5</w:t>
      </w:r>
      <w:r w:rsidRPr="00B13942">
        <w:rPr>
          <w:rFonts w:ascii="Book Antiqua" w:hAnsi="Book Antiqua"/>
          <w:color w:val="auto"/>
          <w:kern w:val="2"/>
          <w:lang w:val="en-US"/>
        </w:rPr>
        <w:t>: 261-271 [PMID: 28936407 DOI: 10.14218/JCTH.2017.00009]</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36 </w:t>
      </w:r>
      <w:r w:rsidRPr="00B13942">
        <w:rPr>
          <w:rFonts w:ascii="Book Antiqua" w:hAnsi="Book Antiqua"/>
          <w:b/>
          <w:color w:val="auto"/>
          <w:kern w:val="2"/>
          <w:lang w:val="en-US"/>
        </w:rPr>
        <w:t>Kleiner DE</w:t>
      </w:r>
      <w:r w:rsidRPr="00B13942">
        <w:rPr>
          <w:rFonts w:ascii="Book Antiqua" w:hAnsi="Book Antiqua"/>
          <w:color w:val="auto"/>
          <w:kern w:val="2"/>
          <w:lang w:val="en-US"/>
        </w:rPr>
        <w:t xml:space="preserve">, Brunt EM. Nonalcoholic fatty liver disease: pathologic patterns and biopsy evaluation in clinical research. </w:t>
      </w:r>
      <w:r w:rsidRPr="00B13942">
        <w:rPr>
          <w:rFonts w:ascii="Book Antiqua" w:hAnsi="Book Antiqua"/>
          <w:i/>
          <w:color w:val="auto"/>
          <w:kern w:val="2"/>
          <w:lang w:val="en-US"/>
        </w:rPr>
        <w:t>Semin Liver Dis</w:t>
      </w:r>
      <w:r w:rsidRPr="00B13942">
        <w:rPr>
          <w:rFonts w:ascii="Book Antiqua" w:hAnsi="Book Antiqua"/>
          <w:color w:val="auto"/>
          <w:kern w:val="2"/>
          <w:lang w:val="en-US"/>
        </w:rPr>
        <w:t xml:space="preserve"> 2012; </w:t>
      </w:r>
      <w:r w:rsidRPr="00B13942">
        <w:rPr>
          <w:rFonts w:ascii="Book Antiqua" w:hAnsi="Book Antiqua"/>
          <w:b/>
          <w:color w:val="auto"/>
          <w:kern w:val="2"/>
          <w:lang w:val="en-US"/>
        </w:rPr>
        <w:t>32</w:t>
      </w:r>
      <w:r w:rsidRPr="00B13942">
        <w:rPr>
          <w:rFonts w:ascii="Book Antiqua" w:hAnsi="Book Antiqua"/>
          <w:color w:val="auto"/>
          <w:kern w:val="2"/>
          <w:lang w:val="en-US"/>
        </w:rPr>
        <w:t>: 3-13 [PMID: 22418883 DOI: 10.1055/s-0032-1306421]</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37 </w:t>
      </w:r>
      <w:r w:rsidRPr="00B13942">
        <w:rPr>
          <w:rFonts w:ascii="Book Antiqua" w:hAnsi="Book Antiqua"/>
          <w:b/>
          <w:color w:val="auto"/>
          <w:kern w:val="2"/>
          <w:lang w:val="en-US"/>
        </w:rPr>
        <w:t>Bedossa P</w:t>
      </w:r>
      <w:r w:rsidRPr="00B13942">
        <w:rPr>
          <w:rFonts w:ascii="Book Antiqua" w:hAnsi="Book Antiqua"/>
          <w:color w:val="auto"/>
          <w:kern w:val="2"/>
          <w:lang w:val="en-US"/>
        </w:rPr>
        <w:t xml:space="preserve">, Poitou C, Veyrie N, Bouillot JL, Basdevant A, Paradis V, Tordjman J, Clement K. Histopathological algorithm and scoring system for evaluation of liver lesions in morbidly obese patients. </w:t>
      </w:r>
      <w:r w:rsidRPr="00B13942">
        <w:rPr>
          <w:rFonts w:ascii="Book Antiqua" w:hAnsi="Book Antiqua"/>
          <w:i/>
          <w:color w:val="auto"/>
          <w:kern w:val="2"/>
          <w:lang w:val="en-US"/>
        </w:rPr>
        <w:t>Hepatology</w:t>
      </w:r>
      <w:r w:rsidRPr="00B13942">
        <w:rPr>
          <w:rFonts w:ascii="Book Antiqua" w:hAnsi="Book Antiqua"/>
          <w:color w:val="auto"/>
          <w:kern w:val="2"/>
          <w:lang w:val="en-US"/>
        </w:rPr>
        <w:t xml:space="preserve"> 2012; </w:t>
      </w:r>
      <w:r w:rsidRPr="00B13942">
        <w:rPr>
          <w:rFonts w:ascii="Book Antiqua" w:hAnsi="Book Antiqua"/>
          <w:b/>
          <w:color w:val="auto"/>
          <w:kern w:val="2"/>
          <w:lang w:val="en-US"/>
        </w:rPr>
        <w:t>56</w:t>
      </w:r>
      <w:r w:rsidRPr="00B13942">
        <w:rPr>
          <w:rFonts w:ascii="Book Antiqua" w:hAnsi="Book Antiqua"/>
          <w:color w:val="auto"/>
          <w:kern w:val="2"/>
          <w:lang w:val="en-US"/>
        </w:rPr>
        <w:t>: 1751-1759 [PMID: 22707395 DOI: 10.1002/hep.25889]</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38 </w:t>
      </w:r>
      <w:r w:rsidRPr="00B13942">
        <w:rPr>
          <w:rFonts w:ascii="Book Antiqua" w:hAnsi="Book Antiqua"/>
          <w:b/>
          <w:color w:val="auto"/>
          <w:kern w:val="2"/>
          <w:lang w:val="en-US"/>
        </w:rPr>
        <w:t>Bedossa P</w:t>
      </w:r>
      <w:r w:rsidRPr="00B13942">
        <w:rPr>
          <w:rFonts w:ascii="Book Antiqua" w:hAnsi="Book Antiqua"/>
          <w:color w:val="auto"/>
          <w:kern w:val="2"/>
          <w:lang w:val="en-US"/>
        </w:rPr>
        <w:t xml:space="preserve">; FLIP Pathology Consortium. Utility and appropriateness of the fatty liver inhibition of progression (FLIP) algorithm and steatosis, activity, and fibrosis (SAF) score in the evaluation of biopsies of nonalcoholic fatty liver disease. </w:t>
      </w:r>
      <w:r w:rsidRPr="00B13942">
        <w:rPr>
          <w:rFonts w:ascii="Book Antiqua" w:hAnsi="Book Antiqua"/>
          <w:i/>
          <w:color w:val="auto"/>
          <w:kern w:val="2"/>
          <w:lang w:val="en-US"/>
        </w:rPr>
        <w:t>Hepatology</w:t>
      </w:r>
      <w:r w:rsidRPr="00B13942">
        <w:rPr>
          <w:rFonts w:ascii="Book Antiqua" w:hAnsi="Book Antiqua"/>
          <w:color w:val="auto"/>
          <w:kern w:val="2"/>
          <w:lang w:val="en-US"/>
        </w:rPr>
        <w:t xml:space="preserve"> 2014; </w:t>
      </w:r>
      <w:r w:rsidRPr="00B13942">
        <w:rPr>
          <w:rFonts w:ascii="Book Antiqua" w:hAnsi="Book Antiqua"/>
          <w:b/>
          <w:color w:val="auto"/>
          <w:kern w:val="2"/>
          <w:lang w:val="en-US"/>
        </w:rPr>
        <w:t>60</w:t>
      </w:r>
      <w:r w:rsidRPr="00B13942">
        <w:rPr>
          <w:rFonts w:ascii="Book Antiqua" w:hAnsi="Book Antiqua"/>
          <w:color w:val="auto"/>
          <w:kern w:val="2"/>
          <w:lang w:val="en-US"/>
        </w:rPr>
        <w:t>: 565-575 [PMID: 24753132 DOI: 10.1002/hep.27173]</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39 </w:t>
      </w:r>
      <w:r w:rsidRPr="00B13942">
        <w:rPr>
          <w:rFonts w:ascii="Book Antiqua" w:hAnsi="Book Antiqua"/>
          <w:b/>
          <w:color w:val="auto"/>
          <w:kern w:val="2"/>
          <w:lang w:val="en-US"/>
        </w:rPr>
        <w:t>Haufe S</w:t>
      </w:r>
      <w:r w:rsidRPr="00B13942">
        <w:rPr>
          <w:rFonts w:ascii="Book Antiqua" w:hAnsi="Book Antiqua"/>
          <w:color w:val="auto"/>
          <w:kern w:val="2"/>
          <w:lang w:val="en-US"/>
        </w:rPr>
        <w:t xml:space="preserve">, Engeli S, Kast P, Böhnke J, Utz W, Haas V, Hermsdorf M, Mähler A, Wiesner S, Birkenfeld AL, Sell H, Otto C, Mehling H, Luft FC, Eckel J, Schulz-Menger J, Boschmann M, Jordan J. Randomized comparison of reduced fat and reduced carbohydrate hypocaloric diets on intrahepatic fat in overweight and obese human subjects. </w:t>
      </w:r>
      <w:r w:rsidRPr="00B13942">
        <w:rPr>
          <w:rFonts w:ascii="Book Antiqua" w:hAnsi="Book Antiqua"/>
          <w:i/>
          <w:color w:val="auto"/>
          <w:kern w:val="2"/>
          <w:lang w:val="en-US"/>
        </w:rPr>
        <w:t>Hepatology</w:t>
      </w:r>
      <w:r w:rsidRPr="00B13942">
        <w:rPr>
          <w:rFonts w:ascii="Book Antiqua" w:hAnsi="Book Antiqua"/>
          <w:color w:val="auto"/>
          <w:kern w:val="2"/>
          <w:lang w:val="en-US"/>
        </w:rPr>
        <w:t xml:space="preserve"> 2011; </w:t>
      </w:r>
      <w:r w:rsidRPr="00B13942">
        <w:rPr>
          <w:rFonts w:ascii="Book Antiqua" w:hAnsi="Book Antiqua"/>
          <w:b/>
          <w:color w:val="auto"/>
          <w:kern w:val="2"/>
          <w:lang w:val="en-US"/>
        </w:rPr>
        <w:t>53</w:t>
      </w:r>
      <w:r w:rsidRPr="00B13942">
        <w:rPr>
          <w:rFonts w:ascii="Book Antiqua" w:hAnsi="Book Antiqua"/>
          <w:color w:val="auto"/>
          <w:kern w:val="2"/>
          <w:lang w:val="en-US"/>
        </w:rPr>
        <w:t>: 1504-1514 [PMID: 21400557 DOI: 10.1002/hep.24242]</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40 </w:t>
      </w:r>
      <w:r w:rsidRPr="00B13942">
        <w:rPr>
          <w:rFonts w:ascii="Book Antiqua" w:hAnsi="Book Antiqua"/>
          <w:b/>
          <w:color w:val="auto"/>
          <w:kern w:val="2"/>
          <w:lang w:val="en-US"/>
        </w:rPr>
        <w:t>Asrih M</w:t>
      </w:r>
      <w:r w:rsidRPr="00B13942">
        <w:rPr>
          <w:rFonts w:ascii="Book Antiqua" w:hAnsi="Book Antiqua"/>
          <w:color w:val="auto"/>
          <w:kern w:val="2"/>
          <w:lang w:val="en-US"/>
        </w:rPr>
        <w:t xml:space="preserve">, Jornayvaz FR. Diets and nonalcoholic fatty liver disease: the good and the bad. </w:t>
      </w:r>
      <w:r w:rsidRPr="00B13942">
        <w:rPr>
          <w:rFonts w:ascii="Book Antiqua" w:hAnsi="Book Antiqua"/>
          <w:i/>
          <w:color w:val="auto"/>
          <w:kern w:val="2"/>
          <w:lang w:val="en-US"/>
        </w:rPr>
        <w:t>Clin Nutr</w:t>
      </w:r>
      <w:r w:rsidRPr="00B13942">
        <w:rPr>
          <w:rFonts w:ascii="Book Antiqua" w:hAnsi="Book Antiqua"/>
          <w:color w:val="auto"/>
          <w:kern w:val="2"/>
          <w:lang w:val="en-US"/>
        </w:rPr>
        <w:t xml:space="preserve"> 2014; </w:t>
      </w:r>
      <w:r w:rsidRPr="00B13942">
        <w:rPr>
          <w:rFonts w:ascii="Book Antiqua" w:hAnsi="Book Antiqua"/>
          <w:b/>
          <w:color w:val="auto"/>
          <w:kern w:val="2"/>
          <w:lang w:val="en-US"/>
        </w:rPr>
        <w:t>33</w:t>
      </w:r>
      <w:r w:rsidRPr="00B13942">
        <w:rPr>
          <w:rFonts w:ascii="Book Antiqua" w:hAnsi="Book Antiqua"/>
          <w:color w:val="auto"/>
          <w:kern w:val="2"/>
          <w:lang w:val="en-US"/>
        </w:rPr>
        <w:t>: 186-190 [PMID: 24262589 DOI: 10.1016/j.clnu.2013.11.003]</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41 </w:t>
      </w:r>
      <w:r w:rsidRPr="00B13942">
        <w:rPr>
          <w:rFonts w:ascii="Book Antiqua" w:hAnsi="Book Antiqua"/>
          <w:b/>
          <w:color w:val="auto"/>
          <w:kern w:val="2"/>
          <w:lang w:val="en-US"/>
        </w:rPr>
        <w:t>Adams LA</w:t>
      </w:r>
      <w:r w:rsidRPr="00B13942">
        <w:rPr>
          <w:rFonts w:ascii="Book Antiqua" w:hAnsi="Book Antiqua"/>
          <w:color w:val="auto"/>
          <w:kern w:val="2"/>
          <w:lang w:val="en-US"/>
        </w:rPr>
        <w:t xml:space="preserve">, Sanderson S, Lindor KD, Angulo P. The histological course of nonalcoholic fatty liver disease: a longitudinal study of 103 patients with sequential liver biopsies. </w:t>
      </w:r>
      <w:r w:rsidRPr="00B13942">
        <w:rPr>
          <w:rFonts w:ascii="Book Antiqua" w:hAnsi="Book Antiqua"/>
          <w:i/>
          <w:color w:val="auto"/>
          <w:kern w:val="2"/>
          <w:lang w:val="en-US"/>
        </w:rPr>
        <w:t>J Hepatol</w:t>
      </w:r>
      <w:r w:rsidRPr="00B13942">
        <w:rPr>
          <w:rFonts w:ascii="Book Antiqua" w:hAnsi="Book Antiqua"/>
          <w:color w:val="auto"/>
          <w:kern w:val="2"/>
          <w:lang w:val="en-US"/>
        </w:rPr>
        <w:t xml:space="preserve"> 2005; </w:t>
      </w:r>
      <w:r w:rsidRPr="00B13942">
        <w:rPr>
          <w:rFonts w:ascii="Book Antiqua" w:hAnsi="Book Antiqua"/>
          <w:b/>
          <w:color w:val="auto"/>
          <w:kern w:val="2"/>
          <w:lang w:val="en-US"/>
        </w:rPr>
        <w:t>42</w:t>
      </w:r>
      <w:r w:rsidRPr="00B13942">
        <w:rPr>
          <w:rFonts w:ascii="Book Antiqua" w:hAnsi="Book Antiqua"/>
          <w:color w:val="auto"/>
          <w:kern w:val="2"/>
          <w:lang w:val="en-US"/>
        </w:rPr>
        <w:t>: 132-138 [PMID: 15629518 DOI: 10.1016/j.jhep.2004.09.012]</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42 </w:t>
      </w:r>
      <w:r w:rsidRPr="00B13942">
        <w:rPr>
          <w:rFonts w:ascii="Book Antiqua" w:hAnsi="Book Antiqua"/>
          <w:b/>
          <w:color w:val="auto"/>
          <w:kern w:val="2"/>
          <w:lang w:val="en-US"/>
        </w:rPr>
        <w:t>Sanyal AJ</w:t>
      </w:r>
      <w:r w:rsidRPr="00B13942">
        <w:rPr>
          <w:rFonts w:ascii="Book Antiqua" w:hAnsi="Book Antiqua"/>
          <w:color w:val="auto"/>
          <w:kern w:val="2"/>
          <w:lang w:val="en-US"/>
        </w:rPr>
        <w:t xml:space="preserve">, Friedman SL, McCullough AJ, Dimick-Santos L; American Association for the Study of </w:t>
      </w:r>
      <w:r w:rsidRPr="00B13942">
        <w:rPr>
          <w:rFonts w:ascii="Book Antiqua" w:hAnsi="Book Antiqua"/>
          <w:color w:val="auto"/>
          <w:kern w:val="2"/>
          <w:lang w:val="en-US"/>
        </w:rPr>
        <w:lastRenderedPageBreak/>
        <w:t xml:space="preserve">Liver Diseases; United States Food and Drug Administration. Challenges and opportunities in drug and biomarker development for nonalcoholic steatohepatitis: findings and recommendations from an American Association for the Study of Liver Diseases-U.S. Food and Drug Administration Joint Workshop. </w:t>
      </w:r>
      <w:r w:rsidRPr="00B13942">
        <w:rPr>
          <w:rFonts w:ascii="Book Antiqua" w:hAnsi="Book Antiqua"/>
          <w:i/>
          <w:color w:val="auto"/>
          <w:kern w:val="2"/>
          <w:lang w:val="en-US"/>
        </w:rPr>
        <w:t>Hepatology</w:t>
      </w:r>
      <w:r w:rsidRPr="00B13942">
        <w:rPr>
          <w:rFonts w:ascii="Book Antiqua" w:hAnsi="Book Antiqua"/>
          <w:color w:val="auto"/>
          <w:kern w:val="2"/>
          <w:lang w:val="en-US"/>
        </w:rPr>
        <w:t xml:space="preserve"> 2015; </w:t>
      </w:r>
      <w:r w:rsidRPr="00B13942">
        <w:rPr>
          <w:rFonts w:ascii="Book Antiqua" w:hAnsi="Book Antiqua"/>
          <w:b/>
          <w:color w:val="auto"/>
          <w:kern w:val="2"/>
          <w:lang w:val="en-US"/>
        </w:rPr>
        <w:t>61</w:t>
      </w:r>
      <w:r w:rsidRPr="00B13942">
        <w:rPr>
          <w:rFonts w:ascii="Book Antiqua" w:hAnsi="Book Antiqua"/>
          <w:color w:val="auto"/>
          <w:kern w:val="2"/>
          <w:lang w:val="en-US"/>
        </w:rPr>
        <w:t>: 1392-1405 [PMID: 25557690 DOI: 10.1002/hep.27678]</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43 </w:t>
      </w:r>
      <w:r w:rsidRPr="00B13942">
        <w:rPr>
          <w:rFonts w:ascii="Book Antiqua" w:hAnsi="Book Antiqua"/>
          <w:b/>
          <w:color w:val="auto"/>
          <w:kern w:val="2"/>
          <w:lang w:val="en-US"/>
        </w:rPr>
        <w:t>Bugianesi E</w:t>
      </w:r>
      <w:r w:rsidRPr="00B13942">
        <w:rPr>
          <w:rFonts w:ascii="Book Antiqua" w:hAnsi="Book Antiqua"/>
          <w:color w:val="auto"/>
          <w:kern w:val="2"/>
          <w:lang w:val="en-US"/>
        </w:rPr>
        <w:t xml:space="preserve">, Gentilcore E, Manini R, Natale S, Vanni E, Villanova N, David E, Rizzetto M, Marchesini G. A randomized controlled trial of metformin versus vitamin E or prescriptive diet in nonalcoholic fatty liver disease. </w:t>
      </w:r>
      <w:r w:rsidRPr="00B13942">
        <w:rPr>
          <w:rFonts w:ascii="Book Antiqua" w:hAnsi="Book Antiqua"/>
          <w:i/>
          <w:color w:val="auto"/>
          <w:kern w:val="2"/>
          <w:lang w:val="en-US"/>
        </w:rPr>
        <w:t>Am J Gastroenterol</w:t>
      </w:r>
      <w:r w:rsidRPr="00B13942">
        <w:rPr>
          <w:rFonts w:ascii="Book Antiqua" w:hAnsi="Book Antiqua"/>
          <w:color w:val="auto"/>
          <w:kern w:val="2"/>
          <w:lang w:val="en-US"/>
        </w:rPr>
        <w:t xml:space="preserve"> 2005; </w:t>
      </w:r>
      <w:r w:rsidRPr="00B13942">
        <w:rPr>
          <w:rFonts w:ascii="Book Antiqua" w:hAnsi="Book Antiqua"/>
          <w:b/>
          <w:color w:val="auto"/>
          <w:kern w:val="2"/>
          <w:lang w:val="en-US"/>
        </w:rPr>
        <w:t>100</w:t>
      </w:r>
      <w:r w:rsidRPr="00B13942">
        <w:rPr>
          <w:rFonts w:ascii="Book Antiqua" w:hAnsi="Book Antiqua"/>
          <w:color w:val="auto"/>
          <w:kern w:val="2"/>
          <w:lang w:val="en-US"/>
        </w:rPr>
        <w:t>: 1082-1090 [PMID: 15842582 DOI: 10.1111/j.1572-0241.2005.41583.x]</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44 </w:t>
      </w:r>
      <w:r w:rsidRPr="00B13942">
        <w:rPr>
          <w:rFonts w:ascii="Book Antiqua" w:hAnsi="Book Antiqua"/>
          <w:b/>
          <w:color w:val="auto"/>
          <w:kern w:val="2"/>
          <w:lang w:val="en-US"/>
        </w:rPr>
        <w:t>Haukeland JW</w:t>
      </w:r>
      <w:r w:rsidRPr="00B13942">
        <w:rPr>
          <w:rFonts w:ascii="Book Antiqua" w:hAnsi="Book Antiqua"/>
          <w:color w:val="auto"/>
          <w:kern w:val="2"/>
          <w:lang w:val="en-US"/>
        </w:rPr>
        <w:t xml:space="preserve">, Konopski Z, Eggesbø HB, von Volkmann HL, Raschpichler G, Bjøro K, Haaland T, Løberg EM, Birkeland K. Metformin in patients with non-alcoholic fatty liver disease: a randomized, controlled trial. </w:t>
      </w:r>
      <w:r w:rsidRPr="00B13942">
        <w:rPr>
          <w:rFonts w:ascii="Book Antiqua" w:hAnsi="Book Antiqua"/>
          <w:i/>
          <w:color w:val="auto"/>
          <w:kern w:val="2"/>
          <w:lang w:val="en-US"/>
        </w:rPr>
        <w:t>Scand J Gastroenterol</w:t>
      </w:r>
      <w:r w:rsidRPr="00B13942">
        <w:rPr>
          <w:rFonts w:ascii="Book Antiqua" w:hAnsi="Book Antiqua"/>
          <w:color w:val="auto"/>
          <w:kern w:val="2"/>
          <w:lang w:val="en-US"/>
        </w:rPr>
        <w:t xml:space="preserve"> 2009; </w:t>
      </w:r>
      <w:r w:rsidRPr="00B13942">
        <w:rPr>
          <w:rFonts w:ascii="Book Antiqua" w:hAnsi="Book Antiqua"/>
          <w:b/>
          <w:color w:val="auto"/>
          <w:kern w:val="2"/>
          <w:lang w:val="en-US"/>
        </w:rPr>
        <w:t>44</w:t>
      </w:r>
      <w:r w:rsidRPr="00B13942">
        <w:rPr>
          <w:rFonts w:ascii="Book Antiqua" w:hAnsi="Book Antiqua"/>
          <w:color w:val="auto"/>
          <w:kern w:val="2"/>
          <w:lang w:val="en-US"/>
        </w:rPr>
        <w:t>: 853-860 [PMID: 19811343 DOI: 10.1080/00365520902845268]</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45 </w:t>
      </w:r>
      <w:r w:rsidRPr="00B13942">
        <w:rPr>
          <w:rFonts w:ascii="Book Antiqua" w:hAnsi="Book Antiqua"/>
          <w:b/>
          <w:color w:val="auto"/>
          <w:kern w:val="2"/>
          <w:lang w:val="en-US"/>
        </w:rPr>
        <w:t>Shields WW</w:t>
      </w:r>
      <w:r w:rsidRPr="00B13942">
        <w:rPr>
          <w:rFonts w:ascii="Book Antiqua" w:hAnsi="Book Antiqua"/>
          <w:color w:val="auto"/>
          <w:kern w:val="2"/>
          <w:lang w:val="en-US"/>
        </w:rPr>
        <w:t xml:space="preserve">, Thompson KE, Grice GA, Harrison SA, Coyle WJ. The Effect of Metformin and Standard Therapy versus Standard Therapy alone in Nondiabetic Patients with Insulin Resistance and Nonalcoholic Steatohepatitis (NASH): A Pilot Trial. </w:t>
      </w:r>
      <w:r w:rsidRPr="00B13942">
        <w:rPr>
          <w:rFonts w:ascii="Book Antiqua" w:hAnsi="Book Antiqua"/>
          <w:i/>
          <w:color w:val="auto"/>
          <w:kern w:val="2"/>
          <w:lang w:val="en-US"/>
        </w:rPr>
        <w:t>Therap Adv Gastroenterol</w:t>
      </w:r>
      <w:r w:rsidRPr="00B13942">
        <w:rPr>
          <w:rFonts w:ascii="Book Antiqua" w:hAnsi="Book Antiqua"/>
          <w:color w:val="auto"/>
          <w:kern w:val="2"/>
          <w:lang w:val="en-US"/>
        </w:rPr>
        <w:t xml:space="preserve"> 2009; </w:t>
      </w:r>
      <w:r w:rsidRPr="00B13942">
        <w:rPr>
          <w:rFonts w:ascii="Book Antiqua" w:hAnsi="Book Antiqua"/>
          <w:b/>
          <w:color w:val="auto"/>
          <w:kern w:val="2"/>
          <w:lang w:val="en-US"/>
        </w:rPr>
        <w:t>2</w:t>
      </w:r>
      <w:r w:rsidRPr="00B13942">
        <w:rPr>
          <w:rFonts w:ascii="Book Antiqua" w:hAnsi="Book Antiqua"/>
          <w:color w:val="auto"/>
          <w:kern w:val="2"/>
          <w:lang w:val="en-US"/>
        </w:rPr>
        <w:t>: 157-163 [PMID: 21180541 DOI: 10.1177/1756283X09105462]</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46 </w:t>
      </w:r>
      <w:r w:rsidRPr="00B13942">
        <w:rPr>
          <w:rFonts w:ascii="Book Antiqua" w:hAnsi="Book Antiqua"/>
          <w:b/>
          <w:color w:val="auto"/>
          <w:kern w:val="2"/>
          <w:lang w:val="en-US"/>
        </w:rPr>
        <w:t>Belfort R</w:t>
      </w:r>
      <w:r w:rsidRPr="00B13942">
        <w:rPr>
          <w:rFonts w:ascii="Book Antiqua" w:hAnsi="Book Antiqua"/>
          <w:color w:val="auto"/>
          <w:kern w:val="2"/>
          <w:lang w:val="en-US"/>
        </w:rPr>
        <w:t xml:space="preserve">, Harrison SA, Brown K, Darland C, Finch J, Hardies J, Balas B, Gastaldelli A, Tio F, Pulcini J, Berria R, Ma JZ, Dwivedi S, Havranek R, Fincke C, DeFronzo R, Bannayan GA, Schenker S, Cusi K. A placebo-controlled trial of pioglitazone in subjects with nonalcoholic steatohepatitis. </w:t>
      </w:r>
      <w:r w:rsidRPr="00B13942">
        <w:rPr>
          <w:rFonts w:ascii="Book Antiqua" w:hAnsi="Book Antiqua"/>
          <w:i/>
          <w:color w:val="auto"/>
          <w:kern w:val="2"/>
          <w:lang w:val="en-US"/>
        </w:rPr>
        <w:t>N Engl J Med</w:t>
      </w:r>
      <w:r w:rsidRPr="00B13942">
        <w:rPr>
          <w:rFonts w:ascii="Book Antiqua" w:hAnsi="Book Antiqua"/>
          <w:color w:val="auto"/>
          <w:kern w:val="2"/>
          <w:lang w:val="en-US"/>
        </w:rPr>
        <w:t xml:space="preserve"> 2006; </w:t>
      </w:r>
      <w:r w:rsidRPr="00B13942">
        <w:rPr>
          <w:rFonts w:ascii="Book Antiqua" w:hAnsi="Book Antiqua"/>
          <w:b/>
          <w:color w:val="auto"/>
          <w:kern w:val="2"/>
          <w:lang w:val="en-US"/>
        </w:rPr>
        <w:t>355</w:t>
      </w:r>
      <w:r w:rsidRPr="00B13942">
        <w:rPr>
          <w:rFonts w:ascii="Book Antiqua" w:hAnsi="Book Antiqua"/>
          <w:color w:val="auto"/>
          <w:kern w:val="2"/>
          <w:lang w:val="en-US"/>
        </w:rPr>
        <w:t>: 2297-2307 [PMID: 17135584 DOI: 10.1056/NEJMoa060326]</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47 </w:t>
      </w:r>
      <w:r w:rsidRPr="00B13942">
        <w:rPr>
          <w:rFonts w:ascii="Book Antiqua" w:hAnsi="Book Antiqua"/>
          <w:b/>
          <w:color w:val="auto"/>
          <w:kern w:val="2"/>
          <w:lang w:val="en-US"/>
        </w:rPr>
        <w:t>Sanyal AJ</w:t>
      </w:r>
      <w:r w:rsidRPr="00B13942">
        <w:rPr>
          <w:rFonts w:ascii="Book Antiqua" w:hAnsi="Book Antiqua"/>
          <w:color w:val="auto"/>
          <w:kern w:val="2"/>
          <w:lang w:val="en-US"/>
        </w:rPr>
        <w:t xml:space="preserve">, Chalasani N, Kowdley KV, McCullough A, Diehl AM, Bass NM, Neuschwander-Tetri BA, Lavine JE, Tonascia J, Unalp A, Van Natta M, Clark J, Brunt EM, Kleiner DE, Hoofnagle JH, Robuck PR; NASH CRN. Pioglitazone, vitamin E, or placebo for nonalcoholic steatohepatitis. </w:t>
      </w:r>
      <w:r w:rsidRPr="00B13942">
        <w:rPr>
          <w:rFonts w:ascii="Book Antiqua" w:hAnsi="Book Antiqua"/>
          <w:i/>
          <w:color w:val="auto"/>
          <w:kern w:val="2"/>
          <w:lang w:val="en-US"/>
        </w:rPr>
        <w:t>N Engl J Med</w:t>
      </w:r>
      <w:r w:rsidRPr="00B13942">
        <w:rPr>
          <w:rFonts w:ascii="Book Antiqua" w:hAnsi="Book Antiqua"/>
          <w:color w:val="auto"/>
          <w:kern w:val="2"/>
          <w:lang w:val="en-US"/>
        </w:rPr>
        <w:t xml:space="preserve"> 2010; </w:t>
      </w:r>
      <w:r w:rsidRPr="00B13942">
        <w:rPr>
          <w:rFonts w:ascii="Book Antiqua" w:hAnsi="Book Antiqua"/>
          <w:b/>
          <w:color w:val="auto"/>
          <w:kern w:val="2"/>
          <w:lang w:val="en-US"/>
        </w:rPr>
        <w:t>362</w:t>
      </w:r>
      <w:r w:rsidRPr="00B13942">
        <w:rPr>
          <w:rFonts w:ascii="Book Antiqua" w:hAnsi="Book Antiqua"/>
          <w:color w:val="auto"/>
          <w:kern w:val="2"/>
          <w:lang w:val="en-US"/>
        </w:rPr>
        <w:t>: 1675-1685 [PMID: 20427778 DOI: 10.1056/NEJMoa0907929]</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48 </w:t>
      </w:r>
      <w:r w:rsidRPr="00B13942">
        <w:rPr>
          <w:rFonts w:ascii="Book Antiqua" w:hAnsi="Book Antiqua"/>
          <w:b/>
          <w:color w:val="auto"/>
          <w:kern w:val="2"/>
          <w:lang w:val="en-US"/>
        </w:rPr>
        <w:t>Cusi K</w:t>
      </w:r>
      <w:r w:rsidRPr="00B13942">
        <w:rPr>
          <w:rFonts w:ascii="Book Antiqua" w:hAnsi="Book Antiqua"/>
          <w:color w:val="auto"/>
          <w:kern w:val="2"/>
          <w:lang w:val="en-US"/>
        </w:rPr>
        <w:t xml:space="preserve">, Orsak B, Bril F, Lomonaco R, Hecht J, Ortiz-Lopez C, Tio F, Hardies J, Darland C, Musi N, Webb A, Portillo-Sanchez P. Long-Term Pioglitazone Treatment for Patients With Nonalcoholic Steatohepatitis and Prediabetes or Type 2 Diabetes Mellitus: A Randomized Trial. </w:t>
      </w:r>
      <w:r w:rsidRPr="00B13942">
        <w:rPr>
          <w:rFonts w:ascii="Book Antiqua" w:hAnsi="Book Antiqua"/>
          <w:i/>
          <w:color w:val="auto"/>
          <w:kern w:val="2"/>
          <w:lang w:val="en-US"/>
        </w:rPr>
        <w:t>Ann Intern Med</w:t>
      </w:r>
      <w:r w:rsidRPr="00B13942">
        <w:rPr>
          <w:rFonts w:ascii="Book Antiqua" w:hAnsi="Book Antiqua"/>
          <w:color w:val="auto"/>
          <w:kern w:val="2"/>
          <w:lang w:val="en-US"/>
        </w:rPr>
        <w:t xml:space="preserve"> 2016; </w:t>
      </w:r>
      <w:r w:rsidRPr="00B13942">
        <w:rPr>
          <w:rFonts w:ascii="Book Antiqua" w:hAnsi="Book Antiqua"/>
          <w:b/>
          <w:color w:val="auto"/>
          <w:kern w:val="2"/>
          <w:lang w:val="en-US"/>
        </w:rPr>
        <w:t>165</w:t>
      </w:r>
      <w:r w:rsidRPr="00B13942">
        <w:rPr>
          <w:rFonts w:ascii="Book Antiqua" w:hAnsi="Book Antiqua"/>
          <w:color w:val="auto"/>
          <w:kern w:val="2"/>
          <w:lang w:val="en-US"/>
        </w:rPr>
        <w:t>: 305-315 [PMID: 27322798 DOI: 10.7326/M15-1774]</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49 </w:t>
      </w:r>
      <w:r w:rsidRPr="00B13942">
        <w:rPr>
          <w:rFonts w:ascii="Book Antiqua" w:hAnsi="Book Antiqua"/>
          <w:b/>
          <w:color w:val="auto"/>
          <w:kern w:val="2"/>
          <w:lang w:val="en-US"/>
        </w:rPr>
        <w:t>Aithal GP</w:t>
      </w:r>
      <w:r w:rsidRPr="00B13942">
        <w:rPr>
          <w:rFonts w:ascii="Book Antiqua" w:hAnsi="Book Antiqua"/>
          <w:color w:val="auto"/>
          <w:kern w:val="2"/>
          <w:lang w:val="en-US"/>
        </w:rPr>
        <w:t xml:space="preserve">, Thomas JA, Kaye PV, Lawson A, Ryder SD, Spendlove I, Austin AS, Freeman JG, </w:t>
      </w:r>
      <w:r w:rsidRPr="00B13942">
        <w:rPr>
          <w:rFonts w:ascii="Book Antiqua" w:hAnsi="Book Antiqua"/>
          <w:color w:val="auto"/>
          <w:kern w:val="2"/>
          <w:lang w:val="en-US"/>
        </w:rPr>
        <w:lastRenderedPageBreak/>
        <w:t xml:space="preserve">Morgan L, Webber J. Randomized, placebo-controlled trial of pioglitazone in nondiabetic subjects with nonalcoholic steatohepatitis. </w:t>
      </w:r>
      <w:r w:rsidRPr="00B13942">
        <w:rPr>
          <w:rFonts w:ascii="Book Antiqua" w:hAnsi="Book Antiqua"/>
          <w:i/>
          <w:color w:val="auto"/>
          <w:kern w:val="2"/>
          <w:lang w:val="en-US"/>
        </w:rPr>
        <w:t>Gastroenterology</w:t>
      </w:r>
      <w:r w:rsidRPr="00B13942">
        <w:rPr>
          <w:rFonts w:ascii="Book Antiqua" w:hAnsi="Book Antiqua"/>
          <w:color w:val="auto"/>
          <w:kern w:val="2"/>
          <w:lang w:val="en-US"/>
        </w:rPr>
        <w:t xml:space="preserve"> 2008; </w:t>
      </w:r>
      <w:r w:rsidRPr="00B13942">
        <w:rPr>
          <w:rFonts w:ascii="Book Antiqua" w:hAnsi="Book Antiqua"/>
          <w:b/>
          <w:color w:val="auto"/>
          <w:kern w:val="2"/>
          <w:lang w:val="en-US"/>
        </w:rPr>
        <w:t>135</w:t>
      </w:r>
      <w:r w:rsidRPr="00B13942">
        <w:rPr>
          <w:rFonts w:ascii="Book Antiqua" w:hAnsi="Book Antiqua"/>
          <w:color w:val="auto"/>
          <w:kern w:val="2"/>
          <w:lang w:val="en-US"/>
        </w:rPr>
        <w:t>: 1176-1184 [PMID: 18718471 DOI: 10.1053/j.gastro.2008.06.047]</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50 </w:t>
      </w:r>
      <w:r w:rsidRPr="00B13942">
        <w:rPr>
          <w:rFonts w:ascii="Book Antiqua" w:hAnsi="Book Antiqua"/>
          <w:b/>
          <w:color w:val="auto"/>
          <w:kern w:val="2"/>
          <w:lang w:val="en-US"/>
        </w:rPr>
        <w:t>Yau H</w:t>
      </w:r>
      <w:r w:rsidRPr="00B13942">
        <w:rPr>
          <w:rFonts w:ascii="Book Antiqua" w:hAnsi="Book Antiqua"/>
          <w:color w:val="auto"/>
          <w:kern w:val="2"/>
          <w:lang w:val="en-US"/>
        </w:rPr>
        <w:t xml:space="preserve">, Rivera K, Lomonaco R, Cusi K. The future of thiazolidinedione therapy in the management of type 2 diabetes mellitus. </w:t>
      </w:r>
      <w:r w:rsidRPr="00B13942">
        <w:rPr>
          <w:rFonts w:ascii="Book Antiqua" w:hAnsi="Book Antiqua"/>
          <w:i/>
          <w:color w:val="auto"/>
          <w:kern w:val="2"/>
          <w:lang w:val="en-US"/>
        </w:rPr>
        <w:t>Curr Diab Rep</w:t>
      </w:r>
      <w:r w:rsidRPr="00B13942">
        <w:rPr>
          <w:rFonts w:ascii="Book Antiqua" w:hAnsi="Book Antiqua"/>
          <w:color w:val="auto"/>
          <w:kern w:val="2"/>
          <w:lang w:val="en-US"/>
        </w:rPr>
        <w:t xml:space="preserve"> 2013; </w:t>
      </w:r>
      <w:r w:rsidRPr="00B13942">
        <w:rPr>
          <w:rFonts w:ascii="Book Antiqua" w:hAnsi="Book Antiqua"/>
          <w:b/>
          <w:color w:val="auto"/>
          <w:kern w:val="2"/>
          <w:lang w:val="en-US"/>
        </w:rPr>
        <w:t>13</w:t>
      </w:r>
      <w:r w:rsidRPr="00B13942">
        <w:rPr>
          <w:rFonts w:ascii="Book Antiqua" w:hAnsi="Book Antiqua"/>
          <w:color w:val="auto"/>
          <w:kern w:val="2"/>
          <w:lang w:val="en-US"/>
        </w:rPr>
        <w:t>: 329-341 [PMID: 23625197 DOI: 10.1007/s11892-013-0378-8]</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51 </w:t>
      </w:r>
      <w:r w:rsidRPr="00B13942">
        <w:rPr>
          <w:rFonts w:ascii="Book Antiqua" w:hAnsi="Book Antiqua"/>
          <w:b/>
          <w:color w:val="auto"/>
          <w:kern w:val="2"/>
          <w:lang w:val="en-US"/>
        </w:rPr>
        <w:t>Miller ER 3rd</w:t>
      </w:r>
      <w:r w:rsidRPr="00B13942">
        <w:rPr>
          <w:rFonts w:ascii="Book Antiqua" w:hAnsi="Book Antiqua"/>
          <w:color w:val="auto"/>
          <w:kern w:val="2"/>
          <w:lang w:val="en-US"/>
        </w:rPr>
        <w:t xml:space="preserve">, Pastor-Barriuso R, Dalal D, Riemersma RA, Appel LJ, Guallar E. Meta-analysis: high-dosage vitamin E supplementation may increase all-cause mortality. </w:t>
      </w:r>
      <w:r w:rsidRPr="00B13942">
        <w:rPr>
          <w:rFonts w:ascii="Book Antiqua" w:hAnsi="Book Antiqua"/>
          <w:i/>
          <w:color w:val="auto"/>
          <w:kern w:val="2"/>
          <w:lang w:val="en-US"/>
        </w:rPr>
        <w:t>Ann Intern Med</w:t>
      </w:r>
      <w:r w:rsidRPr="00B13942">
        <w:rPr>
          <w:rFonts w:ascii="Book Antiqua" w:hAnsi="Book Antiqua"/>
          <w:color w:val="auto"/>
          <w:kern w:val="2"/>
          <w:lang w:val="en-US"/>
        </w:rPr>
        <w:t xml:space="preserve"> 2005; </w:t>
      </w:r>
      <w:r w:rsidRPr="00B13942">
        <w:rPr>
          <w:rFonts w:ascii="Book Antiqua" w:hAnsi="Book Antiqua"/>
          <w:b/>
          <w:color w:val="auto"/>
          <w:kern w:val="2"/>
          <w:lang w:val="en-US"/>
        </w:rPr>
        <w:t>142</w:t>
      </w:r>
      <w:r w:rsidRPr="00B13942">
        <w:rPr>
          <w:rFonts w:ascii="Book Antiqua" w:hAnsi="Book Antiqua"/>
          <w:color w:val="auto"/>
          <w:kern w:val="2"/>
          <w:lang w:val="en-US"/>
        </w:rPr>
        <w:t>: 37-46 [PMID: 15537682 DOI: 10.7326/0003-4819-142-1-200501040-00110]</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52 </w:t>
      </w:r>
      <w:r w:rsidRPr="00B13942">
        <w:rPr>
          <w:rFonts w:ascii="Book Antiqua" w:hAnsi="Book Antiqua"/>
          <w:b/>
          <w:color w:val="auto"/>
          <w:kern w:val="2"/>
          <w:lang w:val="en-US"/>
        </w:rPr>
        <w:t>Abner EL</w:t>
      </w:r>
      <w:r w:rsidRPr="00B13942">
        <w:rPr>
          <w:rFonts w:ascii="Book Antiqua" w:hAnsi="Book Antiqua"/>
          <w:color w:val="auto"/>
          <w:kern w:val="2"/>
          <w:lang w:val="en-US"/>
        </w:rPr>
        <w:t xml:space="preserve">, Schmitt FA, Mendiondo MS, Marcum JL, Kryscio RJ. Vitamin E and all-cause mortality: a meta-analysis. </w:t>
      </w:r>
      <w:r w:rsidRPr="00B13942">
        <w:rPr>
          <w:rFonts w:ascii="Book Antiqua" w:hAnsi="Book Antiqua"/>
          <w:i/>
          <w:color w:val="auto"/>
          <w:kern w:val="2"/>
          <w:lang w:val="en-US"/>
        </w:rPr>
        <w:t>Curr Aging Sci</w:t>
      </w:r>
      <w:r w:rsidRPr="00B13942">
        <w:rPr>
          <w:rFonts w:ascii="Book Antiqua" w:hAnsi="Book Antiqua"/>
          <w:color w:val="auto"/>
          <w:kern w:val="2"/>
          <w:lang w:val="en-US"/>
        </w:rPr>
        <w:t xml:space="preserve"> 2011; </w:t>
      </w:r>
      <w:r w:rsidRPr="00B13942">
        <w:rPr>
          <w:rFonts w:ascii="Book Antiqua" w:hAnsi="Book Antiqua"/>
          <w:b/>
          <w:color w:val="auto"/>
          <w:kern w:val="2"/>
          <w:lang w:val="en-US"/>
        </w:rPr>
        <w:t>4</w:t>
      </w:r>
      <w:r w:rsidRPr="00B13942">
        <w:rPr>
          <w:rFonts w:ascii="Book Antiqua" w:hAnsi="Book Antiqua"/>
          <w:color w:val="auto"/>
          <w:kern w:val="2"/>
          <w:lang w:val="en-US"/>
        </w:rPr>
        <w:t>: 158-170 [PMID: 21235492]</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53 </w:t>
      </w:r>
      <w:r w:rsidRPr="00B13942">
        <w:rPr>
          <w:rFonts w:ascii="Book Antiqua" w:hAnsi="Book Antiqua"/>
          <w:b/>
          <w:color w:val="auto"/>
          <w:kern w:val="2"/>
          <w:lang w:val="en-US"/>
        </w:rPr>
        <w:t>Vilsbøll T</w:t>
      </w:r>
      <w:r w:rsidRPr="00B13942">
        <w:rPr>
          <w:rFonts w:ascii="Book Antiqua" w:hAnsi="Book Antiqua"/>
          <w:color w:val="auto"/>
          <w:kern w:val="2"/>
          <w:lang w:val="en-US"/>
        </w:rPr>
        <w:t xml:space="preserve">, Christensen M, Junker AE, Knop FK, Gluud LL. Effects of glucagon-like peptide-1 receptor agonists on weight loss: systematic review and meta-analyses of randomised controlled trials. </w:t>
      </w:r>
      <w:r w:rsidRPr="00B13942">
        <w:rPr>
          <w:rFonts w:ascii="Book Antiqua" w:hAnsi="Book Antiqua"/>
          <w:i/>
          <w:color w:val="auto"/>
          <w:kern w:val="2"/>
          <w:lang w:val="en-US"/>
        </w:rPr>
        <w:t>BMJ</w:t>
      </w:r>
      <w:r w:rsidRPr="00B13942">
        <w:rPr>
          <w:rFonts w:ascii="Book Antiqua" w:hAnsi="Book Antiqua"/>
          <w:color w:val="auto"/>
          <w:kern w:val="2"/>
          <w:lang w:val="en-US"/>
        </w:rPr>
        <w:t xml:space="preserve"> 2012; </w:t>
      </w:r>
      <w:r w:rsidRPr="00B13942">
        <w:rPr>
          <w:rFonts w:ascii="Book Antiqua" w:hAnsi="Book Antiqua"/>
          <w:b/>
          <w:color w:val="auto"/>
          <w:kern w:val="2"/>
          <w:lang w:val="en-US"/>
        </w:rPr>
        <w:t>344</w:t>
      </w:r>
      <w:r w:rsidRPr="00B13942">
        <w:rPr>
          <w:rFonts w:ascii="Book Antiqua" w:hAnsi="Book Antiqua"/>
          <w:color w:val="auto"/>
          <w:kern w:val="2"/>
          <w:lang w:val="en-US"/>
        </w:rPr>
        <w:t>: d7771 [PMID: 22236411 DOI: 10.1136/bmj.d7771]</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54 </w:t>
      </w:r>
      <w:r w:rsidRPr="00B13942">
        <w:rPr>
          <w:rFonts w:ascii="Book Antiqua" w:hAnsi="Book Antiqua"/>
          <w:b/>
          <w:color w:val="auto"/>
          <w:kern w:val="2"/>
          <w:lang w:val="en-US"/>
        </w:rPr>
        <w:t>Armstrong MJ</w:t>
      </w:r>
      <w:r w:rsidRPr="00B13942">
        <w:rPr>
          <w:rFonts w:ascii="Book Antiqua" w:hAnsi="Book Antiqua"/>
          <w:color w:val="auto"/>
          <w:kern w:val="2"/>
          <w:lang w:val="en-US"/>
        </w:rPr>
        <w:t xml:space="preserve">, Gaunt P, Aithal GP, Barton D, Hull D, Parker R, Hazlehurst JM, Guo K; LEAN trial team, Abouda G, Aldersley MA, Stocken D, Gough SC, Tomlinson JW, Brown RM, Hübscher SG, Newsome PN. Liraglutide safety and efficacy in patients with non-alcoholic steatohepatitis (LEAN): a multicentre, double-blind, randomised, placebo-controlled phase 2 study. </w:t>
      </w:r>
      <w:r w:rsidRPr="00B13942">
        <w:rPr>
          <w:rFonts w:ascii="Book Antiqua" w:hAnsi="Book Antiqua"/>
          <w:i/>
          <w:color w:val="auto"/>
          <w:kern w:val="2"/>
          <w:lang w:val="en-US"/>
        </w:rPr>
        <w:t>Lancet</w:t>
      </w:r>
      <w:r w:rsidRPr="00B13942">
        <w:rPr>
          <w:rFonts w:ascii="Book Antiqua" w:hAnsi="Book Antiqua"/>
          <w:color w:val="auto"/>
          <w:kern w:val="2"/>
          <w:lang w:val="en-US"/>
        </w:rPr>
        <w:t xml:space="preserve"> 2016; </w:t>
      </w:r>
      <w:r w:rsidRPr="00B13942">
        <w:rPr>
          <w:rFonts w:ascii="Book Antiqua" w:hAnsi="Book Antiqua"/>
          <w:b/>
          <w:color w:val="auto"/>
          <w:kern w:val="2"/>
          <w:lang w:val="en-US"/>
        </w:rPr>
        <w:t>387</w:t>
      </w:r>
      <w:r w:rsidRPr="00B13942">
        <w:rPr>
          <w:rFonts w:ascii="Book Antiqua" w:hAnsi="Book Antiqua"/>
          <w:color w:val="auto"/>
          <w:kern w:val="2"/>
          <w:lang w:val="en-US"/>
        </w:rPr>
        <w:t>: 679-690 [PMID: 26608256 DOI: 10.1016/S0140-6736(15)00803-X]</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55 </w:t>
      </w:r>
      <w:r w:rsidRPr="00B13942">
        <w:rPr>
          <w:rFonts w:ascii="Book Antiqua" w:hAnsi="Book Antiqua"/>
          <w:b/>
          <w:color w:val="auto"/>
          <w:kern w:val="2"/>
          <w:lang w:val="en-US"/>
        </w:rPr>
        <w:t>Kim YG</w:t>
      </w:r>
      <w:r w:rsidRPr="00B13942">
        <w:rPr>
          <w:rFonts w:ascii="Book Antiqua" w:hAnsi="Book Antiqua"/>
          <w:color w:val="auto"/>
          <w:kern w:val="2"/>
          <w:lang w:val="en-US"/>
        </w:rPr>
        <w:t xml:space="preserve">, Hahn S, Oh TJ, Park KS, Cho YM. Differences in the HbA1c-lowering efficacy of glucagon-like peptide-1 analogues between Asians and non-Asians: a systematic review and meta-analysis. </w:t>
      </w:r>
      <w:r w:rsidRPr="00B13942">
        <w:rPr>
          <w:rFonts w:ascii="Book Antiqua" w:hAnsi="Book Antiqua"/>
          <w:i/>
          <w:color w:val="auto"/>
          <w:kern w:val="2"/>
          <w:lang w:val="en-US"/>
        </w:rPr>
        <w:t>Diabetes Obes Metab</w:t>
      </w:r>
      <w:r w:rsidRPr="00B13942">
        <w:rPr>
          <w:rFonts w:ascii="Book Antiqua" w:hAnsi="Book Antiqua"/>
          <w:color w:val="auto"/>
          <w:kern w:val="2"/>
          <w:lang w:val="en-US"/>
        </w:rPr>
        <w:t xml:space="preserve"> 2014; </w:t>
      </w:r>
      <w:r w:rsidRPr="00B13942">
        <w:rPr>
          <w:rFonts w:ascii="Book Antiqua" w:hAnsi="Book Antiqua"/>
          <w:b/>
          <w:color w:val="auto"/>
          <w:kern w:val="2"/>
          <w:lang w:val="en-US"/>
        </w:rPr>
        <w:t>16</w:t>
      </w:r>
      <w:r w:rsidRPr="00B13942">
        <w:rPr>
          <w:rFonts w:ascii="Book Antiqua" w:hAnsi="Book Antiqua"/>
          <w:color w:val="auto"/>
          <w:kern w:val="2"/>
          <w:lang w:val="en-US"/>
        </w:rPr>
        <w:t>: 900-909 [PMID: 24655583 DOI: 10.1111/dom.12293]</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56 </w:t>
      </w:r>
      <w:r w:rsidRPr="00B13942">
        <w:rPr>
          <w:rFonts w:ascii="Book Antiqua" w:hAnsi="Book Antiqua"/>
          <w:b/>
          <w:color w:val="auto"/>
          <w:kern w:val="2"/>
          <w:lang w:val="en-US"/>
        </w:rPr>
        <w:t>Cui YM</w:t>
      </w:r>
      <w:r w:rsidRPr="00B13942">
        <w:rPr>
          <w:rFonts w:ascii="Book Antiqua" w:hAnsi="Book Antiqua"/>
          <w:color w:val="auto"/>
          <w:kern w:val="2"/>
          <w:lang w:val="en-US"/>
        </w:rPr>
        <w:t xml:space="preserve">, Guo XH, Zhang DM, Tham LS, Tang CC, Mace K, Linnebjerg H. Pharmacokinetics, safety, and tolerability of single- and multiple-dose exenatide once weekly in Chinese patients with type 2 diabetes mellitus. </w:t>
      </w:r>
      <w:r w:rsidRPr="00B13942">
        <w:rPr>
          <w:rFonts w:ascii="Book Antiqua" w:hAnsi="Book Antiqua"/>
          <w:i/>
          <w:color w:val="auto"/>
          <w:kern w:val="2"/>
          <w:lang w:val="en-US"/>
        </w:rPr>
        <w:t>J Diabetes</w:t>
      </w:r>
      <w:r w:rsidRPr="00B13942">
        <w:rPr>
          <w:rFonts w:ascii="Book Antiqua" w:hAnsi="Book Antiqua"/>
          <w:color w:val="auto"/>
          <w:kern w:val="2"/>
          <w:lang w:val="en-US"/>
        </w:rPr>
        <w:t xml:space="preserve"> 2013; </w:t>
      </w:r>
      <w:r w:rsidRPr="00B13942">
        <w:rPr>
          <w:rFonts w:ascii="Book Antiqua" w:hAnsi="Book Antiqua"/>
          <w:b/>
          <w:color w:val="auto"/>
          <w:kern w:val="2"/>
          <w:lang w:val="en-US"/>
        </w:rPr>
        <w:t>5</w:t>
      </w:r>
      <w:r w:rsidRPr="00B13942">
        <w:rPr>
          <w:rFonts w:ascii="Book Antiqua" w:hAnsi="Book Antiqua"/>
          <w:color w:val="auto"/>
          <w:kern w:val="2"/>
          <w:lang w:val="en-US"/>
        </w:rPr>
        <w:t>: 127-135 [PMID: 23332026 DOI: 10.1111/1753-0407.12020]</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57 </w:t>
      </w:r>
      <w:r w:rsidRPr="00B13942">
        <w:rPr>
          <w:rFonts w:ascii="Book Antiqua" w:hAnsi="Book Antiqua"/>
          <w:b/>
          <w:color w:val="auto"/>
          <w:kern w:val="2"/>
          <w:lang w:val="en-US"/>
        </w:rPr>
        <w:t>Ingwersen SH</w:t>
      </w:r>
      <w:r w:rsidRPr="00B13942">
        <w:rPr>
          <w:rFonts w:ascii="Book Antiqua" w:hAnsi="Book Antiqua"/>
          <w:color w:val="auto"/>
          <w:kern w:val="2"/>
          <w:lang w:val="en-US"/>
        </w:rPr>
        <w:t xml:space="preserve">, Petri KC, Tandon N, Yoon KH, Chen L, Vora J, Yang W. Liraglutide pharmacokinetics and dose-exposure response in Asian subjects with Type 2 diabetes from China, India and South Korea. </w:t>
      </w:r>
      <w:r w:rsidRPr="00B13942">
        <w:rPr>
          <w:rFonts w:ascii="Book Antiqua" w:hAnsi="Book Antiqua"/>
          <w:i/>
          <w:color w:val="auto"/>
          <w:kern w:val="2"/>
          <w:lang w:val="en-US"/>
        </w:rPr>
        <w:t>Diabetes Res Clin Pract</w:t>
      </w:r>
      <w:r w:rsidRPr="00B13942">
        <w:rPr>
          <w:rFonts w:ascii="Book Antiqua" w:hAnsi="Book Antiqua"/>
          <w:color w:val="auto"/>
          <w:kern w:val="2"/>
          <w:lang w:val="en-US"/>
        </w:rPr>
        <w:t xml:space="preserve"> 2015; </w:t>
      </w:r>
      <w:r w:rsidRPr="00B13942">
        <w:rPr>
          <w:rFonts w:ascii="Book Antiqua" w:hAnsi="Book Antiqua"/>
          <w:b/>
          <w:color w:val="auto"/>
          <w:kern w:val="2"/>
          <w:lang w:val="en-US"/>
        </w:rPr>
        <w:t>108</w:t>
      </w:r>
      <w:r w:rsidRPr="00B13942">
        <w:rPr>
          <w:rFonts w:ascii="Book Antiqua" w:hAnsi="Book Antiqua"/>
          <w:color w:val="auto"/>
          <w:kern w:val="2"/>
          <w:lang w:val="en-US"/>
        </w:rPr>
        <w:t>: 113-119 [PMID: 25684604 DOI: 10.1016/j.diabres.2015.01.001]</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lastRenderedPageBreak/>
        <w:t xml:space="preserve">58 </w:t>
      </w:r>
      <w:r w:rsidRPr="00B13942">
        <w:rPr>
          <w:rFonts w:ascii="Book Antiqua" w:hAnsi="Book Antiqua"/>
          <w:b/>
          <w:color w:val="auto"/>
          <w:kern w:val="2"/>
          <w:lang w:val="en-US"/>
        </w:rPr>
        <w:t>Cohen DE</w:t>
      </w:r>
      <w:r w:rsidRPr="00B13942">
        <w:rPr>
          <w:rFonts w:ascii="Book Antiqua" w:hAnsi="Book Antiqua"/>
          <w:color w:val="auto"/>
          <w:kern w:val="2"/>
          <w:lang w:val="en-US"/>
        </w:rPr>
        <w:t xml:space="preserve">, Anania FA, Chalasani N; National Lipid Association Statin Safety Task Force Liver Expert Panel. An assessment of statin safety by hepatologists. </w:t>
      </w:r>
      <w:r w:rsidRPr="00B13942">
        <w:rPr>
          <w:rFonts w:ascii="Book Antiqua" w:hAnsi="Book Antiqua"/>
          <w:i/>
          <w:color w:val="auto"/>
          <w:kern w:val="2"/>
          <w:lang w:val="en-US"/>
        </w:rPr>
        <w:t>Am J Cardiol</w:t>
      </w:r>
      <w:r w:rsidRPr="00B13942">
        <w:rPr>
          <w:rFonts w:ascii="Book Antiqua" w:hAnsi="Book Antiqua"/>
          <w:color w:val="auto"/>
          <w:kern w:val="2"/>
          <w:lang w:val="en-US"/>
        </w:rPr>
        <w:t xml:space="preserve"> 2006; </w:t>
      </w:r>
      <w:r w:rsidRPr="00B13942">
        <w:rPr>
          <w:rFonts w:ascii="Book Antiqua" w:hAnsi="Book Antiqua"/>
          <w:b/>
          <w:color w:val="auto"/>
          <w:kern w:val="2"/>
          <w:lang w:val="en-US"/>
        </w:rPr>
        <w:t>97</w:t>
      </w:r>
      <w:r w:rsidRPr="00B13942">
        <w:rPr>
          <w:rFonts w:ascii="Book Antiqua" w:hAnsi="Book Antiqua"/>
          <w:color w:val="auto"/>
          <w:kern w:val="2"/>
          <w:lang w:val="en-US"/>
        </w:rPr>
        <w:t>: 77C-81C [PMID: 16581333 DOI: 10.1016/j.amjcard.2005.12.014]</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59 </w:t>
      </w:r>
      <w:r w:rsidRPr="00B13942">
        <w:rPr>
          <w:rFonts w:ascii="Book Antiqua" w:hAnsi="Book Antiqua"/>
          <w:b/>
          <w:color w:val="auto"/>
          <w:kern w:val="2"/>
          <w:lang w:val="en-US"/>
        </w:rPr>
        <w:t>Kumar S</w:t>
      </w:r>
      <w:r w:rsidRPr="00B13942">
        <w:rPr>
          <w:rFonts w:ascii="Book Antiqua" w:hAnsi="Book Antiqua"/>
          <w:color w:val="auto"/>
          <w:kern w:val="2"/>
          <w:lang w:val="en-US"/>
        </w:rPr>
        <w:t xml:space="preserve">, Grace ND, Qamar AA. Statin use in patients with cirrhosis: a retrospective cohort study. </w:t>
      </w:r>
      <w:r w:rsidRPr="00B13942">
        <w:rPr>
          <w:rFonts w:ascii="Book Antiqua" w:hAnsi="Book Antiqua"/>
          <w:i/>
          <w:color w:val="auto"/>
          <w:kern w:val="2"/>
          <w:lang w:val="en-US"/>
        </w:rPr>
        <w:t>Dig Dis Sci</w:t>
      </w:r>
      <w:r w:rsidRPr="00B13942">
        <w:rPr>
          <w:rFonts w:ascii="Book Antiqua" w:hAnsi="Book Antiqua"/>
          <w:color w:val="auto"/>
          <w:kern w:val="2"/>
          <w:lang w:val="en-US"/>
        </w:rPr>
        <w:t xml:space="preserve"> 2014; </w:t>
      </w:r>
      <w:r w:rsidRPr="00B13942">
        <w:rPr>
          <w:rFonts w:ascii="Book Antiqua" w:hAnsi="Book Antiqua"/>
          <w:b/>
          <w:color w:val="auto"/>
          <w:kern w:val="2"/>
          <w:lang w:val="en-US"/>
        </w:rPr>
        <w:t>59</w:t>
      </w:r>
      <w:r w:rsidRPr="00B13942">
        <w:rPr>
          <w:rFonts w:ascii="Book Antiqua" w:hAnsi="Book Antiqua"/>
          <w:color w:val="auto"/>
          <w:kern w:val="2"/>
          <w:lang w:val="en-US"/>
        </w:rPr>
        <w:t>: 1958-1965 [PMID: 24838495 DOI: 10.1007/s10620-014-3179-2]</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60 </w:t>
      </w:r>
      <w:r w:rsidRPr="00B13942">
        <w:rPr>
          <w:rFonts w:ascii="Book Antiqua" w:hAnsi="Book Antiqua"/>
          <w:b/>
          <w:color w:val="auto"/>
          <w:kern w:val="2"/>
          <w:lang w:val="en-US"/>
        </w:rPr>
        <w:t>Stone NJ</w:t>
      </w:r>
      <w:r w:rsidRPr="00B13942">
        <w:rPr>
          <w:rFonts w:ascii="Book Antiqua" w:hAnsi="Book Antiqua"/>
          <w:color w:val="auto"/>
          <w:kern w:val="2"/>
          <w:lang w:val="en-US"/>
        </w:rPr>
        <w:t xml:space="preserve">, Robinson JG, Lichtenstein AH, Bairey Merz CN, Blum CB, Eckel RH, Goldberg AC, Gordon D, Levy D, Lloyd-Jones DM, McBride P, Schwartz JS, Shero ST, Smith SC Jr, Watson K, Wilson PW, Eddleman KM, Jarrett NM, LaBresh K, Nevo L, Wnek J, Anderson JL, Halperin JL, Albert NM, Bozkurt B, Brindis RG, Curtis LH, DeMets D, Hochman JS, Kovacs RJ, Ohman EM, Pressler SJ, Sellke FW, Shen WK, Smith SC Jr, Tomaselli GF; American College of Cardiology/American Heart Association Task Force on Practice Guidelines. 2013 ACC/AHA guideline on the treatment of blood cholesterol to reduce atherosclerotic cardiovascular risk in adults: a report of the American College of Cardiology/American Heart Association Task Force on Practice Guidelines. </w:t>
      </w:r>
      <w:r w:rsidRPr="00B13942">
        <w:rPr>
          <w:rFonts w:ascii="Book Antiqua" w:hAnsi="Book Antiqua"/>
          <w:i/>
          <w:color w:val="auto"/>
          <w:kern w:val="2"/>
          <w:lang w:val="en-US"/>
        </w:rPr>
        <w:t>Circulation</w:t>
      </w:r>
      <w:r w:rsidRPr="00B13942">
        <w:rPr>
          <w:rFonts w:ascii="Book Antiqua" w:hAnsi="Book Antiqua"/>
          <w:color w:val="auto"/>
          <w:kern w:val="2"/>
          <w:lang w:val="en-US"/>
        </w:rPr>
        <w:t xml:space="preserve"> 2014; </w:t>
      </w:r>
      <w:r w:rsidRPr="00B13942">
        <w:rPr>
          <w:rFonts w:ascii="Book Antiqua" w:hAnsi="Book Antiqua"/>
          <w:b/>
          <w:color w:val="auto"/>
          <w:kern w:val="2"/>
          <w:lang w:val="en-US"/>
        </w:rPr>
        <w:t>129</w:t>
      </w:r>
      <w:r w:rsidRPr="00B13942">
        <w:rPr>
          <w:rFonts w:ascii="Book Antiqua" w:hAnsi="Book Antiqua"/>
          <w:color w:val="auto"/>
          <w:kern w:val="2"/>
          <w:lang w:val="en-US"/>
        </w:rPr>
        <w:t>: S1-45 [PMID: 24222016 DOI: 10.1161/01.cir.0000437738.63853.7a]</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61 </w:t>
      </w:r>
      <w:r w:rsidRPr="00B13942">
        <w:rPr>
          <w:rFonts w:ascii="Book Antiqua" w:hAnsi="Book Antiqua"/>
          <w:b/>
          <w:color w:val="auto"/>
          <w:kern w:val="2"/>
          <w:lang w:val="en-US"/>
        </w:rPr>
        <w:t>Flora K</w:t>
      </w:r>
      <w:r w:rsidRPr="00B13942">
        <w:rPr>
          <w:rFonts w:ascii="Book Antiqua" w:hAnsi="Book Antiqua"/>
          <w:color w:val="auto"/>
          <w:kern w:val="2"/>
          <w:lang w:val="en-US"/>
        </w:rPr>
        <w:t xml:space="preserve">, Hahn M, Rosen H, Benner K. Milk thistle (Silybum marianum) for the therapy of liver disease. </w:t>
      </w:r>
      <w:r w:rsidRPr="00B13942">
        <w:rPr>
          <w:rFonts w:ascii="Book Antiqua" w:hAnsi="Book Antiqua"/>
          <w:i/>
          <w:color w:val="auto"/>
          <w:kern w:val="2"/>
          <w:lang w:val="en-US"/>
        </w:rPr>
        <w:t>Am J Gastroenterol</w:t>
      </w:r>
      <w:r w:rsidRPr="00B13942">
        <w:rPr>
          <w:rFonts w:ascii="Book Antiqua" w:hAnsi="Book Antiqua"/>
          <w:color w:val="auto"/>
          <w:kern w:val="2"/>
          <w:lang w:val="en-US"/>
        </w:rPr>
        <w:t xml:space="preserve"> 1998; </w:t>
      </w:r>
      <w:r w:rsidRPr="00B13942">
        <w:rPr>
          <w:rFonts w:ascii="Book Antiqua" w:hAnsi="Book Antiqua"/>
          <w:b/>
          <w:color w:val="auto"/>
          <w:kern w:val="2"/>
          <w:lang w:val="en-US"/>
        </w:rPr>
        <w:t>93</w:t>
      </w:r>
      <w:r w:rsidRPr="00B13942">
        <w:rPr>
          <w:rFonts w:ascii="Book Antiqua" w:hAnsi="Book Antiqua"/>
          <w:color w:val="auto"/>
          <w:kern w:val="2"/>
          <w:lang w:val="en-US"/>
        </w:rPr>
        <w:t>: 139-143 [PMID: 9468229 DOI: 10.1111/j.1572-0241.1998.00139.x]</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62 </w:t>
      </w:r>
      <w:r w:rsidRPr="00B13942">
        <w:rPr>
          <w:rFonts w:ascii="Book Antiqua" w:hAnsi="Book Antiqua"/>
          <w:b/>
          <w:color w:val="auto"/>
          <w:kern w:val="2"/>
          <w:lang w:val="en-US"/>
        </w:rPr>
        <w:t>Chan WK</w:t>
      </w:r>
      <w:r w:rsidRPr="00B13942">
        <w:rPr>
          <w:rFonts w:ascii="Book Antiqua" w:hAnsi="Book Antiqua"/>
          <w:color w:val="auto"/>
          <w:kern w:val="2"/>
          <w:lang w:val="en-US"/>
        </w:rPr>
        <w:t>, Nik Mustapha NR, Mahadeva S. A randomized trial of silymarin for the treatment of non-alcoholic steatohepatitis.</w:t>
      </w:r>
      <w:r w:rsidRPr="00B13942">
        <w:rPr>
          <w:rFonts w:ascii="Book Antiqua" w:hAnsi="Book Antiqua" w:hint="eastAsia"/>
          <w:color w:val="auto"/>
          <w:kern w:val="2"/>
          <w:lang w:val="en-US"/>
        </w:rPr>
        <w:t xml:space="preserve"> </w:t>
      </w:r>
      <w:r w:rsidRPr="00B13942">
        <w:rPr>
          <w:rFonts w:ascii="Book Antiqua" w:hAnsi="Book Antiqua"/>
          <w:i/>
          <w:color w:val="auto"/>
          <w:kern w:val="2"/>
          <w:lang w:val="en-US"/>
        </w:rPr>
        <w:t>Clin</w:t>
      </w:r>
      <w:r w:rsidRPr="00B13942">
        <w:rPr>
          <w:rFonts w:ascii="Book Antiqua" w:hAnsi="Book Antiqua" w:hint="eastAsia"/>
          <w:i/>
          <w:color w:val="auto"/>
          <w:kern w:val="2"/>
          <w:lang w:val="en-US"/>
        </w:rPr>
        <w:t xml:space="preserve"> </w:t>
      </w:r>
      <w:r w:rsidRPr="00B13942">
        <w:rPr>
          <w:rFonts w:ascii="Book Antiqua" w:hAnsi="Book Antiqua"/>
          <w:i/>
          <w:color w:val="auto"/>
          <w:kern w:val="2"/>
          <w:lang w:val="en-US"/>
        </w:rPr>
        <w:t>Gastroenterol</w:t>
      </w:r>
      <w:r w:rsidRPr="00B13942">
        <w:rPr>
          <w:rFonts w:ascii="Book Antiqua" w:hAnsi="Book Antiqua" w:hint="eastAsia"/>
          <w:i/>
          <w:color w:val="auto"/>
          <w:kern w:val="2"/>
          <w:lang w:val="en-US"/>
        </w:rPr>
        <w:t xml:space="preserve"> </w:t>
      </w:r>
      <w:r w:rsidRPr="00B13942">
        <w:rPr>
          <w:rFonts w:ascii="Book Antiqua" w:hAnsi="Book Antiqua"/>
          <w:i/>
          <w:color w:val="auto"/>
          <w:kern w:val="2"/>
          <w:lang w:val="en-US"/>
        </w:rPr>
        <w:t>Hepatol</w:t>
      </w:r>
      <w:r w:rsidRPr="00B13942">
        <w:rPr>
          <w:rFonts w:ascii="Book Antiqua" w:hAnsi="Book Antiqua" w:hint="eastAsia"/>
          <w:i/>
          <w:color w:val="auto"/>
          <w:kern w:val="2"/>
          <w:lang w:val="en-US"/>
        </w:rPr>
        <w:t xml:space="preserve"> </w:t>
      </w:r>
      <w:r w:rsidRPr="00B13942">
        <w:rPr>
          <w:rFonts w:ascii="Book Antiqua" w:hAnsi="Book Antiqua"/>
          <w:color w:val="auto"/>
          <w:kern w:val="2"/>
          <w:lang w:val="en-US"/>
        </w:rPr>
        <w:t>2017</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63 </w:t>
      </w:r>
      <w:r w:rsidRPr="00B13942">
        <w:rPr>
          <w:rFonts w:ascii="Book Antiqua" w:hAnsi="Book Antiqua"/>
          <w:b/>
          <w:color w:val="auto"/>
          <w:kern w:val="2"/>
          <w:lang w:val="en-US"/>
        </w:rPr>
        <w:t>Schauer PR</w:t>
      </w:r>
      <w:r w:rsidRPr="00B13942">
        <w:rPr>
          <w:rFonts w:ascii="Book Antiqua" w:hAnsi="Book Antiqua"/>
          <w:color w:val="auto"/>
          <w:kern w:val="2"/>
          <w:lang w:val="en-US"/>
        </w:rPr>
        <w:t xml:space="preserve">, Bhatt DL, Kirwan JP, Wolski K, Brethauer SA, Navaneethan SD, Aminian A, Pothier CE, Kim ES, Nissen SE, Kashyap SR; STAMPEDE Investigators. Bariatric surgery versus intensive medical therapy for diabetes--3-year outcomes. </w:t>
      </w:r>
      <w:r w:rsidRPr="00B13942">
        <w:rPr>
          <w:rFonts w:ascii="Book Antiqua" w:hAnsi="Book Antiqua"/>
          <w:i/>
          <w:color w:val="auto"/>
          <w:kern w:val="2"/>
          <w:lang w:val="en-US"/>
        </w:rPr>
        <w:t>N Engl J Med</w:t>
      </w:r>
      <w:r w:rsidRPr="00B13942">
        <w:rPr>
          <w:rFonts w:ascii="Book Antiqua" w:hAnsi="Book Antiqua"/>
          <w:color w:val="auto"/>
          <w:kern w:val="2"/>
          <w:lang w:val="en-US"/>
        </w:rPr>
        <w:t xml:space="preserve"> 2014; </w:t>
      </w:r>
      <w:r w:rsidRPr="00B13942">
        <w:rPr>
          <w:rFonts w:ascii="Book Antiqua" w:hAnsi="Book Antiqua"/>
          <w:b/>
          <w:color w:val="auto"/>
          <w:kern w:val="2"/>
          <w:lang w:val="en-US"/>
        </w:rPr>
        <w:t>370</w:t>
      </w:r>
      <w:r w:rsidRPr="00B13942">
        <w:rPr>
          <w:rFonts w:ascii="Book Antiqua" w:hAnsi="Book Antiqua"/>
          <w:color w:val="auto"/>
          <w:kern w:val="2"/>
          <w:lang w:val="en-US"/>
        </w:rPr>
        <w:t>: 2002-2013 [PMID: 24679060 DOI: 10.1056/NEJMoa1401329]</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64 </w:t>
      </w:r>
      <w:r w:rsidRPr="00B13942">
        <w:rPr>
          <w:rFonts w:ascii="Book Antiqua" w:hAnsi="Book Antiqua"/>
          <w:b/>
          <w:color w:val="auto"/>
          <w:kern w:val="2"/>
          <w:lang w:val="en-US"/>
        </w:rPr>
        <w:t>Mathurin P</w:t>
      </w:r>
      <w:r w:rsidRPr="00B13942">
        <w:rPr>
          <w:rFonts w:ascii="Book Antiqua" w:hAnsi="Book Antiqua"/>
          <w:color w:val="auto"/>
          <w:kern w:val="2"/>
          <w:lang w:val="en-US"/>
        </w:rPr>
        <w:t xml:space="preserve">, Hollebecque A, Arnalsteen L, Buob D, Leteurtre E, Caiazzo R, Pigeyre M, Verkindt H, Dharancy S, Louvet A, Romon M, Pattou F. Prospective study of the long-term effects of bariatric surgery on liver injury in patients without advanced disease. </w:t>
      </w:r>
      <w:r w:rsidRPr="00B13942">
        <w:rPr>
          <w:rFonts w:ascii="Book Antiqua" w:hAnsi="Book Antiqua"/>
          <w:i/>
          <w:color w:val="auto"/>
          <w:kern w:val="2"/>
          <w:lang w:val="en-US"/>
        </w:rPr>
        <w:t>Gastroenterology</w:t>
      </w:r>
      <w:r w:rsidRPr="00B13942">
        <w:rPr>
          <w:rFonts w:ascii="Book Antiqua" w:hAnsi="Book Antiqua"/>
          <w:color w:val="auto"/>
          <w:kern w:val="2"/>
          <w:lang w:val="en-US"/>
        </w:rPr>
        <w:t xml:space="preserve"> 2009; </w:t>
      </w:r>
      <w:r w:rsidRPr="00B13942">
        <w:rPr>
          <w:rFonts w:ascii="Book Antiqua" w:hAnsi="Book Antiqua"/>
          <w:b/>
          <w:color w:val="auto"/>
          <w:kern w:val="2"/>
          <w:lang w:val="en-US"/>
        </w:rPr>
        <w:t>137</w:t>
      </w:r>
      <w:r w:rsidRPr="00B13942">
        <w:rPr>
          <w:rFonts w:ascii="Book Antiqua" w:hAnsi="Book Antiqua"/>
          <w:color w:val="auto"/>
          <w:kern w:val="2"/>
          <w:lang w:val="en-US"/>
        </w:rPr>
        <w:t>: 532-540 [PMID: 19409898 DOI: 10.1053/j.gastro.2009.04.052]</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65 </w:t>
      </w:r>
      <w:r w:rsidRPr="00B13942">
        <w:rPr>
          <w:rFonts w:ascii="Book Antiqua" w:hAnsi="Book Antiqua"/>
          <w:b/>
          <w:color w:val="auto"/>
          <w:kern w:val="2"/>
          <w:lang w:val="en-US"/>
        </w:rPr>
        <w:t>Lassailly G</w:t>
      </w:r>
      <w:r w:rsidRPr="00B13942">
        <w:rPr>
          <w:rFonts w:ascii="Book Antiqua" w:hAnsi="Book Antiqua"/>
          <w:color w:val="auto"/>
          <w:kern w:val="2"/>
          <w:lang w:val="en-US"/>
        </w:rPr>
        <w:t xml:space="preserve">, Caiazzo R, Buob D, Pigeyre M, Verkindt H, Labreuche J, Raverdy V, Leteurtre E, Dharancy S, Louvet A, Romon M, Duhamel A, Pattou F, Mathurin P. Bariatric Surgery Reduces Features of Nonalcoholic Steatohepatitis in Morbidly Obese Patients. </w:t>
      </w:r>
      <w:r w:rsidRPr="00B13942">
        <w:rPr>
          <w:rFonts w:ascii="Book Antiqua" w:hAnsi="Book Antiqua"/>
          <w:i/>
          <w:color w:val="auto"/>
          <w:kern w:val="2"/>
          <w:lang w:val="en-US"/>
        </w:rPr>
        <w:t>Gastroenterology</w:t>
      </w:r>
      <w:r w:rsidRPr="00B13942">
        <w:rPr>
          <w:rFonts w:ascii="Book Antiqua" w:hAnsi="Book Antiqua"/>
          <w:color w:val="auto"/>
          <w:kern w:val="2"/>
          <w:lang w:val="en-US"/>
        </w:rPr>
        <w:t xml:space="preserve"> 2015; </w:t>
      </w:r>
      <w:r w:rsidRPr="00B13942">
        <w:rPr>
          <w:rFonts w:ascii="Book Antiqua" w:hAnsi="Book Antiqua"/>
          <w:b/>
          <w:color w:val="auto"/>
          <w:kern w:val="2"/>
          <w:lang w:val="en-US"/>
        </w:rPr>
        <w:t>149</w:t>
      </w:r>
      <w:r w:rsidRPr="00B13942">
        <w:rPr>
          <w:rFonts w:ascii="Book Antiqua" w:hAnsi="Book Antiqua"/>
          <w:color w:val="auto"/>
          <w:kern w:val="2"/>
          <w:lang w:val="en-US"/>
        </w:rPr>
        <w:t>: 379-</w:t>
      </w:r>
      <w:r w:rsidRPr="00B13942">
        <w:rPr>
          <w:rFonts w:ascii="Book Antiqua" w:hAnsi="Book Antiqua"/>
          <w:color w:val="auto"/>
          <w:kern w:val="2"/>
          <w:lang w:val="en-US"/>
        </w:rPr>
        <w:lastRenderedPageBreak/>
        <w:t>88; quiz e15-6 [PMID: 25917783 DOI: 10.1053/j.gastro.2015.04.014]</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66 </w:t>
      </w:r>
      <w:r w:rsidRPr="00B13942">
        <w:rPr>
          <w:rFonts w:ascii="Book Antiqua" w:hAnsi="Book Antiqua"/>
          <w:b/>
          <w:color w:val="auto"/>
          <w:kern w:val="2"/>
          <w:lang w:val="en-US"/>
        </w:rPr>
        <w:t>Bower G</w:t>
      </w:r>
      <w:r w:rsidRPr="00B13942">
        <w:rPr>
          <w:rFonts w:ascii="Book Antiqua" w:hAnsi="Book Antiqua"/>
          <w:color w:val="auto"/>
          <w:kern w:val="2"/>
          <w:lang w:val="en-US"/>
        </w:rPr>
        <w:t xml:space="preserve">, Toma T, Harling L, Jiao LR, Efthimiou E, Darzi A, Athanasiou T, Ashrafian H. Bariatric Surgery and Non-Alcoholic Fatty Liver Disease: a Systematic Review of Liver Biochemistry and Histology. </w:t>
      </w:r>
      <w:r w:rsidRPr="00B13942">
        <w:rPr>
          <w:rFonts w:ascii="Book Antiqua" w:hAnsi="Book Antiqua"/>
          <w:i/>
          <w:color w:val="auto"/>
          <w:kern w:val="2"/>
          <w:lang w:val="en-US"/>
        </w:rPr>
        <w:t>Obes Surg</w:t>
      </w:r>
      <w:r w:rsidRPr="00B13942">
        <w:rPr>
          <w:rFonts w:ascii="Book Antiqua" w:hAnsi="Book Antiqua"/>
          <w:color w:val="auto"/>
          <w:kern w:val="2"/>
          <w:lang w:val="en-US"/>
        </w:rPr>
        <w:t xml:space="preserve"> 2015; </w:t>
      </w:r>
      <w:r w:rsidRPr="00B13942">
        <w:rPr>
          <w:rFonts w:ascii="Book Antiqua" w:hAnsi="Book Antiqua"/>
          <w:b/>
          <w:color w:val="auto"/>
          <w:kern w:val="2"/>
          <w:lang w:val="en-US"/>
        </w:rPr>
        <w:t>25</w:t>
      </w:r>
      <w:r w:rsidRPr="00B13942">
        <w:rPr>
          <w:rFonts w:ascii="Book Antiqua" w:hAnsi="Book Antiqua"/>
          <w:color w:val="auto"/>
          <w:kern w:val="2"/>
          <w:lang w:val="en-US"/>
        </w:rPr>
        <w:t>: 2280-2289 [PMID: 25917981 DOI: 10.1007/s11695-015-1691-x]</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67 </w:t>
      </w:r>
      <w:r w:rsidRPr="00B13942">
        <w:rPr>
          <w:rFonts w:ascii="Book Antiqua" w:hAnsi="Book Antiqua"/>
          <w:b/>
          <w:color w:val="auto"/>
          <w:kern w:val="2"/>
          <w:lang w:val="en-US"/>
        </w:rPr>
        <w:t>Charlton MR</w:t>
      </w:r>
      <w:r w:rsidRPr="00B13942">
        <w:rPr>
          <w:rFonts w:ascii="Book Antiqua" w:hAnsi="Book Antiqua"/>
          <w:color w:val="auto"/>
          <w:kern w:val="2"/>
          <w:lang w:val="en-US"/>
        </w:rPr>
        <w:t xml:space="preserve">, Burns JM, Pedersen RA, Watt KD, Heimbach JK, Dierkhising RA. Frequency and outcomes of liver transplantation for nonalcoholic steatohepatitis in the United States. </w:t>
      </w:r>
      <w:r w:rsidRPr="00B13942">
        <w:rPr>
          <w:rFonts w:ascii="Book Antiqua" w:hAnsi="Book Antiqua"/>
          <w:i/>
          <w:color w:val="auto"/>
          <w:kern w:val="2"/>
          <w:lang w:val="en-US"/>
        </w:rPr>
        <w:t>Gastroenterology</w:t>
      </w:r>
      <w:r w:rsidRPr="00B13942">
        <w:rPr>
          <w:rFonts w:ascii="Book Antiqua" w:hAnsi="Book Antiqua"/>
          <w:color w:val="auto"/>
          <w:kern w:val="2"/>
          <w:lang w:val="en-US"/>
        </w:rPr>
        <w:t xml:space="preserve"> 2011; </w:t>
      </w:r>
      <w:r w:rsidRPr="00B13942">
        <w:rPr>
          <w:rFonts w:ascii="Book Antiqua" w:hAnsi="Book Antiqua"/>
          <w:b/>
          <w:color w:val="auto"/>
          <w:kern w:val="2"/>
          <w:lang w:val="en-US"/>
        </w:rPr>
        <w:t>141</w:t>
      </w:r>
      <w:r w:rsidRPr="00B13942">
        <w:rPr>
          <w:rFonts w:ascii="Book Antiqua" w:hAnsi="Book Antiqua"/>
          <w:color w:val="auto"/>
          <w:kern w:val="2"/>
          <w:lang w:val="en-US"/>
        </w:rPr>
        <w:t>: 1249-1253 [PMID: 21726509 DOI: 10.1053/j.gastro.2011.06.061]</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68 </w:t>
      </w:r>
      <w:r w:rsidRPr="00B13942">
        <w:rPr>
          <w:rFonts w:ascii="Book Antiqua" w:hAnsi="Book Antiqua"/>
          <w:b/>
          <w:color w:val="auto"/>
          <w:kern w:val="2"/>
          <w:lang w:val="en-US"/>
        </w:rPr>
        <w:t>Nair S</w:t>
      </w:r>
      <w:r w:rsidRPr="00B13942">
        <w:rPr>
          <w:rFonts w:ascii="Book Antiqua" w:hAnsi="Book Antiqua"/>
          <w:color w:val="auto"/>
          <w:kern w:val="2"/>
          <w:lang w:val="en-US"/>
        </w:rPr>
        <w:t xml:space="preserve">, Verma S, Thuluvath PJ. Obesity and its effect on survival in patients undergoing orthotopic liver transplantation in the United States. </w:t>
      </w:r>
      <w:r w:rsidRPr="00B13942">
        <w:rPr>
          <w:rFonts w:ascii="Book Antiqua" w:hAnsi="Book Antiqua"/>
          <w:i/>
          <w:color w:val="auto"/>
          <w:kern w:val="2"/>
          <w:lang w:val="en-US"/>
        </w:rPr>
        <w:t>Hepatology</w:t>
      </w:r>
      <w:r w:rsidRPr="00B13942">
        <w:rPr>
          <w:rFonts w:ascii="Book Antiqua" w:hAnsi="Book Antiqua"/>
          <w:color w:val="auto"/>
          <w:kern w:val="2"/>
          <w:lang w:val="en-US"/>
        </w:rPr>
        <w:t xml:space="preserve"> 2002; </w:t>
      </w:r>
      <w:r w:rsidRPr="00B13942">
        <w:rPr>
          <w:rFonts w:ascii="Book Antiqua" w:hAnsi="Book Antiqua"/>
          <w:b/>
          <w:color w:val="auto"/>
          <w:kern w:val="2"/>
          <w:lang w:val="en-US"/>
        </w:rPr>
        <w:t>35</w:t>
      </w:r>
      <w:r w:rsidRPr="00B13942">
        <w:rPr>
          <w:rFonts w:ascii="Book Antiqua" w:hAnsi="Book Antiqua"/>
          <w:color w:val="auto"/>
          <w:kern w:val="2"/>
          <w:lang w:val="en-US"/>
        </w:rPr>
        <w:t>: 105-109 [PMID: 11786965 DOI: 10.1053/jhep.2002.30318]</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69 </w:t>
      </w:r>
      <w:r w:rsidRPr="00B13942">
        <w:rPr>
          <w:rFonts w:ascii="Book Antiqua" w:hAnsi="Book Antiqua"/>
          <w:b/>
          <w:color w:val="auto"/>
          <w:kern w:val="2"/>
          <w:lang w:val="en-US"/>
        </w:rPr>
        <w:t>Tandon P</w:t>
      </w:r>
      <w:r w:rsidRPr="00B13942">
        <w:rPr>
          <w:rFonts w:ascii="Book Antiqua" w:hAnsi="Book Antiqua"/>
          <w:color w:val="auto"/>
          <w:kern w:val="2"/>
          <w:lang w:val="en-US"/>
        </w:rPr>
        <w:t xml:space="preserve">, Ney M, Irwin I, Ma MM, Gramlich L, Bain VG, Esfandiari N, Baracos V, Montano-Loza AJ, Myers RP. Severe muscle depletion in patients on the liver transplant wait list: its prevalence and independent prognostic value. </w:t>
      </w:r>
      <w:r w:rsidRPr="00B13942">
        <w:rPr>
          <w:rFonts w:ascii="Book Antiqua" w:hAnsi="Book Antiqua"/>
          <w:i/>
          <w:color w:val="auto"/>
          <w:kern w:val="2"/>
          <w:lang w:val="en-US"/>
        </w:rPr>
        <w:t>Liver Transpl</w:t>
      </w:r>
      <w:r w:rsidRPr="00B13942">
        <w:rPr>
          <w:rFonts w:ascii="Book Antiqua" w:hAnsi="Book Antiqua"/>
          <w:color w:val="auto"/>
          <w:kern w:val="2"/>
          <w:lang w:val="en-US"/>
        </w:rPr>
        <w:t xml:space="preserve"> 2012; </w:t>
      </w:r>
      <w:r w:rsidRPr="00B13942">
        <w:rPr>
          <w:rFonts w:ascii="Book Antiqua" w:hAnsi="Book Antiqua"/>
          <w:b/>
          <w:color w:val="auto"/>
          <w:kern w:val="2"/>
          <w:lang w:val="en-US"/>
        </w:rPr>
        <w:t>18</w:t>
      </w:r>
      <w:r w:rsidRPr="00B13942">
        <w:rPr>
          <w:rFonts w:ascii="Book Antiqua" w:hAnsi="Book Antiqua"/>
          <w:color w:val="auto"/>
          <w:kern w:val="2"/>
          <w:lang w:val="en-US"/>
        </w:rPr>
        <w:t>: 1209-1216 [PMID: 22740290 DOI: 10.1002/lt.23495]</w:t>
      </w:r>
    </w:p>
    <w:p w:rsidR="00B13942" w:rsidRPr="00B13942" w:rsidRDefault="00B13942" w:rsidP="00B13942">
      <w:pPr>
        <w:widowControl w:val="0"/>
        <w:suppressAutoHyphens w:val="0"/>
        <w:adjustRightInd w:val="0"/>
        <w:snapToGrid w:val="0"/>
        <w:spacing w:after="0" w:line="360" w:lineRule="auto"/>
        <w:jc w:val="both"/>
        <w:rPr>
          <w:rFonts w:ascii="Book Antiqua" w:hAnsi="Book Antiqua"/>
          <w:color w:val="auto"/>
          <w:kern w:val="2"/>
          <w:lang w:val="en-US"/>
        </w:rPr>
      </w:pPr>
      <w:r w:rsidRPr="00B13942">
        <w:rPr>
          <w:rFonts w:ascii="Book Antiqua" w:hAnsi="Book Antiqua"/>
          <w:color w:val="auto"/>
          <w:kern w:val="2"/>
          <w:lang w:val="en-US"/>
        </w:rPr>
        <w:t xml:space="preserve">70 </w:t>
      </w:r>
      <w:r w:rsidRPr="00B13942">
        <w:rPr>
          <w:rFonts w:ascii="Book Antiqua" w:hAnsi="Book Antiqua"/>
          <w:b/>
          <w:color w:val="auto"/>
          <w:kern w:val="2"/>
          <w:lang w:val="en-US"/>
        </w:rPr>
        <w:t>Hakeem AR</w:t>
      </w:r>
      <w:r w:rsidRPr="00B13942">
        <w:rPr>
          <w:rFonts w:ascii="Book Antiqua" w:hAnsi="Book Antiqua"/>
          <w:color w:val="auto"/>
          <w:kern w:val="2"/>
          <w:lang w:val="en-US"/>
        </w:rPr>
        <w:t xml:space="preserve">, Cockbain AJ, Raza SS, Pollard SG, Toogood GJ, Attia MA, Ahmad N, Hidalgo EL, Prasad KR, Menon KV. Increased morbidity in overweight and obese liver transplant recipients: a single-center experience of 1325 patients from the United Kingdom. </w:t>
      </w:r>
      <w:r w:rsidRPr="00B13942">
        <w:rPr>
          <w:rFonts w:ascii="Book Antiqua" w:hAnsi="Book Antiqua"/>
          <w:i/>
          <w:color w:val="auto"/>
          <w:kern w:val="2"/>
          <w:lang w:val="en-US"/>
        </w:rPr>
        <w:t>Liver Transpl</w:t>
      </w:r>
      <w:r w:rsidRPr="00B13942">
        <w:rPr>
          <w:rFonts w:ascii="Book Antiqua" w:hAnsi="Book Antiqua"/>
          <w:color w:val="auto"/>
          <w:kern w:val="2"/>
          <w:lang w:val="en-US"/>
        </w:rPr>
        <w:t xml:space="preserve"> 2013; </w:t>
      </w:r>
      <w:r w:rsidRPr="00B13942">
        <w:rPr>
          <w:rFonts w:ascii="Book Antiqua" w:hAnsi="Book Antiqua"/>
          <w:b/>
          <w:color w:val="auto"/>
          <w:kern w:val="2"/>
          <w:lang w:val="en-US"/>
        </w:rPr>
        <w:t>19</w:t>
      </w:r>
      <w:r w:rsidRPr="00B13942">
        <w:rPr>
          <w:rFonts w:ascii="Book Antiqua" w:hAnsi="Book Antiqua"/>
          <w:color w:val="auto"/>
          <w:kern w:val="2"/>
          <w:lang w:val="en-US"/>
        </w:rPr>
        <w:t>: 551-562 [PMID: 23408499 DOI: 10.1002/lt.23618]</w:t>
      </w:r>
    </w:p>
    <w:p w:rsidR="007C2761" w:rsidRDefault="007C2761" w:rsidP="00C82350">
      <w:pPr>
        <w:widowControl w:val="0"/>
        <w:suppressAutoHyphens w:val="0"/>
        <w:adjustRightInd w:val="0"/>
        <w:snapToGrid w:val="0"/>
        <w:spacing w:after="0" w:line="360" w:lineRule="auto"/>
        <w:jc w:val="both"/>
        <w:rPr>
          <w:rFonts w:ascii="Book Antiqua" w:hAnsi="Book Antiqua"/>
          <w:color w:val="auto"/>
          <w:lang w:val="en-GB"/>
        </w:rPr>
      </w:pPr>
    </w:p>
    <w:p w:rsidR="00B13942" w:rsidRPr="00B13942" w:rsidRDefault="00B13942" w:rsidP="00B13942">
      <w:pPr>
        <w:widowControl w:val="0"/>
        <w:suppressAutoHyphens w:val="0"/>
        <w:wordWrap w:val="0"/>
        <w:adjustRightInd w:val="0"/>
        <w:snapToGrid w:val="0"/>
        <w:spacing w:after="0" w:line="360" w:lineRule="auto"/>
        <w:ind w:left="361" w:hangingChars="150" w:hanging="361"/>
        <w:jc w:val="right"/>
        <w:rPr>
          <w:rFonts w:ascii="Book Antiqua" w:hAnsi="Book Antiqua"/>
          <w:color w:val="000000"/>
          <w:kern w:val="2"/>
          <w:szCs w:val="22"/>
          <w:lang w:val="en-US"/>
        </w:rPr>
      </w:pPr>
      <w:bookmarkStart w:id="48" w:name="OLE_LINK13"/>
      <w:bookmarkStart w:id="49" w:name="OLE_LINK14"/>
      <w:r w:rsidRPr="00B13942">
        <w:rPr>
          <w:rFonts w:ascii="Book Antiqua" w:hAnsi="Book Antiqua"/>
          <w:b/>
          <w:bCs/>
          <w:color w:val="000000"/>
          <w:kern w:val="2"/>
          <w:szCs w:val="22"/>
          <w:lang w:val="en-US"/>
        </w:rPr>
        <w:t>P-Reviewer:</w:t>
      </w:r>
      <w:r w:rsidRPr="00B13942">
        <w:rPr>
          <w:rFonts w:ascii="Book Antiqua" w:hAnsi="Book Antiqua" w:hint="eastAsia"/>
          <w:bCs/>
          <w:color w:val="000000"/>
          <w:kern w:val="2"/>
          <w:szCs w:val="22"/>
          <w:lang w:val="en-US"/>
        </w:rPr>
        <w:t xml:space="preserve"> </w:t>
      </w:r>
      <w:r w:rsidRPr="00B13942">
        <w:rPr>
          <w:rFonts w:ascii="Book Antiqua" w:hAnsi="Book Antiqua"/>
          <w:bCs/>
          <w:color w:val="000000"/>
          <w:kern w:val="2"/>
          <w:szCs w:val="22"/>
          <w:lang w:val="en-US"/>
        </w:rPr>
        <w:t>Jamali</w:t>
      </w:r>
      <w:r>
        <w:rPr>
          <w:rFonts w:ascii="Book Antiqua" w:hAnsi="Book Antiqua" w:hint="eastAsia"/>
          <w:bCs/>
          <w:color w:val="000000"/>
          <w:kern w:val="2"/>
          <w:szCs w:val="22"/>
          <w:lang w:val="en-US"/>
        </w:rPr>
        <w:t xml:space="preserve"> B, </w:t>
      </w:r>
      <w:r w:rsidRPr="00B13942">
        <w:rPr>
          <w:rFonts w:ascii="Book Antiqua" w:hAnsi="Book Antiqua"/>
          <w:bCs/>
          <w:color w:val="000000"/>
          <w:kern w:val="2"/>
          <w:szCs w:val="22"/>
          <w:lang w:val="en-US"/>
        </w:rPr>
        <w:t>Lee</w:t>
      </w:r>
      <w:r>
        <w:rPr>
          <w:rFonts w:ascii="Book Antiqua" w:hAnsi="Book Antiqua" w:hint="eastAsia"/>
          <w:bCs/>
          <w:color w:val="000000"/>
          <w:kern w:val="2"/>
          <w:szCs w:val="22"/>
          <w:lang w:val="en-US"/>
        </w:rPr>
        <w:t xml:space="preserve"> HC, </w:t>
      </w:r>
      <w:r w:rsidRPr="00B13942">
        <w:rPr>
          <w:rFonts w:ascii="Book Antiqua" w:hAnsi="Book Antiqua"/>
          <w:bCs/>
          <w:color w:val="000000"/>
          <w:kern w:val="2"/>
          <w:szCs w:val="22"/>
          <w:lang w:val="en-US"/>
        </w:rPr>
        <w:t>Jamali</w:t>
      </w:r>
      <w:r>
        <w:rPr>
          <w:rFonts w:ascii="Book Antiqua" w:hAnsi="Book Antiqua" w:hint="eastAsia"/>
          <w:bCs/>
          <w:color w:val="000000"/>
          <w:kern w:val="2"/>
          <w:szCs w:val="22"/>
          <w:lang w:val="en-US"/>
        </w:rPr>
        <w:t xml:space="preserve"> R, </w:t>
      </w:r>
      <w:r w:rsidRPr="00B13942">
        <w:rPr>
          <w:rFonts w:ascii="Book Antiqua" w:hAnsi="Book Antiqua"/>
          <w:bCs/>
          <w:color w:val="000000"/>
          <w:kern w:val="2"/>
          <w:szCs w:val="22"/>
          <w:lang w:val="en-US"/>
        </w:rPr>
        <w:t>Yoshioka</w:t>
      </w:r>
      <w:r>
        <w:rPr>
          <w:rFonts w:ascii="Book Antiqua" w:hAnsi="Book Antiqua" w:hint="eastAsia"/>
          <w:bCs/>
          <w:color w:val="000000"/>
          <w:kern w:val="2"/>
          <w:szCs w:val="22"/>
          <w:lang w:val="en-US"/>
        </w:rPr>
        <w:t xml:space="preserve"> K </w:t>
      </w:r>
      <w:r w:rsidRPr="00B13942">
        <w:rPr>
          <w:rFonts w:ascii="Book Antiqua" w:hAnsi="Book Antiqua"/>
          <w:b/>
          <w:bCs/>
          <w:color w:val="000000"/>
          <w:kern w:val="2"/>
          <w:szCs w:val="22"/>
          <w:lang w:val="en-US"/>
        </w:rPr>
        <w:t>S-Editor:</w:t>
      </w:r>
      <w:r>
        <w:rPr>
          <w:rFonts w:ascii="Book Antiqua" w:hAnsi="Book Antiqua" w:hint="eastAsia"/>
          <w:b/>
          <w:bCs/>
          <w:color w:val="000000"/>
          <w:kern w:val="2"/>
          <w:szCs w:val="22"/>
          <w:lang w:val="en-US"/>
        </w:rPr>
        <w:t xml:space="preserve"> </w:t>
      </w:r>
      <w:r w:rsidRPr="00B13942">
        <w:rPr>
          <w:rFonts w:ascii="Book Antiqua" w:hAnsi="Book Antiqua" w:hint="eastAsia"/>
          <w:bCs/>
          <w:color w:val="000000"/>
          <w:kern w:val="2"/>
          <w:szCs w:val="22"/>
          <w:lang w:val="en-US"/>
        </w:rPr>
        <w:t>Wang XJ</w:t>
      </w:r>
    </w:p>
    <w:p w:rsidR="00B13942" w:rsidRPr="00B13942" w:rsidRDefault="00B13942" w:rsidP="00B13942">
      <w:pPr>
        <w:widowControl w:val="0"/>
        <w:suppressAutoHyphens w:val="0"/>
        <w:adjustRightInd w:val="0"/>
        <w:snapToGrid w:val="0"/>
        <w:spacing w:after="0" w:line="360" w:lineRule="auto"/>
        <w:ind w:left="361" w:hangingChars="150" w:hanging="361"/>
        <w:jc w:val="right"/>
        <w:rPr>
          <w:rFonts w:ascii="Book Antiqua" w:hAnsi="Book Antiqua"/>
          <w:b/>
          <w:bCs/>
          <w:color w:val="000000"/>
          <w:kern w:val="2"/>
          <w:szCs w:val="22"/>
          <w:lang w:val="en-US"/>
        </w:rPr>
      </w:pPr>
      <w:r w:rsidRPr="00B13942">
        <w:rPr>
          <w:rFonts w:ascii="Book Antiqua" w:hAnsi="Book Antiqua"/>
          <w:b/>
          <w:bCs/>
          <w:color w:val="000000"/>
          <w:kern w:val="2"/>
          <w:szCs w:val="22"/>
          <w:lang w:val="en-US"/>
        </w:rPr>
        <w:t>L-Editor:</w:t>
      </w:r>
      <w:r w:rsidRPr="00B13942">
        <w:rPr>
          <w:rFonts w:ascii="Book Antiqua" w:hAnsi="Book Antiqua"/>
          <w:color w:val="000000"/>
          <w:kern w:val="2"/>
          <w:szCs w:val="22"/>
          <w:lang w:val="en-US"/>
        </w:rPr>
        <w:t xml:space="preserve"> </w:t>
      </w:r>
      <w:r w:rsidRPr="00B13942">
        <w:rPr>
          <w:rFonts w:ascii="Book Antiqua" w:hAnsi="Book Antiqua"/>
          <w:b/>
          <w:bCs/>
          <w:color w:val="000000"/>
          <w:kern w:val="2"/>
          <w:szCs w:val="22"/>
          <w:lang w:val="en-US"/>
        </w:rPr>
        <w:t>E-Editor:</w:t>
      </w:r>
    </w:p>
    <w:p w:rsidR="00B13942" w:rsidRPr="00B13942" w:rsidRDefault="00B13942" w:rsidP="00B13942">
      <w:pPr>
        <w:widowControl w:val="0"/>
        <w:suppressAutoHyphens w:val="0"/>
        <w:adjustRightInd w:val="0"/>
        <w:snapToGrid w:val="0"/>
        <w:spacing w:after="0" w:line="360" w:lineRule="auto"/>
        <w:ind w:left="360" w:hangingChars="150" w:hanging="360"/>
        <w:jc w:val="right"/>
        <w:rPr>
          <w:rFonts w:ascii="Book Antiqua" w:hAnsi="Book Antiqua"/>
          <w:color w:val="000000"/>
          <w:kern w:val="2"/>
          <w:szCs w:val="22"/>
          <w:lang w:val="en-US"/>
        </w:rPr>
      </w:pPr>
    </w:p>
    <w:p w:rsidR="00B13942" w:rsidRPr="00B13942" w:rsidRDefault="00B13942" w:rsidP="00B13942">
      <w:pPr>
        <w:suppressAutoHyphens w:val="0"/>
        <w:adjustRightInd w:val="0"/>
        <w:snapToGrid w:val="0"/>
        <w:spacing w:after="0" w:line="360" w:lineRule="auto"/>
        <w:jc w:val="both"/>
        <w:rPr>
          <w:rFonts w:ascii="Book Antiqua" w:eastAsia="MS Mincho" w:hAnsi="Book Antiqua"/>
          <w:color w:val="auto"/>
          <w:lang w:val="en-US"/>
        </w:rPr>
      </w:pPr>
      <w:r w:rsidRPr="00B13942">
        <w:rPr>
          <w:rFonts w:ascii="Book Antiqua" w:eastAsia="MS Mincho" w:hAnsi="Book Antiqua"/>
          <w:b/>
          <w:color w:val="auto"/>
          <w:lang w:val="en-US"/>
        </w:rPr>
        <w:t>Specialty type:</w:t>
      </w:r>
      <w:r w:rsidRPr="00B13942">
        <w:rPr>
          <w:rFonts w:ascii="Book Antiqua" w:eastAsia="MS Mincho" w:hAnsi="Book Antiqua"/>
          <w:color w:val="auto"/>
          <w:lang w:val="en-US"/>
        </w:rPr>
        <w:t xml:space="preserve"> Gastroenterology and hepatology</w:t>
      </w:r>
    </w:p>
    <w:p w:rsidR="00B13942" w:rsidRPr="000D67EF" w:rsidRDefault="00B13942" w:rsidP="00B13942">
      <w:pPr>
        <w:suppressAutoHyphens w:val="0"/>
        <w:adjustRightInd w:val="0"/>
        <w:snapToGrid w:val="0"/>
        <w:spacing w:after="0" w:line="360" w:lineRule="auto"/>
        <w:jc w:val="both"/>
        <w:rPr>
          <w:rFonts w:ascii="Book Antiqua" w:hAnsi="Book Antiqua"/>
          <w:color w:val="auto"/>
          <w:lang w:val="en-US"/>
        </w:rPr>
      </w:pPr>
      <w:r w:rsidRPr="00B13942">
        <w:rPr>
          <w:rFonts w:ascii="Book Antiqua" w:eastAsia="MS Mincho" w:hAnsi="Book Antiqua"/>
          <w:b/>
          <w:color w:val="auto"/>
          <w:lang w:val="en-US"/>
        </w:rPr>
        <w:t>Country of origin:</w:t>
      </w:r>
      <w:r w:rsidRPr="000D67EF">
        <w:rPr>
          <w:rFonts w:ascii="Book Antiqua" w:hAnsi="Book Antiqua" w:hint="eastAsia"/>
          <w:b/>
          <w:color w:val="auto"/>
          <w:lang w:val="en-US"/>
        </w:rPr>
        <w:t xml:space="preserve"> </w:t>
      </w:r>
      <w:r w:rsidRPr="00B13942">
        <w:rPr>
          <w:rFonts w:ascii="Book Antiqua" w:hAnsi="Book Antiqua"/>
          <w:color w:val="auto"/>
          <w:lang w:val="en-US"/>
        </w:rPr>
        <w:t>Italy</w:t>
      </w:r>
    </w:p>
    <w:p w:rsidR="00B13942" w:rsidRPr="00B13942" w:rsidRDefault="00B13942" w:rsidP="00B13942">
      <w:pPr>
        <w:suppressAutoHyphens w:val="0"/>
        <w:adjustRightInd w:val="0"/>
        <w:snapToGrid w:val="0"/>
        <w:spacing w:after="0" w:line="360" w:lineRule="auto"/>
        <w:jc w:val="both"/>
        <w:rPr>
          <w:rFonts w:ascii="Book Antiqua" w:eastAsia="MS Mincho" w:hAnsi="Book Antiqua"/>
          <w:b/>
          <w:color w:val="auto"/>
          <w:lang w:val="en-US"/>
        </w:rPr>
      </w:pPr>
      <w:r w:rsidRPr="00B13942">
        <w:rPr>
          <w:rFonts w:ascii="Book Antiqua" w:eastAsia="MS Mincho" w:hAnsi="Book Antiqua"/>
          <w:b/>
          <w:color w:val="auto"/>
          <w:lang w:val="en-US"/>
        </w:rPr>
        <w:t>Peer-review report classification</w:t>
      </w:r>
    </w:p>
    <w:p w:rsidR="00B13942" w:rsidRPr="00B13942" w:rsidRDefault="00B13942" w:rsidP="00B13942">
      <w:pPr>
        <w:suppressAutoHyphens w:val="0"/>
        <w:adjustRightInd w:val="0"/>
        <w:snapToGrid w:val="0"/>
        <w:spacing w:after="0" w:line="360" w:lineRule="auto"/>
        <w:jc w:val="both"/>
        <w:rPr>
          <w:rFonts w:ascii="Book Antiqua" w:eastAsia="MS Mincho" w:hAnsi="Book Antiqua"/>
          <w:color w:val="auto"/>
          <w:lang w:val="en-US"/>
        </w:rPr>
      </w:pPr>
      <w:r w:rsidRPr="00B13942">
        <w:rPr>
          <w:rFonts w:ascii="Book Antiqua" w:eastAsia="MS Mincho" w:hAnsi="Book Antiqua"/>
          <w:color w:val="auto"/>
          <w:lang w:val="en-US"/>
        </w:rPr>
        <w:t>Grade A (Excellent): 0</w:t>
      </w:r>
    </w:p>
    <w:p w:rsidR="00B13942" w:rsidRPr="00B13942" w:rsidRDefault="00B13942" w:rsidP="00B13942">
      <w:pPr>
        <w:suppressAutoHyphens w:val="0"/>
        <w:adjustRightInd w:val="0"/>
        <w:snapToGrid w:val="0"/>
        <w:spacing w:after="0" w:line="360" w:lineRule="auto"/>
        <w:jc w:val="both"/>
        <w:rPr>
          <w:rFonts w:ascii="Book Antiqua" w:hAnsi="Book Antiqua"/>
          <w:color w:val="auto"/>
          <w:lang w:val="en-US"/>
        </w:rPr>
      </w:pPr>
      <w:r w:rsidRPr="00B13942">
        <w:rPr>
          <w:rFonts w:ascii="Book Antiqua" w:eastAsia="MS Mincho" w:hAnsi="Book Antiqua"/>
          <w:color w:val="auto"/>
          <w:lang w:val="en-US"/>
        </w:rPr>
        <w:t>Grade B (Very good):</w:t>
      </w:r>
      <w:r w:rsidRPr="00B13942">
        <w:rPr>
          <w:rFonts w:ascii="Book Antiqua" w:hAnsi="Book Antiqua" w:hint="eastAsia"/>
          <w:color w:val="auto"/>
          <w:lang w:val="en-US"/>
        </w:rPr>
        <w:t xml:space="preserve"> </w:t>
      </w:r>
      <w:r>
        <w:rPr>
          <w:rFonts w:ascii="Book Antiqua" w:hAnsi="Book Antiqua" w:hint="eastAsia"/>
          <w:color w:val="auto"/>
          <w:lang w:val="en-US"/>
        </w:rPr>
        <w:t>B, B</w:t>
      </w:r>
    </w:p>
    <w:p w:rsidR="00B13942" w:rsidRPr="00B13942" w:rsidRDefault="00B13942" w:rsidP="00B13942">
      <w:pPr>
        <w:suppressAutoHyphens w:val="0"/>
        <w:adjustRightInd w:val="0"/>
        <w:snapToGrid w:val="0"/>
        <w:spacing w:after="0" w:line="360" w:lineRule="auto"/>
        <w:jc w:val="both"/>
        <w:rPr>
          <w:rFonts w:ascii="Book Antiqua" w:eastAsia="MS Mincho" w:hAnsi="Book Antiqua"/>
          <w:color w:val="auto"/>
          <w:lang w:val="en-US"/>
        </w:rPr>
      </w:pPr>
      <w:r w:rsidRPr="00B13942">
        <w:rPr>
          <w:rFonts w:ascii="Book Antiqua" w:eastAsia="MS Mincho" w:hAnsi="Book Antiqua"/>
          <w:color w:val="auto"/>
          <w:lang w:val="en-US"/>
        </w:rPr>
        <w:t xml:space="preserve">Grade C (Good): </w:t>
      </w:r>
      <w:r>
        <w:rPr>
          <w:rFonts w:ascii="Book Antiqua" w:hAnsi="Book Antiqua" w:hint="eastAsia"/>
          <w:color w:val="auto"/>
          <w:lang w:val="en-US"/>
        </w:rPr>
        <w:t>C, C</w:t>
      </w:r>
    </w:p>
    <w:p w:rsidR="00B13942" w:rsidRPr="00B13942" w:rsidRDefault="00B13942" w:rsidP="00B13942">
      <w:pPr>
        <w:suppressAutoHyphens w:val="0"/>
        <w:adjustRightInd w:val="0"/>
        <w:snapToGrid w:val="0"/>
        <w:spacing w:after="0" w:line="360" w:lineRule="auto"/>
        <w:jc w:val="both"/>
        <w:rPr>
          <w:rFonts w:ascii="Book Antiqua" w:eastAsia="MS Mincho" w:hAnsi="Book Antiqua"/>
          <w:color w:val="auto"/>
          <w:lang w:val="en-US"/>
        </w:rPr>
      </w:pPr>
      <w:r w:rsidRPr="00B13942">
        <w:rPr>
          <w:rFonts w:ascii="Book Antiqua" w:eastAsia="MS Mincho" w:hAnsi="Book Antiqua"/>
          <w:color w:val="auto"/>
          <w:lang w:val="en-US"/>
        </w:rPr>
        <w:t>Grade D (Fair): 0</w:t>
      </w:r>
    </w:p>
    <w:p w:rsidR="00B13942" w:rsidRPr="00B13942" w:rsidRDefault="00B13942" w:rsidP="00B13942">
      <w:pPr>
        <w:suppressAutoHyphens w:val="0"/>
        <w:adjustRightInd w:val="0"/>
        <w:snapToGrid w:val="0"/>
        <w:spacing w:after="0" w:line="360" w:lineRule="auto"/>
        <w:jc w:val="both"/>
        <w:rPr>
          <w:rFonts w:ascii="Book Antiqua" w:hAnsi="Book Antiqua"/>
          <w:color w:val="auto"/>
          <w:lang w:val="en-US"/>
        </w:rPr>
      </w:pPr>
      <w:r w:rsidRPr="00B13942">
        <w:rPr>
          <w:rFonts w:ascii="Book Antiqua" w:eastAsia="MS Mincho" w:hAnsi="Book Antiqua"/>
          <w:color w:val="auto"/>
          <w:lang w:val="en-US"/>
        </w:rPr>
        <w:t>Grade E (Poor): 0</w:t>
      </w:r>
      <w:bookmarkEnd w:id="48"/>
      <w:bookmarkEnd w:id="49"/>
    </w:p>
    <w:p w:rsidR="007C2761" w:rsidRPr="00C82350" w:rsidRDefault="00B13942" w:rsidP="00C82350">
      <w:pPr>
        <w:adjustRightInd w:val="0"/>
        <w:snapToGrid w:val="0"/>
        <w:spacing w:after="0" w:line="360" w:lineRule="auto"/>
        <w:jc w:val="both"/>
        <w:rPr>
          <w:rFonts w:ascii="Book Antiqua" w:hAnsi="Book Antiqua"/>
          <w:lang w:val="en-GB"/>
        </w:rPr>
      </w:pPr>
      <w:r w:rsidRPr="00C82350">
        <w:rPr>
          <w:rFonts w:ascii="Book Antiqua" w:hAnsi="Book Antiqua"/>
          <w:lang w:val="en-GB"/>
        </w:rPr>
        <w:lastRenderedPageBreak/>
        <w:t xml:space="preserve"> </w:t>
      </w:r>
      <w:r w:rsidR="00CB140A">
        <w:rPr>
          <w:rFonts w:ascii="Book Antiqua" w:hAnsi="Book Antiqua"/>
          <w:noProof/>
          <w:lang w:val="en-US"/>
        </w:rPr>
        <w:drawing>
          <wp:inline distT="0" distB="0" distL="0" distR="0">
            <wp:extent cx="2800350" cy="4286250"/>
            <wp:effectExtent l="0" t="0" r="0" b="0"/>
            <wp:docPr id="1" name="Picture 1" descr="39749-Image-File-r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9749-Image-File-revis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0350" cy="4286250"/>
                    </a:xfrm>
                    <a:prstGeom prst="rect">
                      <a:avLst/>
                    </a:prstGeom>
                    <a:noFill/>
                    <a:ln>
                      <a:noFill/>
                    </a:ln>
                  </pic:spPr>
                </pic:pic>
              </a:graphicData>
            </a:graphic>
          </wp:inline>
        </w:drawing>
      </w:r>
    </w:p>
    <w:p w:rsidR="001243A5" w:rsidRDefault="007C2761" w:rsidP="00C82350">
      <w:pPr>
        <w:adjustRightInd w:val="0"/>
        <w:snapToGrid w:val="0"/>
        <w:spacing w:after="0" w:line="360" w:lineRule="auto"/>
        <w:jc w:val="both"/>
        <w:rPr>
          <w:rFonts w:ascii="Book Antiqua" w:hAnsi="Book Antiqua"/>
          <w:lang w:val="en-GB"/>
        </w:rPr>
      </w:pPr>
      <w:r w:rsidRPr="001243A5">
        <w:rPr>
          <w:rFonts w:ascii="Book Antiqua" w:hAnsi="Book Antiqua"/>
          <w:b/>
          <w:lang w:val="en-GB"/>
        </w:rPr>
        <w:t>F</w:t>
      </w:r>
      <w:r w:rsidR="001243A5" w:rsidRPr="001243A5">
        <w:rPr>
          <w:rFonts w:ascii="Book Antiqua" w:hAnsi="Book Antiqua"/>
          <w:b/>
          <w:lang w:val="en-GB"/>
        </w:rPr>
        <w:t>igure</w:t>
      </w:r>
      <w:r w:rsidRPr="001243A5">
        <w:rPr>
          <w:rFonts w:ascii="Book Antiqua" w:hAnsi="Book Antiqua"/>
          <w:b/>
          <w:lang w:val="en-GB"/>
        </w:rPr>
        <w:t xml:space="preserve"> 1</w:t>
      </w:r>
      <w:r w:rsidR="001243A5" w:rsidRPr="001243A5">
        <w:rPr>
          <w:rFonts w:ascii="Book Antiqua" w:hAnsi="Book Antiqua" w:hint="eastAsia"/>
          <w:b/>
          <w:lang w:val="en-GB"/>
        </w:rPr>
        <w:t xml:space="preserve"> </w:t>
      </w:r>
      <w:r w:rsidR="001243A5">
        <w:rPr>
          <w:rFonts w:ascii="Book Antiqua" w:hAnsi="Book Antiqua"/>
          <w:b/>
          <w:lang w:val="en-GB"/>
        </w:rPr>
        <w:t>Main difference</w:t>
      </w:r>
      <w:r w:rsidRPr="001243A5">
        <w:rPr>
          <w:rFonts w:ascii="Book Antiqua" w:hAnsi="Book Antiqua"/>
          <w:b/>
          <w:lang w:val="en-GB"/>
        </w:rPr>
        <w:t xml:space="preserve"> between non</w:t>
      </w:r>
      <w:r w:rsidR="001243A5" w:rsidRPr="001243A5">
        <w:rPr>
          <w:rFonts w:ascii="Book Antiqua" w:hAnsi="Book Antiqua" w:hint="eastAsia"/>
          <w:b/>
          <w:lang w:val="en-GB"/>
        </w:rPr>
        <w:t>-</w:t>
      </w:r>
      <w:r w:rsidRPr="001243A5">
        <w:rPr>
          <w:rFonts w:ascii="Book Antiqua" w:hAnsi="Book Antiqua"/>
          <w:b/>
          <w:lang w:val="en-GB"/>
        </w:rPr>
        <w:t>alcoholic fatty liver (</w:t>
      </w:r>
      <w:r w:rsidR="001243A5" w:rsidRPr="001243A5">
        <w:rPr>
          <w:rFonts w:ascii="Book Antiqua" w:hAnsi="Book Antiqua"/>
          <w:b/>
          <w:lang w:val="en-GB"/>
        </w:rPr>
        <w:t>non</w:t>
      </w:r>
      <w:r w:rsidR="001243A5" w:rsidRPr="001243A5">
        <w:rPr>
          <w:rFonts w:ascii="Book Antiqua" w:hAnsi="Book Antiqua" w:hint="eastAsia"/>
          <w:b/>
          <w:lang w:val="en-GB"/>
        </w:rPr>
        <w:t>-</w:t>
      </w:r>
      <w:r w:rsidR="001243A5" w:rsidRPr="001243A5">
        <w:rPr>
          <w:rFonts w:ascii="Book Antiqua" w:hAnsi="Book Antiqua"/>
          <w:b/>
          <w:lang w:val="en-GB"/>
        </w:rPr>
        <w:t>alcoholic fatty liver</w:t>
      </w:r>
      <w:r w:rsidR="001243A5">
        <w:rPr>
          <w:rFonts w:ascii="Book Antiqua" w:hAnsi="Book Antiqua" w:hint="eastAsia"/>
          <w:b/>
          <w:lang w:val="en-GB"/>
        </w:rPr>
        <w:t xml:space="preserve">, </w:t>
      </w:r>
      <w:r w:rsidRPr="001243A5">
        <w:rPr>
          <w:rFonts w:ascii="Book Antiqua" w:hAnsi="Book Antiqua"/>
          <w:b/>
          <w:lang w:val="en-GB"/>
        </w:rPr>
        <w:t>picture 1) and non</w:t>
      </w:r>
      <w:r w:rsidR="001243A5">
        <w:rPr>
          <w:rFonts w:ascii="Book Antiqua" w:hAnsi="Book Antiqua" w:hint="eastAsia"/>
          <w:b/>
          <w:lang w:val="en-GB"/>
        </w:rPr>
        <w:t>-</w:t>
      </w:r>
      <w:r w:rsidRPr="001243A5">
        <w:rPr>
          <w:rFonts w:ascii="Book Antiqua" w:hAnsi="Book Antiqua"/>
          <w:b/>
          <w:lang w:val="en-GB"/>
        </w:rPr>
        <w:t>alcoholic steatohepatitis (</w:t>
      </w:r>
      <w:r w:rsidR="001243A5" w:rsidRPr="001243A5">
        <w:rPr>
          <w:rFonts w:ascii="Book Antiqua" w:hAnsi="Book Antiqua"/>
          <w:b/>
          <w:lang w:val="en-GB"/>
        </w:rPr>
        <w:t>non-alcoholic steatohepatitis</w:t>
      </w:r>
      <w:r w:rsidRPr="001243A5">
        <w:rPr>
          <w:rFonts w:ascii="Book Antiqua" w:hAnsi="Book Antiqua"/>
          <w:b/>
          <w:lang w:val="en-GB"/>
        </w:rPr>
        <w:t>, picture 2).</w:t>
      </w:r>
      <w:r w:rsidRPr="00C82350">
        <w:rPr>
          <w:rFonts w:ascii="Book Antiqua" w:hAnsi="Book Antiqua"/>
          <w:lang w:val="en-GB"/>
        </w:rPr>
        <w:t xml:space="preserve"> NAFL is characterized by minimal inflammatory infiltrate without hepatocyte ballooning (arrow). Instead, NASH is associated with lobular inflammatory infiltrate and hepatocyte degeneration (arrow).</w:t>
      </w:r>
      <w:r w:rsidR="001243A5">
        <w:rPr>
          <w:rFonts w:ascii="Book Antiqua" w:hAnsi="Book Antiqua" w:hint="eastAsia"/>
          <w:lang w:val="en-GB"/>
        </w:rPr>
        <w:t xml:space="preserve"> </w:t>
      </w:r>
      <w:r w:rsidR="001243A5" w:rsidRPr="00C82350">
        <w:rPr>
          <w:rFonts w:ascii="Book Antiqua" w:hAnsi="Book Antiqua"/>
          <w:lang w:val="en-GB"/>
        </w:rPr>
        <w:t>NAFL</w:t>
      </w:r>
      <w:r w:rsidR="001243A5">
        <w:rPr>
          <w:rFonts w:ascii="Book Antiqua" w:hAnsi="Book Antiqua" w:hint="eastAsia"/>
          <w:lang w:val="en-GB"/>
        </w:rPr>
        <w:t xml:space="preserve">: </w:t>
      </w:r>
      <w:r w:rsidR="001243A5" w:rsidRPr="001243A5">
        <w:rPr>
          <w:rFonts w:ascii="Book Antiqua" w:hAnsi="Book Antiqua"/>
          <w:lang w:val="en-GB"/>
        </w:rPr>
        <w:t>Non-alcoholic fatty liver</w:t>
      </w:r>
      <w:r w:rsidR="001243A5">
        <w:rPr>
          <w:rFonts w:ascii="Book Antiqua" w:hAnsi="Book Antiqua" w:hint="eastAsia"/>
          <w:lang w:val="en-GB"/>
        </w:rPr>
        <w:t xml:space="preserve">; </w:t>
      </w:r>
      <w:r w:rsidR="001243A5" w:rsidRPr="00C82350">
        <w:rPr>
          <w:rFonts w:ascii="Book Antiqua" w:hAnsi="Book Antiqua"/>
          <w:lang w:val="en-GB"/>
        </w:rPr>
        <w:t>NASH</w:t>
      </w:r>
      <w:r w:rsidR="001243A5">
        <w:rPr>
          <w:rFonts w:ascii="Book Antiqua" w:hAnsi="Book Antiqua" w:hint="eastAsia"/>
          <w:lang w:val="en-GB"/>
        </w:rPr>
        <w:t xml:space="preserve">: </w:t>
      </w:r>
      <w:r w:rsidR="001243A5" w:rsidRPr="001243A5">
        <w:rPr>
          <w:rFonts w:ascii="Book Antiqua" w:hAnsi="Book Antiqua"/>
          <w:lang w:val="en-GB"/>
        </w:rPr>
        <w:t>Non-alcoholic steatohepatitis</w:t>
      </w:r>
      <w:r w:rsidR="001243A5">
        <w:rPr>
          <w:rFonts w:ascii="Book Antiqua" w:hAnsi="Book Antiqua" w:hint="eastAsia"/>
          <w:lang w:val="en-GB"/>
        </w:rPr>
        <w:t>.</w:t>
      </w:r>
    </w:p>
    <w:p w:rsidR="007C2761" w:rsidRPr="00C82350" w:rsidRDefault="001243A5" w:rsidP="00C82350">
      <w:pPr>
        <w:adjustRightInd w:val="0"/>
        <w:snapToGrid w:val="0"/>
        <w:spacing w:after="0" w:line="360" w:lineRule="auto"/>
        <w:jc w:val="both"/>
        <w:rPr>
          <w:rFonts w:ascii="Book Antiqua" w:hAnsi="Book Antiqua"/>
          <w:lang w:val="en-GB"/>
        </w:rPr>
      </w:pPr>
      <w:r>
        <w:rPr>
          <w:rFonts w:ascii="Book Antiqua" w:hAnsi="Book Antiqua"/>
          <w:lang w:val="en-GB"/>
        </w:rPr>
        <w:br w:type="page"/>
      </w:r>
      <w:r w:rsidR="00CB140A">
        <w:rPr>
          <w:rFonts w:ascii="Book Antiqua" w:hAnsi="Book Antiqua"/>
          <w:noProof/>
          <w:lang w:val="en-US"/>
        </w:rPr>
        <w:lastRenderedPageBreak/>
        <w:drawing>
          <wp:inline distT="0" distB="0" distL="0" distR="0">
            <wp:extent cx="6781800" cy="3895725"/>
            <wp:effectExtent l="0" t="0" r="0" b="9525"/>
            <wp:docPr id="2" name="Picture 2" descr="39749-Image-File-revision_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9749-Image-File-revision_47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1800" cy="3895725"/>
                    </a:xfrm>
                    <a:prstGeom prst="rect">
                      <a:avLst/>
                    </a:prstGeom>
                    <a:noFill/>
                    <a:ln>
                      <a:noFill/>
                    </a:ln>
                  </pic:spPr>
                </pic:pic>
              </a:graphicData>
            </a:graphic>
          </wp:inline>
        </w:drawing>
      </w:r>
    </w:p>
    <w:p w:rsidR="007C2761" w:rsidRPr="00C82350" w:rsidRDefault="007C2761" w:rsidP="00C82350">
      <w:pPr>
        <w:adjustRightInd w:val="0"/>
        <w:snapToGrid w:val="0"/>
        <w:spacing w:after="0" w:line="360" w:lineRule="auto"/>
        <w:jc w:val="both"/>
        <w:rPr>
          <w:rFonts w:ascii="Book Antiqua" w:hAnsi="Book Antiqua"/>
          <w:lang w:val="en-GB"/>
        </w:rPr>
      </w:pPr>
      <w:r w:rsidRPr="001243A5">
        <w:rPr>
          <w:rFonts w:ascii="Book Antiqua" w:hAnsi="Book Antiqua"/>
          <w:b/>
          <w:lang w:val="en-GB"/>
        </w:rPr>
        <w:t>F</w:t>
      </w:r>
      <w:r w:rsidR="001243A5" w:rsidRPr="001243A5">
        <w:rPr>
          <w:rFonts w:ascii="Book Antiqua" w:hAnsi="Book Antiqua"/>
          <w:b/>
          <w:lang w:val="en-GB"/>
        </w:rPr>
        <w:t>igure</w:t>
      </w:r>
      <w:r w:rsidRPr="001243A5">
        <w:rPr>
          <w:rFonts w:ascii="Book Antiqua" w:hAnsi="Book Antiqua"/>
          <w:b/>
          <w:lang w:val="en-GB"/>
        </w:rPr>
        <w:t xml:space="preserve"> 2</w:t>
      </w:r>
      <w:r w:rsidR="001243A5" w:rsidRPr="001243A5">
        <w:rPr>
          <w:rFonts w:ascii="Book Antiqua" w:hAnsi="Book Antiqua" w:hint="eastAsia"/>
          <w:b/>
          <w:lang w:val="en-GB"/>
        </w:rPr>
        <w:t xml:space="preserve"> </w:t>
      </w:r>
      <w:r w:rsidRPr="001243A5">
        <w:rPr>
          <w:rFonts w:ascii="Book Antiqua" w:hAnsi="Book Antiqua"/>
          <w:b/>
          <w:lang w:val="en-GB"/>
        </w:rPr>
        <w:t>Aspects of liver steatosis according to the different imaging techniques.</w:t>
      </w:r>
      <w:r w:rsidRPr="00C82350">
        <w:rPr>
          <w:rFonts w:ascii="Book Antiqua" w:hAnsi="Book Antiqua"/>
          <w:lang w:val="en-GB"/>
        </w:rPr>
        <w:t xml:space="preserve"> In normal ultrasound examination liver parenchyma is isoechoic to the renal parenchyma in normal conditions (A1), becoming hyperechoic in presence of liver steatosis (A2). In comparison to a normal liver (B1), a fatty liver appears hypodense compared to the spleen and to the hepatic veins (B2) in computed tomography scans. Finally, in the setting of a severe steatosis, the magnetic resonance signal has a clear fall from in phase (C1) to out phase sequencings (C</w:t>
      </w:r>
      <w:r w:rsidR="001243A5">
        <w:rPr>
          <w:rFonts w:ascii="Book Antiqua" w:hAnsi="Book Antiqua" w:hint="eastAsia"/>
          <w:lang w:val="en-GB"/>
        </w:rPr>
        <w:t>2</w:t>
      </w:r>
      <w:r w:rsidRPr="00C82350">
        <w:rPr>
          <w:rFonts w:ascii="Book Antiqua" w:hAnsi="Book Antiqua"/>
          <w:lang w:val="en-GB"/>
        </w:rPr>
        <w:t>).</w:t>
      </w:r>
    </w:p>
    <w:p w:rsidR="007C2761" w:rsidRPr="00C82350" w:rsidRDefault="007C2761" w:rsidP="00C82350">
      <w:pPr>
        <w:adjustRightInd w:val="0"/>
        <w:snapToGrid w:val="0"/>
        <w:spacing w:after="0" w:line="360" w:lineRule="auto"/>
        <w:jc w:val="both"/>
        <w:rPr>
          <w:rFonts w:ascii="Book Antiqua" w:hAnsi="Book Antiqua"/>
          <w:lang w:val="en-GB"/>
        </w:rPr>
      </w:pPr>
    </w:p>
    <w:p w:rsidR="007C2761" w:rsidRPr="001243A5" w:rsidRDefault="007C2761" w:rsidP="00C82350">
      <w:pPr>
        <w:adjustRightInd w:val="0"/>
        <w:snapToGrid w:val="0"/>
        <w:spacing w:after="0" w:line="360" w:lineRule="auto"/>
        <w:jc w:val="both"/>
        <w:rPr>
          <w:rFonts w:ascii="Book Antiqua" w:hAnsi="Book Antiqua"/>
          <w:lang w:val="en-GB"/>
        </w:rPr>
        <w:sectPr w:rsidR="007C2761" w:rsidRPr="001243A5" w:rsidSect="004857C8">
          <w:pgSz w:w="11906" w:h="16838"/>
          <w:pgMar w:top="1888" w:right="567" w:bottom="1695" w:left="567" w:header="1134" w:footer="0" w:gutter="0"/>
          <w:cols w:space="720"/>
          <w:formProt w:val="0"/>
          <w:docGrid w:linePitch="240"/>
        </w:sectPr>
      </w:pPr>
    </w:p>
    <w:p w:rsidR="007C2761" w:rsidRPr="00C82350" w:rsidRDefault="001243A5" w:rsidP="00C82350">
      <w:pPr>
        <w:adjustRightInd w:val="0"/>
        <w:snapToGrid w:val="0"/>
        <w:spacing w:after="0" w:line="360" w:lineRule="auto"/>
        <w:jc w:val="both"/>
        <w:rPr>
          <w:rFonts w:ascii="Book Antiqua" w:hAnsi="Book Antiqua"/>
          <w:lang w:val="en-GB"/>
        </w:rPr>
      </w:pPr>
      <w:r w:rsidRPr="00C82350">
        <w:rPr>
          <w:rFonts w:ascii="Book Antiqua" w:eastAsia="MS Mincho" w:hAnsi="Book Antiqua" w:cs="Arial"/>
          <w:b/>
          <w:bCs/>
          <w:color w:val="auto"/>
          <w:lang w:val="en-GB" w:eastAsia="ja-JP"/>
        </w:rPr>
        <w:lastRenderedPageBreak/>
        <w:t>Table 1 Diagnostic criteria for non-alcoholic fatty liver disease according to the various guidelines</w:t>
      </w:r>
    </w:p>
    <w:tbl>
      <w:tblPr>
        <w:tblW w:w="16161"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8"/>
        <w:gridCol w:w="2421"/>
        <w:gridCol w:w="2127"/>
        <w:gridCol w:w="2409"/>
        <w:gridCol w:w="2552"/>
        <w:gridCol w:w="3544"/>
      </w:tblGrid>
      <w:tr w:rsidR="007C2761" w:rsidRPr="00C82350" w:rsidTr="002B210E">
        <w:trPr>
          <w:trHeight w:val="228"/>
        </w:trPr>
        <w:tc>
          <w:tcPr>
            <w:tcW w:w="3108" w:type="dxa"/>
          </w:tcPr>
          <w:p w:rsidR="007C2761" w:rsidRPr="00C82350" w:rsidRDefault="007C2761" w:rsidP="00C82350">
            <w:pPr>
              <w:widowControl w:val="0"/>
              <w:suppressAutoHyphens w:val="0"/>
              <w:adjustRightInd w:val="0"/>
              <w:snapToGrid w:val="0"/>
              <w:spacing w:after="0" w:line="360" w:lineRule="auto"/>
              <w:jc w:val="both"/>
              <w:rPr>
                <w:rFonts w:ascii="Book Antiqua" w:eastAsia="MS Mincho" w:hAnsi="Book Antiqua" w:cs="Arial"/>
                <w:b/>
                <w:bCs/>
                <w:color w:val="auto"/>
                <w:lang w:val="en-GB" w:eastAsia="ja-JP"/>
              </w:rPr>
            </w:pPr>
          </w:p>
        </w:tc>
        <w:tc>
          <w:tcPr>
            <w:tcW w:w="2421"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s="Arial"/>
                <w:b/>
                <w:bCs/>
                <w:color w:val="auto"/>
                <w:lang w:eastAsia="ja-JP"/>
              </w:rPr>
            </w:pPr>
            <w:r w:rsidRPr="00C82350">
              <w:rPr>
                <w:rFonts w:ascii="Book Antiqua" w:eastAsia="MS Mincho" w:hAnsi="Book Antiqua" w:cs="Arial"/>
                <w:b/>
                <w:bCs/>
                <w:color w:val="auto"/>
                <w:lang w:eastAsia="ja-JP"/>
              </w:rPr>
              <w:t>EASL</w:t>
            </w:r>
          </w:p>
        </w:tc>
        <w:tc>
          <w:tcPr>
            <w:tcW w:w="2127"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s="Arial"/>
                <w:b/>
                <w:bCs/>
                <w:color w:val="auto"/>
                <w:lang w:eastAsia="ja-JP"/>
              </w:rPr>
            </w:pPr>
            <w:r w:rsidRPr="00C82350">
              <w:rPr>
                <w:rFonts w:ascii="Book Antiqua" w:eastAsia="MS Mincho" w:hAnsi="Book Antiqua" w:cs="Arial"/>
                <w:b/>
                <w:bCs/>
                <w:color w:val="auto"/>
                <w:lang w:eastAsia="ja-JP"/>
              </w:rPr>
              <w:t>NICE</w:t>
            </w:r>
          </w:p>
        </w:tc>
        <w:tc>
          <w:tcPr>
            <w:tcW w:w="2409"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s="Arial"/>
                <w:b/>
                <w:bCs/>
                <w:color w:val="auto"/>
                <w:lang w:eastAsia="ja-JP"/>
              </w:rPr>
            </w:pPr>
            <w:r w:rsidRPr="00C82350">
              <w:rPr>
                <w:rFonts w:ascii="Book Antiqua" w:eastAsia="MS Mincho" w:hAnsi="Book Antiqua" w:cs="Arial"/>
                <w:b/>
                <w:bCs/>
                <w:color w:val="auto"/>
                <w:lang w:eastAsia="ja-JP"/>
              </w:rPr>
              <w:t>A</w:t>
            </w:r>
            <w:r w:rsidR="002B210E" w:rsidRPr="00C82350">
              <w:rPr>
                <w:rFonts w:ascii="Book Antiqua" w:eastAsia="MS Mincho" w:hAnsi="Book Antiqua" w:cs="Arial"/>
                <w:b/>
                <w:bCs/>
                <w:color w:val="auto"/>
                <w:lang w:eastAsia="ja-JP"/>
              </w:rPr>
              <w:t>sia</w:t>
            </w:r>
            <w:r w:rsidRPr="00C82350">
              <w:rPr>
                <w:rFonts w:ascii="Book Antiqua" w:eastAsia="MS Mincho" w:hAnsi="Book Antiqua" w:cs="Arial"/>
                <w:b/>
                <w:bCs/>
                <w:color w:val="auto"/>
                <w:lang w:eastAsia="ja-JP"/>
              </w:rPr>
              <w:t>-P</w:t>
            </w:r>
            <w:r w:rsidR="002B210E" w:rsidRPr="00C82350">
              <w:rPr>
                <w:rFonts w:ascii="Book Antiqua" w:eastAsia="MS Mincho" w:hAnsi="Book Antiqua" w:cs="Arial"/>
                <w:b/>
                <w:bCs/>
                <w:color w:val="auto"/>
                <w:lang w:eastAsia="ja-JP"/>
              </w:rPr>
              <w:t>acific</w:t>
            </w:r>
          </w:p>
        </w:tc>
        <w:tc>
          <w:tcPr>
            <w:tcW w:w="2552"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s="Arial"/>
                <w:b/>
                <w:bCs/>
                <w:color w:val="auto"/>
                <w:lang w:eastAsia="ja-JP"/>
              </w:rPr>
            </w:pPr>
            <w:r w:rsidRPr="00C82350">
              <w:rPr>
                <w:rFonts w:ascii="Book Antiqua" w:eastAsia="MS Mincho" w:hAnsi="Book Antiqua" w:cs="Arial"/>
                <w:b/>
                <w:bCs/>
                <w:color w:val="auto"/>
                <w:lang w:eastAsia="ja-JP"/>
              </w:rPr>
              <w:t>AISF</w:t>
            </w:r>
          </w:p>
        </w:tc>
        <w:tc>
          <w:tcPr>
            <w:tcW w:w="3544"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s="Arial"/>
                <w:b/>
                <w:bCs/>
                <w:color w:val="auto"/>
                <w:lang w:eastAsia="ja-JP"/>
              </w:rPr>
            </w:pPr>
            <w:r w:rsidRPr="00C82350">
              <w:rPr>
                <w:rFonts w:ascii="Book Antiqua" w:eastAsia="MS Mincho" w:hAnsi="Book Antiqua" w:cs="Arial"/>
                <w:b/>
                <w:bCs/>
                <w:color w:val="auto"/>
                <w:lang w:eastAsia="ja-JP"/>
              </w:rPr>
              <w:t>AASLD</w:t>
            </w:r>
          </w:p>
        </w:tc>
      </w:tr>
      <w:tr w:rsidR="007C2761" w:rsidRPr="00C82350" w:rsidTr="002B210E">
        <w:trPr>
          <w:trHeight w:val="1016"/>
        </w:trPr>
        <w:tc>
          <w:tcPr>
            <w:tcW w:w="3108" w:type="dxa"/>
            <w:vMerge w:val="restart"/>
          </w:tcPr>
          <w:p w:rsidR="007C2761" w:rsidRPr="001243A5" w:rsidRDefault="007C2761" w:rsidP="001243A5">
            <w:pPr>
              <w:widowControl w:val="0"/>
              <w:suppressAutoHyphens w:val="0"/>
              <w:adjustRightInd w:val="0"/>
              <w:snapToGrid w:val="0"/>
              <w:spacing w:after="0" w:line="360" w:lineRule="auto"/>
              <w:rPr>
                <w:rFonts w:ascii="Book Antiqua" w:eastAsia="MS Mincho" w:hAnsi="Book Antiqua"/>
                <w:bCs/>
                <w:color w:val="auto"/>
                <w:lang w:eastAsia="ja-JP"/>
              </w:rPr>
            </w:pPr>
            <w:r w:rsidRPr="001243A5">
              <w:rPr>
                <w:rFonts w:ascii="Book Antiqua" w:eastAsia="MS Mincho" w:hAnsi="Book Antiqua"/>
                <w:bCs/>
                <w:color w:val="auto"/>
                <w:lang w:eastAsia="ja-JP"/>
              </w:rPr>
              <w:t>Required criteria</w:t>
            </w:r>
          </w:p>
        </w:tc>
        <w:tc>
          <w:tcPr>
            <w:tcW w:w="2421" w:type="dxa"/>
          </w:tcPr>
          <w:p w:rsidR="007C2761" w:rsidRPr="00C82350" w:rsidRDefault="002B210E" w:rsidP="001243A5">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0D67EF">
              <w:rPr>
                <w:rFonts w:ascii="Book Antiqua" w:hAnsi="Book Antiqua" w:hint="eastAsia"/>
                <w:color w:val="auto"/>
                <w:lang w:val="en-GB"/>
              </w:rPr>
              <w:t xml:space="preserve"> </w:t>
            </w:r>
            <w:r w:rsidR="007C2761" w:rsidRPr="00C82350">
              <w:rPr>
                <w:rFonts w:ascii="Book Antiqua" w:eastAsia="MS Mincho" w:hAnsi="Book Antiqua"/>
                <w:color w:val="auto"/>
                <w:lang w:val="en-GB" w:eastAsia="ja-JP"/>
              </w:rPr>
              <w:t>Steatosis in &gt;</w:t>
            </w:r>
            <w:r w:rsidRPr="000D67EF">
              <w:rPr>
                <w:rFonts w:ascii="Book Antiqua" w:hAnsi="Book Antiqua" w:hint="eastAsia"/>
                <w:color w:val="auto"/>
                <w:lang w:val="en-GB"/>
              </w:rPr>
              <w:t xml:space="preserve"> </w:t>
            </w:r>
            <w:r w:rsidR="007C2761" w:rsidRPr="00C82350">
              <w:rPr>
                <w:rFonts w:ascii="Book Antiqua" w:eastAsia="MS Mincho" w:hAnsi="Book Antiqua"/>
                <w:color w:val="auto"/>
                <w:lang w:val="en-GB" w:eastAsia="ja-JP"/>
              </w:rPr>
              <w:t>5% of hepatocytes by either imaging or histology</w:t>
            </w:r>
          </w:p>
        </w:tc>
        <w:tc>
          <w:tcPr>
            <w:tcW w:w="2127"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Excessive fat in the liver</w:t>
            </w:r>
          </w:p>
        </w:tc>
        <w:tc>
          <w:tcPr>
            <w:tcW w:w="2409"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Hepatic steatosis by either imaging or histology</w:t>
            </w:r>
          </w:p>
        </w:tc>
        <w:tc>
          <w:tcPr>
            <w:tcW w:w="2552"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Hepatic steatosis on either imaging or histology</w:t>
            </w:r>
          </w:p>
        </w:tc>
        <w:tc>
          <w:tcPr>
            <w:tcW w:w="3544"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Evidence of hepatic steatosis either by imaging or histology</w:t>
            </w:r>
          </w:p>
        </w:tc>
      </w:tr>
      <w:tr w:rsidR="007C2761" w:rsidRPr="00C82350" w:rsidTr="002B210E">
        <w:trPr>
          <w:trHeight w:val="560"/>
        </w:trPr>
        <w:tc>
          <w:tcPr>
            <w:tcW w:w="3108" w:type="dxa"/>
            <w:vMerge/>
          </w:tcPr>
          <w:p w:rsidR="007C2761" w:rsidRPr="001243A5" w:rsidRDefault="007C2761" w:rsidP="001243A5">
            <w:pPr>
              <w:widowControl w:val="0"/>
              <w:suppressAutoHyphens w:val="0"/>
              <w:adjustRightInd w:val="0"/>
              <w:snapToGrid w:val="0"/>
              <w:spacing w:after="0" w:line="360" w:lineRule="auto"/>
              <w:rPr>
                <w:rFonts w:ascii="Book Antiqua" w:eastAsia="MS Mincho" w:hAnsi="Book Antiqua"/>
                <w:bCs/>
                <w:color w:val="auto"/>
                <w:lang w:val="en-GB" w:eastAsia="ja-JP"/>
              </w:rPr>
            </w:pPr>
          </w:p>
        </w:tc>
        <w:tc>
          <w:tcPr>
            <w:tcW w:w="2421"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No other causes of steatosis</w:t>
            </w:r>
          </w:p>
        </w:tc>
        <w:tc>
          <w:tcPr>
            <w:tcW w:w="2127"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No other causes of steatosis</w:t>
            </w:r>
          </w:p>
        </w:tc>
        <w:tc>
          <w:tcPr>
            <w:tcW w:w="2409"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No other causes of steatosis</w:t>
            </w:r>
          </w:p>
        </w:tc>
        <w:tc>
          <w:tcPr>
            <w:tcW w:w="2552"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No other causes of steatosis</w:t>
            </w:r>
          </w:p>
        </w:tc>
        <w:tc>
          <w:tcPr>
            <w:tcW w:w="3544"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No other causes of steatosis</w:t>
            </w:r>
          </w:p>
        </w:tc>
      </w:tr>
      <w:tr w:rsidR="007C2761" w:rsidRPr="00C82350" w:rsidTr="002B210E">
        <w:trPr>
          <w:trHeight w:val="560"/>
        </w:trPr>
        <w:tc>
          <w:tcPr>
            <w:tcW w:w="3108" w:type="dxa"/>
            <w:vMerge/>
          </w:tcPr>
          <w:p w:rsidR="007C2761" w:rsidRPr="001243A5" w:rsidRDefault="007C2761" w:rsidP="001243A5">
            <w:pPr>
              <w:widowControl w:val="0"/>
              <w:suppressAutoHyphens w:val="0"/>
              <w:adjustRightInd w:val="0"/>
              <w:snapToGrid w:val="0"/>
              <w:spacing w:after="0" w:line="360" w:lineRule="auto"/>
              <w:rPr>
                <w:rFonts w:ascii="Book Antiqua" w:eastAsia="MS Mincho" w:hAnsi="Book Antiqua"/>
                <w:bCs/>
                <w:color w:val="auto"/>
                <w:lang w:val="en-GB" w:eastAsia="ja-JP"/>
              </w:rPr>
            </w:pPr>
          </w:p>
        </w:tc>
        <w:tc>
          <w:tcPr>
            <w:tcW w:w="2421"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Insulin resistance</w:t>
            </w:r>
          </w:p>
        </w:tc>
        <w:tc>
          <w:tcPr>
            <w:tcW w:w="2127"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No significant alcohol consumption</w:t>
            </w:r>
          </w:p>
        </w:tc>
        <w:tc>
          <w:tcPr>
            <w:tcW w:w="2409"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No significant alcohol consumption</w:t>
            </w:r>
          </w:p>
        </w:tc>
        <w:tc>
          <w:tcPr>
            <w:tcW w:w="2552"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No significant alcohol consumption</w:t>
            </w:r>
          </w:p>
        </w:tc>
        <w:tc>
          <w:tcPr>
            <w:tcW w:w="3544"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No significant alcohol consumption</w:t>
            </w:r>
          </w:p>
        </w:tc>
      </w:tr>
      <w:tr w:rsidR="007C2761" w:rsidRPr="00C82350" w:rsidTr="002B210E">
        <w:trPr>
          <w:trHeight w:val="560"/>
        </w:trPr>
        <w:tc>
          <w:tcPr>
            <w:tcW w:w="3108" w:type="dxa"/>
            <w:vMerge/>
          </w:tcPr>
          <w:p w:rsidR="007C2761" w:rsidRPr="001243A5" w:rsidRDefault="007C2761" w:rsidP="001243A5">
            <w:pPr>
              <w:widowControl w:val="0"/>
              <w:suppressAutoHyphens w:val="0"/>
              <w:adjustRightInd w:val="0"/>
              <w:snapToGrid w:val="0"/>
              <w:spacing w:after="0" w:line="360" w:lineRule="auto"/>
              <w:rPr>
                <w:rFonts w:ascii="Book Antiqua" w:eastAsia="MS Mincho" w:hAnsi="Book Antiqua"/>
                <w:bCs/>
                <w:color w:val="auto"/>
                <w:lang w:val="en-GB" w:eastAsia="ja-JP"/>
              </w:rPr>
            </w:pPr>
          </w:p>
        </w:tc>
        <w:tc>
          <w:tcPr>
            <w:tcW w:w="2421"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val="en-GB" w:eastAsia="ja-JP"/>
              </w:rPr>
            </w:pPr>
          </w:p>
        </w:tc>
        <w:tc>
          <w:tcPr>
            <w:tcW w:w="2127"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val="en-GB" w:eastAsia="ja-JP"/>
              </w:rPr>
            </w:pPr>
          </w:p>
        </w:tc>
        <w:tc>
          <w:tcPr>
            <w:tcW w:w="2409"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val="en-GB" w:eastAsia="ja-JP"/>
              </w:rPr>
            </w:pPr>
          </w:p>
        </w:tc>
        <w:tc>
          <w:tcPr>
            <w:tcW w:w="2552"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val="en-GB" w:eastAsia="ja-JP"/>
              </w:rPr>
            </w:pPr>
          </w:p>
        </w:tc>
        <w:tc>
          <w:tcPr>
            <w:tcW w:w="3544"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No coexisting chronic liver disease</w:t>
            </w:r>
          </w:p>
        </w:tc>
      </w:tr>
      <w:tr w:rsidR="007C2761" w:rsidRPr="00C82350" w:rsidTr="002B210E">
        <w:trPr>
          <w:trHeight w:val="281"/>
        </w:trPr>
        <w:tc>
          <w:tcPr>
            <w:tcW w:w="3108" w:type="dxa"/>
            <w:vMerge w:val="restart"/>
          </w:tcPr>
          <w:p w:rsidR="007C2761" w:rsidRPr="001243A5" w:rsidRDefault="007C2761" w:rsidP="001243A5">
            <w:pPr>
              <w:widowControl w:val="0"/>
              <w:suppressAutoHyphens w:val="0"/>
              <w:adjustRightInd w:val="0"/>
              <w:snapToGrid w:val="0"/>
              <w:spacing w:after="0" w:line="360" w:lineRule="auto"/>
              <w:rPr>
                <w:rFonts w:ascii="Book Antiqua" w:eastAsia="MS Mincho" w:hAnsi="Book Antiqua"/>
                <w:bCs/>
                <w:color w:val="auto"/>
                <w:lang w:val="en-GB" w:eastAsia="ja-JP"/>
              </w:rPr>
            </w:pPr>
            <w:r w:rsidRPr="001243A5">
              <w:rPr>
                <w:rFonts w:ascii="Book Antiqua" w:eastAsia="MS Mincho" w:hAnsi="Book Antiqua"/>
                <w:bCs/>
                <w:color w:val="auto"/>
                <w:lang w:val="en-GB" w:eastAsia="ja-JP"/>
              </w:rPr>
              <w:t>Alcohol consumption threshold (men)</w:t>
            </w:r>
          </w:p>
        </w:tc>
        <w:tc>
          <w:tcPr>
            <w:tcW w:w="2421" w:type="dxa"/>
          </w:tcPr>
          <w:p w:rsidR="007C2761" w:rsidRPr="000D67EF" w:rsidRDefault="002B210E" w:rsidP="001243A5">
            <w:pPr>
              <w:widowControl w:val="0"/>
              <w:suppressAutoHyphens w:val="0"/>
              <w:adjustRightInd w:val="0"/>
              <w:snapToGrid w:val="0"/>
              <w:spacing w:after="0" w:line="360" w:lineRule="auto"/>
              <w:jc w:val="center"/>
              <w:rPr>
                <w:rFonts w:ascii="Book Antiqua" w:hAnsi="Book Antiqua"/>
                <w:color w:val="auto"/>
              </w:rPr>
            </w:pPr>
            <w:r>
              <w:rPr>
                <w:rFonts w:ascii="Book Antiqua" w:eastAsia="MS Mincho" w:hAnsi="Book Antiqua"/>
                <w:color w:val="auto"/>
                <w:lang w:eastAsia="ja-JP"/>
              </w:rPr>
              <w:t>30 g/d</w:t>
            </w:r>
          </w:p>
        </w:tc>
        <w:tc>
          <w:tcPr>
            <w:tcW w:w="2127" w:type="dxa"/>
          </w:tcPr>
          <w:p w:rsidR="007C2761" w:rsidRPr="000D67EF" w:rsidRDefault="002B210E" w:rsidP="001243A5">
            <w:pPr>
              <w:widowControl w:val="0"/>
              <w:suppressAutoHyphens w:val="0"/>
              <w:adjustRightInd w:val="0"/>
              <w:snapToGrid w:val="0"/>
              <w:spacing w:after="0" w:line="360" w:lineRule="auto"/>
              <w:jc w:val="center"/>
              <w:rPr>
                <w:rFonts w:ascii="Book Antiqua" w:hAnsi="Book Antiqua"/>
                <w:color w:val="auto"/>
              </w:rPr>
            </w:pPr>
            <w:r>
              <w:rPr>
                <w:rFonts w:ascii="Book Antiqua" w:eastAsia="MS Mincho" w:hAnsi="Book Antiqua"/>
                <w:color w:val="auto"/>
                <w:lang w:eastAsia="ja-JP"/>
              </w:rPr>
              <w:t>30 g/d</w:t>
            </w:r>
          </w:p>
        </w:tc>
        <w:tc>
          <w:tcPr>
            <w:tcW w:w="2409" w:type="dxa"/>
          </w:tcPr>
          <w:p w:rsidR="007C2761" w:rsidRPr="000D67EF" w:rsidRDefault="007C2761" w:rsidP="001243A5">
            <w:pPr>
              <w:widowControl w:val="0"/>
              <w:suppressAutoHyphens w:val="0"/>
              <w:adjustRightInd w:val="0"/>
              <w:snapToGrid w:val="0"/>
              <w:spacing w:after="0" w:line="360" w:lineRule="auto"/>
              <w:jc w:val="center"/>
              <w:rPr>
                <w:rFonts w:ascii="Book Antiqua" w:hAnsi="Book Antiqua"/>
                <w:color w:val="auto"/>
                <w:lang w:val="en-GB"/>
              </w:rPr>
            </w:pPr>
            <w:r w:rsidRPr="00C82350">
              <w:rPr>
                <w:rFonts w:ascii="Book Antiqua" w:eastAsia="MS Mincho" w:hAnsi="Book Antiqua"/>
                <w:color w:val="auto"/>
                <w:lang w:val="en-GB" w:eastAsia="ja-JP"/>
              </w:rPr>
              <w:t xml:space="preserve">2 </w:t>
            </w:r>
            <w:r w:rsidR="002B210E">
              <w:rPr>
                <w:rFonts w:ascii="Book Antiqua" w:eastAsia="MS Mincho" w:hAnsi="Book Antiqua"/>
                <w:color w:val="auto"/>
                <w:lang w:val="en-GB" w:eastAsia="ja-JP"/>
              </w:rPr>
              <w:t>standard drink/d</w:t>
            </w:r>
          </w:p>
        </w:tc>
        <w:tc>
          <w:tcPr>
            <w:tcW w:w="2552" w:type="dxa"/>
          </w:tcPr>
          <w:p w:rsidR="007C2761" w:rsidRPr="000D67EF" w:rsidRDefault="002B210E" w:rsidP="001243A5">
            <w:pPr>
              <w:widowControl w:val="0"/>
              <w:suppressAutoHyphens w:val="0"/>
              <w:adjustRightInd w:val="0"/>
              <w:snapToGrid w:val="0"/>
              <w:spacing w:after="0" w:line="360" w:lineRule="auto"/>
              <w:jc w:val="center"/>
              <w:rPr>
                <w:rFonts w:ascii="Book Antiqua" w:hAnsi="Book Antiqua"/>
                <w:color w:val="auto"/>
              </w:rPr>
            </w:pPr>
            <w:r>
              <w:rPr>
                <w:rFonts w:ascii="Book Antiqua" w:eastAsia="MS Mincho" w:hAnsi="Book Antiqua"/>
                <w:color w:val="auto"/>
                <w:lang w:eastAsia="ja-JP"/>
              </w:rPr>
              <w:t>30 g/d</w:t>
            </w:r>
          </w:p>
        </w:tc>
        <w:tc>
          <w:tcPr>
            <w:tcW w:w="3544" w:type="dxa"/>
          </w:tcPr>
          <w:p w:rsidR="007C2761" w:rsidRPr="00C82350" w:rsidRDefault="002B210E" w:rsidP="002B210E">
            <w:pPr>
              <w:widowControl w:val="0"/>
              <w:suppressAutoHyphens w:val="0"/>
              <w:adjustRightInd w:val="0"/>
              <w:snapToGrid w:val="0"/>
              <w:spacing w:after="0" w:line="360" w:lineRule="auto"/>
              <w:jc w:val="center"/>
              <w:rPr>
                <w:rFonts w:ascii="Book Antiqua" w:eastAsia="MS Mincho" w:hAnsi="Book Antiqua"/>
                <w:color w:val="auto"/>
                <w:lang w:val="en-GB" w:eastAsia="ja-JP"/>
              </w:rPr>
            </w:pPr>
            <w:r>
              <w:rPr>
                <w:rFonts w:ascii="Book Antiqua" w:eastAsia="MS Mincho" w:hAnsi="Book Antiqua"/>
                <w:color w:val="auto"/>
                <w:lang w:val="en-GB" w:eastAsia="ja-JP"/>
              </w:rPr>
              <w:t>21 standard drink</w:t>
            </w:r>
            <w:r w:rsidRPr="000D67EF">
              <w:rPr>
                <w:rFonts w:ascii="Book Antiqua" w:hAnsi="Book Antiqua" w:hint="eastAsia"/>
                <w:color w:val="auto"/>
                <w:lang w:val="en-GB"/>
              </w:rPr>
              <w:t>/</w:t>
            </w:r>
            <w:r>
              <w:rPr>
                <w:rFonts w:ascii="Book Antiqua" w:eastAsia="MS Mincho" w:hAnsi="Book Antiqua"/>
                <w:color w:val="auto"/>
                <w:lang w:val="en-GB" w:eastAsia="ja-JP"/>
              </w:rPr>
              <w:t>w</w:t>
            </w:r>
            <w:r w:rsidR="007C2761" w:rsidRPr="00C82350">
              <w:rPr>
                <w:rFonts w:ascii="Book Antiqua" w:eastAsia="MS Mincho" w:hAnsi="Book Antiqua"/>
                <w:color w:val="auto"/>
                <w:lang w:val="en-GB" w:eastAsia="ja-JP"/>
              </w:rPr>
              <w:t>k</w:t>
            </w:r>
          </w:p>
        </w:tc>
      </w:tr>
      <w:tr w:rsidR="007C2761" w:rsidRPr="00C82350" w:rsidTr="002B210E">
        <w:trPr>
          <w:trHeight w:val="281"/>
        </w:trPr>
        <w:tc>
          <w:tcPr>
            <w:tcW w:w="3108" w:type="dxa"/>
            <w:vMerge/>
          </w:tcPr>
          <w:p w:rsidR="007C2761" w:rsidRPr="001243A5" w:rsidRDefault="007C2761" w:rsidP="001243A5">
            <w:pPr>
              <w:widowControl w:val="0"/>
              <w:suppressAutoHyphens w:val="0"/>
              <w:adjustRightInd w:val="0"/>
              <w:snapToGrid w:val="0"/>
              <w:spacing w:after="0" w:line="360" w:lineRule="auto"/>
              <w:rPr>
                <w:rFonts w:ascii="Book Antiqua" w:eastAsia="MS Mincho" w:hAnsi="Book Antiqua"/>
                <w:bCs/>
                <w:color w:val="auto"/>
                <w:lang w:eastAsia="ja-JP"/>
              </w:rPr>
            </w:pPr>
          </w:p>
        </w:tc>
        <w:tc>
          <w:tcPr>
            <w:tcW w:w="2421"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p>
        </w:tc>
        <w:tc>
          <w:tcPr>
            <w:tcW w:w="2127"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p>
        </w:tc>
        <w:tc>
          <w:tcPr>
            <w:tcW w:w="2409" w:type="dxa"/>
          </w:tcPr>
          <w:p w:rsidR="007C2761" w:rsidRPr="00C82350" w:rsidRDefault="002B210E" w:rsidP="001243A5">
            <w:pPr>
              <w:widowControl w:val="0"/>
              <w:suppressAutoHyphens w:val="0"/>
              <w:adjustRightInd w:val="0"/>
              <w:snapToGrid w:val="0"/>
              <w:spacing w:after="0" w:line="360" w:lineRule="auto"/>
              <w:jc w:val="center"/>
              <w:rPr>
                <w:rFonts w:ascii="Book Antiqua" w:eastAsia="MS Mincho" w:hAnsi="Book Antiqua"/>
                <w:color w:val="auto"/>
                <w:lang w:val="en-GB" w:eastAsia="ja-JP"/>
              </w:rPr>
            </w:pPr>
            <w:r>
              <w:rPr>
                <w:rFonts w:ascii="Book Antiqua" w:eastAsia="MS Mincho" w:hAnsi="Book Antiqua"/>
                <w:color w:val="auto"/>
                <w:lang w:val="en-GB" w:eastAsia="ja-JP"/>
              </w:rPr>
              <w:t>140 g/w</w:t>
            </w:r>
            <w:r w:rsidR="007C2761" w:rsidRPr="00C82350">
              <w:rPr>
                <w:rFonts w:ascii="Book Antiqua" w:eastAsia="MS Mincho" w:hAnsi="Book Antiqua"/>
                <w:color w:val="auto"/>
                <w:lang w:val="en-GB" w:eastAsia="ja-JP"/>
              </w:rPr>
              <w:t>k</w:t>
            </w:r>
          </w:p>
        </w:tc>
        <w:tc>
          <w:tcPr>
            <w:tcW w:w="2552"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p>
        </w:tc>
        <w:tc>
          <w:tcPr>
            <w:tcW w:w="3544" w:type="dxa"/>
          </w:tcPr>
          <w:p w:rsidR="007C2761" w:rsidRPr="00C82350" w:rsidRDefault="002B210E" w:rsidP="001243A5">
            <w:pPr>
              <w:widowControl w:val="0"/>
              <w:suppressAutoHyphens w:val="0"/>
              <w:adjustRightInd w:val="0"/>
              <w:snapToGrid w:val="0"/>
              <w:spacing w:after="0" w:line="360" w:lineRule="auto"/>
              <w:jc w:val="center"/>
              <w:rPr>
                <w:rFonts w:ascii="Book Antiqua" w:eastAsia="MS Mincho" w:hAnsi="Book Antiqua"/>
                <w:color w:val="auto"/>
                <w:lang w:val="en-GB" w:eastAsia="ja-JP"/>
              </w:rPr>
            </w:pPr>
            <w:r>
              <w:rPr>
                <w:rFonts w:ascii="Book Antiqua" w:eastAsia="MS Mincho" w:hAnsi="Book Antiqua"/>
                <w:color w:val="auto"/>
                <w:lang w:val="en-GB" w:eastAsia="ja-JP"/>
              </w:rPr>
              <w:t>294 g/w</w:t>
            </w:r>
            <w:r w:rsidR="007C2761" w:rsidRPr="00C82350">
              <w:rPr>
                <w:rFonts w:ascii="Book Antiqua" w:eastAsia="MS Mincho" w:hAnsi="Book Antiqua"/>
                <w:color w:val="auto"/>
                <w:lang w:val="en-GB" w:eastAsia="ja-JP"/>
              </w:rPr>
              <w:t>k</w:t>
            </w:r>
          </w:p>
        </w:tc>
      </w:tr>
      <w:tr w:rsidR="007C2761" w:rsidRPr="00C82350" w:rsidTr="002B210E">
        <w:trPr>
          <w:trHeight w:val="281"/>
        </w:trPr>
        <w:tc>
          <w:tcPr>
            <w:tcW w:w="3108" w:type="dxa"/>
            <w:vMerge w:val="restart"/>
          </w:tcPr>
          <w:p w:rsidR="007C2761" w:rsidRPr="001243A5" w:rsidRDefault="007C2761" w:rsidP="001243A5">
            <w:pPr>
              <w:widowControl w:val="0"/>
              <w:suppressAutoHyphens w:val="0"/>
              <w:adjustRightInd w:val="0"/>
              <w:snapToGrid w:val="0"/>
              <w:spacing w:after="0" w:line="360" w:lineRule="auto"/>
              <w:rPr>
                <w:rFonts w:ascii="Book Antiqua" w:eastAsia="MS Mincho" w:hAnsi="Book Antiqua"/>
                <w:bCs/>
                <w:color w:val="auto"/>
                <w:lang w:val="en-GB" w:eastAsia="ja-JP"/>
              </w:rPr>
            </w:pPr>
            <w:r w:rsidRPr="001243A5">
              <w:rPr>
                <w:rFonts w:ascii="Book Antiqua" w:eastAsia="MS Mincho" w:hAnsi="Book Antiqua"/>
                <w:bCs/>
                <w:color w:val="auto"/>
                <w:lang w:val="en-GB" w:eastAsia="ja-JP"/>
              </w:rPr>
              <w:t>Alcohol consumption threshold (women)</w:t>
            </w:r>
          </w:p>
        </w:tc>
        <w:tc>
          <w:tcPr>
            <w:tcW w:w="2421" w:type="dxa"/>
          </w:tcPr>
          <w:p w:rsidR="007C2761" w:rsidRPr="000D67EF" w:rsidRDefault="002B210E" w:rsidP="001243A5">
            <w:pPr>
              <w:widowControl w:val="0"/>
              <w:suppressAutoHyphens w:val="0"/>
              <w:adjustRightInd w:val="0"/>
              <w:snapToGrid w:val="0"/>
              <w:spacing w:after="0" w:line="360" w:lineRule="auto"/>
              <w:jc w:val="center"/>
              <w:rPr>
                <w:rFonts w:ascii="Book Antiqua" w:hAnsi="Book Antiqua"/>
                <w:color w:val="auto"/>
              </w:rPr>
            </w:pPr>
            <w:r>
              <w:rPr>
                <w:rFonts w:ascii="Book Antiqua" w:eastAsia="MS Mincho" w:hAnsi="Book Antiqua"/>
                <w:color w:val="auto"/>
                <w:lang w:eastAsia="ja-JP"/>
              </w:rPr>
              <w:t>20 g/d</w:t>
            </w:r>
          </w:p>
        </w:tc>
        <w:tc>
          <w:tcPr>
            <w:tcW w:w="2127" w:type="dxa"/>
          </w:tcPr>
          <w:p w:rsidR="007C2761" w:rsidRPr="000D67EF" w:rsidRDefault="002B210E" w:rsidP="001243A5">
            <w:pPr>
              <w:widowControl w:val="0"/>
              <w:suppressAutoHyphens w:val="0"/>
              <w:adjustRightInd w:val="0"/>
              <w:snapToGrid w:val="0"/>
              <w:spacing w:after="0" w:line="360" w:lineRule="auto"/>
              <w:jc w:val="center"/>
              <w:rPr>
                <w:rFonts w:ascii="Book Antiqua" w:hAnsi="Book Antiqua"/>
                <w:color w:val="auto"/>
              </w:rPr>
            </w:pPr>
            <w:r>
              <w:rPr>
                <w:rFonts w:ascii="Book Antiqua" w:eastAsia="MS Mincho" w:hAnsi="Book Antiqua"/>
                <w:color w:val="auto"/>
                <w:lang w:eastAsia="ja-JP"/>
              </w:rPr>
              <w:t>20 g/d</w:t>
            </w:r>
          </w:p>
        </w:tc>
        <w:tc>
          <w:tcPr>
            <w:tcW w:w="2409" w:type="dxa"/>
          </w:tcPr>
          <w:p w:rsidR="007C2761" w:rsidRPr="000D67EF" w:rsidRDefault="007C2761" w:rsidP="001243A5">
            <w:pPr>
              <w:widowControl w:val="0"/>
              <w:suppressAutoHyphens w:val="0"/>
              <w:adjustRightInd w:val="0"/>
              <w:snapToGrid w:val="0"/>
              <w:spacing w:after="0" w:line="360" w:lineRule="auto"/>
              <w:jc w:val="center"/>
              <w:rPr>
                <w:rFonts w:ascii="Book Antiqua" w:hAnsi="Book Antiqua"/>
                <w:color w:val="auto"/>
                <w:lang w:val="en-GB"/>
              </w:rPr>
            </w:pPr>
            <w:r w:rsidRPr="00C82350">
              <w:rPr>
                <w:rFonts w:ascii="Book Antiqua" w:eastAsia="MS Mincho" w:hAnsi="Book Antiqua"/>
                <w:color w:val="auto"/>
                <w:lang w:val="en-GB" w:eastAsia="ja-JP"/>
              </w:rPr>
              <w:t>1</w:t>
            </w:r>
            <w:r w:rsidR="002B210E" w:rsidRPr="000D67EF">
              <w:rPr>
                <w:rFonts w:ascii="Book Antiqua" w:hAnsi="Book Antiqua" w:hint="eastAsia"/>
                <w:color w:val="auto"/>
                <w:lang w:val="en-GB"/>
              </w:rPr>
              <w:t xml:space="preserve"> </w:t>
            </w:r>
            <w:r w:rsidR="002B210E">
              <w:rPr>
                <w:rFonts w:ascii="Book Antiqua" w:eastAsia="MS Mincho" w:hAnsi="Book Antiqua"/>
                <w:color w:val="auto"/>
                <w:lang w:val="en-GB" w:eastAsia="ja-JP"/>
              </w:rPr>
              <w:t>standard drink/d</w:t>
            </w:r>
          </w:p>
        </w:tc>
        <w:tc>
          <w:tcPr>
            <w:tcW w:w="2552" w:type="dxa"/>
          </w:tcPr>
          <w:p w:rsidR="007C2761" w:rsidRPr="000D67EF" w:rsidRDefault="002B210E" w:rsidP="001243A5">
            <w:pPr>
              <w:widowControl w:val="0"/>
              <w:suppressAutoHyphens w:val="0"/>
              <w:adjustRightInd w:val="0"/>
              <w:snapToGrid w:val="0"/>
              <w:spacing w:after="0" w:line="360" w:lineRule="auto"/>
              <w:jc w:val="center"/>
              <w:rPr>
                <w:rFonts w:ascii="Book Antiqua" w:hAnsi="Book Antiqua"/>
                <w:color w:val="auto"/>
              </w:rPr>
            </w:pPr>
            <w:r>
              <w:rPr>
                <w:rFonts w:ascii="Book Antiqua" w:eastAsia="MS Mincho" w:hAnsi="Book Antiqua"/>
                <w:color w:val="auto"/>
                <w:lang w:eastAsia="ja-JP"/>
              </w:rPr>
              <w:t>20 g/d</w:t>
            </w:r>
          </w:p>
        </w:tc>
        <w:tc>
          <w:tcPr>
            <w:tcW w:w="3544"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 xml:space="preserve">14 standard </w:t>
            </w:r>
            <w:r w:rsidR="002B210E">
              <w:rPr>
                <w:rFonts w:ascii="Book Antiqua" w:eastAsia="MS Mincho" w:hAnsi="Book Antiqua"/>
                <w:color w:val="auto"/>
                <w:lang w:val="en-GB" w:eastAsia="ja-JP"/>
              </w:rPr>
              <w:t>drink</w:t>
            </w:r>
            <w:r w:rsidR="002B210E" w:rsidRPr="002B210E">
              <w:rPr>
                <w:rFonts w:ascii="Book Antiqua" w:hAnsi="Book Antiqua" w:hint="eastAsia"/>
                <w:color w:val="auto"/>
                <w:lang w:val="en-GB"/>
              </w:rPr>
              <w:t>/</w:t>
            </w:r>
            <w:r w:rsidR="002B210E">
              <w:rPr>
                <w:rFonts w:ascii="Book Antiqua" w:eastAsia="MS Mincho" w:hAnsi="Book Antiqua"/>
                <w:color w:val="auto"/>
                <w:lang w:val="en-GB" w:eastAsia="ja-JP"/>
              </w:rPr>
              <w:t>w</w:t>
            </w:r>
            <w:r w:rsidR="002B210E" w:rsidRPr="00C82350">
              <w:rPr>
                <w:rFonts w:ascii="Book Antiqua" w:eastAsia="MS Mincho" w:hAnsi="Book Antiqua"/>
                <w:color w:val="auto"/>
                <w:lang w:val="en-GB" w:eastAsia="ja-JP"/>
              </w:rPr>
              <w:t>k</w:t>
            </w:r>
          </w:p>
        </w:tc>
      </w:tr>
      <w:tr w:rsidR="007C2761" w:rsidRPr="00C82350" w:rsidTr="002B210E">
        <w:trPr>
          <w:trHeight w:val="281"/>
        </w:trPr>
        <w:tc>
          <w:tcPr>
            <w:tcW w:w="3108" w:type="dxa"/>
            <w:vMerge/>
          </w:tcPr>
          <w:p w:rsidR="007C2761" w:rsidRPr="00C82350" w:rsidRDefault="007C2761" w:rsidP="00C82350">
            <w:pPr>
              <w:widowControl w:val="0"/>
              <w:suppressAutoHyphens w:val="0"/>
              <w:adjustRightInd w:val="0"/>
              <w:snapToGrid w:val="0"/>
              <w:spacing w:after="0" w:line="360" w:lineRule="auto"/>
              <w:jc w:val="both"/>
              <w:rPr>
                <w:rFonts w:ascii="Book Antiqua" w:eastAsia="MS Mincho" w:hAnsi="Book Antiqua"/>
                <w:b/>
                <w:bCs/>
                <w:color w:val="auto"/>
                <w:lang w:eastAsia="ja-JP"/>
              </w:rPr>
            </w:pPr>
          </w:p>
        </w:tc>
        <w:tc>
          <w:tcPr>
            <w:tcW w:w="2421"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p>
        </w:tc>
        <w:tc>
          <w:tcPr>
            <w:tcW w:w="2127"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p>
        </w:tc>
        <w:tc>
          <w:tcPr>
            <w:tcW w:w="2409" w:type="dxa"/>
          </w:tcPr>
          <w:p w:rsidR="007C2761" w:rsidRPr="00C82350" w:rsidRDefault="002B210E" w:rsidP="001243A5">
            <w:pPr>
              <w:widowControl w:val="0"/>
              <w:suppressAutoHyphens w:val="0"/>
              <w:adjustRightInd w:val="0"/>
              <w:snapToGrid w:val="0"/>
              <w:spacing w:after="0" w:line="360" w:lineRule="auto"/>
              <w:jc w:val="center"/>
              <w:rPr>
                <w:rFonts w:ascii="Book Antiqua" w:eastAsia="MS Mincho" w:hAnsi="Book Antiqua"/>
                <w:color w:val="auto"/>
                <w:lang w:val="en-GB" w:eastAsia="ja-JP"/>
              </w:rPr>
            </w:pPr>
            <w:r>
              <w:rPr>
                <w:rFonts w:ascii="Book Antiqua" w:eastAsia="MS Mincho" w:hAnsi="Book Antiqua"/>
                <w:color w:val="auto"/>
                <w:lang w:val="en-GB" w:eastAsia="ja-JP"/>
              </w:rPr>
              <w:t>70 g/w</w:t>
            </w:r>
            <w:r w:rsidR="007C2761" w:rsidRPr="00C82350">
              <w:rPr>
                <w:rFonts w:ascii="Book Antiqua" w:eastAsia="MS Mincho" w:hAnsi="Book Antiqua"/>
                <w:color w:val="auto"/>
                <w:lang w:val="en-GB" w:eastAsia="ja-JP"/>
              </w:rPr>
              <w:t>k</w:t>
            </w:r>
          </w:p>
        </w:tc>
        <w:tc>
          <w:tcPr>
            <w:tcW w:w="2552"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p>
        </w:tc>
        <w:tc>
          <w:tcPr>
            <w:tcW w:w="3544" w:type="dxa"/>
          </w:tcPr>
          <w:p w:rsidR="007C2761" w:rsidRPr="00C82350" w:rsidRDefault="007E3572" w:rsidP="001243A5">
            <w:pPr>
              <w:widowControl w:val="0"/>
              <w:suppressAutoHyphens w:val="0"/>
              <w:adjustRightInd w:val="0"/>
              <w:snapToGrid w:val="0"/>
              <w:spacing w:after="0" w:line="360" w:lineRule="auto"/>
              <w:jc w:val="center"/>
              <w:rPr>
                <w:rFonts w:ascii="Book Antiqua" w:eastAsia="MS Mincho" w:hAnsi="Book Antiqua"/>
                <w:color w:val="auto"/>
                <w:lang w:val="en-GB" w:eastAsia="ja-JP"/>
              </w:rPr>
            </w:pPr>
            <w:r>
              <w:rPr>
                <w:rFonts w:ascii="Book Antiqua" w:eastAsia="MS Mincho" w:hAnsi="Book Antiqua"/>
                <w:color w:val="auto"/>
                <w:lang w:val="en-GB" w:eastAsia="ja-JP"/>
              </w:rPr>
              <w:t>196 g/w</w:t>
            </w:r>
            <w:r w:rsidR="007C2761" w:rsidRPr="00C82350">
              <w:rPr>
                <w:rFonts w:ascii="Book Antiqua" w:eastAsia="MS Mincho" w:hAnsi="Book Antiqua"/>
                <w:color w:val="auto"/>
                <w:lang w:val="en-GB" w:eastAsia="ja-JP"/>
              </w:rPr>
              <w:t>k</w:t>
            </w:r>
          </w:p>
        </w:tc>
      </w:tr>
    </w:tbl>
    <w:p w:rsidR="007C2761" w:rsidRPr="002B210E" w:rsidRDefault="001243A5" w:rsidP="00C82350">
      <w:pPr>
        <w:widowControl w:val="0"/>
        <w:suppressAutoHyphens w:val="0"/>
        <w:adjustRightInd w:val="0"/>
        <w:snapToGrid w:val="0"/>
        <w:spacing w:after="0" w:line="360" w:lineRule="auto"/>
        <w:jc w:val="both"/>
        <w:rPr>
          <w:rFonts w:ascii="Book Antiqua" w:hAnsi="Book Antiqua"/>
          <w:color w:val="auto"/>
          <w:lang w:val="en-GB"/>
        </w:rPr>
      </w:pPr>
      <w:r w:rsidRPr="00C82350">
        <w:rPr>
          <w:rFonts w:ascii="Book Antiqua" w:eastAsia="MS Mincho" w:hAnsi="Book Antiqua"/>
          <w:color w:val="auto"/>
          <w:lang w:val="en-GB" w:eastAsia="ja-JP"/>
        </w:rPr>
        <w:t xml:space="preserve">EASL: European Association for the Study of the Liver; NICE: National Institute for Health and Care Excellence; AISF: Italian Association for the study of the Liver; AASLD: American Association for the Study of Liver Diseases; MRI: </w:t>
      </w:r>
      <w:r w:rsidRPr="00945AF8">
        <w:rPr>
          <w:rFonts w:ascii="Book Antiqua" w:eastAsia="MS Mincho" w:hAnsi="Book Antiqua"/>
          <w:caps/>
          <w:color w:val="auto"/>
          <w:lang w:val="en-GB" w:eastAsia="ja-JP"/>
        </w:rPr>
        <w:t>m</w:t>
      </w:r>
      <w:r w:rsidRPr="00C82350">
        <w:rPr>
          <w:rFonts w:ascii="Book Antiqua" w:eastAsia="MS Mincho" w:hAnsi="Book Antiqua"/>
          <w:color w:val="auto"/>
          <w:lang w:val="en-GB" w:eastAsia="ja-JP"/>
        </w:rPr>
        <w:t>agnetic resonance imaging</w:t>
      </w:r>
      <w:r>
        <w:rPr>
          <w:rFonts w:ascii="Book Antiqua" w:hAnsi="Book Antiqua" w:hint="eastAsia"/>
          <w:color w:val="auto"/>
          <w:lang w:val="en-GB"/>
        </w:rPr>
        <w:t>.</w:t>
      </w:r>
    </w:p>
    <w:p w:rsidR="007C2761" w:rsidRPr="00C82350" w:rsidRDefault="007C2761" w:rsidP="00C82350">
      <w:pPr>
        <w:adjustRightInd w:val="0"/>
        <w:snapToGrid w:val="0"/>
        <w:spacing w:after="0" w:line="360" w:lineRule="auto"/>
        <w:jc w:val="both"/>
        <w:rPr>
          <w:rFonts w:ascii="Book Antiqua" w:hAnsi="Book Antiqua"/>
          <w:lang w:val="en-GB"/>
        </w:rPr>
      </w:pPr>
      <w:r w:rsidRPr="00C82350">
        <w:rPr>
          <w:rFonts w:ascii="Book Antiqua" w:hAnsi="Book Antiqua"/>
          <w:lang w:val="en-GB"/>
        </w:rPr>
        <w:br w:type="page"/>
      </w:r>
      <w:r w:rsidR="001243A5" w:rsidRPr="00C82350">
        <w:rPr>
          <w:rFonts w:ascii="Book Antiqua" w:eastAsia="MS Mincho" w:hAnsi="Book Antiqua"/>
          <w:b/>
          <w:bCs/>
          <w:color w:val="auto"/>
          <w:lang w:val="en-GB" w:eastAsia="ja-JP"/>
        </w:rPr>
        <w:lastRenderedPageBreak/>
        <w:t>Table 2</w:t>
      </w:r>
      <w:r w:rsidR="001243A5" w:rsidRPr="000D67EF">
        <w:rPr>
          <w:rFonts w:ascii="Book Antiqua" w:hAnsi="Book Antiqua" w:hint="eastAsia"/>
          <w:b/>
          <w:bCs/>
          <w:color w:val="auto"/>
          <w:lang w:val="en-GB"/>
        </w:rPr>
        <w:t xml:space="preserve"> </w:t>
      </w:r>
      <w:r w:rsidR="001243A5" w:rsidRPr="00C82350">
        <w:rPr>
          <w:rFonts w:ascii="Book Antiqua" w:eastAsia="MS Mincho" w:hAnsi="Book Antiqua"/>
          <w:b/>
          <w:bCs/>
          <w:color w:val="auto"/>
          <w:lang w:val="en-GB" w:eastAsia="ja-JP"/>
        </w:rPr>
        <w:t>Comparative analysis of the recommendations regarding the screening for non-alcoholic fatty liver disease</w:t>
      </w:r>
    </w:p>
    <w:tbl>
      <w:tblPr>
        <w:tblW w:w="16019"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9"/>
        <w:gridCol w:w="1840"/>
        <w:gridCol w:w="3659"/>
        <w:gridCol w:w="3543"/>
        <w:gridCol w:w="1985"/>
        <w:gridCol w:w="1843"/>
      </w:tblGrid>
      <w:tr w:rsidR="007C2761" w:rsidRPr="00C82350" w:rsidTr="001243A5">
        <w:trPr>
          <w:trHeight w:val="270"/>
        </w:trPr>
        <w:tc>
          <w:tcPr>
            <w:tcW w:w="3149" w:type="dxa"/>
          </w:tcPr>
          <w:p w:rsidR="007C2761" w:rsidRPr="00C82350" w:rsidRDefault="007C2761" w:rsidP="001243A5">
            <w:pPr>
              <w:widowControl w:val="0"/>
              <w:suppressAutoHyphens w:val="0"/>
              <w:adjustRightInd w:val="0"/>
              <w:snapToGrid w:val="0"/>
              <w:spacing w:after="0" w:line="360" w:lineRule="auto"/>
              <w:rPr>
                <w:rFonts w:ascii="Book Antiqua" w:eastAsia="MS Mincho" w:hAnsi="Book Antiqua"/>
                <w:b/>
                <w:bCs/>
                <w:color w:val="auto"/>
                <w:lang w:val="en-GB" w:eastAsia="ja-JP"/>
              </w:rPr>
            </w:pPr>
            <w:r w:rsidRPr="00C82350">
              <w:rPr>
                <w:rFonts w:ascii="Book Antiqua" w:eastAsia="MS Mincho" w:hAnsi="Book Antiqua"/>
                <w:b/>
                <w:bCs/>
                <w:color w:val="auto"/>
                <w:lang w:val="en-GB" w:eastAsia="ja-JP"/>
              </w:rPr>
              <w:t> </w:t>
            </w:r>
          </w:p>
        </w:tc>
        <w:tc>
          <w:tcPr>
            <w:tcW w:w="1840" w:type="dxa"/>
          </w:tcPr>
          <w:p w:rsidR="007C2761" w:rsidRPr="001243A5" w:rsidRDefault="007C2761" w:rsidP="001243A5">
            <w:pPr>
              <w:widowControl w:val="0"/>
              <w:suppressAutoHyphens w:val="0"/>
              <w:adjustRightInd w:val="0"/>
              <w:snapToGrid w:val="0"/>
              <w:spacing w:after="0" w:line="360" w:lineRule="auto"/>
              <w:jc w:val="center"/>
              <w:rPr>
                <w:rFonts w:ascii="Book Antiqua" w:eastAsia="MS Mincho" w:hAnsi="Book Antiqua"/>
                <w:b/>
                <w:color w:val="auto"/>
                <w:lang w:eastAsia="ja-JP"/>
              </w:rPr>
            </w:pPr>
            <w:r w:rsidRPr="001243A5">
              <w:rPr>
                <w:rFonts w:ascii="Book Antiqua" w:eastAsia="MS Mincho" w:hAnsi="Book Antiqua"/>
                <w:b/>
                <w:color w:val="auto"/>
                <w:lang w:eastAsia="ja-JP"/>
              </w:rPr>
              <w:t>EASL</w:t>
            </w:r>
          </w:p>
        </w:tc>
        <w:tc>
          <w:tcPr>
            <w:tcW w:w="3659" w:type="dxa"/>
          </w:tcPr>
          <w:p w:rsidR="007C2761" w:rsidRPr="001243A5" w:rsidRDefault="007C2761" w:rsidP="001243A5">
            <w:pPr>
              <w:widowControl w:val="0"/>
              <w:suppressAutoHyphens w:val="0"/>
              <w:adjustRightInd w:val="0"/>
              <w:snapToGrid w:val="0"/>
              <w:spacing w:after="0" w:line="360" w:lineRule="auto"/>
              <w:jc w:val="center"/>
              <w:rPr>
                <w:rFonts w:ascii="Book Antiqua" w:eastAsia="MS Mincho" w:hAnsi="Book Antiqua"/>
                <w:b/>
                <w:color w:val="auto"/>
                <w:lang w:eastAsia="ja-JP"/>
              </w:rPr>
            </w:pPr>
            <w:r w:rsidRPr="001243A5">
              <w:rPr>
                <w:rFonts w:ascii="Book Antiqua" w:eastAsia="MS Mincho" w:hAnsi="Book Antiqua"/>
                <w:b/>
                <w:color w:val="auto"/>
                <w:lang w:eastAsia="ja-JP"/>
              </w:rPr>
              <w:t>NICE</w:t>
            </w:r>
          </w:p>
        </w:tc>
        <w:tc>
          <w:tcPr>
            <w:tcW w:w="3543" w:type="dxa"/>
          </w:tcPr>
          <w:p w:rsidR="007C2761" w:rsidRPr="001243A5" w:rsidRDefault="007C2761" w:rsidP="001243A5">
            <w:pPr>
              <w:widowControl w:val="0"/>
              <w:suppressAutoHyphens w:val="0"/>
              <w:adjustRightInd w:val="0"/>
              <w:snapToGrid w:val="0"/>
              <w:spacing w:after="0" w:line="360" w:lineRule="auto"/>
              <w:jc w:val="center"/>
              <w:rPr>
                <w:rFonts w:ascii="Book Antiqua" w:eastAsia="MS Mincho" w:hAnsi="Book Antiqua"/>
                <w:b/>
                <w:color w:val="auto"/>
                <w:lang w:eastAsia="ja-JP"/>
              </w:rPr>
            </w:pPr>
            <w:r w:rsidRPr="001243A5">
              <w:rPr>
                <w:rFonts w:ascii="Book Antiqua" w:eastAsia="MS Mincho" w:hAnsi="Book Antiqua"/>
                <w:b/>
                <w:color w:val="auto"/>
                <w:lang w:eastAsia="ja-JP"/>
              </w:rPr>
              <w:t>A</w:t>
            </w:r>
            <w:r w:rsidR="002B210E" w:rsidRPr="001243A5">
              <w:rPr>
                <w:rFonts w:ascii="Book Antiqua" w:eastAsia="MS Mincho" w:hAnsi="Book Antiqua"/>
                <w:b/>
                <w:color w:val="auto"/>
                <w:lang w:eastAsia="ja-JP"/>
              </w:rPr>
              <w:t>sia</w:t>
            </w:r>
            <w:r w:rsidRPr="001243A5">
              <w:rPr>
                <w:rFonts w:ascii="Book Antiqua" w:eastAsia="MS Mincho" w:hAnsi="Book Antiqua"/>
                <w:b/>
                <w:color w:val="auto"/>
                <w:lang w:eastAsia="ja-JP"/>
              </w:rPr>
              <w:t>-P</w:t>
            </w:r>
            <w:r w:rsidR="002B210E" w:rsidRPr="001243A5">
              <w:rPr>
                <w:rFonts w:ascii="Book Antiqua" w:eastAsia="MS Mincho" w:hAnsi="Book Antiqua"/>
                <w:b/>
                <w:color w:val="auto"/>
                <w:lang w:eastAsia="ja-JP"/>
              </w:rPr>
              <w:t>acific</w:t>
            </w:r>
          </w:p>
        </w:tc>
        <w:tc>
          <w:tcPr>
            <w:tcW w:w="1985" w:type="dxa"/>
          </w:tcPr>
          <w:p w:rsidR="007C2761" w:rsidRPr="001243A5" w:rsidRDefault="007C2761" w:rsidP="001243A5">
            <w:pPr>
              <w:widowControl w:val="0"/>
              <w:suppressAutoHyphens w:val="0"/>
              <w:adjustRightInd w:val="0"/>
              <w:snapToGrid w:val="0"/>
              <w:spacing w:after="0" w:line="360" w:lineRule="auto"/>
              <w:jc w:val="center"/>
              <w:rPr>
                <w:rFonts w:ascii="Book Antiqua" w:eastAsia="MS Mincho" w:hAnsi="Book Antiqua"/>
                <w:b/>
                <w:color w:val="auto"/>
                <w:lang w:eastAsia="ja-JP"/>
              </w:rPr>
            </w:pPr>
            <w:r w:rsidRPr="001243A5">
              <w:rPr>
                <w:rFonts w:ascii="Book Antiqua" w:eastAsia="MS Mincho" w:hAnsi="Book Antiqua"/>
                <w:b/>
                <w:color w:val="auto"/>
                <w:lang w:eastAsia="ja-JP"/>
              </w:rPr>
              <w:t>AISF</w:t>
            </w:r>
          </w:p>
        </w:tc>
        <w:tc>
          <w:tcPr>
            <w:tcW w:w="1843" w:type="dxa"/>
          </w:tcPr>
          <w:p w:rsidR="007C2761" w:rsidRPr="001243A5" w:rsidRDefault="007C2761" w:rsidP="001243A5">
            <w:pPr>
              <w:widowControl w:val="0"/>
              <w:suppressAutoHyphens w:val="0"/>
              <w:adjustRightInd w:val="0"/>
              <w:snapToGrid w:val="0"/>
              <w:spacing w:after="0" w:line="360" w:lineRule="auto"/>
              <w:jc w:val="center"/>
              <w:rPr>
                <w:rFonts w:ascii="Book Antiqua" w:eastAsia="MS Mincho" w:hAnsi="Book Antiqua"/>
                <w:b/>
                <w:color w:val="auto"/>
                <w:lang w:eastAsia="ja-JP"/>
              </w:rPr>
            </w:pPr>
            <w:r w:rsidRPr="001243A5">
              <w:rPr>
                <w:rFonts w:ascii="Book Antiqua" w:eastAsia="MS Mincho" w:hAnsi="Book Antiqua"/>
                <w:b/>
                <w:color w:val="auto"/>
                <w:lang w:eastAsia="ja-JP"/>
              </w:rPr>
              <w:t>AASLD</w:t>
            </w:r>
          </w:p>
        </w:tc>
      </w:tr>
      <w:tr w:rsidR="007C2761" w:rsidRPr="00C82350" w:rsidTr="001243A5">
        <w:trPr>
          <w:trHeight w:val="525"/>
        </w:trPr>
        <w:tc>
          <w:tcPr>
            <w:tcW w:w="3149" w:type="dxa"/>
          </w:tcPr>
          <w:p w:rsidR="007C2761" w:rsidRPr="002B210E" w:rsidRDefault="007C2761" w:rsidP="001243A5">
            <w:pPr>
              <w:widowControl w:val="0"/>
              <w:suppressAutoHyphens w:val="0"/>
              <w:adjustRightInd w:val="0"/>
              <w:snapToGrid w:val="0"/>
              <w:spacing w:after="0" w:line="360" w:lineRule="auto"/>
              <w:rPr>
                <w:rFonts w:ascii="Book Antiqua" w:eastAsia="MS Mincho" w:hAnsi="Book Antiqua"/>
                <w:bCs/>
                <w:color w:val="auto"/>
                <w:lang w:eastAsia="ja-JP"/>
              </w:rPr>
            </w:pPr>
            <w:r w:rsidRPr="002B210E">
              <w:rPr>
                <w:rFonts w:ascii="Book Antiqua" w:eastAsia="MS Mincho" w:hAnsi="Book Antiqua"/>
                <w:bCs/>
                <w:color w:val="auto"/>
                <w:lang w:eastAsia="ja-JP"/>
              </w:rPr>
              <w:t>S</w:t>
            </w:r>
            <w:r w:rsidR="001243A5" w:rsidRPr="002B210E">
              <w:rPr>
                <w:rFonts w:ascii="Book Antiqua" w:eastAsia="MS Mincho" w:hAnsi="Book Antiqua"/>
                <w:bCs/>
                <w:color w:val="auto"/>
                <w:lang w:eastAsia="ja-JP"/>
              </w:rPr>
              <w:t>ystematic screening</w:t>
            </w:r>
          </w:p>
        </w:tc>
        <w:tc>
          <w:tcPr>
            <w:tcW w:w="1840"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N</w:t>
            </w:r>
            <w:r w:rsidR="002B210E" w:rsidRPr="00C82350">
              <w:rPr>
                <w:rFonts w:ascii="Book Antiqua" w:eastAsia="MS Mincho" w:hAnsi="Book Antiqua"/>
                <w:color w:val="auto"/>
                <w:lang w:eastAsia="ja-JP"/>
              </w:rPr>
              <w:t>o</w:t>
            </w:r>
          </w:p>
        </w:tc>
        <w:tc>
          <w:tcPr>
            <w:tcW w:w="3659"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NO</w:t>
            </w:r>
          </w:p>
        </w:tc>
        <w:tc>
          <w:tcPr>
            <w:tcW w:w="3543"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NO</w:t>
            </w:r>
          </w:p>
        </w:tc>
        <w:tc>
          <w:tcPr>
            <w:tcW w:w="1985"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NO</w:t>
            </w:r>
          </w:p>
        </w:tc>
        <w:tc>
          <w:tcPr>
            <w:tcW w:w="1843"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NO</w:t>
            </w:r>
          </w:p>
        </w:tc>
      </w:tr>
      <w:tr w:rsidR="007C2761" w:rsidRPr="00C82350" w:rsidTr="001243A5">
        <w:trPr>
          <w:trHeight w:val="360"/>
        </w:trPr>
        <w:tc>
          <w:tcPr>
            <w:tcW w:w="3149" w:type="dxa"/>
            <w:vMerge w:val="restart"/>
          </w:tcPr>
          <w:p w:rsidR="007C2761" w:rsidRPr="002B210E" w:rsidRDefault="007C2761" w:rsidP="001243A5">
            <w:pPr>
              <w:widowControl w:val="0"/>
              <w:suppressAutoHyphens w:val="0"/>
              <w:adjustRightInd w:val="0"/>
              <w:snapToGrid w:val="0"/>
              <w:spacing w:after="0" w:line="360" w:lineRule="auto"/>
              <w:rPr>
                <w:rFonts w:ascii="Book Antiqua" w:eastAsia="MS Mincho" w:hAnsi="Book Antiqua"/>
                <w:bCs/>
                <w:color w:val="auto"/>
                <w:lang w:val="en-GB" w:eastAsia="ja-JP"/>
              </w:rPr>
            </w:pPr>
            <w:r w:rsidRPr="002B210E">
              <w:rPr>
                <w:rFonts w:ascii="Book Antiqua" w:eastAsia="MS Mincho" w:hAnsi="Book Antiqua"/>
                <w:bCs/>
                <w:color w:val="auto"/>
                <w:lang w:val="en-GB" w:eastAsia="ja-JP"/>
              </w:rPr>
              <w:t>S</w:t>
            </w:r>
            <w:r w:rsidR="001243A5" w:rsidRPr="002B210E">
              <w:rPr>
                <w:rFonts w:ascii="Book Antiqua" w:eastAsia="MS Mincho" w:hAnsi="Book Antiqua"/>
                <w:bCs/>
                <w:color w:val="auto"/>
                <w:lang w:val="en-GB" w:eastAsia="ja-JP"/>
              </w:rPr>
              <w:t>creening in high-risk groups</w:t>
            </w:r>
          </w:p>
        </w:tc>
        <w:tc>
          <w:tcPr>
            <w:tcW w:w="1840"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Y</w:t>
            </w:r>
            <w:r w:rsidR="002B210E" w:rsidRPr="00C82350">
              <w:rPr>
                <w:rFonts w:ascii="Book Antiqua" w:eastAsia="MS Mincho" w:hAnsi="Book Antiqua"/>
                <w:color w:val="auto"/>
                <w:lang w:eastAsia="ja-JP"/>
              </w:rPr>
              <w:t>es</w:t>
            </w:r>
          </w:p>
        </w:tc>
        <w:tc>
          <w:tcPr>
            <w:tcW w:w="3659"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YES</w:t>
            </w:r>
          </w:p>
        </w:tc>
        <w:tc>
          <w:tcPr>
            <w:tcW w:w="3543"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YES</w:t>
            </w:r>
          </w:p>
        </w:tc>
        <w:tc>
          <w:tcPr>
            <w:tcW w:w="1985"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Not mentioned</w:t>
            </w:r>
          </w:p>
        </w:tc>
        <w:tc>
          <w:tcPr>
            <w:tcW w:w="1843" w:type="dxa"/>
          </w:tcPr>
          <w:p w:rsidR="007C2761" w:rsidRPr="000D67EF" w:rsidRDefault="007C2761" w:rsidP="001243A5">
            <w:pPr>
              <w:widowControl w:val="0"/>
              <w:suppressAutoHyphens w:val="0"/>
              <w:adjustRightInd w:val="0"/>
              <w:snapToGrid w:val="0"/>
              <w:spacing w:after="0" w:line="360" w:lineRule="auto"/>
              <w:jc w:val="center"/>
              <w:rPr>
                <w:rFonts w:ascii="Book Antiqua" w:hAnsi="Book Antiqua"/>
                <w:color w:val="auto"/>
              </w:rPr>
            </w:pPr>
            <w:r w:rsidRPr="00C82350">
              <w:rPr>
                <w:rFonts w:ascii="Book Antiqua" w:eastAsia="MS Mincho" w:hAnsi="Book Antiqua"/>
                <w:color w:val="auto"/>
                <w:lang w:eastAsia="ja-JP"/>
              </w:rPr>
              <w:t>NO</w:t>
            </w:r>
            <w:r w:rsidR="001243A5" w:rsidRPr="000D67EF">
              <w:rPr>
                <w:rFonts w:ascii="Book Antiqua" w:hAnsi="Book Antiqua" w:hint="eastAsia"/>
                <w:color w:val="auto"/>
                <w:vertAlign w:val="superscript"/>
              </w:rPr>
              <w:t>1</w:t>
            </w:r>
          </w:p>
        </w:tc>
      </w:tr>
      <w:tr w:rsidR="007C2761" w:rsidRPr="00C82350" w:rsidTr="001243A5">
        <w:trPr>
          <w:trHeight w:val="360"/>
        </w:trPr>
        <w:tc>
          <w:tcPr>
            <w:tcW w:w="3149" w:type="dxa"/>
            <w:vMerge/>
          </w:tcPr>
          <w:p w:rsidR="007C2761" w:rsidRPr="002B210E" w:rsidRDefault="007C2761" w:rsidP="001243A5">
            <w:pPr>
              <w:widowControl w:val="0"/>
              <w:suppressAutoHyphens w:val="0"/>
              <w:adjustRightInd w:val="0"/>
              <w:snapToGrid w:val="0"/>
              <w:spacing w:after="0" w:line="360" w:lineRule="auto"/>
              <w:rPr>
                <w:rFonts w:ascii="Book Antiqua" w:eastAsia="MS Mincho" w:hAnsi="Book Antiqua"/>
                <w:bCs/>
                <w:color w:val="auto"/>
                <w:lang w:eastAsia="ja-JP"/>
              </w:rPr>
            </w:pPr>
          </w:p>
        </w:tc>
        <w:tc>
          <w:tcPr>
            <w:tcW w:w="1840"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Obesity</w:t>
            </w:r>
          </w:p>
        </w:tc>
        <w:tc>
          <w:tcPr>
            <w:tcW w:w="3659"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Obesity</w:t>
            </w:r>
          </w:p>
        </w:tc>
        <w:tc>
          <w:tcPr>
            <w:tcW w:w="3543"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Obesity</w:t>
            </w:r>
          </w:p>
        </w:tc>
        <w:tc>
          <w:tcPr>
            <w:tcW w:w="1985" w:type="dxa"/>
            <w:vMerge w:val="restart"/>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p>
        </w:tc>
        <w:tc>
          <w:tcPr>
            <w:tcW w:w="1843"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s="Arial"/>
                <w:color w:val="auto"/>
                <w:lang w:eastAsia="ja-JP"/>
              </w:rPr>
            </w:pPr>
          </w:p>
        </w:tc>
      </w:tr>
      <w:tr w:rsidR="007C2761" w:rsidRPr="00C82350" w:rsidTr="001243A5">
        <w:trPr>
          <w:trHeight w:val="360"/>
        </w:trPr>
        <w:tc>
          <w:tcPr>
            <w:tcW w:w="3149" w:type="dxa"/>
            <w:vMerge/>
          </w:tcPr>
          <w:p w:rsidR="007C2761" w:rsidRPr="002B210E" w:rsidRDefault="007C2761" w:rsidP="001243A5">
            <w:pPr>
              <w:widowControl w:val="0"/>
              <w:suppressAutoHyphens w:val="0"/>
              <w:adjustRightInd w:val="0"/>
              <w:snapToGrid w:val="0"/>
              <w:spacing w:after="0" w:line="360" w:lineRule="auto"/>
              <w:rPr>
                <w:rFonts w:ascii="Book Antiqua" w:eastAsia="MS Mincho" w:hAnsi="Book Antiqua"/>
                <w:bCs/>
                <w:color w:val="auto"/>
                <w:lang w:eastAsia="ja-JP"/>
              </w:rPr>
            </w:pPr>
          </w:p>
        </w:tc>
        <w:tc>
          <w:tcPr>
            <w:tcW w:w="1840"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Metabolic syndrome</w:t>
            </w:r>
          </w:p>
        </w:tc>
        <w:tc>
          <w:tcPr>
            <w:tcW w:w="3659"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Type II Diabetes</w:t>
            </w:r>
          </w:p>
        </w:tc>
        <w:tc>
          <w:tcPr>
            <w:tcW w:w="3543"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Type II Diabetes</w:t>
            </w:r>
          </w:p>
        </w:tc>
        <w:tc>
          <w:tcPr>
            <w:tcW w:w="1985" w:type="dxa"/>
            <w:vMerge/>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p>
        </w:tc>
        <w:tc>
          <w:tcPr>
            <w:tcW w:w="1843"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s="Arial"/>
                <w:color w:val="auto"/>
                <w:lang w:eastAsia="ja-JP"/>
              </w:rPr>
            </w:pPr>
          </w:p>
        </w:tc>
      </w:tr>
      <w:tr w:rsidR="007C2761" w:rsidRPr="00C82350" w:rsidTr="001243A5">
        <w:trPr>
          <w:trHeight w:val="360"/>
        </w:trPr>
        <w:tc>
          <w:tcPr>
            <w:tcW w:w="3149" w:type="dxa"/>
            <w:vMerge/>
          </w:tcPr>
          <w:p w:rsidR="007C2761" w:rsidRPr="002B210E" w:rsidRDefault="007C2761" w:rsidP="001243A5">
            <w:pPr>
              <w:widowControl w:val="0"/>
              <w:suppressAutoHyphens w:val="0"/>
              <w:adjustRightInd w:val="0"/>
              <w:snapToGrid w:val="0"/>
              <w:spacing w:after="0" w:line="360" w:lineRule="auto"/>
              <w:rPr>
                <w:rFonts w:ascii="Book Antiqua" w:eastAsia="MS Mincho" w:hAnsi="Book Antiqua"/>
                <w:bCs/>
                <w:color w:val="auto"/>
                <w:lang w:eastAsia="ja-JP"/>
              </w:rPr>
            </w:pPr>
          </w:p>
        </w:tc>
        <w:tc>
          <w:tcPr>
            <w:tcW w:w="1840"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Abnormal liver enzymes</w:t>
            </w:r>
          </w:p>
        </w:tc>
        <w:tc>
          <w:tcPr>
            <w:tcW w:w="3659"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p>
        </w:tc>
        <w:tc>
          <w:tcPr>
            <w:tcW w:w="3543"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p>
        </w:tc>
        <w:tc>
          <w:tcPr>
            <w:tcW w:w="1985" w:type="dxa"/>
            <w:vMerge/>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p>
        </w:tc>
        <w:tc>
          <w:tcPr>
            <w:tcW w:w="1843"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s="Arial"/>
                <w:color w:val="auto"/>
                <w:lang w:eastAsia="ja-JP"/>
              </w:rPr>
            </w:pPr>
          </w:p>
        </w:tc>
      </w:tr>
      <w:tr w:rsidR="007C2761" w:rsidRPr="00C82350" w:rsidTr="001243A5">
        <w:trPr>
          <w:trHeight w:val="360"/>
        </w:trPr>
        <w:tc>
          <w:tcPr>
            <w:tcW w:w="3149" w:type="dxa"/>
            <w:vMerge w:val="restart"/>
          </w:tcPr>
          <w:p w:rsidR="007C2761" w:rsidRPr="002B210E" w:rsidRDefault="007C2761" w:rsidP="001243A5">
            <w:pPr>
              <w:widowControl w:val="0"/>
              <w:suppressAutoHyphens w:val="0"/>
              <w:adjustRightInd w:val="0"/>
              <w:snapToGrid w:val="0"/>
              <w:spacing w:after="0" w:line="360" w:lineRule="auto"/>
              <w:rPr>
                <w:rFonts w:ascii="Book Antiqua" w:eastAsia="MS Mincho" w:hAnsi="Book Antiqua"/>
                <w:bCs/>
                <w:color w:val="auto"/>
                <w:lang w:eastAsia="ja-JP"/>
              </w:rPr>
            </w:pPr>
            <w:r w:rsidRPr="002B210E">
              <w:rPr>
                <w:rFonts w:ascii="Book Antiqua" w:eastAsia="MS Mincho" w:hAnsi="Book Antiqua"/>
                <w:bCs/>
                <w:color w:val="auto"/>
                <w:lang w:eastAsia="ja-JP"/>
              </w:rPr>
              <w:t>S</w:t>
            </w:r>
            <w:r w:rsidR="001243A5" w:rsidRPr="002B210E">
              <w:rPr>
                <w:rFonts w:ascii="Book Antiqua" w:eastAsia="MS Mincho" w:hAnsi="Book Antiqua"/>
                <w:bCs/>
                <w:color w:val="auto"/>
                <w:lang w:eastAsia="ja-JP"/>
              </w:rPr>
              <w:t>creening modality</w:t>
            </w:r>
          </w:p>
        </w:tc>
        <w:tc>
          <w:tcPr>
            <w:tcW w:w="1840"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Y</w:t>
            </w:r>
            <w:r w:rsidR="002B210E" w:rsidRPr="00C82350">
              <w:rPr>
                <w:rFonts w:ascii="Book Antiqua" w:eastAsia="MS Mincho" w:hAnsi="Book Antiqua"/>
                <w:color w:val="auto"/>
                <w:lang w:val="en-GB" w:eastAsia="ja-JP"/>
              </w:rPr>
              <w:t xml:space="preserve">es </w:t>
            </w:r>
            <w:r w:rsidRPr="00C82350">
              <w:rPr>
                <w:rFonts w:ascii="Book Antiqua" w:eastAsia="MS Mincho" w:hAnsi="Book Antiqua"/>
                <w:color w:val="auto"/>
                <w:lang w:val="en-GB" w:eastAsia="ja-JP"/>
              </w:rPr>
              <w:t>liver enzymes</w:t>
            </w:r>
          </w:p>
        </w:tc>
        <w:tc>
          <w:tcPr>
            <w:tcW w:w="3659"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N</w:t>
            </w:r>
            <w:r w:rsidR="002B210E" w:rsidRPr="00C82350">
              <w:rPr>
                <w:rFonts w:ascii="Book Antiqua" w:eastAsia="MS Mincho" w:hAnsi="Book Antiqua"/>
                <w:color w:val="auto"/>
                <w:lang w:eastAsia="ja-JP"/>
              </w:rPr>
              <w:t>o</w:t>
            </w:r>
            <w:r w:rsidRPr="00C82350">
              <w:rPr>
                <w:rFonts w:ascii="Book Antiqua" w:eastAsia="MS Mincho" w:hAnsi="Book Antiqua"/>
                <w:color w:val="auto"/>
                <w:lang w:eastAsia="ja-JP"/>
              </w:rPr>
              <w:t xml:space="preserve"> liver enzymes</w:t>
            </w:r>
          </w:p>
        </w:tc>
        <w:tc>
          <w:tcPr>
            <w:tcW w:w="3543"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N</w:t>
            </w:r>
            <w:r w:rsidR="002B210E" w:rsidRPr="00C82350">
              <w:rPr>
                <w:rFonts w:ascii="Book Antiqua" w:eastAsia="MS Mincho" w:hAnsi="Book Antiqua"/>
                <w:color w:val="auto"/>
                <w:lang w:eastAsia="ja-JP"/>
              </w:rPr>
              <w:t>o</w:t>
            </w:r>
            <w:r w:rsidRPr="00C82350">
              <w:rPr>
                <w:rFonts w:ascii="Book Antiqua" w:eastAsia="MS Mincho" w:hAnsi="Book Antiqua"/>
                <w:color w:val="auto"/>
                <w:lang w:eastAsia="ja-JP"/>
              </w:rPr>
              <w:t xml:space="preserve"> liver enzymes</w:t>
            </w:r>
          </w:p>
        </w:tc>
        <w:tc>
          <w:tcPr>
            <w:tcW w:w="1985"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p>
        </w:tc>
        <w:tc>
          <w:tcPr>
            <w:tcW w:w="1843"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p>
        </w:tc>
      </w:tr>
      <w:tr w:rsidR="007C2761" w:rsidRPr="00C82350" w:rsidTr="001243A5">
        <w:trPr>
          <w:trHeight w:val="360"/>
        </w:trPr>
        <w:tc>
          <w:tcPr>
            <w:tcW w:w="3149" w:type="dxa"/>
            <w:vMerge/>
          </w:tcPr>
          <w:p w:rsidR="007C2761" w:rsidRPr="00C82350" w:rsidRDefault="007C2761" w:rsidP="00C82350">
            <w:pPr>
              <w:widowControl w:val="0"/>
              <w:suppressAutoHyphens w:val="0"/>
              <w:adjustRightInd w:val="0"/>
              <w:snapToGrid w:val="0"/>
              <w:spacing w:after="0" w:line="360" w:lineRule="auto"/>
              <w:jc w:val="both"/>
              <w:rPr>
                <w:rFonts w:ascii="Book Antiqua" w:eastAsia="MS Mincho" w:hAnsi="Book Antiqua"/>
                <w:b/>
                <w:bCs/>
                <w:color w:val="auto"/>
                <w:lang w:eastAsia="ja-JP"/>
              </w:rPr>
            </w:pPr>
          </w:p>
        </w:tc>
        <w:tc>
          <w:tcPr>
            <w:tcW w:w="1840"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p>
        </w:tc>
        <w:tc>
          <w:tcPr>
            <w:tcW w:w="3659"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Y</w:t>
            </w:r>
            <w:r w:rsidR="002B210E" w:rsidRPr="00C82350">
              <w:rPr>
                <w:rFonts w:ascii="Book Antiqua" w:eastAsia="MS Mincho" w:hAnsi="Book Antiqua"/>
                <w:color w:val="auto"/>
                <w:lang w:eastAsia="ja-JP"/>
              </w:rPr>
              <w:t>es</w:t>
            </w:r>
            <w:r w:rsidRPr="00C82350">
              <w:rPr>
                <w:rFonts w:ascii="Book Antiqua" w:eastAsia="MS Mincho" w:hAnsi="Book Antiqua"/>
                <w:color w:val="auto"/>
                <w:lang w:eastAsia="ja-JP"/>
              </w:rPr>
              <w:t xml:space="preserve"> ultrasonography</w:t>
            </w:r>
          </w:p>
        </w:tc>
        <w:tc>
          <w:tcPr>
            <w:tcW w:w="3543"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Y</w:t>
            </w:r>
            <w:r w:rsidR="002B210E" w:rsidRPr="00C82350">
              <w:rPr>
                <w:rFonts w:ascii="Book Antiqua" w:eastAsia="MS Mincho" w:hAnsi="Book Antiqua"/>
                <w:color w:val="auto"/>
                <w:lang w:eastAsia="ja-JP"/>
              </w:rPr>
              <w:t xml:space="preserve">es </w:t>
            </w:r>
            <w:r w:rsidRPr="00C82350">
              <w:rPr>
                <w:rFonts w:ascii="Book Antiqua" w:eastAsia="MS Mincho" w:hAnsi="Book Antiqua"/>
                <w:color w:val="auto"/>
                <w:lang w:eastAsia="ja-JP"/>
              </w:rPr>
              <w:t>ultrasonography</w:t>
            </w:r>
          </w:p>
        </w:tc>
        <w:tc>
          <w:tcPr>
            <w:tcW w:w="1985" w:type="dxa"/>
            <w:vMerge w:val="restart"/>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p>
        </w:tc>
        <w:tc>
          <w:tcPr>
            <w:tcW w:w="1843"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s="Arial"/>
                <w:color w:val="auto"/>
                <w:lang w:eastAsia="ja-JP"/>
              </w:rPr>
            </w:pPr>
          </w:p>
        </w:tc>
      </w:tr>
      <w:tr w:rsidR="007C2761" w:rsidRPr="00C82350" w:rsidTr="001243A5">
        <w:trPr>
          <w:trHeight w:val="555"/>
        </w:trPr>
        <w:tc>
          <w:tcPr>
            <w:tcW w:w="3149" w:type="dxa"/>
            <w:vMerge/>
          </w:tcPr>
          <w:p w:rsidR="007C2761" w:rsidRPr="00C82350" w:rsidRDefault="007C2761" w:rsidP="00C82350">
            <w:pPr>
              <w:widowControl w:val="0"/>
              <w:suppressAutoHyphens w:val="0"/>
              <w:adjustRightInd w:val="0"/>
              <w:snapToGrid w:val="0"/>
              <w:spacing w:after="0" w:line="360" w:lineRule="auto"/>
              <w:jc w:val="both"/>
              <w:rPr>
                <w:rFonts w:ascii="Book Antiqua" w:eastAsia="MS Mincho" w:hAnsi="Book Antiqua"/>
                <w:b/>
                <w:bCs/>
                <w:color w:val="auto"/>
                <w:lang w:eastAsia="ja-JP"/>
              </w:rPr>
            </w:pPr>
          </w:p>
        </w:tc>
        <w:tc>
          <w:tcPr>
            <w:tcW w:w="1840"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p>
        </w:tc>
        <w:tc>
          <w:tcPr>
            <w:tcW w:w="3659"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p>
        </w:tc>
        <w:tc>
          <w:tcPr>
            <w:tcW w:w="3543"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Y</w:t>
            </w:r>
            <w:r w:rsidR="002B210E" w:rsidRPr="00C82350">
              <w:rPr>
                <w:rFonts w:ascii="Book Antiqua" w:eastAsia="MS Mincho" w:hAnsi="Book Antiqua"/>
                <w:color w:val="auto"/>
                <w:lang w:eastAsia="ja-JP"/>
              </w:rPr>
              <w:t>es</w:t>
            </w:r>
            <w:r w:rsidRPr="00C82350">
              <w:rPr>
                <w:rFonts w:ascii="Book Antiqua" w:eastAsia="MS Mincho" w:hAnsi="Book Antiqua"/>
                <w:color w:val="auto"/>
                <w:lang w:eastAsia="ja-JP"/>
              </w:rPr>
              <w:t xml:space="preserve"> transient elastography</w:t>
            </w:r>
          </w:p>
        </w:tc>
        <w:tc>
          <w:tcPr>
            <w:tcW w:w="1985" w:type="dxa"/>
            <w:vMerge/>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olor w:val="auto"/>
                <w:lang w:eastAsia="ja-JP"/>
              </w:rPr>
            </w:pPr>
          </w:p>
        </w:tc>
        <w:tc>
          <w:tcPr>
            <w:tcW w:w="1843" w:type="dxa"/>
          </w:tcPr>
          <w:p w:rsidR="007C2761" w:rsidRPr="00C82350" w:rsidRDefault="007C2761" w:rsidP="001243A5">
            <w:pPr>
              <w:widowControl w:val="0"/>
              <w:suppressAutoHyphens w:val="0"/>
              <w:adjustRightInd w:val="0"/>
              <w:snapToGrid w:val="0"/>
              <w:spacing w:after="0" w:line="360" w:lineRule="auto"/>
              <w:jc w:val="center"/>
              <w:rPr>
                <w:rFonts w:ascii="Book Antiqua" w:eastAsia="MS Mincho" w:hAnsi="Book Antiqua" w:cs="Arial"/>
                <w:color w:val="auto"/>
                <w:lang w:eastAsia="ja-JP"/>
              </w:rPr>
            </w:pPr>
          </w:p>
        </w:tc>
      </w:tr>
    </w:tbl>
    <w:p w:rsidR="007C2761" w:rsidRPr="000D67EF" w:rsidRDefault="001243A5" w:rsidP="00C82350">
      <w:pPr>
        <w:widowControl w:val="0"/>
        <w:suppressAutoHyphens w:val="0"/>
        <w:adjustRightInd w:val="0"/>
        <w:snapToGrid w:val="0"/>
        <w:spacing w:after="0" w:line="360" w:lineRule="auto"/>
        <w:jc w:val="both"/>
        <w:rPr>
          <w:rFonts w:ascii="Book Antiqua" w:hAnsi="Book Antiqua"/>
          <w:color w:val="auto"/>
          <w:lang w:val="en-GB"/>
        </w:rPr>
      </w:pPr>
      <w:r w:rsidRPr="000D67EF">
        <w:rPr>
          <w:rFonts w:ascii="Book Antiqua" w:hAnsi="Book Antiqua" w:hint="eastAsia"/>
          <w:color w:val="auto"/>
          <w:vertAlign w:val="superscript"/>
          <w:lang w:val="en-GB"/>
        </w:rPr>
        <w:t>1</w:t>
      </w:r>
      <w:r w:rsidRPr="00C82350">
        <w:rPr>
          <w:rFonts w:ascii="Book Antiqua" w:eastAsia="MS Mincho" w:hAnsi="Book Antiqua"/>
          <w:color w:val="auto"/>
          <w:lang w:val="en-GB" w:eastAsia="ja-JP"/>
        </w:rPr>
        <w:t>"Active surveillance" (but not screening) suggested for patients with type II diabetes mellitus</w:t>
      </w:r>
      <w:r w:rsidRPr="000D67EF">
        <w:rPr>
          <w:rFonts w:ascii="Book Antiqua" w:hAnsi="Book Antiqua" w:hint="eastAsia"/>
          <w:color w:val="auto"/>
          <w:lang w:val="en-GB"/>
        </w:rPr>
        <w:t>.</w:t>
      </w:r>
      <w:r w:rsidRPr="00C82350">
        <w:rPr>
          <w:rFonts w:ascii="Book Antiqua" w:eastAsia="MS Mincho" w:hAnsi="Book Antiqua"/>
          <w:color w:val="auto"/>
          <w:lang w:val="en-GB" w:eastAsia="ja-JP"/>
        </w:rPr>
        <w:t xml:space="preserve"> EASL: European Association for the Study of the Liver; NICE: National Institute for Health and Care Excellence; AISF: Italian Association for the study of the Liver; AASLD: American Association for the Study of Liver Diseases</w:t>
      </w:r>
      <w:r w:rsidR="002B210E" w:rsidRPr="000D67EF">
        <w:rPr>
          <w:rFonts w:ascii="Book Antiqua" w:hAnsi="Book Antiqua" w:hint="eastAsia"/>
          <w:color w:val="auto"/>
          <w:lang w:val="en-GB"/>
        </w:rPr>
        <w:t>.</w:t>
      </w:r>
    </w:p>
    <w:p w:rsidR="007C2761" w:rsidRPr="00C82350" w:rsidRDefault="007C2761" w:rsidP="00C82350">
      <w:pPr>
        <w:widowControl w:val="0"/>
        <w:suppressAutoHyphens w:val="0"/>
        <w:adjustRightInd w:val="0"/>
        <w:snapToGrid w:val="0"/>
        <w:spacing w:after="0" w:line="360" w:lineRule="auto"/>
        <w:jc w:val="both"/>
        <w:rPr>
          <w:rFonts w:ascii="Book Antiqua" w:hAnsi="Book Antiqua"/>
          <w:color w:val="auto"/>
          <w:lang w:val="en-GB"/>
        </w:rPr>
      </w:pPr>
    </w:p>
    <w:p w:rsidR="007C2761" w:rsidRPr="00C82350" w:rsidRDefault="007C2761" w:rsidP="00C82350">
      <w:pPr>
        <w:adjustRightInd w:val="0"/>
        <w:snapToGrid w:val="0"/>
        <w:spacing w:after="0" w:line="360" w:lineRule="auto"/>
        <w:jc w:val="both"/>
        <w:rPr>
          <w:rFonts w:ascii="Book Antiqua" w:hAnsi="Book Antiqua"/>
          <w:lang w:val="en-GB"/>
        </w:rPr>
      </w:pPr>
      <w:r w:rsidRPr="00C82350">
        <w:rPr>
          <w:rFonts w:ascii="Book Antiqua" w:hAnsi="Book Antiqua"/>
          <w:lang w:val="en-GB"/>
        </w:rPr>
        <w:br w:type="page"/>
      </w:r>
      <w:r w:rsidR="002B210E" w:rsidRPr="00C82350">
        <w:rPr>
          <w:rFonts w:ascii="Book Antiqua" w:hAnsi="Book Antiqua" w:cs="Calibri"/>
          <w:b/>
          <w:bCs/>
          <w:color w:val="000000"/>
          <w:lang w:val="en-US" w:eastAsia="it-IT"/>
        </w:rPr>
        <w:lastRenderedPageBreak/>
        <w:t>Table 3</w:t>
      </w:r>
      <w:r w:rsidR="002B210E">
        <w:rPr>
          <w:rFonts w:ascii="Book Antiqua" w:hAnsi="Book Antiqua" w:cs="Calibri" w:hint="eastAsia"/>
          <w:b/>
          <w:bCs/>
          <w:color w:val="000000"/>
          <w:lang w:val="en-US"/>
        </w:rPr>
        <w:t xml:space="preserve"> </w:t>
      </w:r>
      <w:r w:rsidR="002B210E" w:rsidRPr="00C82350">
        <w:rPr>
          <w:rFonts w:ascii="Book Antiqua" w:hAnsi="Book Antiqua" w:cs="Calibri"/>
          <w:b/>
          <w:bCs/>
          <w:color w:val="000000"/>
          <w:lang w:val="en-US" w:eastAsia="it-IT"/>
        </w:rPr>
        <w:t>Comparison of recommendations about non-invasive evaluation of fibrosis and follow up strategies</w:t>
      </w:r>
    </w:p>
    <w:tbl>
      <w:tblPr>
        <w:tblW w:w="16443" w:type="dxa"/>
        <w:tblInd w:w="-1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701"/>
        <w:gridCol w:w="4111"/>
        <w:gridCol w:w="2126"/>
        <w:gridCol w:w="2268"/>
        <w:gridCol w:w="3544"/>
        <w:gridCol w:w="2693"/>
      </w:tblGrid>
      <w:tr w:rsidR="007C2761" w:rsidRPr="00C82350" w:rsidTr="002B210E">
        <w:trPr>
          <w:trHeight w:val="300"/>
        </w:trPr>
        <w:tc>
          <w:tcPr>
            <w:tcW w:w="1701" w:type="dxa"/>
            <w:vAlign w:val="center"/>
          </w:tcPr>
          <w:p w:rsidR="007C2761" w:rsidRPr="00C82350" w:rsidRDefault="007C2761" w:rsidP="00C82350">
            <w:pPr>
              <w:suppressAutoHyphens w:val="0"/>
              <w:adjustRightInd w:val="0"/>
              <w:snapToGrid w:val="0"/>
              <w:spacing w:after="0" w:line="360" w:lineRule="auto"/>
              <w:jc w:val="both"/>
              <w:rPr>
                <w:rFonts w:ascii="Book Antiqua" w:hAnsi="Book Antiqua" w:cs="Calibri"/>
                <w:color w:val="000000"/>
                <w:lang w:val="en-US" w:eastAsia="it-IT"/>
              </w:rPr>
            </w:pPr>
          </w:p>
        </w:tc>
        <w:tc>
          <w:tcPr>
            <w:tcW w:w="4111" w:type="dxa"/>
            <w:vAlign w:val="center"/>
          </w:tcPr>
          <w:p w:rsidR="007C2761" w:rsidRPr="002B210E" w:rsidRDefault="007C2761" w:rsidP="002B210E">
            <w:pPr>
              <w:suppressAutoHyphens w:val="0"/>
              <w:adjustRightInd w:val="0"/>
              <w:snapToGrid w:val="0"/>
              <w:spacing w:after="0" w:line="360" w:lineRule="auto"/>
              <w:jc w:val="center"/>
              <w:rPr>
                <w:rFonts w:ascii="Book Antiqua" w:hAnsi="Book Antiqua" w:cs="Calibri"/>
                <w:b/>
                <w:color w:val="000000"/>
                <w:lang w:eastAsia="it-IT"/>
              </w:rPr>
            </w:pPr>
            <w:r w:rsidRPr="002B210E">
              <w:rPr>
                <w:rFonts w:ascii="Book Antiqua" w:hAnsi="Book Antiqua" w:cs="Calibri"/>
                <w:b/>
                <w:color w:val="000000"/>
                <w:lang w:eastAsia="it-IT"/>
              </w:rPr>
              <w:t>EASL</w:t>
            </w:r>
          </w:p>
        </w:tc>
        <w:tc>
          <w:tcPr>
            <w:tcW w:w="2126" w:type="dxa"/>
            <w:vAlign w:val="center"/>
          </w:tcPr>
          <w:p w:rsidR="007C2761" w:rsidRPr="002B210E" w:rsidRDefault="007C2761" w:rsidP="002B210E">
            <w:pPr>
              <w:suppressAutoHyphens w:val="0"/>
              <w:adjustRightInd w:val="0"/>
              <w:snapToGrid w:val="0"/>
              <w:spacing w:after="0" w:line="360" w:lineRule="auto"/>
              <w:jc w:val="center"/>
              <w:rPr>
                <w:rFonts w:ascii="Book Antiqua" w:hAnsi="Book Antiqua" w:cs="Calibri"/>
                <w:b/>
                <w:color w:val="000000"/>
                <w:lang w:eastAsia="it-IT"/>
              </w:rPr>
            </w:pPr>
            <w:r w:rsidRPr="002B210E">
              <w:rPr>
                <w:rFonts w:ascii="Book Antiqua" w:hAnsi="Book Antiqua" w:cs="Calibri"/>
                <w:b/>
                <w:color w:val="000000"/>
                <w:lang w:eastAsia="it-IT"/>
              </w:rPr>
              <w:t>NICE</w:t>
            </w:r>
          </w:p>
        </w:tc>
        <w:tc>
          <w:tcPr>
            <w:tcW w:w="2268" w:type="dxa"/>
            <w:vAlign w:val="center"/>
          </w:tcPr>
          <w:p w:rsidR="007C2761" w:rsidRPr="002B210E" w:rsidRDefault="007C2761" w:rsidP="002B210E">
            <w:pPr>
              <w:suppressAutoHyphens w:val="0"/>
              <w:adjustRightInd w:val="0"/>
              <w:snapToGrid w:val="0"/>
              <w:spacing w:after="0" w:line="360" w:lineRule="auto"/>
              <w:jc w:val="center"/>
              <w:rPr>
                <w:rFonts w:ascii="Book Antiqua" w:hAnsi="Book Antiqua" w:cs="Calibri"/>
                <w:b/>
                <w:color w:val="000000"/>
                <w:lang w:eastAsia="it-IT"/>
              </w:rPr>
            </w:pPr>
            <w:r w:rsidRPr="002B210E">
              <w:rPr>
                <w:rFonts w:ascii="Book Antiqua" w:hAnsi="Book Antiqua" w:cs="Calibri"/>
                <w:b/>
                <w:color w:val="000000"/>
                <w:lang w:eastAsia="it-IT"/>
              </w:rPr>
              <w:t>Asia-Pacific</w:t>
            </w:r>
          </w:p>
        </w:tc>
        <w:tc>
          <w:tcPr>
            <w:tcW w:w="3544" w:type="dxa"/>
            <w:vAlign w:val="center"/>
          </w:tcPr>
          <w:p w:rsidR="007C2761" w:rsidRPr="002B210E" w:rsidRDefault="007C2761" w:rsidP="002B210E">
            <w:pPr>
              <w:suppressAutoHyphens w:val="0"/>
              <w:adjustRightInd w:val="0"/>
              <w:snapToGrid w:val="0"/>
              <w:spacing w:after="0" w:line="360" w:lineRule="auto"/>
              <w:jc w:val="center"/>
              <w:rPr>
                <w:rFonts w:ascii="Book Antiqua" w:hAnsi="Book Antiqua" w:cs="Calibri"/>
                <w:b/>
                <w:color w:val="000000"/>
                <w:lang w:eastAsia="it-IT"/>
              </w:rPr>
            </w:pPr>
            <w:r w:rsidRPr="002B210E">
              <w:rPr>
                <w:rFonts w:ascii="Book Antiqua" w:hAnsi="Book Antiqua" w:cs="Calibri"/>
                <w:b/>
                <w:color w:val="000000"/>
                <w:lang w:eastAsia="it-IT"/>
              </w:rPr>
              <w:t>AISF</w:t>
            </w:r>
          </w:p>
        </w:tc>
        <w:tc>
          <w:tcPr>
            <w:tcW w:w="2693" w:type="dxa"/>
            <w:vAlign w:val="center"/>
          </w:tcPr>
          <w:p w:rsidR="007C2761" w:rsidRPr="002B210E" w:rsidRDefault="007C2761" w:rsidP="002B210E">
            <w:pPr>
              <w:suppressAutoHyphens w:val="0"/>
              <w:adjustRightInd w:val="0"/>
              <w:snapToGrid w:val="0"/>
              <w:spacing w:after="0" w:line="360" w:lineRule="auto"/>
              <w:jc w:val="center"/>
              <w:rPr>
                <w:rFonts w:ascii="Book Antiqua" w:hAnsi="Book Antiqua" w:cs="Calibri"/>
                <w:b/>
                <w:color w:val="000000"/>
                <w:lang w:eastAsia="it-IT"/>
              </w:rPr>
            </w:pPr>
            <w:r w:rsidRPr="002B210E">
              <w:rPr>
                <w:rFonts w:ascii="Book Antiqua" w:hAnsi="Book Antiqua" w:cs="Calibri"/>
                <w:b/>
                <w:color w:val="000000"/>
                <w:lang w:eastAsia="it-IT"/>
              </w:rPr>
              <w:t>AASLD</w:t>
            </w:r>
          </w:p>
        </w:tc>
      </w:tr>
      <w:tr w:rsidR="007C2761" w:rsidRPr="00C82350" w:rsidTr="002B210E">
        <w:trPr>
          <w:trHeight w:val="1590"/>
        </w:trPr>
        <w:tc>
          <w:tcPr>
            <w:tcW w:w="1701" w:type="dxa"/>
            <w:vAlign w:val="center"/>
          </w:tcPr>
          <w:p w:rsidR="007C2761" w:rsidRPr="00C82350" w:rsidRDefault="002B210E" w:rsidP="002B210E">
            <w:pPr>
              <w:suppressAutoHyphens w:val="0"/>
              <w:adjustRightInd w:val="0"/>
              <w:snapToGrid w:val="0"/>
              <w:spacing w:after="0" w:line="360" w:lineRule="auto"/>
              <w:rPr>
                <w:rFonts w:ascii="Book Antiqua" w:hAnsi="Book Antiqua" w:cs="Calibri"/>
                <w:color w:val="000000"/>
                <w:lang w:eastAsia="it-IT"/>
              </w:rPr>
            </w:pPr>
            <w:r w:rsidRPr="00C82350">
              <w:rPr>
                <w:rFonts w:ascii="Book Antiqua" w:hAnsi="Book Antiqua" w:cs="Calibri"/>
                <w:color w:val="000000"/>
                <w:lang w:eastAsia="it-IT"/>
              </w:rPr>
              <w:t>N</w:t>
            </w:r>
            <w:r w:rsidR="007C2761" w:rsidRPr="00C82350">
              <w:rPr>
                <w:rFonts w:ascii="Book Antiqua" w:hAnsi="Book Antiqua" w:cs="Calibri"/>
                <w:color w:val="000000"/>
                <w:lang w:eastAsia="it-IT"/>
              </w:rPr>
              <w:t>on-invasive</w:t>
            </w:r>
          </w:p>
        </w:tc>
        <w:tc>
          <w:tcPr>
            <w:tcW w:w="4111" w:type="dxa"/>
            <w:vAlign w:val="center"/>
          </w:tcPr>
          <w:p w:rsidR="007C2761" w:rsidRPr="00C82350" w:rsidRDefault="007C2761" w:rsidP="002B210E">
            <w:pPr>
              <w:suppressAutoHyphens w:val="0"/>
              <w:adjustRightInd w:val="0"/>
              <w:snapToGrid w:val="0"/>
              <w:spacing w:after="0" w:line="360" w:lineRule="auto"/>
              <w:jc w:val="center"/>
              <w:rPr>
                <w:rFonts w:ascii="Book Antiqua" w:hAnsi="Book Antiqua" w:cs="Calibri"/>
                <w:color w:val="000000"/>
                <w:lang w:val="en-US"/>
              </w:rPr>
            </w:pPr>
            <w:r w:rsidRPr="00C82350">
              <w:rPr>
                <w:rFonts w:ascii="Book Antiqua" w:hAnsi="Book Antiqua" w:cs="Calibri"/>
                <w:color w:val="000000"/>
                <w:lang w:val="en-US" w:eastAsia="it-IT"/>
              </w:rPr>
              <w:t>NFS and FIB-4 upon diagnosis. If inconclusive,</w:t>
            </w:r>
            <w:r w:rsidR="002B210E">
              <w:rPr>
                <w:rFonts w:ascii="Book Antiqua" w:hAnsi="Book Antiqua" w:cs="Calibri"/>
                <w:color w:val="000000"/>
                <w:lang w:val="en-US" w:eastAsia="it-IT"/>
              </w:rPr>
              <w:t xml:space="preserve"> perform transient elastography</w:t>
            </w:r>
          </w:p>
        </w:tc>
        <w:tc>
          <w:tcPr>
            <w:tcW w:w="2126" w:type="dxa"/>
            <w:vAlign w:val="center"/>
          </w:tcPr>
          <w:p w:rsidR="007C2761" w:rsidRPr="00C82350" w:rsidRDefault="007C2761" w:rsidP="002B210E">
            <w:pPr>
              <w:suppressAutoHyphens w:val="0"/>
              <w:adjustRightInd w:val="0"/>
              <w:snapToGrid w:val="0"/>
              <w:spacing w:after="0" w:line="360" w:lineRule="auto"/>
              <w:jc w:val="center"/>
              <w:rPr>
                <w:rFonts w:ascii="Book Antiqua" w:hAnsi="Book Antiqua" w:cs="Calibri"/>
                <w:color w:val="000000"/>
                <w:lang w:eastAsia="it-IT"/>
              </w:rPr>
            </w:pPr>
            <w:r w:rsidRPr="00C82350">
              <w:rPr>
                <w:rFonts w:ascii="Book Antiqua" w:hAnsi="Book Antiqua" w:cs="Calibri"/>
                <w:color w:val="000000"/>
                <w:lang w:eastAsia="it-IT"/>
              </w:rPr>
              <w:t>ELF blood test</w:t>
            </w:r>
          </w:p>
        </w:tc>
        <w:tc>
          <w:tcPr>
            <w:tcW w:w="2268" w:type="dxa"/>
            <w:vAlign w:val="center"/>
          </w:tcPr>
          <w:p w:rsidR="007C2761" w:rsidRPr="00C82350" w:rsidRDefault="007C2761" w:rsidP="002B210E">
            <w:pPr>
              <w:suppressAutoHyphens w:val="0"/>
              <w:adjustRightInd w:val="0"/>
              <w:snapToGrid w:val="0"/>
              <w:spacing w:after="0" w:line="360" w:lineRule="auto"/>
              <w:jc w:val="center"/>
              <w:rPr>
                <w:rFonts w:ascii="Book Antiqua" w:hAnsi="Book Antiqua" w:cs="Calibri"/>
                <w:color w:val="000000"/>
                <w:lang w:val="en-US" w:eastAsia="it-IT"/>
              </w:rPr>
            </w:pPr>
            <w:r w:rsidRPr="00C82350">
              <w:rPr>
                <w:rFonts w:ascii="Book Antiqua" w:hAnsi="Book Antiqua" w:cs="Calibri"/>
                <w:color w:val="000000"/>
                <w:lang w:val="en-US" w:eastAsia="it-IT"/>
              </w:rPr>
              <w:t>Combination of serum tests and imaging tools (no specification about the prefer</w:t>
            </w:r>
            <w:r w:rsidR="002B210E">
              <w:rPr>
                <w:rFonts w:ascii="Book Antiqua" w:hAnsi="Book Antiqua" w:cs="Calibri" w:hint="eastAsia"/>
                <w:color w:val="000000"/>
                <w:lang w:val="en-US"/>
              </w:rPr>
              <w:t>r</w:t>
            </w:r>
            <w:r w:rsidRPr="00C82350">
              <w:rPr>
                <w:rFonts w:ascii="Book Antiqua" w:hAnsi="Book Antiqua" w:cs="Calibri"/>
                <w:color w:val="000000"/>
                <w:lang w:val="en-US" w:eastAsia="it-IT"/>
              </w:rPr>
              <w:t>ed tests)</w:t>
            </w:r>
          </w:p>
        </w:tc>
        <w:tc>
          <w:tcPr>
            <w:tcW w:w="3544" w:type="dxa"/>
            <w:vAlign w:val="center"/>
          </w:tcPr>
          <w:p w:rsidR="007C2761" w:rsidRPr="00C82350" w:rsidRDefault="007C2761" w:rsidP="002B210E">
            <w:pPr>
              <w:suppressAutoHyphens w:val="0"/>
              <w:adjustRightInd w:val="0"/>
              <w:snapToGrid w:val="0"/>
              <w:spacing w:after="0" w:line="360" w:lineRule="auto"/>
              <w:jc w:val="center"/>
              <w:rPr>
                <w:rFonts w:ascii="Book Antiqua" w:hAnsi="Book Antiqua" w:cs="Calibri"/>
                <w:color w:val="000000"/>
                <w:lang w:val="en-US"/>
              </w:rPr>
            </w:pPr>
            <w:r w:rsidRPr="00C82350">
              <w:rPr>
                <w:rFonts w:ascii="Book Antiqua" w:hAnsi="Book Antiqua" w:cs="Calibri"/>
                <w:color w:val="000000"/>
                <w:lang w:val="en-US" w:eastAsia="it-IT"/>
              </w:rPr>
              <w:t>NFS + FIB-4 upon diagnosis. If inconclusive,</w:t>
            </w:r>
            <w:r w:rsidR="002B210E">
              <w:rPr>
                <w:rFonts w:ascii="Book Antiqua" w:hAnsi="Book Antiqua" w:cs="Calibri"/>
                <w:color w:val="000000"/>
                <w:lang w:val="en-US" w:eastAsia="it-IT"/>
              </w:rPr>
              <w:t xml:space="preserve"> perform transient elastography</w:t>
            </w:r>
          </w:p>
        </w:tc>
        <w:tc>
          <w:tcPr>
            <w:tcW w:w="2693" w:type="dxa"/>
            <w:vAlign w:val="center"/>
          </w:tcPr>
          <w:p w:rsidR="007C2761" w:rsidRPr="00C82350" w:rsidRDefault="007C2761" w:rsidP="002B210E">
            <w:pPr>
              <w:suppressAutoHyphens w:val="0"/>
              <w:adjustRightInd w:val="0"/>
              <w:snapToGrid w:val="0"/>
              <w:spacing w:after="0" w:line="360" w:lineRule="auto"/>
              <w:jc w:val="center"/>
              <w:rPr>
                <w:rFonts w:ascii="Book Antiqua" w:hAnsi="Book Antiqua" w:cs="Calibri"/>
                <w:color w:val="000000"/>
                <w:lang w:val="en-US" w:eastAsia="it-IT"/>
              </w:rPr>
            </w:pPr>
            <w:r w:rsidRPr="00C82350">
              <w:rPr>
                <w:rFonts w:ascii="Book Antiqua" w:hAnsi="Book Antiqua" w:cs="Calibri"/>
                <w:color w:val="000000"/>
                <w:lang w:val="en-US" w:eastAsia="it-IT"/>
              </w:rPr>
              <w:t>NFS, FIB-4 and transient elastography (or</w:t>
            </w:r>
            <w:r w:rsidR="00FC698D">
              <w:rPr>
                <w:rFonts w:ascii="Book Antiqua" w:hAnsi="Book Antiqua" w:cs="Calibri"/>
                <w:color w:val="000000"/>
                <w:lang w:val="en-US" w:eastAsia="it-IT"/>
              </w:rPr>
              <w:t xml:space="preserve"> </w:t>
            </w:r>
            <w:r w:rsidRPr="00C82350">
              <w:rPr>
                <w:rFonts w:ascii="Book Antiqua" w:hAnsi="Book Antiqua" w:cs="Calibri"/>
                <w:color w:val="000000"/>
                <w:lang w:val="en-US" w:eastAsia="it-IT"/>
              </w:rPr>
              <w:t>MRE) upon diagnosis</w:t>
            </w:r>
          </w:p>
        </w:tc>
      </w:tr>
      <w:tr w:rsidR="007C2761" w:rsidRPr="00C82350" w:rsidTr="002B210E">
        <w:trPr>
          <w:trHeight w:val="2385"/>
        </w:trPr>
        <w:tc>
          <w:tcPr>
            <w:tcW w:w="1701" w:type="dxa"/>
            <w:vAlign w:val="center"/>
          </w:tcPr>
          <w:p w:rsidR="007C2761" w:rsidRPr="00C82350" w:rsidRDefault="002B210E" w:rsidP="002B210E">
            <w:pPr>
              <w:suppressAutoHyphens w:val="0"/>
              <w:adjustRightInd w:val="0"/>
              <w:snapToGrid w:val="0"/>
              <w:spacing w:after="0" w:line="360" w:lineRule="auto"/>
              <w:rPr>
                <w:rFonts w:ascii="Book Antiqua" w:hAnsi="Book Antiqua" w:cs="Calibri"/>
                <w:color w:val="000000"/>
                <w:lang w:eastAsia="it-IT"/>
              </w:rPr>
            </w:pPr>
            <w:r w:rsidRPr="00C82350">
              <w:rPr>
                <w:rFonts w:ascii="Book Antiqua" w:hAnsi="Book Antiqua" w:cs="Calibri"/>
                <w:color w:val="000000"/>
                <w:lang w:eastAsia="it-IT"/>
              </w:rPr>
              <w:t>F</w:t>
            </w:r>
            <w:r w:rsidR="007C2761" w:rsidRPr="00C82350">
              <w:rPr>
                <w:rFonts w:ascii="Book Antiqua" w:hAnsi="Book Antiqua" w:cs="Calibri"/>
                <w:color w:val="000000"/>
                <w:lang w:eastAsia="it-IT"/>
              </w:rPr>
              <w:t>ollow up</w:t>
            </w:r>
          </w:p>
        </w:tc>
        <w:tc>
          <w:tcPr>
            <w:tcW w:w="4111" w:type="dxa"/>
            <w:vAlign w:val="center"/>
          </w:tcPr>
          <w:p w:rsidR="007C2761" w:rsidRPr="00C82350" w:rsidRDefault="007C2761" w:rsidP="002B210E">
            <w:pPr>
              <w:suppressAutoHyphens w:val="0"/>
              <w:adjustRightInd w:val="0"/>
              <w:snapToGrid w:val="0"/>
              <w:spacing w:after="0" w:line="360" w:lineRule="auto"/>
              <w:jc w:val="center"/>
              <w:rPr>
                <w:rFonts w:ascii="Book Antiqua" w:hAnsi="Book Antiqua" w:cs="Calibri"/>
                <w:color w:val="000000"/>
                <w:lang w:val="en-US" w:eastAsia="it-IT"/>
              </w:rPr>
            </w:pPr>
            <w:r w:rsidRPr="00C82350">
              <w:rPr>
                <w:rFonts w:ascii="Book Antiqua" w:hAnsi="Book Antiqua" w:cs="Calibri"/>
                <w:color w:val="000000"/>
                <w:lang w:val="en-US" w:eastAsia="it-IT"/>
              </w:rPr>
              <w:t>Negative markers</w:t>
            </w:r>
            <w:r w:rsidR="002B210E">
              <w:rPr>
                <w:rFonts w:ascii="Book Antiqua" w:hAnsi="Book Antiqua" w:cs="Calibri" w:hint="eastAsia"/>
                <w:color w:val="000000"/>
                <w:lang w:val="en-US"/>
              </w:rPr>
              <w:t xml:space="preserve"> </w:t>
            </w:r>
            <w:r w:rsidR="002B210E">
              <w:rPr>
                <w:rFonts w:ascii="Book Antiqua" w:hAnsi="Book Antiqua" w:cs="Calibri"/>
                <w:color w:val="000000"/>
                <w:lang w:val="en-US" w:eastAsia="it-IT"/>
              </w:rPr>
              <w:t>&gt; reassess every 2 yr</w:t>
            </w:r>
            <w:r w:rsidRPr="00C82350">
              <w:rPr>
                <w:rFonts w:ascii="Book Antiqua" w:hAnsi="Book Antiqua" w:cs="Calibri"/>
                <w:color w:val="000000"/>
                <w:lang w:val="en-US" w:eastAsia="it-IT"/>
              </w:rPr>
              <w:t>; Fibrosis or abnormal liver enzymes</w:t>
            </w:r>
            <w:r w:rsidR="002B210E">
              <w:rPr>
                <w:rFonts w:ascii="Book Antiqua" w:hAnsi="Book Antiqua" w:cs="Calibri" w:hint="eastAsia"/>
                <w:color w:val="000000"/>
                <w:lang w:val="en-US"/>
              </w:rPr>
              <w:t xml:space="preserve"> </w:t>
            </w:r>
            <w:r w:rsidRPr="00C82350">
              <w:rPr>
                <w:rFonts w:ascii="Book Antiqua" w:hAnsi="Book Antiqua" w:cs="Calibri"/>
                <w:color w:val="000000"/>
                <w:lang w:val="en-US" w:eastAsia="it-IT"/>
              </w:rPr>
              <w:t>&gt; reasses</w:t>
            </w:r>
            <w:r w:rsidR="002B210E">
              <w:rPr>
                <w:rFonts w:ascii="Book Antiqua" w:hAnsi="Book Antiqua" w:cs="Calibri" w:hint="eastAsia"/>
                <w:color w:val="000000"/>
                <w:lang w:val="en-US"/>
              </w:rPr>
              <w:t>s</w:t>
            </w:r>
            <w:r w:rsidRPr="00C82350">
              <w:rPr>
                <w:rFonts w:ascii="Book Antiqua" w:hAnsi="Book Antiqua" w:cs="Calibri"/>
                <w:color w:val="000000"/>
                <w:lang w:val="en-US" w:eastAsia="it-IT"/>
              </w:rPr>
              <w:t xml:space="preserve"> eve</w:t>
            </w:r>
            <w:r w:rsidR="002B210E">
              <w:rPr>
                <w:rFonts w:ascii="Book Antiqua" w:hAnsi="Book Antiqua" w:cs="Calibri" w:hint="eastAsia"/>
                <w:color w:val="000000"/>
                <w:lang w:val="en-US"/>
              </w:rPr>
              <w:t>r</w:t>
            </w:r>
            <w:r w:rsidRPr="00C82350">
              <w:rPr>
                <w:rFonts w:ascii="Book Antiqua" w:hAnsi="Book Antiqua" w:cs="Calibri"/>
                <w:color w:val="000000"/>
                <w:lang w:val="en-US" w:eastAsia="it-IT"/>
              </w:rPr>
              <w:t>y year; Cirrhosis-&gt; surveillance every 6 mo</w:t>
            </w:r>
          </w:p>
        </w:tc>
        <w:tc>
          <w:tcPr>
            <w:tcW w:w="2126" w:type="dxa"/>
            <w:vAlign w:val="center"/>
          </w:tcPr>
          <w:p w:rsidR="007C2761" w:rsidRPr="00C82350" w:rsidRDefault="007C2761" w:rsidP="002B210E">
            <w:pPr>
              <w:suppressAutoHyphens w:val="0"/>
              <w:adjustRightInd w:val="0"/>
              <w:snapToGrid w:val="0"/>
              <w:spacing w:after="0" w:line="360" w:lineRule="auto"/>
              <w:jc w:val="center"/>
              <w:rPr>
                <w:rFonts w:ascii="Book Antiqua" w:hAnsi="Book Antiqua" w:cs="Calibri"/>
                <w:color w:val="000000"/>
                <w:lang w:val="en-US" w:eastAsia="it-IT"/>
              </w:rPr>
            </w:pPr>
            <w:r w:rsidRPr="00C82350">
              <w:rPr>
                <w:rFonts w:ascii="Book Antiqua" w:hAnsi="Book Antiqua" w:cs="Calibri"/>
                <w:color w:val="000000"/>
                <w:lang w:val="en-US" w:eastAsia="it-IT"/>
              </w:rPr>
              <w:t xml:space="preserve">Negative ELF test, </w:t>
            </w:r>
            <w:r w:rsidR="002B210E">
              <w:rPr>
                <w:rFonts w:ascii="Book Antiqua" w:hAnsi="Book Antiqua" w:cs="Calibri"/>
                <w:color w:val="000000"/>
                <w:lang w:val="en-US" w:eastAsia="it-IT"/>
              </w:rPr>
              <w:t>&gt; reassess every 3 yr</w:t>
            </w:r>
            <w:r w:rsidRPr="00C82350">
              <w:rPr>
                <w:rFonts w:ascii="Book Antiqua" w:hAnsi="Book Antiqua" w:cs="Calibri"/>
                <w:color w:val="000000"/>
                <w:lang w:val="en-US" w:eastAsia="it-IT"/>
              </w:rPr>
              <w:t>; Positive ELF test</w:t>
            </w:r>
            <w:r w:rsidR="002B210E">
              <w:rPr>
                <w:rFonts w:ascii="Book Antiqua" w:hAnsi="Book Antiqua" w:cs="Calibri" w:hint="eastAsia"/>
                <w:color w:val="000000"/>
                <w:lang w:val="en-US"/>
              </w:rPr>
              <w:t xml:space="preserve"> </w:t>
            </w:r>
            <w:r w:rsidRPr="00C82350">
              <w:rPr>
                <w:rFonts w:ascii="Book Antiqua" w:hAnsi="Book Antiqua" w:cs="Calibri"/>
                <w:color w:val="000000"/>
                <w:lang w:val="en-US" w:eastAsia="it-IT"/>
              </w:rPr>
              <w:t>&gt; liver biopsy</w:t>
            </w:r>
          </w:p>
        </w:tc>
        <w:tc>
          <w:tcPr>
            <w:tcW w:w="2268" w:type="dxa"/>
            <w:vAlign w:val="center"/>
          </w:tcPr>
          <w:p w:rsidR="007C2761" w:rsidRPr="00C82350" w:rsidRDefault="007C2761" w:rsidP="002B210E">
            <w:pPr>
              <w:suppressAutoHyphens w:val="0"/>
              <w:adjustRightInd w:val="0"/>
              <w:snapToGrid w:val="0"/>
              <w:spacing w:after="0" w:line="360" w:lineRule="auto"/>
              <w:jc w:val="center"/>
              <w:rPr>
                <w:rFonts w:ascii="Book Antiqua" w:hAnsi="Book Antiqua" w:cs="Calibri"/>
                <w:color w:val="000000"/>
                <w:lang w:eastAsia="it-IT"/>
              </w:rPr>
            </w:pPr>
            <w:r w:rsidRPr="00C82350">
              <w:rPr>
                <w:rFonts w:ascii="Book Antiqua" w:hAnsi="Book Antiqua" w:cs="Calibri"/>
                <w:color w:val="000000"/>
                <w:lang w:eastAsia="it-IT"/>
              </w:rPr>
              <w:t>No information provided</w:t>
            </w:r>
          </w:p>
        </w:tc>
        <w:tc>
          <w:tcPr>
            <w:tcW w:w="3544" w:type="dxa"/>
            <w:vAlign w:val="center"/>
          </w:tcPr>
          <w:p w:rsidR="007C2761" w:rsidRPr="00C82350" w:rsidRDefault="007C2761" w:rsidP="002B210E">
            <w:pPr>
              <w:suppressAutoHyphens w:val="0"/>
              <w:adjustRightInd w:val="0"/>
              <w:snapToGrid w:val="0"/>
              <w:spacing w:after="0" w:line="360" w:lineRule="auto"/>
              <w:jc w:val="center"/>
              <w:rPr>
                <w:rFonts w:ascii="Book Antiqua" w:hAnsi="Book Antiqua" w:cs="Calibri"/>
                <w:color w:val="000000"/>
                <w:lang w:val="en-US" w:eastAsia="it-IT"/>
              </w:rPr>
            </w:pPr>
            <w:r w:rsidRPr="00C82350">
              <w:rPr>
                <w:rFonts w:ascii="Book Antiqua" w:hAnsi="Book Antiqua" w:cs="Calibri"/>
                <w:color w:val="000000"/>
                <w:lang w:val="en-US" w:eastAsia="it-IT"/>
              </w:rPr>
              <w:t>Negative markers &gt; rea</w:t>
            </w:r>
            <w:r w:rsidR="002B210E">
              <w:rPr>
                <w:rFonts w:ascii="Book Antiqua" w:hAnsi="Book Antiqua" w:cs="Calibri"/>
                <w:color w:val="000000"/>
                <w:lang w:val="en-US" w:eastAsia="it-IT"/>
              </w:rPr>
              <w:t>ssess every 2 yr</w:t>
            </w:r>
            <w:r w:rsidRPr="00C82350">
              <w:rPr>
                <w:rFonts w:ascii="Book Antiqua" w:hAnsi="Book Antiqua" w:cs="Calibri"/>
                <w:color w:val="000000"/>
                <w:lang w:val="en-US" w:eastAsia="it-IT"/>
              </w:rPr>
              <w:t>; Fib</w:t>
            </w:r>
            <w:r w:rsidR="002B210E">
              <w:rPr>
                <w:rFonts w:ascii="Book Antiqua" w:hAnsi="Book Antiqua" w:cs="Calibri"/>
                <w:color w:val="000000"/>
                <w:lang w:val="en-US" w:eastAsia="it-IT"/>
              </w:rPr>
              <w:t>rosis or abnormal liver enzymes</w:t>
            </w:r>
            <w:r w:rsidR="002B210E">
              <w:rPr>
                <w:rFonts w:ascii="Book Antiqua" w:hAnsi="Book Antiqua" w:cs="Calibri" w:hint="eastAsia"/>
                <w:color w:val="000000"/>
                <w:lang w:val="en-US"/>
              </w:rPr>
              <w:t xml:space="preserve"> </w:t>
            </w:r>
            <w:r w:rsidRPr="00C82350">
              <w:rPr>
                <w:rFonts w:ascii="Book Antiqua" w:hAnsi="Book Antiqua" w:cs="Calibri"/>
                <w:color w:val="000000"/>
                <w:lang w:val="en-US" w:eastAsia="it-IT"/>
              </w:rPr>
              <w:t>&gt; reasses</w:t>
            </w:r>
            <w:r w:rsidR="002B210E">
              <w:rPr>
                <w:rFonts w:ascii="Book Antiqua" w:hAnsi="Book Antiqua" w:cs="Calibri" w:hint="eastAsia"/>
                <w:color w:val="000000"/>
                <w:lang w:val="en-US"/>
              </w:rPr>
              <w:t>s</w:t>
            </w:r>
            <w:r w:rsidRPr="00C82350">
              <w:rPr>
                <w:rFonts w:ascii="Book Antiqua" w:hAnsi="Book Antiqua" w:cs="Calibri"/>
                <w:color w:val="000000"/>
                <w:lang w:val="en-US" w:eastAsia="it-IT"/>
              </w:rPr>
              <w:t xml:space="preserve"> eve</w:t>
            </w:r>
            <w:r w:rsidR="002B210E">
              <w:rPr>
                <w:rFonts w:ascii="Book Antiqua" w:hAnsi="Book Antiqua" w:cs="Calibri" w:hint="eastAsia"/>
                <w:color w:val="000000"/>
                <w:lang w:val="en-US"/>
              </w:rPr>
              <w:t>r</w:t>
            </w:r>
            <w:r w:rsidR="002B210E">
              <w:rPr>
                <w:rFonts w:ascii="Book Antiqua" w:hAnsi="Book Antiqua" w:cs="Calibri"/>
                <w:color w:val="000000"/>
                <w:lang w:val="en-US" w:eastAsia="it-IT"/>
              </w:rPr>
              <w:t>y year; Cirrhosis</w:t>
            </w:r>
            <w:r w:rsidR="002B210E">
              <w:rPr>
                <w:rFonts w:ascii="Book Antiqua" w:hAnsi="Book Antiqua" w:cs="Calibri" w:hint="eastAsia"/>
                <w:color w:val="000000"/>
                <w:lang w:val="en-US"/>
              </w:rPr>
              <w:t xml:space="preserve"> </w:t>
            </w:r>
            <w:r w:rsidRPr="00C82350">
              <w:rPr>
                <w:rFonts w:ascii="Book Antiqua" w:hAnsi="Book Antiqua" w:cs="Calibri"/>
                <w:color w:val="000000"/>
                <w:lang w:val="en-US" w:eastAsia="it-IT"/>
              </w:rPr>
              <w:t>&gt; surveillance every 6 mo</w:t>
            </w:r>
          </w:p>
        </w:tc>
        <w:tc>
          <w:tcPr>
            <w:tcW w:w="2693" w:type="dxa"/>
            <w:vAlign w:val="center"/>
          </w:tcPr>
          <w:p w:rsidR="007C2761" w:rsidRPr="00C82350" w:rsidRDefault="007C2761" w:rsidP="002B210E">
            <w:pPr>
              <w:suppressAutoHyphens w:val="0"/>
              <w:adjustRightInd w:val="0"/>
              <w:snapToGrid w:val="0"/>
              <w:spacing w:after="0" w:line="360" w:lineRule="auto"/>
              <w:jc w:val="center"/>
              <w:rPr>
                <w:rFonts w:ascii="Book Antiqua" w:hAnsi="Book Antiqua" w:cs="Calibri"/>
                <w:color w:val="000000"/>
                <w:lang w:eastAsia="it-IT"/>
              </w:rPr>
            </w:pPr>
            <w:r w:rsidRPr="00C82350">
              <w:rPr>
                <w:rFonts w:ascii="Book Antiqua" w:hAnsi="Book Antiqua" w:cs="Calibri"/>
                <w:color w:val="000000"/>
                <w:lang w:eastAsia="it-IT"/>
              </w:rPr>
              <w:t>No information provided</w:t>
            </w:r>
          </w:p>
        </w:tc>
      </w:tr>
    </w:tbl>
    <w:p w:rsidR="00C6140D" w:rsidRDefault="002B210E" w:rsidP="00C82350">
      <w:pPr>
        <w:adjustRightInd w:val="0"/>
        <w:snapToGrid w:val="0"/>
        <w:spacing w:after="0" w:line="360" w:lineRule="auto"/>
        <w:jc w:val="both"/>
        <w:rPr>
          <w:rFonts w:ascii="Book Antiqua" w:hAnsi="Book Antiqua" w:cs="Calibri"/>
          <w:color w:val="000000"/>
          <w:lang w:val="en-GB"/>
        </w:rPr>
      </w:pPr>
      <w:r w:rsidRPr="00C82350">
        <w:rPr>
          <w:rFonts w:ascii="Book Antiqua" w:hAnsi="Book Antiqua" w:cs="Calibri"/>
          <w:color w:val="000000"/>
          <w:lang w:val="en-GB" w:eastAsia="it-IT"/>
        </w:rPr>
        <w:t xml:space="preserve">EASL: European Association for the Study of the Liver; NICE: National Institute for Health and Care Excellence; AISF: Italian Association for the study of the Liver; AASLD: American Association for the Study of Liver Diseases; NFS: NAFLD fibrosis score; FIB-4: fibrosis-4; ELF: Enhanced Liver Fibrosis; MRE: </w:t>
      </w:r>
      <w:r w:rsidRPr="00C6140D">
        <w:rPr>
          <w:rFonts w:ascii="Book Antiqua" w:hAnsi="Book Antiqua" w:cs="Calibri"/>
          <w:caps/>
          <w:color w:val="000000"/>
          <w:lang w:val="en-GB" w:eastAsia="it-IT"/>
        </w:rPr>
        <w:t>m</w:t>
      </w:r>
      <w:r w:rsidRPr="00C82350">
        <w:rPr>
          <w:rFonts w:ascii="Book Antiqua" w:hAnsi="Book Antiqua" w:cs="Calibri"/>
          <w:color w:val="000000"/>
          <w:lang w:val="en-GB" w:eastAsia="it-IT"/>
        </w:rPr>
        <w:t>agnetic resonance elastography</w:t>
      </w:r>
      <w:r>
        <w:rPr>
          <w:rFonts w:ascii="Book Antiqua" w:hAnsi="Book Antiqua" w:cs="Calibri" w:hint="eastAsia"/>
          <w:color w:val="000000"/>
          <w:lang w:val="en-GB"/>
        </w:rPr>
        <w:t>.</w:t>
      </w:r>
    </w:p>
    <w:p w:rsidR="007C2761" w:rsidRPr="00C82350" w:rsidRDefault="007C2761" w:rsidP="00C82350">
      <w:pPr>
        <w:adjustRightInd w:val="0"/>
        <w:snapToGrid w:val="0"/>
        <w:spacing w:after="0" w:line="360" w:lineRule="auto"/>
        <w:jc w:val="both"/>
        <w:rPr>
          <w:rFonts w:ascii="Book Antiqua" w:hAnsi="Book Antiqua"/>
          <w:lang w:val="en-GB"/>
        </w:rPr>
      </w:pPr>
      <w:r w:rsidRPr="00C82350">
        <w:rPr>
          <w:rFonts w:ascii="Book Antiqua" w:hAnsi="Book Antiqua"/>
          <w:lang w:val="en-GB"/>
        </w:rPr>
        <w:br w:type="page"/>
      </w:r>
      <w:r w:rsidR="002B210E" w:rsidRPr="00C82350">
        <w:rPr>
          <w:rFonts w:ascii="Book Antiqua" w:eastAsia="MS Mincho" w:hAnsi="Book Antiqua"/>
          <w:b/>
          <w:bCs/>
          <w:color w:val="auto"/>
          <w:lang w:val="en-GB" w:eastAsia="ja-JP"/>
        </w:rPr>
        <w:lastRenderedPageBreak/>
        <w:t>Table 4</w:t>
      </w:r>
      <w:r w:rsidR="002B210E" w:rsidRPr="000D67EF">
        <w:rPr>
          <w:rFonts w:ascii="Book Antiqua" w:hAnsi="Book Antiqua" w:hint="eastAsia"/>
          <w:b/>
          <w:bCs/>
          <w:color w:val="auto"/>
          <w:lang w:val="en-GB"/>
        </w:rPr>
        <w:t xml:space="preserve"> </w:t>
      </w:r>
      <w:r w:rsidR="002B210E" w:rsidRPr="00C82350">
        <w:rPr>
          <w:rFonts w:ascii="Book Antiqua" w:eastAsia="MS Mincho" w:hAnsi="Book Antiqua"/>
          <w:b/>
          <w:bCs/>
          <w:color w:val="auto"/>
          <w:lang w:val="en-GB" w:eastAsia="ja-JP"/>
        </w:rPr>
        <w:t>Guidance statements about lifestyle interventions</w:t>
      </w:r>
    </w:p>
    <w:tbl>
      <w:tblPr>
        <w:tblW w:w="16443" w:type="dxa"/>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2760"/>
        <w:gridCol w:w="3619"/>
        <w:gridCol w:w="1701"/>
        <w:gridCol w:w="3543"/>
        <w:gridCol w:w="2268"/>
      </w:tblGrid>
      <w:tr w:rsidR="007C2761" w:rsidRPr="00C82350" w:rsidTr="00FC698D">
        <w:trPr>
          <w:trHeight w:val="420"/>
        </w:trPr>
        <w:tc>
          <w:tcPr>
            <w:tcW w:w="2552" w:type="dxa"/>
          </w:tcPr>
          <w:p w:rsidR="007C2761" w:rsidRPr="00C82350" w:rsidRDefault="007C2761" w:rsidP="00C82350">
            <w:pPr>
              <w:widowControl w:val="0"/>
              <w:suppressAutoHyphens w:val="0"/>
              <w:adjustRightInd w:val="0"/>
              <w:snapToGrid w:val="0"/>
              <w:spacing w:after="0" w:line="360" w:lineRule="auto"/>
              <w:jc w:val="both"/>
              <w:rPr>
                <w:rFonts w:ascii="Book Antiqua" w:eastAsia="MS Mincho" w:hAnsi="Book Antiqua"/>
                <w:b/>
                <w:bCs/>
                <w:color w:val="auto"/>
                <w:lang w:val="en-GB" w:eastAsia="ja-JP"/>
              </w:rPr>
            </w:pPr>
            <w:r w:rsidRPr="00C82350">
              <w:rPr>
                <w:rFonts w:ascii="Book Antiqua" w:eastAsia="MS Mincho" w:hAnsi="Book Antiqua"/>
                <w:b/>
                <w:bCs/>
                <w:color w:val="auto"/>
                <w:lang w:val="en-GB" w:eastAsia="ja-JP"/>
              </w:rPr>
              <w:t> </w:t>
            </w:r>
          </w:p>
        </w:tc>
        <w:tc>
          <w:tcPr>
            <w:tcW w:w="2760"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b/>
                <w:bCs/>
                <w:color w:val="auto"/>
                <w:lang w:val="en-GB" w:eastAsia="ja-JP"/>
              </w:rPr>
            </w:pPr>
            <w:r w:rsidRPr="00C82350">
              <w:rPr>
                <w:rFonts w:ascii="Book Antiqua" w:eastAsia="MS Mincho" w:hAnsi="Book Antiqua"/>
                <w:b/>
                <w:bCs/>
                <w:color w:val="auto"/>
                <w:lang w:val="en-GB" w:eastAsia="ja-JP"/>
              </w:rPr>
              <w:t>EASL</w:t>
            </w:r>
          </w:p>
        </w:tc>
        <w:tc>
          <w:tcPr>
            <w:tcW w:w="3619"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b/>
                <w:bCs/>
                <w:color w:val="auto"/>
                <w:lang w:val="en-GB" w:eastAsia="ja-JP"/>
              </w:rPr>
            </w:pPr>
            <w:r w:rsidRPr="00C82350">
              <w:rPr>
                <w:rFonts w:ascii="Book Antiqua" w:eastAsia="MS Mincho" w:hAnsi="Book Antiqua"/>
                <w:b/>
                <w:bCs/>
                <w:color w:val="auto"/>
                <w:lang w:val="en-GB" w:eastAsia="ja-JP"/>
              </w:rPr>
              <w:t>NICE</w:t>
            </w:r>
          </w:p>
        </w:tc>
        <w:tc>
          <w:tcPr>
            <w:tcW w:w="1701"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b/>
                <w:bCs/>
                <w:color w:val="auto"/>
                <w:lang w:val="en-GB" w:eastAsia="ja-JP"/>
              </w:rPr>
            </w:pPr>
            <w:r w:rsidRPr="00C82350">
              <w:rPr>
                <w:rFonts w:ascii="Book Antiqua" w:eastAsia="MS Mincho" w:hAnsi="Book Antiqua"/>
                <w:b/>
                <w:bCs/>
                <w:color w:val="auto"/>
                <w:lang w:val="en-GB" w:eastAsia="ja-JP"/>
              </w:rPr>
              <w:t>Asia-Pacific</w:t>
            </w:r>
          </w:p>
        </w:tc>
        <w:tc>
          <w:tcPr>
            <w:tcW w:w="3543"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b/>
                <w:bCs/>
                <w:color w:val="auto"/>
                <w:lang w:val="en-GB" w:eastAsia="ja-JP"/>
              </w:rPr>
            </w:pPr>
            <w:r w:rsidRPr="00C82350">
              <w:rPr>
                <w:rFonts w:ascii="Book Antiqua" w:eastAsia="MS Mincho" w:hAnsi="Book Antiqua"/>
                <w:b/>
                <w:bCs/>
                <w:color w:val="auto"/>
                <w:lang w:val="en-GB" w:eastAsia="ja-JP"/>
              </w:rPr>
              <w:t>AISF</w:t>
            </w:r>
          </w:p>
        </w:tc>
        <w:tc>
          <w:tcPr>
            <w:tcW w:w="2268"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b/>
                <w:bCs/>
                <w:color w:val="auto"/>
                <w:lang w:val="en-GB" w:eastAsia="ja-JP"/>
              </w:rPr>
            </w:pPr>
            <w:r w:rsidRPr="00C82350">
              <w:rPr>
                <w:rFonts w:ascii="Book Antiqua" w:eastAsia="MS Mincho" w:hAnsi="Book Antiqua"/>
                <w:b/>
                <w:bCs/>
                <w:color w:val="auto"/>
                <w:lang w:val="en-GB" w:eastAsia="ja-JP"/>
              </w:rPr>
              <w:t>AASLD</w:t>
            </w:r>
          </w:p>
        </w:tc>
      </w:tr>
      <w:tr w:rsidR="007C2761" w:rsidRPr="00C82350" w:rsidTr="00FC698D">
        <w:trPr>
          <w:trHeight w:val="1785"/>
        </w:trPr>
        <w:tc>
          <w:tcPr>
            <w:tcW w:w="2552" w:type="dxa"/>
          </w:tcPr>
          <w:p w:rsidR="007C2761" w:rsidRPr="00FC698D" w:rsidRDefault="007C2761" w:rsidP="00FC698D">
            <w:pPr>
              <w:widowControl w:val="0"/>
              <w:suppressAutoHyphens w:val="0"/>
              <w:adjustRightInd w:val="0"/>
              <w:snapToGrid w:val="0"/>
              <w:spacing w:after="0" w:line="360" w:lineRule="auto"/>
              <w:rPr>
                <w:rFonts w:ascii="Book Antiqua" w:eastAsia="MS Mincho" w:hAnsi="Book Antiqua"/>
                <w:bCs/>
                <w:color w:val="auto"/>
                <w:lang w:val="en-GB" w:eastAsia="ja-JP"/>
              </w:rPr>
            </w:pPr>
            <w:r w:rsidRPr="00FC698D">
              <w:rPr>
                <w:rFonts w:ascii="Book Antiqua" w:eastAsia="MS Mincho" w:hAnsi="Book Antiqua"/>
                <w:bCs/>
                <w:color w:val="auto"/>
                <w:lang w:val="en-GB" w:eastAsia="ja-JP"/>
              </w:rPr>
              <w:t>Dietary restrictions</w:t>
            </w:r>
          </w:p>
        </w:tc>
        <w:tc>
          <w:tcPr>
            <w:tcW w:w="2760"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500-1000 kcal deficit;</w:t>
            </w:r>
          </w:p>
          <w:p w:rsidR="007C2761" w:rsidRPr="00C82350" w:rsidRDefault="00FC698D" w:rsidP="00FC698D">
            <w:pPr>
              <w:widowControl w:val="0"/>
              <w:suppressAutoHyphens w:val="0"/>
              <w:adjustRightInd w:val="0"/>
              <w:snapToGrid w:val="0"/>
              <w:spacing w:after="0" w:line="360" w:lineRule="auto"/>
              <w:jc w:val="center"/>
              <w:rPr>
                <w:rFonts w:ascii="Book Antiqua" w:eastAsia="MS Mincho" w:hAnsi="Book Antiqua"/>
                <w:color w:val="auto"/>
                <w:lang w:val="en-GB" w:eastAsia="ja-JP"/>
              </w:rPr>
            </w:pPr>
            <w:r>
              <w:rPr>
                <w:rFonts w:ascii="Book Antiqua" w:eastAsia="MS Mincho" w:hAnsi="Book Antiqua"/>
                <w:color w:val="auto"/>
                <w:lang w:val="en-GB" w:eastAsia="ja-JP"/>
              </w:rPr>
              <w:t>weight loss of 500-1000 g/w</w:t>
            </w:r>
            <w:r w:rsidR="007C2761" w:rsidRPr="00C82350">
              <w:rPr>
                <w:rFonts w:ascii="Book Antiqua" w:eastAsia="MS Mincho" w:hAnsi="Book Antiqua"/>
                <w:color w:val="auto"/>
                <w:lang w:val="en-GB" w:eastAsia="ja-JP"/>
              </w:rPr>
              <w:t>k with a 7</w:t>
            </w:r>
            <w:r w:rsidRPr="000D67EF">
              <w:rPr>
                <w:rFonts w:ascii="Book Antiqua" w:hAnsi="Book Antiqua" w:hint="eastAsia"/>
                <w:color w:val="auto"/>
                <w:lang w:val="en-GB"/>
              </w:rPr>
              <w:t>%-</w:t>
            </w:r>
            <w:r w:rsidR="007C2761" w:rsidRPr="00C82350">
              <w:rPr>
                <w:rFonts w:ascii="Book Antiqua" w:eastAsia="MS Mincho" w:hAnsi="Book Antiqua"/>
                <w:color w:val="auto"/>
                <w:lang w:val="en-GB" w:eastAsia="ja-JP"/>
              </w:rPr>
              <w:t>10% total weight loss</w:t>
            </w:r>
          </w:p>
        </w:tc>
        <w:tc>
          <w:tcPr>
            <w:tcW w:w="3619"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Main recommendations on diet of NICE’s obesity and preventing excess weight gain guidelines</w:t>
            </w:r>
          </w:p>
        </w:tc>
        <w:tc>
          <w:tcPr>
            <w:tcW w:w="1701"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500-1000 kcal deficit</w:t>
            </w:r>
          </w:p>
        </w:tc>
        <w:tc>
          <w:tcPr>
            <w:tcW w:w="3543" w:type="dxa"/>
          </w:tcPr>
          <w:p w:rsidR="007C2761" w:rsidRPr="00C82350" w:rsidRDefault="00FC698D" w:rsidP="00FC698D">
            <w:pPr>
              <w:widowControl w:val="0"/>
              <w:suppressAutoHyphens w:val="0"/>
              <w:adjustRightInd w:val="0"/>
              <w:snapToGrid w:val="0"/>
              <w:spacing w:after="0" w:line="360" w:lineRule="auto"/>
              <w:jc w:val="center"/>
              <w:rPr>
                <w:rFonts w:ascii="Book Antiqua" w:eastAsia="MS Mincho" w:hAnsi="Book Antiqua"/>
                <w:color w:val="auto"/>
                <w:lang w:val="en-GB" w:eastAsia="ja-JP"/>
              </w:rPr>
            </w:pPr>
            <w:r>
              <w:rPr>
                <w:rFonts w:ascii="Book Antiqua" w:eastAsia="MS Mincho" w:hAnsi="Book Antiqua"/>
                <w:color w:val="auto"/>
                <w:lang w:val="en-GB" w:eastAsia="ja-JP"/>
              </w:rPr>
              <w:t>1200-1600 Kcal/d</w:t>
            </w:r>
            <w:r w:rsidR="007C2761" w:rsidRPr="00C82350">
              <w:rPr>
                <w:rFonts w:ascii="Book Antiqua" w:eastAsia="MS Mincho" w:hAnsi="Book Antiqua"/>
                <w:color w:val="auto"/>
                <w:lang w:val="en-GB" w:eastAsia="ja-JP"/>
              </w:rPr>
              <w:t>;</w:t>
            </w:r>
          </w:p>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fat-low (&lt;</w:t>
            </w:r>
            <w:r w:rsidR="00FC698D" w:rsidRPr="000D67EF">
              <w:rPr>
                <w:rFonts w:ascii="Book Antiqua" w:hAnsi="Book Antiqua" w:hint="eastAsia"/>
                <w:color w:val="auto"/>
                <w:lang w:val="en-GB"/>
              </w:rPr>
              <w:t xml:space="preserve"> </w:t>
            </w:r>
            <w:r w:rsidRPr="00C82350">
              <w:rPr>
                <w:rFonts w:ascii="Book Antiqua" w:eastAsia="MS Mincho" w:hAnsi="Book Antiqua"/>
                <w:color w:val="auto"/>
                <w:lang w:val="en-GB" w:eastAsia="ja-JP"/>
              </w:rPr>
              <w:t>30% of total calories);</w:t>
            </w:r>
          </w:p>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carbohydrate-low (&lt;</w:t>
            </w:r>
            <w:r w:rsidR="00FC698D" w:rsidRPr="000D67EF">
              <w:rPr>
                <w:rFonts w:ascii="Book Antiqua" w:hAnsi="Book Antiqua" w:hint="eastAsia"/>
                <w:color w:val="auto"/>
                <w:lang w:val="en-GB"/>
              </w:rPr>
              <w:t xml:space="preserve"> </w:t>
            </w:r>
            <w:r w:rsidRPr="00C82350">
              <w:rPr>
                <w:rFonts w:ascii="Book Antiqua" w:eastAsia="MS Mincho" w:hAnsi="Book Antiqua"/>
                <w:color w:val="auto"/>
                <w:lang w:val="en-GB" w:eastAsia="ja-JP"/>
              </w:rPr>
              <w:t>50% of total calories)</w:t>
            </w:r>
          </w:p>
        </w:tc>
        <w:tc>
          <w:tcPr>
            <w:tcW w:w="2268"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500-1000 kcal deficit</w:t>
            </w:r>
          </w:p>
        </w:tc>
      </w:tr>
      <w:tr w:rsidR="007C2761" w:rsidRPr="00C82350" w:rsidTr="00FC698D">
        <w:trPr>
          <w:trHeight w:val="1785"/>
        </w:trPr>
        <w:tc>
          <w:tcPr>
            <w:tcW w:w="2552" w:type="dxa"/>
          </w:tcPr>
          <w:p w:rsidR="007C2761" w:rsidRPr="00FC698D" w:rsidRDefault="007C2761" w:rsidP="00FC698D">
            <w:pPr>
              <w:widowControl w:val="0"/>
              <w:suppressAutoHyphens w:val="0"/>
              <w:adjustRightInd w:val="0"/>
              <w:snapToGrid w:val="0"/>
              <w:spacing w:after="0" w:line="360" w:lineRule="auto"/>
              <w:rPr>
                <w:rFonts w:ascii="Book Antiqua" w:eastAsia="MS Mincho" w:hAnsi="Book Antiqua"/>
                <w:bCs/>
                <w:color w:val="auto"/>
                <w:lang w:val="en-GB" w:eastAsia="ja-JP"/>
              </w:rPr>
            </w:pPr>
            <w:r w:rsidRPr="00FC698D">
              <w:rPr>
                <w:rFonts w:ascii="Book Antiqua" w:eastAsia="MS Mincho" w:hAnsi="Book Antiqua"/>
                <w:bCs/>
                <w:color w:val="auto"/>
                <w:lang w:val="en-GB" w:eastAsia="ja-JP"/>
              </w:rPr>
              <w:t>Physical activity</w:t>
            </w:r>
          </w:p>
        </w:tc>
        <w:tc>
          <w:tcPr>
            <w:tcW w:w="2760"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Aerobic and res</w:t>
            </w:r>
            <w:r w:rsidR="00FC698D">
              <w:rPr>
                <w:rFonts w:ascii="Book Antiqua" w:eastAsia="MS Mincho" w:hAnsi="Book Antiqua"/>
                <w:color w:val="auto"/>
                <w:lang w:val="en-GB" w:eastAsia="ja-JP"/>
              </w:rPr>
              <w:t>istance training (150-200 min/w</w:t>
            </w:r>
            <w:r w:rsidRPr="00C82350">
              <w:rPr>
                <w:rFonts w:ascii="Book Antiqua" w:eastAsia="MS Mincho" w:hAnsi="Book Antiqua"/>
                <w:color w:val="auto"/>
                <w:lang w:val="en-GB" w:eastAsia="ja-JP"/>
              </w:rPr>
              <w:t>k in 3-5 sessions)</w:t>
            </w:r>
          </w:p>
        </w:tc>
        <w:tc>
          <w:tcPr>
            <w:tcW w:w="3619"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Main recommendation of</w:t>
            </w:r>
            <w:r w:rsidR="00FC698D">
              <w:rPr>
                <w:rFonts w:ascii="Book Antiqua" w:eastAsia="MS Mincho" w:hAnsi="Book Antiqua"/>
                <w:color w:val="auto"/>
                <w:lang w:val="en-GB" w:eastAsia="ja-JP"/>
              </w:rPr>
              <w:t xml:space="preserve"> </w:t>
            </w:r>
            <w:r w:rsidRPr="00C82350">
              <w:rPr>
                <w:rFonts w:ascii="Book Antiqua" w:eastAsia="MS Mincho" w:hAnsi="Book Antiqua"/>
                <w:color w:val="auto"/>
                <w:lang w:val="en-GB" w:eastAsia="ja-JP"/>
              </w:rPr>
              <w:t>on physical activity of NICE’s obesity and preventing excess weight gain guidelines</w:t>
            </w:r>
          </w:p>
        </w:tc>
        <w:tc>
          <w:tcPr>
            <w:tcW w:w="1701"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Aerobic and resistance training</w:t>
            </w:r>
          </w:p>
        </w:tc>
        <w:tc>
          <w:tcPr>
            <w:tcW w:w="3543"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Aerobic and resistance training</w:t>
            </w:r>
          </w:p>
        </w:tc>
        <w:tc>
          <w:tcPr>
            <w:tcW w:w="2268"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Aerobic and resistance training (&gt;</w:t>
            </w:r>
            <w:r w:rsidR="00FC698D" w:rsidRPr="000D67EF">
              <w:rPr>
                <w:rFonts w:ascii="Book Antiqua" w:hAnsi="Book Antiqua" w:hint="eastAsia"/>
                <w:color w:val="auto"/>
                <w:lang w:val="en-GB"/>
              </w:rPr>
              <w:t xml:space="preserve"> </w:t>
            </w:r>
            <w:r w:rsidR="00FC698D">
              <w:rPr>
                <w:rFonts w:ascii="Book Antiqua" w:eastAsia="MS Mincho" w:hAnsi="Book Antiqua"/>
                <w:color w:val="auto"/>
                <w:lang w:val="en-GB" w:eastAsia="ja-JP"/>
              </w:rPr>
              <w:t>150 min/w</w:t>
            </w:r>
            <w:r w:rsidRPr="00C82350">
              <w:rPr>
                <w:rFonts w:ascii="Book Antiqua" w:eastAsia="MS Mincho" w:hAnsi="Book Antiqua"/>
                <w:color w:val="auto"/>
                <w:lang w:val="en-GB" w:eastAsia="ja-JP"/>
              </w:rPr>
              <w:t>k)</w:t>
            </w:r>
          </w:p>
        </w:tc>
      </w:tr>
      <w:tr w:rsidR="007C2761" w:rsidRPr="00C82350" w:rsidTr="00FC698D">
        <w:trPr>
          <w:trHeight w:val="765"/>
        </w:trPr>
        <w:tc>
          <w:tcPr>
            <w:tcW w:w="2552" w:type="dxa"/>
            <w:vMerge w:val="restart"/>
          </w:tcPr>
          <w:p w:rsidR="007C2761" w:rsidRPr="00FC698D" w:rsidRDefault="007C2761" w:rsidP="00FC698D">
            <w:pPr>
              <w:widowControl w:val="0"/>
              <w:suppressAutoHyphens w:val="0"/>
              <w:adjustRightInd w:val="0"/>
              <w:snapToGrid w:val="0"/>
              <w:spacing w:after="0" w:line="360" w:lineRule="auto"/>
              <w:rPr>
                <w:rFonts w:ascii="Book Antiqua" w:eastAsia="MS Mincho" w:hAnsi="Book Antiqua"/>
                <w:bCs/>
                <w:color w:val="auto"/>
                <w:lang w:val="en-GB" w:eastAsia="ja-JP"/>
              </w:rPr>
            </w:pPr>
            <w:r w:rsidRPr="00FC698D">
              <w:rPr>
                <w:rFonts w:ascii="Book Antiqua" w:eastAsia="MS Mincho" w:hAnsi="Book Antiqua"/>
                <w:bCs/>
                <w:color w:val="auto"/>
                <w:lang w:val="en-GB" w:eastAsia="ja-JP"/>
              </w:rPr>
              <w:t>Gold standard diet</w:t>
            </w:r>
          </w:p>
        </w:tc>
        <w:tc>
          <w:tcPr>
            <w:tcW w:w="2760" w:type="dxa"/>
          </w:tcPr>
          <w:p w:rsidR="007C2761" w:rsidRPr="00C82350" w:rsidRDefault="007C2761" w:rsidP="00FC698D">
            <w:pPr>
              <w:widowControl w:val="0"/>
              <w:suppressAutoHyphens w:val="0"/>
              <w:adjustRightInd w:val="0"/>
              <w:snapToGrid w:val="0"/>
              <w:spacing w:after="0" w:line="360" w:lineRule="auto"/>
              <w:jc w:val="center"/>
              <w:rPr>
                <w:rFonts w:ascii="Book Antiqua" w:hAnsi="Book Antiqua"/>
                <w:color w:val="auto"/>
                <w:lang w:val="en-GB" w:eastAsia="ja-JP"/>
              </w:rPr>
            </w:pPr>
            <w:r w:rsidRPr="00C82350">
              <w:rPr>
                <w:rFonts w:ascii="Book Antiqua" w:hAnsi="Book Antiqua"/>
                <w:color w:val="auto"/>
                <w:lang w:val="en-GB" w:eastAsia="ja-JP"/>
              </w:rPr>
              <w:t>Low-to-moderate fat and moderate-to-high carbohydrate intake</w:t>
            </w:r>
          </w:p>
        </w:tc>
        <w:tc>
          <w:tcPr>
            <w:tcW w:w="3619"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No specific suggestions</w:t>
            </w:r>
          </w:p>
        </w:tc>
        <w:tc>
          <w:tcPr>
            <w:tcW w:w="1701"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All, excluding very low-calorie diets</w:t>
            </w:r>
          </w:p>
        </w:tc>
        <w:tc>
          <w:tcPr>
            <w:tcW w:w="3543"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hAnsi="Book Antiqua"/>
                <w:color w:val="auto"/>
                <w:lang w:val="en-GB" w:eastAsia="ja-JP"/>
              </w:rPr>
              <w:t xml:space="preserve">Mediterranean </w:t>
            </w:r>
            <w:r w:rsidRPr="00C82350">
              <w:rPr>
                <w:rFonts w:ascii="Book Antiqua" w:eastAsia="MS Mincho" w:hAnsi="Book Antiqua"/>
                <w:color w:val="auto"/>
                <w:lang w:val="en-GB" w:eastAsia="ja-JP"/>
              </w:rPr>
              <w:t>diet</w:t>
            </w:r>
          </w:p>
        </w:tc>
        <w:tc>
          <w:tcPr>
            <w:tcW w:w="2268"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No specific suggestions</w:t>
            </w:r>
          </w:p>
        </w:tc>
      </w:tr>
      <w:tr w:rsidR="007C2761" w:rsidRPr="00C82350" w:rsidTr="00FC698D">
        <w:trPr>
          <w:trHeight w:val="765"/>
        </w:trPr>
        <w:tc>
          <w:tcPr>
            <w:tcW w:w="2552" w:type="dxa"/>
            <w:vMerge/>
          </w:tcPr>
          <w:p w:rsidR="007C2761" w:rsidRPr="00C82350" w:rsidRDefault="007C2761" w:rsidP="00C82350">
            <w:pPr>
              <w:widowControl w:val="0"/>
              <w:suppressAutoHyphens w:val="0"/>
              <w:adjustRightInd w:val="0"/>
              <w:snapToGrid w:val="0"/>
              <w:spacing w:after="0" w:line="360" w:lineRule="auto"/>
              <w:jc w:val="both"/>
              <w:rPr>
                <w:rFonts w:ascii="Book Antiqua" w:eastAsia="MS Mincho" w:hAnsi="Book Antiqua"/>
                <w:b/>
                <w:bCs/>
                <w:color w:val="auto"/>
                <w:lang w:eastAsia="ja-JP"/>
              </w:rPr>
            </w:pPr>
          </w:p>
        </w:tc>
        <w:tc>
          <w:tcPr>
            <w:tcW w:w="2760" w:type="dxa"/>
          </w:tcPr>
          <w:p w:rsidR="007C2761" w:rsidRPr="00C82350" w:rsidRDefault="007C2761" w:rsidP="00FC698D">
            <w:pPr>
              <w:widowControl w:val="0"/>
              <w:suppressAutoHyphens w:val="0"/>
              <w:adjustRightInd w:val="0"/>
              <w:snapToGrid w:val="0"/>
              <w:spacing w:after="0" w:line="360" w:lineRule="auto"/>
              <w:jc w:val="center"/>
              <w:rPr>
                <w:rFonts w:ascii="Book Antiqua" w:hAnsi="Book Antiqua"/>
                <w:color w:val="auto"/>
                <w:lang w:val="en-GB" w:eastAsia="ja-JP"/>
              </w:rPr>
            </w:pPr>
            <w:r w:rsidRPr="00C82350">
              <w:rPr>
                <w:rFonts w:ascii="Book Antiqua" w:hAnsi="Book Antiqua"/>
                <w:color w:val="auto"/>
                <w:lang w:val="en-GB" w:eastAsia="ja-JP"/>
              </w:rPr>
              <w:t>Low-carbohydrate ketogenic diets or high-protein</w:t>
            </w:r>
          </w:p>
        </w:tc>
        <w:tc>
          <w:tcPr>
            <w:tcW w:w="3619"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cs="Arial"/>
                <w:color w:val="auto"/>
                <w:lang w:val="en-GB" w:eastAsia="ja-JP"/>
              </w:rPr>
            </w:pPr>
          </w:p>
        </w:tc>
        <w:tc>
          <w:tcPr>
            <w:tcW w:w="1701"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cs="Arial"/>
                <w:color w:val="auto"/>
                <w:lang w:val="en-GB" w:eastAsia="ja-JP"/>
              </w:rPr>
            </w:pPr>
          </w:p>
        </w:tc>
        <w:tc>
          <w:tcPr>
            <w:tcW w:w="3543"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cs="Arial"/>
                <w:color w:val="auto"/>
                <w:lang w:val="en-GB" w:eastAsia="ja-JP"/>
              </w:rPr>
            </w:pPr>
          </w:p>
        </w:tc>
        <w:tc>
          <w:tcPr>
            <w:tcW w:w="2268"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cs="Arial"/>
                <w:color w:val="auto"/>
                <w:lang w:val="en-GB" w:eastAsia="ja-JP"/>
              </w:rPr>
            </w:pPr>
          </w:p>
        </w:tc>
      </w:tr>
      <w:tr w:rsidR="007C2761" w:rsidRPr="00C82350" w:rsidTr="00FC698D">
        <w:trPr>
          <w:trHeight w:val="424"/>
        </w:trPr>
        <w:tc>
          <w:tcPr>
            <w:tcW w:w="2552" w:type="dxa"/>
            <w:vMerge/>
          </w:tcPr>
          <w:p w:rsidR="007C2761" w:rsidRPr="00C82350" w:rsidRDefault="007C2761" w:rsidP="00C82350">
            <w:pPr>
              <w:widowControl w:val="0"/>
              <w:suppressAutoHyphens w:val="0"/>
              <w:adjustRightInd w:val="0"/>
              <w:snapToGrid w:val="0"/>
              <w:spacing w:after="0" w:line="360" w:lineRule="auto"/>
              <w:jc w:val="both"/>
              <w:rPr>
                <w:rFonts w:ascii="Book Antiqua" w:eastAsia="MS Mincho" w:hAnsi="Book Antiqua"/>
                <w:b/>
                <w:bCs/>
                <w:color w:val="auto"/>
                <w:lang w:val="en-GB" w:eastAsia="ja-JP"/>
              </w:rPr>
            </w:pPr>
          </w:p>
        </w:tc>
        <w:tc>
          <w:tcPr>
            <w:tcW w:w="2760" w:type="dxa"/>
          </w:tcPr>
          <w:p w:rsidR="007C2761" w:rsidRPr="00C82350" w:rsidRDefault="007C2761" w:rsidP="00FC698D">
            <w:pPr>
              <w:widowControl w:val="0"/>
              <w:suppressAutoHyphens w:val="0"/>
              <w:adjustRightInd w:val="0"/>
              <w:snapToGrid w:val="0"/>
              <w:spacing w:after="0" w:line="360" w:lineRule="auto"/>
              <w:jc w:val="center"/>
              <w:rPr>
                <w:rFonts w:ascii="Book Antiqua" w:hAnsi="Book Antiqua"/>
                <w:color w:val="auto"/>
                <w:lang w:val="en-GB" w:eastAsia="ja-JP"/>
              </w:rPr>
            </w:pPr>
            <w:r w:rsidRPr="00C82350">
              <w:rPr>
                <w:rFonts w:ascii="Book Antiqua" w:hAnsi="Book Antiqua"/>
                <w:color w:val="auto"/>
                <w:lang w:val="en-GB" w:eastAsia="ja-JP"/>
              </w:rPr>
              <w:t>Mediterranean diet</w:t>
            </w:r>
          </w:p>
        </w:tc>
        <w:tc>
          <w:tcPr>
            <w:tcW w:w="3619"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cs="Arial"/>
                <w:color w:val="auto"/>
                <w:lang w:val="en-GB" w:eastAsia="ja-JP"/>
              </w:rPr>
            </w:pPr>
          </w:p>
        </w:tc>
        <w:tc>
          <w:tcPr>
            <w:tcW w:w="1701"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cs="Arial"/>
                <w:color w:val="auto"/>
                <w:lang w:val="en-GB" w:eastAsia="ja-JP"/>
              </w:rPr>
            </w:pPr>
          </w:p>
        </w:tc>
        <w:tc>
          <w:tcPr>
            <w:tcW w:w="3543"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cs="Arial"/>
                <w:color w:val="auto"/>
                <w:lang w:val="en-GB" w:eastAsia="ja-JP"/>
              </w:rPr>
            </w:pPr>
          </w:p>
        </w:tc>
        <w:tc>
          <w:tcPr>
            <w:tcW w:w="2268"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cs="Arial"/>
                <w:color w:val="auto"/>
                <w:lang w:val="en-GB" w:eastAsia="ja-JP"/>
              </w:rPr>
            </w:pPr>
          </w:p>
        </w:tc>
      </w:tr>
    </w:tbl>
    <w:p w:rsidR="007C2761" w:rsidRPr="000D67EF" w:rsidRDefault="00FC698D" w:rsidP="00C82350">
      <w:pPr>
        <w:widowControl w:val="0"/>
        <w:suppressAutoHyphens w:val="0"/>
        <w:adjustRightInd w:val="0"/>
        <w:snapToGrid w:val="0"/>
        <w:spacing w:after="0" w:line="360" w:lineRule="auto"/>
        <w:jc w:val="both"/>
        <w:rPr>
          <w:rFonts w:ascii="Book Antiqua" w:hAnsi="Book Antiqua"/>
          <w:color w:val="auto"/>
          <w:lang w:val="en-GB"/>
        </w:rPr>
      </w:pPr>
      <w:r w:rsidRPr="00C82350">
        <w:rPr>
          <w:rFonts w:ascii="Book Antiqua" w:eastAsia="MS Mincho" w:hAnsi="Book Antiqua"/>
          <w:color w:val="auto"/>
          <w:lang w:val="en-GB" w:eastAsia="ja-JP"/>
        </w:rPr>
        <w:t>EASL: European Association for the Study of the Liver; NICE: National Institute for Health and Care Excellence; AISF: Italian Association for the study of the Liver; AASLD: American Association for the Study of Liver Diseases</w:t>
      </w:r>
      <w:r w:rsidRPr="000D67EF">
        <w:rPr>
          <w:rFonts w:ascii="Book Antiqua" w:hAnsi="Book Antiqua" w:hint="eastAsia"/>
          <w:color w:val="auto"/>
          <w:lang w:val="en-GB"/>
        </w:rPr>
        <w:t>.</w:t>
      </w:r>
    </w:p>
    <w:p w:rsidR="007C2761" w:rsidRPr="00C82350" w:rsidRDefault="007C2761" w:rsidP="00C82350">
      <w:pPr>
        <w:widowControl w:val="0"/>
        <w:suppressAutoHyphens w:val="0"/>
        <w:adjustRightInd w:val="0"/>
        <w:snapToGrid w:val="0"/>
        <w:spacing w:after="0" w:line="360" w:lineRule="auto"/>
        <w:jc w:val="both"/>
        <w:rPr>
          <w:rFonts w:ascii="Book Antiqua" w:hAnsi="Book Antiqua"/>
          <w:color w:val="auto"/>
          <w:lang w:val="en-GB"/>
        </w:rPr>
      </w:pPr>
    </w:p>
    <w:p w:rsidR="007C2761" w:rsidRPr="00C82350" w:rsidRDefault="007C2761" w:rsidP="00C82350">
      <w:pPr>
        <w:adjustRightInd w:val="0"/>
        <w:snapToGrid w:val="0"/>
        <w:spacing w:after="0" w:line="360" w:lineRule="auto"/>
        <w:jc w:val="both"/>
        <w:rPr>
          <w:rFonts w:ascii="Book Antiqua" w:hAnsi="Book Antiqua"/>
          <w:lang w:val="en-GB"/>
        </w:rPr>
      </w:pPr>
      <w:r w:rsidRPr="00C82350">
        <w:rPr>
          <w:rFonts w:ascii="Book Antiqua" w:hAnsi="Book Antiqua"/>
          <w:lang w:val="en-GB"/>
        </w:rPr>
        <w:br w:type="page"/>
      </w:r>
      <w:r w:rsidR="00FC698D" w:rsidRPr="00C82350">
        <w:rPr>
          <w:rFonts w:ascii="Book Antiqua" w:eastAsia="MS Mincho" w:hAnsi="Book Antiqua"/>
          <w:b/>
          <w:bCs/>
          <w:color w:val="auto"/>
          <w:lang w:val="en-GB" w:eastAsia="ja-JP"/>
        </w:rPr>
        <w:lastRenderedPageBreak/>
        <w:t>Table 5</w:t>
      </w:r>
      <w:r w:rsidR="00FC698D" w:rsidRPr="000D67EF">
        <w:rPr>
          <w:rFonts w:ascii="Book Antiqua" w:hAnsi="Book Antiqua" w:hint="eastAsia"/>
          <w:b/>
          <w:bCs/>
          <w:color w:val="auto"/>
          <w:lang w:val="en-GB"/>
        </w:rPr>
        <w:t xml:space="preserve"> </w:t>
      </w:r>
      <w:r w:rsidR="00FC698D" w:rsidRPr="00C82350">
        <w:rPr>
          <w:rFonts w:ascii="Book Antiqua" w:eastAsia="MS Mincho" w:hAnsi="Book Antiqua"/>
          <w:b/>
          <w:bCs/>
          <w:color w:val="auto"/>
          <w:lang w:val="en-GB" w:eastAsia="ja-JP"/>
        </w:rPr>
        <w:t>Recommendations about pharmacological treatment of non-alcoholic fatty liver disease</w:t>
      </w:r>
    </w:p>
    <w:tbl>
      <w:tblPr>
        <w:tblW w:w="16302" w:type="dxa"/>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2409"/>
        <w:gridCol w:w="2694"/>
        <w:gridCol w:w="2835"/>
        <w:gridCol w:w="2693"/>
        <w:gridCol w:w="3544"/>
      </w:tblGrid>
      <w:tr w:rsidR="007C2761" w:rsidRPr="00C82350" w:rsidTr="00FC698D">
        <w:trPr>
          <w:trHeight w:val="240"/>
        </w:trPr>
        <w:tc>
          <w:tcPr>
            <w:tcW w:w="2127" w:type="dxa"/>
          </w:tcPr>
          <w:p w:rsidR="007C2761" w:rsidRPr="00C82350" w:rsidRDefault="007C2761" w:rsidP="00C82350">
            <w:pPr>
              <w:widowControl w:val="0"/>
              <w:suppressAutoHyphens w:val="0"/>
              <w:adjustRightInd w:val="0"/>
              <w:snapToGrid w:val="0"/>
              <w:spacing w:after="0" w:line="360" w:lineRule="auto"/>
              <w:jc w:val="both"/>
              <w:rPr>
                <w:rFonts w:ascii="Book Antiqua" w:eastAsia="MS Mincho" w:hAnsi="Book Antiqua"/>
                <w:b/>
                <w:bCs/>
                <w:color w:val="auto"/>
                <w:lang w:val="en-GB" w:eastAsia="ja-JP"/>
              </w:rPr>
            </w:pPr>
          </w:p>
        </w:tc>
        <w:tc>
          <w:tcPr>
            <w:tcW w:w="2409"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b/>
                <w:bCs/>
                <w:color w:val="auto"/>
                <w:lang w:eastAsia="ja-JP"/>
              </w:rPr>
            </w:pPr>
            <w:r w:rsidRPr="00C82350">
              <w:rPr>
                <w:rFonts w:ascii="Book Antiqua" w:eastAsia="MS Mincho" w:hAnsi="Book Antiqua"/>
                <w:b/>
                <w:bCs/>
                <w:color w:val="auto"/>
                <w:lang w:eastAsia="ja-JP"/>
              </w:rPr>
              <w:t>EASL</w:t>
            </w:r>
          </w:p>
        </w:tc>
        <w:tc>
          <w:tcPr>
            <w:tcW w:w="2694"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b/>
                <w:bCs/>
                <w:color w:val="auto"/>
                <w:lang w:eastAsia="ja-JP"/>
              </w:rPr>
            </w:pPr>
            <w:r w:rsidRPr="00C82350">
              <w:rPr>
                <w:rFonts w:ascii="Book Antiqua" w:eastAsia="MS Mincho" w:hAnsi="Book Antiqua"/>
                <w:b/>
                <w:bCs/>
                <w:color w:val="auto"/>
                <w:lang w:eastAsia="ja-JP"/>
              </w:rPr>
              <w:t>NICE</w:t>
            </w:r>
          </w:p>
        </w:tc>
        <w:tc>
          <w:tcPr>
            <w:tcW w:w="2835"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b/>
                <w:bCs/>
                <w:color w:val="auto"/>
                <w:lang w:eastAsia="ja-JP"/>
              </w:rPr>
            </w:pPr>
            <w:r w:rsidRPr="00C82350">
              <w:rPr>
                <w:rFonts w:ascii="Book Antiqua" w:eastAsia="MS Mincho" w:hAnsi="Book Antiqua"/>
                <w:b/>
                <w:bCs/>
                <w:color w:val="auto"/>
                <w:lang w:eastAsia="ja-JP"/>
              </w:rPr>
              <w:t>ASIA-PACIFIC</w:t>
            </w:r>
          </w:p>
        </w:tc>
        <w:tc>
          <w:tcPr>
            <w:tcW w:w="2693"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b/>
                <w:bCs/>
                <w:color w:val="auto"/>
                <w:lang w:eastAsia="ja-JP"/>
              </w:rPr>
            </w:pPr>
            <w:r w:rsidRPr="00C82350">
              <w:rPr>
                <w:rFonts w:ascii="Book Antiqua" w:eastAsia="MS Mincho" w:hAnsi="Book Antiqua"/>
                <w:b/>
                <w:bCs/>
                <w:color w:val="auto"/>
                <w:lang w:eastAsia="ja-JP"/>
              </w:rPr>
              <w:t>AISF</w:t>
            </w:r>
          </w:p>
        </w:tc>
        <w:tc>
          <w:tcPr>
            <w:tcW w:w="3544"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b/>
                <w:bCs/>
                <w:color w:val="auto"/>
                <w:lang w:eastAsia="ja-JP"/>
              </w:rPr>
            </w:pPr>
            <w:r w:rsidRPr="00C82350">
              <w:rPr>
                <w:rFonts w:ascii="Book Antiqua" w:eastAsia="MS Mincho" w:hAnsi="Book Antiqua"/>
                <w:b/>
                <w:bCs/>
                <w:color w:val="auto"/>
                <w:lang w:eastAsia="ja-JP"/>
              </w:rPr>
              <w:t>AASLD</w:t>
            </w:r>
          </w:p>
        </w:tc>
      </w:tr>
      <w:tr w:rsidR="007C2761" w:rsidRPr="00C82350" w:rsidTr="00FC698D">
        <w:trPr>
          <w:trHeight w:val="249"/>
        </w:trPr>
        <w:tc>
          <w:tcPr>
            <w:tcW w:w="2127" w:type="dxa"/>
          </w:tcPr>
          <w:p w:rsidR="007C2761" w:rsidRPr="00FC698D" w:rsidRDefault="007C2761" w:rsidP="00C82350">
            <w:pPr>
              <w:widowControl w:val="0"/>
              <w:suppressAutoHyphens w:val="0"/>
              <w:adjustRightInd w:val="0"/>
              <w:snapToGrid w:val="0"/>
              <w:spacing w:after="0" w:line="360" w:lineRule="auto"/>
              <w:jc w:val="both"/>
              <w:rPr>
                <w:rFonts w:ascii="Book Antiqua" w:eastAsia="MS Mincho" w:hAnsi="Book Antiqua"/>
                <w:bCs/>
                <w:color w:val="auto"/>
                <w:lang w:eastAsia="ja-JP"/>
              </w:rPr>
            </w:pPr>
            <w:r w:rsidRPr="00FC698D">
              <w:rPr>
                <w:rFonts w:ascii="Book Antiqua" w:eastAsia="MS Mincho" w:hAnsi="Book Antiqua"/>
                <w:bCs/>
                <w:color w:val="auto"/>
                <w:lang w:eastAsia="ja-JP"/>
              </w:rPr>
              <w:t>M</w:t>
            </w:r>
            <w:r w:rsidR="00FC698D" w:rsidRPr="00FC698D">
              <w:rPr>
                <w:rFonts w:ascii="Book Antiqua" w:eastAsia="MS Mincho" w:hAnsi="Book Antiqua"/>
                <w:bCs/>
                <w:color w:val="auto"/>
                <w:lang w:eastAsia="ja-JP"/>
              </w:rPr>
              <w:t>etformin</w:t>
            </w:r>
          </w:p>
        </w:tc>
        <w:tc>
          <w:tcPr>
            <w:tcW w:w="2409"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color w:val="auto"/>
                <w:lang w:eastAsia="ja-JP"/>
              </w:rPr>
            </w:pPr>
            <w:r w:rsidRPr="00D628BD">
              <w:rPr>
                <w:rFonts w:ascii="Book Antiqua" w:eastAsia="MS Mincho" w:hAnsi="Book Antiqua"/>
                <w:caps/>
                <w:color w:val="auto"/>
                <w:lang w:eastAsia="ja-JP"/>
              </w:rPr>
              <w:t>i</w:t>
            </w:r>
            <w:r w:rsidRPr="00C82350">
              <w:rPr>
                <w:rFonts w:ascii="Book Antiqua" w:eastAsia="MS Mincho" w:hAnsi="Book Antiqua"/>
                <w:color w:val="auto"/>
                <w:lang w:eastAsia="ja-JP"/>
              </w:rPr>
              <w:t>nsufficient evidence</w:t>
            </w:r>
          </w:p>
        </w:tc>
        <w:tc>
          <w:tcPr>
            <w:tcW w:w="2694"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color w:val="auto"/>
                <w:lang w:eastAsia="ja-JP"/>
              </w:rPr>
            </w:pPr>
            <w:r w:rsidRPr="00D628BD">
              <w:rPr>
                <w:rFonts w:ascii="Book Antiqua" w:eastAsia="MS Mincho" w:hAnsi="Book Antiqua"/>
                <w:caps/>
                <w:color w:val="auto"/>
                <w:lang w:eastAsia="ja-JP"/>
              </w:rPr>
              <w:t>n</w:t>
            </w:r>
            <w:r w:rsidRPr="00C82350">
              <w:rPr>
                <w:rFonts w:ascii="Book Antiqua" w:eastAsia="MS Mincho" w:hAnsi="Book Antiqua"/>
                <w:color w:val="auto"/>
                <w:lang w:eastAsia="ja-JP"/>
              </w:rPr>
              <w:t>ot beneficial</w:t>
            </w:r>
          </w:p>
        </w:tc>
        <w:tc>
          <w:tcPr>
            <w:tcW w:w="2835"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color w:val="auto"/>
                <w:lang w:eastAsia="ja-JP"/>
              </w:rPr>
            </w:pPr>
            <w:r w:rsidRPr="00D628BD">
              <w:rPr>
                <w:rFonts w:ascii="Book Antiqua" w:eastAsia="MS Mincho" w:hAnsi="Book Antiqua"/>
                <w:caps/>
                <w:color w:val="auto"/>
                <w:lang w:eastAsia="ja-JP"/>
              </w:rPr>
              <w:t>n</w:t>
            </w:r>
            <w:r w:rsidRPr="00C82350">
              <w:rPr>
                <w:rFonts w:ascii="Book Antiqua" w:eastAsia="MS Mincho" w:hAnsi="Book Antiqua"/>
                <w:color w:val="auto"/>
                <w:lang w:eastAsia="ja-JP"/>
              </w:rPr>
              <w:t>ot beneficial</w:t>
            </w:r>
          </w:p>
        </w:tc>
        <w:tc>
          <w:tcPr>
            <w:tcW w:w="2693"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color w:val="auto"/>
                <w:lang w:eastAsia="ja-JP"/>
              </w:rPr>
            </w:pPr>
            <w:r w:rsidRPr="00D628BD">
              <w:rPr>
                <w:rFonts w:ascii="Book Antiqua" w:eastAsia="MS Mincho" w:hAnsi="Book Antiqua"/>
                <w:caps/>
                <w:color w:val="auto"/>
                <w:lang w:eastAsia="ja-JP"/>
              </w:rPr>
              <w:t>n</w:t>
            </w:r>
            <w:r w:rsidRPr="00C82350">
              <w:rPr>
                <w:rFonts w:ascii="Book Antiqua" w:eastAsia="MS Mincho" w:hAnsi="Book Antiqua"/>
                <w:color w:val="auto"/>
                <w:lang w:eastAsia="ja-JP"/>
              </w:rPr>
              <w:t>ot mentioned</w:t>
            </w:r>
          </w:p>
        </w:tc>
        <w:tc>
          <w:tcPr>
            <w:tcW w:w="3544"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color w:val="auto"/>
                <w:lang w:eastAsia="ja-JP"/>
              </w:rPr>
            </w:pPr>
            <w:r w:rsidRPr="00D628BD">
              <w:rPr>
                <w:rFonts w:ascii="Book Antiqua" w:eastAsia="MS Mincho" w:hAnsi="Book Antiqua"/>
                <w:caps/>
                <w:color w:val="auto"/>
                <w:lang w:eastAsia="ja-JP"/>
              </w:rPr>
              <w:t>n</w:t>
            </w:r>
            <w:r w:rsidRPr="00C82350">
              <w:rPr>
                <w:rFonts w:ascii="Book Antiqua" w:eastAsia="MS Mincho" w:hAnsi="Book Antiqua"/>
                <w:color w:val="auto"/>
                <w:lang w:eastAsia="ja-JP"/>
              </w:rPr>
              <w:t>ot beneficial</w:t>
            </w:r>
          </w:p>
        </w:tc>
      </w:tr>
      <w:tr w:rsidR="007C2761" w:rsidRPr="00C82350" w:rsidTr="00FC698D">
        <w:trPr>
          <w:trHeight w:val="720"/>
        </w:trPr>
        <w:tc>
          <w:tcPr>
            <w:tcW w:w="2127" w:type="dxa"/>
          </w:tcPr>
          <w:p w:rsidR="007C2761" w:rsidRPr="00FC698D" w:rsidRDefault="007C2761" w:rsidP="00C82350">
            <w:pPr>
              <w:widowControl w:val="0"/>
              <w:suppressAutoHyphens w:val="0"/>
              <w:adjustRightInd w:val="0"/>
              <w:snapToGrid w:val="0"/>
              <w:spacing w:after="0" w:line="360" w:lineRule="auto"/>
              <w:jc w:val="both"/>
              <w:rPr>
                <w:rFonts w:ascii="Book Antiqua" w:eastAsia="MS Mincho" w:hAnsi="Book Antiqua"/>
                <w:bCs/>
                <w:color w:val="auto"/>
                <w:lang w:eastAsia="ja-JP"/>
              </w:rPr>
            </w:pPr>
            <w:r w:rsidRPr="00FC698D">
              <w:rPr>
                <w:rFonts w:ascii="Book Antiqua" w:eastAsia="MS Mincho" w:hAnsi="Book Antiqua"/>
                <w:bCs/>
                <w:color w:val="auto"/>
                <w:lang w:eastAsia="ja-JP"/>
              </w:rPr>
              <w:t>V</w:t>
            </w:r>
            <w:r w:rsidR="00FC698D" w:rsidRPr="00FC698D">
              <w:rPr>
                <w:rFonts w:ascii="Book Antiqua" w:eastAsia="MS Mincho" w:hAnsi="Book Antiqua"/>
                <w:bCs/>
                <w:color w:val="auto"/>
                <w:lang w:eastAsia="ja-JP"/>
              </w:rPr>
              <w:t>itamin E</w:t>
            </w:r>
          </w:p>
        </w:tc>
        <w:tc>
          <w:tcPr>
            <w:tcW w:w="2409"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I</w:t>
            </w:r>
            <w:r w:rsidR="007C2761" w:rsidRPr="00C82350">
              <w:rPr>
                <w:rFonts w:ascii="Book Antiqua" w:eastAsia="MS Mincho" w:hAnsi="Book Antiqua"/>
                <w:color w:val="auto"/>
                <w:lang w:eastAsia="ja-JP"/>
              </w:rPr>
              <w:t>nsufficient</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evidence</w:t>
            </w:r>
          </w:p>
        </w:tc>
        <w:tc>
          <w:tcPr>
            <w:tcW w:w="2694"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C</w:t>
            </w:r>
            <w:r w:rsidR="007C2761" w:rsidRPr="00C82350">
              <w:rPr>
                <w:rFonts w:ascii="Book Antiqua" w:eastAsia="MS Mincho" w:hAnsi="Book Antiqua"/>
                <w:color w:val="auto"/>
                <w:lang w:val="en-GB" w:eastAsia="ja-JP"/>
              </w:rPr>
              <w:t>onsider</w:t>
            </w:r>
            <w:r w:rsidRPr="009E4C4F">
              <w:rPr>
                <w:rFonts w:ascii="Book Antiqua" w:hAnsi="Book Antiqua" w:hint="eastAsia"/>
                <w:color w:val="auto"/>
                <w:lang w:val="en-GB"/>
              </w:rPr>
              <w:t xml:space="preserve"> </w:t>
            </w:r>
            <w:r w:rsidR="007C2761" w:rsidRPr="00C82350">
              <w:rPr>
                <w:rFonts w:ascii="Book Antiqua" w:eastAsia="MS Mincho" w:hAnsi="Book Antiqua"/>
                <w:color w:val="auto"/>
                <w:lang w:val="en-GB" w:eastAsia="ja-JP"/>
              </w:rPr>
              <w:t>use regardless of diabetes</w:t>
            </w:r>
          </w:p>
        </w:tc>
        <w:tc>
          <w:tcPr>
            <w:tcW w:w="2835"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N</w:t>
            </w:r>
            <w:r w:rsidR="007C2761" w:rsidRPr="00C82350">
              <w:rPr>
                <w:rFonts w:ascii="Book Antiqua" w:eastAsia="MS Mincho" w:hAnsi="Book Antiqua"/>
                <w:color w:val="auto"/>
                <w:lang w:eastAsia="ja-JP"/>
              </w:rPr>
              <w:t>ot</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beneficial</w:t>
            </w:r>
          </w:p>
        </w:tc>
        <w:tc>
          <w:tcPr>
            <w:tcW w:w="2693"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I</w:t>
            </w:r>
            <w:r w:rsidR="007C2761" w:rsidRPr="00C82350">
              <w:rPr>
                <w:rFonts w:ascii="Book Antiqua" w:eastAsia="MS Mincho" w:hAnsi="Book Antiqua"/>
                <w:color w:val="auto"/>
                <w:lang w:eastAsia="ja-JP"/>
              </w:rPr>
              <w:t>nsufficient</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evidence</w:t>
            </w:r>
          </w:p>
        </w:tc>
        <w:tc>
          <w:tcPr>
            <w:tcW w:w="3544"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C</w:t>
            </w:r>
            <w:r w:rsidR="007C2761" w:rsidRPr="00C82350">
              <w:rPr>
                <w:rFonts w:ascii="Book Antiqua" w:eastAsia="MS Mincho" w:hAnsi="Book Antiqua"/>
                <w:color w:val="auto"/>
                <w:lang w:val="en-GB" w:eastAsia="ja-JP"/>
              </w:rPr>
              <w:t>onsider</w:t>
            </w:r>
            <w:r w:rsidRPr="009E4C4F">
              <w:rPr>
                <w:rFonts w:ascii="Book Antiqua" w:hAnsi="Book Antiqua" w:hint="eastAsia"/>
                <w:color w:val="auto"/>
                <w:lang w:val="en-GB"/>
              </w:rPr>
              <w:t xml:space="preserve"> </w:t>
            </w:r>
            <w:r w:rsidR="007C2761" w:rsidRPr="00C82350">
              <w:rPr>
                <w:rFonts w:ascii="Book Antiqua" w:eastAsia="MS Mincho" w:hAnsi="Book Antiqua"/>
                <w:color w:val="auto"/>
                <w:lang w:val="en-GB" w:eastAsia="ja-JP"/>
              </w:rPr>
              <w:t>use in non-diabetic, biopsy-proven NASH</w:t>
            </w:r>
          </w:p>
        </w:tc>
      </w:tr>
      <w:tr w:rsidR="007C2761" w:rsidRPr="00C82350" w:rsidTr="00FC698D">
        <w:trPr>
          <w:trHeight w:val="720"/>
        </w:trPr>
        <w:tc>
          <w:tcPr>
            <w:tcW w:w="2127" w:type="dxa"/>
          </w:tcPr>
          <w:p w:rsidR="007C2761" w:rsidRPr="00FC698D" w:rsidRDefault="007C2761" w:rsidP="00C82350">
            <w:pPr>
              <w:widowControl w:val="0"/>
              <w:suppressAutoHyphens w:val="0"/>
              <w:adjustRightInd w:val="0"/>
              <w:snapToGrid w:val="0"/>
              <w:spacing w:after="0" w:line="360" w:lineRule="auto"/>
              <w:jc w:val="both"/>
              <w:rPr>
                <w:rFonts w:ascii="Book Antiqua" w:eastAsia="MS Mincho" w:hAnsi="Book Antiqua"/>
                <w:bCs/>
                <w:color w:val="auto"/>
                <w:lang w:eastAsia="ja-JP"/>
              </w:rPr>
            </w:pPr>
            <w:r w:rsidRPr="00FC698D">
              <w:rPr>
                <w:rFonts w:ascii="Book Antiqua" w:eastAsia="MS Mincho" w:hAnsi="Book Antiqua"/>
                <w:bCs/>
                <w:color w:val="auto"/>
                <w:lang w:eastAsia="ja-JP"/>
              </w:rPr>
              <w:t>P</w:t>
            </w:r>
            <w:r w:rsidR="00FC698D" w:rsidRPr="00FC698D">
              <w:rPr>
                <w:rFonts w:ascii="Book Antiqua" w:eastAsia="MS Mincho" w:hAnsi="Book Antiqua"/>
                <w:bCs/>
                <w:color w:val="auto"/>
                <w:lang w:eastAsia="ja-JP"/>
              </w:rPr>
              <w:t>PAR</w:t>
            </w:r>
            <w:r w:rsidRPr="00FC698D">
              <w:rPr>
                <w:rFonts w:ascii="Book Antiqua" w:eastAsia="MS Mincho" w:hAnsi="Book Antiqua"/>
                <w:bCs/>
                <w:color w:val="auto"/>
                <w:lang w:eastAsia="ja-JP"/>
              </w:rPr>
              <w:t xml:space="preserve">-gamma </w:t>
            </w:r>
            <w:r w:rsidR="00FC698D" w:rsidRPr="00FC698D">
              <w:rPr>
                <w:rFonts w:ascii="Book Antiqua" w:eastAsia="MS Mincho" w:hAnsi="Book Antiqua"/>
                <w:bCs/>
                <w:color w:val="auto"/>
                <w:lang w:eastAsia="ja-JP"/>
              </w:rPr>
              <w:t>agonists</w:t>
            </w:r>
          </w:p>
        </w:tc>
        <w:tc>
          <w:tcPr>
            <w:tcW w:w="2409"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C</w:t>
            </w:r>
            <w:r w:rsidR="007C2761" w:rsidRPr="00C82350">
              <w:rPr>
                <w:rFonts w:ascii="Book Antiqua" w:eastAsia="MS Mincho" w:hAnsi="Book Antiqua"/>
                <w:color w:val="auto"/>
                <w:lang w:val="en-GB" w:eastAsia="ja-JP"/>
              </w:rPr>
              <w:t>onsider</w:t>
            </w:r>
            <w:r w:rsidRPr="009E4C4F">
              <w:rPr>
                <w:rFonts w:ascii="Book Antiqua" w:hAnsi="Book Antiqua" w:hint="eastAsia"/>
                <w:color w:val="auto"/>
                <w:lang w:val="en-GB"/>
              </w:rPr>
              <w:t xml:space="preserve"> </w:t>
            </w:r>
            <w:r w:rsidR="007C2761" w:rsidRPr="00C82350">
              <w:rPr>
                <w:rFonts w:ascii="Book Antiqua" w:eastAsia="MS Mincho" w:hAnsi="Book Antiqua"/>
                <w:color w:val="auto"/>
                <w:lang w:val="en-GB" w:eastAsia="ja-JP"/>
              </w:rPr>
              <w:t>use in selected diabetic patients</w:t>
            </w:r>
          </w:p>
        </w:tc>
        <w:tc>
          <w:tcPr>
            <w:tcW w:w="2694"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C</w:t>
            </w:r>
            <w:r w:rsidR="007C2761" w:rsidRPr="00C82350">
              <w:rPr>
                <w:rFonts w:ascii="Book Antiqua" w:eastAsia="MS Mincho" w:hAnsi="Book Antiqua"/>
                <w:color w:val="auto"/>
                <w:lang w:val="en-GB" w:eastAsia="ja-JP"/>
              </w:rPr>
              <w:t>onsider</w:t>
            </w:r>
            <w:r w:rsidRPr="009E4C4F">
              <w:rPr>
                <w:rFonts w:ascii="Book Antiqua" w:hAnsi="Book Antiqua" w:hint="eastAsia"/>
                <w:color w:val="auto"/>
                <w:lang w:val="en-GB"/>
              </w:rPr>
              <w:t xml:space="preserve"> </w:t>
            </w:r>
            <w:r w:rsidR="007C2761" w:rsidRPr="00C82350">
              <w:rPr>
                <w:rFonts w:ascii="Book Antiqua" w:eastAsia="MS Mincho" w:hAnsi="Book Antiqua"/>
                <w:color w:val="auto"/>
                <w:lang w:val="en-GB" w:eastAsia="ja-JP"/>
              </w:rPr>
              <w:t>pioglitazone in adults regardless of diabetes</w:t>
            </w:r>
          </w:p>
        </w:tc>
        <w:tc>
          <w:tcPr>
            <w:tcW w:w="2835"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I</w:t>
            </w:r>
            <w:r w:rsidR="007C2761" w:rsidRPr="00C82350">
              <w:rPr>
                <w:rFonts w:ascii="Book Antiqua" w:eastAsia="MS Mincho" w:hAnsi="Book Antiqua"/>
                <w:color w:val="auto"/>
                <w:lang w:eastAsia="ja-JP"/>
              </w:rPr>
              <w:t>nsufficient</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evidence in Asian</w:t>
            </w:r>
          </w:p>
        </w:tc>
        <w:tc>
          <w:tcPr>
            <w:tcW w:w="2693"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I</w:t>
            </w:r>
            <w:r w:rsidR="007C2761" w:rsidRPr="00C82350">
              <w:rPr>
                <w:rFonts w:ascii="Book Antiqua" w:eastAsia="MS Mincho" w:hAnsi="Book Antiqua"/>
                <w:color w:val="auto"/>
                <w:lang w:val="en-GB" w:eastAsia="ja-JP"/>
              </w:rPr>
              <w:t>nsufficient</w:t>
            </w:r>
            <w:r w:rsidRPr="009E4C4F">
              <w:rPr>
                <w:rFonts w:ascii="Book Antiqua" w:hAnsi="Book Antiqua" w:hint="eastAsia"/>
                <w:color w:val="auto"/>
                <w:lang w:val="en-GB"/>
              </w:rPr>
              <w:t xml:space="preserve"> </w:t>
            </w:r>
            <w:r w:rsidR="007C2761" w:rsidRPr="00C82350">
              <w:rPr>
                <w:rFonts w:ascii="Book Antiqua" w:eastAsia="MS Mincho" w:hAnsi="Book Antiqua"/>
                <w:color w:val="auto"/>
                <w:lang w:val="en-GB" w:eastAsia="ja-JP"/>
              </w:rPr>
              <w:t>evidence, potentially useful</w:t>
            </w:r>
          </w:p>
        </w:tc>
        <w:tc>
          <w:tcPr>
            <w:tcW w:w="3544"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P</w:t>
            </w:r>
            <w:r w:rsidR="007C2761" w:rsidRPr="00C82350">
              <w:rPr>
                <w:rFonts w:ascii="Book Antiqua" w:eastAsia="MS Mincho" w:hAnsi="Book Antiqua"/>
                <w:color w:val="auto"/>
                <w:lang w:val="en-GB" w:eastAsia="ja-JP"/>
              </w:rPr>
              <w:t>ioglitazone</w:t>
            </w:r>
            <w:r w:rsidRPr="009E4C4F">
              <w:rPr>
                <w:rFonts w:ascii="Book Antiqua" w:hAnsi="Book Antiqua" w:hint="eastAsia"/>
                <w:color w:val="auto"/>
                <w:lang w:val="en-GB"/>
              </w:rPr>
              <w:t xml:space="preserve"> </w:t>
            </w:r>
            <w:r w:rsidR="007C2761" w:rsidRPr="00C82350">
              <w:rPr>
                <w:rFonts w:ascii="Book Antiqua" w:eastAsia="MS Mincho" w:hAnsi="Book Antiqua"/>
                <w:color w:val="auto"/>
                <w:lang w:val="en-GB" w:eastAsia="ja-JP"/>
              </w:rPr>
              <w:t>indicated in biopsy-proven NASH (regardless of diabetes)</w:t>
            </w:r>
          </w:p>
        </w:tc>
      </w:tr>
      <w:tr w:rsidR="007C2761" w:rsidRPr="00C82350" w:rsidTr="00FC698D">
        <w:trPr>
          <w:trHeight w:val="720"/>
        </w:trPr>
        <w:tc>
          <w:tcPr>
            <w:tcW w:w="2127" w:type="dxa"/>
          </w:tcPr>
          <w:p w:rsidR="007C2761" w:rsidRPr="00FC698D" w:rsidRDefault="007C2761" w:rsidP="00C82350">
            <w:pPr>
              <w:widowControl w:val="0"/>
              <w:suppressAutoHyphens w:val="0"/>
              <w:adjustRightInd w:val="0"/>
              <w:snapToGrid w:val="0"/>
              <w:spacing w:after="0" w:line="360" w:lineRule="auto"/>
              <w:jc w:val="both"/>
              <w:rPr>
                <w:rFonts w:ascii="Book Antiqua" w:eastAsia="MS Mincho" w:hAnsi="Book Antiqua"/>
                <w:bCs/>
                <w:color w:val="auto"/>
                <w:lang w:eastAsia="ja-JP"/>
              </w:rPr>
            </w:pPr>
            <w:r w:rsidRPr="00FC698D">
              <w:rPr>
                <w:rFonts w:ascii="Book Antiqua" w:eastAsia="MS Mincho" w:hAnsi="Book Antiqua"/>
                <w:bCs/>
                <w:color w:val="auto"/>
                <w:lang w:eastAsia="ja-JP"/>
              </w:rPr>
              <w:t>PUFA</w:t>
            </w:r>
          </w:p>
        </w:tc>
        <w:tc>
          <w:tcPr>
            <w:tcW w:w="2409"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N</w:t>
            </w:r>
            <w:r w:rsidR="007C2761" w:rsidRPr="00C82350">
              <w:rPr>
                <w:rFonts w:ascii="Book Antiqua" w:eastAsia="MS Mincho" w:hAnsi="Book Antiqua"/>
                <w:color w:val="auto"/>
                <w:lang w:eastAsia="ja-JP"/>
              </w:rPr>
              <w:t>ot</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beneficial</w:t>
            </w:r>
          </w:p>
        </w:tc>
        <w:tc>
          <w:tcPr>
            <w:tcW w:w="2694"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I</w:t>
            </w:r>
            <w:r w:rsidR="007C2761" w:rsidRPr="00C82350">
              <w:rPr>
                <w:rFonts w:ascii="Book Antiqua" w:eastAsia="MS Mincho" w:hAnsi="Book Antiqua"/>
                <w:color w:val="auto"/>
                <w:lang w:eastAsia="ja-JP"/>
              </w:rPr>
              <w:t>nsufficient</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evidence</w:t>
            </w:r>
          </w:p>
        </w:tc>
        <w:tc>
          <w:tcPr>
            <w:tcW w:w="2835"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N</w:t>
            </w:r>
            <w:r w:rsidR="007C2761" w:rsidRPr="00C82350">
              <w:rPr>
                <w:rFonts w:ascii="Book Antiqua" w:eastAsia="MS Mincho" w:hAnsi="Book Antiqua"/>
                <w:color w:val="auto"/>
                <w:lang w:eastAsia="ja-JP"/>
              </w:rPr>
              <w:t>ot</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beneficial</w:t>
            </w:r>
          </w:p>
        </w:tc>
        <w:tc>
          <w:tcPr>
            <w:tcW w:w="2693"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not mentioned</w:t>
            </w:r>
          </w:p>
        </w:tc>
        <w:tc>
          <w:tcPr>
            <w:tcW w:w="3544"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N</w:t>
            </w:r>
            <w:r w:rsidR="007C2761" w:rsidRPr="00C82350">
              <w:rPr>
                <w:rFonts w:ascii="Book Antiqua" w:eastAsia="MS Mincho" w:hAnsi="Book Antiqua"/>
                <w:color w:val="auto"/>
                <w:lang w:eastAsia="ja-JP"/>
              </w:rPr>
              <w:t>ot</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beneficial</w:t>
            </w:r>
          </w:p>
        </w:tc>
      </w:tr>
      <w:tr w:rsidR="007C2761" w:rsidRPr="00C82350" w:rsidTr="00FC698D">
        <w:trPr>
          <w:trHeight w:val="720"/>
        </w:trPr>
        <w:tc>
          <w:tcPr>
            <w:tcW w:w="2127" w:type="dxa"/>
          </w:tcPr>
          <w:p w:rsidR="007C2761" w:rsidRPr="00FC698D" w:rsidRDefault="007C2761" w:rsidP="00C82350">
            <w:pPr>
              <w:widowControl w:val="0"/>
              <w:suppressAutoHyphens w:val="0"/>
              <w:adjustRightInd w:val="0"/>
              <w:snapToGrid w:val="0"/>
              <w:spacing w:after="0" w:line="360" w:lineRule="auto"/>
              <w:jc w:val="both"/>
              <w:rPr>
                <w:rFonts w:ascii="Book Antiqua" w:eastAsia="MS Mincho" w:hAnsi="Book Antiqua"/>
                <w:bCs/>
                <w:color w:val="auto"/>
                <w:lang w:eastAsia="ja-JP"/>
              </w:rPr>
            </w:pPr>
            <w:r w:rsidRPr="00FC698D">
              <w:rPr>
                <w:rFonts w:ascii="Book Antiqua" w:eastAsia="MS Mincho" w:hAnsi="Book Antiqua"/>
                <w:bCs/>
                <w:color w:val="auto"/>
                <w:lang w:eastAsia="ja-JP"/>
              </w:rPr>
              <w:t>P</w:t>
            </w:r>
            <w:r w:rsidR="00FC698D" w:rsidRPr="00FC698D">
              <w:rPr>
                <w:rFonts w:ascii="Book Antiqua" w:eastAsia="MS Mincho" w:hAnsi="Book Antiqua"/>
                <w:bCs/>
                <w:color w:val="auto"/>
                <w:lang w:eastAsia="ja-JP"/>
              </w:rPr>
              <w:t>entoxifylline</w:t>
            </w:r>
          </w:p>
        </w:tc>
        <w:tc>
          <w:tcPr>
            <w:tcW w:w="2409"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I</w:t>
            </w:r>
            <w:r w:rsidR="007C2761" w:rsidRPr="00C82350">
              <w:rPr>
                <w:rFonts w:ascii="Book Antiqua" w:eastAsia="MS Mincho" w:hAnsi="Book Antiqua"/>
                <w:color w:val="auto"/>
                <w:lang w:eastAsia="ja-JP"/>
              </w:rPr>
              <w:t>nsufficient</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evidence</w:t>
            </w:r>
          </w:p>
        </w:tc>
        <w:tc>
          <w:tcPr>
            <w:tcW w:w="2694"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N</w:t>
            </w:r>
            <w:r w:rsidR="007C2761" w:rsidRPr="00C82350">
              <w:rPr>
                <w:rFonts w:ascii="Book Antiqua" w:eastAsia="MS Mincho" w:hAnsi="Book Antiqua"/>
                <w:color w:val="auto"/>
                <w:lang w:eastAsia="ja-JP"/>
              </w:rPr>
              <w:t>ot</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mentioned</w:t>
            </w:r>
          </w:p>
        </w:tc>
        <w:tc>
          <w:tcPr>
            <w:tcW w:w="2835"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N</w:t>
            </w:r>
            <w:r w:rsidR="007C2761" w:rsidRPr="00C82350">
              <w:rPr>
                <w:rFonts w:ascii="Book Antiqua" w:eastAsia="MS Mincho" w:hAnsi="Book Antiqua"/>
                <w:color w:val="auto"/>
                <w:lang w:eastAsia="ja-JP"/>
              </w:rPr>
              <w:t>ot</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beneficial</w:t>
            </w:r>
          </w:p>
        </w:tc>
        <w:tc>
          <w:tcPr>
            <w:tcW w:w="2693"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N</w:t>
            </w:r>
            <w:r w:rsidR="007C2761" w:rsidRPr="00C82350">
              <w:rPr>
                <w:rFonts w:ascii="Book Antiqua" w:eastAsia="MS Mincho" w:hAnsi="Book Antiqua"/>
                <w:color w:val="auto"/>
                <w:lang w:eastAsia="ja-JP"/>
              </w:rPr>
              <w:t>ot</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mentioned</w:t>
            </w:r>
          </w:p>
        </w:tc>
        <w:tc>
          <w:tcPr>
            <w:tcW w:w="3544"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N</w:t>
            </w:r>
            <w:r w:rsidR="007C2761" w:rsidRPr="00C82350">
              <w:rPr>
                <w:rFonts w:ascii="Book Antiqua" w:eastAsia="MS Mincho" w:hAnsi="Book Antiqua"/>
                <w:color w:val="auto"/>
                <w:lang w:eastAsia="ja-JP"/>
              </w:rPr>
              <w:t>ot</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mentioned</w:t>
            </w:r>
          </w:p>
        </w:tc>
      </w:tr>
      <w:tr w:rsidR="007C2761" w:rsidRPr="00C82350" w:rsidTr="00FC698D">
        <w:trPr>
          <w:trHeight w:val="720"/>
        </w:trPr>
        <w:tc>
          <w:tcPr>
            <w:tcW w:w="2127" w:type="dxa"/>
          </w:tcPr>
          <w:p w:rsidR="007C2761" w:rsidRPr="00FC698D" w:rsidRDefault="007C2761" w:rsidP="00C82350">
            <w:pPr>
              <w:widowControl w:val="0"/>
              <w:suppressAutoHyphens w:val="0"/>
              <w:adjustRightInd w:val="0"/>
              <w:snapToGrid w:val="0"/>
              <w:spacing w:after="0" w:line="360" w:lineRule="auto"/>
              <w:jc w:val="both"/>
              <w:rPr>
                <w:rFonts w:ascii="Book Antiqua" w:eastAsia="MS Mincho" w:hAnsi="Book Antiqua"/>
                <w:bCs/>
                <w:color w:val="auto"/>
                <w:lang w:eastAsia="ja-JP"/>
              </w:rPr>
            </w:pPr>
            <w:r w:rsidRPr="00FC698D">
              <w:rPr>
                <w:rFonts w:ascii="Book Antiqua" w:eastAsia="MS Mincho" w:hAnsi="Book Antiqua"/>
                <w:bCs/>
                <w:color w:val="auto"/>
                <w:lang w:eastAsia="ja-JP"/>
              </w:rPr>
              <w:t xml:space="preserve">GLP-1 </w:t>
            </w:r>
            <w:r w:rsidR="00FC698D" w:rsidRPr="00FC698D">
              <w:rPr>
                <w:rFonts w:ascii="Book Antiqua" w:eastAsia="MS Mincho" w:hAnsi="Book Antiqua"/>
                <w:bCs/>
                <w:color w:val="auto"/>
                <w:lang w:eastAsia="ja-JP"/>
              </w:rPr>
              <w:t>analogues</w:t>
            </w:r>
          </w:p>
        </w:tc>
        <w:tc>
          <w:tcPr>
            <w:tcW w:w="2409"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I</w:t>
            </w:r>
            <w:r w:rsidR="007C2761" w:rsidRPr="00C82350">
              <w:rPr>
                <w:rFonts w:ascii="Book Antiqua" w:eastAsia="MS Mincho" w:hAnsi="Book Antiqua"/>
                <w:color w:val="auto"/>
                <w:lang w:eastAsia="ja-JP"/>
              </w:rPr>
              <w:t>nsufficient</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evidence, potentially useful</w:t>
            </w:r>
          </w:p>
        </w:tc>
        <w:tc>
          <w:tcPr>
            <w:tcW w:w="2694"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I</w:t>
            </w:r>
            <w:r w:rsidR="007C2761" w:rsidRPr="00C82350">
              <w:rPr>
                <w:rFonts w:ascii="Book Antiqua" w:eastAsia="MS Mincho" w:hAnsi="Book Antiqua"/>
                <w:color w:val="auto"/>
                <w:lang w:eastAsia="ja-JP"/>
              </w:rPr>
              <w:t>nsufficient</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evidence</w:t>
            </w:r>
          </w:p>
        </w:tc>
        <w:tc>
          <w:tcPr>
            <w:tcW w:w="2835"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I</w:t>
            </w:r>
            <w:r w:rsidR="007C2761" w:rsidRPr="00C82350">
              <w:rPr>
                <w:rFonts w:ascii="Book Antiqua" w:eastAsia="MS Mincho" w:hAnsi="Book Antiqua"/>
                <w:color w:val="auto"/>
                <w:lang w:val="en-GB" w:eastAsia="ja-JP"/>
              </w:rPr>
              <w:t>nsufficient</w:t>
            </w:r>
            <w:r w:rsidRPr="009E4C4F">
              <w:rPr>
                <w:rFonts w:ascii="Book Antiqua" w:hAnsi="Book Antiqua" w:hint="eastAsia"/>
                <w:color w:val="auto"/>
                <w:lang w:val="en-GB"/>
              </w:rPr>
              <w:t xml:space="preserve"> </w:t>
            </w:r>
            <w:r w:rsidR="007C2761" w:rsidRPr="00C82350">
              <w:rPr>
                <w:rFonts w:ascii="Book Antiqua" w:eastAsia="MS Mincho" w:hAnsi="Book Antiqua"/>
                <w:color w:val="auto"/>
                <w:lang w:val="en-GB" w:eastAsia="ja-JP"/>
              </w:rPr>
              <w:t>evidence in Asian patients</w:t>
            </w:r>
          </w:p>
        </w:tc>
        <w:tc>
          <w:tcPr>
            <w:tcW w:w="2693"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I</w:t>
            </w:r>
            <w:r w:rsidR="007C2761" w:rsidRPr="00C82350">
              <w:rPr>
                <w:rFonts w:ascii="Book Antiqua" w:eastAsia="MS Mincho" w:hAnsi="Book Antiqua"/>
                <w:color w:val="auto"/>
                <w:lang w:eastAsia="ja-JP"/>
              </w:rPr>
              <w:t>nsufficient</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evidence, potentially useful</w:t>
            </w:r>
          </w:p>
        </w:tc>
        <w:tc>
          <w:tcPr>
            <w:tcW w:w="3544"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I</w:t>
            </w:r>
            <w:r w:rsidR="007C2761" w:rsidRPr="00C82350">
              <w:rPr>
                <w:rFonts w:ascii="Book Antiqua" w:eastAsia="MS Mincho" w:hAnsi="Book Antiqua"/>
                <w:color w:val="auto"/>
                <w:lang w:eastAsia="ja-JP"/>
              </w:rPr>
              <w:t>nsufficient</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evidence</w:t>
            </w:r>
          </w:p>
        </w:tc>
      </w:tr>
      <w:tr w:rsidR="007C2761" w:rsidRPr="00C82350" w:rsidTr="00FC698D">
        <w:trPr>
          <w:trHeight w:val="720"/>
        </w:trPr>
        <w:tc>
          <w:tcPr>
            <w:tcW w:w="2127" w:type="dxa"/>
          </w:tcPr>
          <w:p w:rsidR="007C2761" w:rsidRPr="00FC698D" w:rsidRDefault="007C2761" w:rsidP="00C82350">
            <w:pPr>
              <w:widowControl w:val="0"/>
              <w:suppressAutoHyphens w:val="0"/>
              <w:adjustRightInd w:val="0"/>
              <w:snapToGrid w:val="0"/>
              <w:spacing w:after="0" w:line="360" w:lineRule="auto"/>
              <w:jc w:val="both"/>
              <w:rPr>
                <w:rFonts w:ascii="Book Antiqua" w:eastAsia="MS Mincho" w:hAnsi="Book Antiqua"/>
                <w:bCs/>
                <w:color w:val="auto"/>
                <w:lang w:eastAsia="ja-JP"/>
              </w:rPr>
            </w:pPr>
            <w:r w:rsidRPr="00FC698D">
              <w:rPr>
                <w:rFonts w:ascii="Book Antiqua" w:eastAsia="MS Mincho" w:hAnsi="Book Antiqua"/>
                <w:bCs/>
                <w:color w:val="auto"/>
                <w:lang w:eastAsia="ja-JP"/>
              </w:rPr>
              <w:t>UDCA</w:t>
            </w:r>
          </w:p>
        </w:tc>
        <w:tc>
          <w:tcPr>
            <w:tcW w:w="2409"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N</w:t>
            </w:r>
            <w:r w:rsidR="007C2761" w:rsidRPr="00C82350">
              <w:rPr>
                <w:rFonts w:ascii="Book Antiqua" w:eastAsia="MS Mincho" w:hAnsi="Book Antiqua"/>
                <w:color w:val="auto"/>
                <w:lang w:eastAsia="ja-JP"/>
              </w:rPr>
              <w:t>ot</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beneficial</w:t>
            </w:r>
          </w:p>
        </w:tc>
        <w:tc>
          <w:tcPr>
            <w:tcW w:w="2694"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N</w:t>
            </w:r>
            <w:r w:rsidR="007C2761" w:rsidRPr="00C82350">
              <w:rPr>
                <w:rFonts w:ascii="Book Antiqua" w:eastAsia="MS Mincho" w:hAnsi="Book Antiqua"/>
                <w:color w:val="auto"/>
                <w:lang w:eastAsia="ja-JP"/>
              </w:rPr>
              <w:t>ot</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beneficial</w:t>
            </w:r>
          </w:p>
        </w:tc>
        <w:tc>
          <w:tcPr>
            <w:tcW w:w="2835"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N</w:t>
            </w:r>
            <w:r w:rsidR="007C2761" w:rsidRPr="00C82350">
              <w:rPr>
                <w:rFonts w:ascii="Book Antiqua" w:eastAsia="MS Mincho" w:hAnsi="Book Antiqua"/>
                <w:color w:val="auto"/>
                <w:lang w:eastAsia="ja-JP"/>
              </w:rPr>
              <w:t>ot</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mentioned</w:t>
            </w:r>
          </w:p>
        </w:tc>
        <w:tc>
          <w:tcPr>
            <w:tcW w:w="2693"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N</w:t>
            </w:r>
            <w:r w:rsidR="007C2761" w:rsidRPr="00C82350">
              <w:rPr>
                <w:rFonts w:ascii="Book Antiqua" w:eastAsia="MS Mincho" w:hAnsi="Book Antiqua"/>
                <w:color w:val="auto"/>
                <w:lang w:eastAsia="ja-JP"/>
              </w:rPr>
              <w:t>ot</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mentioned</w:t>
            </w:r>
          </w:p>
        </w:tc>
        <w:tc>
          <w:tcPr>
            <w:tcW w:w="3544"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N</w:t>
            </w:r>
            <w:r w:rsidR="007C2761" w:rsidRPr="00C82350">
              <w:rPr>
                <w:rFonts w:ascii="Book Antiqua" w:eastAsia="MS Mincho" w:hAnsi="Book Antiqua"/>
                <w:color w:val="auto"/>
                <w:lang w:eastAsia="ja-JP"/>
              </w:rPr>
              <w:t>ot</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beneficial</w:t>
            </w:r>
          </w:p>
        </w:tc>
      </w:tr>
      <w:tr w:rsidR="007C2761" w:rsidRPr="00C82350" w:rsidTr="00FC698D">
        <w:trPr>
          <w:trHeight w:val="720"/>
        </w:trPr>
        <w:tc>
          <w:tcPr>
            <w:tcW w:w="2127" w:type="dxa"/>
          </w:tcPr>
          <w:p w:rsidR="007C2761" w:rsidRPr="00FC698D" w:rsidRDefault="007C2761" w:rsidP="00C82350">
            <w:pPr>
              <w:widowControl w:val="0"/>
              <w:suppressAutoHyphens w:val="0"/>
              <w:adjustRightInd w:val="0"/>
              <w:snapToGrid w:val="0"/>
              <w:spacing w:after="0" w:line="360" w:lineRule="auto"/>
              <w:jc w:val="both"/>
              <w:rPr>
                <w:rFonts w:ascii="Book Antiqua" w:eastAsia="MS Mincho" w:hAnsi="Book Antiqua"/>
                <w:bCs/>
                <w:color w:val="auto"/>
                <w:lang w:eastAsia="ja-JP"/>
              </w:rPr>
            </w:pPr>
            <w:r w:rsidRPr="00FC698D">
              <w:rPr>
                <w:rFonts w:ascii="Book Antiqua" w:eastAsia="MS Mincho" w:hAnsi="Book Antiqua"/>
                <w:bCs/>
                <w:color w:val="auto"/>
                <w:lang w:eastAsia="ja-JP"/>
              </w:rPr>
              <w:t>O</w:t>
            </w:r>
            <w:r w:rsidR="00FC698D" w:rsidRPr="00FC698D">
              <w:rPr>
                <w:rFonts w:ascii="Book Antiqua" w:eastAsia="MS Mincho" w:hAnsi="Book Antiqua"/>
                <w:bCs/>
                <w:color w:val="auto"/>
                <w:lang w:eastAsia="ja-JP"/>
              </w:rPr>
              <w:t>betycolic acid</w:t>
            </w:r>
          </w:p>
        </w:tc>
        <w:tc>
          <w:tcPr>
            <w:tcW w:w="2409"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S</w:t>
            </w:r>
            <w:r w:rsidR="007C2761" w:rsidRPr="00C82350">
              <w:rPr>
                <w:rFonts w:ascii="Book Antiqua" w:eastAsia="MS Mincho" w:hAnsi="Book Antiqua"/>
                <w:color w:val="auto"/>
                <w:lang w:eastAsia="ja-JP"/>
              </w:rPr>
              <w:t>carce</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evidence</w:t>
            </w:r>
          </w:p>
        </w:tc>
        <w:tc>
          <w:tcPr>
            <w:tcW w:w="2694"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N</w:t>
            </w:r>
            <w:r w:rsidR="007C2761" w:rsidRPr="00C82350">
              <w:rPr>
                <w:rFonts w:ascii="Book Antiqua" w:eastAsia="MS Mincho" w:hAnsi="Book Antiqua"/>
                <w:color w:val="auto"/>
                <w:lang w:eastAsia="ja-JP"/>
              </w:rPr>
              <w:t>ot</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mentioned</w:t>
            </w:r>
          </w:p>
        </w:tc>
        <w:tc>
          <w:tcPr>
            <w:tcW w:w="2835" w:type="dxa"/>
          </w:tcPr>
          <w:p w:rsidR="007C2761" w:rsidRPr="00C82350" w:rsidRDefault="00FC698D" w:rsidP="00FC698D">
            <w:pPr>
              <w:widowControl w:val="0"/>
              <w:suppressAutoHyphens w:val="0"/>
              <w:adjustRightInd w:val="0"/>
              <w:snapToGrid w:val="0"/>
              <w:spacing w:after="0" w:line="360" w:lineRule="auto"/>
              <w:jc w:val="center"/>
              <w:rPr>
                <w:rFonts w:ascii="Book Antiqua" w:eastAsia="MS Mincho" w:hAnsi="Book Antiqua"/>
                <w:color w:val="auto"/>
                <w:lang w:val="en-GB" w:eastAsia="ja-JP"/>
              </w:rPr>
            </w:pPr>
            <w:r>
              <w:rPr>
                <w:rFonts w:ascii="Book Antiqua" w:eastAsia="MS Mincho" w:hAnsi="Book Antiqua"/>
                <w:color w:val="auto"/>
                <w:lang w:val="en-GB" w:eastAsia="ja-JP"/>
              </w:rPr>
              <w:t xml:space="preserve">waiting for ongoing RCT </w:t>
            </w:r>
            <w:r w:rsidR="007C2761" w:rsidRPr="00C82350">
              <w:rPr>
                <w:rFonts w:ascii="Book Antiqua" w:eastAsia="MS Mincho" w:hAnsi="Book Antiqua"/>
                <w:color w:val="auto"/>
                <w:lang w:val="en-GB" w:eastAsia="ja-JP"/>
              </w:rPr>
              <w:t>results</w:t>
            </w:r>
          </w:p>
        </w:tc>
        <w:tc>
          <w:tcPr>
            <w:tcW w:w="2693"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val="en-GB" w:eastAsia="ja-JP"/>
              </w:rPr>
            </w:pPr>
            <w:r w:rsidRPr="00C82350">
              <w:rPr>
                <w:rFonts w:ascii="Book Antiqua" w:eastAsia="MS Mincho" w:hAnsi="Book Antiqua"/>
                <w:color w:val="auto"/>
                <w:lang w:val="en-GB" w:eastAsia="ja-JP"/>
              </w:rPr>
              <w:t>W</w:t>
            </w:r>
            <w:r w:rsidR="007C2761" w:rsidRPr="00C82350">
              <w:rPr>
                <w:rFonts w:ascii="Book Antiqua" w:eastAsia="MS Mincho" w:hAnsi="Book Antiqua"/>
                <w:color w:val="auto"/>
                <w:lang w:val="en-GB" w:eastAsia="ja-JP"/>
              </w:rPr>
              <w:t>aiting</w:t>
            </w:r>
            <w:r w:rsidRPr="009E4C4F">
              <w:rPr>
                <w:rFonts w:ascii="Book Antiqua" w:hAnsi="Book Antiqua" w:hint="eastAsia"/>
                <w:color w:val="auto"/>
                <w:lang w:val="en-GB"/>
              </w:rPr>
              <w:t xml:space="preserve"> </w:t>
            </w:r>
            <w:r w:rsidR="007C2761" w:rsidRPr="00C82350">
              <w:rPr>
                <w:rFonts w:ascii="Book Antiqua" w:eastAsia="MS Mincho" w:hAnsi="Book Antiqua"/>
                <w:color w:val="auto"/>
                <w:lang w:val="en-GB" w:eastAsia="ja-JP"/>
              </w:rPr>
              <w:t>for ongoing RCT</w:t>
            </w:r>
            <w:r w:rsidR="00FC698D">
              <w:rPr>
                <w:rFonts w:ascii="Book Antiqua" w:eastAsia="MS Mincho" w:hAnsi="Book Antiqua"/>
                <w:color w:val="auto"/>
                <w:lang w:val="en-GB" w:eastAsia="ja-JP"/>
              </w:rPr>
              <w:t xml:space="preserve"> </w:t>
            </w:r>
            <w:r w:rsidR="007C2761" w:rsidRPr="00C82350">
              <w:rPr>
                <w:rFonts w:ascii="Book Antiqua" w:eastAsia="MS Mincho" w:hAnsi="Book Antiqua"/>
                <w:color w:val="auto"/>
                <w:lang w:val="en-GB" w:eastAsia="ja-JP"/>
              </w:rPr>
              <w:t>results</w:t>
            </w:r>
          </w:p>
        </w:tc>
        <w:tc>
          <w:tcPr>
            <w:tcW w:w="3544"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I</w:t>
            </w:r>
            <w:r w:rsidR="007C2761" w:rsidRPr="00C82350">
              <w:rPr>
                <w:rFonts w:ascii="Book Antiqua" w:eastAsia="MS Mincho" w:hAnsi="Book Antiqua"/>
                <w:color w:val="auto"/>
                <w:lang w:eastAsia="ja-JP"/>
              </w:rPr>
              <w:t>nsufficient</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evidence</w:t>
            </w:r>
          </w:p>
        </w:tc>
      </w:tr>
      <w:tr w:rsidR="007C2761" w:rsidRPr="00C82350" w:rsidTr="00FC698D">
        <w:trPr>
          <w:trHeight w:val="720"/>
        </w:trPr>
        <w:tc>
          <w:tcPr>
            <w:tcW w:w="2127" w:type="dxa"/>
          </w:tcPr>
          <w:p w:rsidR="007C2761" w:rsidRPr="00FC698D" w:rsidRDefault="007C2761" w:rsidP="00C82350">
            <w:pPr>
              <w:widowControl w:val="0"/>
              <w:suppressAutoHyphens w:val="0"/>
              <w:adjustRightInd w:val="0"/>
              <w:snapToGrid w:val="0"/>
              <w:spacing w:after="0" w:line="360" w:lineRule="auto"/>
              <w:jc w:val="both"/>
              <w:rPr>
                <w:rFonts w:ascii="Book Antiqua" w:eastAsia="MS Mincho" w:hAnsi="Book Antiqua"/>
                <w:bCs/>
                <w:color w:val="auto"/>
                <w:lang w:eastAsia="ja-JP"/>
              </w:rPr>
            </w:pPr>
            <w:r w:rsidRPr="00FC698D">
              <w:rPr>
                <w:rFonts w:ascii="Book Antiqua" w:eastAsia="MS Mincho" w:hAnsi="Book Antiqua"/>
                <w:bCs/>
                <w:color w:val="auto"/>
                <w:lang w:eastAsia="ja-JP"/>
              </w:rPr>
              <w:t>S</w:t>
            </w:r>
            <w:r w:rsidR="00FC698D" w:rsidRPr="00FC698D">
              <w:rPr>
                <w:rFonts w:ascii="Book Antiqua" w:eastAsia="MS Mincho" w:hAnsi="Book Antiqua"/>
                <w:bCs/>
                <w:color w:val="auto"/>
                <w:lang w:eastAsia="ja-JP"/>
              </w:rPr>
              <w:t>ilymarin</w:t>
            </w:r>
          </w:p>
        </w:tc>
        <w:tc>
          <w:tcPr>
            <w:tcW w:w="2409"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N</w:t>
            </w:r>
            <w:r w:rsidR="007C2761" w:rsidRPr="00C82350">
              <w:rPr>
                <w:rFonts w:ascii="Book Antiqua" w:eastAsia="MS Mincho" w:hAnsi="Book Antiqua"/>
                <w:color w:val="auto"/>
                <w:lang w:eastAsia="ja-JP"/>
              </w:rPr>
              <w:t>ot</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mentioned</w:t>
            </w:r>
          </w:p>
        </w:tc>
        <w:tc>
          <w:tcPr>
            <w:tcW w:w="2694"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N</w:t>
            </w:r>
            <w:r w:rsidR="007C2761" w:rsidRPr="00C82350">
              <w:rPr>
                <w:rFonts w:ascii="Book Antiqua" w:eastAsia="MS Mincho" w:hAnsi="Book Antiqua"/>
                <w:color w:val="auto"/>
                <w:lang w:eastAsia="ja-JP"/>
              </w:rPr>
              <w:t>ot</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mentioned</w:t>
            </w:r>
          </w:p>
        </w:tc>
        <w:tc>
          <w:tcPr>
            <w:tcW w:w="2835" w:type="dxa"/>
          </w:tcPr>
          <w:p w:rsidR="007C2761" w:rsidRPr="00C82350" w:rsidRDefault="007C2761" w:rsidP="00FC698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insufficient evidence, potentially useful</w:t>
            </w:r>
          </w:p>
        </w:tc>
        <w:tc>
          <w:tcPr>
            <w:tcW w:w="2693"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N</w:t>
            </w:r>
            <w:r w:rsidR="007C2761" w:rsidRPr="00C82350">
              <w:rPr>
                <w:rFonts w:ascii="Book Antiqua" w:eastAsia="MS Mincho" w:hAnsi="Book Antiqua"/>
                <w:color w:val="auto"/>
                <w:lang w:eastAsia="ja-JP"/>
              </w:rPr>
              <w:t>ot</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mentioned</w:t>
            </w:r>
          </w:p>
        </w:tc>
        <w:tc>
          <w:tcPr>
            <w:tcW w:w="3544"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N</w:t>
            </w:r>
            <w:r w:rsidR="007C2761" w:rsidRPr="00C82350">
              <w:rPr>
                <w:rFonts w:ascii="Book Antiqua" w:eastAsia="MS Mincho" w:hAnsi="Book Antiqua"/>
                <w:color w:val="auto"/>
                <w:lang w:eastAsia="ja-JP"/>
              </w:rPr>
              <w:t>ot</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mentioned</w:t>
            </w:r>
          </w:p>
        </w:tc>
      </w:tr>
      <w:tr w:rsidR="007C2761" w:rsidRPr="00C82350" w:rsidTr="00FC698D">
        <w:trPr>
          <w:trHeight w:val="412"/>
        </w:trPr>
        <w:tc>
          <w:tcPr>
            <w:tcW w:w="2127" w:type="dxa"/>
          </w:tcPr>
          <w:p w:rsidR="007C2761" w:rsidRPr="00FC698D" w:rsidRDefault="007C2761" w:rsidP="00C82350">
            <w:pPr>
              <w:widowControl w:val="0"/>
              <w:suppressAutoHyphens w:val="0"/>
              <w:adjustRightInd w:val="0"/>
              <w:snapToGrid w:val="0"/>
              <w:spacing w:after="0" w:line="360" w:lineRule="auto"/>
              <w:jc w:val="both"/>
              <w:rPr>
                <w:rFonts w:ascii="Book Antiqua" w:eastAsia="MS Mincho" w:hAnsi="Book Antiqua"/>
                <w:bCs/>
                <w:color w:val="auto"/>
                <w:lang w:eastAsia="ja-JP"/>
              </w:rPr>
            </w:pPr>
            <w:r w:rsidRPr="00FC698D">
              <w:rPr>
                <w:rFonts w:ascii="Book Antiqua" w:eastAsia="MS Mincho" w:hAnsi="Book Antiqua"/>
                <w:bCs/>
                <w:color w:val="auto"/>
                <w:lang w:eastAsia="ja-JP"/>
              </w:rPr>
              <w:t>S</w:t>
            </w:r>
            <w:r w:rsidR="00FC698D" w:rsidRPr="00FC698D">
              <w:rPr>
                <w:rFonts w:ascii="Book Antiqua" w:eastAsia="MS Mincho" w:hAnsi="Book Antiqua"/>
                <w:bCs/>
                <w:color w:val="auto"/>
                <w:lang w:eastAsia="ja-JP"/>
              </w:rPr>
              <w:t>tatins</w:t>
            </w:r>
          </w:p>
        </w:tc>
        <w:tc>
          <w:tcPr>
            <w:tcW w:w="2409"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S</w:t>
            </w:r>
            <w:r w:rsidR="007C2761" w:rsidRPr="00C82350">
              <w:rPr>
                <w:rFonts w:ascii="Book Antiqua" w:eastAsia="MS Mincho" w:hAnsi="Book Antiqua"/>
                <w:color w:val="auto"/>
                <w:lang w:eastAsia="ja-JP"/>
              </w:rPr>
              <w:t>afe</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but not beneficial</w:t>
            </w:r>
          </w:p>
        </w:tc>
        <w:tc>
          <w:tcPr>
            <w:tcW w:w="2694"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S</w:t>
            </w:r>
            <w:r w:rsidR="007C2761" w:rsidRPr="00C82350">
              <w:rPr>
                <w:rFonts w:ascii="Book Antiqua" w:eastAsia="MS Mincho" w:hAnsi="Book Antiqua"/>
                <w:color w:val="auto"/>
                <w:lang w:eastAsia="ja-JP"/>
              </w:rPr>
              <w:t>afe</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but not beneficial</w:t>
            </w:r>
          </w:p>
        </w:tc>
        <w:tc>
          <w:tcPr>
            <w:tcW w:w="2835"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S</w:t>
            </w:r>
            <w:r w:rsidR="007C2761" w:rsidRPr="00C82350">
              <w:rPr>
                <w:rFonts w:ascii="Book Antiqua" w:eastAsia="MS Mincho" w:hAnsi="Book Antiqua"/>
                <w:color w:val="auto"/>
                <w:lang w:eastAsia="ja-JP"/>
              </w:rPr>
              <w:t>afe</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but not beneficial</w:t>
            </w:r>
          </w:p>
        </w:tc>
        <w:tc>
          <w:tcPr>
            <w:tcW w:w="2693"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S</w:t>
            </w:r>
            <w:r w:rsidR="007C2761" w:rsidRPr="00C82350">
              <w:rPr>
                <w:rFonts w:ascii="Book Antiqua" w:eastAsia="MS Mincho" w:hAnsi="Book Antiqua"/>
                <w:color w:val="auto"/>
                <w:lang w:eastAsia="ja-JP"/>
              </w:rPr>
              <w:t>afe</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but not beneficial</w:t>
            </w:r>
          </w:p>
        </w:tc>
        <w:tc>
          <w:tcPr>
            <w:tcW w:w="3544" w:type="dxa"/>
          </w:tcPr>
          <w:p w:rsidR="007C2761" w:rsidRPr="00C82350" w:rsidRDefault="00D628BD" w:rsidP="00D628BD">
            <w:pPr>
              <w:widowControl w:val="0"/>
              <w:suppressAutoHyphens w:val="0"/>
              <w:adjustRightInd w:val="0"/>
              <w:snapToGrid w:val="0"/>
              <w:spacing w:after="0" w:line="360" w:lineRule="auto"/>
              <w:jc w:val="center"/>
              <w:rPr>
                <w:rFonts w:ascii="Book Antiqua" w:eastAsia="MS Mincho" w:hAnsi="Book Antiqua"/>
                <w:color w:val="auto"/>
                <w:lang w:eastAsia="ja-JP"/>
              </w:rPr>
            </w:pPr>
            <w:r w:rsidRPr="00C82350">
              <w:rPr>
                <w:rFonts w:ascii="Book Antiqua" w:eastAsia="MS Mincho" w:hAnsi="Book Antiqua"/>
                <w:color w:val="auto"/>
                <w:lang w:eastAsia="ja-JP"/>
              </w:rPr>
              <w:t>S</w:t>
            </w:r>
            <w:r w:rsidR="007C2761" w:rsidRPr="00C82350">
              <w:rPr>
                <w:rFonts w:ascii="Book Antiqua" w:eastAsia="MS Mincho" w:hAnsi="Book Antiqua"/>
                <w:color w:val="auto"/>
                <w:lang w:eastAsia="ja-JP"/>
              </w:rPr>
              <w:t>afe</w:t>
            </w:r>
            <w:r w:rsidRPr="009E4C4F">
              <w:rPr>
                <w:rFonts w:ascii="Book Antiqua" w:hAnsi="Book Antiqua" w:hint="eastAsia"/>
                <w:color w:val="auto"/>
              </w:rPr>
              <w:t xml:space="preserve"> </w:t>
            </w:r>
            <w:r w:rsidR="007C2761" w:rsidRPr="00C82350">
              <w:rPr>
                <w:rFonts w:ascii="Book Antiqua" w:eastAsia="MS Mincho" w:hAnsi="Book Antiqua"/>
                <w:color w:val="auto"/>
                <w:lang w:eastAsia="ja-JP"/>
              </w:rPr>
              <w:t>but not beneficial</w:t>
            </w:r>
          </w:p>
        </w:tc>
      </w:tr>
    </w:tbl>
    <w:p w:rsidR="007C2761" w:rsidRPr="000D67EF" w:rsidRDefault="00FC698D" w:rsidP="00C82350">
      <w:pPr>
        <w:widowControl w:val="0"/>
        <w:suppressAutoHyphens w:val="0"/>
        <w:adjustRightInd w:val="0"/>
        <w:snapToGrid w:val="0"/>
        <w:spacing w:after="0" w:line="360" w:lineRule="auto"/>
        <w:jc w:val="both"/>
        <w:rPr>
          <w:rFonts w:ascii="Book Antiqua" w:hAnsi="Book Antiqua"/>
          <w:color w:val="auto"/>
          <w:lang w:val="en-GB"/>
        </w:rPr>
      </w:pPr>
      <w:r w:rsidRPr="00C82350">
        <w:rPr>
          <w:rFonts w:ascii="Book Antiqua" w:eastAsia="MS Mincho" w:hAnsi="Book Antiqua"/>
          <w:color w:val="auto"/>
          <w:lang w:val="en-GB" w:eastAsia="ja-JP"/>
        </w:rPr>
        <w:lastRenderedPageBreak/>
        <w:t>EASL: European Association for the Study of the Liver; NICE: National Institute for Health and Care Excellence; AISF: Italian Association for the study of the Liver; AASLD: American Association for the Study of Liver Diseases; PPAR: Peroxisome Proliferator-Activated Receptors; PUFA: Poly-Unsaturated Fatty Acids; GLP-1: Glucagon-like peptide-1</w:t>
      </w:r>
      <w:r w:rsidRPr="000D67EF">
        <w:rPr>
          <w:rFonts w:ascii="Book Antiqua" w:hAnsi="Book Antiqua" w:hint="eastAsia"/>
          <w:color w:val="auto"/>
          <w:lang w:val="en-GB"/>
        </w:rPr>
        <w:t>.</w:t>
      </w:r>
    </w:p>
    <w:sectPr w:rsidR="007C2761" w:rsidRPr="000D67EF" w:rsidSect="0056163F">
      <w:pgSz w:w="16838" w:h="11906" w:orient="landscape"/>
      <w:pgMar w:top="567" w:right="1695" w:bottom="567" w:left="1888" w:header="1134" w:footer="0" w:gutter="0"/>
      <w:cols w:space="720"/>
      <w:formProt w:val="0"/>
      <w:docGrid w:linePitch="2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8F2" w:rsidRDefault="006048F2" w:rsidP="004857C8">
      <w:pPr>
        <w:spacing w:after="0" w:line="240" w:lineRule="auto"/>
      </w:pPr>
      <w:r>
        <w:separator/>
      </w:r>
    </w:p>
  </w:endnote>
  <w:endnote w:type="continuationSeparator" w:id="0">
    <w:p w:rsidR="006048F2" w:rsidRDefault="006048F2" w:rsidP="00485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Liberation Sans">
    <w:altName w:val="Arial"/>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8F2" w:rsidRDefault="006048F2" w:rsidP="004857C8">
      <w:pPr>
        <w:spacing w:after="0" w:line="240" w:lineRule="auto"/>
      </w:pPr>
      <w:r>
        <w:separator/>
      </w:r>
    </w:p>
  </w:footnote>
  <w:footnote w:type="continuationSeparator" w:id="0">
    <w:p w:rsidR="006048F2" w:rsidRDefault="006048F2" w:rsidP="004857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3073DE"/>
    <w:multiLevelType w:val="hybridMultilevel"/>
    <w:tmpl w:val="F530EF8E"/>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15:restartNumberingAfterBreak="0">
    <w:nsid w:val="556A06E3"/>
    <w:multiLevelType w:val="hybridMultilevel"/>
    <w:tmpl w:val="2A2EADF8"/>
    <w:lvl w:ilvl="0" w:tplc="EC8A0AEA">
      <w:start w:val="1"/>
      <w:numFmt w:val="decimal"/>
      <w:lvlText w:val="%1)"/>
      <w:lvlJc w:val="left"/>
      <w:pPr>
        <w:tabs>
          <w:tab w:val="num" w:pos="720"/>
        </w:tabs>
        <w:ind w:left="720" w:hanging="360"/>
      </w:pPr>
      <w:rPr>
        <w:rFonts w:ascii="Times New Roman" w:hAnsi="Times New Roman" w:cs="Times New Roman" w:hint="default"/>
        <w:color w:val="00000A"/>
        <w:sz w:val="24"/>
      </w:rPr>
    </w:lvl>
    <w:lvl w:ilvl="1" w:tplc="04100019">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6B242099"/>
    <w:multiLevelType w:val="hybridMultilevel"/>
    <w:tmpl w:val="15D85002"/>
    <w:lvl w:ilvl="0" w:tplc="19AAE1F6">
      <w:start w:val="1"/>
      <w:numFmt w:val="decimal"/>
      <w:lvlText w:val="%1."/>
      <w:lvlJc w:val="left"/>
      <w:pPr>
        <w:ind w:left="1080" w:hanging="360"/>
      </w:pPr>
      <w:rPr>
        <w:rFonts w:cs="Times New Roman" w:hint="default"/>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7C8"/>
    <w:rsid w:val="00025EA9"/>
    <w:rsid w:val="0006110C"/>
    <w:rsid w:val="00067036"/>
    <w:rsid w:val="0009458D"/>
    <w:rsid w:val="000A01D3"/>
    <w:rsid w:val="000D67EF"/>
    <w:rsid w:val="001216C2"/>
    <w:rsid w:val="001243A5"/>
    <w:rsid w:val="00134D64"/>
    <w:rsid w:val="00147C33"/>
    <w:rsid w:val="00151752"/>
    <w:rsid w:val="00194BD5"/>
    <w:rsid w:val="001C2566"/>
    <w:rsid w:val="001C58DF"/>
    <w:rsid w:val="001C7DEA"/>
    <w:rsid w:val="001E165C"/>
    <w:rsid w:val="001E2857"/>
    <w:rsid w:val="00242B0A"/>
    <w:rsid w:val="00282036"/>
    <w:rsid w:val="002B210E"/>
    <w:rsid w:val="002C5B89"/>
    <w:rsid w:val="002E2332"/>
    <w:rsid w:val="002E2366"/>
    <w:rsid w:val="002F3DFE"/>
    <w:rsid w:val="00326AF3"/>
    <w:rsid w:val="0033386C"/>
    <w:rsid w:val="0033730D"/>
    <w:rsid w:val="00363BF8"/>
    <w:rsid w:val="00374700"/>
    <w:rsid w:val="003762DA"/>
    <w:rsid w:val="003806BE"/>
    <w:rsid w:val="003C1FCE"/>
    <w:rsid w:val="003C54DD"/>
    <w:rsid w:val="003D542F"/>
    <w:rsid w:val="003E7026"/>
    <w:rsid w:val="00460D24"/>
    <w:rsid w:val="00481F21"/>
    <w:rsid w:val="004857C8"/>
    <w:rsid w:val="004A68B0"/>
    <w:rsid w:val="004C200F"/>
    <w:rsid w:val="004D5C34"/>
    <w:rsid w:val="004D6ADE"/>
    <w:rsid w:val="004E35E7"/>
    <w:rsid w:val="004F0223"/>
    <w:rsid w:val="00500FBE"/>
    <w:rsid w:val="0056163F"/>
    <w:rsid w:val="005E1999"/>
    <w:rsid w:val="006048F2"/>
    <w:rsid w:val="00614035"/>
    <w:rsid w:val="00664EAF"/>
    <w:rsid w:val="006D655F"/>
    <w:rsid w:val="006F6EEA"/>
    <w:rsid w:val="006F738F"/>
    <w:rsid w:val="00711A8F"/>
    <w:rsid w:val="00745B75"/>
    <w:rsid w:val="007761B5"/>
    <w:rsid w:val="00781395"/>
    <w:rsid w:val="007910D0"/>
    <w:rsid w:val="007B56F3"/>
    <w:rsid w:val="007C2761"/>
    <w:rsid w:val="007C4A39"/>
    <w:rsid w:val="007E3572"/>
    <w:rsid w:val="00837218"/>
    <w:rsid w:val="008473AA"/>
    <w:rsid w:val="00880969"/>
    <w:rsid w:val="008D7623"/>
    <w:rsid w:val="008F5D0A"/>
    <w:rsid w:val="009177BC"/>
    <w:rsid w:val="00945AF8"/>
    <w:rsid w:val="009B03D6"/>
    <w:rsid w:val="009E427B"/>
    <w:rsid w:val="009E4C4F"/>
    <w:rsid w:val="009F6BDA"/>
    <w:rsid w:val="00A115FC"/>
    <w:rsid w:val="00A138F3"/>
    <w:rsid w:val="00A42FE6"/>
    <w:rsid w:val="00A45475"/>
    <w:rsid w:val="00B13942"/>
    <w:rsid w:val="00B7749E"/>
    <w:rsid w:val="00BF095B"/>
    <w:rsid w:val="00BF22A3"/>
    <w:rsid w:val="00C259C3"/>
    <w:rsid w:val="00C365C4"/>
    <w:rsid w:val="00C45E59"/>
    <w:rsid w:val="00C576D5"/>
    <w:rsid w:val="00C6140D"/>
    <w:rsid w:val="00C66044"/>
    <w:rsid w:val="00C82350"/>
    <w:rsid w:val="00C97600"/>
    <w:rsid w:val="00CA6FB3"/>
    <w:rsid w:val="00CB140A"/>
    <w:rsid w:val="00CC1078"/>
    <w:rsid w:val="00CD1551"/>
    <w:rsid w:val="00CE1F0F"/>
    <w:rsid w:val="00D51A7E"/>
    <w:rsid w:val="00D5760D"/>
    <w:rsid w:val="00D628BD"/>
    <w:rsid w:val="00D651E5"/>
    <w:rsid w:val="00DD0CC3"/>
    <w:rsid w:val="00E71332"/>
    <w:rsid w:val="00E7560A"/>
    <w:rsid w:val="00E930E0"/>
    <w:rsid w:val="00F023AD"/>
    <w:rsid w:val="00F26D6D"/>
    <w:rsid w:val="00F4247A"/>
    <w:rsid w:val="00F64044"/>
    <w:rsid w:val="00F646A4"/>
    <w:rsid w:val="00F86965"/>
    <w:rsid w:val="00FC698D"/>
    <w:rsid w:val="00FE212D"/>
    <w:rsid w:val="00FE237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F8C3EF6C-7ED0-4072-8843-2052ED527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7C8"/>
    <w:pPr>
      <w:suppressAutoHyphens/>
      <w:spacing w:after="200" w:line="276" w:lineRule="auto"/>
    </w:pPr>
    <w:rPr>
      <w:rFonts w:ascii="Times New Roman" w:hAnsi="Times New Roman"/>
      <w:color w:val="00000A"/>
      <w:sz w:val="24"/>
      <w:szCs w:val="24"/>
      <w:lang w:val="it-IT"/>
    </w:rPr>
  </w:style>
  <w:style w:type="paragraph" w:styleId="Heading1">
    <w:name w:val="heading 1"/>
    <w:basedOn w:val="Normal"/>
    <w:next w:val="Normal"/>
    <w:link w:val="Heading1Char"/>
    <w:uiPriority w:val="99"/>
    <w:qFormat/>
    <w:locked/>
    <w:rsid w:val="001C7DEA"/>
    <w:pPr>
      <w:keepNext/>
      <w:suppressAutoHyphens w:val="0"/>
      <w:spacing w:after="0" w:line="240" w:lineRule="auto"/>
      <w:jc w:val="center"/>
      <w:outlineLvl w:val="0"/>
    </w:pPr>
    <w:rPr>
      <w:rFonts w:ascii="Cambria" w:hAnsi="Cambria"/>
      <w:b/>
      <w:noProof/>
      <w:color w:val="365F91"/>
      <w:sz w:val="28"/>
      <w:szCs w:val="20"/>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857C8"/>
    <w:rPr>
      <w:rFonts w:ascii="Cambria" w:hAnsi="Cambria" w:cs="Times New Roman"/>
      <w:b/>
      <w:color w:val="365F91"/>
      <w:sz w:val="28"/>
    </w:rPr>
  </w:style>
  <w:style w:type="character" w:customStyle="1" w:styleId="WW8Num1z0">
    <w:name w:val="WW8Num1z0"/>
    <w:uiPriority w:val="99"/>
    <w:rsid w:val="004857C8"/>
    <w:rPr>
      <w:b/>
    </w:rPr>
  </w:style>
  <w:style w:type="character" w:customStyle="1" w:styleId="WW8Num1z1">
    <w:name w:val="WW8Num1z1"/>
    <w:uiPriority w:val="99"/>
    <w:rsid w:val="004857C8"/>
  </w:style>
  <w:style w:type="character" w:customStyle="1" w:styleId="WW8Num1z2">
    <w:name w:val="WW8Num1z2"/>
    <w:uiPriority w:val="99"/>
    <w:rsid w:val="004857C8"/>
  </w:style>
  <w:style w:type="character" w:customStyle="1" w:styleId="WW8Num1z3">
    <w:name w:val="WW8Num1z3"/>
    <w:uiPriority w:val="99"/>
    <w:rsid w:val="004857C8"/>
  </w:style>
  <w:style w:type="character" w:customStyle="1" w:styleId="WW8Num1z4">
    <w:name w:val="WW8Num1z4"/>
    <w:uiPriority w:val="99"/>
    <w:rsid w:val="004857C8"/>
  </w:style>
  <w:style w:type="character" w:customStyle="1" w:styleId="WW8Num1z5">
    <w:name w:val="WW8Num1z5"/>
    <w:uiPriority w:val="99"/>
    <w:rsid w:val="004857C8"/>
  </w:style>
  <w:style w:type="character" w:customStyle="1" w:styleId="WW8Num1z6">
    <w:name w:val="WW8Num1z6"/>
    <w:uiPriority w:val="99"/>
    <w:rsid w:val="004857C8"/>
  </w:style>
  <w:style w:type="character" w:customStyle="1" w:styleId="WW8Num1z7">
    <w:name w:val="WW8Num1z7"/>
    <w:uiPriority w:val="99"/>
    <w:rsid w:val="004857C8"/>
  </w:style>
  <w:style w:type="character" w:customStyle="1" w:styleId="WW8Num1z8">
    <w:name w:val="WW8Num1z8"/>
    <w:uiPriority w:val="99"/>
    <w:rsid w:val="004857C8"/>
  </w:style>
  <w:style w:type="character" w:customStyle="1" w:styleId="WW8Num2z0">
    <w:name w:val="WW8Num2z0"/>
    <w:uiPriority w:val="99"/>
    <w:rsid w:val="004857C8"/>
    <w:rPr>
      <w:rFonts w:ascii="Symbol" w:hAnsi="Symbol"/>
    </w:rPr>
  </w:style>
  <w:style w:type="character" w:customStyle="1" w:styleId="WW8Num2z1">
    <w:name w:val="WW8Num2z1"/>
    <w:uiPriority w:val="99"/>
    <w:rsid w:val="004857C8"/>
    <w:rPr>
      <w:rFonts w:ascii="Courier New" w:hAnsi="Courier New"/>
    </w:rPr>
  </w:style>
  <w:style w:type="character" w:customStyle="1" w:styleId="WW8Num2z2">
    <w:name w:val="WW8Num2z2"/>
    <w:uiPriority w:val="99"/>
    <w:rsid w:val="004857C8"/>
    <w:rPr>
      <w:rFonts w:ascii="Wingdings" w:hAnsi="Wingdings"/>
    </w:rPr>
  </w:style>
  <w:style w:type="character" w:customStyle="1" w:styleId="WW8Num2z3">
    <w:name w:val="WW8Num2z3"/>
    <w:uiPriority w:val="99"/>
    <w:rsid w:val="004857C8"/>
  </w:style>
  <w:style w:type="character" w:customStyle="1" w:styleId="WW8Num2z4">
    <w:name w:val="WW8Num2z4"/>
    <w:uiPriority w:val="99"/>
    <w:rsid w:val="004857C8"/>
  </w:style>
  <w:style w:type="character" w:customStyle="1" w:styleId="WW8Num2z5">
    <w:name w:val="WW8Num2z5"/>
    <w:uiPriority w:val="99"/>
    <w:rsid w:val="004857C8"/>
  </w:style>
  <w:style w:type="character" w:customStyle="1" w:styleId="WW8Num2z6">
    <w:name w:val="WW8Num2z6"/>
    <w:uiPriority w:val="99"/>
    <w:rsid w:val="004857C8"/>
  </w:style>
  <w:style w:type="character" w:customStyle="1" w:styleId="WW8Num2z7">
    <w:name w:val="WW8Num2z7"/>
    <w:uiPriority w:val="99"/>
    <w:rsid w:val="004857C8"/>
  </w:style>
  <w:style w:type="character" w:customStyle="1" w:styleId="WW8Num2z8">
    <w:name w:val="WW8Num2z8"/>
    <w:uiPriority w:val="99"/>
    <w:rsid w:val="004857C8"/>
  </w:style>
  <w:style w:type="character" w:customStyle="1" w:styleId="WW8Num3z0">
    <w:name w:val="WW8Num3z0"/>
    <w:uiPriority w:val="99"/>
    <w:rsid w:val="004857C8"/>
    <w:rPr>
      <w:b/>
      <w:sz w:val="24"/>
    </w:rPr>
  </w:style>
  <w:style w:type="character" w:customStyle="1" w:styleId="WW8Num4z0">
    <w:name w:val="WW8Num4z0"/>
    <w:uiPriority w:val="99"/>
    <w:rsid w:val="004857C8"/>
    <w:rPr>
      <w:b/>
    </w:rPr>
  </w:style>
  <w:style w:type="character" w:customStyle="1" w:styleId="WW8Num4z1">
    <w:name w:val="WW8Num4z1"/>
    <w:uiPriority w:val="99"/>
    <w:rsid w:val="004857C8"/>
  </w:style>
  <w:style w:type="character" w:customStyle="1" w:styleId="WW8Num4z2">
    <w:name w:val="WW8Num4z2"/>
    <w:uiPriority w:val="99"/>
    <w:rsid w:val="004857C8"/>
  </w:style>
  <w:style w:type="character" w:customStyle="1" w:styleId="WW8Num4z3">
    <w:name w:val="WW8Num4z3"/>
    <w:uiPriority w:val="99"/>
    <w:rsid w:val="004857C8"/>
  </w:style>
  <w:style w:type="character" w:customStyle="1" w:styleId="WW8Num4z4">
    <w:name w:val="WW8Num4z4"/>
    <w:uiPriority w:val="99"/>
    <w:rsid w:val="004857C8"/>
  </w:style>
  <w:style w:type="character" w:customStyle="1" w:styleId="WW8Num4z5">
    <w:name w:val="WW8Num4z5"/>
    <w:uiPriority w:val="99"/>
    <w:rsid w:val="004857C8"/>
  </w:style>
  <w:style w:type="character" w:customStyle="1" w:styleId="WW8Num4z6">
    <w:name w:val="WW8Num4z6"/>
    <w:uiPriority w:val="99"/>
    <w:rsid w:val="004857C8"/>
  </w:style>
  <w:style w:type="character" w:customStyle="1" w:styleId="WW8Num4z7">
    <w:name w:val="WW8Num4z7"/>
    <w:uiPriority w:val="99"/>
    <w:rsid w:val="004857C8"/>
  </w:style>
  <w:style w:type="character" w:customStyle="1" w:styleId="WW8Num4z8">
    <w:name w:val="WW8Num4z8"/>
    <w:uiPriority w:val="99"/>
    <w:rsid w:val="004857C8"/>
  </w:style>
  <w:style w:type="character" w:customStyle="1" w:styleId="WW8Num5z0">
    <w:name w:val="WW8Num5z0"/>
    <w:uiPriority w:val="99"/>
    <w:rsid w:val="004857C8"/>
    <w:rPr>
      <w:rFonts w:ascii="Symbol" w:hAnsi="Symbol"/>
      <w:color w:val="00000A"/>
      <w:sz w:val="18"/>
    </w:rPr>
  </w:style>
  <w:style w:type="character" w:customStyle="1" w:styleId="WW8Num6z0">
    <w:name w:val="WW8Num6z0"/>
    <w:uiPriority w:val="99"/>
    <w:rsid w:val="004857C8"/>
    <w:rPr>
      <w:rFonts w:ascii="Symbol" w:hAnsi="Symbol"/>
    </w:rPr>
  </w:style>
  <w:style w:type="character" w:customStyle="1" w:styleId="WW8Num7z0">
    <w:name w:val="WW8Num7z0"/>
    <w:uiPriority w:val="99"/>
    <w:rsid w:val="004857C8"/>
    <w:rPr>
      <w:rFonts w:ascii="Courier New" w:hAnsi="Courier New"/>
    </w:rPr>
  </w:style>
  <w:style w:type="character" w:customStyle="1" w:styleId="WW8Num8z0">
    <w:name w:val="WW8Num8z0"/>
    <w:uiPriority w:val="99"/>
    <w:rsid w:val="004857C8"/>
    <w:rPr>
      <w:rFonts w:ascii="Symbol" w:hAnsi="Symbol"/>
    </w:rPr>
  </w:style>
  <w:style w:type="character" w:customStyle="1" w:styleId="WW8Num9z0">
    <w:name w:val="WW8Num9z0"/>
    <w:uiPriority w:val="99"/>
    <w:rsid w:val="004857C8"/>
    <w:rPr>
      <w:rFonts w:ascii="Wingdings" w:hAnsi="Wingdings"/>
      <w:sz w:val="22"/>
    </w:rPr>
  </w:style>
  <w:style w:type="character" w:customStyle="1" w:styleId="WW8Num10z0">
    <w:name w:val="WW8Num10z0"/>
    <w:uiPriority w:val="99"/>
    <w:rsid w:val="004857C8"/>
    <w:rPr>
      <w:rFonts w:ascii="Symbol" w:hAnsi="Symbol"/>
      <w:sz w:val="24"/>
    </w:rPr>
  </w:style>
  <w:style w:type="character" w:customStyle="1" w:styleId="WW8Num10z1">
    <w:name w:val="WW8Num10z1"/>
    <w:uiPriority w:val="99"/>
    <w:rsid w:val="004857C8"/>
    <w:rPr>
      <w:rFonts w:ascii="Courier New" w:hAnsi="Courier New"/>
    </w:rPr>
  </w:style>
  <w:style w:type="character" w:customStyle="1" w:styleId="WW8Num10z2">
    <w:name w:val="WW8Num10z2"/>
    <w:uiPriority w:val="99"/>
    <w:rsid w:val="004857C8"/>
    <w:rPr>
      <w:rFonts w:ascii="Wingdings" w:hAnsi="Wingdings"/>
    </w:rPr>
  </w:style>
  <w:style w:type="character" w:customStyle="1" w:styleId="WW8Num10z3">
    <w:name w:val="WW8Num10z3"/>
    <w:uiPriority w:val="99"/>
    <w:rsid w:val="004857C8"/>
    <w:rPr>
      <w:rFonts w:ascii="Symbol" w:hAnsi="Symbol"/>
    </w:rPr>
  </w:style>
  <w:style w:type="character" w:customStyle="1" w:styleId="WW8Num10z4">
    <w:name w:val="WW8Num10z4"/>
    <w:uiPriority w:val="99"/>
    <w:rsid w:val="004857C8"/>
  </w:style>
  <w:style w:type="character" w:customStyle="1" w:styleId="WW8Num10z5">
    <w:name w:val="WW8Num10z5"/>
    <w:uiPriority w:val="99"/>
    <w:rsid w:val="004857C8"/>
  </w:style>
  <w:style w:type="character" w:customStyle="1" w:styleId="WW8Num10z6">
    <w:name w:val="WW8Num10z6"/>
    <w:uiPriority w:val="99"/>
    <w:rsid w:val="004857C8"/>
  </w:style>
  <w:style w:type="character" w:customStyle="1" w:styleId="WW8Num10z7">
    <w:name w:val="WW8Num10z7"/>
    <w:uiPriority w:val="99"/>
    <w:rsid w:val="004857C8"/>
  </w:style>
  <w:style w:type="character" w:customStyle="1" w:styleId="WW8Num10z8">
    <w:name w:val="WW8Num10z8"/>
    <w:uiPriority w:val="99"/>
    <w:rsid w:val="004857C8"/>
  </w:style>
  <w:style w:type="character" w:customStyle="1" w:styleId="WW8Num11z0">
    <w:name w:val="WW8Num11z0"/>
    <w:uiPriority w:val="99"/>
    <w:rsid w:val="004857C8"/>
    <w:rPr>
      <w:b/>
    </w:rPr>
  </w:style>
  <w:style w:type="character" w:customStyle="1" w:styleId="WW8Num12z0">
    <w:name w:val="WW8Num12z0"/>
    <w:uiPriority w:val="99"/>
    <w:rsid w:val="004857C8"/>
    <w:rPr>
      <w:rFonts w:ascii="Wingdings" w:hAnsi="Wingdings"/>
      <w:sz w:val="18"/>
    </w:rPr>
  </w:style>
  <w:style w:type="character" w:customStyle="1" w:styleId="WW8Num13z0">
    <w:name w:val="WW8Num13z0"/>
    <w:uiPriority w:val="99"/>
    <w:rsid w:val="004857C8"/>
  </w:style>
  <w:style w:type="character" w:customStyle="1" w:styleId="WW8Num3z1">
    <w:name w:val="WW8Num3z1"/>
    <w:uiPriority w:val="99"/>
    <w:rsid w:val="004857C8"/>
  </w:style>
  <w:style w:type="character" w:customStyle="1" w:styleId="WW8Num3z2">
    <w:name w:val="WW8Num3z2"/>
    <w:uiPriority w:val="99"/>
    <w:rsid w:val="004857C8"/>
  </w:style>
  <w:style w:type="character" w:customStyle="1" w:styleId="WW8Num3z3">
    <w:name w:val="WW8Num3z3"/>
    <w:uiPriority w:val="99"/>
    <w:rsid w:val="004857C8"/>
    <w:rPr>
      <w:b/>
    </w:rPr>
  </w:style>
  <w:style w:type="character" w:customStyle="1" w:styleId="WW8Num3z4">
    <w:name w:val="WW8Num3z4"/>
    <w:uiPriority w:val="99"/>
    <w:rsid w:val="004857C8"/>
  </w:style>
  <w:style w:type="character" w:customStyle="1" w:styleId="WW8Num3z5">
    <w:name w:val="WW8Num3z5"/>
    <w:uiPriority w:val="99"/>
    <w:rsid w:val="004857C8"/>
  </w:style>
  <w:style w:type="character" w:customStyle="1" w:styleId="WW8Num3z6">
    <w:name w:val="WW8Num3z6"/>
    <w:uiPriority w:val="99"/>
    <w:rsid w:val="004857C8"/>
  </w:style>
  <w:style w:type="character" w:customStyle="1" w:styleId="WW8Num3z7">
    <w:name w:val="WW8Num3z7"/>
    <w:uiPriority w:val="99"/>
    <w:rsid w:val="004857C8"/>
  </w:style>
  <w:style w:type="character" w:customStyle="1" w:styleId="WW8Num3z8">
    <w:name w:val="WW8Num3z8"/>
    <w:uiPriority w:val="99"/>
    <w:rsid w:val="004857C8"/>
  </w:style>
  <w:style w:type="character" w:customStyle="1" w:styleId="WW8Num5z1">
    <w:name w:val="WW8Num5z1"/>
    <w:uiPriority w:val="99"/>
    <w:rsid w:val="004857C8"/>
    <w:rPr>
      <w:rFonts w:ascii="Courier New" w:hAnsi="Courier New"/>
    </w:rPr>
  </w:style>
  <w:style w:type="character" w:customStyle="1" w:styleId="WW8Num5z2">
    <w:name w:val="WW8Num5z2"/>
    <w:uiPriority w:val="99"/>
    <w:rsid w:val="004857C8"/>
    <w:rPr>
      <w:rFonts w:ascii="Wingdings" w:hAnsi="Wingdings"/>
    </w:rPr>
  </w:style>
  <w:style w:type="character" w:customStyle="1" w:styleId="WW8Num5z3">
    <w:name w:val="WW8Num5z3"/>
    <w:uiPriority w:val="99"/>
    <w:rsid w:val="004857C8"/>
    <w:rPr>
      <w:rFonts w:ascii="Symbol" w:hAnsi="Symbol"/>
    </w:rPr>
  </w:style>
  <w:style w:type="character" w:customStyle="1" w:styleId="WW8Num6z1">
    <w:name w:val="WW8Num6z1"/>
    <w:uiPriority w:val="99"/>
    <w:rsid w:val="004857C8"/>
    <w:rPr>
      <w:rFonts w:ascii="Courier New" w:hAnsi="Courier New"/>
    </w:rPr>
  </w:style>
  <w:style w:type="character" w:customStyle="1" w:styleId="WW8Num6z2">
    <w:name w:val="WW8Num6z2"/>
    <w:uiPriority w:val="99"/>
    <w:rsid w:val="004857C8"/>
    <w:rPr>
      <w:rFonts w:ascii="Wingdings" w:hAnsi="Wingdings"/>
    </w:rPr>
  </w:style>
  <w:style w:type="character" w:customStyle="1" w:styleId="WW8Num7z2">
    <w:name w:val="WW8Num7z2"/>
    <w:uiPriority w:val="99"/>
    <w:rsid w:val="004857C8"/>
    <w:rPr>
      <w:rFonts w:ascii="Wingdings" w:hAnsi="Wingdings"/>
    </w:rPr>
  </w:style>
  <w:style w:type="character" w:customStyle="1" w:styleId="WW8Num7z3">
    <w:name w:val="WW8Num7z3"/>
    <w:uiPriority w:val="99"/>
    <w:rsid w:val="004857C8"/>
    <w:rPr>
      <w:rFonts w:ascii="Symbol" w:hAnsi="Symbol"/>
    </w:rPr>
  </w:style>
  <w:style w:type="character" w:customStyle="1" w:styleId="WW8Num8z1">
    <w:name w:val="WW8Num8z1"/>
    <w:uiPriority w:val="99"/>
    <w:rsid w:val="004857C8"/>
    <w:rPr>
      <w:rFonts w:ascii="Courier New" w:hAnsi="Courier New"/>
    </w:rPr>
  </w:style>
  <w:style w:type="character" w:customStyle="1" w:styleId="WW8Num8z2">
    <w:name w:val="WW8Num8z2"/>
    <w:uiPriority w:val="99"/>
    <w:rsid w:val="004857C8"/>
    <w:rPr>
      <w:rFonts w:ascii="Wingdings" w:hAnsi="Wingdings"/>
    </w:rPr>
  </w:style>
  <w:style w:type="character" w:customStyle="1" w:styleId="WW8Num9z1">
    <w:name w:val="WW8Num9z1"/>
    <w:uiPriority w:val="99"/>
    <w:rsid w:val="004857C8"/>
    <w:rPr>
      <w:rFonts w:ascii="Courier New" w:hAnsi="Courier New"/>
    </w:rPr>
  </w:style>
  <w:style w:type="character" w:customStyle="1" w:styleId="WW8Num9z2">
    <w:name w:val="WW8Num9z2"/>
    <w:uiPriority w:val="99"/>
    <w:rsid w:val="004857C8"/>
    <w:rPr>
      <w:rFonts w:ascii="Wingdings" w:hAnsi="Wingdings"/>
    </w:rPr>
  </w:style>
  <w:style w:type="character" w:customStyle="1" w:styleId="WW8Num9z3">
    <w:name w:val="WW8Num9z3"/>
    <w:uiPriority w:val="99"/>
    <w:rsid w:val="004857C8"/>
    <w:rPr>
      <w:rFonts w:ascii="Symbol" w:hAnsi="Symbol"/>
    </w:rPr>
  </w:style>
  <w:style w:type="character" w:customStyle="1" w:styleId="WW8Num12z1">
    <w:name w:val="WW8Num12z1"/>
    <w:uiPriority w:val="99"/>
    <w:rsid w:val="004857C8"/>
    <w:rPr>
      <w:rFonts w:ascii="Courier New" w:hAnsi="Courier New"/>
    </w:rPr>
  </w:style>
  <w:style w:type="character" w:customStyle="1" w:styleId="WW8Num12z3">
    <w:name w:val="WW8Num12z3"/>
    <w:uiPriority w:val="99"/>
    <w:rsid w:val="004857C8"/>
    <w:rPr>
      <w:rFonts w:ascii="Symbol" w:hAnsi="Symbol"/>
    </w:rPr>
  </w:style>
  <w:style w:type="character" w:customStyle="1" w:styleId="WW8Num13z1">
    <w:name w:val="WW8Num13z1"/>
    <w:uiPriority w:val="99"/>
    <w:rsid w:val="004857C8"/>
    <w:rPr>
      <w:rFonts w:ascii="Courier New" w:hAnsi="Courier New"/>
    </w:rPr>
  </w:style>
  <w:style w:type="character" w:customStyle="1" w:styleId="WW8Num13z2">
    <w:name w:val="WW8Num13z2"/>
    <w:uiPriority w:val="99"/>
    <w:rsid w:val="004857C8"/>
    <w:rPr>
      <w:rFonts w:ascii="Wingdings" w:hAnsi="Wingdings"/>
    </w:rPr>
  </w:style>
  <w:style w:type="character" w:customStyle="1" w:styleId="WW8Num13z3">
    <w:name w:val="WW8Num13z3"/>
    <w:uiPriority w:val="99"/>
    <w:rsid w:val="004857C8"/>
    <w:rPr>
      <w:rFonts w:ascii="Symbol" w:hAnsi="Symbol"/>
    </w:rPr>
  </w:style>
  <w:style w:type="character" w:customStyle="1" w:styleId="WW8Num14z0">
    <w:name w:val="WW8Num14z0"/>
    <w:uiPriority w:val="99"/>
    <w:rsid w:val="004857C8"/>
    <w:rPr>
      <w:b/>
    </w:rPr>
  </w:style>
  <w:style w:type="character" w:customStyle="1" w:styleId="WW8Num15z0">
    <w:name w:val="WW8Num15z0"/>
    <w:uiPriority w:val="99"/>
    <w:rsid w:val="004857C8"/>
    <w:rPr>
      <w:rFonts w:ascii="Symbol" w:hAnsi="Symbol"/>
    </w:rPr>
  </w:style>
  <w:style w:type="character" w:customStyle="1" w:styleId="WW8Num16z0">
    <w:name w:val="WW8Num16z0"/>
    <w:uiPriority w:val="99"/>
    <w:rsid w:val="004857C8"/>
    <w:rPr>
      <w:b/>
    </w:rPr>
  </w:style>
  <w:style w:type="character" w:customStyle="1" w:styleId="WW8Num17z0">
    <w:name w:val="WW8Num17z0"/>
    <w:uiPriority w:val="99"/>
    <w:rsid w:val="004857C8"/>
  </w:style>
  <w:style w:type="character" w:customStyle="1" w:styleId="WW8Num17z1">
    <w:name w:val="WW8Num17z1"/>
    <w:uiPriority w:val="99"/>
    <w:rsid w:val="004857C8"/>
  </w:style>
  <w:style w:type="character" w:customStyle="1" w:styleId="WW8Num17z2">
    <w:name w:val="WW8Num17z2"/>
    <w:uiPriority w:val="99"/>
    <w:rsid w:val="004857C8"/>
  </w:style>
  <w:style w:type="character" w:customStyle="1" w:styleId="WW8Num17z3">
    <w:name w:val="WW8Num17z3"/>
    <w:uiPriority w:val="99"/>
    <w:rsid w:val="004857C8"/>
  </w:style>
  <w:style w:type="character" w:customStyle="1" w:styleId="WW8Num17z4">
    <w:name w:val="WW8Num17z4"/>
    <w:uiPriority w:val="99"/>
    <w:rsid w:val="004857C8"/>
  </w:style>
  <w:style w:type="character" w:customStyle="1" w:styleId="WW8Num17z5">
    <w:name w:val="WW8Num17z5"/>
    <w:uiPriority w:val="99"/>
    <w:rsid w:val="004857C8"/>
  </w:style>
  <w:style w:type="character" w:customStyle="1" w:styleId="WW8Num17z6">
    <w:name w:val="WW8Num17z6"/>
    <w:uiPriority w:val="99"/>
    <w:rsid w:val="004857C8"/>
  </w:style>
  <w:style w:type="character" w:customStyle="1" w:styleId="WW8Num17z7">
    <w:name w:val="WW8Num17z7"/>
    <w:uiPriority w:val="99"/>
    <w:rsid w:val="004857C8"/>
  </w:style>
  <w:style w:type="character" w:customStyle="1" w:styleId="WW8Num17z8">
    <w:name w:val="WW8Num17z8"/>
    <w:uiPriority w:val="99"/>
    <w:rsid w:val="004857C8"/>
  </w:style>
  <w:style w:type="character" w:customStyle="1" w:styleId="WW8Num18z0">
    <w:name w:val="WW8Num18z0"/>
    <w:uiPriority w:val="99"/>
    <w:rsid w:val="004857C8"/>
  </w:style>
  <w:style w:type="character" w:customStyle="1" w:styleId="WW8Num19z0">
    <w:name w:val="WW8Num19z0"/>
    <w:uiPriority w:val="99"/>
    <w:rsid w:val="004857C8"/>
    <w:rPr>
      <w:rFonts w:ascii="Symbol" w:hAnsi="Symbol"/>
      <w:color w:val="00000A"/>
      <w:sz w:val="18"/>
    </w:rPr>
  </w:style>
  <w:style w:type="character" w:customStyle="1" w:styleId="WW8Num19z1">
    <w:name w:val="WW8Num19z1"/>
    <w:uiPriority w:val="99"/>
    <w:rsid w:val="004857C8"/>
  </w:style>
  <w:style w:type="character" w:customStyle="1" w:styleId="WW8Num19z2">
    <w:name w:val="WW8Num19z2"/>
    <w:uiPriority w:val="99"/>
    <w:rsid w:val="004857C8"/>
    <w:rPr>
      <w:rFonts w:ascii="Wingdings" w:hAnsi="Wingdings"/>
    </w:rPr>
  </w:style>
  <w:style w:type="character" w:customStyle="1" w:styleId="WW8Num19z3">
    <w:name w:val="WW8Num19z3"/>
    <w:uiPriority w:val="99"/>
    <w:rsid w:val="004857C8"/>
  </w:style>
  <w:style w:type="character" w:customStyle="1" w:styleId="WW8Num19z4">
    <w:name w:val="WW8Num19z4"/>
    <w:uiPriority w:val="99"/>
    <w:rsid w:val="004857C8"/>
  </w:style>
  <w:style w:type="character" w:customStyle="1" w:styleId="WW8Num19z5">
    <w:name w:val="WW8Num19z5"/>
    <w:uiPriority w:val="99"/>
    <w:rsid w:val="004857C8"/>
  </w:style>
  <w:style w:type="character" w:customStyle="1" w:styleId="WW8Num19z6">
    <w:name w:val="WW8Num19z6"/>
    <w:uiPriority w:val="99"/>
    <w:rsid w:val="004857C8"/>
  </w:style>
  <w:style w:type="character" w:customStyle="1" w:styleId="WW8Num19z7">
    <w:name w:val="WW8Num19z7"/>
    <w:uiPriority w:val="99"/>
    <w:rsid w:val="004857C8"/>
  </w:style>
  <w:style w:type="character" w:customStyle="1" w:styleId="WW8Num19z8">
    <w:name w:val="WW8Num19z8"/>
    <w:uiPriority w:val="99"/>
    <w:rsid w:val="004857C8"/>
  </w:style>
  <w:style w:type="character" w:customStyle="1" w:styleId="WW8Num20z0">
    <w:name w:val="WW8Num20z0"/>
    <w:uiPriority w:val="99"/>
    <w:rsid w:val="004857C8"/>
    <w:rPr>
      <w:b/>
    </w:rPr>
  </w:style>
  <w:style w:type="character" w:customStyle="1" w:styleId="WW8Num20z1">
    <w:name w:val="WW8Num20z1"/>
    <w:uiPriority w:val="99"/>
    <w:rsid w:val="004857C8"/>
  </w:style>
  <w:style w:type="character" w:customStyle="1" w:styleId="WW8Num20z2">
    <w:name w:val="WW8Num20z2"/>
    <w:uiPriority w:val="99"/>
    <w:rsid w:val="004857C8"/>
  </w:style>
  <w:style w:type="character" w:customStyle="1" w:styleId="WW8Num20z3">
    <w:name w:val="WW8Num20z3"/>
    <w:uiPriority w:val="99"/>
    <w:rsid w:val="004857C8"/>
  </w:style>
  <w:style w:type="character" w:customStyle="1" w:styleId="WW8Num20z4">
    <w:name w:val="WW8Num20z4"/>
    <w:uiPriority w:val="99"/>
    <w:rsid w:val="004857C8"/>
  </w:style>
  <w:style w:type="character" w:customStyle="1" w:styleId="WW8Num20z5">
    <w:name w:val="WW8Num20z5"/>
    <w:uiPriority w:val="99"/>
    <w:rsid w:val="004857C8"/>
  </w:style>
  <w:style w:type="character" w:customStyle="1" w:styleId="WW8Num20z6">
    <w:name w:val="WW8Num20z6"/>
    <w:uiPriority w:val="99"/>
    <w:rsid w:val="004857C8"/>
  </w:style>
  <w:style w:type="character" w:customStyle="1" w:styleId="WW8Num20z7">
    <w:name w:val="WW8Num20z7"/>
    <w:uiPriority w:val="99"/>
    <w:rsid w:val="004857C8"/>
  </w:style>
  <w:style w:type="character" w:customStyle="1" w:styleId="WW8Num20z8">
    <w:name w:val="WW8Num20z8"/>
    <w:uiPriority w:val="99"/>
    <w:rsid w:val="004857C8"/>
  </w:style>
  <w:style w:type="character" w:customStyle="1" w:styleId="WW8Num21z0">
    <w:name w:val="WW8Num21z0"/>
    <w:uiPriority w:val="99"/>
    <w:rsid w:val="004857C8"/>
    <w:rPr>
      <w:rFonts w:ascii="Times New Roman" w:hAnsi="Times New Roman"/>
    </w:rPr>
  </w:style>
  <w:style w:type="character" w:customStyle="1" w:styleId="WW8Num21z1">
    <w:name w:val="WW8Num21z1"/>
    <w:uiPriority w:val="99"/>
    <w:rsid w:val="004857C8"/>
    <w:rPr>
      <w:rFonts w:ascii="Courier New" w:hAnsi="Courier New"/>
    </w:rPr>
  </w:style>
  <w:style w:type="character" w:customStyle="1" w:styleId="WW8Num21z2">
    <w:name w:val="WW8Num21z2"/>
    <w:uiPriority w:val="99"/>
    <w:rsid w:val="004857C8"/>
    <w:rPr>
      <w:rFonts w:ascii="Wingdings" w:hAnsi="Wingdings"/>
    </w:rPr>
  </w:style>
  <w:style w:type="character" w:customStyle="1" w:styleId="WW8Num21z3">
    <w:name w:val="WW8Num21z3"/>
    <w:uiPriority w:val="99"/>
    <w:rsid w:val="004857C8"/>
    <w:rPr>
      <w:rFonts w:ascii="Symbol" w:hAnsi="Symbol"/>
    </w:rPr>
  </w:style>
  <w:style w:type="character" w:customStyle="1" w:styleId="WW8Num22z0">
    <w:name w:val="WW8Num22z0"/>
    <w:uiPriority w:val="99"/>
    <w:rsid w:val="004857C8"/>
    <w:rPr>
      <w:rFonts w:ascii="Wingdings" w:hAnsi="Wingdings"/>
      <w:sz w:val="22"/>
    </w:rPr>
  </w:style>
  <w:style w:type="character" w:customStyle="1" w:styleId="WW8Num22z1">
    <w:name w:val="WW8Num22z1"/>
    <w:uiPriority w:val="99"/>
    <w:rsid w:val="004857C8"/>
    <w:rPr>
      <w:rFonts w:ascii="Courier New" w:hAnsi="Courier New"/>
    </w:rPr>
  </w:style>
  <w:style w:type="character" w:customStyle="1" w:styleId="WW8Num22z3">
    <w:name w:val="WW8Num22z3"/>
    <w:uiPriority w:val="99"/>
    <w:rsid w:val="004857C8"/>
    <w:rPr>
      <w:rFonts w:ascii="Symbol" w:hAnsi="Symbol"/>
    </w:rPr>
  </w:style>
  <w:style w:type="character" w:customStyle="1" w:styleId="WW8Num23z0">
    <w:name w:val="WW8Num23z0"/>
    <w:uiPriority w:val="99"/>
    <w:rsid w:val="004857C8"/>
    <w:rPr>
      <w:rFonts w:ascii="Symbol" w:hAnsi="Symbol"/>
    </w:rPr>
  </w:style>
  <w:style w:type="character" w:customStyle="1" w:styleId="WW8Num23z1">
    <w:name w:val="WW8Num23z1"/>
    <w:uiPriority w:val="99"/>
    <w:rsid w:val="004857C8"/>
    <w:rPr>
      <w:rFonts w:ascii="Courier New" w:hAnsi="Courier New"/>
    </w:rPr>
  </w:style>
  <w:style w:type="character" w:customStyle="1" w:styleId="WW8Num23z2">
    <w:name w:val="WW8Num23z2"/>
    <w:uiPriority w:val="99"/>
    <w:rsid w:val="004857C8"/>
    <w:rPr>
      <w:rFonts w:ascii="Wingdings" w:hAnsi="Wingdings"/>
    </w:rPr>
  </w:style>
  <w:style w:type="character" w:customStyle="1" w:styleId="WW8Num24z0">
    <w:name w:val="WW8Num24z0"/>
    <w:uiPriority w:val="99"/>
    <w:rsid w:val="004857C8"/>
    <w:rPr>
      <w:b/>
    </w:rPr>
  </w:style>
  <w:style w:type="character" w:customStyle="1" w:styleId="WW8Num25z0">
    <w:name w:val="WW8Num25z0"/>
    <w:uiPriority w:val="99"/>
    <w:rsid w:val="004857C8"/>
    <w:rPr>
      <w:b/>
    </w:rPr>
  </w:style>
  <w:style w:type="character" w:customStyle="1" w:styleId="WW8Num26z0">
    <w:name w:val="WW8Num26z0"/>
    <w:uiPriority w:val="99"/>
    <w:rsid w:val="004857C8"/>
    <w:rPr>
      <w:rFonts w:ascii="Symbol" w:hAnsi="Symbol"/>
    </w:rPr>
  </w:style>
  <w:style w:type="character" w:customStyle="1" w:styleId="WW8Num26z1">
    <w:name w:val="WW8Num26z1"/>
    <w:uiPriority w:val="99"/>
    <w:rsid w:val="004857C8"/>
    <w:rPr>
      <w:rFonts w:ascii="Courier New" w:hAnsi="Courier New"/>
    </w:rPr>
  </w:style>
  <w:style w:type="character" w:customStyle="1" w:styleId="WW8Num26z2">
    <w:name w:val="WW8Num26z2"/>
    <w:uiPriority w:val="99"/>
    <w:rsid w:val="004857C8"/>
    <w:rPr>
      <w:rFonts w:ascii="Wingdings" w:hAnsi="Wingdings"/>
    </w:rPr>
  </w:style>
  <w:style w:type="character" w:customStyle="1" w:styleId="WW8Num27z0">
    <w:name w:val="WW8Num27z0"/>
    <w:uiPriority w:val="99"/>
    <w:rsid w:val="004857C8"/>
    <w:rPr>
      <w:rFonts w:ascii="Symbol" w:hAnsi="Symbol"/>
    </w:rPr>
  </w:style>
  <w:style w:type="character" w:customStyle="1" w:styleId="WW8Num27z1">
    <w:name w:val="WW8Num27z1"/>
    <w:uiPriority w:val="99"/>
    <w:rsid w:val="004857C8"/>
    <w:rPr>
      <w:rFonts w:ascii="Courier New" w:hAnsi="Courier New"/>
    </w:rPr>
  </w:style>
  <w:style w:type="character" w:customStyle="1" w:styleId="WW8Num27z2">
    <w:name w:val="WW8Num27z2"/>
    <w:uiPriority w:val="99"/>
    <w:rsid w:val="004857C8"/>
    <w:rPr>
      <w:rFonts w:ascii="Wingdings" w:hAnsi="Wingdings"/>
    </w:rPr>
  </w:style>
  <w:style w:type="character" w:customStyle="1" w:styleId="WW8Num28z0">
    <w:name w:val="WW8Num28z0"/>
    <w:uiPriority w:val="99"/>
    <w:rsid w:val="004857C8"/>
    <w:rPr>
      <w:rFonts w:ascii="Symbol" w:hAnsi="Symbol"/>
    </w:rPr>
  </w:style>
  <w:style w:type="character" w:customStyle="1" w:styleId="WW8Num28z1">
    <w:name w:val="WW8Num28z1"/>
    <w:uiPriority w:val="99"/>
    <w:rsid w:val="004857C8"/>
    <w:rPr>
      <w:rFonts w:ascii="Courier New" w:hAnsi="Courier New"/>
    </w:rPr>
  </w:style>
  <w:style w:type="character" w:customStyle="1" w:styleId="WW8Num28z2">
    <w:name w:val="WW8Num28z2"/>
    <w:uiPriority w:val="99"/>
    <w:rsid w:val="004857C8"/>
    <w:rPr>
      <w:rFonts w:ascii="Wingdings" w:hAnsi="Wingdings"/>
    </w:rPr>
  </w:style>
  <w:style w:type="character" w:customStyle="1" w:styleId="WW8Num29z0">
    <w:name w:val="WW8Num29z0"/>
    <w:uiPriority w:val="99"/>
    <w:rsid w:val="004857C8"/>
    <w:rPr>
      <w:rFonts w:ascii="Wingdings" w:hAnsi="Wingdings"/>
      <w:sz w:val="16"/>
    </w:rPr>
  </w:style>
  <w:style w:type="character" w:customStyle="1" w:styleId="WW8Num29z1">
    <w:name w:val="WW8Num29z1"/>
    <w:uiPriority w:val="99"/>
    <w:rsid w:val="004857C8"/>
    <w:rPr>
      <w:rFonts w:ascii="Courier New" w:hAnsi="Courier New"/>
    </w:rPr>
  </w:style>
  <w:style w:type="character" w:customStyle="1" w:styleId="WW8Num29z2">
    <w:name w:val="WW8Num29z2"/>
    <w:uiPriority w:val="99"/>
    <w:rsid w:val="004857C8"/>
    <w:rPr>
      <w:rFonts w:ascii="Wingdings" w:hAnsi="Wingdings"/>
    </w:rPr>
  </w:style>
  <w:style w:type="character" w:customStyle="1" w:styleId="WW8Num29z3">
    <w:name w:val="WW8Num29z3"/>
    <w:uiPriority w:val="99"/>
    <w:rsid w:val="004857C8"/>
    <w:rPr>
      <w:rFonts w:ascii="Symbol" w:hAnsi="Symbol"/>
    </w:rPr>
  </w:style>
  <w:style w:type="character" w:customStyle="1" w:styleId="WW8Num30z0">
    <w:name w:val="WW8Num30z0"/>
    <w:uiPriority w:val="99"/>
    <w:rsid w:val="004857C8"/>
    <w:rPr>
      <w:rFonts w:ascii="Wingdings" w:hAnsi="Wingdings"/>
      <w:color w:val="00000A"/>
      <w:sz w:val="18"/>
    </w:rPr>
  </w:style>
  <w:style w:type="character" w:customStyle="1" w:styleId="WW8Num30z1">
    <w:name w:val="WW8Num30z1"/>
    <w:uiPriority w:val="99"/>
    <w:rsid w:val="004857C8"/>
    <w:rPr>
      <w:rFonts w:ascii="Courier New" w:hAnsi="Courier New"/>
    </w:rPr>
  </w:style>
  <w:style w:type="character" w:customStyle="1" w:styleId="WW8Num30z2">
    <w:name w:val="WW8Num30z2"/>
    <w:uiPriority w:val="99"/>
    <w:rsid w:val="004857C8"/>
    <w:rPr>
      <w:rFonts w:ascii="Wingdings" w:hAnsi="Wingdings"/>
    </w:rPr>
  </w:style>
  <w:style w:type="character" w:customStyle="1" w:styleId="WW8Num30z3">
    <w:name w:val="WW8Num30z3"/>
    <w:uiPriority w:val="99"/>
    <w:rsid w:val="004857C8"/>
    <w:rPr>
      <w:rFonts w:ascii="Symbol" w:hAnsi="Symbol"/>
    </w:rPr>
  </w:style>
  <w:style w:type="character" w:customStyle="1" w:styleId="WW8Num31z0">
    <w:name w:val="WW8Num31z0"/>
    <w:uiPriority w:val="99"/>
    <w:rsid w:val="004857C8"/>
    <w:rPr>
      <w:rFonts w:ascii="Wingdings" w:hAnsi="Wingdings"/>
    </w:rPr>
  </w:style>
  <w:style w:type="character" w:customStyle="1" w:styleId="WW8Num31z1">
    <w:name w:val="WW8Num31z1"/>
    <w:uiPriority w:val="99"/>
    <w:rsid w:val="004857C8"/>
  </w:style>
  <w:style w:type="character" w:customStyle="1" w:styleId="WW8Num31z2">
    <w:name w:val="WW8Num31z2"/>
    <w:uiPriority w:val="99"/>
    <w:rsid w:val="004857C8"/>
  </w:style>
  <w:style w:type="character" w:customStyle="1" w:styleId="WW8Num31z3">
    <w:name w:val="WW8Num31z3"/>
    <w:uiPriority w:val="99"/>
    <w:rsid w:val="004857C8"/>
  </w:style>
  <w:style w:type="character" w:customStyle="1" w:styleId="WW8Num31z4">
    <w:name w:val="WW8Num31z4"/>
    <w:uiPriority w:val="99"/>
    <w:rsid w:val="004857C8"/>
  </w:style>
  <w:style w:type="character" w:customStyle="1" w:styleId="WW8Num31z5">
    <w:name w:val="WW8Num31z5"/>
    <w:uiPriority w:val="99"/>
    <w:rsid w:val="004857C8"/>
  </w:style>
  <w:style w:type="character" w:customStyle="1" w:styleId="WW8Num31z6">
    <w:name w:val="WW8Num31z6"/>
    <w:uiPriority w:val="99"/>
    <w:rsid w:val="004857C8"/>
  </w:style>
  <w:style w:type="character" w:customStyle="1" w:styleId="WW8Num31z7">
    <w:name w:val="WW8Num31z7"/>
    <w:uiPriority w:val="99"/>
    <w:rsid w:val="004857C8"/>
  </w:style>
  <w:style w:type="character" w:customStyle="1" w:styleId="WW8Num31z8">
    <w:name w:val="WW8Num31z8"/>
    <w:uiPriority w:val="99"/>
    <w:rsid w:val="004857C8"/>
  </w:style>
  <w:style w:type="character" w:customStyle="1" w:styleId="WW8Num32z0">
    <w:name w:val="WW8Num32z0"/>
    <w:uiPriority w:val="99"/>
    <w:rsid w:val="004857C8"/>
  </w:style>
  <w:style w:type="character" w:customStyle="1" w:styleId="WW8Num32z1">
    <w:name w:val="WW8Num32z1"/>
    <w:uiPriority w:val="99"/>
    <w:rsid w:val="004857C8"/>
  </w:style>
  <w:style w:type="character" w:customStyle="1" w:styleId="WW8Num32z2">
    <w:name w:val="WW8Num32z2"/>
    <w:uiPriority w:val="99"/>
    <w:rsid w:val="004857C8"/>
  </w:style>
  <w:style w:type="character" w:customStyle="1" w:styleId="WW8Num32z3">
    <w:name w:val="WW8Num32z3"/>
    <w:uiPriority w:val="99"/>
    <w:rsid w:val="004857C8"/>
  </w:style>
  <w:style w:type="character" w:customStyle="1" w:styleId="WW8Num32z4">
    <w:name w:val="WW8Num32z4"/>
    <w:uiPriority w:val="99"/>
    <w:rsid w:val="004857C8"/>
  </w:style>
  <w:style w:type="character" w:customStyle="1" w:styleId="WW8Num32z5">
    <w:name w:val="WW8Num32z5"/>
    <w:uiPriority w:val="99"/>
    <w:rsid w:val="004857C8"/>
  </w:style>
  <w:style w:type="character" w:customStyle="1" w:styleId="WW8Num32z6">
    <w:name w:val="WW8Num32z6"/>
    <w:uiPriority w:val="99"/>
    <w:rsid w:val="004857C8"/>
  </w:style>
  <w:style w:type="character" w:customStyle="1" w:styleId="WW8Num32z7">
    <w:name w:val="WW8Num32z7"/>
    <w:uiPriority w:val="99"/>
    <w:rsid w:val="004857C8"/>
  </w:style>
  <w:style w:type="character" w:customStyle="1" w:styleId="WW8Num32z8">
    <w:name w:val="WW8Num32z8"/>
    <w:uiPriority w:val="99"/>
    <w:rsid w:val="004857C8"/>
  </w:style>
  <w:style w:type="character" w:customStyle="1" w:styleId="WW8Num33z0">
    <w:name w:val="WW8Num33z0"/>
    <w:uiPriority w:val="99"/>
    <w:rsid w:val="004857C8"/>
    <w:rPr>
      <w:rFonts w:ascii="Wingdings" w:hAnsi="Wingdings"/>
    </w:rPr>
  </w:style>
  <w:style w:type="character" w:customStyle="1" w:styleId="WW8Num33z1">
    <w:name w:val="WW8Num33z1"/>
    <w:uiPriority w:val="99"/>
    <w:rsid w:val="004857C8"/>
    <w:rPr>
      <w:rFonts w:ascii="Courier New" w:hAnsi="Courier New"/>
    </w:rPr>
  </w:style>
  <w:style w:type="character" w:customStyle="1" w:styleId="WW8Num33z3">
    <w:name w:val="WW8Num33z3"/>
    <w:uiPriority w:val="99"/>
    <w:rsid w:val="004857C8"/>
    <w:rPr>
      <w:rFonts w:ascii="Symbol" w:hAnsi="Symbol"/>
    </w:rPr>
  </w:style>
  <w:style w:type="character" w:customStyle="1" w:styleId="WW8Num34z0">
    <w:name w:val="WW8Num34z0"/>
    <w:uiPriority w:val="99"/>
    <w:rsid w:val="004857C8"/>
    <w:rPr>
      <w:rFonts w:ascii="Wingdings" w:hAnsi="Wingdings"/>
      <w:sz w:val="24"/>
    </w:rPr>
  </w:style>
  <w:style w:type="character" w:customStyle="1" w:styleId="WW8Num34z1">
    <w:name w:val="WW8Num34z1"/>
    <w:uiPriority w:val="99"/>
    <w:rsid w:val="004857C8"/>
    <w:rPr>
      <w:rFonts w:ascii="Courier New" w:hAnsi="Courier New"/>
    </w:rPr>
  </w:style>
  <w:style w:type="character" w:customStyle="1" w:styleId="WW8Num34z2">
    <w:name w:val="WW8Num34z2"/>
    <w:uiPriority w:val="99"/>
    <w:rsid w:val="004857C8"/>
    <w:rPr>
      <w:rFonts w:ascii="Wingdings" w:hAnsi="Wingdings"/>
    </w:rPr>
  </w:style>
  <w:style w:type="character" w:customStyle="1" w:styleId="WW8Num34z3">
    <w:name w:val="WW8Num34z3"/>
    <w:uiPriority w:val="99"/>
    <w:rsid w:val="004857C8"/>
    <w:rPr>
      <w:rFonts w:ascii="Symbol" w:hAnsi="Symbol"/>
    </w:rPr>
  </w:style>
  <w:style w:type="character" w:customStyle="1" w:styleId="WW8Num35z0">
    <w:name w:val="WW8Num35z0"/>
    <w:uiPriority w:val="99"/>
    <w:rsid w:val="004857C8"/>
    <w:rPr>
      <w:rFonts w:ascii="Symbol" w:hAnsi="Symbol"/>
    </w:rPr>
  </w:style>
  <w:style w:type="character" w:customStyle="1" w:styleId="WW8Num35z1">
    <w:name w:val="WW8Num35z1"/>
    <w:uiPriority w:val="99"/>
    <w:rsid w:val="004857C8"/>
    <w:rPr>
      <w:rFonts w:ascii="Courier New" w:hAnsi="Courier New"/>
    </w:rPr>
  </w:style>
  <w:style w:type="character" w:customStyle="1" w:styleId="WW8Num35z2">
    <w:name w:val="WW8Num35z2"/>
    <w:uiPriority w:val="99"/>
    <w:rsid w:val="004857C8"/>
    <w:rPr>
      <w:rFonts w:ascii="Wingdings" w:hAnsi="Wingdings"/>
    </w:rPr>
  </w:style>
  <w:style w:type="character" w:customStyle="1" w:styleId="WW8Num36z0">
    <w:name w:val="WW8Num36z0"/>
    <w:uiPriority w:val="99"/>
    <w:rsid w:val="004857C8"/>
    <w:rPr>
      <w:b/>
    </w:rPr>
  </w:style>
  <w:style w:type="character" w:customStyle="1" w:styleId="WW8Num36z1">
    <w:name w:val="WW8Num36z1"/>
    <w:uiPriority w:val="99"/>
    <w:rsid w:val="004857C8"/>
  </w:style>
  <w:style w:type="character" w:customStyle="1" w:styleId="WW8Num36z2">
    <w:name w:val="WW8Num36z2"/>
    <w:uiPriority w:val="99"/>
    <w:rsid w:val="004857C8"/>
  </w:style>
  <w:style w:type="character" w:customStyle="1" w:styleId="WW8Num36z3">
    <w:name w:val="WW8Num36z3"/>
    <w:uiPriority w:val="99"/>
    <w:rsid w:val="004857C8"/>
  </w:style>
  <w:style w:type="character" w:customStyle="1" w:styleId="WW8Num36z4">
    <w:name w:val="WW8Num36z4"/>
    <w:uiPriority w:val="99"/>
    <w:rsid w:val="004857C8"/>
  </w:style>
  <w:style w:type="character" w:customStyle="1" w:styleId="WW8Num36z5">
    <w:name w:val="WW8Num36z5"/>
    <w:uiPriority w:val="99"/>
    <w:rsid w:val="004857C8"/>
  </w:style>
  <w:style w:type="character" w:customStyle="1" w:styleId="WW8Num36z6">
    <w:name w:val="WW8Num36z6"/>
    <w:uiPriority w:val="99"/>
    <w:rsid w:val="004857C8"/>
  </w:style>
  <w:style w:type="character" w:customStyle="1" w:styleId="WW8Num36z7">
    <w:name w:val="WW8Num36z7"/>
    <w:uiPriority w:val="99"/>
    <w:rsid w:val="004857C8"/>
  </w:style>
  <w:style w:type="character" w:customStyle="1" w:styleId="WW8Num36z8">
    <w:name w:val="WW8Num36z8"/>
    <w:uiPriority w:val="99"/>
    <w:rsid w:val="004857C8"/>
  </w:style>
  <w:style w:type="character" w:customStyle="1" w:styleId="WW8Num37z0">
    <w:name w:val="WW8Num37z0"/>
    <w:uiPriority w:val="99"/>
    <w:rsid w:val="004857C8"/>
    <w:rPr>
      <w:rFonts w:ascii="Wingdings" w:hAnsi="Wingdings"/>
      <w:sz w:val="22"/>
    </w:rPr>
  </w:style>
  <w:style w:type="character" w:customStyle="1" w:styleId="WW8Num37z1">
    <w:name w:val="WW8Num37z1"/>
    <w:uiPriority w:val="99"/>
    <w:rsid w:val="004857C8"/>
    <w:rPr>
      <w:rFonts w:ascii="Courier New" w:hAnsi="Courier New"/>
    </w:rPr>
  </w:style>
  <w:style w:type="character" w:customStyle="1" w:styleId="WW8Num37z3">
    <w:name w:val="WW8Num37z3"/>
    <w:uiPriority w:val="99"/>
    <w:rsid w:val="004857C8"/>
    <w:rPr>
      <w:rFonts w:ascii="Symbol" w:hAnsi="Symbol"/>
    </w:rPr>
  </w:style>
  <w:style w:type="character" w:customStyle="1" w:styleId="WW8Num38z0">
    <w:name w:val="WW8Num38z0"/>
    <w:uiPriority w:val="99"/>
    <w:rsid w:val="004857C8"/>
    <w:rPr>
      <w:rFonts w:ascii="Symbol" w:hAnsi="Symbol"/>
    </w:rPr>
  </w:style>
  <w:style w:type="character" w:customStyle="1" w:styleId="WW8Num38z1">
    <w:name w:val="WW8Num38z1"/>
    <w:uiPriority w:val="99"/>
    <w:rsid w:val="004857C8"/>
    <w:rPr>
      <w:rFonts w:ascii="Courier New" w:hAnsi="Courier New"/>
    </w:rPr>
  </w:style>
  <w:style w:type="character" w:customStyle="1" w:styleId="WW8Num38z2">
    <w:name w:val="WW8Num38z2"/>
    <w:uiPriority w:val="99"/>
    <w:rsid w:val="004857C8"/>
    <w:rPr>
      <w:rFonts w:ascii="Wingdings" w:hAnsi="Wingdings"/>
    </w:rPr>
  </w:style>
  <w:style w:type="character" w:customStyle="1" w:styleId="Enfasiforte">
    <w:name w:val="Enfasi forte"/>
    <w:uiPriority w:val="99"/>
    <w:rsid w:val="004857C8"/>
    <w:rPr>
      <w:b/>
    </w:rPr>
  </w:style>
  <w:style w:type="character" w:customStyle="1" w:styleId="Enfasi">
    <w:name w:val="Enfasi"/>
    <w:uiPriority w:val="99"/>
    <w:rsid w:val="004857C8"/>
    <w:rPr>
      <w:i/>
    </w:rPr>
  </w:style>
  <w:style w:type="character" w:customStyle="1" w:styleId="Caratteredellanota">
    <w:name w:val="Carattere della nota"/>
    <w:uiPriority w:val="99"/>
    <w:rsid w:val="004857C8"/>
    <w:rPr>
      <w:vertAlign w:val="superscript"/>
    </w:rPr>
  </w:style>
  <w:style w:type="character" w:customStyle="1" w:styleId="Caratterenotadichiusura">
    <w:name w:val="Carattere nota di chiusura"/>
    <w:uiPriority w:val="99"/>
    <w:rsid w:val="004857C8"/>
    <w:rPr>
      <w:vertAlign w:val="superscript"/>
    </w:rPr>
  </w:style>
  <w:style w:type="character" w:customStyle="1" w:styleId="1">
    <w:name w:val="页码1"/>
    <w:uiPriority w:val="99"/>
    <w:rsid w:val="004857C8"/>
  </w:style>
  <w:style w:type="character" w:customStyle="1" w:styleId="10">
    <w:name w:val="脚注引用1"/>
    <w:uiPriority w:val="99"/>
    <w:rsid w:val="004857C8"/>
    <w:rPr>
      <w:vertAlign w:val="superscript"/>
    </w:rPr>
  </w:style>
  <w:style w:type="character" w:customStyle="1" w:styleId="11">
    <w:name w:val="尾注引用1"/>
    <w:uiPriority w:val="99"/>
    <w:rsid w:val="004857C8"/>
    <w:rPr>
      <w:vertAlign w:val="superscript"/>
    </w:rPr>
  </w:style>
  <w:style w:type="character" w:customStyle="1" w:styleId="CollegamentoInternet">
    <w:name w:val="Collegamento Internet"/>
    <w:uiPriority w:val="99"/>
    <w:rsid w:val="004857C8"/>
    <w:rPr>
      <w:color w:val="0000FF"/>
      <w:u w:val="single"/>
    </w:rPr>
  </w:style>
  <w:style w:type="character" w:customStyle="1" w:styleId="CITE">
    <w:name w:val="CITE"/>
    <w:uiPriority w:val="99"/>
    <w:rsid w:val="004857C8"/>
    <w:rPr>
      <w:i/>
    </w:rPr>
  </w:style>
  <w:style w:type="character" w:customStyle="1" w:styleId="CODE">
    <w:name w:val="CODE"/>
    <w:uiPriority w:val="99"/>
    <w:rsid w:val="004857C8"/>
    <w:rPr>
      <w:rFonts w:ascii="Courier New" w:hAnsi="Courier New"/>
      <w:sz w:val="20"/>
    </w:rPr>
  </w:style>
  <w:style w:type="character" w:styleId="FollowedHyperlink">
    <w:name w:val="FollowedHyperlink"/>
    <w:uiPriority w:val="99"/>
    <w:rsid w:val="004857C8"/>
    <w:rPr>
      <w:rFonts w:cs="Times New Roman"/>
      <w:color w:val="800080"/>
      <w:u w:val="single"/>
    </w:rPr>
  </w:style>
  <w:style w:type="character" w:customStyle="1" w:styleId="Keyboard">
    <w:name w:val="Keyboard"/>
    <w:uiPriority w:val="99"/>
    <w:rsid w:val="004857C8"/>
    <w:rPr>
      <w:rFonts w:ascii="Courier New" w:hAnsi="Courier New"/>
      <w:b/>
      <w:sz w:val="20"/>
    </w:rPr>
  </w:style>
  <w:style w:type="character" w:customStyle="1" w:styleId="Sample">
    <w:name w:val="Sample"/>
    <w:uiPriority w:val="99"/>
    <w:rsid w:val="004857C8"/>
    <w:rPr>
      <w:rFonts w:ascii="Courier New" w:hAnsi="Courier New"/>
    </w:rPr>
  </w:style>
  <w:style w:type="character" w:customStyle="1" w:styleId="Typewriter">
    <w:name w:val="Typewriter"/>
    <w:uiPriority w:val="99"/>
    <w:rsid w:val="004857C8"/>
    <w:rPr>
      <w:rFonts w:ascii="Courier New" w:hAnsi="Courier New"/>
      <w:sz w:val="20"/>
    </w:rPr>
  </w:style>
  <w:style w:type="character" w:customStyle="1" w:styleId="HTMLMarkup">
    <w:name w:val="HTML Markup"/>
    <w:uiPriority w:val="99"/>
    <w:rsid w:val="004857C8"/>
    <w:rPr>
      <w:vanish/>
      <w:color w:val="FF0000"/>
    </w:rPr>
  </w:style>
  <w:style w:type="character" w:customStyle="1" w:styleId="Comment">
    <w:name w:val="Comment"/>
    <w:uiPriority w:val="99"/>
    <w:rsid w:val="004857C8"/>
    <w:rPr>
      <w:vanish/>
    </w:rPr>
  </w:style>
  <w:style w:type="character" w:customStyle="1" w:styleId="Heading2Char">
    <w:name w:val="Heading 2 Char"/>
    <w:uiPriority w:val="99"/>
    <w:rsid w:val="004857C8"/>
    <w:rPr>
      <w:rFonts w:ascii="Cambria" w:hAnsi="Cambria"/>
      <w:b/>
      <w:color w:val="4F81BD"/>
      <w:sz w:val="26"/>
    </w:rPr>
  </w:style>
  <w:style w:type="character" w:customStyle="1" w:styleId="Heading3Char">
    <w:name w:val="Heading 3 Char"/>
    <w:uiPriority w:val="99"/>
    <w:rsid w:val="004857C8"/>
    <w:rPr>
      <w:rFonts w:ascii="Cambria" w:hAnsi="Cambria"/>
      <w:b/>
      <w:color w:val="4F81BD"/>
    </w:rPr>
  </w:style>
  <w:style w:type="character" w:customStyle="1" w:styleId="Heading4Char">
    <w:name w:val="Heading 4 Char"/>
    <w:uiPriority w:val="99"/>
    <w:rsid w:val="004857C8"/>
    <w:rPr>
      <w:rFonts w:ascii="Cambria" w:hAnsi="Cambria"/>
      <w:b/>
      <w:i/>
      <w:color w:val="4F81BD"/>
    </w:rPr>
  </w:style>
  <w:style w:type="character" w:customStyle="1" w:styleId="Heading5Char">
    <w:name w:val="Heading 5 Char"/>
    <w:uiPriority w:val="99"/>
    <w:rsid w:val="004857C8"/>
    <w:rPr>
      <w:rFonts w:ascii="Cambria" w:hAnsi="Cambria"/>
      <w:color w:val="243F60"/>
    </w:rPr>
  </w:style>
  <w:style w:type="character" w:customStyle="1" w:styleId="Heading6Char">
    <w:name w:val="Heading 6 Char"/>
    <w:uiPriority w:val="99"/>
    <w:rsid w:val="004857C8"/>
    <w:rPr>
      <w:rFonts w:ascii="Cambria" w:hAnsi="Cambria"/>
      <w:i/>
      <w:color w:val="243F60"/>
    </w:rPr>
  </w:style>
  <w:style w:type="character" w:customStyle="1" w:styleId="Heading7Char">
    <w:name w:val="Heading 7 Char"/>
    <w:uiPriority w:val="99"/>
    <w:rsid w:val="004857C8"/>
    <w:rPr>
      <w:rFonts w:ascii="Cambria" w:hAnsi="Cambria"/>
      <w:i/>
      <w:color w:val="404040"/>
    </w:rPr>
  </w:style>
  <w:style w:type="character" w:customStyle="1" w:styleId="Heading8Char">
    <w:name w:val="Heading 8 Char"/>
    <w:uiPriority w:val="99"/>
    <w:rsid w:val="004857C8"/>
    <w:rPr>
      <w:rFonts w:ascii="Cambria" w:hAnsi="Cambria"/>
      <w:color w:val="404040"/>
      <w:sz w:val="20"/>
    </w:rPr>
  </w:style>
  <w:style w:type="character" w:customStyle="1" w:styleId="Heading9Char">
    <w:name w:val="Heading 9 Char"/>
    <w:uiPriority w:val="99"/>
    <w:rsid w:val="004857C8"/>
    <w:rPr>
      <w:rFonts w:ascii="Cambria" w:hAnsi="Cambria"/>
      <w:i/>
      <w:color w:val="404040"/>
      <w:sz w:val="20"/>
    </w:rPr>
  </w:style>
  <w:style w:type="character" w:customStyle="1" w:styleId="TitleChar">
    <w:name w:val="Title Char"/>
    <w:uiPriority w:val="99"/>
    <w:rsid w:val="004857C8"/>
    <w:rPr>
      <w:rFonts w:ascii="Cambria" w:hAnsi="Cambria"/>
      <w:color w:val="17365D"/>
      <w:spacing w:val="5"/>
      <w:sz w:val="52"/>
    </w:rPr>
  </w:style>
  <w:style w:type="character" w:customStyle="1" w:styleId="SubtitleChar">
    <w:name w:val="Subtitle Char"/>
    <w:uiPriority w:val="99"/>
    <w:rsid w:val="004857C8"/>
    <w:rPr>
      <w:rFonts w:ascii="Cambria" w:hAnsi="Cambria"/>
      <w:i/>
      <w:color w:val="4F81BD"/>
      <w:spacing w:val="15"/>
      <w:sz w:val="24"/>
    </w:rPr>
  </w:style>
  <w:style w:type="character" w:styleId="SubtleEmphasis">
    <w:name w:val="Subtle Emphasis"/>
    <w:uiPriority w:val="99"/>
    <w:qFormat/>
    <w:rsid w:val="004857C8"/>
    <w:rPr>
      <w:rFonts w:cs="Times New Roman"/>
      <w:i/>
      <w:color w:val="808080"/>
    </w:rPr>
  </w:style>
  <w:style w:type="character" w:styleId="IntenseEmphasis">
    <w:name w:val="Intense Emphasis"/>
    <w:uiPriority w:val="99"/>
    <w:qFormat/>
    <w:rsid w:val="004857C8"/>
    <w:rPr>
      <w:rFonts w:cs="Times New Roman"/>
      <w:b/>
      <w:i/>
      <w:color w:val="4F81BD"/>
    </w:rPr>
  </w:style>
  <w:style w:type="character" w:customStyle="1" w:styleId="QuoteChar">
    <w:name w:val="Quote Char"/>
    <w:uiPriority w:val="99"/>
    <w:rsid w:val="004857C8"/>
    <w:rPr>
      <w:i/>
      <w:color w:val="000000"/>
    </w:rPr>
  </w:style>
  <w:style w:type="character" w:customStyle="1" w:styleId="IntenseQuoteChar">
    <w:name w:val="Intense Quote Char"/>
    <w:uiPriority w:val="99"/>
    <w:rsid w:val="004857C8"/>
    <w:rPr>
      <w:b/>
      <w:i/>
      <w:color w:val="4F81BD"/>
    </w:rPr>
  </w:style>
  <w:style w:type="character" w:styleId="SubtleReference">
    <w:name w:val="Subtle Reference"/>
    <w:uiPriority w:val="99"/>
    <w:qFormat/>
    <w:rsid w:val="004857C8"/>
    <w:rPr>
      <w:rFonts w:cs="Times New Roman"/>
      <w:smallCaps/>
      <w:color w:val="C0504D"/>
      <w:u w:val="single"/>
    </w:rPr>
  </w:style>
  <w:style w:type="character" w:styleId="IntenseReference">
    <w:name w:val="Intense Reference"/>
    <w:uiPriority w:val="99"/>
    <w:qFormat/>
    <w:rsid w:val="004857C8"/>
    <w:rPr>
      <w:rFonts w:cs="Times New Roman"/>
      <w:b/>
      <w:smallCaps/>
      <w:color w:val="C0504D"/>
      <w:spacing w:val="5"/>
      <w:u w:val="single"/>
    </w:rPr>
  </w:style>
  <w:style w:type="character" w:styleId="BookTitle">
    <w:name w:val="Book Title"/>
    <w:uiPriority w:val="99"/>
    <w:qFormat/>
    <w:rsid w:val="004857C8"/>
    <w:rPr>
      <w:rFonts w:cs="Times New Roman"/>
      <w:b/>
      <w:smallCaps/>
      <w:spacing w:val="5"/>
    </w:rPr>
  </w:style>
  <w:style w:type="character" w:customStyle="1" w:styleId="FootnoteTextChar">
    <w:name w:val="Footnote Text Char"/>
    <w:uiPriority w:val="99"/>
    <w:rsid w:val="004857C8"/>
    <w:rPr>
      <w:sz w:val="20"/>
    </w:rPr>
  </w:style>
  <w:style w:type="character" w:customStyle="1" w:styleId="EndnoteTextChar">
    <w:name w:val="Endnote Text Char"/>
    <w:uiPriority w:val="99"/>
    <w:rsid w:val="004857C8"/>
    <w:rPr>
      <w:sz w:val="20"/>
    </w:rPr>
  </w:style>
  <w:style w:type="character" w:customStyle="1" w:styleId="PlainTextChar">
    <w:name w:val="Plain Text Char"/>
    <w:uiPriority w:val="99"/>
    <w:rsid w:val="004857C8"/>
    <w:rPr>
      <w:rFonts w:ascii="Courier New" w:hAnsi="Courier New"/>
      <w:sz w:val="21"/>
    </w:rPr>
  </w:style>
  <w:style w:type="character" w:customStyle="1" w:styleId="HeaderChar">
    <w:name w:val="Header Char"/>
    <w:uiPriority w:val="99"/>
    <w:rsid w:val="004857C8"/>
  </w:style>
  <w:style w:type="character" w:customStyle="1" w:styleId="FooterChar">
    <w:name w:val="Footer Char"/>
    <w:uiPriority w:val="99"/>
    <w:rsid w:val="004857C8"/>
  </w:style>
  <w:style w:type="character" w:customStyle="1" w:styleId="ListLabel1">
    <w:name w:val="ListLabel 1"/>
    <w:uiPriority w:val="99"/>
    <w:rsid w:val="004857C8"/>
    <w:rPr>
      <w:b/>
    </w:rPr>
  </w:style>
  <w:style w:type="character" w:customStyle="1" w:styleId="HeaderChar1">
    <w:name w:val="Header Char1"/>
    <w:uiPriority w:val="99"/>
    <w:rsid w:val="004857C8"/>
    <w:rPr>
      <w:rFonts w:ascii="Times New Roman" w:hAnsi="Times New Roman"/>
      <w:color w:val="00000A"/>
      <w:sz w:val="24"/>
      <w:lang w:eastAsia="zh-CN"/>
    </w:rPr>
  </w:style>
  <w:style w:type="character" w:customStyle="1" w:styleId="BodyTextChar">
    <w:name w:val="Body Text Char"/>
    <w:uiPriority w:val="99"/>
    <w:rsid w:val="004857C8"/>
    <w:rPr>
      <w:rFonts w:ascii="Times New Roman" w:hAnsi="Times New Roman"/>
      <w:color w:val="00000A"/>
      <w:sz w:val="24"/>
      <w:lang w:eastAsia="zh-CN"/>
    </w:rPr>
  </w:style>
  <w:style w:type="character" w:customStyle="1" w:styleId="TitleChar1">
    <w:name w:val="Title Char1"/>
    <w:uiPriority w:val="99"/>
    <w:rsid w:val="004857C8"/>
    <w:rPr>
      <w:rFonts w:ascii="Cambria" w:hAnsi="Cambria"/>
      <w:b/>
      <w:color w:val="00000A"/>
      <w:sz w:val="32"/>
      <w:lang w:eastAsia="zh-CN"/>
    </w:rPr>
  </w:style>
  <w:style w:type="character" w:customStyle="1" w:styleId="BodyText2Char">
    <w:name w:val="Body Text 2 Char"/>
    <w:uiPriority w:val="99"/>
    <w:rsid w:val="004857C8"/>
    <w:rPr>
      <w:rFonts w:ascii="Times New Roman" w:hAnsi="Times New Roman"/>
      <w:color w:val="00000A"/>
      <w:sz w:val="24"/>
      <w:lang w:eastAsia="zh-CN"/>
    </w:rPr>
  </w:style>
  <w:style w:type="character" w:customStyle="1" w:styleId="BodyText3Char">
    <w:name w:val="Body Text 3 Char"/>
    <w:uiPriority w:val="99"/>
    <w:rsid w:val="004857C8"/>
    <w:rPr>
      <w:rFonts w:ascii="Times New Roman" w:hAnsi="Times New Roman"/>
      <w:color w:val="00000A"/>
      <w:sz w:val="16"/>
      <w:lang w:eastAsia="zh-CN"/>
    </w:rPr>
  </w:style>
  <w:style w:type="character" w:customStyle="1" w:styleId="FooterChar1">
    <w:name w:val="Footer Char1"/>
    <w:uiPriority w:val="99"/>
    <w:rsid w:val="004857C8"/>
    <w:rPr>
      <w:rFonts w:ascii="Times New Roman" w:hAnsi="Times New Roman"/>
      <w:color w:val="00000A"/>
      <w:sz w:val="24"/>
      <w:lang w:eastAsia="zh-CN"/>
    </w:rPr>
  </w:style>
  <w:style w:type="character" w:customStyle="1" w:styleId="BodyTextIndent3Char">
    <w:name w:val="Body Text Indent 3 Char"/>
    <w:uiPriority w:val="99"/>
    <w:rsid w:val="004857C8"/>
    <w:rPr>
      <w:rFonts w:ascii="Times New Roman" w:hAnsi="Times New Roman"/>
      <w:color w:val="00000A"/>
      <w:sz w:val="16"/>
      <w:lang w:eastAsia="zh-CN"/>
    </w:rPr>
  </w:style>
  <w:style w:type="character" w:customStyle="1" w:styleId="BalloonTextChar">
    <w:name w:val="Balloon Text Char"/>
    <w:uiPriority w:val="99"/>
    <w:rsid w:val="004857C8"/>
    <w:rPr>
      <w:rFonts w:ascii="Times New Roman" w:hAnsi="Times New Roman"/>
      <w:color w:val="00000A"/>
      <w:sz w:val="2"/>
      <w:lang w:eastAsia="zh-CN"/>
    </w:rPr>
  </w:style>
  <w:style w:type="character" w:customStyle="1" w:styleId="HTMLPreformattedChar">
    <w:name w:val="HTML Preformatted Char"/>
    <w:uiPriority w:val="99"/>
    <w:rsid w:val="004857C8"/>
    <w:rPr>
      <w:rFonts w:ascii="Courier New" w:hAnsi="Courier New"/>
      <w:color w:val="00000A"/>
      <w:sz w:val="20"/>
      <w:lang w:eastAsia="zh-CN"/>
    </w:rPr>
  </w:style>
  <w:style w:type="character" w:customStyle="1" w:styleId="SubtitleChar1">
    <w:name w:val="Subtitle Char1"/>
    <w:uiPriority w:val="99"/>
    <w:rsid w:val="004857C8"/>
    <w:rPr>
      <w:rFonts w:ascii="Cambria" w:hAnsi="Cambria"/>
      <w:color w:val="00000A"/>
      <w:sz w:val="24"/>
      <w:lang w:eastAsia="zh-CN"/>
    </w:rPr>
  </w:style>
  <w:style w:type="character" w:customStyle="1" w:styleId="QuoteChar1">
    <w:name w:val="Quote Char1"/>
    <w:uiPriority w:val="99"/>
    <w:rsid w:val="004857C8"/>
    <w:rPr>
      <w:rFonts w:ascii="Times New Roman" w:hAnsi="Times New Roman"/>
      <w:i/>
      <w:color w:val="000000"/>
      <w:sz w:val="24"/>
      <w:lang w:eastAsia="zh-CN"/>
    </w:rPr>
  </w:style>
  <w:style w:type="character" w:customStyle="1" w:styleId="IntenseQuoteChar1">
    <w:name w:val="Intense Quote Char1"/>
    <w:uiPriority w:val="99"/>
    <w:rsid w:val="004857C8"/>
    <w:rPr>
      <w:rFonts w:ascii="Times New Roman" w:hAnsi="Times New Roman"/>
      <w:b/>
      <w:i/>
      <w:color w:val="4F81BD"/>
      <w:sz w:val="24"/>
      <w:lang w:eastAsia="zh-CN"/>
    </w:rPr>
  </w:style>
  <w:style w:type="character" w:customStyle="1" w:styleId="PlainTextChar1">
    <w:name w:val="Plain Text Char1"/>
    <w:uiPriority w:val="99"/>
    <w:rsid w:val="004857C8"/>
    <w:rPr>
      <w:rFonts w:ascii="Courier New" w:hAnsi="Courier New"/>
      <w:color w:val="00000A"/>
      <w:sz w:val="20"/>
      <w:lang w:eastAsia="zh-CN"/>
    </w:rPr>
  </w:style>
  <w:style w:type="character" w:customStyle="1" w:styleId="TitleChar2">
    <w:name w:val="Title Char2"/>
    <w:uiPriority w:val="99"/>
    <w:rsid w:val="004857C8"/>
    <w:rPr>
      <w:rFonts w:ascii="Cambria" w:hAnsi="Cambria"/>
      <w:b/>
      <w:color w:val="00000A"/>
      <w:sz w:val="32"/>
      <w:lang w:eastAsia="zh-CN"/>
    </w:rPr>
  </w:style>
  <w:style w:type="character" w:customStyle="1" w:styleId="BodyTextChar1">
    <w:name w:val="Body Text Char1"/>
    <w:uiPriority w:val="99"/>
    <w:rsid w:val="004857C8"/>
    <w:rPr>
      <w:rFonts w:ascii="Times New Roman" w:hAnsi="Times New Roman"/>
      <w:color w:val="00000A"/>
      <w:sz w:val="24"/>
      <w:lang w:eastAsia="zh-CN"/>
    </w:rPr>
  </w:style>
  <w:style w:type="character" w:customStyle="1" w:styleId="HeaderChar2">
    <w:name w:val="Header Char2"/>
    <w:uiPriority w:val="99"/>
    <w:rsid w:val="004857C8"/>
    <w:rPr>
      <w:rFonts w:ascii="Times New Roman" w:hAnsi="Times New Roman"/>
      <w:color w:val="00000A"/>
      <w:sz w:val="24"/>
      <w:lang w:eastAsia="zh-CN"/>
    </w:rPr>
  </w:style>
  <w:style w:type="character" w:customStyle="1" w:styleId="BodyText2Char1">
    <w:name w:val="Body Text 2 Char1"/>
    <w:uiPriority w:val="99"/>
    <w:rsid w:val="004857C8"/>
    <w:rPr>
      <w:rFonts w:ascii="Times New Roman" w:hAnsi="Times New Roman"/>
      <w:color w:val="00000A"/>
      <w:sz w:val="24"/>
      <w:lang w:eastAsia="zh-CN"/>
    </w:rPr>
  </w:style>
  <w:style w:type="character" w:customStyle="1" w:styleId="BodyText3Char1">
    <w:name w:val="Body Text 3 Char1"/>
    <w:uiPriority w:val="99"/>
    <w:rsid w:val="004857C8"/>
    <w:rPr>
      <w:rFonts w:ascii="Times New Roman" w:hAnsi="Times New Roman"/>
      <w:color w:val="00000A"/>
      <w:sz w:val="16"/>
      <w:lang w:eastAsia="zh-CN"/>
    </w:rPr>
  </w:style>
  <w:style w:type="character" w:customStyle="1" w:styleId="FooterChar2">
    <w:name w:val="Footer Char2"/>
    <w:uiPriority w:val="99"/>
    <w:rsid w:val="004857C8"/>
    <w:rPr>
      <w:rFonts w:ascii="Times New Roman" w:hAnsi="Times New Roman"/>
      <w:color w:val="00000A"/>
      <w:sz w:val="24"/>
      <w:lang w:eastAsia="zh-CN"/>
    </w:rPr>
  </w:style>
  <w:style w:type="character" w:customStyle="1" w:styleId="BodyTextIndent3Char1">
    <w:name w:val="Body Text Indent 3 Char1"/>
    <w:uiPriority w:val="99"/>
    <w:rsid w:val="004857C8"/>
    <w:rPr>
      <w:rFonts w:ascii="Times New Roman" w:hAnsi="Times New Roman"/>
      <w:color w:val="00000A"/>
      <w:sz w:val="16"/>
      <w:lang w:eastAsia="zh-CN"/>
    </w:rPr>
  </w:style>
  <w:style w:type="character" w:customStyle="1" w:styleId="BalloonTextChar1">
    <w:name w:val="Balloon Text Char1"/>
    <w:uiPriority w:val="99"/>
    <w:rsid w:val="004857C8"/>
    <w:rPr>
      <w:rFonts w:ascii="Times New Roman" w:hAnsi="Times New Roman"/>
      <w:color w:val="00000A"/>
      <w:sz w:val="2"/>
      <w:lang w:eastAsia="zh-CN"/>
    </w:rPr>
  </w:style>
  <w:style w:type="character" w:customStyle="1" w:styleId="HTMLPreformattedChar1">
    <w:name w:val="HTML Preformatted Char1"/>
    <w:uiPriority w:val="99"/>
    <w:rsid w:val="004857C8"/>
    <w:rPr>
      <w:rFonts w:ascii="Courier New" w:hAnsi="Courier New"/>
      <w:color w:val="00000A"/>
      <w:sz w:val="20"/>
      <w:lang w:eastAsia="zh-CN"/>
    </w:rPr>
  </w:style>
  <w:style w:type="character" w:customStyle="1" w:styleId="SubtitleChar2">
    <w:name w:val="Subtitle Char2"/>
    <w:uiPriority w:val="99"/>
    <w:rsid w:val="004857C8"/>
    <w:rPr>
      <w:rFonts w:ascii="Cambria" w:hAnsi="Cambria"/>
      <w:color w:val="00000A"/>
      <w:sz w:val="24"/>
      <w:lang w:eastAsia="zh-CN"/>
    </w:rPr>
  </w:style>
  <w:style w:type="character" w:customStyle="1" w:styleId="QuoteChar2">
    <w:name w:val="Quote Char2"/>
    <w:uiPriority w:val="99"/>
    <w:rsid w:val="004857C8"/>
    <w:rPr>
      <w:rFonts w:ascii="Times New Roman" w:hAnsi="Times New Roman"/>
      <w:i/>
      <w:color w:val="000000"/>
      <w:sz w:val="24"/>
      <w:lang w:eastAsia="zh-CN"/>
    </w:rPr>
  </w:style>
  <w:style w:type="character" w:customStyle="1" w:styleId="IntenseQuoteChar2">
    <w:name w:val="Intense Quote Char2"/>
    <w:uiPriority w:val="99"/>
    <w:rsid w:val="004857C8"/>
    <w:rPr>
      <w:rFonts w:ascii="Times New Roman" w:hAnsi="Times New Roman"/>
      <w:b/>
      <w:i/>
      <w:color w:val="4F81BD"/>
      <w:sz w:val="24"/>
      <w:lang w:eastAsia="zh-CN"/>
    </w:rPr>
  </w:style>
  <w:style w:type="character" w:customStyle="1" w:styleId="PlainTextChar2">
    <w:name w:val="Plain Text Char2"/>
    <w:uiPriority w:val="99"/>
    <w:rsid w:val="004857C8"/>
    <w:rPr>
      <w:rFonts w:ascii="Courier New" w:hAnsi="Courier New"/>
      <w:color w:val="00000A"/>
      <w:sz w:val="20"/>
      <w:lang w:eastAsia="zh-CN"/>
    </w:rPr>
  </w:style>
  <w:style w:type="character" w:customStyle="1" w:styleId="TitleChar3">
    <w:name w:val="Title Char3"/>
    <w:uiPriority w:val="99"/>
    <w:rsid w:val="004857C8"/>
    <w:rPr>
      <w:rFonts w:ascii="Cambria" w:hAnsi="Cambria"/>
      <w:b/>
      <w:color w:val="00000A"/>
      <w:sz w:val="32"/>
      <w:lang w:eastAsia="zh-CN"/>
    </w:rPr>
  </w:style>
  <w:style w:type="character" w:customStyle="1" w:styleId="BodyTextChar2">
    <w:name w:val="Body Text Char2"/>
    <w:uiPriority w:val="99"/>
    <w:rsid w:val="004857C8"/>
    <w:rPr>
      <w:rFonts w:ascii="Times New Roman" w:hAnsi="Times New Roman"/>
      <w:color w:val="00000A"/>
      <w:sz w:val="24"/>
      <w:lang w:eastAsia="zh-CN"/>
    </w:rPr>
  </w:style>
  <w:style w:type="character" w:customStyle="1" w:styleId="HeaderChar3">
    <w:name w:val="Header Char3"/>
    <w:uiPriority w:val="99"/>
    <w:rsid w:val="004857C8"/>
    <w:rPr>
      <w:rFonts w:ascii="Times New Roman" w:hAnsi="Times New Roman"/>
      <w:color w:val="00000A"/>
      <w:sz w:val="24"/>
      <w:lang w:eastAsia="zh-CN"/>
    </w:rPr>
  </w:style>
  <w:style w:type="character" w:customStyle="1" w:styleId="BodyText2Char2">
    <w:name w:val="Body Text 2 Char2"/>
    <w:uiPriority w:val="99"/>
    <w:rsid w:val="004857C8"/>
    <w:rPr>
      <w:rFonts w:ascii="Times New Roman" w:hAnsi="Times New Roman"/>
      <w:color w:val="00000A"/>
      <w:sz w:val="24"/>
      <w:lang w:eastAsia="zh-CN"/>
    </w:rPr>
  </w:style>
  <w:style w:type="character" w:customStyle="1" w:styleId="BodyText3Char2">
    <w:name w:val="Body Text 3 Char2"/>
    <w:uiPriority w:val="99"/>
    <w:rsid w:val="004857C8"/>
    <w:rPr>
      <w:rFonts w:ascii="Times New Roman" w:hAnsi="Times New Roman"/>
      <w:color w:val="00000A"/>
      <w:sz w:val="16"/>
      <w:lang w:eastAsia="zh-CN"/>
    </w:rPr>
  </w:style>
  <w:style w:type="character" w:customStyle="1" w:styleId="FooterChar3">
    <w:name w:val="Footer Char3"/>
    <w:uiPriority w:val="99"/>
    <w:rsid w:val="004857C8"/>
    <w:rPr>
      <w:rFonts w:ascii="Times New Roman" w:hAnsi="Times New Roman"/>
      <w:color w:val="00000A"/>
      <w:sz w:val="24"/>
      <w:lang w:eastAsia="zh-CN"/>
    </w:rPr>
  </w:style>
  <w:style w:type="character" w:customStyle="1" w:styleId="BodyTextIndent3Char2">
    <w:name w:val="Body Text Indent 3 Char2"/>
    <w:uiPriority w:val="99"/>
    <w:rsid w:val="004857C8"/>
    <w:rPr>
      <w:rFonts w:ascii="Times New Roman" w:hAnsi="Times New Roman"/>
      <w:color w:val="00000A"/>
      <w:sz w:val="16"/>
      <w:lang w:eastAsia="zh-CN"/>
    </w:rPr>
  </w:style>
  <w:style w:type="character" w:customStyle="1" w:styleId="BalloonTextChar2">
    <w:name w:val="Balloon Text Char2"/>
    <w:uiPriority w:val="99"/>
    <w:rsid w:val="004857C8"/>
    <w:rPr>
      <w:rFonts w:ascii="Times New Roman" w:hAnsi="Times New Roman"/>
      <w:color w:val="00000A"/>
      <w:sz w:val="2"/>
      <w:lang w:eastAsia="zh-CN"/>
    </w:rPr>
  </w:style>
  <w:style w:type="character" w:customStyle="1" w:styleId="HTMLPreformattedChar2">
    <w:name w:val="HTML Preformatted Char2"/>
    <w:uiPriority w:val="99"/>
    <w:rsid w:val="004857C8"/>
    <w:rPr>
      <w:rFonts w:ascii="Courier New" w:hAnsi="Courier New"/>
      <w:color w:val="00000A"/>
      <w:sz w:val="20"/>
      <w:lang w:eastAsia="zh-CN"/>
    </w:rPr>
  </w:style>
  <w:style w:type="character" w:customStyle="1" w:styleId="SubtitleChar3">
    <w:name w:val="Subtitle Char3"/>
    <w:uiPriority w:val="99"/>
    <w:rsid w:val="004857C8"/>
    <w:rPr>
      <w:rFonts w:ascii="Cambria" w:hAnsi="Cambria"/>
      <w:color w:val="00000A"/>
      <w:sz w:val="24"/>
      <w:lang w:eastAsia="zh-CN"/>
    </w:rPr>
  </w:style>
  <w:style w:type="character" w:customStyle="1" w:styleId="QuoteChar3">
    <w:name w:val="Quote Char3"/>
    <w:uiPriority w:val="99"/>
    <w:rsid w:val="004857C8"/>
    <w:rPr>
      <w:rFonts w:ascii="Times New Roman" w:hAnsi="Times New Roman"/>
      <w:i/>
      <w:color w:val="000000"/>
      <w:sz w:val="24"/>
      <w:lang w:eastAsia="zh-CN"/>
    </w:rPr>
  </w:style>
  <w:style w:type="character" w:customStyle="1" w:styleId="IntenseQuoteChar3">
    <w:name w:val="Intense Quote Char3"/>
    <w:uiPriority w:val="99"/>
    <w:rsid w:val="004857C8"/>
    <w:rPr>
      <w:rFonts w:ascii="Times New Roman" w:hAnsi="Times New Roman"/>
      <w:b/>
      <w:i/>
      <w:color w:val="4F81BD"/>
      <w:sz w:val="24"/>
      <w:lang w:eastAsia="zh-CN"/>
    </w:rPr>
  </w:style>
  <w:style w:type="character" w:customStyle="1" w:styleId="PlainTextChar3">
    <w:name w:val="Plain Text Char3"/>
    <w:uiPriority w:val="99"/>
    <w:rsid w:val="004857C8"/>
    <w:rPr>
      <w:rFonts w:ascii="Courier New" w:hAnsi="Courier New"/>
      <w:color w:val="00000A"/>
      <w:sz w:val="20"/>
      <w:lang w:eastAsia="zh-CN"/>
    </w:rPr>
  </w:style>
  <w:style w:type="character" w:styleId="CommentReference">
    <w:name w:val="annotation reference"/>
    <w:uiPriority w:val="99"/>
    <w:rsid w:val="004857C8"/>
    <w:rPr>
      <w:rFonts w:cs="Times New Roman"/>
      <w:sz w:val="16"/>
    </w:rPr>
  </w:style>
  <w:style w:type="character" w:customStyle="1" w:styleId="CommentTextChar">
    <w:name w:val="Comment Text Char"/>
    <w:uiPriority w:val="99"/>
    <w:rsid w:val="004857C8"/>
    <w:rPr>
      <w:rFonts w:ascii="Times New Roman" w:hAnsi="Times New Roman"/>
      <w:color w:val="00000A"/>
      <w:sz w:val="20"/>
      <w:lang w:eastAsia="zh-CN"/>
    </w:rPr>
  </w:style>
  <w:style w:type="paragraph" w:styleId="Title">
    <w:name w:val="Title"/>
    <w:basedOn w:val="Normal"/>
    <w:next w:val="BodyText"/>
    <w:link w:val="TitleChar4"/>
    <w:uiPriority w:val="99"/>
    <w:qFormat/>
    <w:rsid w:val="004857C8"/>
    <w:pPr>
      <w:keepNext/>
      <w:spacing w:before="240" w:after="120"/>
    </w:pPr>
    <w:rPr>
      <w:rFonts w:ascii="Cambria" w:hAnsi="Cambria"/>
      <w:b/>
      <w:bCs/>
      <w:kern w:val="28"/>
      <w:sz w:val="32"/>
      <w:szCs w:val="32"/>
    </w:rPr>
  </w:style>
  <w:style w:type="character" w:customStyle="1" w:styleId="TitleChar4">
    <w:name w:val="Title Char4"/>
    <w:link w:val="Title"/>
    <w:uiPriority w:val="99"/>
    <w:locked/>
    <w:rsid w:val="00481F21"/>
    <w:rPr>
      <w:rFonts w:ascii="Cambria" w:eastAsia="SimSun" w:hAnsi="Cambria" w:cs="Times New Roman"/>
      <w:b/>
      <w:color w:val="00000A"/>
      <w:kern w:val="28"/>
      <w:sz w:val="32"/>
      <w:lang w:eastAsia="zh-CN"/>
    </w:rPr>
  </w:style>
  <w:style w:type="paragraph" w:styleId="BodyText">
    <w:name w:val="Body Text"/>
    <w:basedOn w:val="Normal"/>
    <w:link w:val="BodyTextChar3"/>
    <w:uiPriority w:val="99"/>
    <w:rsid w:val="004857C8"/>
    <w:pPr>
      <w:spacing w:after="120"/>
    </w:pPr>
  </w:style>
  <w:style w:type="character" w:customStyle="1" w:styleId="BodyTextChar3">
    <w:name w:val="Body Text Char3"/>
    <w:link w:val="BodyText"/>
    <w:uiPriority w:val="99"/>
    <w:semiHidden/>
    <w:locked/>
    <w:rsid w:val="00481F21"/>
    <w:rPr>
      <w:rFonts w:ascii="Times New Roman" w:hAnsi="Times New Roman" w:cs="Times New Roman"/>
      <w:color w:val="00000A"/>
      <w:sz w:val="24"/>
      <w:lang w:eastAsia="zh-CN"/>
    </w:rPr>
  </w:style>
  <w:style w:type="paragraph" w:styleId="List">
    <w:name w:val="List"/>
    <w:basedOn w:val="BodyText"/>
    <w:uiPriority w:val="99"/>
    <w:rsid w:val="004857C8"/>
    <w:pPr>
      <w:widowControl w:val="0"/>
    </w:pPr>
    <w:rPr>
      <w:rFonts w:ascii="Calibri" w:hAnsi="Calibri" w:cs="Mangal"/>
      <w:sz w:val="22"/>
      <w:szCs w:val="22"/>
      <w:lang w:eastAsia="it-IT"/>
    </w:rPr>
  </w:style>
  <w:style w:type="paragraph" w:styleId="Caption">
    <w:name w:val="caption"/>
    <w:basedOn w:val="Normal"/>
    <w:uiPriority w:val="99"/>
    <w:qFormat/>
    <w:rsid w:val="004857C8"/>
    <w:pPr>
      <w:suppressLineNumbers/>
      <w:spacing w:before="120" w:after="120"/>
    </w:pPr>
    <w:rPr>
      <w:rFonts w:cs="Mangal"/>
      <w:i/>
      <w:iCs/>
    </w:rPr>
  </w:style>
  <w:style w:type="paragraph" w:customStyle="1" w:styleId="Indice">
    <w:name w:val="Indice"/>
    <w:basedOn w:val="Normal"/>
    <w:uiPriority w:val="99"/>
    <w:rsid w:val="004857C8"/>
    <w:pPr>
      <w:suppressLineNumbers/>
    </w:pPr>
    <w:rPr>
      <w:rFonts w:cs="Mangal"/>
    </w:rPr>
  </w:style>
  <w:style w:type="paragraph" w:customStyle="1" w:styleId="Titoloprincipale">
    <w:name w:val="Titolo principale"/>
    <w:basedOn w:val="Normal"/>
    <w:uiPriority w:val="99"/>
    <w:rsid w:val="004857C8"/>
    <w:pPr>
      <w:keepNext/>
      <w:spacing w:before="240" w:after="120"/>
    </w:pPr>
    <w:rPr>
      <w:rFonts w:ascii="Liberation Sans" w:eastAsia="Microsoft YaHei" w:hAnsi="Liberation Sans" w:cs="Mangal"/>
      <w:sz w:val="28"/>
      <w:szCs w:val="28"/>
    </w:rPr>
  </w:style>
  <w:style w:type="paragraph" w:customStyle="1" w:styleId="Intestazione1">
    <w:name w:val="Intestazione 1"/>
    <w:basedOn w:val="Normal"/>
    <w:uiPriority w:val="99"/>
    <w:rsid w:val="004857C8"/>
    <w:pPr>
      <w:keepNext/>
    </w:pPr>
    <w:rPr>
      <w:b/>
      <w:szCs w:val="20"/>
    </w:rPr>
  </w:style>
  <w:style w:type="paragraph" w:customStyle="1" w:styleId="Intestazione2">
    <w:name w:val="Intestazione 2"/>
    <w:basedOn w:val="Normal"/>
    <w:uiPriority w:val="99"/>
    <w:rsid w:val="004857C8"/>
    <w:pPr>
      <w:keepNext/>
      <w:jc w:val="center"/>
    </w:pPr>
    <w:rPr>
      <w:i/>
    </w:rPr>
  </w:style>
  <w:style w:type="paragraph" w:customStyle="1" w:styleId="Intestazione3">
    <w:name w:val="Intestazione 3"/>
    <w:basedOn w:val="Normal"/>
    <w:uiPriority w:val="99"/>
    <w:rsid w:val="004857C8"/>
    <w:pPr>
      <w:keepNext/>
      <w:keepLines/>
      <w:spacing w:before="200" w:after="0"/>
    </w:pPr>
    <w:rPr>
      <w:rFonts w:ascii="Cambria" w:hAnsi="Cambria"/>
      <w:b/>
      <w:bCs/>
      <w:color w:val="4F81BD"/>
    </w:rPr>
  </w:style>
  <w:style w:type="paragraph" w:customStyle="1" w:styleId="Intestazione4">
    <w:name w:val="Intestazione 4"/>
    <w:basedOn w:val="Normal"/>
    <w:uiPriority w:val="99"/>
    <w:rsid w:val="004857C8"/>
    <w:pPr>
      <w:keepNext/>
      <w:jc w:val="center"/>
    </w:pPr>
    <w:rPr>
      <w:b/>
      <w:bCs/>
      <w:u w:val="single"/>
    </w:rPr>
  </w:style>
  <w:style w:type="paragraph" w:customStyle="1" w:styleId="Intestazione5">
    <w:name w:val="Intestazione 5"/>
    <w:basedOn w:val="Normal"/>
    <w:uiPriority w:val="99"/>
    <w:rsid w:val="004857C8"/>
    <w:pPr>
      <w:keepNext/>
      <w:spacing w:line="360" w:lineRule="atLeast"/>
    </w:pPr>
    <w:rPr>
      <w:b/>
      <w:bCs/>
      <w:i/>
      <w:szCs w:val="20"/>
    </w:rPr>
  </w:style>
  <w:style w:type="paragraph" w:customStyle="1" w:styleId="Intestazione6">
    <w:name w:val="Intestazione 6"/>
    <w:basedOn w:val="Normal"/>
    <w:uiPriority w:val="99"/>
    <w:rsid w:val="004857C8"/>
    <w:pPr>
      <w:keepNext/>
      <w:tabs>
        <w:tab w:val="left" w:pos="288"/>
      </w:tabs>
      <w:ind w:firstLine="288"/>
      <w:jc w:val="both"/>
    </w:pPr>
    <w:rPr>
      <w:b/>
      <w:bCs/>
      <w:szCs w:val="20"/>
    </w:rPr>
  </w:style>
  <w:style w:type="paragraph" w:customStyle="1" w:styleId="Intestazione7">
    <w:name w:val="Intestazione 7"/>
    <w:basedOn w:val="Normal"/>
    <w:uiPriority w:val="99"/>
    <w:rsid w:val="004857C8"/>
    <w:pPr>
      <w:keepNext/>
      <w:keepLines/>
      <w:spacing w:before="200" w:after="0"/>
    </w:pPr>
    <w:rPr>
      <w:rFonts w:ascii="Cambria" w:hAnsi="Cambria"/>
      <w:i/>
      <w:iCs/>
      <w:color w:val="404040"/>
    </w:rPr>
  </w:style>
  <w:style w:type="paragraph" w:customStyle="1" w:styleId="Intestazione8">
    <w:name w:val="Intestazione 8"/>
    <w:basedOn w:val="Normal"/>
    <w:uiPriority w:val="99"/>
    <w:rsid w:val="004857C8"/>
    <w:pPr>
      <w:keepNext/>
      <w:keepLines/>
      <w:spacing w:before="200" w:after="0"/>
    </w:pPr>
    <w:rPr>
      <w:rFonts w:ascii="Cambria" w:hAnsi="Cambria"/>
      <w:color w:val="404040"/>
      <w:sz w:val="20"/>
      <w:szCs w:val="20"/>
    </w:rPr>
  </w:style>
  <w:style w:type="paragraph" w:customStyle="1" w:styleId="Intestazione9">
    <w:name w:val="Intestazione 9"/>
    <w:basedOn w:val="Normal"/>
    <w:uiPriority w:val="99"/>
    <w:rsid w:val="004857C8"/>
    <w:pPr>
      <w:keepNext/>
      <w:keepLines/>
      <w:spacing w:before="200" w:after="0"/>
    </w:pPr>
    <w:rPr>
      <w:rFonts w:ascii="Cambria" w:hAnsi="Cambria"/>
      <w:i/>
      <w:iCs/>
      <w:color w:val="404040"/>
      <w:sz w:val="20"/>
      <w:szCs w:val="20"/>
    </w:rPr>
  </w:style>
  <w:style w:type="paragraph" w:styleId="Header">
    <w:name w:val="header"/>
    <w:basedOn w:val="Normal"/>
    <w:link w:val="HeaderChar4"/>
    <w:uiPriority w:val="99"/>
    <w:rsid w:val="004857C8"/>
  </w:style>
  <w:style w:type="character" w:customStyle="1" w:styleId="HeaderChar4">
    <w:name w:val="Header Char4"/>
    <w:link w:val="Header"/>
    <w:uiPriority w:val="99"/>
    <w:semiHidden/>
    <w:locked/>
    <w:rsid w:val="00481F21"/>
    <w:rPr>
      <w:rFonts w:ascii="Times New Roman" w:hAnsi="Times New Roman" w:cs="Times New Roman"/>
      <w:color w:val="00000A"/>
      <w:sz w:val="24"/>
      <w:lang w:eastAsia="zh-CN"/>
    </w:rPr>
  </w:style>
  <w:style w:type="paragraph" w:customStyle="1" w:styleId="12">
    <w:name w:val="正文文本1"/>
    <w:basedOn w:val="Normal"/>
    <w:uiPriority w:val="99"/>
    <w:rsid w:val="004857C8"/>
    <w:pPr>
      <w:tabs>
        <w:tab w:val="left" w:pos="576"/>
      </w:tabs>
      <w:spacing w:line="360" w:lineRule="atLeast"/>
      <w:jc w:val="both"/>
    </w:pPr>
    <w:rPr>
      <w:szCs w:val="20"/>
    </w:rPr>
  </w:style>
  <w:style w:type="paragraph" w:styleId="BodyText2">
    <w:name w:val="Body Text 2"/>
    <w:basedOn w:val="Normal"/>
    <w:link w:val="BodyText2Char3"/>
    <w:uiPriority w:val="99"/>
    <w:rsid w:val="004857C8"/>
    <w:pPr>
      <w:spacing w:line="360" w:lineRule="atLeast"/>
      <w:jc w:val="both"/>
    </w:pPr>
  </w:style>
  <w:style w:type="character" w:customStyle="1" w:styleId="BodyText2Char3">
    <w:name w:val="Body Text 2 Char3"/>
    <w:link w:val="BodyText2"/>
    <w:uiPriority w:val="99"/>
    <w:semiHidden/>
    <w:locked/>
    <w:rsid w:val="00481F21"/>
    <w:rPr>
      <w:rFonts w:ascii="Times New Roman" w:hAnsi="Times New Roman" w:cs="Times New Roman"/>
      <w:color w:val="00000A"/>
      <w:sz w:val="24"/>
      <w:lang w:eastAsia="zh-CN"/>
    </w:rPr>
  </w:style>
  <w:style w:type="paragraph" w:styleId="BodyText3">
    <w:name w:val="Body Text 3"/>
    <w:basedOn w:val="Normal"/>
    <w:link w:val="BodyText3Char3"/>
    <w:uiPriority w:val="99"/>
    <w:rsid w:val="004857C8"/>
    <w:pPr>
      <w:spacing w:line="360" w:lineRule="atLeast"/>
    </w:pPr>
    <w:rPr>
      <w:sz w:val="16"/>
      <w:szCs w:val="16"/>
    </w:rPr>
  </w:style>
  <w:style w:type="character" w:customStyle="1" w:styleId="BodyText3Char3">
    <w:name w:val="Body Text 3 Char3"/>
    <w:link w:val="BodyText3"/>
    <w:uiPriority w:val="99"/>
    <w:semiHidden/>
    <w:locked/>
    <w:rsid w:val="00481F21"/>
    <w:rPr>
      <w:rFonts w:ascii="Times New Roman" w:hAnsi="Times New Roman" w:cs="Times New Roman"/>
      <w:color w:val="00000A"/>
      <w:sz w:val="16"/>
      <w:lang w:eastAsia="zh-CN"/>
    </w:rPr>
  </w:style>
  <w:style w:type="paragraph" w:customStyle="1" w:styleId="13">
    <w:name w:val="脚注文本1"/>
    <w:basedOn w:val="Normal"/>
    <w:uiPriority w:val="99"/>
    <w:rsid w:val="004857C8"/>
    <w:rPr>
      <w:sz w:val="20"/>
      <w:szCs w:val="20"/>
    </w:rPr>
  </w:style>
  <w:style w:type="paragraph" w:customStyle="1" w:styleId="14">
    <w:name w:val="尾注文本1"/>
    <w:basedOn w:val="Normal"/>
    <w:uiPriority w:val="99"/>
    <w:rsid w:val="004857C8"/>
    <w:rPr>
      <w:sz w:val="20"/>
      <w:szCs w:val="20"/>
    </w:rPr>
  </w:style>
  <w:style w:type="paragraph" w:styleId="Footer">
    <w:name w:val="footer"/>
    <w:basedOn w:val="Normal"/>
    <w:link w:val="FooterChar4"/>
    <w:uiPriority w:val="99"/>
    <w:rsid w:val="004857C8"/>
    <w:pPr>
      <w:tabs>
        <w:tab w:val="center" w:pos="4819"/>
        <w:tab w:val="right" w:pos="9638"/>
      </w:tabs>
    </w:pPr>
  </w:style>
  <w:style w:type="character" w:customStyle="1" w:styleId="FooterChar4">
    <w:name w:val="Footer Char4"/>
    <w:link w:val="Footer"/>
    <w:uiPriority w:val="99"/>
    <w:semiHidden/>
    <w:locked/>
    <w:rsid w:val="00481F21"/>
    <w:rPr>
      <w:rFonts w:ascii="Times New Roman" w:hAnsi="Times New Roman" w:cs="Times New Roman"/>
      <w:color w:val="00000A"/>
      <w:sz w:val="24"/>
      <w:lang w:eastAsia="zh-CN"/>
    </w:rPr>
  </w:style>
  <w:style w:type="paragraph" w:styleId="BodyTextIndent3">
    <w:name w:val="Body Text Indent 3"/>
    <w:basedOn w:val="Normal"/>
    <w:link w:val="BodyTextIndent3Char3"/>
    <w:uiPriority w:val="99"/>
    <w:rsid w:val="004857C8"/>
    <w:pPr>
      <w:ind w:left="360"/>
      <w:jc w:val="both"/>
    </w:pPr>
    <w:rPr>
      <w:sz w:val="16"/>
      <w:szCs w:val="16"/>
    </w:rPr>
  </w:style>
  <w:style w:type="character" w:customStyle="1" w:styleId="BodyTextIndent3Char3">
    <w:name w:val="Body Text Indent 3 Char3"/>
    <w:link w:val="BodyTextIndent3"/>
    <w:uiPriority w:val="99"/>
    <w:semiHidden/>
    <w:locked/>
    <w:rsid w:val="00481F21"/>
    <w:rPr>
      <w:rFonts w:ascii="Times New Roman" w:hAnsi="Times New Roman" w:cs="Times New Roman"/>
      <w:color w:val="00000A"/>
      <w:sz w:val="16"/>
      <w:lang w:eastAsia="zh-CN"/>
    </w:rPr>
  </w:style>
  <w:style w:type="paragraph" w:styleId="BalloonText">
    <w:name w:val="Balloon Text"/>
    <w:basedOn w:val="Normal"/>
    <w:link w:val="BalloonTextChar3"/>
    <w:uiPriority w:val="99"/>
    <w:rsid w:val="004857C8"/>
    <w:rPr>
      <w:sz w:val="2"/>
    </w:rPr>
  </w:style>
  <w:style w:type="character" w:customStyle="1" w:styleId="BalloonTextChar3">
    <w:name w:val="Balloon Text Char3"/>
    <w:link w:val="BalloonText"/>
    <w:uiPriority w:val="99"/>
    <w:semiHidden/>
    <w:locked/>
    <w:rsid w:val="00481F21"/>
    <w:rPr>
      <w:rFonts w:ascii="Times New Roman" w:hAnsi="Times New Roman" w:cs="Times New Roman"/>
      <w:color w:val="00000A"/>
      <w:sz w:val="2"/>
      <w:lang w:eastAsia="zh-CN"/>
    </w:rPr>
  </w:style>
  <w:style w:type="paragraph" w:customStyle="1" w:styleId="WW-Intestazione">
    <w:name w:val="WW-Intestazione"/>
    <w:basedOn w:val="Normal"/>
    <w:uiPriority w:val="99"/>
    <w:rsid w:val="004857C8"/>
    <w:pPr>
      <w:tabs>
        <w:tab w:val="center" w:pos="4819"/>
        <w:tab w:val="right" w:pos="9638"/>
      </w:tabs>
    </w:pPr>
  </w:style>
  <w:style w:type="paragraph" w:customStyle="1" w:styleId="Contenutotabella">
    <w:name w:val="Contenuto tabella"/>
    <w:basedOn w:val="Normal"/>
    <w:uiPriority w:val="99"/>
    <w:rsid w:val="004857C8"/>
  </w:style>
  <w:style w:type="paragraph" w:customStyle="1" w:styleId="Intestazionetabella">
    <w:name w:val="Intestazione tabella"/>
    <w:basedOn w:val="Contenutotabella"/>
    <w:uiPriority w:val="99"/>
    <w:rsid w:val="004857C8"/>
    <w:pPr>
      <w:jc w:val="center"/>
    </w:pPr>
    <w:rPr>
      <w:b/>
      <w:bCs/>
    </w:rPr>
  </w:style>
  <w:style w:type="paragraph" w:customStyle="1" w:styleId="Contenutocornice">
    <w:name w:val="Contenuto cornice"/>
    <w:basedOn w:val="Normal"/>
    <w:uiPriority w:val="99"/>
    <w:rsid w:val="004857C8"/>
  </w:style>
  <w:style w:type="paragraph" w:customStyle="1" w:styleId="Corpotesto">
    <w:name w:val="Corpo testo"/>
    <w:uiPriority w:val="99"/>
    <w:rsid w:val="004857C8"/>
    <w:pPr>
      <w:suppressAutoHyphens/>
      <w:spacing w:before="120" w:after="120" w:line="276" w:lineRule="auto"/>
    </w:pPr>
    <w:rPr>
      <w:rFonts w:ascii="Times New Roman" w:hAnsi="Times New Roman" w:cs="Mangal"/>
      <w:color w:val="00000A"/>
      <w:sz w:val="24"/>
      <w:szCs w:val="24"/>
      <w:lang w:eastAsia="en-US" w:bidi="hi-IN"/>
    </w:rPr>
  </w:style>
  <w:style w:type="paragraph" w:styleId="ListParagraph">
    <w:name w:val="List Paragraph"/>
    <w:basedOn w:val="Normal"/>
    <w:uiPriority w:val="99"/>
    <w:qFormat/>
    <w:rsid w:val="004857C8"/>
    <w:pPr>
      <w:spacing w:after="0"/>
      <w:ind w:left="720"/>
    </w:pPr>
  </w:style>
  <w:style w:type="paragraph" w:customStyle="1" w:styleId="DefinitionTerm">
    <w:name w:val="Definition Term"/>
    <w:basedOn w:val="Normal"/>
    <w:uiPriority w:val="99"/>
    <w:rsid w:val="004857C8"/>
  </w:style>
  <w:style w:type="paragraph" w:customStyle="1" w:styleId="DefinitionList">
    <w:name w:val="Definition List"/>
    <w:basedOn w:val="Normal"/>
    <w:uiPriority w:val="99"/>
    <w:rsid w:val="004857C8"/>
    <w:pPr>
      <w:ind w:left="360"/>
    </w:pPr>
  </w:style>
  <w:style w:type="paragraph" w:customStyle="1" w:styleId="H1">
    <w:name w:val="H1"/>
    <w:basedOn w:val="Normal"/>
    <w:uiPriority w:val="99"/>
    <w:rsid w:val="004857C8"/>
    <w:pPr>
      <w:keepNext/>
      <w:spacing w:before="100" w:after="100"/>
    </w:pPr>
    <w:rPr>
      <w:b/>
      <w:sz w:val="48"/>
    </w:rPr>
  </w:style>
  <w:style w:type="paragraph" w:customStyle="1" w:styleId="H2">
    <w:name w:val="H2"/>
    <w:basedOn w:val="Normal"/>
    <w:uiPriority w:val="99"/>
    <w:rsid w:val="004857C8"/>
    <w:pPr>
      <w:keepNext/>
      <w:spacing w:before="100" w:after="100"/>
    </w:pPr>
    <w:rPr>
      <w:b/>
      <w:sz w:val="36"/>
    </w:rPr>
  </w:style>
  <w:style w:type="paragraph" w:customStyle="1" w:styleId="H3">
    <w:name w:val="H3"/>
    <w:basedOn w:val="Normal"/>
    <w:uiPriority w:val="99"/>
    <w:rsid w:val="004857C8"/>
    <w:pPr>
      <w:keepNext/>
      <w:spacing w:before="100" w:after="100"/>
    </w:pPr>
    <w:rPr>
      <w:b/>
      <w:sz w:val="28"/>
    </w:rPr>
  </w:style>
  <w:style w:type="paragraph" w:customStyle="1" w:styleId="H4">
    <w:name w:val="H4"/>
    <w:basedOn w:val="Normal"/>
    <w:uiPriority w:val="99"/>
    <w:rsid w:val="004857C8"/>
    <w:pPr>
      <w:keepNext/>
      <w:spacing w:before="100" w:after="100"/>
    </w:pPr>
    <w:rPr>
      <w:b/>
    </w:rPr>
  </w:style>
  <w:style w:type="paragraph" w:customStyle="1" w:styleId="H5">
    <w:name w:val="H5"/>
    <w:basedOn w:val="Normal"/>
    <w:uiPriority w:val="99"/>
    <w:rsid w:val="004857C8"/>
    <w:pPr>
      <w:keepNext/>
      <w:spacing w:before="100" w:after="100"/>
    </w:pPr>
    <w:rPr>
      <w:b/>
      <w:sz w:val="20"/>
    </w:rPr>
  </w:style>
  <w:style w:type="paragraph" w:customStyle="1" w:styleId="H6">
    <w:name w:val="H6"/>
    <w:basedOn w:val="Normal"/>
    <w:uiPriority w:val="99"/>
    <w:rsid w:val="004857C8"/>
    <w:pPr>
      <w:keepNext/>
      <w:spacing w:before="100" w:after="100"/>
    </w:pPr>
    <w:rPr>
      <w:b/>
      <w:sz w:val="16"/>
    </w:rPr>
  </w:style>
  <w:style w:type="paragraph" w:customStyle="1" w:styleId="Address">
    <w:name w:val="Address"/>
    <w:basedOn w:val="Normal"/>
    <w:uiPriority w:val="99"/>
    <w:rsid w:val="004857C8"/>
    <w:rPr>
      <w:i/>
    </w:rPr>
  </w:style>
  <w:style w:type="paragraph" w:customStyle="1" w:styleId="Blockquote">
    <w:name w:val="Blockquote"/>
    <w:basedOn w:val="Normal"/>
    <w:uiPriority w:val="99"/>
    <w:rsid w:val="004857C8"/>
    <w:pPr>
      <w:spacing w:before="100" w:after="100"/>
      <w:ind w:left="360" w:right="360"/>
    </w:pPr>
  </w:style>
  <w:style w:type="paragraph" w:customStyle="1" w:styleId="Preformatted">
    <w:name w:val="Preformatted"/>
    <w:basedOn w:val="Normal"/>
    <w:uiPriority w:val="99"/>
    <w:rsid w:val="004857C8"/>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cs="Courier New"/>
      <w:sz w:val="20"/>
    </w:rPr>
  </w:style>
  <w:style w:type="paragraph" w:customStyle="1" w:styleId="Z-BottomofForm">
    <w:name w:val="Z-Bottom of Form"/>
    <w:uiPriority w:val="99"/>
    <w:rsid w:val="004857C8"/>
    <w:pPr>
      <w:pBdr>
        <w:top w:val="double" w:sz="2" w:space="0" w:color="000001"/>
      </w:pBdr>
      <w:suppressAutoHyphens/>
      <w:spacing w:after="200" w:line="276" w:lineRule="auto"/>
      <w:jc w:val="center"/>
    </w:pPr>
    <w:rPr>
      <w:rFonts w:ascii="Arial" w:hAnsi="Arial" w:cs="Courier New"/>
      <w:vanish/>
      <w:color w:val="00000A"/>
      <w:sz w:val="16"/>
      <w:szCs w:val="24"/>
      <w:lang w:val="it-IT" w:bidi="hi-IN"/>
    </w:rPr>
  </w:style>
  <w:style w:type="paragraph" w:customStyle="1" w:styleId="Z-TopofForm">
    <w:name w:val="Z-Top of Form"/>
    <w:uiPriority w:val="99"/>
    <w:rsid w:val="004857C8"/>
    <w:pPr>
      <w:pBdr>
        <w:bottom w:val="double" w:sz="2" w:space="0" w:color="000001"/>
      </w:pBdr>
      <w:suppressAutoHyphens/>
      <w:spacing w:after="200" w:line="276" w:lineRule="auto"/>
      <w:jc w:val="center"/>
    </w:pPr>
    <w:rPr>
      <w:rFonts w:ascii="Arial" w:hAnsi="Arial" w:cs="Courier New"/>
      <w:vanish/>
      <w:color w:val="00000A"/>
      <w:sz w:val="16"/>
      <w:szCs w:val="24"/>
      <w:lang w:val="it-IT" w:bidi="hi-IN"/>
    </w:rPr>
  </w:style>
  <w:style w:type="paragraph" w:customStyle="1" w:styleId="Testopreformattato">
    <w:name w:val="Testo preformattato"/>
    <w:basedOn w:val="Normal"/>
    <w:uiPriority w:val="99"/>
    <w:rsid w:val="004857C8"/>
    <w:pPr>
      <w:spacing w:after="0"/>
    </w:pPr>
    <w:rPr>
      <w:rFonts w:ascii="Courier New" w:hAnsi="Courier New" w:cs="Courier New"/>
      <w:sz w:val="20"/>
      <w:szCs w:val="20"/>
    </w:rPr>
  </w:style>
  <w:style w:type="paragraph" w:styleId="HTMLPreformatted">
    <w:name w:val="HTML Preformatted"/>
    <w:basedOn w:val="Normal"/>
    <w:link w:val="HTMLPreformattedChar3"/>
    <w:uiPriority w:val="99"/>
    <w:rsid w:val="00485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3">
    <w:name w:val="HTML Preformatted Char3"/>
    <w:link w:val="HTMLPreformatted"/>
    <w:uiPriority w:val="99"/>
    <w:semiHidden/>
    <w:locked/>
    <w:rsid w:val="00481F21"/>
    <w:rPr>
      <w:rFonts w:ascii="Courier New" w:hAnsi="Courier New" w:cs="Times New Roman"/>
      <w:color w:val="00000A"/>
      <w:sz w:val="20"/>
      <w:lang w:eastAsia="zh-CN"/>
    </w:rPr>
  </w:style>
  <w:style w:type="paragraph" w:styleId="NoSpacing">
    <w:name w:val="No Spacing"/>
    <w:uiPriority w:val="99"/>
    <w:qFormat/>
    <w:rsid w:val="004857C8"/>
    <w:pPr>
      <w:suppressAutoHyphens/>
      <w:spacing w:after="200" w:line="100" w:lineRule="atLeast"/>
    </w:pPr>
    <w:rPr>
      <w:rFonts w:ascii="Times New Roman" w:hAnsi="Times New Roman" w:cs="Mangal"/>
      <w:color w:val="00000A"/>
      <w:lang w:val="it-IT" w:bidi="hi-IN"/>
    </w:rPr>
  </w:style>
  <w:style w:type="paragraph" w:styleId="Subtitle">
    <w:name w:val="Subtitle"/>
    <w:basedOn w:val="Normal"/>
    <w:link w:val="SubtitleChar4"/>
    <w:uiPriority w:val="99"/>
    <w:qFormat/>
    <w:rsid w:val="004857C8"/>
    <w:rPr>
      <w:rFonts w:ascii="Cambria" w:hAnsi="Cambria"/>
    </w:rPr>
  </w:style>
  <w:style w:type="character" w:customStyle="1" w:styleId="SubtitleChar4">
    <w:name w:val="Subtitle Char4"/>
    <w:link w:val="Subtitle"/>
    <w:uiPriority w:val="99"/>
    <w:locked/>
    <w:rsid w:val="00481F21"/>
    <w:rPr>
      <w:rFonts w:ascii="Cambria" w:eastAsia="SimSun" w:hAnsi="Cambria" w:cs="Times New Roman"/>
      <w:color w:val="00000A"/>
      <w:sz w:val="24"/>
      <w:lang w:eastAsia="zh-CN"/>
    </w:rPr>
  </w:style>
  <w:style w:type="paragraph" w:styleId="Quote">
    <w:name w:val="Quote"/>
    <w:basedOn w:val="Normal"/>
    <w:link w:val="QuoteChar4"/>
    <w:uiPriority w:val="99"/>
    <w:qFormat/>
    <w:rsid w:val="004857C8"/>
    <w:rPr>
      <w:i/>
      <w:iCs/>
      <w:color w:val="000000"/>
    </w:rPr>
  </w:style>
  <w:style w:type="character" w:customStyle="1" w:styleId="QuoteChar4">
    <w:name w:val="Quote Char4"/>
    <w:link w:val="Quote"/>
    <w:uiPriority w:val="99"/>
    <w:locked/>
    <w:rsid w:val="00481F21"/>
    <w:rPr>
      <w:rFonts w:ascii="Times New Roman" w:hAnsi="Times New Roman" w:cs="Times New Roman"/>
      <w:i/>
      <w:color w:val="000000"/>
      <w:sz w:val="24"/>
      <w:lang w:eastAsia="zh-CN"/>
    </w:rPr>
  </w:style>
  <w:style w:type="paragraph" w:styleId="IntenseQuote">
    <w:name w:val="Intense Quote"/>
    <w:basedOn w:val="Normal"/>
    <w:link w:val="IntenseQuoteChar4"/>
    <w:uiPriority w:val="99"/>
    <w:qFormat/>
    <w:rsid w:val="004857C8"/>
    <w:pPr>
      <w:pBdr>
        <w:bottom w:val="single" w:sz="4" w:space="0" w:color="4F81BD"/>
      </w:pBdr>
      <w:spacing w:before="200" w:after="280"/>
      <w:ind w:left="936" w:right="936"/>
    </w:pPr>
    <w:rPr>
      <w:b/>
      <w:bCs/>
      <w:i/>
      <w:iCs/>
      <w:color w:val="4F81BD"/>
    </w:rPr>
  </w:style>
  <w:style w:type="character" w:customStyle="1" w:styleId="IntenseQuoteChar4">
    <w:name w:val="Intense Quote Char4"/>
    <w:link w:val="IntenseQuote"/>
    <w:uiPriority w:val="99"/>
    <w:locked/>
    <w:rsid w:val="00481F21"/>
    <w:rPr>
      <w:rFonts w:ascii="Times New Roman" w:hAnsi="Times New Roman" w:cs="Times New Roman"/>
      <w:b/>
      <w:i/>
      <w:color w:val="4F81BD"/>
      <w:sz w:val="24"/>
      <w:lang w:eastAsia="zh-CN"/>
    </w:rPr>
  </w:style>
  <w:style w:type="paragraph" w:styleId="PlainText">
    <w:name w:val="Plain Text"/>
    <w:basedOn w:val="Normal"/>
    <w:link w:val="PlainTextChar4"/>
    <w:uiPriority w:val="99"/>
    <w:rsid w:val="004857C8"/>
    <w:pPr>
      <w:spacing w:after="0" w:line="100" w:lineRule="atLeast"/>
    </w:pPr>
    <w:rPr>
      <w:rFonts w:ascii="Courier New" w:hAnsi="Courier New"/>
      <w:sz w:val="20"/>
      <w:szCs w:val="20"/>
    </w:rPr>
  </w:style>
  <w:style w:type="character" w:customStyle="1" w:styleId="PlainTextChar4">
    <w:name w:val="Plain Text Char4"/>
    <w:link w:val="PlainText"/>
    <w:uiPriority w:val="99"/>
    <w:locked/>
    <w:rsid w:val="00481F21"/>
    <w:rPr>
      <w:rFonts w:ascii="Courier New" w:hAnsi="Courier New" w:cs="Times New Roman"/>
      <w:color w:val="00000A"/>
      <w:sz w:val="20"/>
      <w:lang w:eastAsia="zh-CN"/>
    </w:rPr>
  </w:style>
  <w:style w:type="paragraph" w:styleId="CommentText">
    <w:name w:val="annotation text"/>
    <w:basedOn w:val="Normal"/>
    <w:link w:val="CommentTextChar1"/>
    <w:uiPriority w:val="99"/>
    <w:rsid w:val="004857C8"/>
    <w:rPr>
      <w:sz w:val="20"/>
      <w:szCs w:val="20"/>
    </w:rPr>
  </w:style>
  <w:style w:type="character" w:customStyle="1" w:styleId="CommentTextChar1">
    <w:name w:val="Comment Text Char1"/>
    <w:link w:val="CommentText"/>
    <w:uiPriority w:val="99"/>
    <w:semiHidden/>
    <w:locked/>
    <w:rsid w:val="00481F21"/>
    <w:rPr>
      <w:rFonts w:ascii="Times New Roman" w:hAnsi="Times New Roman" w:cs="Times New Roman"/>
      <w:color w:val="00000A"/>
      <w:sz w:val="20"/>
      <w:lang w:eastAsia="zh-CN"/>
    </w:rPr>
  </w:style>
  <w:style w:type="character" w:styleId="Hyperlink">
    <w:name w:val="Hyperlink"/>
    <w:uiPriority w:val="99"/>
    <w:semiHidden/>
    <w:rsid w:val="003C54DD"/>
    <w:rPr>
      <w:rFonts w:cs="Times New Roman"/>
      <w:color w:val="0000FF"/>
      <w:u w:val="single"/>
    </w:rPr>
  </w:style>
  <w:style w:type="paragraph" w:styleId="CommentSubject">
    <w:name w:val="annotation subject"/>
    <w:basedOn w:val="CommentText"/>
    <w:next w:val="CommentText"/>
    <w:link w:val="CommentSubjectChar"/>
    <w:uiPriority w:val="99"/>
    <w:semiHidden/>
    <w:rsid w:val="003C54DD"/>
    <w:rPr>
      <w:b/>
      <w:bCs/>
      <w:sz w:val="24"/>
      <w:szCs w:val="24"/>
    </w:rPr>
  </w:style>
  <w:style w:type="character" w:customStyle="1" w:styleId="CommentSubjectChar">
    <w:name w:val="Comment Subject Char"/>
    <w:link w:val="CommentSubject"/>
    <w:uiPriority w:val="99"/>
    <w:semiHidden/>
    <w:locked/>
    <w:rsid w:val="003C54DD"/>
    <w:rPr>
      <w:rFonts w:ascii="Times New Roman" w:hAnsi="Times New Roman" w:cs="Times New Roman"/>
      <w:b/>
      <w:color w:val="00000A"/>
      <w:sz w:val="24"/>
      <w:lang w:eastAsia="zh-CN"/>
    </w:rPr>
  </w:style>
  <w:style w:type="paragraph" w:customStyle="1" w:styleId="PlainText1">
    <w:name w:val="Plain Text1"/>
    <w:basedOn w:val="Normal"/>
    <w:uiPriority w:val="99"/>
    <w:rsid w:val="00F86965"/>
    <w:pPr>
      <w:widowControl w:val="0"/>
      <w:suppressAutoHyphens w:val="0"/>
      <w:spacing w:after="0" w:line="240" w:lineRule="auto"/>
      <w:jc w:val="both"/>
    </w:pPr>
    <w:rPr>
      <w:rFonts w:ascii="SimSun" w:hAnsi="Courier New" w:cs="Courier New"/>
      <w:color w:val="auto"/>
      <w:kern w:val="2"/>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9444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8042F-4529-46B9-9638-B9EC9BC7B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10200</Words>
  <Characters>58140</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Allegato 2c</vt:lpstr>
    </vt:vector>
  </TitlesOfParts>
  <Company/>
  <LinksUpToDate>false</LinksUpToDate>
  <CharactersWithSpaces>68204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Allegato 2c</dc:title>
  <dc:subject/>
  <dc:creator>utente</dc:creator>
  <cp:keywords/>
  <dc:description/>
  <cp:lastModifiedBy>Na Ma</cp:lastModifiedBy>
  <cp:revision>2</cp:revision>
  <dcterms:created xsi:type="dcterms:W3CDTF">2018-06-25T18:13:00Z</dcterms:created>
  <dcterms:modified xsi:type="dcterms:W3CDTF">2018-06-25T18:13:00Z</dcterms:modified>
</cp:coreProperties>
</file>