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AC1828" w14:textId="77777777" w:rsidR="000C4BBE" w:rsidRPr="00CC34A3" w:rsidRDefault="000C4BBE" w:rsidP="00CC34A3">
      <w:pPr>
        <w:adjustRightInd w:val="0"/>
        <w:snapToGrid w:val="0"/>
        <w:spacing w:after="0" w:line="360" w:lineRule="auto"/>
        <w:jc w:val="both"/>
        <w:outlineLvl w:val="0"/>
        <w:rPr>
          <w:rFonts w:ascii="Book Antiqua" w:eastAsia="Calibri" w:hAnsi="Book Antiqua" w:cs="Times New Roman"/>
          <w:b/>
          <w:i/>
          <w:color w:val="000000" w:themeColor="text1"/>
          <w:sz w:val="24"/>
          <w:szCs w:val="24"/>
          <w:lang w:val="en-US"/>
        </w:rPr>
      </w:pPr>
      <w:r w:rsidRPr="00CC34A3">
        <w:rPr>
          <w:rFonts w:ascii="Book Antiqua" w:eastAsia="Calibri" w:hAnsi="Book Antiqua" w:cs="Times New Roman"/>
          <w:b/>
          <w:color w:val="000000" w:themeColor="text1"/>
          <w:sz w:val="24"/>
          <w:szCs w:val="24"/>
          <w:lang w:val="en-US"/>
        </w:rPr>
        <w:t xml:space="preserve">Name of Journal: </w:t>
      </w:r>
      <w:r w:rsidRPr="00CC34A3">
        <w:rPr>
          <w:rFonts w:ascii="Book Antiqua" w:eastAsia="Calibri" w:hAnsi="Book Antiqua" w:cs="Times New Roman"/>
          <w:b/>
          <w:i/>
          <w:color w:val="000000" w:themeColor="text1"/>
          <w:sz w:val="24"/>
          <w:szCs w:val="24"/>
          <w:lang w:val="en-US"/>
        </w:rPr>
        <w:t>World Journal of Gastroenterology</w:t>
      </w:r>
    </w:p>
    <w:p w14:paraId="2727715A" w14:textId="057CCBBC" w:rsidR="000C4BBE" w:rsidRPr="00CC34A3" w:rsidRDefault="000C4BBE" w:rsidP="00CC34A3">
      <w:pPr>
        <w:adjustRightInd w:val="0"/>
        <w:snapToGrid w:val="0"/>
        <w:spacing w:after="0" w:line="360" w:lineRule="auto"/>
        <w:jc w:val="both"/>
        <w:outlineLvl w:val="0"/>
        <w:rPr>
          <w:rFonts w:ascii="Book Antiqua" w:eastAsia="Calibri" w:hAnsi="Book Antiqua" w:cs="Times New Roman"/>
          <w:b/>
          <w:color w:val="000000" w:themeColor="text1"/>
          <w:sz w:val="24"/>
          <w:szCs w:val="24"/>
          <w:lang w:val="en-US"/>
        </w:rPr>
      </w:pPr>
      <w:r w:rsidRPr="00CC34A3">
        <w:rPr>
          <w:rFonts w:ascii="Book Antiqua" w:eastAsia="Calibri" w:hAnsi="Book Antiqua" w:cs="Times New Roman"/>
          <w:b/>
          <w:color w:val="000000" w:themeColor="text1"/>
          <w:sz w:val="24"/>
          <w:szCs w:val="24"/>
          <w:lang w:val="en-US"/>
        </w:rPr>
        <w:t>Manuscript NO: 40323</w:t>
      </w:r>
    </w:p>
    <w:p w14:paraId="7F63384E" w14:textId="683AF98C" w:rsidR="000C4BBE" w:rsidRPr="00CC34A3" w:rsidRDefault="000C4BBE" w:rsidP="00CC34A3">
      <w:pPr>
        <w:adjustRightInd w:val="0"/>
        <w:snapToGrid w:val="0"/>
        <w:spacing w:after="0" w:line="360" w:lineRule="auto"/>
        <w:jc w:val="both"/>
        <w:outlineLvl w:val="0"/>
        <w:rPr>
          <w:rFonts w:ascii="Book Antiqua" w:eastAsia="Calibri" w:hAnsi="Book Antiqua" w:cs="Times New Roman"/>
          <w:b/>
          <w:color w:val="000000" w:themeColor="text1"/>
          <w:sz w:val="24"/>
          <w:szCs w:val="24"/>
          <w:lang w:val="en-US"/>
        </w:rPr>
      </w:pPr>
      <w:r w:rsidRPr="00CC34A3">
        <w:rPr>
          <w:rFonts w:ascii="Book Antiqua" w:eastAsia="Calibri" w:hAnsi="Book Antiqua" w:cs="Times New Roman"/>
          <w:b/>
          <w:color w:val="000000" w:themeColor="text1"/>
          <w:sz w:val="24"/>
          <w:szCs w:val="24"/>
          <w:lang w:val="en-US"/>
        </w:rPr>
        <w:t>Manuscript Type:</w:t>
      </w:r>
      <w:r w:rsidR="00A06DFA" w:rsidRPr="00CC34A3">
        <w:rPr>
          <w:rFonts w:ascii="Book Antiqua" w:eastAsia="Calibri" w:hAnsi="Book Antiqua" w:cs="Times New Roman"/>
          <w:b/>
          <w:color w:val="000000" w:themeColor="text1"/>
          <w:sz w:val="24"/>
          <w:szCs w:val="24"/>
          <w:lang w:val="en-US"/>
        </w:rPr>
        <w:t xml:space="preserve"> </w:t>
      </w:r>
      <w:r w:rsidR="00AF3F4B" w:rsidRPr="00CC34A3">
        <w:rPr>
          <w:rFonts w:ascii="Book Antiqua" w:eastAsia="Calibri" w:hAnsi="Book Antiqua" w:cs="Times New Roman"/>
          <w:b/>
          <w:color w:val="000000" w:themeColor="text1"/>
          <w:sz w:val="24"/>
          <w:szCs w:val="24"/>
          <w:lang w:val="en-US"/>
        </w:rPr>
        <w:t>ORIGINAL ARTICLE</w:t>
      </w:r>
    </w:p>
    <w:p w14:paraId="3D06FD76" w14:textId="77777777" w:rsidR="00AF3F4B" w:rsidRPr="00CC34A3" w:rsidRDefault="00AF3F4B" w:rsidP="00CC34A3">
      <w:pPr>
        <w:adjustRightInd w:val="0"/>
        <w:snapToGrid w:val="0"/>
        <w:spacing w:after="0" w:line="360" w:lineRule="auto"/>
        <w:jc w:val="both"/>
        <w:rPr>
          <w:rFonts w:ascii="Book Antiqua" w:eastAsia="Calibri" w:hAnsi="Book Antiqua" w:cs="Times New Roman"/>
          <w:b/>
          <w:color w:val="000000" w:themeColor="text1"/>
          <w:sz w:val="24"/>
          <w:szCs w:val="24"/>
          <w:lang w:val="en-US"/>
        </w:rPr>
      </w:pPr>
    </w:p>
    <w:p w14:paraId="73946464" w14:textId="1F4D0163" w:rsidR="00AF3F4B" w:rsidRPr="00CC34A3" w:rsidRDefault="00AF3F4B" w:rsidP="00CC34A3">
      <w:pPr>
        <w:adjustRightInd w:val="0"/>
        <w:snapToGrid w:val="0"/>
        <w:spacing w:after="0" w:line="360" w:lineRule="auto"/>
        <w:jc w:val="both"/>
        <w:outlineLvl w:val="0"/>
        <w:rPr>
          <w:rFonts w:ascii="Book Antiqua" w:eastAsia="Calibri" w:hAnsi="Book Antiqua" w:cs="Times New Roman"/>
          <w:b/>
          <w:i/>
          <w:color w:val="000000" w:themeColor="text1"/>
          <w:sz w:val="24"/>
          <w:szCs w:val="24"/>
          <w:lang w:val="en-US"/>
        </w:rPr>
      </w:pPr>
      <w:r w:rsidRPr="00CC34A3">
        <w:rPr>
          <w:rFonts w:ascii="Book Antiqua" w:eastAsia="Calibri" w:hAnsi="Book Antiqua" w:cs="Times New Roman"/>
          <w:b/>
          <w:i/>
          <w:color w:val="000000" w:themeColor="text1"/>
          <w:sz w:val="24"/>
          <w:szCs w:val="24"/>
          <w:lang w:val="en-US"/>
        </w:rPr>
        <w:t>Basic Study</w:t>
      </w:r>
    </w:p>
    <w:p w14:paraId="0E73A3CA" w14:textId="5B3DDEFF" w:rsidR="006E2B0A" w:rsidRPr="00CC34A3" w:rsidRDefault="006E2B0A" w:rsidP="00CC34A3">
      <w:pPr>
        <w:adjustRightInd w:val="0"/>
        <w:snapToGrid w:val="0"/>
        <w:spacing w:after="0" w:line="360" w:lineRule="auto"/>
        <w:jc w:val="both"/>
        <w:rPr>
          <w:rFonts w:ascii="Book Antiqua" w:eastAsia="Calibri" w:hAnsi="Book Antiqua" w:cs="Times New Roman"/>
          <w:b/>
          <w:color w:val="000000" w:themeColor="text1"/>
          <w:sz w:val="24"/>
          <w:szCs w:val="24"/>
          <w:lang w:val="en-US"/>
        </w:rPr>
      </w:pPr>
      <w:bookmarkStart w:id="0" w:name="OLE_LINK22"/>
      <w:bookmarkStart w:id="1" w:name="OLE_LINK23"/>
      <w:r w:rsidRPr="00CC34A3">
        <w:rPr>
          <w:rFonts w:ascii="Book Antiqua" w:eastAsia="Calibri" w:hAnsi="Book Antiqua" w:cs="Times New Roman"/>
          <w:b/>
          <w:color w:val="000000" w:themeColor="text1"/>
          <w:sz w:val="24"/>
          <w:szCs w:val="24"/>
          <w:lang w:val="en-US"/>
        </w:rPr>
        <w:t xml:space="preserve">Bypassing major venous occlusion and duodenal lesions in rats, and therapy with the stable gastric </w:t>
      </w:r>
      <w:proofErr w:type="spellStart"/>
      <w:r w:rsidRPr="00CC34A3">
        <w:rPr>
          <w:rFonts w:ascii="Book Antiqua" w:eastAsia="Calibri" w:hAnsi="Book Antiqua" w:cs="Times New Roman"/>
          <w:b/>
          <w:color w:val="000000" w:themeColor="text1"/>
          <w:sz w:val="24"/>
          <w:szCs w:val="24"/>
          <w:lang w:val="en-US"/>
        </w:rPr>
        <w:t>pentadecapeptide</w:t>
      </w:r>
      <w:proofErr w:type="spellEnd"/>
      <w:r w:rsidRPr="00CC34A3">
        <w:rPr>
          <w:rFonts w:ascii="Book Antiqua" w:eastAsia="Calibri" w:hAnsi="Book Antiqua" w:cs="Times New Roman"/>
          <w:b/>
          <w:color w:val="000000" w:themeColor="text1"/>
          <w:sz w:val="24"/>
          <w:szCs w:val="24"/>
          <w:lang w:val="en-US"/>
        </w:rPr>
        <w:t xml:space="preserve"> BPC 157, L-NAME and L-arginine</w:t>
      </w:r>
      <w:bookmarkEnd w:id="0"/>
      <w:bookmarkEnd w:id="1"/>
    </w:p>
    <w:p w14:paraId="39844DBF" w14:textId="77777777" w:rsidR="00AF3F4B" w:rsidRPr="00CC34A3" w:rsidRDefault="00AF3F4B" w:rsidP="00CC34A3">
      <w:pPr>
        <w:adjustRightInd w:val="0"/>
        <w:snapToGrid w:val="0"/>
        <w:spacing w:after="0" w:line="360" w:lineRule="auto"/>
        <w:jc w:val="both"/>
        <w:rPr>
          <w:rFonts w:ascii="Book Antiqua" w:eastAsia="Calibri" w:hAnsi="Book Antiqua" w:cs="Times New Roman"/>
          <w:color w:val="000000" w:themeColor="text1"/>
          <w:sz w:val="24"/>
          <w:szCs w:val="24"/>
          <w:lang w:val="en-US"/>
        </w:rPr>
      </w:pPr>
    </w:p>
    <w:p w14:paraId="055F2B38" w14:textId="03A93A5C" w:rsidR="006E2B0A" w:rsidRPr="00CC34A3" w:rsidRDefault="00AF3F4B" w:rsidP="00CC34A3">
      <w:pPr>
        <w:adjustRightInd w:val="0"/>
        <w:snapToGrid w:val="0"/>
        <w:spacing w:after="0" w:line="360" w:lineRule="auto"/>
        <w:jc w:val="both"/>
        <w:outlineLvl w:val="0"/>
        <w:rPr>
          <w:rFonts w:ascii="Book Antiqua" w:eastAsia="Calibri" w:hAnsi="Book Antiqua" w:cs="Times New Roman"/>
          <w:color w:val="000000" w:themeColor="text1"/>
          <w:sz w:val="24"/>
          <w:szCs w:val="24"/>
          <w:lang w:val="en-US"/>
        </w:rPr>
      </w:pPr>
      <w:proofErr w:type="spellStart"/>
      <w:r w:rsidRPr="00CC34A3">
        <w:rPr>
          <w:rFonts w:ascii="Book Antiqua" w:eastAsia="Calibri" w:hAnsi="Book Antiqua" w:cs="Times New Roman"/>
          <w:color w:val="000000" w:themeColor="text1"/>
          <w:sz w:val="24"/>
          <w:szCs w:val="24"/>
          <w:lang w:val="en-US"/>
        </w:rPr>
        <w:t>Amic</w:t>
      </w:r>
      <w:proofErr w:type="spellEnd"/>
      <w:r w:rsidRPr="00CC34A3">
        <w:rPr>
          <w:rFonts w:ascii="Book Antiqua" w:eastAsia="Calibri" w:hAnsi="Book Antiqua" w:cs="Times New Roman"/>
          <w:color w:val="000000" w:themeColor="text1"/>
          <w:sz w:val="24"/>
          <w:szCs w:val="24"/>
          <w:lang w:val="en-US"/>
        </w:rPr>
        <w:t xml:space="preserve"> F </w:t>
      </w:r>
      <w:r w:rsidRPr="00CC34A3">
        <w:rPr>
          <w:rFonts w:ascii="Book Antiqua" w:eastAsia="Calibri" w:hAnsi="Book Antiqua" w:cs="Times New Roman"/>
          <w:i/>
          <w:color w:val="000000" w:themeColor="text1"/>
          <w:sz w:val="24"/>
          <w:szCs w:val="24"/>
          <w:lang w:val="en-US"/>
        </w:rPr>
        <w:t>et al</w:t>
      </w:r>
      <w:r w:rsidRPr="00CC34A3">
        <w:rPr>
          <w:rFonts w:ascii="Book Antiqua" w:eastAsia="Calibri" w:hAnsi="Book Antiqua" w:cs="Times New Roman"/>
          <w:color w:val="000000" w:themeColor="text1"/>
          <w:sz w:val="24"/>
          <w:szCs w:val="24"/>
          <w:lang w:val="en-US"/>
        </w:rPr>
        <w:t>.</w:t>
      </w:r>
      <w:r w:rsidR="006E2B0A" w:rsidRPr="00CC34A3">
        <w:rPr>
          <w:rFonts w:ascii="Book Antiqua" w:eastAsia="Calibri" w:hAnsi="Book Antiqua" w:cs="Times New Roman"/>
          <w:color w:val="000000" w:themeColor="text1"/>
          <w:sz w:val="24"/>
          <w:szCs w:val="24"/>
          <w:lang w:val="en-US"/>
        </w:rPr>
        <w:t xml:space="preserve"> </w:t>
      </w:r>
      <w:bookmarkStart w:id="2" w:name="OLE_LINK24"/>
      <w:bookmarkStart w:id="3" w:name="OLE_LINK28"/>
      <w:r w:rsidR="006E2B0A" w:rsidRPr="00CC34A3">
        <w:rPr>
          <w:rFonts w:ascii="Book Antiqua" w:eastAsia="Calibri" w:hAnsi="Book Antiqua" w:cs="Times New Roman"/>
          <w:color w:val="000000" w:themeColor="text1"/>
          <w:sz w:val="24"/>
          <w:szCs w:val="24"/>
          <w:lang w:val="en-US"/>
        </w:rPr>
        <w:t>BPC 157 and duodenal lesions in rats</w:t>
      </w:r>
      <w:bookmarkEnd w:id="2"/>
      <w:bookmarkEnd w:id="3"/>
    </w:p>
    <w:p w14:paraId="0E308311" w14:textId="77777777" w:rsidR="00AF3F4B" w:rsidRPr="00CC34A3" w:rsidRDefault="00AF3F4B" w:rsidP="00CC34A3">
      <w:pPr>
        <w:adjustRightInd w:val="0"/>
        <w:snapToGrid w:val="0"/>
        <w:spacing w:after="0" w:line="360" w:lineRule="auto"/>
        <w:jc w:val="both"/>
        <w:rPr>
          <w:rFonts w:ascii="Book Antiqua" w:eastAsia="Calibri" w:hAnsi="Book Antiqua" w:cs="Times New Roman"/>
          <w:color w:val="000000" w:themeColor="text1"/>
          <w:sz w:val="24"/>
          <w:szCs w:val="24"/>
          <w:lang w:val="en-US"/>
        </w:rPr>
      </w:pPr>
    </w:p>
    <w:p w14:paraId="2F09A49D" w14:textId="4826B32F" w:rsidR="006E2B0A" w:rsidRPr="00CC34A3" w:rsidRDefault="006E2B0A" w:rsidP="00CC34A3">
      <w:pPr>
        <w:adjustRightInd w:val="0"/>
        <w:snapToGrid w:val="0"/>
        <w:spacing w:after="0" w:line="360" w:lineRule="auto"/>
        <w:jc w:val="both"/>
        <w:rPr>
          <w:rFonts w:ascii="Book Antiqua" w:eastAsia="Calibri" w:hAnsi="Book Antiqua" w:cs="Times New Roman"/>
          <w:color w:val="000000" w:themeColor="text1"/>
          <w:sz w:val="24"/>
          <w:szCs w:val="24"/>
          <w:lang w:val="en-US"/>
        </w:rPr>
      </w:pPr>
      <w:proofErr w:type="spellStart"/>
      <w:r w:rsidRPr="00CC34A3">
        <w:rPr>
          <w:rFonts w:ascii="Book Antiqua" w:eastAsia="Calibri" w:hAnsi="Book Antiqua" w:cs="Times New Roman"/>
          <w:color w:val="000000" w:themeColor="text1"/>
          <w:sz w:val="24"/>
          <w:szCs w:val="24"/>
          <w:lang w:val="en-US"/>
        </w:rPr>
        <w:t>Fedor</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Amic</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Domagoj</w:t>
      </w:r>
      <w:proofErr w:type="spellEnd"/>
      <w:r w:rsidRPr="00CC34A3">
        <w:rPr>
          <w:rFonts w:ascii="Book Antiqua" w:eastAsia="Calibri" w:hAnsi="Book Antiqua" w:cs="Times New Roman"/>
          <w:color w:val="000000" w:themeColor="text1"/>
          <w:sz w:val="24"/>
          <w:szCs w:val="24"/>
          <w:lang w:val="en-US"/>
        </w:rPr>
        <w:t xml:space="preserve"> Drmic, </w:t>
      </w:r>
      <w:proofErr w:type="spellStart"/>
      <w:r w:rsidRPr="00CC34A3">
        <w:rPr>
          <w:rFonts w:ascii="Book Antiqua" w:eastAsia="Calibri" w:hAnsi="Book Antiqua" w:cs="Times New Roman"/>
          <w:color w:val="000000" w:themeColor="text1"/>
          <w:sz w:val="24"/>
          <w:szCs w:val="24"/>
          <w:lang w:val="en-US"/>
        </w:rPr>
        <w:t>Zdenko</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Bilic</w:t>
      </w:r>
      <w:proofErr w:type="spellEnd"/>
      <w:r w:rsidRPr="00CC34A3">
        <w:rPr>
          <w:rFonts w:ascii="Book Antiqua" w:eastAsia="Calibri" w:hAnsi="Book Antiqua" w:cs="Times New Roman"/>
          <w:color w:val="000000" w:themeColor="text1"/>
          <w:sz w:val="24"/>
          <w:szCs w:val="24"/>
          <w:lang w:val="en-US"/>
        </w:rPr>
        <w:t xml:space="preserve">, Ivan </w:t>
      </w:r>
      <w:proofErr w:type="spellStart"/>
      <w:r w:rsidRPr="00CC34A3">
        <w:rPr>
          <w:rFonts w:ascii="Book Antiqua" w:eastAsia="Calibri" w:hAnsi="Book Antiqua" w:cs="Times New Roman"/>
          <w:color w:val="000000" w:themeColor="text1"/>
          <w:sz w:val="24"/>
          <w:szCs w:val="24"/>
          <w:lang w:val="en-US"/>
        </w:rPr>
        <w:t>Krezic</w:t>
      </w:r>
      <w:proofErr w:type="spellEnd"/>
      <w:r w:rsidRPr="00CC34A3">
        <w:rPr>
          <w:rFonts w:ascii="Book Antiqua" w:eastAsia="Calibri" w:hAnsi="Book Antiqua" w:cs="Times New Roman"/>
          <w:color w:val="000000" w:themeColor="text1"/>
          <w:sz w:val="24"/>
          <w:szCs w:val="24"/>
          <w:lang w:val="en-US"/>
        </w:rPr>
        <w:t xml:space="preserve">, Helena </w:t>
      </w:r>
      <w:proofErr w:type="spellStart"/>
      <w:r w:rsidRPr="00CC34A3">
        <w:rPr>
          <w:rFonts w:ascii="Book Antiqua" w:eastAsia="Calibri" w:hAnsi="Book Antiqua" w:cs="Times New Roman"/>
          <w:color w:val="000000" w:themeColor="text1"/>
          <w:sz w:val="24"/>
          <w:szCs w:val="24"/>
          <w:lang w:val="en-US"/>
        </w:rPr>
        <w:t>Zizek</w:t>
      </w:r>
      <w:proofErr w:type="spellEnd"/>
      <w:r w:rsidRPr="00CC34A3">
        <w:rPr>
          <w:rFonts w:ascii="Book Antiqua" w:eastAsia="Calibri" w:hAnsi="Book Antiqua" w:cs="Times New Roman"/>
          <w:color w:val="000000" w:themeColor="text1"/>
          <w:sz w:val="24"/>
          <w:szCs w:val="24"/>
          <w:lang w:val="en-US"/>
        </w:rPr>
        <w:t xml:space="preserve">, Marina </w:t>
      </w:r>
      <w:proofErr w:type="spellStart"/>
      <w:r w:rsidRPr="00CC34A3">
        <w:rPr>
          <w:rFonts w:ascii="Book Antiqua" w:eastAsia="Calibri" w:hAnsi="Book Antiqua" w:cs="Times New Roman"/>
          <w:color w:val="000000" w:themeColor="text1"/>
          <w:sz w:val="24"/>
          <w:szCs w:val="24"/>
          <w:lang w:val="en-US"/>
        </w:rPr>
        <w:t>Peklic</w:t>
      </w:r>
      <w:proofErr w:type="spellEnd"/>
      <w:r w:rsidRPr="00CC34A3">
        <w:rPr>
          <w:rFonts w:ascii="Book Antiqua" w:eastAsia="Calibri" w:hAnsi="Book Antiqua" w:cs="Times New Roman"/>
          <w:color w:val="000000" w:themeColor="text1"/>
          <w:sz w:val="24"/>
          <w:szCs w:val="24"/>
          <w:lang w:val="en-US"/>
        </w:rPr>
        <w:t xml:space="preserve">, Robert </w:t>
      </w:r>
      <w:proofErr w:type="spellStart"/>
      <w:r w:rsidRPr="00CC34A3">
        <w:rPr>
          <w:rFonts w:ascii="Book Antiqua" w:eastAsia="Calibri" w:hAnsi="Book Antiqua" w:cs="Times New Roman"/>
          <w:color w:val="000000" w:themeColor="text1"/>
          <w:sz w:val="24"/>
          <w:szCs w:val="24"/>
          <w:lang w:val="en-US"/>
        </w:rPr>
        <w:t>Klicek</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Alen</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Pajtak</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Enio</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Amic</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Tinka</w:t>
      </w:r>
      <w:proofErr w:type="spellEnd"/>
      <w:r w:rsidRPr="00CC34A3">
        <w:rPr>
          <w:rFonts w:ascii="Book Antiqua" w:eastAsia="Calibri" w:hAnsi="Book Antiqua" w:cs="Times New Roman"/>
          <w:color w:val="000000" w:themeColor="text1"/>
          <w:sz w:val="24"/>
          <w:szCs w:val="24"/>
          <w:lang w:val="en-US"/>
        </w:rPr>
        <w:t xml:space="preserve"> Vidovic, </w:t>
      </w:r>
      <w:proofErr w:type="spellStart"/>
      <w:r w:rsidRPr="00CC34A3">
        <w:rPr>
          <w:rFonts w:ascii="Book Antiqua" w:eastAsia="Calibri" w:hAnsi="Book Antiqua" w:cs="Times New Roman"/>
          <w:color w:val="000000" w:themeColor="text1"/>
          <w:sz w:val="24"/>
          <w:szCs w:val="24"/>
          <w:lang w:val="en-US"/>
        </w:rPr>
        <w:t>Mislav</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Rakic</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Marija</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Milkovic</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Perisa</w:t>
      </w:r>
      <w:proofErr w:type="spellEnd"/>
      <w:r w:rsidRPr="00CC34A3">
        <w:rPr>
          <w:rFonts w:ascii="Book Antiqua" w:eastAsia="Calibri" w:hAnsi="Book Antiqua" w:cs="Times New Roman"/>
          <w:color w:val="000000" w:themeColor="text1"/>
          <w:sz w:val="24"/>
          <w:szCs w:val="24"/>
          <w:lang w:val="en-US"/>
        </w:rPr>
        <w:t xml:space="preserve">, Katarina Horvat Pavlov, Antonio </w:t>
      </w:r>
      <w:proofErr w:type="spellStart"/>
      <w:r w:rsidRPr="00CC34A3">
        <w:rPr>
          <w:rFonts w:ascii="Book Antiqua" w:eastAsia="Calibri" w:hAnsi="Book Antiqua" w:cs="Times New Roman"/>
          <w:color w:val="000000" w:themeColor="text1"/>
          <w:sz w:val="24"/>
          <w:szCs w:val="24"/>
          <w:lang w:val="en-US"/>
        </w:rPr>
        <w:t>Kokot</w:t>
      </w:r>
      <w:proofErr w:type="spellEnd"/>
      <w:r w:rsidRPr="00CC34A3">
        <w:rPr>
          <w:rFonts w:ascii="Book Antiqua" w:eastAsia="Calibri" w:hAnsi="Book Antiqua" w:cs="Times New Roman"/>
          <w:color w:val="000000" w:themeColor="text1"/>
          <w:sz w:val="24"/>
          <w:szCs w:val="24"/>
          <w:lang w:val="en-US"/>
        </w:rPr>
        <w:t xml:space="preserve">, Ante </w:t>
      </w:r>
      <w:proofErr w:type="spellStart"/>
      <w:r w:rsidRPr="00CC34A3">
        <w:rPr>
          <w:rFonts w:ascii="Book Antiqua" w:eastAsia="Calibri" w:hAnsi="Book Antiqua" w:cs="Times New Roman"/>
          <w:color w:val="000000" w:themeColor="text1"/>
          <w:sz w:val="24"/>
          <w:szCs w:val="24"/>
          <w:lang w:val="en-US"/>
        </w:rPr>
        <w:t>Tvrdeic</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Alenka</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Boban</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Blagaic</w:t>
      </w:r>
      <w:proofErr w:type="spellEnd"/>
      <w:r w:rsidRPr="00CC34A3">
        <w:rPr>
          <w:rFonts w:ascii="Book Antiqua" w:eastAsia="Calibri" w:hAnsi="Book Antiqua" w:cs="Times New Roman"/>
          <w:color w:val="000000" w:themeColor="text1"/>
          <w:sz w:val="24"/>
          <w:szCs w:val="24"/>
          <w:lang w:val="en-US"/>
        </w:rPr>
        <w:t xml:space="preserve">, Mario </w:t>
      </w:r>
      <w:proofErr w:type="spellStart"/>
      <w:r w:rsidRPr="00CC34A3">
        <w:rPr>
          <w:rFonts w:ascii="Book Antiqua" w:eastAsia="Calibri" w:hAnsi="Book Antiqua" w:cs="Times New Roman"/>
          <w:color w:val="000000" w:themeColor="text1"/>
          <w:sz w:val="24"/>
          <w:szCs w:val="24"/>
          <w:lang w:val="en-US"/>
        </w:rPr>
        <w:t>Zovak</w:t>
      </w:r>
      <w:proofErr w:type="spellEnd"/>
      <w:r w:rsidRPr="00CC34A3">
        <w:rPr>
          <w:rFonts w:ascii="Book Antiqua" w:eastAsia="Calibri" w:hAnsi="Book Antiqua" w:cs="Times New Roman"/>
          <w:color w:val="000000" w:themeColor="text1"/>
          <w:sz w:val="24"/>
          <w:szCs w:val="24"/>
          <w:lang w:val="en-US"/>
        </w:rPr>
        <w:t xml:space="preserve">, Sven </w:t>
      </w:r>
      <w:proofErr w:type="spellStart"/>
      <w:r w:rsidRPr="00CC34A3">
        <w:rPr>
          <w:rFonts w:ascii="Book Antiqua" w:eastAsia="Calibri" w:hAnsi="Book Antiqua" w:cs="Times New Roman"/>
          <w:color w:val="000000" w:themeColor="text1"/>
          <w:sz w:val="24"/>
          <w:szCs w:val="24"/>
          <w:lang w:val="en-US"/>
        </w:rPr>
        <w:t>Seiwerth</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Predrag</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Sikiric</w:t>
      </w:r>
      <w:proofErr w:type="spellEnd"/>
      <w:r w:rsidRPr="00CC34A3">
        <w:rPr>
          <w:rFonts w:ascii="Book Antiqua" w:eastAsia="Calibri" w:hAnsi="Book Antiqua" w:cs="Times New Roman"/>
          <w:color w:val="000000" w:themeColor="text1"/>
          <w:sz w:val="24"/>
          <w:szCs w:val="24"/>
          <w:lang w:val="en-US"/>
        </w:rPr>
        <w:t xml:space="preserve"> </w:t>
      </w:r>
    </w:p>
    <w:p w14:paraId="1FFCE764" w14:textId="77777777" w:rsidR="006E2B0A" w:rsidRPr="00CC34A3" w:rsidRDefault="006E2B0A" w:rsidP="00CC34A3">
      <w:pPr>
        <w:adjustRightInd w:val="0"/>
        <w:snapToGrid w:val="0"/>
        <w:spacing w:after="0" w:line="360" w:lineRule="auto"/>
        <w:jc w:val="both"/>
        <w:rPr>
          <w:rFonts w:ascii="Book Antiqua" w:eastAsia="Calibri" w:hAnsi="Book Antiqua" w:cs="Times New Roman"/>
          <w:color w:val="000000" w:themeColor="text1"/>
          <w:sz w:val="24"/>
          <w:szCs w:val="24"/>
          <w:lang w:val="en-US"/>
        </w:rPr>
      </w:pPr>
    </w:p>
    <w:p w14:paraId="50714F62" w14:textId="23AA2DC9" w:rsidR="00006479" w:rsidRPr="00CC34A3" w:rsidRDefault="00AF3F4B" w:rsidP="00CC34A3">
      <w:pPr>
        <w:adjustRightInd w:val="0"/>
        <w:snapToGrid w:val="0"/>
        <w:spacing w:after="0" w:line="360" w:lineRule="auto"/>
        <w:jc w:val="both"/>
        <w:rPr>
          <w:rFonts w:ascii="Book Antiqua" w:eastAsia="Calibri" w:hAnsi="Book Antiqua" w:cs="Times New Roman"/>
          <w:color w:val="000000" w:themeColor="text1"/>
          <w:sz w:val="24"/>
          <w:szCs w:val="24"/>
          <w:lang w:val="en-US"/>
        </w:rPr>
      </w:pPr>
      <w:proofErr w:type="spellStart"/>
      <w:r w:rsidRPr="00CC34A3">
        <w:rPr>
          <w:rFonts w:ascii="Book Antiqua" w:eastAsia="Calibri" w:hAnsi="Book Antiqua" w:cs="Times New Roman"/>
          <w:b/>
          <w:color w:val="000000" w:themeColor="text1"/>
          <w:sz w:val="24"/>
          <w:szCs w:val="24"/>
          <w:lang w:val="en-US"/>
        </w:rPr>
        <w:t>Fedor</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Amic</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Domagoj</w:t>
      </w:r>
      <w:proofErr w:type="spellEnd"/>
      <w:r w:rsidRPr="00CC34A3">
        <w:rPr>
          <w:rFonts w:ascii="Book Antiqua" w:eastAsia="Calibri" w:hAnsi="Book Antiqua" w:cs="Times New Roman"/>
          <w:b/>
          <w:color w:val="000000" w:themeColor="text1"/>
          <w:sz w:val="24"/>
          <w:szCs w:val="24"/>
          <w:lang w:val="en-US"/>
        </w:rPr>
        <w:t xml:space="preserve"> Drmic, </w:t>
      </w:r>
      <w:proofErr w:type="spellStart"/>
      <w:r w:rsidRPr="00CC34A3">
        <w:rPr>
          <w:rFonts w:ascii="Book Antiqua" w:eastAsia="Calibri" w:hAnsi="Book Antiqua" w:cs="Times New Roman"/>
          <w:b/>
          <w:color w:val="000000" w:themeColor="text1"/>
          <w:sz w:val="24"/>
          <w:szCs w:val="24"/>
          <w:lang w:val="en-US"/>
        </w:rPr>
        <w:t>Zdenko</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Bilic</w:t>
      </w:r>
      <w:proofErr w:type="spellEnd"/>
      <w:r w:rsidRPr="00CC34A3">
        <w:rPr>
          <w:rFonts w:ascii="Book Antiqua" w:eastAsia="Calibri" w:hAnsi="Book Antiqua" w:cs="Times New Roman"/>
          <w:b/>
          <w:color w:val="000000" w:themeColor="text1"/>
          <w:sz w:val="24"/>
          <w:szCs w:val="24"/>
          <w:lang w:val="en-US"/>
        </w:rPr>
        <w:t xml:space="preserve">, Ivan </w:t>
      </w:r>
      <w:proofErr w:type="spellStart"/>
      <w:r w:rsidRPr="00CC34A3">
        <w:rPr>
          <w:rFonts w:ascii="Book Antiqua" w:eastAsia="Calibri" w:hAnsi="Book Antiqua" w:cs="Times New Roman"/>
          <w:b/>
          <w:color w:val="000000" w:themeColor="text1"/>
          <w:sz w:val="24"/>
          <w:szCs w:val="24"/>
          <w:lang w:val="en-US"/>
        </w:rPr>
        <w:t>Krezic</w:t>
      </w:r>
      <w:proofErr w:type="spellEnd"/>
      <w:r w:rsidRPr="00CC34A3">
        <w:rPr>
          <w:rFonts w:ascii="Book Antiqua" w:eastAsia="Calibri" w:hAnsi="Book Antiqua" w:cs="Times New Roman"/>
          <w:b/>
          <w:color w:val="000000" w:themeColor="text1"/>
          <w:sz w:val="24"/>
          <w:szCs w:val="24"/>
          <w:lang w:val="en-US"/>
        </w:rPr>
        <w:t xml:space="preserve">, Helena </w:t>
      </w:r>
      <w:proofErr w:type="spellStart"/>
      <w:r w:rsidRPr="00CC34A3">
        <w:rPr>
          <w:rFonts w:ascii="Book Antiqua" w:eastAsia="Calibri" w:hAnsi="Book Antiqua" w:cs="Times New Roman"/>
          <w:b/>
          <w:color w:val="000000" w:themeColor="text1"/>
          <w:sz w:val="24"/>
          <w:szCs w:val="24"/>
          <w:lang w:val="en-US"/>
        </w:rPr>
        <w:t>Zizek</w:t>
      </w:r>
      <w:proofErr w:type="spellEnd"/>
      <w:r w:rsidRPr="00CC34A3">
        <w:rPr>
          <w:rFonts w:ascii="Book Antiqua" w:eastAsia="Calibri" w:hAnsi="Book Antiqua" w:cs="Times New Roman"/>
          <w:b/>
          <w:color w:val="000000" w:themeColor="text1"/>
          <w:sz w:val="24"/>
          <w:szCs w:val="24"/>
          <w:lang w:val="en-US"/>
        </w:rPr>
        <w:t xml:space="preserve">, Marina </w:t>
      </w:r>
      <w:proofErr w:type="spellStart"/>
      <w:r w:rsidRPr="00CC34A3">
        <w:rPr>
          <w:rFonts w:ascii="Book Antiqua" w:eastAsia="Calibri" w:hAnsi="Book Antiqua" w:cs="Times New Roman"/>
          <w:b/>
          <w:color w:val="000000" w:themeColor="text1"/>
          <w:sz w:val="24"/>
          <w:szCs w:val="24"/>
          <w:lang w:val="en-US"/>
        </w:rPr>
        <w:t>Peklic</w:t>
      </w:r>
      <w:proofErr w:type="spellEnd"/>
      <w:r w:rsidRPr="00CC34A3">
        <w:rPr>
          <w:rFonts w:ascii="Book Antiqua" w:eastAsia="Calibri" w:hAnsi="Book Antiqua" w:cs="Times New Roman"/>
          <w:b/>
          <w:color w:val="000000" w:themeColor="text1"/>
          <w:sz w:val="24"/>
          <w:szCs w:val="24"/>
          <w:lang w:val="en-US"/>
        </w:rPr>
        <w:t xml:space="preserve">, Robert </w:t>
      </w:r>
      <w:proofErr w:type="spellStart"/>
      <w:r w:rsidRPr="00CC34A3">
        <w:rPr>
          <w:rFonts w:ascii="Book Antiqua" w:eastAsia="Calibri" w:hAnsi="Book Antiqua" w:cs="Times New Roman"/>
          <w:b/>
          <w:color w:val="000000" w:themeColor="text1"/>
          <w:sz w:val="24"/>
          <w:szCs w:val="24"/>
          <w:lang w:val="en-US"/>
        </w:rPr>
        <w:t>Klicek</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Alen</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Pajtak</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Enio</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Amic</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Tinka</w:t>
      </w:r>
      <w:proofErr w:type="spellEnd"/>
      <w:r w:rsidRPr="00CC34A3">
        <w:rPr>
          <w:rFonts w:ascii="Book Antiqua" w:eastAsia="Calibri" w:hAnsi="Book Antiqua" w:cs="Times New Roman"/>
          <w:b/>
          <w:color w:val="000000" w:themeColor="text1"/>
          <w:sz w:val="24"/>
          <w:szCs w:val="24"/>
          <w:lang w:val="en-US"/>
        </w:rPr>
        <w:t xml:space="preserve"> Vidovic, </w:t>
      </w:r>
      <w:proofErr w:type="spellStart"/>
      <w:r w:rsidRPr="00CC34A3">
        <w:rPr>
          <w:rFonts w:ascii="Book Antiqua" w:eastAsia="Calibri" w:hAnsi="Book Antiqua" w:cs="Times New Roman"/>
          <w:b/>
          <w:color w:val="000000" w:themeColor="text1"/>
          <w:sz w:val="24"/>
          <w:szCs w:val="24"/>
          <w:lang w:val="en-US"/>
        </w:rPr>
        <w:t>Mislav</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Rakic</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Marija</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Milkovic</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Perisa</w:t>
      </w:r>
      <w:proofErr w:type="spellEnd"/>
      <w:r w:rsidRPr="00CC34A3">
        <w:rPr>
          <w:rFonts w:ascii="Book Antiqua" w:eastAsia="Calibri" w:hAnsi="Book Antiqua" w:cs="Times New Roman"/>
          <w:b/>
          <w:color w:val="000000" w:themeColor="text1"/>
          <w:sz w:val="24"/>
          <w:szCs w:val="24"/>
          <w:lang w:val="en-US"/>
        </w:rPr>
        <w:t xml:space="preserve">, Katarina Horvat Pavlov, Antonio </w:t>
      </w:r>
      <w:proofErr w:type="spellStart"/>
      <w:r w:rsidRPr="00CC34A3">
        <w:rPr>
          <w:rFonts w:ascii="Book Antiqua" w:eastAsia="Calibri" w:hAnsi="Book Antiqua" w:cs="Times New Roman"/>
          <w:b/>
          <w:color w:val="000000" w:themeColor="text1"/>
          <w:sz w:val="24"/>
          <w:szCs w:val="24"/>
          <w:lang w:val="en-US"/>
        </w:rPr>
        <w:t>Kokot</w:t>
      </w:r>
      <w:proofErr w:type="spellEnd"/>
      <w:r w:rsidRPr="00CC34A3">
        <w:rPr>
          <w:rFonts w:ascii="Book Antiqua" w:eastAsia="Calibri" w:hAnsi="Book Antiqua" w:cs="Times New Roman"/>
          <w:b/>
          <w:color w:val="000000" w:themeColor="text1"/>
          <w:sz w:val="24"/>
          <w:szCs w:val="24"/>
          <w:lang w:val="en-US"/>
        </w:rPr>
        <w:t xml:space="preserve">, Ante </w:t>
      </w:r>
      <w:proofErr w:type="spellStart"/>
      <w:r w:rsidRPr="00CC34A3">
        <w:rPr>
          <w:rFonts w:ascii="Book Antiqua" w:eastAsia="Calibri" w:hAnsi="Book Antiqua" w:cs="Times New Roman"/>
          <w:b/>
          <w:color w:val="000000" w:themeColor="text1"/>
          <w:sz w:val="24"/>
          <w:szCs w:val="24"/>
          <w:lang w:val="en-US"/>
        </w:rPr>
        <w:t>Tvrdeic</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Alenka</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Boban</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Blagaic</w:t>
      </w:r>
      <w:proofErr w:type="spellEnd"/>
      <w:r w:rsidRPr="00CC34A3">
        <w:rPr>
          <w:rFonts w:ascii="Book Antiqua" w:eastAsia="Calibri" w:hAnsi="Book Antiqua" w:cs="Times New Roman"/>
          <w:b/>
          <w:color w:val="000000" w:themeColor="text1"/>
          <w:sz w:val="24"/>
          <w:szCs w:val="24"/>
          <w:lang w:val="en-US"/>
        </w:rPr>
        <w:t xml:space="preserve">, Mario </w:t>
      </w:r>
      <w:proofErr w:type="spellStart"/>
      <w:r w:rsidRPr="00CC34A3">
        <w:rPr>
          <w:rFonts w:ascii="Book Antiqua" w:eastAsia="Calibri" w:hAnsi="Book Antiqua" w:cs="Times New Roman"/>
          <w:b/>
          <w:color w:val="000000" w:themeColor="text1"/>
          <w:sz w:val="24"/>
          <w:szCs w:val="24"/>
          <w:lang w:val="en-US"/>
        </w:rPr>
        <w:t>Zovak</w:t>
      </w:r>
      <w:proofErr w:type="spellEnd"/>
      <w:r w:rsidRPr="00CC34A3">
        <w:rPr>
          <w:rFonts w:ascii="Book Antiqua" w:eastAsia="Calibri" w:hAnsi="Book Antiqua" w:cs="Times New Roman"/>
          <w:b/>
          <w:color w:val="000000" w:themeColor="text1"/>
          <w:sz w:val="24"/>
          <w:szCs w:val="24"/>
          <w:lang w:val="en-US"/>
        </w:rPr>
        <w:t xml:space="preserve">, Sven </w:t>
      </w:r>
      <w:proofErr w:type="spellStart"/>
      <w:r w:rsidRPr="00CC34A3">
        <w:rPr>
          <w:rFonts w:ascii="Book Antiqua" w:eastAsia="Calibri" w:hAnsi="Book Antiqua" w:cs="Times New Roman"/>
          <w:b/>
          <w:color w:val="000000" w:themeColor="text1"/>
          <w:sz w:val="24"/>
          <w:szCs w:val="24"/>
          <w:lang w:val="en-US"/>
        </w:rPr>
        <w:t>Seiwerth</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Predrag</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Sikiric</w:t>
      </w:r>
      <w:proofErr w:type="spellEnd"/>
      <w:r w:rsidRPr="00CC34A3">
        <w:rPr>
          <w:rFonts w:ascii="Book Antiqua" w:eastAsia="Calibri" w:hAnsi="Book Antiqua" w:cs="Times New Roman"/>
          <w:b/>
          <w:color w:val="000000" w:themeColor="text1"/>
          <w:sz w:val="24"/>
          <w:szCs w:val="24"/>
          <w:lang w:val="en-US"/>
        </w:rPr>
        <w:t xml:space="preserve">, </w:t>
      </w:r>
      <w:r w:rsidRPr="00CC34A3">
        <w:rPr>
          <w:rFonts w:ascii="Book Antiqua" w:eastAsia="Calibri" w:hAnsi="Book Antiqua" w:cs="Times New Roman"/>
          <w:color w:val="000000" w:themeColor="text1"/>
          <w:sz w:val="24"/>
          <w:szCs w:val="24"/>
          <w:lang w:val="en-US"/>
        </w:rPr>
        <w:t>Department</w:t>
      </w:r>
      <w:r w:rsidR="006E2B0A" w:rsidRPr="00CC34A3">
        <w:rPr>
          <w:rFonts w:ascii="Book Antiqua" w:eastAsia="Calibri" w:hAnsi="Book Antiqua" w:cs="Times New Roman"/>
          <w:color w:val="000000" w:themeColor="text1"/>
          <w:sz w:val="24"/>
          <w:szCs w:val="24"/>
          <w:lang w:val="en-US"/>
        </w:rPr>
        <w:t xml:space="preserve"> of Pharmacology, Medical Faculty</w:t>
      </w:r>
      <w:r w:rsidR="003021B3" w:rsidRPr="00CC34A3">
        <w:rPr>
          <w:rFonts w:ascii="Book Antiqua" w:eastAsia="Calibri" w:hAnsi="Book Antiqua" w:cs="Times New Roman"/>
          <w:color w:val="000000" w:themeColor="text1"/>
          <w:sz w:val="24"/>
          <w:szCs w:val="24"/>
          <w:lang w:val="en-US"/>
        </w:rPr>
        <w:t>,</w:t>
      </w:r>
      <w:r w:rsidR="006E2B0A" w:rsidRPr="00CC34A3">
        <w:rPr>
          <w:rFonts w:ascii="Book Antiqua" w:eastAsia="Calibri" w:hAnsi="Book Antiqua" w:cs="Times New Roman"/>
          <w:color w:val="000000" w:themeColor="text1"/>
          <w:sz w:val="24"/>
          <w:szCs w:val="24"/>
          <w:lang w:val="en-US"/>
        </w:rPr>
        <w:t xml:space="preserve"> University of Zagreb, Zagreb</w:t>
      </w:r>
      <w:r w:rsidRPr="00CC34A3">
        <w:rPr>
          <w:rFonts w:ascii="Book Antiqua" w:eastAsia="Calibri" w:hAnsi="Book Antiqua" w:cs="Times New Roman"/>
          <w:color w:val="000000" w:themeColor="text1"/>
          <w:sz w:val="24"/>
          <w:szCs w:val="24"/>
          <w:lang w:val="en-US"/>
        </w:rPr>
        <w:t xml:space="preserve"> 10000</w:t>
      </w:r>
      <w:r w:rsidR="006E2B0A" w:rsidRPr="00CC34A3">
        <w:rPr>
          <w:rFonts w:ascii="Book Antiqua" w:eastAsia="Calibri" w:hAnsi="Book Antiqua" w:cs="Times New Roman"/>
          <w:color w:val="000000" w:themeColor="text1"/>
          <w:sz w:val="24"/>
          <w:szCs w:val="24"/>
          <w:lang w:val="en-US"/>
        </w:rPr>
        <w:t>, Croatia</w:t>
      </w:r>
    </w:p>
    <w:p w14:paraId="7620CAA7" w14:textId="77777777" w:rsidR="00AF3F4B" w:rsidRPr="00CC34A3" w:rsidRDefault="00AF3F4B" w:rsidP="00CC34A3">
      <w:pPr>
        <w:adjustRightInd w:val="0"/>
        <w:snapToGrid w:val="0"/>
        <w:spacing w:after="0" w:line="360" w:lineRule="auto"/>
        <w:jc w:val="both"/>
        <w:rPr>
          <w:rFonts w:ascii="Book Antiqua" w:hAnsi="Book Antiqua"/>
          <w:color w:val="000000" w:themeColor="text1"/>
          <w:sz w:val="24"/>
          <w:szCs w:val="24"/>
          <w:lang w:val="en-US"/>
        </w:rPr>
      </w:pPr>
    </w:p>
    <w:p w14:paraId="2B4F5295" w14:textId="52AB3C81" w:rsidR="00AF3F4B" w:rsidRPr="00CC34A3" w:rsidRDefault="00AF3F4B" w:rsidP="00CC34A3">
      <w:pPr>
        <w:adjustRightInd w:val="0"/>
        <w:snapToGrid w:val="0"/>
        <w:spacing w:after="0" w:line="360" w:lineRule="auto"/>
        <w:jc w:val="both"/>
        <w:rPr>
          <w:rFonts w:ascii="Book Antiqua" w:eastAsia="Calibri" w:hAnsi="Book Antiqua" w:cs="Times New Roman"/>
          <w:color w:val="000000" w:themeColor="text1"/>
          <w:sz w:val="24"/>
          <w:szCs w:val="24"/>
          <w:lang w:val="en-US"/>
        </w:rPr>
      </w:pPr>
      <w:proofErr w:type="spellStart"/>
      <w:r w:rsidRPr="00CC34A3">
        <w:rPr>
          <w:rFonts w:ascii="Book Antiqua" w:eastAsia="Calibri" w:hAnsi="Book Antiqua" w:cs="Times New Roman"/>
          <w:b/>
          <w:color w:val="000000" w:themeColor="text1"/>
          <w:sz w:val="24"/>
          <w:szCs w:val="24"/>
          <w:lang w:val="en-US"/>
        </w:rPr>
        <w:t>Fedor</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Amic</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Domagoj</w:t>
      </w:r>
      <w:proofErr w:type="spellEnd"/>
      <w:r w:rsidRPr="00CC34A3">
        <w:rPr>
          <w:rFonts w:ascii="Book Antiqua" w:eastAsia="Calibri" w:hAnsi="Book Antiqua" w:cs="Times New Roman"/>
          <w:b/>
          <w:color w:val="000000" w:themeColor="text1"/>
          <w:sz w:val="24"/>
          <w:szCs w:val="24"/>
          <w:lang w:val="en-US"/>
        </w:rPr>
        <w:t xml:space="preserve"> Drmic, </w:t>
      </w:r>
      <w:proofErr w:type="spellStart"/>
      <w:r w:rsidRPr="00CC34A3">
        <w:rPr>
          <w:rFonts w:ascii="Book Antiqua" w:eastAsia="Calibri" w:hAnsi="Book Antiqua" w:cs="Times New Roman"/>
          <w:b/>
          <w:color w:val="000000" w:themeColor="text1"/>
          <w:sz w:val="24"/>
          <w:szCs w:val="24"/>
          <w:lang w:val="en-US"/>
        </w:rPr>
        <w:t>Zdenko</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Bilic</w:t>
      </w:r>
      <w:proofErr w:type="spellEnd"/>
      <w:r w:rsidRPr="00CC34A3">
        <w:rPr>
          <w:rFonts w:ascii="Book Antiqua" w:eastAsia="Calibri" w:hAnsi="Book Antiqua" w:cs="Times New Roman"/>
          <w:b/>
          <w:color w:val="000000" w:themeColor="text1"/>
          <w:sz w:val="24"/>
          <w:szCs w:val="24"/>
          <w:lang w:val="en-US"/>
        </w:rPr>
        <w:t xml:space="preserve">, Ivan </w:t>
      </w:r>
      <w:proofErr w:type="spellStart"/>
      <w:r w:rsidRPr="00CC34A3">
        <w:rPr>
          <w:rFonts w:ascii="Book Antiqua" w:eastAsia="Calibri" w:hAnsi="Book Antiqua" w:cs="Times New Roman"/>
          <w:b/>
          <w:color w:val="000000" w:themeColor="text1"/>
          <w:sz w:val="24"/>
          <w:szCs w:val="24"/>
          <w:lang w:val="en-US"/>
        </w:rPr>
        <w:t>Krezic</w:t>
      </w:r>
      <w:proofErr w:type="spellEnd"/>
      <w:r w:rsidRPr="00CC34A3">
        <w:rPr>
          <w:rFonts w:ascii="Book Antiqua" w:eastAsia="Calibri" w:hAnsi="Book Antiqua" w:cs="Times New Roman"/>
          <w:b/>
          <w:color w:val="000000" w:themeColor="text1"/>
          <w:sz w:val="24"/>
          <w:szCs w:val="24"/>
          <w:lang w:val="en-US"/>
        </w:rPr>
        <w:t xml:space="preserve">, Helena </w:t>
      </w:r>
      <w:proofErr w:type="spellStart"/>
      <w:r w:rsidRPr="00CC34A3">
        <w:rPr>
          <w:rFonts w:ascii="Book Antiqua" w:eastAsia="Calibri" w:hAnsi="Book Antiqua" w:cs="Times New Roman"/>
          <w:b/>
          <w:color w:val="000000" w:themeColor="text1"/>
          <w:sz w:val="24"/>
          <w:szCs w:val="24"/>
          <w:lang w:val="en-US"/>
        </w:rPr>
        <w:t>Zizek</w:t>
      </w:r>
      <w:proofErr w:type="spellEnd"/>
      <w:r w:rsidRPr="00CC34A3">
        <w:rPr>
          <w:rFonts w:ascii="Book Antiqua" w:eastAsia="Calibri" w:hAnsi="Book Antiqua" w:cs="Times New Roman"/>
          <w:b/>
          <w:color w:val="000000" w:themeColor="text1"/>
          <w:sz w:val="24"/>
          <w:szCs w:val="24"/>
          <w:lang w:val="en-US"/>
        </w:rPr>
        <w:t xml:space="preserve">, Marina </w:t>
      </w:r>
      <w:proofErr w:type="spellStart"/>
      <w:r w:rsidRPr="00CC34A3">
        <w:rPr>
          <w:rFonts w:ascii="Book Antiqua" w:eastAsia="Calibri" w:hAnsi="Book Antiqua" w:cs="Times New Roman"/>
          <w:b/>
          <w:color w:val="000000" w:themeColor="text1"/>
          <w:sz w:val="24"/>
          <w:szCs w:val="24"/>
          <w:lang w:val="en-US"/>
        </w:rPr>
        <w:t>Peklic</w:t>
      </w:r>
      <w:proofErr w:type="spellEnd"/>
      <w:r w:rsidRPr="00CC34A3">
        <w:rPr>
          <w:rFonts w:ascii="Book Antiqua" w:eastAsia="Calibri" w:hAnsi="Book Antiqua" w:cs="Times New Roman"/>
          <w:b/>
          <w:color w:val="000000" w:themeColor="text1"/>
          <w:sz w:val="24"/>
          <w:szCs w:val="24"/>
          <w:lang w:val="en-US"/>
        </w:rPr>
        <w:t xml:space="preserve">, Robert </w:t>
      </w:r>
      <w:proofErr w:type="spellStart"/>
      <w:r w:rsidRPr="00CC34A3">
        <w:rPr>
          <w:rFonts w:ascii="Book Antiqua" w:eastAsia="Calibri" w:hAnsi="Book Antiqua" w:cs="Times New Roman"/>
          <w:b/>
          <w:color w:val="000000" w:themeColor="text1"/>
          <w:sz w:val="24"/>
          <w:szCs w:val="24"/>
          <w:lang w:val="en-US"/>
        </w:rPr>
        <w:t>Klicek</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Alen</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Pajtak</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Enio</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Amic</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Tinka</w:t>
      </w:r>
      <w:proofErr w:type="spellEnd"/>
      <w:r w:rsidRPr="00CC34A3">
        <w:rPr>
          <w:rFonts w:ascii="Book Antiqua" w:eastAsia="Calibri" w:hAnsi="Book Antiqua" w:cs="Times New Roman"/>
          <w:b/>
          <w:color w:val="000000" w:themeColor="text1"/>
          <w:sz w:val="24"/>
          <w:szCs w:val="24"/>
          <w:lang w:val="en-US"/>
        </w:rPr>
        <w:t xml:space="preserve"> Vidovic, </w:t>
      </w:r>
      <w:proofErr w:type="spellStart"/>
      <w:r w:rsidRPr="00CC34A3">
        <w:rPr>
          <w:rFonts w:ascii="Book Antiqua" w:eastAsia="Calibri" w:hAnsi="Book Antiqua" w:cs="Times New Roman"/>
          <w:b/>
          <w:color w:val="000000" w:themeColor="text1"/>
          <w:sz w:val="24"/>
          <w:szCs w:val="24"/>
          <w:lang w:val="en-US"/>
        </w:rPr>
        <w:t>Mislav</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Rakic</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Marija</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Milkovic</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Perisa</w:t>
      </w:r>
      <w:proofErr w:type="spellEnd"/>
      <w:r w:rsidRPr="00CC34A3">
        <w:rPr>
          <w:rFonts w:ascii="Book Antiqua" w:eastAsia="Calibri" w:hAnsi="Book Antiqua" w:cs="Times New Roman"/>
          <w:b/>
          <w:color w:val="000000" w:themeColor="text1"/>
          <w:sz w:val="24"/>
          <w:szCs w:val="24"/>
          <w:lang w:val="en-US"/>
        </w:rPr>
        <w:t xml:space="preserve">, Katarina Horvat Pavlov, Antonio </w:t>
      </w:r>
      <w:proofErr w:type="spellStart"/>
      <w:r w:rsidRPr="00CC34A3">
        <w:rPr>
          <w:rFonts w:ascii="Book Antiqua" w:eastAsia="Calibri" w:hAnsi="Book Antiqua" w:cs="Times New Roman"/>
          <w:b/>
          <w:color w:val="000000" w:themeColor="text1"/>
          <w:sz w:val="24"/>
          <w:szCs w:val="24"/>
          <w:lang w:val="en-US"/>
        </w:rPr>
        <w:t>Kokot</w:t>
      </w:r>
      <w:proofErr w:type="spellEnd"/>
      <w:r w:rsidRPr="00CC34A3">
        <w:rPr>
          <w:rFonts w:ascii="Book Antiqua" w:eastAsia="Calibri" w:hAnsi="Book Antiqua" w:cs="Times New Roman"/>
          <w:b/>
          <w:color w:val="000000" w:themeColor="text1"/>
          <w:sz w:val="24"/>
          <w:szCs w:val="24"/>
          <w:lang w:val="en-US"/>
        </w:rPr>
        <w:t xml:space="preserve">, Ante </w:t>
      </w:r>
      <w:proofErr w:type="spellStart"/>
      <w:r w:rsidRPr="00CC34A3">
        <w:rPr>
          <w:rFonts w:ascii="Book Antiqua" w:eastAsia="Calibri" w:hAnsi="Book Antiqua" w:cs="Times New Roman"/>
          <w:b/>
          <w:color w:val="000000" w:themeColor="text1"/>
          <w:sz w:val="24"/>
          <w:szCs w:val="24"/>
          <w:lang w:val="en-US"/>
        </w:rPr>
        <w:t>Tvrdeic</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Alenka</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Boban</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Blagaic</w:t>
      </w:r>
      <w:proofErr w:type="spellEnd"/>
      <w:r w:rsidRPr="00CC34A3">
        <w:rPr>
          <w:rFonts w:ascii="Book Antiqua" w:eastAsia="Calibri" w:hAnsi="Book Antiqua" w:cs="Times New Roman"/>
          <w:b/>
          <w:color w:val="000000" w:themeColor="text1"/>
          <w:sz w:val="24"/>
          <w:szCs w:val="24"/>
          <w:lang w:val="en-US"/>
        </w:rPr>
        <w:t xml:space="preserve">, Mario </w:t>
      </w:r>
      <w:proofErr w:type="spellStart"/>
      <w:r w:rsidRPr="00CC34A3">
        <w:rPr>
          <w:rFonts w:ascii="Book Antiqua" w:eastAsia="Calibri" w:hAnsi="Book Antiqua" w:cs="Times New Roman"/>
          <w:b/>
          <w:color w:val="000000" w:themeColor="text1"/>
          <w:sz w:val="24"/>
          <w:szCs w:val="24"/>
          <w:lang w:val="en-US"/>
        </w:rPr>
        <w:t>Zovak</w:t>
      </w:r>
      <w:proofErr w:type="spellEnd"/>
      <w:r w:rsidRPr="00CC34A3">
        <w:rPr>
          <w:rFonts w:ascii="Book Antiqua" w:eastAsia="Calibri" w:hAnsi="Book Antiqua" w:cs="Times New Roman"/>
          <w:b/>
          <w:color w:val="000000" w:themeColor="text1"/>
          <w:sz w:val="24"/>
          <w:szCs w:val="24"/>
          <w:lang w:val="en-US"/>
        </w:rPr>
        <w:t xml:space="preserve">, Sven </w:t>
      </w:r>
      <w:proofErr w:type="spellStart"/>
      <w:r w:rsidRPr="00CC34A3">
        <w:rPr>
          <w:rFonts w:ascii="Book Antiqua" w:eastAsia="Calibri" w:hAnsi="Book Antiqua" w:cs="Times New Roman"/>
          <w:b/>
          <w:color w:val="000000" w:themeColor="text1"/>
          <w:sz w:val="24"/>
          <w:szCs w:val="24"/>
          <w:lang w:val="en-US"/>
        </w:rPr>
        <w:t>Seiwerth</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Predrag</w:t>
      </w:r>
      <w:proofErr w:type="spellEnd"/>
      <w:r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b/>
          <w:color w:val="000000" w:themeColor="text1"/>
          <w:sz w:val="24"/>
          <w:szCs w:val="24"/>
          <w:lang w:val="en-US"/>
        </w:rPr>
        <w:t>Sikiric</w:t>
      </w:r>
      <w:proofErr w:type="spellEnd"/>
      <w:r w:rsidRPr="00CC34A3">
        <w:rPr>
          <w:rFonts w:ascii="Book Antiqua" w:eastAsia="Calibri" w:hAnsi="Book Antiqua" w:cs="Times New Roman"/>
          <w:b/>
          <w:color w:val="000000" w:themeColor="text1"/>
          <w:sz w:val="24"/>
          <w:szCs w:val="24"/>
          <w:lang w:val="en-US"/>
        </w:rPr>
        <w:t xml:space="preserve">, </w:t>
      </w:r>
      <w:r w:rsidRPr="00CC34A3">
        <w:rPr>
          <w:rFonts w:ascii="Book Antiqua" w:eastAsia="Calibri" w:hAnsi="Book Antiqua" w:cs="Times New Roman"/>
          <w:color w:val="000000" w:themeColor="text1"/>
          <w:sz w:val="24"/>
          <w:szCs w:val="24"/>
          <w:lang w:val="en-US"/>
        </w:rPr>
        <w:t>Department of Pathology, Medical Faculty</w:t>
      </w:r>
      <w:r w:rsidR="003021B3" w:rsidRPr="00CC34A3">
        <w:rPr>
          <w:rFonts w:ascii="Book Antiqua" w:eastAsia="Calibri" w:hAnsi="Book Antiqua" w:cs="Times New Roman"/>
          <w:color w:val="000000" w:themeColor="text1"/>
          <w:sz w:val="24"/>
          <w:szCs w:val="24"/>
          <w:lang w:val="en-US"/>
        </w:rPr>
        <w:t>,</w:t>
      </w:r>
      <w:r w:rsidRPr="00CC34A3">
        <w:rPr>
          <w:rFonts w:ascii="Book Antiqua" w:eastAsia="Calibri" w:hAnsi="Book Antiqua" w:cs="Times New Roman"/>
          <w:color w:val="000000" w:themeColor="text1"/>
          <w:sz w:val="24"/>
          <w:szCs w:val="24"/>
          <w:lang w:val="en-US"/>
        </w:rPr>
        <w:t xml:space="preserve"> University of Zagreb, Zagreb 10000, Croatia</w:t>
      </w:r>
    </w:p>
    <w:p w14:paraId="6F42F0A0" w14:textId="77777777" w:rsidR="00AF3F4B" w:rsidRPr="00CC34A3" w:rsidRDefault="00AF3F4B" w:rsidP="00CC34A3">
      <w:pPr>
        <w:adjustRightInd w:val="0"/>
        <w:snapToGrid w:val="0"/>
        <w:spacing w:after="0" w:line="360" w:lineRule="auto"/>
        <w:jc w:val="both"/>
        <w:rPr>
          <w:rFonts w:ascii="Book Antiqua" w:hAnsi="Book Antiqua"/>
          <w:color w:val="000000" w:themeColor="text1"/>
          <w:sz w:val="24"/>
          <w:szCs w:val="24"/>
          <w:lang w:val="en-US"/>
        </w:rPr>
      </w:pPr>
    </w:p>
    <w:p w14:paraId="2B869B1B" w14:textId="160617E5" w:rsidR="007B1B99" w:rsidRPr="00CC34A3" w:rsidRDefault="007B1B99" w:rsidP="00CC34A3">
      <w:pPr>
        <w:adjustRightInd w:val="0"/>
        <w:snapToGrid w:val="0"/>
        <w:spacing w:after="0" w:line="360" w:lineRule="auto"/>
        <w:jc w:val="both"/>
        <w:rPr>
          <w:rFonts w:ascii="Book Antiqua" w:eastAsia="Calibri" w:hAnsi="Book Antiqua" w:cs="Times New Roman"/>
          <w:b/>
          <w:color w:val="000000" w:themeColor="text1"/>
          <w:sz w:val="24"/>
          <w:szCs w:val="24"/>
          <w:lang w:val="en-US"/>
        </w:rPr>
      </w:pPr>
      <w:r w:rsidRPr="00CC34A3">
        <w:rPr>
          <w:rFonts w:ascii="Book Antiqua" w:eastAsia="Calibri" w:hAnsi="Book Antiqua" w:cs="Times New Roman"/>
          <w:b/>
          <w:color w:val="000000" w:themeColor="text1"/>
          <w:sz w:val="24"/>
          <w:szCs w:val="24"/>
          <w:lang w:val="en-US"/>
        </w:rPr>
        <w:t>ORCID number:</w:t>
      </w:r>
      <w:r w:rsidR="00D90D5D"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Fedor</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Amic</w:t>
      </w:r>
      <w:proofErr w:type="spellEnd"/>
      <w:r w:rsidRPr="00CC34A3">
        <w:rPr>
          <w:rFonts w:ascii="Book Antiqua" w:eastAsia="Calibri" w:hAnsi="Book Antiqua" w:cs="Times New Roman"/>
          <w:color w:val="000000" w:themeColor="text1"/>
          <w:sz w:val="24"/>
          <w:szCs w:val="24"/>
          <w:lang w:val="en-US"/>
        </w:rPr>
        <w:t xml:space="preserve"> (</w:t>
      </w:r>
      <w:r w:rsidRPr="00CC34A3">
        <w:rPr>
          <w:rFonts w:ascii="Book Antiqua" w:hAnsi="Book Antiqua" w:cs="Times New Roman"/>
          <w:color w:val="000000" w:themeColor="text1"/>
          <w:sz w:val="24"/>
          <w:szCs w:val="24"/>
          <w:lang w:val="en-US"/>
        </w:rPr>
        <w:t>0000-0002-5914-4565)</w:t>
      </w:r>
      <w:r w:rsidR="00D90D5D" w:rsidRPr="00CC34A3">
        <w:rPr>
          <w:rFonts w:ascii="Book Antiqua" w:eastAsia="Calibri" w:hAnsi="Book Antiqua" w:cs="Times New Roman"/>
          <w:color w:val="000000" w:themeColor="text1"/>
          <w:sz w:val="24"/>
          <w:szCs w:val="24"/>
          <w:lang w:val="en-US"/>
        </w:rPr>
        <w:t>;</w:t>
      </w:r>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Domagoj</w:t>
      </w:r>
      <w:proofErr w:type="spellEnd"/>
      <w:r w:rsidRPr="00CC34A3">
        <w:rPr>
          <w:rFonts w:ascii="Book Antiqua" w:eastAsia="Calibri" w:hAnsi="Book Antiqua" w:cs="Times New Roman"/>
          <w:color w:val="000000" w:themeColor="text1"/>
          <w:sz w:val="24"/>
          <w:szCs w:val="24"/>
          <w:lang w:val="en-US"/>
        </w:rPr>
        <w:t xml:space="preserve"> Drmic (</w:t>
      </w:r>
      <w:r w:rsidRPr="00CC34A3">
        <w:rPr>
          <w:rFonts w:ascii="Book Antiqua" w:hAnsi="Book Antiqua" w:cs="Times New Roman"/>
          <w:color w:val="000000" w:themeColor="text1"/>
          <w:sz w:val="24"/>
          <w:szCs w:val="24"/>
          <w:lang w:val="en-US"/>
        </w:rPr>
        <w:t>0000-0002-1081-7175)</w:t>
      </w:r>
      <w:r w:rsidR="00D90D5D" w:rsidRPr="00CC34A3">
        <w:rPr>
          <w:rFonts w:ascii="Book Antiqua" w:eastAsia="Calibri" w:hAnsi="Book Antiqua" w:cs="Times New Roman"/>
          <w:color w:val="000000" w:themeColor="text1"/>
          <w:sz w:val="24"/>
          <w:szCs w:val="24"/>
          <w:lang w:val="en-US"/>
        </w:rPr>
        <w:t>;</w:t>
      </w:r>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Zdenko</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Bilic</w:t>
      </w:r>
      <w:proofErr w:type="spellEnd"/>
      <w:r w:rsidRPr="00CC34A3">
        <w:rPr>
          <w:rFonts w:ascii="Book Antiqua" w:eastAsia="Calibri" w:hAnsi="Book Antiqua" w:cs="Times New Roman"/>
          <w:color w:val="000000" w:themeColor="text1"/>
          <w:sz w:val="24"/>
          <w:szCs w:val="24"/>
          <w:lang w:val="en-US"/>
        </w:rPr>
        <w:t xml:space="preserve"> (</w:t>
      </w:r>
      <w:r w:rsidRPr="00CC34A3">
        <w:rPr>
          <w:rFonts w:ascii="Book Antiqua" w:hAnsi="Book Antiqua" w:cs="Times New Roman"/>
          <w:bCs/>
          <w:color w:val="000000" w:themeColor="text1"/>
          <w:sz w:val="24"/>
          <w:szCs w:val="24"/>
          <w:lang w:val="en-US"/>
        </w:rPr>
        <w:t>0000-0003-2503-7179)</w:t>
      </w:r>
      <w:r w:rsidR="00167733" w:rsidRPr="00CC34A3">
        <w:rPr>
          <w:rFonts w:ascii="Book Antiqua" w:eastAsia="Calibri" w:hAnsi="Book Antiqua" w:cs="Times New Roman"/>
          <w:color w:val="000000" w:themeColor="text1"/>
          <w:sz w:val="24"/>
          <w:szCs w:val="24"/>
          <w:lang w:val="en-US"/>
        </w:rPr>
        <w:t>;</w:t>
      </w:r>
      <w:r w:rsidRPr="00CC34A3">
        <w:rPr>
          <w:rFonts w:ascii="Book Antiqua" w:eastAsia="Calibri" w:hAnsi="Book Antiqua" w:cs="Times New Roman"/>
          <w:color w:val="000000" w:themeColor="text1"/>
          <w:sz w:val="24"/>
          <w:szCs w:val="24"/>
          <w:lang w:val="en-US"/>
        </w:rPr>
        <w:t xml:space="preserve"> Ivan </w:t>
      </w:r>
      <w:proofErr w:type="spellStart"/>
      <w:r w:rsidRPr="00CC34A3">
        <w:rPr>
          <w:rFonts w:ascii="Book Antiqua" w:eastAsia="Calibri" w:hAnsi="Book Antiqua" w:cs="Times New Roman"/>
          <w:color w:val="000000" w:themeColor="text1"/>
          <w:sz w:val="24"/>
          <w:szCs w:val="24"/>
          <w:lang w:val="en-US"/>
        </w:rPr>
        <w:t>Krezic</w:t>
      </w:r>
      <w:proofErr w:type="spellEnd"/>
      <w:r w:rsidRPr="00CC34A3">
        <w:rPr>
          <w:rFonts w:ascii="Book Antiqua" w:eastAsia="Calibri" w:hAnsi="Book Antiqua" w:cs="Times New Roman"/>
          <w:color w:val="000000" w:themeColor="text1"/>
          <w:sz w:val="24"/>
          <w:szCs w:val="24"/>
          <w:lang w:val="en-US"/>
        </w:rPr>
        <w:t xml:space="preserve"> (</w:t>
      </w:r>
      <w:hyperlink r:id="rId8" w:tgtFrame="_blank" w:history="1">
        <w:r w:rsidRPr="00CC34A3">
          <w:rPr>
            <w:rFonts w:ascii="Book Antiqua" w:hAnsi="Book Antiqua" w:cs="Times New Roman"/>
            <w:bCs/>
            <w:color w:val="000000" w:themeColor="text1"/>
            <w:sz w:val="24"/>
            <w:szCs w:val="24"/>
            <w:lang w:val="en-US"/>
          </w:rPr>
          <w:t>0000-0001-7994-5645</w:t>
        </w:r>
      </w:hyperlink>
      <w:r w:rsidRPr="00CC34A3">
        <w:rPr>
          <w:rFonts w:ascii="Book Antiqua" w:hAnsi="Book Antiqua" w:cs="Times New Roman"/>
          <w:bCs/>
          <w:color w:val="000000" w:themeColor="text1"/>
          <w:sz w:val="24"/>
          <w:szCs w:val="24"/>
          <w:lang w:val="en-US"/>
        </w:rPr>
        <w:t>)</w:t>
      </w:r>
      <w:r w:rsidR="0054073F" w:rsidRPr="00CC34A3">
        <w:rPr>
          <w:rFonts w:ascii="Book Antiqua" w:eastAsia="Calibri" w:hAnsi="Book Antiqua" w:cs="Times New Roman"/>
          <w:color w:val="000000" w:themeColor="text1"/>
          <w:sz w:val="24"/>
          <w:szCs w:val="24"/>
          <w:lang w:val="en-US"/>
        </w:rPr>
        <w:t>;</w:t>
      </w:r>
      <w:r w:rsidRPr="00CC34A3">
        <w:rPr>
          <w:rFonts w:ascii="Book Antiqua" w:eastAsia="Calibri" w:hAnsi="Book Antiqua" w:cs="Times New Roman"/>
          <w:color w:val="000000" w:themeColor="text1"/>
          <w:sz w:val="24"/>
          <w:szCs w:val="24"/>
          <w:lang w:val="en-US"/>
        </w:rPr>
        <w:t xml:space="preserve"> Hel</w:t>
      </w:r>
      <w:r w:rsidR="0054073F" w:rsidRPr="00CC34A3">
        <w:rPr>
          <w:rFonts w:ascii="Book Antiqua" w:eastAsia="Calibri" w:hAnsi="Book Antiqua" w:cs="Times New Roman"/>
          <w:color w:val="000000" w:themeColor="text1"/>
          <w:sz w:val="24"/>
          <w:szCs w:val="24"/>
          <w:lang w:val="en-US"/>
        </w:rPr>
        <w:t xml:space="preserve">ena </w:t>
      </w:r>
      <w:proofErr w:type="spellStart"/>
      <w:r w:rsidR="0054073F" w:rsidRPr="00CC34A3">
        <w:rPr>
          <w:rFonts w:ascii="Book Antiqua" w:eastAsia="Calibri" w:hAnsi="Book Antiqua" w:cs="Times New Roman"/>
          <w:color w:val="000000" w:themeColor="text1"/>
          <w:sz w:val="24"/>
          <w:szCs w:val="24"/>
          <w:lang w:val="en-US"/>
        </w:rPr>
        <w:t>Zizek</w:t>
      </w:r>
      <w:proofErr w:type="spellEnd"/>
      <w:r w:rsidR="0054073F" w:rsidRPr="00CC34A3">
        <w:rPr>
          <w:rFonts w:ascii="Book Antiqua" w:eastAsia="Calibri" w:hAnsi="Book Antiqua" w:cs="Times New Roman"/>
          <w:color w:val="000000" w:themeColor="text1"/>
          <w:sz w:val="24"/>
          <w:szCs w:val="24"/>
          <w:lang w:val="en-US"/>
        </w:rPr>
        <w:t xml:space="preserve"> (0000-0001-9863-4164);</w:t>
      </w:r>
      <w:r w:rsidRPr="00CC34A3">
        <w:rPr>
          <w:rFonts w:ascii="Book Antiqua" w:eastAsia="Calibri" w:hAnsi="Book Antiqua" w:cs="Times New Roman"/>
          <w:color w:val="000000" w:themeColor="text1"/>
          <w:sz w:val="24"/>
          <w:szCs w:val="24"/>
          <w:lang w:val="en-US"/>
        </w:rPr>
        <w:t xml:space="preserve"> Marina </w:t>
      </w:r>
      <w:proofErr w:type="spellStart"/>
      <w:r w:rsidRPr="00CC34A3">
        <w:rPr>
          <w:rFonts w:ascii="Book Antiqua" w:eastAsia="Calibri" w:hAnsi="Book Antiqua" w:cs="Times New Roman"/>
          <w:color w:val="000000" w:themeColor="text1"/>
          <w:sz w:val="24"/>
          <w:szCs w:val="24"/>
          <w:lang w:val="en-US"/>
        </w:rPr>
        <w:t>Peklic</w:t>
      </w:r>
      <w:proofErr w:type="spellEnd"/>
      <w:r w:rsidR="000C4BBE" w:rsidRPr="00CC34A3">
        <w:rPr>
          <w:rFonts w:ascii="Book Antiqua" w:eastAsia="Calibri" w:hAnsi="Book Antiqua" w:cs="Times New Roman"/>
          <w:color w:val="000000" w:themeColor="text1"/>
          <w:sz w:val="24"/>
          <w:szCs w:val="24"/>
          <w:lang w:val="en-US"/>
        </w:rPr>
        <w:t xml:space="preserve"> (</w:t>
      </w:r>
      <w:r w:rsidR="000C4BBE" w:rsidRPr="00CC34A3">
        <w:rPr>
          <w:rFonts w:ascii="Book Antiqua" w:hAnsi="Book Antiqua" w:cs="Times New Roman"/>
          <w:bCs/>
          <w:color w:val="000000" w:themeColor="text1"/>
          <w:sz w:val="24"/>
          <w:szCs w:val="24"/>
          <w:lang w:val="en-US"/>
        </w:rPr>
        <w:t>0000-0002-1232-3777)</w:t>
      </w:r>
      <w:r w:rsidR="0054073F" w:rsidRPr="00CC34A3">
        <w:rPr>
          <w:rFonts w:ascii="Book Antiqua" w:eastAsia="Calibri" w:hAnsi="Book Antiqua" w:cs="Times New Roman"/>
          <w:color w:val="000000" w:themeColor="text1"/>
          <w:sz w:val="24"/>
          <w:szCs w:val="24"/>
          <w:lang w:val="en-US"/>
        </w:rPr>
        <w:t>;</w:t>
      </w:r>
      <w:r w:rsidRPr="00CC34A3">
        <w:rPr>
          <w:rFonts w:ascii="Book Antiqua" w:eastAsia="Calibri" w:hAnsi="Book Antiqua" w:cs="Times New Roman"/>
          <w:color w:val="000000" w:themeColor="text1"/>
          <w:sz w:val="24"/>
          <w:szCs w:val="24"/>
          <w:lang w:val="en-US"/>
        </w:rPr>
        <w:t xml:space="preserve"> Robert </w:t>
      </w:r>
      <w:proofErr w:type="spellStart"/>
      <w:r w:rsidRPr="00CC34A3">
        <w:rPr>
          <w:rFonts w:ascii="Book Antiqua" w:eastAsia="Calibri" w:hAnsi="Book Antiqua" w:cs="Times New Roman"/>
          <w:color w:val="000000" w:themeColor="text1"/>
          <w:sz w:val="24"/>
          <w:szCs w:val="24"/>
          <w:lang w:val="en-US"/>
        </w:rPr>
        <w:t>Klicek</w:t>
      </w:r>
      <w:proofErr w:type="spellEnd"/>
      <w:r w:rsidR="000C4BBE" w:rsidRPr="00CC34A3">
        <w:rPr>
          <w:rFonts w:ascii="Book Antiqua" w:eastAsia="Calibri" w:hAnsi="Book Antiqua" w:cs="Times New Roman"/>
          <w:color w:val="000000" w:themeColor="text1"/>
          <w:sz w:val="24"/>
          <w:szCs w:val="24"/>
          <w:lang w:val="en-US"/>
        </w:rPr>
        <w:t xml:space="preserve"> (</w:t>
      </w:r>
      <w:r w:rsidR="000C4BBE" w:rsidRPr="00CC34A3">
        <w:rPr>
          <w:rFonts w:ascii="Book Antiqua" w:hAnsi="Book Antiqua" w:cs="Times New Roman"/>
          <w:color w:val="000000" w:themeColor="text1"/>
          <w:sz w:val="24"/>
          <w:szCs w:val="24"/>
          <w:lang w:val="en-US"/>
        </w:rPr>
        <w:t>0000-0001-5532-6989)</w:t>
      </w:r>
      <w:r w:rsidR="0054073F" w:rsidRPr="00CC34A3">
        <w:rPr>
          <w:rFonts w:ascii="Book Antiqua" w:eastAsia="Calibri" w:hAnsi="Book Antiqua" w:cs="Times New Roman"/>
          <w:color w:val="000000" w:themeColor="text1"/>
          <w:sz w:val="24"/>
          <w:szCs w:val="24"/>
          <w:lang w:val="en-US"/>
        </w:rPr>
        <w:t>;</w:t>
      </w:r>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Alen</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Pajtak</w:t>
      </w:r>
      <w:proofErr w:type="spellEnd"/>
      <w:r w:rsidR="000C4BBE" w:rsidRPr="00CC34A3">
        <w:rPr>
          <w:rFonts w:ascii="Book Antiqua" w:eastAsia="Calibri" w:hAnsi="Book Antiqua" w:cs="Times New Roman"/>
          <w:color w:val="000000" w:themeColor="text1"/>
          <w:sz w:val="24"/>
          <w:szCs w:val="24"/>
          <w:lang w:val="en-US"/>
        </w:rPr>
        <w:t xml:space="preserve"> (</w:t>
      </w:r>
      <w:r w:rsidR="000C4BBE" w:rsidRPr="00CC34A3">
        <w:rPr>
          <w:rFonts w:ascii="Book Antiqua" w:hAnsi="Book Antiqua" w:cs="Times New Roman"/>
          <w:bCs/>
          <w:color w:val="000000" w:themeColor="text1"/>
          <w:sz w:val="24"/>
          <w:szCs w:val="24"/>
          <w:lang w:val="en-US"/>
        </w:rPr>
        <w:t>0000-0002-7217-7425)</w:t>
      </w:r>
      <w:r w:rsidR="0054073F" w:rsidRPr="00CC34A3">
        <w:rPr>
          <w:rFonts w:ascii="Book Antiqua" w:eastAsia="Calibri" w:hAnsi="Book Antiqua" w:cs="Times New Roman"/>
          <w:color w:val="000000" w:themeColor="text1"/>
          <w:sz w:val="24"/>
          <w:szCs w:val="24"/>
          <w:lang w:val="en-US"/>
        </w:rPr>
        <w:t>;</w:t>
      </w:r>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Enio</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Amic</w:t>
      </w:r>
      <w:proofErr w:type="spellEnd"/>
      <w:r w:rsidR="000C4BBE" w:rsidRPr="00CC34A3">
        <w:rPr>
          <w:rFonts w:ascii="Book Antiqua" w:eastAsia="Calibri" w:hAnsi="Book Antiqua" w:cs="Times New Roman"/>
          <w:color w:val="000000" w:themeColor="text1"/>
          <w:sz w:val="24"/>
          <w:szCs w:val="24"/>
          <w:lang w:val="en-US"/>
        </w:rPr>
        <w:t xml:space="preserve"> (</w:t>
      </w:r>
      <w:r w:rsidR="000C4BBE" w:rsidRPr="00CC34A3">
        <w:rPr>
          <w:rFonts w:ascii="Book Antiqua" w:hAnsi="Book Antiqua" w:cs="Times New Roman"/>
          <w:color w:val="000000" w:themeColor="text1"/>
          <w:sz w:val="24"/>
          <w:szCs w:val="24"/>
          <w:lang w:val="en-US"/>
        </w:rPr>
        <w:t>0000-0003-0331-7962)</w:t>
      </w:r>
      <w:r w:rsidR="0054073F" w:rsidRPr="00CC34A3">
        <w:rPr>
          <w:rFonts w:ascii="Book Antiqua" w:eastAsia="Calibri" w:hAnsi="Book Antiqua" w:cs="Times New Roman"/>
          <w:color w:val="000000" w:themeColor="text1"/>
          <w:sz w:val="24"/>
          <w:szCs w:val="24"/>
          <w:lang w:val="en-US"/>
        </w:rPr>
        <w:t>;</w:t>
      </w:r>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Tinka</w:t>
      </w:r>
      <w:proofErr w:type="spellEnd"/>
      <w:r w:rsidRPr="00CC34A3">
        <w:rPr>
          <w:rFonts w:ascii="Book Antiqua" w:eastAsia="Calibri" w:hAnsi="Book Antiqua" w:cs="Times New Roman"/>
          <w:color w:val="000000" w:themeColor="text1"/>
          <w:sz w:val="24"/>
          <w:szCs w:val="24"/>
          <w:lang w:val="en-US"/>
        </w:rPr>
        <w:t xml:space="preserve"> Vidovic</w:t>
      </w:r>
      <w:r w:rsidR="000C4BBE" w:rsidRPr="00CC34A3">
        <w:rPr>
          <w:rFonts w:ascii="Book Antiqua" w:eastAsia="Calibri" w:hAnsi="Book Antiqua" w:cs="Times New Roman"/>
          <w:color w:val="000000" w:themeColor="text1"/>
          <w:sz w:val="24"/>
          <w:szCs w:val="24"/>
          <w:lang w:val="en-US"/>
        </w:rPr>
        <w:t xml:space="preserve"> (0000-0003-0092-9365)</w:t>
      </w:r>
      <w:r w:rsidR="0054073F" w:rsidRPr="00CC34A3">
        <w:rPr>
          <w:rFonts w:ascii="Book Antiqua" w:eastAsia="Calibri" w:hAnsi="Book Antiqua" w:cs="Times New Roman"/>
          <w:color w:val="000000" w:themeColor="text1"/>
          <w:sz w:val="24"/>
          <w:szCs w:val="24"/>
          <w:lang w:val="en-US"/>
        </w:rPr>
        <w:t>;</w:t>
      </w:r>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Mislav</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Rakic</w:t>
      </w:r>
      <w:proofErr w:type="spellEnd"/>
      <w:r w:rsidR="000C4BBE" w:rsidRPr="00CC34A3">
        <w:rPr>
          <w:rFonts w:ascii="Book Antiqua" w:eastAsia="Calibri" w:hAnsi="Book Antiqua" w:cs="Times New Roman"/>
          <w:color w:val="000000" w:themeColor="text1"/>
          <w:sz w:val="24"/>
          <w:szCs w:val="24"/>
          <w:lang w:val="en-US"/>
        </w:rPr>
        <w:t xml:space="preserve"> (</w:t>
      </w:r>
      <w:r w:rsidR="000C4BBE" w:rsidRPr="00CC34A3">
        <w:rPr>
          <w:rFonts w:ascii="Book Antiqua" w:hAnsi="Book Antiqua" w:cs="Times New Roman"/>
          <w:bCs/>
          <w:color w:val="000000" w:themeColor="text1"/>
          <w:sz w:val="24"/>
          <w:szCs w:val="24"/>
          <w:lang w:val="en-US"/>
        </w:rPr>
        <w:t>0000-0003-3367-</w:t>
      </w:r>
      <w:r w:rsidR="000C4BBE" w:rsidRPr="00CC34A3">
        <w:rPr>
          <w:rFonts w:ascii="Book Antiqua" w:hAnsi="Book Antiqua" w:cs="Times New Roman"/>
          <w:bCs/>
          <w:color w:val="000000" w:themeColor="text1"/>
          <w:sz w:val="24"/>
          <w:szCs w:val="24"/>
          <w:lang w:val="en-US"/>
        </w:rPr>
        <w:lastRenderedPageBreak/>
        <w:t>6739)</w:t>
      </w:r>
      <w:r w:rsidR="0054073F" w:rsidRPr="00CC34A3">
        <w:rPr>
          <w:rFonts w:ascii="Book Antiqua" w:eastAsia="Calibri" w:hAnsi="Book Antiqua" w:cs="Times New Roman"/>
          <w:color w:val="000000" w:themeColor="text1"/>
          <w:sz w:val="24"/>
          <w:szCs w:val="24"/>
          <w:lang w:val="en-US"/>
        </w:rPr>
        <w:t>;</w:t>
      </w:r>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Marija</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Milkovic</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Perisa</w:t>
      </w:r>
      <w:proofErr w:type="spellEnd"/>
      <w:r w:rsidR="000C4BBE" w:rsidRPr="00CC34A3">
        <w:rPr>
          <w:rFonts w:ascii="Book Antiqua" w:eastAsia="Calibri" w:hAnsi="Book Antiqua" w:cs="Times New Roman"/>
          <w:color w:val="000000" w:themeColor="text1"/>
          <w:sz w:val="24"/>
          <w:szCs w:val="24"/>
          <w:lang w:val="en-US"/>
        </w:rPr>
        <w:t xml:space="preserve"> (</w:t>
      </w:r>
      <w:r w:rsidR="000C4BBE" w:rsidRPr="00CC34A3">
        <w:rPr>
          <w:rFonts w:ascii="Book Antiqua" w:hAnsi="Book Antiqua" w:cs="Times New Roman"/>
          <w:color w:val="000000" w:themeColor="text1"/>
          <w:sz w:val="24"/>
          <w:szCs w:val="24"/>
          <w:lang w:val="en-US"/>
        </w:rPr>
        <w:t>0000-0002-9530-9208</w:t>
      </w:r>
      <w:r w:rsidR="000C4BBE" w:rsidRPr="00CC34A3">
        <w:rPr>
          <w:rFonts w:ascii="Book Antiqua" w:eastAsia="Calibri" w:hAnsi="Book Antiqua" w:cs="Times New Roman"/>
          <w:color w:val="000000" w:themeColor="text1"/>
          <w:sz w:val="24"/>
          <w:szCs w:val="24"/>
          <w:lang w:val="en-US"/>
        </w:rPr>
        <w:t>)</w:t>
      </w:r>
      <w:r w:rsidR="0054073F" w:rsidRPr="00CC34A3">
        <w:rPr>
          <w:rFonts w:ascii="Book Antiqua" w:eastAsia="Calibri" w:hAnsi="Book Antiqua" w:cs="Times New Roman"/>
          <w:color w:val="000000" w:themeColor="text1"/>
          <w:sz w:val="24"/>
          <w:szCs w:val="24"/>
          <w:lang w:val="en-US"/>
        </w:rPr>
        <w:t>;</w:t>
      </w:r>
      <w:r w:rsidRPr="00CC34A3">
        <w:rPr>
          <w:rFonts w:ascii="Book Antiqua" w:eastAsia="Calibri" w:hAnsi="Book Antiqua" w:cs="Times New Roman"/>
          <w:color w:val="000000" w:themeColor="text1"/>
          <w:sz w:val="24"/>
          <w:szCs w:val="24"/>
          <w:lang w:val="en-US"/>
        </w:rPr>
        <w:t xml:space="preserve"> Katarina Horvat Pavlov</w:t>
      </w:r>
      <w:r w:rsidR="000C4BBE" w:rsidRPr="00CC34A3">
        <w:rPr>
          <w:rFonts w:ascii="Book Antiqua" w:eastAsia="Calibri" w:hAnsi="Book Antiqua" w:cs="Times New Roman"/>
          <w:color w:val="000000" w:themeColor="text1"/>
          <w:sz w:val="24"/>
          <w:szCs w:val="24"/>
          <w:lang w:val="en-US"/>
        </w:rPr>
        <w:t xml:space="preserve"> (</w:t>
      </w:r>
      <w:r w:rsidR="000C4BBE" w:rsidRPr="00CC34A3">
        <w:rPr>
          <w:rFonts w:ascii="Book Antiqua" w:hAnsi="Book Antiqua" w:cs="Times New Roman"/>
          <w:color w:val="000000" w:themeColor="text1"/>
          <w:sz w:val="24"/>
          <w:szCs w:val="24"/>
          <w:lang w:val="en-US"/>
        </w:rPr>
        <w:t>0000-0002-2661-7346)</w:t>
      </w:r>
      <w:r w:rsidR="0054073F" w:rsidRPr="00CC34A3">
        <w:rPr>
          <w:rFonts w:ascii="Book Antiqua" w:eastAsia="Calibri" w:hAnsi="Book Antiqua" w:cs="Times New Roman"/>
          <w:color w:val="000000" w:themeColor="text1"/>
          <w:sz w:val="24"/>
          <w:szCs w:val="24"/>
          <w:lang w:val="en-US"/>
        </w:rPr>
        <w:t>;</w:t>
      </w:r>
      <w:r w:rsidRPr="00CC34A3">
        <w:rPr>
          <w:rFonts w:ascii="Book Antiqua" w:eastAsia="Calibri" w:hAnsi="Book Antiqua" w:cs="Times New Roman"/>
          <w:color w:val="000000" w:themeColor="text1"/>
          <w:sz w:val="24"/>
          <w:szCs w:val="24"/>
          <w:lang w:val="en-US"/>
        </w:rPr>
        <w:t xml:space="preserve"> Antonio </w:t>
      </w:r>
      <w:proofErr w:type="spellStart"/>
      <w:r w:rsidRPr="00CC34A3">
        <w:rPr>
          <w:rFonts w:ascii="Book Antiqua" w:eastAsia="Calibri" w:hAnsi="Book Antiqua" w:cs="Times New Roman"/>
          <w:color w:val="000000" w:themeColor="text1"/>
          <w:sz w:val="24"/>
          <w:szCs w:val="24"/>
          <w:lang w:val="en-US"/>
        </w:rPr>
        <w:t>Kokot</w:t>
      </w:r>
      <w:proofErr w:type="spellEnd"/>
      <w:r w:rsidR="000C4BBE" w:rsidRPr="00CC34A3">
        <w:rPr>
          <w:rFonts w:ascii="Book Antiqua" w:eastAsia="Calibri" w:hAnsi="Book Antiqua" w:cs="Times New Roman"/>
          <w:color w:val="000000" w:themeColor="text1"/>
          <w:sz w:val="24"/>
          <w:szCs w:val="24"/>
          <w:lang w:val="en-US"/>
        </w:rPr>
        <w:t xml:space="preserve"> (</w:t>
      </w:r>
      <w:r w:rsidR="000C4BBE" w:rsidRPr="00CC34A3">
        <w:rPr>
          <w:rFonts w:ascii="Book Antiqua" w:hAnsi="Book Antiqua" w:cs="Times New Roman"/>
          <w:color w:val="000000" w:themeColor="text1"/>
          <w:sz w:val="24"/>
          <w:szCs w:val="24"/>
          <w:lang w:val="en-US"/>
        </w:rPr>
        <w:t>0000-0002-4836-7536)</w:t>
      </w:r>
      <w:r w:rsidR="0054073F" w:rsidRPr="00CC34A3">
        <w:rPr>
          <w:rFonts w:ascii="Book Antiqua" w:eastAsia="Calibri" w:hAnsi="Book Antiqua" w:cs="Times New Roman"/>
          <w:color w:val="000000" w:themeColor="text1"/>
          <w:sz w:val="24"/>
          <w:szCs w:val="24"/>
          <w:lang w:val="en-US"/>
        </w:rPr>
        <w:t>;</w:t>
      </w:r>
      <w:r w:rsidRPr="00CC34A3">
        <w:rPr>
          <w:rFonts w:ascii="Book Antiqua" w:eastAsia="Calibri" w:hAnsi="Book Antiqua" w:cs="Times New Roman"/>
          <w:color w:val="000000" w:themeColor="text1"/>
          <w:sz w:val="24"/>
          <w:szCs w:val="24"/>
          <w:lang w:val="en-US"/>
        </w:rPr>
        <w:t xml:space="preserve"> Ante </w:t>
      </w:r>
      <w:proofErr w:type="spellStart"/>
      <w:r w:rsidRPr="00CC34A3">
        <w:rPr>
          <w:rFonts w:ascii="Book Antiqua" w:eastAsia="Calibri" w:hAnsi="Book Antiqua" w:cs="Times New Roman"/>
          <w:color w:val="000000" w:themeColor="text1"/>
          <w:sz w:val="24"/>
          <w:szCs w:val="24"/>
          <w:lang w:val="en-US"/>
        </w:rPr>
        <w:t>Tvrdeic</w:t>
      </w:r>
      <w:proofErr w:type="spellEnd"/>
      <w:r w:rsidR="000C4BBE" w:rsidRPr="00CC34A3">
        <w:rPr>
          <w:rFonts w:ascii="Book Antiqua" w:eastAsia="Calibri" w:hAnsi="Book Antiqua" w:cs="Times New Roman"/>
          <w:color w:val="000000" w:themeColor="text1"/>
          <w:sz w:val="24"/>
          <w:szCs w:val="24"/>
          <w:lang w:val="en-US"/>
        </w:rPr>
        <w:t xml:space="preserve"> (0000-0002-8881-2278)</w:t>
      </w:r>
      <w:r w:rsidR="0054073F" w:rsidRPr="00CC34A3">
        <w:rPr>
          <w:rFonts w:ascii="Book Antiqua" w:eastAsia="Calibri" w:hAnsi="Book Antiqua" w:cs="Times New Roman"/>
          <w:color w:val="000000" w:themeColor="text1"/>
          <w:sz w:val="24"/>
          <w:szCs w:val="24"/>
          <w:lang w:val="en-US"/>
        </w:rPr>
        <w:t>;</w:t>
      </w:r>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Alenka</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Boban</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Blagaic</w:t>
      </w:r>
      <w:proofErr w:type="spellEnd"/>
      <w:r w:rsidR="000C4BBE" w:rsidRPr="00CC34A3">
        <w:rPr>
          <w:rFonts w:ascii="Book Antiqua" w:eastAsia="Calibri" w:hAnsi="Book Antiqua" w:cs="Times New Roman"/>
          <w:color w:val="000000" w:themeColor="text1"/>
          <w:sz w:val="24"/>
          <w:szCs w:val="24"/>
          <w:lang w:val="en-US"/>
        </w:rPr>
        <w:t xml:space="preserve"> (0000-0003-1266-3402)</w:t>
      </w:r>
      <w:r w:rsidR="0054073F" w:rsidRPr="00CC34A3">
        <w:rPr>
          <w:rFonts w:ascii="Book Antiqua" w:eastAsia="Calibri" w:hAnsi="Book Antiqua" w:cs="Times New Roman"/>
          <w:color w:val="000000" w:themeColor="text1"/>
          <w:sz w:val="24"/>
          <w:szCs w:val="24"/>
          <w:lang w:val="en-US"/>
        </w:rPr>
        <w:t>;</w:t>
      </w:r>
      <w:r w:rsidRPr="00CC34A3">
        <w:rPr>
          <w:rFonts w:ascii="Book Antiqua" w:eastAsia="Calibri" w:hAnsi="Book Antiqua" w:cs="Times New Roman"/>
          <w:color w:val="000000" w:themeColor="text1"/>
          <w:sz w:val="24"/>
          <w:szCs w:val="24"/>
          <w:lang w:val="en-US"/>
        </w:rPr>
        <w:t xml:space="preserve"> Mario </w:t>
      </w:r>
      <w:proofErr w:type="spellStart"/>
      <w:r w:rsidRPr="00CC34A3">
        <w:rPr>
          <w:rFonts w:ascii="Book Antiqua" w:eastAsia="Calibri" w:hAnsi="Book Antiqua" w:cs="Times New Roman"/>
          <w:color w:val="000000" w:themeColor="text1"/>
          <w:sz w:val="24"/>
          <w:szCs w:val="24"/>
          <w:lang w:val="en-US"/>
        </w:rPr>
        <w:t>Zovak</w:t>
      </w:r>
      <w:proofErr w:type="spellEnd"/>
      <w:r w:rsidR="000C4BBE" w:rsidRPr="00CC34A3">
        <w:rPr>
          <w:rFonts w:ascii="Book Antiqua" w:eastAsia="Calibri" w:hAnsi="Book Antiqua" w:cs="Times New Roman"/>
          <w:color w:val="000000" w:themeColor="text1"/>
          <w:sz w:val="24"/>
          <w:szCs w:val="24"/>
          <w:lang w:val="en-US"/>
        </w:rPr>
        <w:t xml:space="preserve"> (0000-0002-8603-5022)</w:t>
      </w:r>
      <w:r w:rsidR="0054073F" w:rsidRPr="00CC34A3">
        <w:rPr>
          <w:rFonts w:ascii="Book Antiqua" w:eastAsia="Calibri" w:hAnsi="Book Antiqua" w:cs="Times New Roman"/>
          <w:color w:val="000000" w:themeColor="text1"/>
          <w:sz w:val="24"/>
          <w:szCs w:val="24"/>
          <w:lang w:val="en-US"/>
        </w:rPr>
        <w:t>;</w:t>
      </w:r>
      <w:r w:rsidRPr="00CC34A3">
        <w:rPr>
          <w:rFonts w:ascii="Book Antiqua" w:eastAsia="Calibri" w:hAnsi="Book Antiqua" w:cs="Times New Roman"/>
          <w:color w:val="000000" w:themeColor="text1"/>
          <w:sz w:val="24"/>
          <w:szCs w:val="24"/>
          <w:lang w:val="en-US"/>
        </w:rPr>
        <w:t xml:space="preserve"> Sven </w:t>
      </w:r>
      <w:proofErr w:type="spellStart"/>
      <w:r w:rsidRPr="00CC34A3">
        <w:rPr>
          <w:rFonts w:ascii="Book Antiqua" w:eastAsia="Calibri" w:hAnsi="Book Antiqua" w:cs="Times New Roman"/>
          <w:color w:val="000000" w:themeColor="text1"/>
          <w:sz w:val="24"/>
          <w:szCs w:val="24"/>
          <w:lang w:val="en-US"/>
        </w:rPr>
        <w:t>Seiwerth</w:t>
      </w:r>
      <w:proofErr w:type="spellEnd"/>
      <w:r w:rsidR="0054073F" w:rsidRPr="00CC34A3">
        <w:rPr>
          <w:rFonts w:ascii="Book Antiqua" w:eastAsia="Calibri" w:hAnsi="Book Antiqua" w:cs="Times New Roman"/>
          <w:color w:val="000000" w:themeColor="text1"/>
          <w:sz w:val="24"/>
          <w:szCs w:val="24"/>
          <w:lang w:val="en-US"/>
        </w:rPr>
        <w:t xml:space="preserve"> (0000-0002-5894-419X);</w:t>
      </w:r>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Predrag</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Sikiric</w:t>
      </w:r>
      <w:proofErr w:type="spellEnd"/>
      <w:r w:rsidR="000C4BBE" w:rsidRPr="00CC34A3">
        <w:rPr>
          <w:rFonts w:ascii="Book Antiqua" w:eastAsia="Calibri" w:hAnsi="Book Antiqua" w:cs="Times New Roman"/>
          <w:color w:val="000000" w:themeColor="text1"/>
          <w:sz w:val="24"/>
          <w:szCs w:val="24"/>
          <w:lang w:val="en-US"/>
        </w:rPr>
        <w:t xml:space="preserve"> (0000-0002-7952-2252)</w:t>
      </w:r>
      <w:r w:rsidR="0054073F" w:rsidRPr="00CC34A3">
        <w:rPr>
          <w:rFonts w:ascii="Book Antiqua" w:eastAsia="Calibri" w:hAnsi="Book Antiqua" w:cs="Times New Roman"/>
          <w:color w:val="000000" w:themeColor="text1"/>
          <w:sz w:val="24"/>
          <w:szCs w:val="24"/>
          <w:lang w:val="en-US"/>
        </w:rPr>
        <w:t>.</w:t>
      </w:r>
    </w:p>
    <w:p w14:paraId="5A479915" w14:textId="77777777" w:rsidR="007B1B99" w:rsidRPr="00CC34A3" w:rsidRDefault="007B1B99" w:rsidP="00CC34A3">
      <w:pPr>
        <w:adjustRightInd w:val="0"/>
        <w:snapToGrid w:val="0"/>
        <w:spacing w:after="0" w:line="360" w:lineRule="auto"/>
        <w:jc w:val="both"/>
        <w:rPr>
          <w:rFonts w:ascii="Book Antiqua" w:eastAsia="Calibri" w:hAnsi="Book Antiqua" w:cs="Times New Roman"/>
          <w:color w:val="000000" w:themeColor="text1"/>
          <w:sz w:val="24"/>
          <w:szCs w:val="24"/>
          <w:lang w:val="en-US"/>
        </w:rPr>
      </w:pPr>
    </w:p>
    <w:p w14:paraId="123BCDA0" w14:textId="0DE60223" w:rsidR="006E2B0A" w:rsidRPr="00CC34A3" w:rsidRDefault="006E2B0A" w:rsidP="00CC34A3">
      <w:pPr>
        <w:adjustRightInd w:val="0"/>
        <w:snapToGrid w:val="0"/>
        <w:spacing w:after="0" w:line="360" w:lineRule="auto"/>
        <w:jc w:val="both"/>
        <w:rPr>
          <w:rFonts w:ascii="Book Antiqua" w:eastAsia="Calibri" w:hAnsi="Book Antiqua" w:cs="Times New Roman"/>
          <w:b/>
          <w:color w:val="000000" w:themeColor="text1"/>
          <w:sz w:val="24"/>
          <w:szCs w:val="24"/>
          <w:lang w:val="en-US"/>
        </w:rPr>
      </w:pPr>
      <w:r w:rsidRPr="00CC34A3">
        <w:rPr>
          <w:rFonts w:ascii="Book Antiqua" w:eastAsia="Calibri" w:hAnsi="Book Antiqua" w:cs="Times New Roman"/>
          <w:b/>
          <w:color w:val="000000" w:themeColor="text1"/>
          <w:sz w:val="24"/>
          <w:szCs w:val="24"/>
          <w:lang w:val="en-US"/>
        </w:rPr>
        <w:t>Author contribution</w:t>
      </w:r>
      <w:r w:rsidR="0054073F" w:rsidRPr="00CC34A3">
        <w:rPr>
          <w:rFonts w:ascii="Book Antiqua" w:eastAsia="Calibri" w:hAnsi="Book Antiqua" w:cs="Times New Roman"/>
          <w:b/>
          <w:color w:val="000000" w:themeColor="text1"/>
          <w:sz w:val="24"/>
          <w:szCs w:val="24"/>
          <w:lang w:val="en-US"/>
        </w:rPr>
        <w:t>s</w:t>
      </w:r>
      <w:r w:rsidRPr="00CC34A3">
        <w:rPr>
          <w:rFonts w:ascii="Book Antiqua" w:eastAsia="Calibri" w:hAnsi="Book Antiqua" w:cs="Times New Roman"/>
          <w:b/>
          <w:color w:val="000000" w:themeColor="text1"/>
          <w:sz w:val="24"/>
          <w:szCs w:val="24"/>
          <w:lang w:val="en-US"/>
        </w:rPr>
        <w:t>:</w:t>
      </w:r>
      <w:r w:rsidR="0054073F"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Amic</w:t>
      </w:r>
      <w:proofErr w:type="spellEnd"/>
      <w:r w:rsidRPr="00CC34A3">
        <w:rPr>
          <w:rFonts w:ascii="Book Antiqua" w:eastAsia="Calibri" w:hAnsi="Book Antiqua" w:cs="Times New Roman"/>
          <w:color w:val="000000" w:themeColor="text1"/>
          <w:sz w:val="24"/>
          <w:szCs w:val="24"/>
          <w:lang w:val="en-US"/>
        </w:rPr>
        <w:t xml:space="preserve"> F, Drmic D, </w:t>
      </w:r>
      <w:proofErr w:type="spellStart"/>
      <w:r w:rsidRPr="00CC34A3">
        <w:rPr>
          <w:rFonts w:ascii="Book Antiqua" w:eastAsia="Calibri" w:hAnsi="Book Antiqua" w:cs="Times New Roman"/>
          <w:color w:val="000000" w:themeColor="text1"/>
          <w:sz w:val="24"/>
          <w:szCs w:val="24"/>
          <w:lang w:val="en-US"/>
        </w:rPr>
        <w:t>Bilic</w:t>
      </w:r>
      <w:proofErr w:type="spellEnd"/>
      <w:r w:rsidRPr="00CC34A3">
        <w:rPr>
          <w:rFonts w:ascii="Book Antiqua" w:eastAsia="Calibri" w:hAnsi="Book Antiqua" w:cs="Times New Roman"/>
          <w:color w:val="000000" w:themeColor="text1"/>
          <w:sz w:val="24"/>
          <w:szCs w:val="24"/>
          <w:lang w:val="en-US"/>
        </w:rPr>
        <w:t xml:space="preserve"> Z, </w:t>
      </w:r>
      <w:proofErr w:type="spellStart"/>
      <w:r w:rsidRPr="00CC34A3">
        <w:rPr>
          <w:rFonts w:ascii="Book Antiqua" w:eastAsia="Calibri" w:hAnsi="Book Antiqua" w:cs="Times New Roman"/>
          <w:color w:val="000000" w:themeColor="text1"/>
          <w:sz w:val="24"/>
          <w:szCs w:val="24"/>
          <w:lang w:val="en-US"/>
        </w:rPr>
        <w:t>Krezic</w:t>
      </w:r>
      <w:proofErr w:type="spellEnd"/>
      <w:r w:rsidRPr="00CC34A3">
        <w:rPr>
          <w:rFonts w:ascii="Book Antiqua" w:eastAsia="Calibri" w:hAnsi="Book Antiqua" w:cs="Times New Roman"/>
          <w:color w:val="000000" w:themeColor="text1"/>
          <w:sz w:val="24"/>
          <w:szCs w:val="24"/>
          <w:lang w:val="en-US"/>
        </w:rPr>
        <w:t xml:space="preserve"> I, </w:t>
      </w:r>
      <w:proofErr w:type="spellStart"/>
      <w:r w:rsidRPr="00CC34A3">
        <w:rPr>
          <w:rFonts w:ascii="Book Antiqua" w:eastAsia="Calibri" w:hAnsi="Book Antiqua" w:cs="Times New Roman"/>
          <w:color w:val="000000" w:themeColor="text1"/>
          <w:sz w:val="24"/>
          <w:szCs w:val="24"/>
          <w:lang w:val="en-US"/>
        </w:rPr>
        <w:t>Zizek</w:t>
      </w:r>
      <w:proofErr w:type="spellEnd"/>
      <w:r w:rsidRPr="00CC34A3">
        <w:rPr>
          <w:rFonts w:ascii="Book Antiqua" w:eastAsia="Calibri" w:hAnsi="Book Antiqua" w:cs="Times New Roman"/>
          <w:color w:val="000000" w:themeColor="text1"/>
          <w:sz w:val="24"/>
          <w:szCs w:val="24"/>
          <w:lang w:val="en-US"/>
        </w:rPr>
        <w:t xml:space="preserve"> H, </w:t>
      </w:r>
      <w:proofErr w:type="spellStart"/>
      <w:r w:rsidRPr="00CC34A3">
        <w:rPr>
          <w:rFonts w:ascii="Book Antiqua" w:eastAsia="Calibri" w:hAnsi="Book Antiqua" w:cs="Times New Roman"/>
          <w:color w:val="000000" w:themeColor="text1"/>
          <w:sz w:val="24"/>
          <w:szCs w:val="24"/>
          <w:lang w:val="en-US"/>
        </w:rPr>
        <w:t>Peklic</w:t>
      </w:r>
      <w:proofErr w:type="spellEnd"/>
      <w:r w:rsidRPr="00CC34A3">
        <w:rPr>
          <w:rFonts w:ascii="Book Antiqua" w:eastAsia="Calibri" w:hAnsi="Book Antiqua" w:cs="Times New Roman"/>
          <w:color w:val="000000" w:themeColor="text1"/>
          <w:sz w:val="24"/>
          <w:szCs w:val="24"/>
          <w:lang w:val="en-US"/>
        </w:rPr>
        <w:t xml:space="preserve"> M, </w:t>
      </w:r>
      <w:proofErr w:type="spellStart"/>
      <w:r w:rsidRPr="00CC34A3">
        <w:rPr>
          <w:rFonts w:ascii="Book Antiqua" w:eastAsia="Calibri" w:hAnsi="Book Antiqua" w:cs="Times New Roman"/>
          <w:color w:val="000000" w:themeColor="text1"/>
          <w:sz w:val="24"/>
          <w:szCs w:val="24"/>
          <w:lang w:val="en-US"/>
        </w:rPr>
        <w:t>Klicek</w:t>
      </w:r>
      <w:proofErr w:type="spellEnd"/>
      <w:r w:rsidRPr="00CC34A3">
        <w:rPr>
          <w:rFonts w:ascii="Book Antiqua" w:eastAsia="Calibri" w:hAnsi="Book Antiqua" w:cs="Times New Roman"/>
          <w:color w:val="000000" w:themeColor="text1"/>
          <w:sz w:val="24"/>
          <w:szCs w:val="24"/>
          <w:lang w:val="en-US"/>
        </w:rPr>
        <w:t xml:space="preserve"> R, </w:t>
      </w:r>
      <w:proofErr w:type="spellStart"/>
      <w:r w:rsidRPr="00CC34A3">
        <w:rPr>
          <w:rFonts w:ascii="Book Antiqua" w:eastAsia="Calibri" w:hAnsi="Book Antiqua" w:cs="Times New Roman"/>
          <w:color w:val="000000" w:themeColor="text1"/>
          <w:sz w:val="24"/>
          <w:szCs w:val="24"/>
          <w:lang w:val="en-US"/>
        </w:rPr>
        <w:t>Pajtak</w:t>
      </w:r>
      <w:proofErr w:type="spellEnd"/>
      <w:r w:rsidRPr="00CC34A3">
        <w:rPr>
          <w:rFonts w:ascii="Book Antiqua" w:eastAsia="Calibri" w:hAnsi="Book Antiqua" w:cs="Times New Roman"/>
          <w:color w:val="000000" w:themeColor="text1"/>
          <w:sz w:val="24"/>
          <w:szCs w:val="24"/>
          <w:lang w:val="en-US"/>
        </w:rPr>
        <w:t xml:space="preserve"> A, </w:t>
      </w:r>
      <w:proofErr w:type="spellStart"/>
      <w:r w:rsidRPr="00CC34A3">
        <w:rPr>
          <w:rFonts w:ascii="Book Antiqua" w:eastAsia="Calibri" w:hAnsi="Book Antiqua" w:cs="Times New Roman"/>
          <w:color w:val="000000" w:themeColor="text1"/>
          <w:sz w:val="24"/>
          <w:szCs w:val="24"/>
          <w:lang w:val="en-US"/>
        </w:rPr>
        <w:t>Amic</w:t>
      </w:r>
      <w:proofErr w:type="spellEnd"/>
      <w:r w:rsidRPr="00CC34A3">
        <w:rPr>
          <w:rFonts w:ascii="Book Antiqua" w:eastAsia="Calibri" w:hAnsi="Book Antiqua" w:cs="Times New Roman"/>
          <w:color w:val="000000" w:themeColor="text1"/>
          <w:sz w:val="24"/>
          <w:szCs w:val="24"/>
          <w:lang w:val="en-US"/>
        </w:rPr>
        <w:t xml:space="preserve"> E, Vidovic T, </w:t>
      </w:r>
      <w:proofErr w:type="spellStart"/>
      <w:r w:rsidRPr="00CC34A3">
        <w:rPr>
          <w:rFonts w:ascii="Book Antiqua" w:eastAsia="Calibri" w:hAnsi="Book Antiqua" w:cs="Times New Roman"/>
          <w:color w:val="000000" w:themeColor="text1"/>
          <w:sz w:val="24"/>
          <w:szCs w:val="24"/>
          <w:lang w:val="en-US"/>
        </w:rPr>
        <w:t>Rakic</w:t>
      </w:r>
      <w:proofErr w:type="spellEnd"/>
      <w:r w:rsidRPr="00CC34A3">
        <w:rPr>
          <w:rFonts w:ascii="Book Antiqua" w:eastAsia="Calibri" w:hAnsi="Book Antiqua" w:cs="Times New Roman"/>
          <w:color w:val="000000" w:themeColor="text1"/>
          <w:sz w:val="24"/>
          <w:szCs w:val="24"/>
          <w:lang w:val="en-US"/>
        </w:rPr>
        <w:t xml:space="preserve"> M, </w:t>
      </w:r>
      <w:proofErr w:type="spellStart"/>
      <w:r w:rsidRPr="00CC34A3">
        <w:rPr>
          <w:rFonts w:ascii="Book Antiqua" w:eastAsia="Calibri" w:hAnsi="Book Antiqua" w:cs="Times New Roman"/>
          <w:color w:val="000000" w:themeColor="text1"/>
          <w:sz w:val="24"/>
          <w:szCs w:val="24"/>
          <w:lang w:val="en-US"/>
        </w:rPr>
        <w:t>Milkovic</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Perisa</w:t>
      </w:r>
      <w:proofErr w:type="spellEnd"/>
      <w:r w:rsidRPr="00CC34A3">
        <w:rPr>
          <w:rFonts w:ascii="Book Antiqua" w:eastAsia="Calibri" w:hAnsi="Book Antiqua" w:cs="Times New Roman"/>
          <w:color w:val="000000" w:themeColor="text1"/>
          <w:sz w:val="24"/>
          <w:szCs w:val="24"/>
          <w:lang w:val="en-US"/>
        </w:rPr>
        <w:t xml:space="preserve"> M, Horvat Pavlov K, </w:t>
      </w:r>
      <w:proofErr w:type="spellStart"/>
      <w:r w:rsidRPr="00CC34A3">
        <w:rPr>
          <w:rFonts w:ascii="Book Antiqua" w:eastAsia="Calibri" w:hAnsi="Book Antiqua" w:cs="Times New Roman"/>
          <w:color w:val="000000" w:themeColor="text1"/>
          <w:sz w:val="24"/>
          <w:szCs w:val="24"/>
          <w:lang w:val="en-US"/>
        </w:rPr>
        <w:t>Kokot</w:t>
      </w:r>
      <w:proofErr w:type="spellEnd"/>
      <w:r w:rsidRPr="00CC34A3">
        <w:rPr>
          <w:rFonts w:ascii="Book Antiqua" w:eastAsia="Calibri" w:hAnsi="Book Antiqua" w:cs="Times New Roman"/>
          <w:color w:val="000000" w:themeColor="text1"/>
          <w:sz w:val="24"/>
          <w:szCs w:val="24"/>
          <w:lang w:val="en-US"/>
        </w:rPr>
        <w:t xml:space="preserve"> A, </w:t>
      </w:r>
      <w:proofErr w:type="spellStart"/>
      <w:r w:rsidRPr="00CC34A3">
        <w:rPr>
          <w:rFonts w:ascii="Book Antiqua" w:eastAsia="Calibri" w:hAnsi="Book Antiqua" w:cs="Times New Roman"/>
          <w:color w:val="000000" w:themeColor="text1"/>
          <w:sz w:val="24"/>
          <w:szCs w:val="24"/>
          <w:lang w:val="en-US"/>
        </w:rPr>
        <w:t>Tvrdeic</w:t>
      </w:r>
      <w:proofErr w:type="spellEnd"/>
      <w:r w:rsidRPr="00CC34A3">
        <w:rPr>
          <w:rFonts w:ascii="Book Antiqua" w:eastAsia="Calibri" w:hAnsi="Book Antiqua" w:cs="Times New Roman"/>
          <w:color w:val="000000" w:themeColor="text1"/>
          <w:sz w:val="24"/>
          <w:szCs w:val="24"/>
          <w:lang w:val="en-US"/>
        </w:rPr>
        <w:t xml:space="preserve"> A and </w:t>
      </w:r>
      <w:proofErr w:type="spellStart"/>
      <w:r w:rsidRPr="00CC34A3">
        <w:rPr>
          <w:rFonts w:ascii="Book Antiqua" w:eastAsia="Calibri" w:hAnsi="Book Antiqua" w:cs="Times New Roman"/>
          <w:color w:val="000000" w:themeColor="text1"/>
          <w:sz w:val="24"/>
          <w:szCs w:val="24"/>
          <w:lang w:val="en-US"/>
        </w:rPr>
        <w:t>Boban</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Blagaic</w:t>
      </w:r>
      <w:proofErr w:type="spellEnd"/>
      <w:r w:rsidRPr="00CC34A3">
        <w:rPr>
          <w:rFonts w:ascii="Book Antiqua" w:eastAsia="Calibri" w:hAnsi="Book Antiqua" w:cs="Times New Roman"/>
          <w:color w:val="000000" w:themeColor="text1"/>
          <w:sz w:val="24"/>
          <w:szCs w:val="24"/>
          <w:lang w:val="en-US"/>
        </w:rPr>
        <w:t xml:space="preserve"> A performed experiments. </w:t>
      </w:r>
      <w:proofErr w:type="spellStart"/>
      <w:r w:rsidRPr="00CC34A3">
        <w:rPr>
          <w:rFonts w:ascii="Book Antiqua" w:eastAsia="Calibri" w:hAnsi="Book Antiqua" w:cs="Times New Roman"/>
          <w:color w:val="000000" w:themeColor="text1"/>
          <w:sz w:val="24"/>
          <w:szCs w:val="24"/>
          <w:lang w:val="en-US"/>
        </w:rPr>
        <w:t>Amic</w:t>
      </w:r>
      <w:proofErr w:type="spellEnd"/>
      <w:r w:rsidRPr="00CC34A3">
        <w:rPr>
          <w:rFonts w:ascii="Book Antiqua" w:eastAsia="Calibri" w:hAnsi="Book Antiqua" w:cs="Times New Roman"/>
          <w:color w:val="000000" w:themeColor="text1"/>
          <w:sz w:val="24"/>
          <w:szCs w:val="24"/>
          <w:lang w:val="en-US"/>
        </w:rPr>
        <w:t xml:space="preserve"> F, Drmic D, </w:t>
      </w:r>
      <w:proofErr w:type="spellStart"/>
      <w:r w:rsidRPr="00CC34A3">
        <w:rPr>
          <w:rFonts w:ascii="Book Antiqua" w:eastAsia="Calibri" w:hAnsi="Book Antiqua" w:cs="Times New Roman"/>
          <w:color w:val="000000" w:themeColor="text1"/>
          <w:sz w:val="24"/>
          <w:szCs w:val="24"/>
          <w:lang w:val="en-US"/>
        </w:rPr>
        <w:t>Bilic</w:t>
      </w:r>
      <w:proofErr w:type="spellEnd"/>
      <w:r w:rsidRPr="00CC34A3">
        <w:rPr>
          <w:rFonts w:ascii="Book Antiqua" w:eastAsia="Calibri" w:hAnsi="Book Antiqua" w:cs="Times New Roman"/>
          <w:color w:val="000000" w:themeColor="text1"/>
          <w:sz w:val="24"/>
          <w:szCs w:val="24"/>
          <w:lang w:val="en-US"/>
        </w:rPr>
        <w:t xml:space="preserve"> Z, </w:t>
      </w:r>
      <w:proofErr w:type="spellStart"/>
      <w:r w:rsidRPr="00CC34A3">
        <w:rPr>
          <w:rFonts w:ascii="Book Antiqua" w:eastAsia="Calibri" w:hAnsi="Book Antiqua" w:cs="Times New Roman"/>
          <w:color w:val="000000" w:themeColor="text1"/>
          <w:sz w:val="24"/>
          <w:szCs w:val="24"/>
          <w:lang w:val="en-US"/>
        </w:rPr>
        <w:t>Krezic</w:t>
      </w:r>
      <w:proofErr w:type="spellEnd"/>
      <w:r w:rsidRPr="00CC34A3">
        <w:rPr>
          <w:rFonts w:ascii="Book Antiqua" w:eastAsia="Calibri" w:hAnsi="Book Antiqua" w:cs="Times New Roman"/>
          <w:color w:val="000000" w:themeColor="text1"/>
          <w:sz w:val="24"/>
          <w:szCs w:val="24"/>
          <w:lang w:val="en-US"/>
        </w:rPr>
        <w:t xml:space="preserve"> I, </w:t>
      </w:r>
      <w:proofErr w:type="spellStart"/>
      <w:r w:rsidRPr="00CC34A3">
        <w:rPr>
          <w:rFonts w:ascii="Book Antiqua" w:eastAsia="Calibri" w:hAnsi="Book Antiqua" w:cs="Times New Roman"/>
          <w:color w:val="000000" w:themeColor="text1"/>
          <w:sz w:val="24"/>
          <w:szCs w:val="24"/>
          <w:lang w:val="en-US"/>
        </w:rPr>
        <w:t>Zizek</w:t>
      </w:r>
      <w:proofErr w:type="spellEnd"/>
      <w:r w:rsidRPr="00CC34A3">
        <w:rPr>
          <w:rFonts w:ascii="Book Antiqua" w:eastAsia="Calibri" w:hAnsi="Book Antiqua" w:cs="Times New Roman"/>
          <w:color w:val="000000" w:themeColor="text1"/>
          <w:sz w:val="24"/>
          <w:szCs w:val="24"/>
          <w:lang w:val="en-US"/>
        </w:rPr>
        <w:t xml:space="preserve"> H, </w:t>
      </w:r>
      <w:proofErr w:type="spellStart"/>
      <w:r w:rsidRPr="00CC34A3">
        <w:rPr>
          <w:rFonts w:ascii="Book Antiqua" w:eastAsia="Calibri" w:hAnsi="Book Antiqua" w:cs="Times New Roman"/>
          <w:color w:val="000000" w:themeColor="text1"/>
          <w:sz w:val="24"/>
          <w:szCs w:val="24"/>
          <w:lang w:val="en-US"/>
        </w:rPr>
        <w:t>Peklic</w:t>
      </w:r>
      <w:proofErr w:type="spellEnd"/>
      <w:r w:rsidRPr="00CC34A3">
        <w:rPr>
          <w:rFonts w:ascii="Book Antiqua" w:eastAsia="Calibri" w:hAnsi="Book Antiqua" w:cs="Times New Roman"/>
          <w:color w:val="000000" w:themeColor="text1"/>
          <w:sz w:val="24"/>
          <w:szCs w:val="24"/>
          <w:lang w:val="en-US"/>
        </w:rPr>
        <w:t xml:space="preserve"> M, </w:t>
      </w:r>
      <w:proofErr w:type="spellStart"/>
      <w:r w:rsidRPr="00CC34A3">
        <w:rPr>
          <w:rFonts w:ascii="Book Antiqua" w:eastAsia="Calibri" w:hAnsi="Book Antiqua" w:cs="Times New Roman"/>
          <w:color w:val="000000" w:themeColor="text1"/>
          <w:sz w:val="24"/>
          <w:szCs w:val="24"/>
          <w:lang w:val="en-US"/>
        </w:rPr>
        <w:t>Klicek</w:t>
      </w:r>
      <w:proofErr w:type="spellEnd"/>
      <w:r w:rsidRPr="00CC34A3">
        <w:rPr>
          <w:rFonts w:ascii="Book Antiqua" w:eastAsia="Calibri" w:hAnsi="Book Antiqua" w:cs="Times New Roman"/>
          <w:color w:val="000000" w:themeColor="text1"/>
          <w:sz w:val="24"/>
          <w:szCs w:val="24"/>
          <w:lang w:val="en-US"/>
        </w:rPr>
        <w:t xml:space="preserve"> R, </w:t>
      </w:r>
      <w:proofErr w:type="spellStart"/>
      <w:r w:rsidRPr="00CC34A3">
        <w:rPr>
          <w:rFonts w:ascii="Book Antiqua" w:eastAsia="Calibri" w:hAnsi="Book Antiqua" w:cs="Times New Roman"/>
          <w:color w:val="000000" w:themeColor="text1"/>
          <w:sz w:val="24"/>
          <w:szCs w:val="24"/>
          <w:lang w:val="en-US"/>
        </w:rPr>
        <w:t>Pajtak</w:t>
      </w:r>
      <w:proofErr w:type="spellEnd"/>
      <w:r w:rsidRPr="00CC34A3">
        <w:rPr>
          <w:rFonts w:ascii="Book Antiqua" w:eastAsia="Calibri" w:hAnsi="Book Antiqua" w:cs="Times New Roman"/>
          <w:color w:val="000000" w:themeColor="text1"/>
          <w:sz w:val="24"/>
          <w:szCs w:val="24"/>
          <w:lang w:val="en-US"/>
        </w:rPr>
        <w:t xml:space="preserve"> A, </w:t>
      </w:r>
      <w:proofErr w:type="spellStart"/>
      <w:r w:rsidRPr="00CC34A3">
        <w:rPr>
          <w:rFonts w:ascii="Book Antiqua" w:eastAsia="Calibri" w:hAnsi="Book Antiqua" w:cs="Times New Roman"/>
          <w:color w:val="000000" w:themeColor="text1"/>
          <w:sz w:val="24"/>
          <w:szCs w:val="24"/>
          <w:lang w:val="en-US"/>
        </w:rPr>
        <w:t>Amic</w:t>
      </w:r>
      <w:proofErr w:type="spellEnd"/>
      <w:r w:rsidRPr="00CC34A3">
        <w:rPr>
          <w:rFonts w:ascii="Book Antiqua" w:eastAsia="Calibri" w:hAnsi="Book Antiqua" w:cs="Times New Roman"/>
          <w:color w:val="000000" w:themeColor="text1"/>
          <w:sz w:val="24"/>
          <w:szCs w:val="24"/>
          <w:lang w:val="en-US"/>
        </w:rPr>
        <w:t xml:space="preserve"> E, Vidovic T, </w:t>
      </w:r>
      <w:proofErr w:type="spellStart"/>
      <w:r w:rsidRPr="00CC34A3">
        <w:rPr>
          <w:rFonts w:ascii="Book Antiqua" w:eastAsia="Calibri" w:hAnsi="Book Antiqua" w:cs="Times New Roman"/>
          <w:color w:val="000000" w:themeColor="text1"/>
          <w:sz w:val="24"/>
          <w:szCs w:val="24"/>
          <w:lang w:val="en-US"/>
        </w:rPr>
        <w:t>Rakic</w:t>
      </w:r>
      <w:proofErr w:type="spellEnd"/>
      <w:r w:rsidRPr="00CC34A3">
        <w:rPr>
          <w:rFonts w:ascii="Book Antiqua" w:eastAsia="Calibri" w:hAnsi="Book Antiqua" w:cs="Times New Roman"/>
          <w:color w:val="000000" w:themeColor="text1"/>
          <w:sz w:val="24"/>
          <w:szCs w:val="24"/>
          <w:lang w:val="en-US"/>
        </w:rPr>
        <w:t xml:space="preserve"> M, </w:t>
      </w:r>
      <w:proofErr w:type="spellStart"/>
      <w:r w:rsidRPr="00CC34A3">
        <w:rPr>
          <w:rFonts w:ascii="Book Antiqua" w:eastAsia="Calibri" w:hAnsi="Book Antiqua" w:cs="Times New Roman"/>
          <w:color w:val="000000" w:themeColor="text1"/>
          <w:sz w:val="24"/>
          <w:szCs w:val="24"/>
          <w:lang w:val="en-US"/>
        </w:rPr>
        <w:t>Milkovic</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Perisa</w:t>
      </w:r>
      <w:proofErr w:type="spellEnd"/>
      <w:r w:rsidRPr="00CC34A3">
        <w:rPr>
          <w:rFonts w:ascii="Book Antiqua" w:eastAsia="Calibri" w:hAnsi="Book Antiqua" w:cs="Times New Roman"/>
          <w:color w:val="000000" w:themeColor="text1"/>
          <w:sz w:val="24"/>
          <w:szCs w:val="24"/>
          <w:lang w:val="en-US"/>
        </w:rPr>
        <w:t xml:space="preserve"> M, Horvat Pavlov K, </w:t>
      </w:r>
      <w:proofErr w:type="spellStart"/>
      <w:r w:rsidRPr="00CC34A3">
        <w:rPr>
          <w:rFonts w:ascii="Book Antiqua" w:eastAsia="Calibri" w:hAnsi="Book Antiqua" w:cs="Times New Roman"/>
          <w:color w:val="000000" w:themeColor="text1"/>
          <w:sz w:val="24"/>
          <w:szCs w:val="24"/>
          <w:lang w:val="en-US"/>
        </w:rPr>
        <w:t>Kokot</w:t>
      </w:r>
      <w:proofErr w:type="spellEnd"/>
      <w:r w:rsidRPr="00CC34A3">
        <w:rPr>
          <w:rFonts w:ascii="Book Antiqua" w:eastAsia="Calibri" w:hAnsi="Book Antiqua" w:cs="Times New Roman"/>
          <w:color w:val="000000" w:themeColor="text1"/>
          <w:sz w:val="24"/>
          <w:szCs w:val="24"/>
          <w:lang w:val="en-US"/>
        </w:rPr>
        <w:t xml:space="preserve"> A, </w:t>
      </w:r>
      <w:proofErr w:type="spellStart"/>
      <w:r w:rsidRPr="00CC34A3">
        <w:rPr>
          <w:rFonts w:ascii="Book Antiqua" w:eastAsia="Calibri" w:hAnsi="Book Antiqua" w:cs="Times New Roman"/>
          <w:color w:val="000000" w:themeColor="text1"/>
          <w:sz w:val="24"/>
          <w:szCs w:val="24"/>
          <w:lang w:val="en-US"/>
        </w:rPr>
        <w:t>Tvrdeic</w:t>
      </w:r>
      <w:proofErr w:type="spellEnd"/>
      <w:r w:rsidRPr="00CC34A3">
        <w:rPr>
          <w:rFonts w:ascii="Book Antiqua" w:eastAsia="Calibri" w:hAnsi="Book Antiqua" w:cs="Times New Roman"/>
          <w:color w:val="000000" w:themeColor="text1"/>
          <w:sz w:val="24"/>
          <w:szCs w:val="24"/>
          <w:lang w:val="en-US"/>
        </w:rPr>
        <w:t xml:space="preserve"> A, </w:t>
      </w:r>
      <w:proofErr w:type="spellStart"/>
      <w:r w:rsidRPr="00CC34A3">
        <w:rPr>
          <w:rFonts w:ascii="Book Antiqua" w:eastAsia="Calibri" w:hAnsi="Book Antiqua" w:cs="Times New Roman"/>
          <w:color w:val="000000" w:themeColor="text1"/>
          <w:sz w:val="24"/>
          <w:szCs w:val="24"/>
          <w:lang w:val="en-US"/>
        </w:rPr>
        <w:t>Boban</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Blagaic</w:t>
      </w:r>
      <w:proofErr w:type="spellEnd"/>
      <w:r w:rsidRPr="00CC34A3">
        <w:rPr>
          <w:rFonts w:ascii="Book Antiqua" w:eastAsia="Calibri" w:hAnsi="Book Antiqua" w:cs="Times New Roman"/>
          <w:color w:val="000000" w:themeColor="text1"/>
          <w:sz w:val="24"/>
          <w:szCs w:val="24"/>
          <w:lang w:val="en-US"/>
        </w:rPr>
        <w:t xml:space="preserve"> A, </w:t>
      </w:r>
      <w:proofErr w:type="spellStart"/>
      <w:r w:rsidRPr="00CC34A3">
        <w:rPr>
          <w:rFonts w:ascii="Book Antiqua" w:eastAsia="Calibri" w:hAnsi="Book Antiqua" w:cs="Times New Roman"/>
          <w:color w:val="000000" w:themeColor="text1"/>
          <w:sz w:val="24"/>
          <w:szCs w:val="24"/>
          <w:lang w:val="en-US"/>
        </w:rPr>
        <w:t>Zovak</w:t>
      </w:r>
      <w:proofErr w:type="spellEnd"/>
      <w:r w:rsidRPr="00CC34A3">
        <w:rPr>
          <w:rFonts w:ascii="Book Antiqua" w:eastAsia="Calibri" w:hAnsi="Book Antiqua" w:cs="Times New Roman"/>
          <w:color w:val="000000" w:themeColor="text1"/>
          <w:sz w:val="24"/>
          <w:szCs w:val="24"/>
          <w:lang w:val="en-US"/>
        </w:rPr>
        <w:t xml:space="preserve"> M,</w:t>
      </w:r>
      <w:r w:rsidR="0054073F" w:rsidRPr="00CC34A3">
        <w:rPr>
          <w:rFonts w:ascii="Book Antiqua" w:eastAsia="Calibri" w:hAnsi="Book Antiqua" w:cs="Times New Roman"/>
          <w:color w:val="000000" w:themeColor="text1"/>
          <w:sz w:val="24"/>
          <w:szCs w:val="24"/>
          <w:lang w:val="en-US"/>
        </w:rPr>
        <w:t xml:space="preserve"> </w:t>
      </w:r>
      <w:proofErr w:type="spellStart"/>
      <w:r w:rsidR="0054073F" w:rsidRPr="00CC34A3">
        <w:rPr>
          <w:rFonts w:ascii="Book Antiqua" w:eastAsia="Calibri" w:hAnsi="Book Antiqua" w:cs="Times New Roman"/>
          <w:color w:val="000000" w:themeColor="text1"/>
          <w:sz w:val="24"/>
          <w:szCs w:val="24"/>
          <w:lang w:val="en-US"/>
        </w:rPr>
        <w:t>Seiwerth</w:t>
      </w:r>
      <w:proofErr w:type="spellEnd"/>
      <w:r w:rsidR="0054073F" w:rsidRPr="00CC34A3">
        <w:rPr>
          <w:rFonts w:ascii="Book Antiqua" w:eastAsia="Calibri" w:hAnsi="Book Antiqua" w:cs="Times New Roman"/>
          <w:color w:val="000000" w:themeColor="text1"/>
          <w:sz w:val="24"/>
          <w:szCs w:val="24"/>
          <w:lang w:val="en-US"/>
        </w:rPr>
        <w:t xml:space="preserve"> S and </w:t>
      </w:r>
      <w:proofErr w:type="spellStart"/>
      <w:r w:rsidR="0054073F" w:rsidRPr="00CC34A3">
        <w:rPr>
          <w:rFonts w:ascii="Book Antiqua" w:eastAsia="Calibri" w:hAnsi="Book Antiqua" w:cs="Times New Roman"/>
          <w:color w:val="000000" w:themeColor="text1"/>
          <w:sz w:val="24"/>
          <w:szCs w:val="24"/>
          <w:lang w:val="en-US"/>
        </w:rPr>
        <w:t>Sikiric</w:t>
      </w:r>
      <w:proofErr w:type="spellEnd"/>
      <w:r w:rsidR="0054073F" w:rsidRPr="00CC34A3">
        <w:rPr>
          <w:rFonts w:ascii="Book Antiqua" w:eastAsia="Calibri" w:hAnsi="Book Antiqua" w:cs="Times New Roman"/>
          <w:color w:val="000000" w:themeColor="text1"/>
          <w:sz w:val="24"/>
          <w:szCs w:val="24"/>
          <w:lang w:val="en-US"/>
        </w:rPr>
        <w:t xml:space="preserve"> P analyz</w:t>
      </w:r>
      <w:r w:rsidRPr="00CC34A3">
        <w:rPr>
          <w:rFonts w:ascii="Book Antiqua" w:eastAsia="Calibri" w:hAnsi="Book Antiqua" w:cs="Times New Roman"/>
          <w:color w:val="000000" w:themeColor="text1"/>
          <w:sz w:val="24"/>
          <w:szCs w:val="24"/>
          <w:lang w:val="en-US"/>
        </w:rPr>
        <w:t>ed data.</w:t>
      </w:r>
      <w:r w:rsidR="0054073F" w:rsidRPr="00CC34A3">
        <w:rPr>
          <w:rFonts w:ascii="Book Antiqua" w:eastAsia="Calibri" w:hAnsi="Book Antiqua" w:cs="Times New Roman"/>
          <w:b/>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Seiwerth</w:t>
      </w:r>
      <w:proofErr w:type="spellEnd"/>
      <w:r w:rsidRPr="00CC34A3">
        <w:rPr>
          <w:rFonts w:ascii="Book Antiqua" w:eastAsia="Calibri" w:hAnsi="Book Antiqua" w:cs="Times New Roman"/>
          <w:color w:val="000000" w:themeColor="text1"/>
          <w:sz w:val="24"/>
          <w:szCs w:val="24"/>
          <w:lang w:val="en-US"/>
        </w:rPr>
        <w:t xml:space="preserve"> S and </w:t>
      </w:r>
      <w:proofErr w:type="spellStart"/>
      <w:r w:rsidRPr="00CC34A3">
        <w:rPr>
          <w:rFonts w:ascii="Book Antiqua" w:eastAsia="Calibri" w:hAnsi="Book Antiqua" w:cs="Times New Roman"/>
          <w:color w:val="000000" w:themeColor="text1"/>
          <w:sz w:val="24"/>
          <w:szCs w:val="24"/>
          <w:lang w:val="en-US"/>
        </w:rPr>
        <w:t>Sikiric</w:t>
      </w:r>
      <w:proofErr w:type="spellEnd"/>
      <w:r w:rsidRPr="00CC34A3">
        <w:rPr>
          <w:rFonts w:ascii="Book Antiqua" w:eastAsia="Calibri" w:hAnsi="Book Antiqua" w:cs="Times New Roman"/>
          <w:color w:val="000000" w:themeColor="text1"/>
          <w:sz w:val="24"/>
          <w:szCs w:val="24"/>
          <w:lang w:val="en-US"/>
        </w:rPr>
        <w:t xml:space="preserve"> P contributed reagents and analytic tools. </w:t>
      </w:r>
      <w:proofErr w:type="spellStart"/>
      <w:r w:rsidRPr="00CC34A3">
        <w:rPr>
          <w:rFonts w:ascii="Book Antiqua" w:eastAsia="Calibri" w:hAnsi="Book Antiqua" w:cs="Times New Roman"/>
          <w:color w:val="000000" w:themeColor="text1"/>
          <w:sz w:val="24"/>
          <w:szCs w:val="24"/>
          <w:lang w:val="en-US"/>
        </w:rPr>
        <w:t>Amic</w:t>
      </w:r>
      <w:proofErr w:type="spellEnd"/>
      <w:r w:rsidRPr="00CC34A3">
        <w:rPr>
          <w:rFonts w:ascii="Book Antiqua" w:eastAsia="Calibri" w:hAnsi="Book Antiqua" w:cs="Times New Roman"/>
          <w:color w:val="000000" w:themeColor="text1"/>
          <w:sz w:val="24"/>
          <w:szCs w:val="24"/>
          <w:lang w:val="en-US"/>
        </w:rPr>
        <w:t xml:space="preserve"> F, </w:t>
      </w:r>
      <w:proofErr w:type="spellStart"/>
      <w:r w:rsidRPr="00CC34A3">
        <w:rPr>
          <w:rFonts w:ascii="Book Antiqua" w:eastAsia="Calibri" w:hAnsi="Book Antiqua" w:cs="Times New Roman"/>
          <w:color w:val="000000" w:themeColor="text1"/>
          <w:sz w:val="24"/>
          <w:szCs w:val="24"/>
          <w:lang w:val="en-US"/>
        </w:rPr>
        <w:t>Tvrdeic</w:t>
      </w:r>
      <w:proofErr w:type="spellEnd"/>
      <w:r w:rsidRPr="00CC34A3">
        <w:rPr>
          <w:rFonts w:ascii="Book Antiqua" w:eastAsia="Calibri" w:hAnsi="Book Antiqua" w:cs="Times New Roman"/>
          <w:color w:val="000000" w:themeColor="text1"/>
          <w:sz w:val="24"/>
          <w:szCs w:val="24"/>
          <w:lang w:val="en-US"/>
        </w:rPr>
        <w:t xml:space="preserve"> A, </w:t>
      </w:r>
      <w:proofErr w:type="spellStart"/>
      <w:r w:rsidRPr="00CC34A3">
        <w:rPr>
          <w:rFonts w:ascii="Book Antiqua" w:eastAsia="Calibri" w:hAnsi="Book Antiqua" w:cs="Times New Roman"/>
          <w:color w:val="000000" w:themeColor="text1"/>
          <w:sz w:val="24"/>
          <w:szCs w:val="24"/>
          <w:lang w:val="en-US"/>
        </w:rPr>
        <w:t>Seiwerth</w:t>
      </w:r>
      <w:proofErr w:type="spellEnd"/>
      <w:r w:rsidRPr="00CC34A3">
        <w:rPr>
          <w:rFonts w:ascii="Book Antiqua" w:eastAsia="Calibri" w:hAnsi="Book Antiqua" w:cs="Times New Roman"/>
          <w:color w:val="000000" w:themeColor="text1"/>
          <w:sz w:val="24"/>
          <w:szCs w:val="24"/>
          <w:lang w:val="en-US"/>
        </w:rPr>
        <w:t xml:space="preserve"> S and </w:t>
      </w:r>
      <w:proofErr w:type="spellStart"/>
      <w:r w:rsidRPr="00CC34A3">
        <w:rPr>
          <w:rFonts w:ascii="Book Antiqua" w:eastAsia="Calibri" w:hAnsi="Book Antiqua" w:cs="Times New Roman"/>
          <w:color w:val="000000" w:themeColor="text1"/>
          <w:sz w:val="24"/>
          <w:szCs w:val="24"/>
          <w:lang w:val="en-US"/>
        </w:rPr>
        <w:t>Sikiric</w:t>
      </w:r>
      <w:proofErr w:type="spellEnd"/>
      <w:r w:rsidRPr="00CC34A3">
        <w:rPr>
          <w:rFonts w:ascii="Book Antiqua" w:eastAsia="Calibri" w:hAnsi="Book Antiqua" w:cs="Times New Roman"/>
          <w:color w:val="000000" w:themeColor="text1"/>
          <w:sz w:val="24"/>
          <w:szCs w:val="24"/>
          <w:lang w:val="en-US"/>
        </w:rPr>
        <w:t xml:space="preserve"> P wrote the manuscript.</w:t>
      </w:r>
    </w:p>
    <w:p w14:paraId="1B4C31B2" w14:textId="77777777" w:rsidR="006E2B0A" w:rsidRPr="00CC34A3" w:rsidRDefault="006E2B0A" w:rsidP="00CC34A3">
      <w:pPr>
        <w:adjustRightInd w:val="0"/>
        <w:snapToGrid w:val="0"/>
        <w:spacing w:after="0" w:line="360" w:lineRule="auto"/>
        <w:jc w:val="both"/>
        <w:rPr>
          <w:rFonts w:ascii="Book Antiqua" w:eastAsia="Calibri" w:hAnsi="Book Antiqua" w:cs="Times New Roman"/>
          <w:b/>
          <w:color w:val="000000" w:themeColor="text1"/>
          <w:sz w:val="24"/>
          <w:szCs w:val="24"/>
          <w:lang w:val="en-US"/>
        </w:rPr>
      </w:pPr>
    </w:p>
    <w:p w14:paraId="663EF863" w14:textId="2B67D89B" w:rsidR="006E2B0A" w:rsidRPr="00CC34A3" w:rsidRDefault="006E2B0A" w:rsidP="00CC34A3">
      <w:pPr>
        <w:adjustRightInd w:val="0"/>
        <w:snapToGrid w:val="0"/>
        <w:spacing w:after="0" w:line="360" w:lineRule="auto"/>
        <w:jc w:val="both"/>
        <w:rPr>
          <w:rFonts w:ascii="Book Antiqua" w:eastAsia="Calibri" w:hAnsi="Book Antiqua" w:cs="Times New Roman"/>
          <w:b/>
          <w:color w:val="000000" w:themeColor="text1"/>
          <w:sz w:val="24"/>
          <w:szCs w:val="24"/>
          <w:lang w:val="en-US"/>
        </w:rPr>
      </w:pPr>
      <w:r w:rsidRPr="00CC34A3">
        <w:rPr>
          <w:rFonts w:ascii="Book Antiqua" w:eastAsia="Calibri" w:hAnsi="Book Antiqua" w:cs="Times New Roman"/>
          <w:b/>
          <w:color w:val="000000" w:themeColor="text1"/>
          <w:sz w:val="24"/>
          <w:szCs w:val="24"/>
          <w:lang w:val="en-US"/>
        </w:rPr>
        <w:t>Institutional review board statement</w:t>
      </w:r>
      <w:r w:rsidR="0054073F" w:rsidRPr="00CC34A3">
        <w:rPr>
          <w:rFonts w:ascii="Book Antiqua" w:eastAsia="Calibri" w:hAnsi="Book Antiqua" w:cs="Times New Roman"/>
          <w:b/>
          <w:color w:val="000000" w:themeColor="text1"/>
          <w:sz w:val="24"/>
          <w:szCs w:val="24"/>
          <w:lang w:val="en-US"/>
        </w:rPr>
        <w:t xml:space="preserve">: </w:t>
      </w:r>
      <w:r w:rsidRPr="00CC34A3">
        <w:rPr>
          <w:rFonts w:ascii="Book Antiqua" w:eastAsia="Calibri" w:hAnsi="Book Antiqua" w:cs="Times New Roman"/>
          <w:color w:val="000000" w:themeColor="text1"/>
          <w:sz w:val="24"/>
          <w:szCs w:val="24"/>
          <w:lang w:val="en-US"/>
        </w:rPr>
        <w:t>The study was reviewed and approved by the Department of Veterinary, Ministry of Agriculture, Republic of Croatia, No: UP/I 322-01/07-01/210</w:t>
      </w:r>
      <w:r w:rsidR="0054073F" w:rsidRPr="00CC34A3">
        <w:rPr>
          <w:rFonts w:ascii="Book Antiqua" w:eastAsia="Calibri" w:hAnsi="Book Antiqua" w:cs="Times New Roman"/>
          <w:color w:val="000000" w:themeColor="text1"/>
          <w:sz w:val="24"/>
          <w:szCs w:val="24"/>
          <w:lang w:val="en-US"/>
        </w:rPr>
        <w:t>.</w:t>
      </w:r>
    </w:p>
    <w:p w14:paraId="7E2AF7EB" w14:textId="77777777" w:rsidR="003050F7" w:rsidRPr="00CC34A3" w:rsidRDefault="003050F7" w:rsidP="00CC34A3">
      <w:pPr>
        <w:adjustRightInd w:val="0"/>
        <w:snapToGrid w:val="0"/>
        <w:spacing w:after="0" w:line="360" w:lineRule="auto"/>
        <w:jc w:val="both"/>
        <w:rPr>
          <w:rFonts w:ascii="Book Antiqua" w:eastAsia="Calibri" w:hAnsi="Book Antiqua" w:cs="Times New Roman"/>
          <w:color w:val="000000" w:themeColor="text1"/>
          <w:sz w:val="24"/>
          <w:szCs w:val="24"/>
          <w:lang w:val="en-US"/>
        </w:rPr>
      </w:pPr>
    </w:p>
    <w:p w14:paraId="23BE0D31" w14:textId="766B80D6" w:rsidR="0054073F" w:rsidRPr="00CC34A3" w:rsidRDefault="0054073F" w:rsidP="00CC34A3">
      <w:pPr>
        <w:adjustRightInd w:val="0"/>
        <w:snapToGrid w:val="0"/>
        <w:spacing w:after="0" w:line="360" w:lineRule="auto"/>
        <w:jc w:val="both"/>
        <w:rPr>
          <w:rFonts w:ascii="Book Antiqua" w:eastAsia="Times New Roman" w:hAnsi="Book Antiqua" w:cs="TimesNewRomanPS-BoldItalicMT"/>
          <w:bCs/>
          <w:iCs/>
          <w:sz w:val="24"/>
          <w:szCs w:val="24"/>
          <w:lang w:val="en-US"/>
        </w:rPr>
      </w:pPr>
      <w:r w:rsidRPr="00CC34A3">
        <w:rPr>
          <w:rFonts w:ascii="Book Antiqua" w:eastAsia="Times New Roman" w:hAnsi="Book Antiqua"/>
          <w:b/>
          <w:bCs/>
          <w:iCs/>
          <w:sz w:val="24"/>
          <w:szCs w:val="24"/>
          <w:lang w:val="en-US"/>
        </w:rPr>
        <w:t xml:space="preserve">Institutional animal care and use committee statement: </w:t>
      </w:r>
      <w:r w:rsidRPr="00CC34A3">
        <w:rPr>
          <w:rFonts w:ascii="Book Antiqua" w:eastAsia="Times New Roman" w:hAnsi="Book Antiqua" w:cs="TimesNewRomanPS-BoldItalicMT"/>
          <w:bCs/>
          <w:iCs/>
          <w:sz w:val="24"/>
          <w:szCs w:val="24"/>
          <w:lang w:val="en-US"/>
        </w:rPr>
        <w:t xml:space="preserve">All procedures involving animals were reviewed and approved by the Institutional Animal Care and Use Committee of the </w:t>
      </w:r>
      <w:proofErr w:type="spellStart"/>
      <w:r w:rsidR="003021B3" w:rsidRPr="00CC34A3">
        <w:rPr>
          <w:rFonts w:ascii="Book Antiqua" w:eastAsia="Times New Roman" w:hAnsi="Book Antiqua" w:cs="TimesNewRomanPS-BoldItalicMT"/>
          <w:bCs/>
          <w:iCs/>
          <w:sz w:val="24"/>
          <w:szCs w:val="24"/>
          <w:lang w:val="en-US"/>
        </w:rPr>
        <w:t>Uprava</w:t>
      </w:r>
      <w:proofErr w:type="spellEnd"/>
      <w:r w:rsidR="003021B3" w:rsidRPr="00CC34A3">
        <w:rPr>
          <w:rFonts w:ascii="Book Antiqua" w:eastAsia="Times New Roman" w:hAnsi="Book Antiqua" w:cs="TimesNewRomanPS-BoldItalicMT"/>
          <w:bCs/>
          <w:iCs/>
          <w:sz w:val="24"/>
          <w:szCs w:val="24"/>
          <w:lang w:val="en-US"/>
        </w:rPr>
        <w:t xml:space="preserve"> Za </w:t>
      </w:r>
      <w:proofErr w:type="spellStart"/>
      <w:r w:rsidR="003021B3" w:rsidRPr="00CC34A3">
        <w:rPr>
          <w:rFonts w:ascii="Book Antiqua" w:eastAsia="Times New Roman" w:hAnsi="Book Antiqua" w:cs="TimesNewRomanPS-BoldItalicMT"/>
          <w:bCs/>
          <w:iCs/>
          <w:sz w:val="24"/>
          <w:szCs w:val="24"/>
          <w:lang w:val="en-US"/>
        </w:rPr>
        <w:t>Veterinarstvo</w:t>
      </w:r>
      <w:proofErr w:type="spellEnd"/>
      <w:r w:rsidR="003021B3" w:rsidRPr="00CC34A3">
        <w:rPr>
          <w:rFonts w:ascii="Book Antiqua" w:eastAsia="Times New Roman" w:hAnsi="Book Antiqua" w:cs="TimesNewRomanPS-BoldItalicMT"/>
          <w:bCs/>
          <w:iCs/>
          <w:sz w:val="24"/>
          <w:szCs w:val="24"/>
          <w:lang w:val="en-US"/>
        </w:rPr>
        <w:t xml:space="preserve"> (NN 135/06).</w:t>
      </w:r>
    </w:p>
    <w:p w14:paraId="7CAC3B4A" w14:textId="77777777" w:rsidR="003021B3" w:rsidRPr="00CC34A3" w:rsidRDefault="003021B3" w:rsidP="00CC34A3">
      <w:pPr>
        <w:adjustRightInd w:val="0"/>
        <w:snapToGrid w:val="0"/>
        <w:spacing w:after="0" w:line="360" w:lineRule="auto"/>
        <w:jc w:val="both"/>
        <w:rPr>
          <w:rFonts w:ascii="Book Antiqua" w:eastAsia="Calibri" w:hAnsi="Book Antiqua" w:cs="Times New Roman"/>
          <w:color w:val="000000" w:themeColor="text1"/>
          <w:sz w:val="24"/>
          <w:szCs w:val="24"/>
          <w:lang w:val="en-US"/>
        </w:rPr>
      </w:pPr>
    </w:p>
    <w:p w14:paraId="5FE1D74B" w14:textId="036AFDC0" w:rsidR="006E2B0A" w:rsidRPr="00CC34A3" w:rsidRDefault="006E2B0A" w:rsidP="00CC34A3">
      <w:pPr>
        <w:adjustRightInd w:val="0"/>
        <w:snapToGrid w:val="0"/>
        <w:spacing w:after="0" w:line="360" w:lineRule="auto"/>
        <w:jc w:val="both"/>
        <w:rPr>
          <w:rFonts w:ascii="Book Antiqua" w:eastAsia="Calibri" w:hAnsi="Book Antiqua" w:cs="Times New Roman"/>
          <w:b/>
          <w:color w:val="000000" w:themeColor="text1"/>
          <w:sz w:val="24"/>
          <w:szCs w:val="24"/>
          <w:lang w:val="en-US"/>
        </w:rPr>
      </w:pPr>
      <w:r w:rsidRPr="00CC34A3">
        <w:rPr>
          <w:rFonts w:ascii="Book Antiqua" w:eastAsia="Calibri" w:hAnsi="Book Antiqua" w:cs="Times New Roman"/>
          <w:b/>
          <w:color w:val="000000" w:themeColor="text1"/>
          <w:sz w:val="24"/>
          <w:szCs w:val="24"/>
          <w:lang w:val="en-US"/>
        </w:rPr>
        <w:t>Animal care and use statement</w:t>
      </w:r>
      <w:r w:rsidR="003021B3" w:rsidRPr="00CC34A3">
        <w:rPr>
          <w:rFonts w:ascii="Book Antiqua" w:eastAsia="Calibri" w:hAnsi="Book Antiqua" w:cs="Times New Roman"/>
          <w:b/>
          <w:color w:val="000000" w:themeColor="text1"/>
          <w:sz w:val="24"/>
          <w:szCs w:val="24"/>
          <w:lang w:val="en-US"/>
        </w:rPr>
        <w:t xml:space="preserve">: </w:t>
      </w:r>
      <w:r w:rsidRPr="00CC34A3">
        <w:rPr>
          <w:rFonts w:ascii="Book Antiqua" w:eastAsia="Calibri" w:hAnsi="Book Antiqua" w:cs="Times New Roman"/>
          <w:color w:val="000000" w:themeColor="text1"/>
          <w:sz w:val="24"/>
          <w:szCs w:val="24"/>
          <w:lang w:val="en-US"/>
        </w:rPr>
        <w:t xml:space="preserve">Male Albino Wistar rats, 200 g </w:t>
      </w:r>
      <w:proofErr w:type="spellStart"/>
      <w:r w:rsidRPr="00CC34A3">
        <w:rPr>
          <w:rFonts w:ascii="Book Antiqua" w:eastAsia="Calibri" w:hAnsi="Book Antiqua" w:cs="Times New Roman"/>
          <w:color w:val="000000" w:themeColor="text1"/>
          <w:sz w:val="24"/>
          <w:szCs w:val="24"/>
          <w:lang w:val="en-US"/>
        </w:rPr>
        <w:t>b.w.</w:t>
      </w:r>
      <w:proofErr w:type="spellEnd"/>
      <w:r w:rsidRPr="00CC34A3">
        <w:rPr>
          <w:rFonts w:ascii="Book Antiqua" w:eastAsia="Calibri" w:hAnsi="Book Antiqua" w:cs="Times New Roman"/>
          <w:color w:val="000000" w:themeColor="text1"/>
          <w:sz w:val="24"/>
          <w:szCs w:val="24"/>
          <w:lang w:val="en-US"/>
        </w:rPr>
        <w:t xml:space="preserve">, were randomly assigned to the experiments (7 rats at least per experimental group), all of which were approved by the local ethics committee. </w:t>
      </w:r>
    </w:p>
    <w:p w14:paraId="760D5500" w14:textId="77777777" w:rsidR="006E2B0A" w:rsidRPr="00CC34A3" w:rsidRDefault="006E2B0A" w:rsidP="00CC34A3">
      <w:pPr>
        <w:adjustRightInd w:val="0"/>
        <w:snapToGrid w:val="0"/>
        <w:spacing w:after="0" w:line="360" w:lineRule="auto"/>
        <w:jc w:val="both"/>
        <w:rPr>
          <w:rFonts w:ascii="Book Antiqua" w:eastAsia="Calibri" w:hAnsi="Book Antiqua" w:cs="Times New Roman"/>
          <w:b/>
          <w:color w:val="000000" w:themeColor="text1"/>
          <w:sz w:val="24"/>
          <w:szCs w:val="24"/>
          <w:lang w:val="en-US"/>
        </w:rPr>
      </w:pPr>
    </w:p>
    <w:p w14:paraId="4CC1DF32" w14:textId="0D84E9FD" w:rsidR="006E2B0A" w:rsidRPr="00CC34A3" w:rsidRDefault="00D87649" w:rsidP="00CC34A3">
      <w:pPr>
        <w:adjustRightInd w:val="0"/>
        <w:snapToGrid w:val="0"/>
        <w:spacing w:after="0" w:line="360" w:lineRule="auto"/>
        <w:jc w:val="both"/>
        <w:rPr>
          <w:rFonts w:ascii="Book Antiqua" w:eastAsia="Calibri" w:hAnsi="Book Antiqua" w:cs="Times New Roman"/>
          <w:b/>
          <w:color w:val="000000" w:themeColor="text1"/>
          <w:sz w:val="24"/>
          <w:szCs w:val="24"/>
          <w:lang w:val="en-US"/>
        </w:rPr>
      </w:pPr>
      <w:r w:rsidRPr="00CC34A3">
        <w:rPr>
          <w:rFonts w:ascii="Book Antiqua" w:eastAsia="Calibri" w:hAnsi="Book Antiqua" w:cs="Times New Roman"/>
          <w:b/>
          <w:color w:val="000000" w:themeColor="text1"/>
          <w:sz w:val="24"/>
          <w:szCs w:val="24"/>
          <w:lang w:val="en-US"/>
        </w:rPr>
        <w:t>Conflict-of-</w:t>
      </w:r>
      <w:r w:rsidR="006E2B0A" w:rsidRPr="00CC34A3">
        <w:rPr>
          <w:rFonts w:ascii="Book Antiqua" w:eastAsia="Calibri" w:hAnsi="Book Antiqua" w:cs="Times New Roman"/>
          <w:b/>
          <w:color w:val="000000" w:themeColor="text1"/>
          <w:sz w:val="24"/>
          <w:szCs w:val="24"/>
          <w:lang w:val="en-US"/>
        </w:rPr>
        <w:t>interest statement</w:t>
      </w:r>
      <w:r w:rsidR="003021B3" w:rsidRPr="00CC34A3">
        <w:rPr>
          <w:rFonts w:ascii="Book Antiqua" w:eastAsia="Calibri" w:hAnsi="Book Antiqua" w:cs="Times New Roman"/>
          <w:b/>
          <w:color w:val="000000" w:themeColor="text1"/>
          <w:sz w:val="24"/>
          <w:szCs w:val="24"/>
          <w:lang w:val="en-US"/>
        </w:rPr>
        <w:t xml:space="preserve">: </w:t>
      </w:r>
      <w:r w:rsidR="006E2B0A" w:rsidRPr="00CC34A3">
        <w:rPr>
          <w:rFonts w:ascii="Book Antiqua" w:eastAsia="Calibri" w:hAnsi="Book Antiqua" w:cs="Times New Roman"/>
          <w:color w:val="000000" w:themeColor="text1"/>
          <w:sz w:val="24"/>
          <w:szCs w:val="24"/>
          <w:lang w:val="en-US"/>
        </w:rPr>
        <w:t>The authors state that they have no conflicts of interest.</w:t>
      </w:r>
    </w:p>
    <w:p w14:paraId="740658E0" w14:textId="77777777" w:rsidR="004F34CF" w:rsidRPr="00CC34A3" w:rsidRDefault="004F34CF" w:rsidP="00CC34A3">
      <w:pPr>
        <w:adjustRightInd w:val="0"/>
        <w:snapToGrid w:val="0"/>
        <w:spacing w:after="0" w:line="360" w:lineRule="auto"/>
        <w:jc w:val="both"/>
        <w:rPr>
          <w:rFonts w:ascii="Book Antiqua" w:eastAsia="Calibri" w:hAnsi="Book Antiqua" w:cs="Times New Roman"/>
          <w:color w:val="000000" w:themeColor="text1"/>
          <w:sz w:val="24"/>
          <w:szCs w:val="24"/>
          <w:lang w:val="en-US"/>
        </w:rPr>
      </w:pPr>
    </w:p>
    <w:p w14:paraId="3ECBF67B" w14:textId="720D8FDB" w:rsidR="006E2B0A" w:rsidRPr="00CC34A3" w:rsidRDefault="006E2B0A" w:rsidP="00CC34A3">
      <w:pPr>
        <w:adjustRightInd w:val="0"/>
        <w:snapToGrid w:val="0"/>
        <w:spacing w:after="0" w:line="360" w:lineRule="auto"/>
        <w:jc w:val="both"/>
        <w:outlineLvl w:val="0"/>
        <w:rPr>
          <w:rFonts w:ascii="Book Antiqua" w:eastAsia="Calibri" w:hAnsi="Book Antiqua" w:cs="Times New Roman"/>
          <w:b/>
          <w:color w:val="000000" w:themeColor="text1"/>
          <w:sz w:val="24"/>
          <w:szCs w:val="24"/>
          <w:lang w:val="en-US"/>
        </w:rPr>
      </w:pPr>
      <w:r w:rsidRPr="00CC34A3">
        <w:rPr>
          <w:rFonts w:ascii="Book Antiqua" w:eastAsia="Calibri" w:hAnsi="Book Antiqua" w:cs="Times New Roman"/>
          <w:b/>
          <w:color w:val="000000" w:themeColor="text1"/>
          <w:sz w:val="24"/>
          <w:szCs w:val="24"/>
          <w:lang w:val="en-US"/>
        </w:rPr>
        <w:t>Data sharing statement</w:t>
      </w:r>
      <w:r w:rsidR="003021B3" w:rsidRPr="00CC34A3">
        <w:rPr>
          <w:rFonts w:ascii="Book Antiqua" w:eastAsia="Calibri" w:hAnsi="Book Antiqua" w:cs="Times New Roman"/>
          <w:b/>
          <w:color w:val="000000" w:themeColor="text1"/>
          <w:sz w:val="24"/>
          <w:szCs w:val="24"/>
          <w:lang w:val="en-US"/>
        </w:rPr>
        <w:t xml:space="preserve">: </w:t>
      </w:r>
      <w:r w:rsidRPr="00CC34A3">
        <w:rPr>
          <w:rFonts w:ascii="Book Antiqua" w:eastAsia="Calibri" w:hAnsi="Book Antiqua" w:cs="Times New Roman"/>
          <w:color w:val="000000" w:themeColor="text1"/>
          <w:sz w:val="24"/>
          <w:szCs w:val="24"/>
          <w:lang w:val="en-US"/>
        </w:rPr>
        <w:t>No additional data are available.</w:t>
      </w:r>
    </w:p>
    <w:p w14:paraId="328C70ED" w14:textId="77777777" w:rsidR="004F34CF" w:rsidRPr="00CC34A3" w:rsidRDefault="004F34CF" w:rsidP="00CC34A3">
      <w:pPr>
        <w:adjustRightInd w:val="0"/>
        <w:snapToGrid w:val="0"/>
        <w:spacing w:after="0" w:line="360" w:lineRule="auto"/>
        <w:jc w:val="both"/>
        <w:rPr>
          <w:rFonts w:ascii="Book Antiqua" w:eastAsia="Calibri" w:hAnsi="Book Antiqua" w:cs="Times New Roman"/>
          <w:color w:val="000000" w:themeColor="text1"/>
          <w:sz w:val="24"/>
          <w:szCs w:val="24"/>
          <w:lang w:val="en-US"/>
        </w:rPr>
      </w:pPr>
    </w:p>
    <w:p w14:paraId="76FE9B79" w14:textId="4BD541CC" w:rsidR="004F34CF" w:rsidRPr="00CC34A3" w:rsidRDefault="004F34CF" w:rsidP="00CC34A3">
      <w:pPr>
        <w:adjustRightInd w:val="0"/>
        <w:snapToGrid w:val="0"/>
        <w:spacing w:after="0" w:line="360" w:lineRule="auto"/>
        <w:jc w:val="both"/>
        <w:rPr>
          <w:rFonts w:ascii="Book Antiqua" w:eastAsia="Calibri" w:hAnsi="Book Antiqua" w:cs="Times New Roman"/>
          <w:b/>
          <w:color w:val="000000" w:themeColor="text1"/>
          <w:sz w:val="24"/>
          <w:szCs w:val="24"/>
          <w:lang w:val="en-US"/>
        </w:rPr>
      </w:pPr>
      <w:r w:rsidRPr="00CC34A3">
        <w:rPr>
          <w:rFonts w:ascii="Book Antiqua" w:eastAsia="Calibri" w:hAnsi="Book Antiqua" w:cs="Times New Roman"/>
          <w:b/>
          <w:color w:val="000000" w:themeColor="text1"/>
          <w:sz w:val="24"/>
          <w:szCs w:val="24"/>
          <w:lang w:val="en-US"/>
        </w:rPr>
        <w:lastRenderedPageBreak/>
        <w:t>ARRIVE guidelines statement</w:t>
      </w:r>
      <w:r w:rsidR="003021B3" w:rsidRPr="00CC34A3">
        <w:rPr>
          <w:rFonts w:ascii="Book Antiqua" w:eastAsia="Calibri" w:hAnsi="Book Antiqua" w:cs="Times New Roman"/>
          <w:b/>
          <w:color w:val="000000" w:themeColor="text1"/>
          <w:sz w:val="24"/>
          <w:szCs w:val="24"/>
          <w:lang w:val="en-US"/>
        </w:rPr>
        <w:t xml:space="preserve">: </w:t>
      </w:r>
      <w:r w:rsidR="003021B3" w:rsidRPr="00CC34A3">
        <w:rPr>
          <w:rFonts w:ascii="Book Antiqua" w:eastAsia="Calibri" w:hAnsi="Book Antiqua" w:cs="Times New Roman"/>
          <w:color w:val="000000" w:themeColor="text1"/>
          <w:sz w:val="24"/>
          <w:szCs w:val="24"/>
          <w:lang w:val="en-US"/>
        </w:rPr>
        <w:t>The authors have checked the manuscript according to the ARRIVE guidelines</w:t>
      </w:r>
      <w:r w:rsidRPr="00CC34A3">
        <w:rPr>
          <w:rFonts w:ascii="Book Antiqua" w:eastAsia="Calibri" w:hAnsi="Book Antiqua" w:cs="Times New Roman"/>
          <w:color w:val="000000" w:themeColor="text1"/>
          <w:sz w:val="24"/>
          <w:szCs w:val="24"/>
          <w:lang w:val="en-US"/>
        </w:rPr>
        <w:t>.</w:t>
      </w:r>
    </w:p>
    <w:p w14:paraId="37312933" w14:textId="77777777" w:rsidR="004F34CF" w:rsidRPr="00CC34A3" w:rsidRDefault="004F34CF" w:rsidP="00CC34A3">
      <w:pPr>
        <w:adjustRightInd w:val="0"/>
        <w:snapToGrid w:val="0"/>
        <w:spacing w:after="0" w:line="360" w:lineRule="auto"/>
        <w:jc w:val="both"/>
        <w:rPr>
          <w:rFonts w:ascii="Book Antiqua" w:eastAsia="Calibri" w:hAnsi="Book Antiqua" w:cs="Times New Roman"/>
          <w:color w:val="000000" w:themeColor="text1"/>
          <w:sz w:val="24"/>
          <w:szCs w:val="24"/>
          <w:lang w:val="en-US"/>
        </w:rPr>
      </w:pPr>
    </w:p>
    <w:p w14:paraId="0ED0EF71" w14:textId="77777777" w:rsidR="003021B3" w:rsidRPr="00CC34A3" w:rsidRDefault="003021B3" w:rsidP="00CC34A3">
      <w:pPr>
        <w:adjustRightInd w:val="0"/>
        <w:snapToGrid w:val="0"/>
        <w:spacing w:after="0" w:line="360" w:lineRule="auto"/>
        <w:jc w:val="both"/>
        <w:rPr>
          <w:rFonts w:ascii="Book Antiqua" w:hAnsi="Book Antiqua"/>
          <w:sz w:val="24"/>
          <w:szCs w:val="24"/>
          <w:lang w:val="en-US"/>
        </w:rPr>
      </w:pPr>
      <w:bookmarkStart w:id="4" w:name="OLE_LINK25"/>
      <w:bookmarkStart w:id="5" w:name="OLE_LINK26"/>
      <w:bookmarkStart w:id="6" w:name="OLE_LINK375"/>
      <w:bookmarkStart w:id="7" w:name="OLE_LINK32"/>
      <w:r w:rsidRPr="00CC34A3">
        <w:rPr>
          <w:rFonts w:ascii="Book Antiqua" w:hAnsi="Book Antiqua"/>
          <w:b/>
          <w:color w:val="000000"/>
          <w:sz w:val="24"/>
          <w:szCs w:val="24"/>
          <w:lang w:val="en-US"/>
        </w:rPr>
        <w:t xml:space="preserve">Open-Access: </w:t>
      </w:r>
      <w:r w:rsidRPr="00CC34A3">
        <w:rPr>
          <w:rFonts w:ascii="Book Antiqua" w:hAnsi="Book Antiqua"/>
          <w:color w:val="000000"/>
          <w:sz w:val="24"/>
          <w:szCs w:val="24"/>
          <w:lang w:val="en-US"/>
        </w:rPr>
        <w:t xml:space="preserve">This is an </w:t>
      </w:r>
      <w:r w:rsidRPr="00CC34A3">
        <w:rPr>
          <w:rFonts w:ascii="Book Antiqua" w:hAnsi="Book Antiqua" w:cs="SimSun"/>
          <w:sz w:val="24"/>
          <w:szCs w:val="24"/>
          <w:lang w:val="en-US"/>
        </w:rPr>
        <w:t xml:space="preserve">open-access article that was </w:t>
      </w:r>
      <w:r w:rsidRPr="00CC34A3">
        <w:rPr>
          <w:rFonts w:ascii="Book Antiqua" w:hAnsi="Book Antiqua"/>
          <w:sz w:val="24"/>
          <w:szCs w:val="24"/>
          <w:lang w:val="en-US"/>
        </w:rPr>
        <w:t xml:space="preserve">selected by an in-house editor and fully peer-reviewed by external reviewers. It is </w:t>
      </w:r>
      <w:r w:rsidRPr="00CC34A3">
        <w:rPr>
          <w:rFonts w:ascii="Book Antiqua" w:hAnsi="Book Antiqua" w:cs="SimSun"/>
          <w:sz w:val="24"/>
          <w:szCs w:val="24"/>
          <w:lang w:val="en-US"/>
        </w:rPr>
        <w:t xml:space="preserve">distributed in accordance with </w:t>
      </w:r>
      <w:r w:rsidRPr="00CC34A3">
        <w:rPr>
          <w:rFonts w:ascii="Book Antiqua" w:hAnsi="Book Antiqua"/>
          <w:sz w:val="24"/>
          <w:szCs w:val="24"/>
          <w:lang w:val="en-US"/>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CC34A3">
          <w:rPr>
            <w:rStyle w:val="Hyperlink"/>
            <w:rFonts w:ascii="Book Antiqua" w:hAnsi="Book Antiqua"/>
            <w:sz w:val="24"/>
            <w:szCs w:val="24"/>
            <w:lang w:val="en-US"/>
          </w:rPr>
          <w:t>http://creativecommons.org/licenses/by-nc/4.0/</w:t>
        </w:r>
      </w:hyperlink>
    </w:p>
    <w:p w14:paraId="007E79F4" w14:textId="77777777" w:rsidR="003021B3" w:rsidRPr="00CC34A3" w:rsidRDefault="003021B3" w:rsidP="00CC34A3">
      <w:pPr>
        <w:adjustRightInd w:val="0"/>
        <w:snapToGrid w:val="0"/>
        <w:spacing w:after="0" w:line="360" w:lineRule="auto"/>
        <w:jc w:val="both"/>
        <w:rPr>
          <w:rFonts w:ascii="Book Antiqua" w:hAnsi="Book Antiqua"/>
          <w:sz w:val="24"/>
          <w:szCs w:val="24"/>
          <w:lang w:val="en-US"/>
        </w:rPr>
      </w:pPr>
    </w:p>
    <w:p w14:paraId="3B4CDD42" w14:textId="0F192617" w:rsidR="003021B3" w:rsidRPr="00CC34A3" w:rsidRDefault="003021B3" w:rsidP="00CC34A3">
      <w:pPr>
        <w:adjustRightInd w:val="0"/>
        <w:snapToGrid w:val="0"/>
        <w:spacing w:after="0" w:line="360" w:lineRule="auto"/>
        <w:jc w:val="both"/>
        <w:outlineLvl w:val="0"/>
        <w:rPr>
          <w:rFonts w:ascii="Book Antiqua" w:eastAsia="Calibri" w:hAnsi="Book Antiqua" w:cs="Times New Roman"/>
          <w:color w:val="000000" w:themeColor="text1"/>
          <w:sz w:val="24"/>
          <w:szCs w:val="24"/>
          <w:lang w:val="en-US"/>
        </w:rPr>
      </w:pPr>
      <w:bookmarkStart w:id="8" w:name="OLE_LINK11"/>
      <w:r w:rsidRPr="00CC34A3">
        <w:rPr>
          <w:rFonts w:ascii="Book Antiqua" w:hAnsi="Book Antiqua" w:cs="Times New Roman"/>
          <w:b/>
          <w:bCs/>
          <w:sz w:val="24"/>
          <w:szCs w:val="24"/>
          <w:highlight w:val="white"/>
          <w:lang w:val="en-US"/>
        </w:rPr>
        <w:t>Manuscript source:</w:t>
      </w:r>
      <w:r w:rsidRPr="00CC34A3">
        <w:rPr>
          <w:rFonts w:ascii="Book Antiqua" w:hAnsi="Book Antiqua" w:cs="Times New Roman"/>
          <w:b/>
          <w:bCs/>
          <w:sz w:val="24"/>
          <w:szCs w:val="24"/>
          <w:highlight w:val="white"/>
          <w:lang w:val="en-US" w:eastAsia="zh-CN"/>
        </w:rPr>
        <w:t xml:space="preserve"> </w:t>
      </w:r>
      <w:r w:rsidRPr="00CC34A3">
        <w:rPr>
          <w:rFonts w:ascii="Book Antiqua" w:hAnsi="Book Antiqua" w:cs="Times New Roman"/>
          <w:bCs/>
          <w:sz w:val="24"/>
          <w:szCs w:val="24"/>
          <w:highlight w:val="white"/>
          <w:lang w:val="en-US"/>
        </w:rPr>
        <w:t>Unsolicited manuscript</w:t>
      </w:r>
      <w:bookmarkEnd w:id="4"/>
      <w:bookmarkEnd w:id="5"/>
      <w:bookmarkEnd w:id="6"/>
      <w:bookmarkEnd w:id="7"/>
      <w:bookmarkEnd w:id="8"/>
    </w:p>
    <w:p w14:paraId="6B7EB757" w14:textId="77777777" w:rsidR="003021B3" w:rsidRPr="00CC34A3" w:rsidRDefault="003021B3" w:rsidP="00CC34A3">
      <w:pPr>
        <w:adjustRightInd w:val="0"/>
        <w:snapToGrid w:val="0"/>
        <w:spacing w:after="0" w:line="360" w:lineRule="auto"/>
        <w:jc w:val="both"/>
        <w:rPr>
          <w:rFonts w:ascii="Book Antiqua" w:eastAsia="Calibri" w:hAnsi="Book Antiqua" w:cs="Times New Roman"/>
          <w:b/>
          <w:color w:val="000000" w:themeColor="text1"/>
          <w:sz w:val="24"/>
          <w:szCs w:val="24"/>
          <w:lang w:val="en-US"/>
        </w:rPr>
      </w:pPr>
    </w:p>
    <w:p w14:paraId="084EE494" w14:textId="60510DAA" w:rsidR="006E2B0A" w:rsidRPr="00CC34A3" w:rsidRDefault="003021B3" w:rsidP="00CC34A3">
      <w:pPr>
        <w:adjustRightInd w:val="0"/>
        <w:snapToGrid w:val="0"/>
        <w:spacing w:after="0" w:line="360" w:lineRule="auto"/>
        <w:jc w:val="both"/>
        <w:rPr>
          <w:rFonts w:ascii="Book Antiqua" w:eastAsia="Calibri" w:hAnsi="Book Antiqua" w:cs="Times New Roman"/>
          <w:b/>
          <w:color w:val="000000" w:themeColor="text1"/>
          <w:sz w:val="24"/>
          <w:szCs w:val="24"/>
          <w:lang w:val="en-US"/>
        </w:rPr>
      </w:pPr>
      <w:r w:rsidRPr="00CC34A3">
        <w:rPr>
          <w:rFonts w:ascii="Book Antiqua" w:hAnsi="Book Antiqua"/>
          <w:b/>
          <w:sz w:val="24"/>
          <w:szCs w:val="24"/>
          <w:lang w:val="en-US"/>
        </w:rPr>
        <w:t>Corresponding author to:</w:t>
      </w:r>
      <w:r w:rsidRPr="00CC34A3">
        <w:rPr>
          <w:rFonts w:ascii="Book Antiqua" w:eastAsia="Calibri" w:hAnsi="Book Antiqua" w:cs="Times New Roman"/>
          <w:b/>
          <w:color w:val="000000" w:themeColor="text1"/>
          <w:sz w:val="24"/>
          <w:szCs w:val="24"/>
          <w:lang w:val="en-US"/>
        </w:rPr>
        <w:t xml:space="preserve"> </w:t>
      </w:r>
      <w:proofErr w:type="spellStart"/>
      <w:r w:rsidR="006E2B0A" w:rsidRPr="00CC34A3">
        <w:rPr>
          <w:rFonts w:ascii="Book Antiqua" w:eastAsia="Calibri" w:hAnsi="Book Antiqua" w:cs="Times New Roman"/>
          <w:b/>
          <w:color w:val="000000" w:themeColor="text1"/>
          <w:sz w:val="24"/>
          <w:szCs w:val="24"/>
          <w:lang w:val="en-US"/>
        </w:rPr>
        <w:t>Predrag</w:t>
      </w:r>
      <w:proofErr w:type="spellEnd"/>
      <w:r w:rsidR="006E2B0A" w:rsidRPr="00CC34A3">
        <w:rPr>
          <w:rFonts w:ascii="Book Antiqua" w:eastAsia="Calibri" w:hAnsi="Book Antiqua" w:cs="Times New Roman"/>
          <w:b/>
          <w:color w:val="000000" w:themeColor="text1"/>
          <w:sz w:val="24"/>
          <w:szCs w:val="24"/>
          <w:lang w:val="en-US"/>
        </w:rPr>
        <w:t xml:space="preserve"> </w:t>
      </w:r>
      <w:proofErr w:type="spellStart"/>
      <w:r w:rsidR="006E2B0A" w:rsidRPr="00CC34A3">
        <w:rPr>
          <w:rFonts w:ascii="Book Antiqua" w:eastAsia="Calibri" w:hAnsi="Book Antiqua" w:cs="Times New Roman"/>
          <w:b/>
          <w:color w:val="000000" w:themeColor="text1"/>
          <w:sz w:val="24"/>
          <w:szCs w:val="24"/>
          <w:lang w:val="en-US"/>
        </w:rPr>
        <w:t>Sikiric</w:t>
      </w:r>
      <w:proofErr w:type="spellEnd"/>
      <w:r w:rsidR="006E2B0A" w:rsidRPr="00CC34A3">
        <w:rPr>
          <w:rFonts w:ascii="Book Antiqua" w:eastAsia="Calibri" w:hAnsi="Book Antiqua" w:cs="Times New Roman"/>
          <w:b/>
          <w:color w:val="000000" w:themeColor="text1"/>
          <w:sz w:val="24"/>
          <w:szCs w:val="24"/>
          <w:lang w:val="en-US"/>
        </w:rPr>
        <w:t>, MD, PhD, Professor,</w:t>
      </w:r>
      <w:r w:rsidR="006E2B0A" w:rsidRPr="00CC34A3">
        <w:rPr>
          <w:rFonts w:ascii="Book Antiqua" w:eastAsia="Calibri" w:hAnsi="Book Antiqua" w:cs="Times New Roman"/>
          <w:color w:val="000000" w:themeColor="text1"/>
          <w:sz w:val="24"/>
          <w:szCs w:val="24"/>
          <w:lang w:val="en-US"/>
        </w:rPr>
        <w:t xml:space="preserve"> Department of Pharmacology, </w:t>
      </w:r>
      <w:bookmarkStart w:id="9" w:name="OLE_LINK29"/>
      <w:bookmarkStart w:id="10" w:name="OLE_LINK30"/>
      <w:r w:rsidRPr="00CC34A3">
        <w:rPr>
          <w:rFonts w:ascii="Book Antiqua" w:eastAsia="Calibri" w:hAnsi="Book Antiqua" w:cs="Times New Roman"/>
          <w:color w:val="000000" w:themeColor="text1"/>
          <w:sz w:val="24"/>
          <w:szCs w:val="24"/>
          <w:lang w:val="en-US"/>
        </w:rPr>
        <w:t>Medical Faculty, University of Zagreb</w:t>
      </w:r>
      <w:bookmarkEnd w:id="9"/>
      <w:bookmarkEnd w:id="10"/>
      <w:r w:rsidRPr="00CC34A3">
        <w:rPr>
          <w:rFonts w:ascii="Book Antiqua" w:eastAsia="Calibri" w:hAnsi="Book Antiqua" w:cs="Times New Roman"/>
          <w:color w:val="000000" w:themeColor="text1"/>
          <w:sz w:val="24"/>
          <w:szCs w:val="24"/>
          <w:lang w:val="en-US"/>
        </w:rPr>
        <w:t>,</w:t>
      </w:r>
      <w:r w:rsidR="006E2B0A" w:rsidRPr="00CC34A3">
        <w:rPr>
          <w:rFonts w:ascii="Book Antiqua" w:eastAsia="Calibri" w:hAnsi="Book Antiqua" w:cs="Times New Roman"/>
          <w:color w:val="000000" w:themeColor="text1"/>
          <w:sz w:val="24"/>
          <w:szCs w:val="24"/>
          <w:lang w:val="en-US"/>
        </w:rPr>
        <w:t xml:space="preserve"> </w:t>
      </w:r>
      <w:proofErr w:type="spellStart"/>
      <w:r w:rsidR="006E2B0A" w:rsidRPr="00CC34A3">
        <w:rPr>
          <w:rFonts w:ascii="Book Antiqua" w:eastAsia="Calibri" w:hAnsi="Book Antiqua" w:cs="Times New Roman"/>
          <w:color w:val="000000" w:themeColor="text1"/>
          <w:sz w:val="24"/>
          <w:szCs w:val="24"/>
          <w:lang w:val="en-US"/>
        </w:rPr>
        <w:t>Salata</w:t>
      </w:r>
      <w:proofErr w:type="spellEnd"/>
      <w:r w:rsidR="006E2B0A" w:rsidRPr="00CC34A3">
        <w:rPr>
          <w:rFonts w:ascii="Book Antiqua" w:eastAsia="Calibri" w:hAnsi="Book Antiqua" w:cs="Times New Roman"/>
          <w:color w:val="000000" w:themeColor="text1"/>
          <w:sz w:val="24"/>
          <w:szCs w:val="24"/>
          <w:lang w:val="en-US"/>
        </w:rPr>
        <w:t xml:space="preserve"> 11, POB 916, Zagreb</w:t>
      </w:r>
      <w:r w:rsidRPr="00CC34A3">
        <w:rPr>
          <w:rFonts w:ascii="Book Antiqua" w:eastAsia="Calibri" w:hAnsi="Book Antiqua" w:cs="Times New Roman"/>
          <w:color w:val="000000" w:themeColor="text1"/>
          <w:sz w:val="24"/>
          <w:szCs w:val="24"/>
          <w:lang w:val="en-US"/>
        </w:rPr>
        <w:t xml:space="preserve"> 10000</w:t>
      </w:r>
      <w:r w:rsidR="006E2B0A" w:rsidRPr="00CC34A3">
        <w:rPr>
          <w:rFonts w:ascii="Book Antiqua" w:eastAsia="Calibri" w:hAnsi="Book Antiqua" w:cs="Times New Roman"/>
          <w:color w:val="000000" w:themeColor="text1"/>
          <w:sz w:val="24"/>
          <w:szCs w:val="24"/>
          <w:lang w:val="en-US"/>
        </w:rPr>
        <w:t>,</w:t>
      </w:r>
      <w:r w:rsidRPr="00CC34A3">
        <w:rPr>
          <w:rFonts w:ascii="Book Antiqua" w:eastAsia="Calibri" w:hAnsi="Book Antiqua" w:cs="Times New Roman"/>
          <w:color w:val="000000" w:themeColor="text1"/>
          <w:sz w:val="24"/>
          <w:szCs w:val="24"/>
          <w:lang w:val="en-US"/>
        </w:rPr>
        <w:t xml:space="preserve"> Croatia. sikiric@mef.hr</w:t>
      </w:r>
    </w:p>
    <w:p w14:paraId="20860B40" w14:textId="05605EF1" w:rsidR="003021B3" w:rsidRPr="00CC34A3" w:rsidRDefault="003021B3" w:rsidP="00CC34A3">
      <w:pPr>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b/>
          <w:color w:val="000000" w:themeColor="text1"/>
          <w:sz w:val="24"/>
          <w:szCs w:val="24"/>
          <w:lang w:val="en-US"/>
        </w:rPr>
        <w:t xml:space="preserve">Telephone: </w:t>
      </w:r>
      <w:r w:rsidRPr="00CC34A3">
        <w:rPr>
          <w:rFonts w:ascii="Book Antiqua" w:eastAsia="Calibri" w:hAnsi="Book Antiqua" w:cs="Times New Roman"/>
          <w:color w:val="000000" w:themeColor="text1"/>
          <w:sz w:val="24"/>
          <w:szCs w:val="24"/>
          <w:lang w:val="en-US"/>
        </w:rPr>
        <w:t>+385-1-4566833</w:t>
      </w:r>
    </w:p>
    <w:p w14:paraId="55A3B0BF" w14:textId="516A5D95" w:rsidR="006E2B0A" w:rsidRPr="00CC34A3" w:rsidRDefault="006E2B0A" w:rsidP="00CC34A3">
      <w:pPr>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b/>
          <w:color w:val="000000" w:themeColor="text1"/>
          <w:sz w:val="24"/>
          <w:szCs w:val="24"/>
          <w:lang w:val="en-US"/>
        </w:rPr>
        <w:t>Fax:</w:t>
      </w:r>
      <w:r w:rsidRPr="00CC34A3">
        <w:rPr>
          <w:rFonts w:ascii="Book Antiqua" w:eastAsia="Calibri" w:hAnsi="Book Antiqua" w:cs="Times New Roman"/>
          <w:color w:val="000000" w:themeColor="text1"/>
          <w:sz w:val="24"/>
          <w:szCs w:val="24"/>
          <w:lang w:val="en-US"/>
        </w:rPr>
        <w:t xml:space="preserve"> +385-1-4920050</w:t>
      </w:r>
    </w:p>
    <w:p w14:paraId="03C064F5" w14:textId="77777777" w:rsidR="006E2B0A" w:rsidRPr="00CC34A3" w:rsidRDefault="006E2B0A" w:rsidP="00CC34A3">
      <w:pPr>
        <w:adjustRightInd w:val="0"/>
        <w:snapToGrid w:val="0"/>
        <w:spacing w:after="0" w:line="360" w:lineRule="auto"/>
        <w:jc w:val="both"/>
        <w:rPr>
          <w:rFonts w:ascii="Book Antiqua" w:eastAsia="Calibri" w:hAnsi="Book Antiqua" w:cs="Times New Roman"/>
          <w:color w:val="000000" w:themeColor="text1"/>
          <w:sz w:val="24"/>
          <w:szCs w:val="24"/>
          <w:lang w:val="en-US"/>
        </w:rPr>
      </w:pPr>
    </w:p>
    <w:p w14:paraId="53218436" w14:textId="369309A1" w:rsidR="003021B3" w:rsidRPr="00CC34A3" w:rsidRDefault="003021B3" w:rsidP="00CC34A3">
      <w:pPr>
        <w:adjustRightInd w:val="0"/>
        <w:snapToGrid w:val="0"/>
        <w:spacing w:after="0" w:line="360" w:lineRule="auto"/>
        <w:jc w:val="both"/>
        <w:outlineLvl w:val="0"/>
        <w:rPr>
          <w:rFonts w:ascii="Book Antiqua" w:hAnsi="Book Antiqua"/>
          <w:b/>
          <w:sz w:val="24"/>
          <w:szCs w:val="24"/>
          <w:lang w:val="en-US"/>
        </w:rPr>
      </w:pPr>
      <w:bookmarkStart w:id="11" w:name="OLE_LINK14"/>
      <w:bookmarkStart w:id="12" w:name="OLE_LINK16"/>
      <w:bookmarkStart w:id="13" w:name="OLE_LINK51"/>
      <w:bookmarkStart w:id="14" w:name="OLE_LINK27"/>
      <w:r w:rsidRPr="00CC34A3">
        <w:rPr>
          <w:rFonts w:ascii="Book Antiqua" w:hAnsi="Book Antiqua"/>
          <w:b/>
          <w:sz w:val="24"/>
          <w:szCs w:val="24"/>
          <w:lang w:val="en-US"/>
        </w:rPr>
        <w:t xml:space="preserve">Received: </w:t>
      </w:r>
      <w:r w:rsidRPr="00CC34A3">
        <w:rPr>
          <w:rFonts w:ascii="Book Antiqua" w:hAnsi="Book Antiqua"/>
          <w:sz w:val="24"/>
          <w:szCs w:val="24"/>
          <w:lang w:val="en-US"/>
        </w:rPr>
        <w:t>August</w:t>
      </w:r>
      <w:r w:rsidRPr="00CC34A3">
        <w:rPr>
          <w:rFonts w:ascii="Book Antiqua" w:eastAsia="DengXian" w:hAnsi="Book Antiqua"/>
          <w:sz w:val="24"/>
          <w:szCs w:val="24"/>
          <w:lang w:val="en-US"/>
        </w:rPr>
        <w:t xml:space="preserve"> 8, 2018</w:t>
      </w:r>
      <w:r w:rsidRPr="00CC34A3">
        <w:rPr>
          <w:rFonts w:ascii="Book Antiqua" w:hAnsi="Book Antiqua"/>
          <w:b/>
          <w:sz w:val="24"/>
          <w:szCs w:val="24"/>
          <w:lang w:val="en-US"/>
        </w:rPr>
        <w:t xml:space="preserve">  </w:t>
      </w:r>
    </w:p>
    <w:p w14:paraId="47D9EF6C" w14:textId="27CC440E" w:rsidR="003021B3" w:rsidRPr="00CC34A3" w:rsidRDefault="003021B3" w:rsidP="00CC34A3">
      <w:pPr>
        <w:adjustRightInd w:val="0"/>
        <w:snapToGrid w:val="0"/>
        <w:spacing w:after="0" w:line="360" w:lineRule="auto"/>
        <w:jc w:val="both"/>
        <w:outlineLvl w:val="0"/>
        <w:rPr>
          <w:rFonts w:ascii="Book Antiqua" w:eastAsia="DengXian" w:hAnsi="Book Antiqua"/>
          <w:b/>
          <w:sz w:val="24"/>
          <w:szCs w:val="24"/>
          <w:lang w:val="en-US"/>
        </w:rPr>
      </w:pPr>
      <w:r w:rsidRPr="00CC34A3">
        <w:rPr>
          <w:rFonts w:ascii="Book Antiqua" w:hAnsi="Book Antiqua"/>
          <w:b/>
          <w:sz w:val="24"/>
          <w:szCs w:val="24"/>
          <w:lang w:val="en-US"/>
        </w:rPr>
        <w:t>Peer-review started:</w:t>
      </w:r>
      <w:r w:rsidRPr="00CC34A3">
        <w:rPr>
          <w:rFonts w:ascii="Book Antiqua" w:eastAsia="DengXian" w:hAnsi="Book Antiqua"/>
          <w:b/>
          <w:sz w:val="24"/>
          <w:szCs w:val="24"/>
          <w:lang w:val="en-US"/>
        </w:rPr>
        <w:t xml:space="preserve"> </w:t>
      </w:r>
      <w:r w:rsidRPr="00CC34A3">
        <w:rPr>
          <w:rFonts w:ascii="Book Antiqua" w:hAnsi="Book Antiqua"/>
          <w:sz w:val="24"/>
          <w:szCs w:val="24"/>
          <w:lang w:val="en-US"/>
        </w:rPr>
        <w:t>August</w:t>
      </w:r>
      <w:r w:rsidRPr="00CC34A3">
        <w:rPr>
          <w:rFonts w:ascii="Book Antiqua" w:eastAsia="DengXian" w:hAnsi="Book Antiqua"/>
          <w:sz w:val="24"/>
          <w:szCs w:val="24"/>
          <w:lang w:val="en-US"/>
        </w:rPr>
        <w:t xml:space="preserve"> 9, 2018</w:t>
      </w:r>
    </w:p>
    <w:p w14:paraId="0EC2D9FB" w14:textId="33C13244" w:rsidR="003021B3" w:rsidRPr="00CC34A3" w:rsidRDefault="003021B3" w:rsidP="00CC34A3">
      <w:pPr>
        <w:adjustRightInd w:val="0"/>
        <w:snapToGrid w:val="0"/>
        <w:spacing w:after="0" w:line="360" w:lineRule="auto"/>
        <w:jc w:val="both"/>
        <w:outlineLvl w:val="0"/>
        <w:rPr>
          <w:rFonts w:ascii="Book Antiqua" w:eastAsia="DengXian" w:hAnsi="Book Antiqua"/>
          <w:b/>
          <w:sz w:val="24"/>
          <w:szCs w:val="24"/>
          <w:lang w:val="en-US"/>
        </w:rPr>
      </w:pPr>
      <w:r w:rsidRPr="00CC34A3">
        <w:rPr>
          <w:rFonts w:ascii="Book Antiqua" w:hAnsi="Book Antiqua"/>
          <w:b/>
          <w:sz w:val="24"/>
          <w:szCs w:val="24"/>
          <w:lang w:val="en-US"/>
        </w:rPr>
        <w:t>First decision:</w:t>
      </w:r>
      <w:r w:rsidRPr="00CC34A3">
        <w:rPr>
          <w:rFonts w:ascii="Book Antiqua" w:eastAsia="DengXian" w:hAnsi="Book Antiqua"/>
          <w:b/>
          <w:sz w:val="24"/>
          <w:szCs w:val="24"/>
          <w:lang w:val="en-US"/>
        </w:rPr>
        <w:t xml:space="preserve"> </w:t>
      </w:r>
      <w:r w:rsidRPr="00CC34A3">
        <w:rPr>
          <w:rFonts w:ascii="Book Antiqua" w:hAnsi="Book Antiqua"/>
          <w:sz w:val="24"/>
          <w:szCs w:val="24"/>
          <w:lang w:val="en-US"/>
        </w:rPr>
        <w:t>October</w:t>
      </w:r>
      <w:r w:rsidRPr="00CC34A3">
        <w:rPr>
          <w:rFonts w:ascii="Book Antiqua" w:eastAsia="DengXian" w:hAnsi="Book Antiqua"/>
          <w:sz w:val="24"/>
          <w:szCs w:val="24"/>
          <w:lang w:val="en-US"/>
        </w:rPr>
        <w:t xml:space="preserve"> 5, 2018</w:t>
      </w:r>
    </w:p>
    <w:p w14:paraId="64311A32" w14:textId="1247FEC3" w:rsidR="003021B3" w:rsidRPr="00CC34A3" w:rsidRDefault="003021B3" w:rsidP="00CC34A3">
      <w:pPr>
        <w:adjustRightInd w:val="0"/>
        <w:snapToGrid w:val="0"/>
        <w:spacing w:after="0" w:line="360" w:lineRule="auto"/>
        <w:jc w:val="both"/>
        <w:rPr>
          <w:rFonts w:ascii="Book Antiqua" w:hAnsi="Book Antiqua"/>
          <w:b/>
          <w:sz w:val="24"/>
          <w:szCs w:val="24"/>
          <w:lang w:val="en-US"/>
        </w:rPr>
      </w:pPr>
      <w:r w:rsidRPr="00CC34A3">
        <w:rPr>
          <w:rFonts w:ascii="Book Antiqua" w:hAnsi="Book Antiqua"/>
          <w:b/>
          <w:sz w:val="24"/>
          <w:szCs w:val="24"/>
          <w:lang w:val="en-US"/>
        </w:rPr>
        <w:t xml:space="preserve">Revised: </w:t>
      </w:r>
      <w:r w:rsidRPr="00CC34A3">
        <w:rPr>
          <w:rFonts w:ascii="Book Antiqua" w:hAnsi="Book Antiqua"/>
          <w:sz w:val="24"/>
          <w:szCs w:val="24"/>
          <w:lang w:val="en-US"/>
        </w:rPr>
        <w:t xml:space="preserve">November 26, 2018 </w:t>
      </w:r>
      <w:bookmarkStart w:id="15" w:name="_GoBack"/>
      <w:bookmarkEnd w:id="15"/>
    </w:p>
    <w:p w14:paraId="4AC6C9DA" w14:textId="383BD37A" w:rsidR="003021B3" w:rsidRPr="00CC34A3" w:rsidRDefault="003021B3" w:rsidP="00CC34A3">
      <w:pPr>
        <w:adjustRightInd w:val="0"/>
        <w:snapToGrid w:val="0"/>
        <w:spacing w:after="0" w:line="360" w:lineRule="auto"/>
        <w:jc w:val="both"/>
        <w:outlineLvl w:val="0"/>
        <w:rPr>
          <w:rFonts w:ascii="Book Antiqua" w:hAnsi="Book Antiqua"/>
          <w:b/>
          <w:sz w:val="24"/>
          <w:szCs w:val="24"/>
          <w:lang w:val="en-US"/>
        </w:rPr>
      </w:pPr>
      <w:r w:rsidRPr="00CC34A3">
        <w:rPr>
          <w:rFonts w:ascii="Book Antiqua" w:hAnsi="Book Antiqua"/>
          <w:b/>
          <w:sz w:val="24"/>
          <w:szCs w:val="24"/>
          <w:lang w:val="en-US"/>
        </w:rPr>
        <w:t xml:space="preserve">Accepted: </w:t>
      </w:r>
      <w:r w:rsidR="00197FE1" w:rsidRPr="00197FE1">
        <w:rPr>
          <w:rFonts w:ascii="Book Antiqua" w:hAnsi="Book Antiqua"/>
          <w:sz w:val="24"/>
          <w:szCs w:val="24"/>
          <w:lang w:val="en-US"/>
        </w:rPr>
        <w:t>November 30, 2018</w:t>
      </w:r>
      <w:r w:rsidR="00197FE1" w:rsidRPr="00197FE1">
        <w:rPr>
          <w:rFonts w:ascii="Book Antiqua" w:hAnsi="Book Antiqua"/>
          <w:b/>
          <w:sz w:val="24"/>
          <w:szCs w:val="24"/>
          <w:lang w:val="en-US"/>
        </w:rPr>
        <w:t xml:space="preserve">  </w:t>
      </w:r>
    </w:p>
    <w:p w14:paraId="473A9A4B" w14:textId="77777777" w:rsidR="003021B3" w:rsidRPr="00CC34A3" w:rsidRDefault="003021B3" w:rsidP="00CC34A3">
      <w:pPr>
        <w:adjustRightInd w:val="0"/>
        <w:snapToGrid w:val="0"/>
        <w:spacing w:after="0" w:line="360" w:lineRule="auto"/>
        <w:jc w:val="both"/>
        <w:outlineLvl w:val="0"/>
        <w:rPr>
          <w:rFonts w:ascii="Book Antiqua" w:hAnsi="Book Antiqua"/>
          <w:b/>
          <w:sz w:val="24"/>
          <w:szCs w:val="24"/>
          <w:lang w:val="en-US"/>
        </w:rPr>
      </w:pPr>
      <w:r w:rsidRPr="00CC34A3">
        <w:rPr>
          <w:rFonts w:ascii="Book Antiqua" w:hAnsi="Book Antiqua"/>
          <w:b/>
          <w:sz w:val="24"/>
          <w:szCs w:val="24"/>
          <w:lang w:val="en-US"/>
        </w:rPr>
        <w:t>Article in press:</w:t>
      </w:r>
    </w:p>
    <w:p w14:paraId="56FC1644" w14:textId="2E3E10E1" w:rsidR="00A06DFA" w:rsidRPr="00CC34A3" w:rsidRDefault="003021B3" w:rsidP="00CC34A3">
      <w:pPr>
        <w:adjustRightInd w:val="0"/>
        <w:snapToGrid w:val="0"/>
        <w:spacing w:after="0" w:line="360" w:lineRule="auto"/>
        <w:jc w:val="both"/>
        <w:outlineLvl w:val="0"/>
        <w:rPr>
          <w:rFonts w:ascii="Book Antiqua" w:eastAsia="Calibri" w:hAnsi="Book Antiqua" w:cs="Times New Roman"/>
          <w:color w:val="000000" w:themeColor="text1"/>
          <w:sz w:val="24"/>
          <w:szCs w:val="24"/>
          <w:lang w:val="en-US"/>
        </w:rPr>
      </w:pPr>
      <w:r w:rsidRPr="00CC34A3">
        <w:rPr>
          <w:rFonts w:ascii="Book Antiqua" w:hAnsi="Book Antiqua"/>
          <w:b/>
          <w:sz w:val="24"/>
          <w:szCs w:val="24"/>
          <w:lang w:val="en-US"/>
        </w:rPr>
        <w:t>Published online:</w:t>
      </w:r>
      <w:bookmarkEnd w:id="11"/>
      <w:bookmarkEnd w:id="12"/>
      <w:bookmarkEnd w:id="13"/>
      <w:bookmarkEnd w:id="14"/>
    </w:p>
    <w:p w14:paraId="581FDB75" w14:textId="77777777" w:rsidR="003021B3" w:rsidRPr="00CC34A3" w:rsidRDefault="003021B3" w:rsidP="00CC34A3">
      <w:pPr>
        <w:adjustRightInd w:val="0"/>
        <w:snapToGrid w:val="0"/>
        <w:spacing w:after="0" w:line="360" w:lineRule="auto"/>
        <w:rPr>
          <w:rFonts w:ascii="Book Antiqua" w:eastAsia="Calibri" w:hAnsi="Book Antiqua" w:cs="Times New Roman"/>
          <w:b/>
          <w:color w:val="000000" w:themeColor="text1"/>
          <w:sz w:val="24"/>
          <w:szCs w:val="24"/>
          <w:lang w:val="en-US"/>
        </w:rPr>
      </w:pPr>
      <w:r w:rsidRPr="00CC34A3">
        <w:rPr>
          <w:rFonts w:ascii="Book Antiqua" w:eastAsia="Calibri" w:hAnsi="Book Antiqua" w:cs="Times New Roman"/>
          <w:b/>
          <w:color w:val="000000" w:themeColor="text1"/>
          <w:sz w:val="24"/>
          <w:szCs w:val="24"/>
          <w:lang w:val="en-US"/>
        </w:rPr>
        <w:br w:type="page"/>
      </w:r>
    </w:p>
    <w:p w14:paraId="1A06AE1A" w14:textId="77777777" w:rsidR="003021B3" w:rsidRPr="00CC34A3" w:rsidRDefault="003021B3" w:rsidP="00CC34A3">
      <w:pPr>
        <w:adjustRightInd w:val="0"/>
        <w:snapToGrid w:val="0"/>
        <w:spacing w:after="0" w:line="360" w:lineRule="auto"/>
        <w:jc w:val="both"/>
        <w:outlineLvl w:val="0"/>
        <w:rPr>
          <w:rFonts w:ascii="Book Antiqua" w:hAnsi="Book Antiqua" w:cs="Times New Roman"/>
          <w:b/>
          <w:color w:val="000000" w:themeColor="text1"/>
          <w:sz w:val="24"/>
          <w:szCs w:val="24"/>
          <w:lang w:val="en-US"/>
        </w:rPr>
      </w:pPr>
      <w:r w:rsidRPr="00CC34A3">
        <w:rPr>
          <w:rFonts w:ascii="Book Antiqua" w:hAnsi="Book Antiqua" w:cs="Times New Roman"/>
          <w:b/>
          <w:color w:val="000000" w:themeColor="text1"/>
          <w:sz w:val="24"/>
          <w:szCs w:val="24"/>
          <w:lang w:val="en-US"/>
        </w:rPr>
        <w:lastRenderedPageBreak/>
        <w:t>Abstract</w:t>
      </w:r>
    </w:p>
    <w:p w14:paraId="3DA0FE10" w14:textId="5E2D171E" w:rsidR="003021B3" w:rsidRPr="00CC34A3" w:rsidRDefault="003021B3" w:rsidP="00CC34A3">
      <w:pPr>
        <w:adjustRightInd w:val="0"/>
        <w:snapToGrid w:val="0"/>
        <w:spacing w:after="0" w:line="360" w:lineRule="auto"/>
        <w:jc w:val="both"/>
        <w:outlineLvl w:val="0"/>
        <w:rPr>
          <w:rFonts w:ascii="Book Antiqua" w:hAnsi="Book Antiqua" w:cs="Times New Roman"/>
          <w:b/>
          <w:i/>
          <w:color w:val="000000" w:themeColor="text1"/>
          <w:sz w:val="24"/>
          <w:szCs w:val="24"/>
          <w:lang w:val="en-US"/>
        </w:rPr>
      </w:pPr>
      <w:r w:rsidRPr="00CC34A3">
        <w:rPr>
          <w:rFonts w:ascii="Book Antiqua" w:hAnsi="Book Antiqua" w:cs="Times New Roman"/>
          <w:b/>
          <w:i/>
          <w:color w:val="000000" w:themeColor="text1"/>
          <w:sz w:val="24"/>
          <w:szCs w:val="24"/>
          <w:lang w:val="en-US"/>
        </w:rPr>
        <w:t>AIM</w:t>
      </w:r>
    </w:p>
    <w:p w14:paraId="0D51D345" w14:textId="5CF19965" w:rsidR="003021B3" w:rsidRPr="00CC34A3" w:rsidRDefault="003021B3" w:rsidP="00CC34A3">
      <w:pPr>
        <w:adjustRightInd w:val="0"/>
        <w:snapToGrid w:val="0"/>
        <w:spacing w:after="0" w:line="360" w:lineRule="auto"/>
        <w:jc w:val="both"/>
        <w:rPr>
          <w:rFonts w:ascii="Book Antiqua" w:hAnsi="Book Antiqua" w:cs="Times New Roman"/>
          <w:color w:val="000000" w:themeColor="text1"/>
          <w:sz w:val="24"/>
          <w:szCs w:val="24"/>
          <w:lang w:val="en-US"/>
        </w:rPr>
      </w:pPr>
      <w:r w:rsidRPr="00CC34A3">
        <w:rPr>
          <w:rFonts w:ascii="Book Antiqua" w:hAnsi="Book Antiqua" w:cs="Times New Roman"/>
          <w:color w:val="000000" w:themeColor="text1"/>
          <w:sz w:val="24"/>
          <w:szCs w:val="24"/>
          <w:lang w:val="en-US"/>
        </w:rPr>
        <w:t>To investigate whether duodenal lesions induced by</w:t>
      </w:r>
      <w:r w:rsidRPr="00CC34A3">
        <w:rPr>
          <w:rFonts w:ascii="Book Antiqua" w:hAnsi="Book Antiqua" w:cs="Times New Roman"/>
          <w:b/>
          <w:color w:val="000000" w:themeColor="text1"/>
          <w:sz w:val="24"/>
          <w:szCs w:val="24"/>
          <w:lang w:val="en-US"/>
        </w:rPr>
        <w:t xml:space="preserve"> </w:t>
      </w:r>
      <w:r w:rsidRPr="00CC34A3">
        <w:rPr>
          <w:rFonts w:ascii="Book Antiqua" w:hAnsi="Book Antiqua" w:cs="Times New Roman"/>
          <w:color w:val="000000" w:themeColor="text1"/>
          <w:sz w:val="24"/>
          <w:szCs w:val="24"/>
          <w:lang w:val="en-US"/>
        </w:rPr>
        <w:t xml:space="preserve">major venous occlusions can be attenuated by BPC 157 regardless </w:t>
      </w:r>
      <w:r w:rsidR="00773972" w:rsidRPr="00CC34A3">
        <w:rPr>
          <w:rFonts w:ascii="Book Antiqua" w:hAnsi="Book Antiqua" w:cs="Times New Roman"/>
          <w:color w:val="000000" w:themeColor="text1"/>
          <w:sz w:val="24"/>
          <w:szCs w:val="24"/>
          <w:lang w:val="en-US"/>
        </w:rPr>
        <w:t>nitric oxide (</w:t>
      </w:r>
      <w:r w:rsidRPr="00CC34A3">
        <w:rPr>
          <w:rFonts w:ascii="Book Antiqua" w:hAnsi="Book Antiqua" w:cs="Times New Roman"/>
          <w:color w:val="000000" w:themeColor="text1"/>
          <w:sz w:val="24"/>
          <w:szCs w:val="24"/>
          <w:lang w:val="en-US"/>
        </w:rPr>
        <w:t>NO</w:t>
      </w:r>
      <w:r w:rsidR="00773972" w:rsidRPr="00CC34A3">
        <w:rPr>
          <w:rFonts w:ascii="Book Antiqua" w:hAnsi="Book Antiqua" w:cs="Times New Roman"/>
          <w:color w:val="000000" w:themeColor="text1"/>
          <w:sz w:val="24"/>
          <w:szCs w:val="24"/>
          <w:lang w:val="en-US"/>
        </w:rPr>
        <w:t>)</w:t>
      </w:r>
      <w:r w:rsidRPr="00CC34A3">
        <w:rPr>
          <w:rFonts w:ascii="Book Antiqua" w:hAnsi="Book Antiqua" w:cs="Times New Roman"/>
          <w:color w:val="000000" w:themeColor="text1"/>
          <w:sz w:val="24"/>
          <w:szCs w:val="24"/>
          <w:lang w:val="en-US"/>
        </w:rPr>
        <w:t xml:space="preserve"> system involvement.</w:t>
      </w:r>
    </w:p>
    <w:p w14:paraId="6C6037DC" w14:textId="77777777" w:rsidR="003021B3" w:rsidRPr="00CC34A3" w:rsidRDefault="003021B3" w:rsidP="00CC34A3">
      <w:pPr>
        <w:adjustRightInd w:val="0"/>
        <w:snapToGrid w:val="0"/>
        <w:spacing w:after="0" w:line="360" w:lineRule="auto"/>
        <w:jc w:val="both"/>
        <w:rPr>
          <w:rFonts w:ascii="Book Antiqua" w:hAnsi="Book Antiqua" w:cs="Times New Roman"/>
          <w:b/>
          <w:color w:val="000000" w:themeColor="text1"/>
          <w:sz w:val="24"/>
          <w:szCs w:val="24"/>
          <w:lang w:val="en-US"/>
        </w:rPr>
      </w:pPr>
    </w:p>
    <w:p w14:paraId="22756428" w14:textId="77777777" w:rsidR="003021B3" w:rsidRPr="00CC34A3" w:rsidRDefault="003021B3" w:rsidP="00CC34A3">
      <w:pPr>
        <w:adjustRightInd w:val="0"/>
        <w:snapToGrid w:val="0"/>
        <w:spacing w:after="0" w:line="360" w:lineRule="auto"/>
        <w:jc w:val="both"/>
        <w:outlineLvl w:val="0"/>
        <w:rPr>
          <w:rFonts w:ascii="Book Antiqua" w:hAnsi="Book Antiqua" w:cs="Times New Roman"/>
          <w:b/>
          <w:i/>
          <w:color w:val="000000" w:themeColor="text1"/>
          <w:sz w:val="24"/>
          <w:szCs w:val="24"/>
          <w:lang w:val="en-US"/>
        </w:rPr>
      </w:pPr>
      <w:r w:rsidRPr="00CC34A3">
        <w:rPr>
          <w:rFonts w:ascii="Book Antiqua" w:hAnsi="Book Antiqua" w:cs="Times New Roman"/>
          <w:b/>
          <w:i/>
          <w:color w:val="000000" w:themeColor="text1"/>
          <w:sz w:val="24"/>
          <w:szCs w:val="24"/>
          <w:lang w:val="en-US"/>
        </w:rPr>
        <w:t>METHODS</w:t>
      </w:r>
    </w:p>
    <w:p w14:paraId="1722BDE8" w14:textId="3F544FC9" w:rsidR="003021B3" w:rsidRPr="00CC34A3" w:rsidRDefault="003021B3" w:rsidP="00CC34A3">
      <w:pPr>
        <w:adjustRightInd w:val="0"/>
        <w:snapToGrid w:val="0"/>
        <w:spacing w:after="0" w:line="360" w:lineRule="auto"/>
        <w:jc w:val="both"/>
        <w:rPr>
          <w:rFonts w:ascii="Book Antiqua" w:hAnsi="Book Antiqua" w:cs="Courier New"/>
          <w:color w:val="000000" w:themeColor="text1"/>
          <w:sz w:val="24"/>
          <w:szCs w:val="24"/>
          <w:lang w:val="en-US"/>
        </w:rPr>
      </w:pPr>
      <w:r w:rsidRPr="00CC34A3">
        <w:rPr>
          <w:rFonts w:ascii="Book Antiqua" w:hAnsi="Book Antiqua" w:cs="Times New Roman"/>
          <w:color w:val="000000" w:themeColor="text1"/>
          <w:sz w:val="24"/>
          <w:szCs w:val="24"/>
          <w:lang w:val="en-US"/>
        </w:rPr>
        <w:t>Male Wistar</w:t>
      </w:r>
      <w:r w:rsidRPr="00CC34A3">
        <w:rPr>
          <w:rFonts w:ascii="Book Antiqua" w:hAnsi="Book Antiqua" w:cs="Times New Roman"/>
          <w:b/>
          <w:color w:val="000000" w:themeColor="text1"/>
          <w:sz w:val="24"/>
          <w:szCs w:val="24"/>
          <w:lang w:val="en-US"/>
        </w:rPr>
        <w:t xml:space="preserve"> </w:t>
      </w:r>
      <w:r w:rsidRPr="00CC34A3">
        <w:rPr>
          <w:rFonts w:ascii="Book Antiqua" w:hAnsi="Book Antiqua" w:cs="Times New Roman"/>
          <w:color w:val="000000" w:themeColor="text1"/>
          <w:sz w:val="24"/>
          <w:szCs w:val="24"/>
          <w:lang w:val="en-US"/>
        </w:rPr>
        <w:t>rats underwent superior anterior pancreaticoduodenal vein (</w:t>
      </w:r>
      <w:r w:rsidR="00992FA2" w:rsidRPr="00CC34A3">
        <w:rPr>
          <w:rFonts w:ascii="Book Antiqua" w:hAnsi="Book Antiqua" w:cs="Times New Roman"/>
          <w:color w:val="000000" w:themeColor="text1"/>
          <w:sz w:val="24"/>
          <w:szCs w:val="24"/>
          <w:lang w:val="en-US"/>
        </w:rPr>
        <w:t>SAPDV</w:t>
      </w:r>
      <w:r w:rsidRPr="00CC34A3">
        <w:rPr>
          <w:rFonts w:ascii="Book Antiqua" w:hAnsi="Book Antiqua" w:cs="Times New Roman"/>
          <w:color w:val="000000" w:themeColor="text1"/>
          <w:sz w:val="24"/>
          <w:szCs w:val="24"/>
          <w:lang w:val="en-US"/>
        </w:rPr>
        <w:t xml:space="preserve">)-ligation and were treated with a bath at the ligated SAPDV site (BPC 157 10 </w:t>
      </w:r>
      <w:proofErr w:type="spellStart"/>
      <w:r w:rsidRPr="00CC34A3">
        <w:rPr>
          <w:rFonts w:ascii="Book Antiqua" w:hAnsi="Book Antiqua" w:cs="Lucida Grande"/>
          <w:color w:val="000000" w:themeColor="text1"/>
          <w:sz w:val="24"/>
          <w:szCs w:val="24"/>
          <w:lang w:val="en-US"/>
        </w:rPr>
        <w:t>μ</w:t>
      </w:r>
      <w:r w:rsidRPr="00CC34A3">
        <w:rPr>
          <w:rFonts w:ascii="Book Antiqua" w:hAnsi="Book Antiqua" w:cs="Times New Roman"/>
          <w:color w:val="000000" w:themeColor="text1"/>
          <w:sz w:val="24"/>
          <w:szCs w:val="24"/>
          <w:lang w:val="en-US"/>
        </w:rPr>
        <w:t>g</w:t>
      </w:r>
      <w:proofErr w:type="spellEnd"/>
      <w:r w:rsidRPr="00CC34A3">
        <w:rPr>
          <w:rFonts w:ascii="Book Antiqua" w:hAnsi="Book Antiqua" w:cs="Times New Roman"/>
          <w:color w:val="000000" w:themeColor="text1"/>
          <w:sz w:val="24"/>
          <w:szCs w:val="24"/>
          <w:lang w:val="en-US"/>
        </w:rPr>
        <w:t xml:space="preserve">, 10 ng/kg per 1 mL bath/rat; L-NAME 5 mg/kg per 1 mL bath/rat; L-arginine 100 mg/kg per 1 mL bath/rat, alone and/or together; or BPC 157 10 </w:t>
      </w:r>
      <w:proofErr w:type="spellStart"/>
      <w:r w:rsidRPr="00CC34A3">
        <w:rPr>
          <w:rFonts w:ascii="Book Antiqua" w:hAnsi="Book Antiqua" w:cs="Lucida Grande"/>
          <w:color w:val="000000" w:themeColor="text1"/>
          <w:sz w:val="24"/>
          <w:szCs w:val="24"/>
          <w:lang w:val="en-US"/>
        </w:rPr>
        <w:t>μ</w:t>
      </w:r>
      <w:r w:rsidRPr="00CC34A3">
        <w:rPr>
          <w:rFonts w:ascii="Book Antiqua" w:hAnsi="Book Antiqua" w:cs="Times New Roman"/>
          <w:color w:val="000000" w:themeColor="text1"/>
          <w:sz w:val="24"/>
          <w:szCs w:val="24"/>
          <w:lang w:val="en-US"/>
        </w:rPr>
        <w:t>g</w:t>
      </w:r>
      <w:proofErr w:type="spellEnd"/>
      <w:r w:rsidRPr="00CC34A3">
        <w:rPr>
          <w:rFonts w:ascii="Book Antiqua" w:hAnsi="Book Antiqua" w:cs="Times New Roman"/>
          <w:color w:val="000000" w:themeColor="text1"/>
          <w:sz w:val="24"/>
          <w:szCs w:val="24"/>
          <w:lang w:val="en-US"/>
        </w:rPr>
        <w:t xml:space="preserve">/kg instilled into the rat stomach, at 1 min ligation-time).  </w:t>
      </w:r>
      <w:r w:rsidRPr="00CC34A3">
        <w:rPr>
          <w:rFonts w:ascii="Book Antiqua" w:hAnsi="Book Antiqua" w:cs="Courier New"/>
          <w:color w:val="000000" w:themeColor="text1"/>
          <w:sz w:val="24"/>
          <w:szCs w:val="24"/>
          <w:lang w:val="en-US"/>
        </w:rPr>
        <w:t xml:space="preserve">We recorded the vessel presentation (filled/appearance or emptied/disappearance) between the 5 arcade vessels arising from the </w:t>
      </w:r>
      <w:r w:rsidR="00992FA2" w:rsidRPr="00CC34A3">
        <w:rPr>
          <w:rFonts w:ascii="Book Antiqua" w:hAnsi="Book Antiqua" w:cs="Courier New"/>
          <w:color w:val="000000" w:themeColor="text1"/>
          <w:sz w:val="24"/>
          <w:szCs w:val="24"/>
          <w:lang w:val="en-US"/>
        </w:rPr>
        <w:t>SAPDV</w:t>
      </w:r>
      <w:r w:rsidRPr="00CC34A3">
        <w:rPr>
          <w:rFonts w:ascii="Book Antiqua" w:hAnsi="Book Antiqua" w:cs="Courier New"/>
          <w:color w:val="000000" w:themeColor="text1"/>
          <w:sz w:val="24"/>
          <w:szCs w:val="24"/>
          <w:lang w:val="en-US"/>
        </w:rPr>
        <w:t xml:space="preserve"> on the ventral duodenum side, the </w:t>
      </w:r>
      <w:r w:rsidRPr="00CC34A3">
        <w:rPr>
          <w:rFonts w:ascii="Book Antiqua" w:hAnsi="Book Antiqua" w:cs="Times New Roman"/>
          <w:color w:val="000000" w:themeColor="text1"/>
          <w:sz w:val="24"/>
          <w:szCs w:val="24"/>
          <w:lang w:val="en-US"/>
        </w:rPr>
        <w:t xml:space="preserve">inferior anterior pancreaticoduodenal vein (IAPDV) and </w:t>
      </w:r>
      <w:bookmarkStart w:id="16" w:name="OLE_LINK142"/>
      <w:bookmarkStart w:id="17" w:name="OLE_LINK143"/>
      <w:r w:rsidRPr="00CC34A3">
        <w:rPr>
          <w:rFonts w:ascii="Book Antiqua" w:hAnsi="Book Antiqua" w:cs="Times New Roman"/>
          <w:color w:val="000000" w:themeColor="text1"/>
          <w:sz w:val="24"/>
          <w:szCs w:val="24"/>
          <w:lang w:val="en-US"/>
        </w:rPr>
        <w:t>superior mesenteric vein</w:t>
      </w:r>
      <w:bookmarkEnd w:id="16"/>
      <w:bookmarkEnd w:id="17"/>
      <w:r w:rsidRPr="00CC34A3">
        <w:rPr>
          <w:rFonts w:ascii="Book Antiqua" w:hAnsi="Book Antiqua" w:cs="Times New Roman"/>
          <w:color w:val="000000" w:themeColor="text1"/>
          <w:sz w:val="24"/>
          <w:szCs w:val="24"/>
          <w:lang w:val="en-US"/>
        </w:rPr>
        <w:t xml:space="preserve"> (SMV) </w:t>
      </w:r>
      <w:r w:rsidRPr="00CC34A3">
        <w:rPr>
          <w:rFonts w:ascii="Book Antiqua" w:hAnsi="Book Antiqua" w:cs="Courier New"/>
          <w:color w:val="000000" w:themeColor="text1"/>
          <w:sz w:val="24"/>
          <w:szCs w:val="24"/>
          <w:lang w:val="en-US"/>
        </w:rPr>
        <w:t>as bypassing vascular pathway to document the duodenal lesions presentation; incr</w:t>
      </w:r>
      <w:r w:rsidR="00D87649" w:rsidRPr="00CC34A3">
        <w:rPr>
          <w:rFonts w:ascii="Book Antiqua" w:hAnsi="Book Antiqua" w:cs="Courier New"/>
          <w:color w:val="000000" w:themeColor="text1"/>
          <w:sz w:val="24"/>
          <w:szCs w:val="24"/>
          <w:lang w:val="en-US"/>
        </w:rPr>
        <w:t xml:space="preserve">eased NO- and oxidative stress </w:t>
      </w:r>
      <w:bookmarkStart w:id="18" w:name="OLE_LINK146"/>
      <w:r w:rsidR="00D87649" w:rsidRPr="00CC34A3">
        <w:rPr>
          <w:rFonts w:ascii="Book Antiqua" w:hAnsi="Book Antiqua" w:cs="Courier New"/>
          <w:color w:val="000000" w:themeColor="text1"/>
          <w:sz w:val="24"/>
          <w:szCs w:val="24"/>
          <w:lang w:val="en-US"/>
        </w:rPr>
        <w:t>[malondialdehyde (</w:t>
      </w:r>
      <w:r w:rsidRPr="00CC34A3">
        <w:rPr>
          <w:rFonts w:ascii="Book Antiqua" w:hAnsi="Book Antiqua" w:cs="Courier New"/>
          <w:color w:val="000000" w:themeColor="text1"/>
          <w:sz w:val="24"/>
          <w:szCs w:val="24"/>
          <w:lang w:val="en-US"/>
        </w:rPr>
        <w:t>MDA)</w:t>
      </w:r>
      <w:r w:rsidR="00D87649" w:rsidRPr="00CC34A3">
        <w:rPr>
          <w:rFonts w:ascii="Book Antiqua" w:hAnsi="Book Antiqua" w:cs="Courier New"/>
          <w:color w:val="000000" w:themeColor="text1"/>
          <w:sz w:val="24"/>
          <w:szCs w:val="24"/>
          <w:lang w:val="en-US"/>
        </w:rPr>
        <w:t>]</w:t>
      </w:r>
      <w:bookmarkEnd w:id="18"/>
      <w:r w:rsidRPr="00CC34A3">
        <w:rPr>
          <w:rFonts w:ascii="Book Antiqua" w:hAnsi="Book Antiqua" w:cs="Courier New"/>
          <w:color w:val="000000" w:themeColor="text1"/>
          <w:sz w:val="24"/>
          <w:szCs w:val="24"/>
          <w:lang w:val="en-US"/>
        </w:rPr>
        <w:t>-levels in duodenum.</w:t>
      </w:r>
    </w:p>
    <w:p w14:paraId="16AA00A6" w14:textId="77777777" w:rsidR="00D87649" w:rsidRPr="00CC34A3" w:rsidRDefault="00D87649" w:rsidP="00CC34A3">
      <w:pPr>
        <w:adjustRightInd w:val="0"/>
        <w:snapToGrid w:val="0"/>
        <w:spacing w:after="0" w:line="360" w:lineRule="auto"/>
        <w:jc w:val="both"/>
        <w:rPr>
          <w:rFonts w:ascii="Book Antiqua" w:hAnsi="Book Antiqua" w:cs="Courier New"/>
          <w:color w:val="000000" w:themeColor="text1"/>
          <w:sz w:val="24"/>
          <w:szCs w:val="24"/>
          <w:lang w:val="en-US"/>
        </w:rPr>
      </w:pPr>
    </w:p>
    <w:p w14:paraId="12E79DF9" w14:textId="0E89FA16" w:rsidR="00D87649" w:rsidRPr="00CC34A3" w:rsidRDefault="003021B3" w:rsidP="00CC34A3">
      <w:pPr>
        <w:adjustRightInd w:val="0"/>
        <w:snapToGrid w:val="0"/>
        <w:spacing w:after="0" w:line="360" w:lineRule="auto"/>
        <w:jc w:val="both"/>
        <w:rPr>
          <w:rFonts w:ascii="Book Antiqua" w:hAnsi="Book Antiqua" w:cs="Times New Roman"/>
          <w:b/>
          <w:i/>
          <w:color w:val="000000" w:themeColor="text1"/>
          <w:sz w:val="24"/>
          <w:szCs w:val="24"/>
          <w:lang w:val="en-US"/>
        </w:rPr>
      </w:pPr>
      <w:r w:rsidRPr="00CC34A3">
        <w:rPr>
          <w:rFonts w:ascii="Book Antiqua" w:hAnsi="Book Antiqua" w:cs="Times New Roman"/>
          <w:b/>
          <w:i/>
          <w:color w:val="000000" w:themeColor="text1"/>
          <w:sz w:val="24"/>
          <w:szCs w:val="24"/>
          <w:lang w:val="en-US"/>
        </w:rPr>
        <w:t>RESULTS</w:t>
      </w:r>
    </w:p>
    <w:p w14:paraId="2ADC3DD5" w14:textId="275C03D7" w:rsidR="003021B3" w:rsidRPr="00CC34A3" w:rsidRDefault="003021B3" w:rsidP="00CC34A3">
      <w:pPr>
        <w:adjustRightInd w:val="0"/>
        <w:snapToGrid w:val="0"/>
        <w:spacing w:after="0" w:line="360" w:lineRule="auto"/>
        <w:jc w:val="both"/>
        <w:rPr>
          <w:rFonts w:ascii="Book Antiqua" w:hAnsi="Book Antiqua" w:cs="Times New Roman"/>
          <w:color w:val="000000" w:themeColor="text1"/>
          <w:sz w:val="24"/>
          <w:szCs w:val="24"/>
          <w:lang w:val="en-US"/>
        </w:rPr>
      </w:pPr>
      <w:r w:rsidRPr="00CC34A3">
        <w:rPr>
          <w:rFonts w:ascii="Book Antiqua" w:hAnsi="Book Antiqua" w:cs="Times New Roman"/>
          <w:color w:val="000000" w:themeColor="text1"/>
          <w:sz w:val="24"/>
          <w:szCs w:val="24"/>
          <w:lang w:val="en-US"/>
        </w:rPr>
        <w:t xml:space="preserve">Unlike the severe course in the </w:t>
      </w:r>
      <w:r w:rsidR="00992FA2" w:rsidRPr="00CC34A3">
        <w:rPr>
          <w:rFonts w:ascii="Book Antiqua" w:hAnsi="Book Antiqua" w:cs="Times New Roman"/>
          <w:color w:val="000000" w:themeColor="text1"/>
          <w:sz w:val="24"/>
          <w:szCs w:val="24"/>
          <w:lang w:val="en-US"/>
        </w:rPr>
        <w:t>SAPDV</w:t>
      </w:r>
      <w:r w:rsidRPr="00CC34A3">
        <w:rPr>
          <w:rFonts w:ascii="Book Antiqua" w:hAnsi="Book Antiqua" w:cs="Times New Roman"/>
          <w:color w:val="000000" w:themeColor="text1"/>
          <w:sz w:val="24"/>
          <w:szCs w:val="24"/>
          <w:lang w:val="en-US"/>
        </w:rPr>
        <w:t xml:space="preserve">-ligated controls, after BPC 157 application, the rats exhibited strong attenuation of the mucosal lesions and serosal congestion, improved vessel presentation, increased interconnections, increased branching by more than 60% from the initial value, the IAPDV and SMV were not congested. Interestingly, after 5 min and 30 min of L-NAME and L-arginine treatment alone, decreased mucosal and serosal duodenal lesions were observed; their effect was worsened at 24 h, and no effect on the collateral vessels and branching was seen. Together, L-NAME+L-arginine antagonized each other’s response, and thus, there was an NO-related effect. With BPC 157, all SAPDV-ligated rats receiving L-NAME and/or L-arginine appeared similar to the rats treated with BPC 157 alone. </w:t>
      </w:r>
      <w:r w:rsidRPr="00CC34A3">
        <w:rPr>
          <w:rFonts w:ascii="Book Antiqua" w:hAnsi="Book Antiqua"/>
          <w:color w:val="000000" w:themeColor="text1"/>
          <w:sz w:val="24"/>
          <w:szCs w:val="24"/>
          <w:lang w:val="en-US"/>
        </w:rPr>
        <w:t xml:space="preserve">Also, BPC 157 in </w:t>
      </w:r>
      <w:r w:rsidR="00992FA2" w:rsidRPr="00CC34A3">
        <w:rPr>
          <w:rFonts w:ascii="Book Antiqua" w:hAnsi="Book Antiqua"/>
          <w:color w:val="000000" w:themeColor="text1"/>
          <w:sz w:val="24"/>
          <w:szCs w:val="24"/>
          <w:lang w:val="en-US"/>
        </w:rPr>
        <w:t>SAPDV</w:t>
      </w:r>
      <w:r w:rsidRPr="00CC34A3">
        <w:rPr>
          <w:rFonts w:ascii="Book Antiqua" w:hAnsi="Book Antiqua"/>
          <w:color w:val="000000" w:themeColor="text1"/>
          <w:sz w:val="24"/>
          <w:szCs w:val="24"/>
          <w:lang w:val="en-US"/>
        </w:rPr>
        <w:t>-ligated rats normalized levels of NO and MDA, two oxidative stress markers, in duodenal tissues.</w:t>
      </w:r>
    </w:p>
    <w:p w14:paraId="5E4BD729" w14:textId="77777777" w:rsidR="00D87649" w:rsidRPr="00CC34A3" w:rsidRDefault="00D87649" w:rsidP="00CC34A3">
      <w:pPr>
        <w:adjustRightInd w:val="0"/>
        <w:snapToGrid w:val="0"/>
        <w:spacing w:after="0" w:line="360" w:lineRule="auto"/>
        <w:jc w:val="both"/>
        <w:rPr>
          <w:rFonts w:ascii="Book Antiqua" w:hAnsi="Book Antiqua" w:cs="Times New Roman"/>
          <w:b/>
          <w:i/>
          <w:color w:val="000000" w:themeColor="text1"/>
          <w:sz w:val="24"/>
          <w:szCs w:val="24"/>
          <w:lang w:val="en-US"/>
        </w:rPr>
      </w:pPr>
    </w:p>
    <w:p w14:paraId="29DDE25B" w14:textId="77777777" w:rsidR="00D87649" w:rsidRPr="00CC34A3" w:rsidRDefault="003021B3" w:rsidP="00CC34A3">
      <w:pPr>
        <w:adjustRightInd w:val="0"/>
        <w:snapToGrid w:val="0"/>
        <w:spacing w:after="0" w:line="360" w:lineRule="auto"/>
        <w:jc w:val="both"/>
        <w:rPr>
          <w:rFonts w:ascii="Book Antiqua" w:hAnsi="Book Antiqua" w:cs="Times New Roman"/>
          <w:b/>
          <w:i/>
          <w:color w:val="000000" w:themeColor="text1"/>
          <w:sz w:val="24"/>
          <w:szCs w:val="24"/>
          <w:lang w:val="en-US"/>
        </w:rPr>
      </w:pPr>
      <w:r w:rsidRPr="00CC34A3">
        <w:rPr>
          <w:rFonts w:ascii="Book Antiqua" w:hAnsi="Book Antiqua" w:cs="Times New Roman"/>
          <w:b/>
          <w:i/>
          <w:color w:val="000000" w:themeColor="text1"/>
          <w:sz w:val="24"/>
          <w:szCs w:val="24"/>
          <w:lang w:val="en-US"/>
        </w:rPr>
        <w:lastRenderedPageBreak/>
        <w:t>CONCLUSION</w:t>
      </w:r>
    </w:p>
    <w:p w14:paraId="5E3CD1F8" w14:textId="2D4CDDFD" w:rsidR="003021B3" w:rsidRPr="00CC34A3" w:rsidRDefault="003021B3" w:rsidP="00CC34A3">
      <w:pPr>
        <w:adjustRightInd w:val="0"/>
        <w:snapToGrid w:val="0"/>
        <w:spacing w:after="0" w:line="360" w:lineRule="auto"/>
        <w:jc w:val="both"/>
        <w:rPr>
          <w:rFonts w:ascii="Book Antiqua" w:hAnsi="Book Antiqua" w:cs="Times New Roman"/>
          <w:color w:val="000000" w:themeColor="text1"/>
          <w:sz w:val="24"/>
          <w:szCs w:val="24"/>
          <w:lang w:val="en-US"/>
        </w:rPr>
      </w:pPr>
      <w:r w:rsidRPr="00CC34A3">
        <w:rPr>
          <w:rFonts w:ascii="Book Antiqua" w:hAnsi="Book Antiqua" w:cs="Times New Roman"/>
          <w:color w:val="000000" w:themeColor="text1"/>
          <w:sz w:val="24"/>
          <w:szCs w:val="24"/>
          <w:lang w:val="en-US"/>
        </w:rPr>
        <w:t>BPC 157, rapidly bypassing occlusion, rescued the original duodenal flow through IAPDV to SMV flow, an effect related to the NO system</w:t>
      </w:r>
      <w:r w:rsidRPr="00CC34A3">
        <w:rPr>
          <w:rFonts w:ascii="Book Antiqua" w:hAnsi="Book Antiqua" w:cs="Courier New"/>
          <w:color w:val="000000" w:themeColor="text1"/>
          <w:sz w:val="24"/>
          <w:szCs w:val="24"/>
          <w:lang w:val="en-US"/>
        </w:rPr>
        <w:t xml:space="preserve"> and reduction of free radical formation</w:t>
      </w:r>
      <w:r w:rsidRPr="00CC34A3">
        <w:rPr>
          <w:rFonts w:ascii="Book Antiqua" w:hAnsi="Book Antiqua" w:cs="Times New Roman"/>
          <w:color w:val="000000" w:themeColor="text1"/>
          <w:sz w:val="24"/>
          <w:szCs w:val="24"/>
          <w:lang w:val="en-US"/>
        </w:rPr>
        <w:t>.</w:t>
      </w:r>
    </w:p>
    <w:p w14:paraId="63C39E10" w14:textId="77777777" w:rsidR="00D87649" w:rsidRPr="00CC34A3" w:rsidRDefault="00D87649" w:rsidP="00CC34A3">
      <w:pPr>
        <w:adjustRightInd w:val="0"/>
        <w:snapToGrid w:val="0"/>
        <w:spacing w:after="0" w:line="360" w:lineRule="auto"/>
        <w:jc w:val="both"/>
        <w:rPr>
          <w:rFonts w:ascii="Book Antiqua" w:hAnsi="Book Antiqua" w:cs="Times New Roman"/>
          <w:color w:val="000000" w:themeColor="text1"/>
          <w:sz w:val="24"/>
          <w:szCs w:val="24"/>
          <w:lang w:val="en-US"/>
        </w:rPr>
      </w:pPr>
    </w:p>
    <w:p w14:paraId="5F2192EF" w14:textId="0F7C41D4" w:rsidR="003021B3" w:rsidRPr="00CC34A3" w:rsidRDefault="003021B3" w:rsidP="00CC34A3">
      <w:pPr>
        <w:adjustRightInd w:val="0"/>
        <w:snapToGrid w:val="0"/>
        <w:spacing w:after="0" w:line="360" w:lineRule="auto"/>
        <w:jc w:val="both"/>
        <w:rPr>
          <w:rFonts w:ascii="Book Antiqua" w:hAnsi="Book Antiqua" w:cs="Times New Roman"/>
          <w:color w:val="000000" w:themeColor="text1"/>
          <w:sz w:val="24"/>
          <w:szCs w:val="24"/>
          <w:lang w:val="en-US"/>
        </w:rPr>
      </w:pPr>
      <w:r w:rsidRPr="00CC34A3">
        <w:rPr>
          <w:rFonts w:ascii="Book Antiqua" w:hAnsi="Book Antiqua" w:cs="Times New Roman"/>
          <w:b/>
          <w:color w:val="000000" w:themeColor="text1"/>
          <w:sz w:val="24"/>
          <w:szCs w:val="24"/>
          <w:lang w:val="en-US"/>
        </w:rPr>
        <w:t>K</w:t>
      </w:r>
      <w:r w:rsidR="00D87649" w:rsidRPr="00CC34A3">
        <w:rPr>
          <w:rFonts w:ascii="Book Antiqua" w:hAnsi="Book Antiqua" w:cs="Times New Roman"/>
          <w:b/>
          <w:color w:val="000000" w:themeColor="text1"/>
          <w:sz w:val="24"/>
          <w:szCs w:val="24"/>
          <w:lang w:val="en-US"/>
        </w:rPr>
        <w:t>ey words</w:t>
      </w:r>
      <w:r w:rsidRPr="00CC34A3">
        <w:rPr>
          <w:rFonts w:ascii="Book Antiqua" w:hAnsi="Book Antiqua" w:cs="Times New Roman"/>
          <w:b/>
          <w:color w:val="000000" w:themeColor="text1"/>
          <w:sz w:val="24"/>
          <w:szCs w:val="24"/>
          <w:lang w:val="en-US"/>
        </w:rPr>
        <w:t>:</w:t>
      </w:r>
      <w:r w:rsidR="00D87649" w:rsidRPr="00CC34A3">
        <w:rPr>
          <w:rFonts w:ascii="Book Antiqua" w:hAnsi="Book Antiqua" w:cs="Times New Roman"/>
          <w:color w:val="000000" w:themeColor="text1"/>
          <w:sz w:val="24"/>
          <w:szCs w:val="24"/>
          <w:lang w:val="en-US"/>
        </w:rPr>
        <w:t xml:space="preserve"> Bypassing; Major venous occlusion; D</w:t>
      </w:r>
      <w:r w:rsidRPr="00CC34A3">
        <w:rPr>
          <w:rFonts w:ascii="Book Antiqua" w:hAnsi="Book Antiqua" w:cs="Times New Roman"/>
          <w:color w:val="000000" w:themeColor="text1"/>
          <w:sz w:val="24"/>
          <w:szCs w:val="24"/>
          <w:lang w:val="en-US"/>
        </w:rPr>
        <w:t xml:space="preserve">uodenal lesions; BPC 157; L-NAME; L-arginine; </w:t>
      </w:r>
      <w:r w:rsidR="00D87649" w:rsidRPr="00CC34A3">
        <w:rPr>
          <w:rFonts w:ascii="Book Antiqua" w:hAnsi="Book Antiqua" w:cs="Courier New"/>
          <w:color w:val="000000" w:themeColor="text1"/>
          <w:sz w:val="24"/>
          <w:szCs w:val="24"/>
          <w:lang w:val="en-US"/>
        </w:rPr>
        <w:t>R</w:t>
      </w:r>
      <w:r w:rsidRPr="00CC34A3">
        <w:rPr>
          <w:rFonts w:ascii="Book Antiqua" w:hAnsi="Book Antiqua" w:cs="Courier New"/>
          <w:color w:val="000000" w:themeColor="text1"/>
          <w:sz w:val="24"/>
          <w:szCs w:val="24"/>
          <w:lang w:val="en-US"/>
        </w:rPr>
        <w:t>eduction of free radical formation</w:t>
      </w:r>
      <w:r w:rsidR="00D87649" w:rsidRPr="00CC34A3">
        <w:rPr>
          <w:rFonts w:ascii="Book Antiqua" w:hAnsi="Book Antiqua" w:cs="Times New Roman"/>
          <w:color w:val="000000" w:themeColor="text1"/>
          <w:sz w:val="24"/>
          <w:szCs w:val="24"/>
          <w:lang w:val="en-US"/>
        </w:rPr>
        <w:t>;</w:t>
      </w:r>
      <w:r w:rsidRPr="00CC34A3">
        <w:rPr>
          <w:rFonts w:ascii="Book Antiqua" w:hAnsi="Book Antiqua" w:cs="Times New Roman"/>
          <w:color w:val="000000" w:themeColor="text1"/>
          <w:sz w:val="24"/>
          <w:szCs w:val="24"/>
          <w:lang w:val="en-US"/>
        </w:rPr>
        <w:t xml:space="preserve"> </w:t>
      </w:r>
      <w:r w:rsidR="00D87649" w:rsidRPr="00CC34A3">
        <w:rPr>
          <w:rFonts w:ascii="Book Antiqua" w:hAnsi="Book Antiqua" w:cs="Times New Roman"/>
          <w:color w:val="000000" w:themeColor="text1"/>
          <w:sz w:val="24"/>
          <w:szCs w:val="24"/>
          <w:lang w:val="en-US"/>
        </w:rPr>
        <w:t>R</w:t>
      </w:r>
      <w:r w:rsidRPr="00CC34A3">
        <w:rPr>
          <w:rFonts w:ascii="Book Antiqua" w:hAnsi="Book Antiqua" w:cs="Times New Roman"/>
          <w:color w:val="000000" w:themeColor="text1"/>
          <w:sz w:val="24"/>
          <w:szCs w:val="24"/>
          <w:lang w:val="en-US"/>
        </w:rPr>
        <w:t>ats</w:t>
      </w:r>
    </w:p>
    <w:p w14:paraId="2CF61292" w14:textId="77777777" w:rsidR="00D87649" w:rsidRPr="00CC34A3" w:rsidRDefault="00D87649" w:rsidP="00CC34A3">
      <w:pPr>
        <w:adjustRightInd w:val="0"/>
        <w:snapToGrid w:val="0"/>
        <w:spacing w:after="0" w:line="360" w:lineRule="auto"/>
        <w:jc w:val="both"/>
        <w:rPr>
          <w:rFonts w:ascii="Book Antiqua" w:hAnsi="Book Antiqua" w:cs="Times New Roman"/>
          <w:color w:val="000000" w:themeColor="text1"/>
          <w:sz w:val="24"/>
          <w:szCs w:val="24"/>
          <w:lang w:val="en-US"/>
        </w:rPr>
      </w:pPr>
    </w:p>
    <w:p w14:paraId="7733397C" w14:textId="441125EA" w:rsidR="00D87649" w:rsidRPr="00CC34A3" w:rsidRDefault="00D87649" w:rsidP="00CC34A3">
      <w:pPr>
        <w:adjustRightInd w:val="0"/>
        <w:snapToGrid w:val="0"/>
        <w:spacing w:after="0" w:line="360" w:lineRule="auto"/>
        <w:jc w:val="both"/>
        <w:rPr>
          <w:rFonts w:ascii="Book Antiqua" w:hAnsi="Book Antiqua"/>
          <w:sz w:val="24"/>
          <w:szCs w:val="24"/>
          <w:lang w:val="en-US"/>
        </w:rPr>
      </w:pPr>
      <w:bookmarkStart w:id="19" w:name="OLE_LINK44"/>
      <w:r w:rsidRPr="00CC34A3">
        <w:rPr>
          <w:rFonts w:ascii="Book Antiqua" w:hAnsi="Book Antiqua"/>
          <w:b/>
          <w:sz w:val="24"/>
          <w:szCs w:val="24"/>
          <w:lang w:val="en-US"/>
        </w:rPr>
        <w:t xml:space="preserve">© The Author(s) 2018. </w:t>
      </w:r>
      <w:r w:rsidRPr="00CC34A3">
        <w:rPr>
          <w:rFonts w:ascii="Book Antiqua" w:hAnsi="Book Antiqua"/>
          <w:sz w:val="24"/>
          <w:szCs w:val="24"/>
          <w:lang w:val="en-US"/>
        </w:rPr>
        <w:t xml:space="preserve">Published by </w:t>
      </w:r>
      <w:proofErr w:type="spellStart"/>
      <w:r w:rsidRPr="00CC34A3">
        <w:rPr>
          <w:rFonts w:ascii="Book Antiqua" w:hAnsi="Book Antiqua"/>
          <w:sz w:val="24"/>
          <w:szCs w:val="24"/>
          <w:lang w:val="en-US"/>
        </w:rPr>
        <w:t>Baishideng</w:t>
      </w:r>
      <w:proofErr w:type="spellEnd"/>
      <w:r w:rsidRPr="00CC34A3">
        <w:rPr>
          <w:rFonts w:ascii="Book Antiqua" w:hAnsi="Book Antiqua"/>
          <w:sz w:val="24"/>
          <w:szCs w:val="24"/>
          <w:lang w:val="en-US"/>
        </w:rPr>
        <w:t xml:space="preserve"> Publishing Group Inc. All rights reserved.</w:t>
      </w:r>
      <w:bookmarkEnd w:id="19"/>
    </w:p>
    <w:p w14:paraId="60E84A9D" w14:textId="77777777" w:rsidR="00D87649" w:rsidRPr="00CC34A3" w:rsidRDefault="00D87649" w:rsidP="00CC34A3">
      <w:pPr>
        <w:adjustRightInd w:val="0"/>
        <w:snapToGrid w:val="0"/>
        <w:spacing w:after="0" w:line="360" w:lineRule="auto"/>
        <w:jc w:val="both"/>
        <w:rPr>
          <w:rFonts w:ascii="Book Antiqua" w:eastAsia="Calibri" w:hAnsi="Book Antiqua" w:cs="Times New Roman"/>
          <w:b/>
          <w:color w:val="000000" w:themeColor="text1"/>
          <w:sz w:val="24"/>
          <w:szCs w:val="24"/>
          <w:lang w:val="en-US"/>
        </w:rPr>
      </w:pPr>
    </w:p>
    <w:p w14:paraId="71F4BE2C" w14:textId="061A1AFE" w:rsidR="006E2B0A" w:rsidRPr="00CC34A3" w:rsidRDefault="006E2B0A" w:rsidP="00CC34A3">
      <w:pPr>
        <w:adjustRightInd w:val="0"/>
        <w:snapToGrid w:val="0"/>
        <w:spacing w:after="0" w:line="360" w:lineRule="auto"/>
        <w:jc w:val="both"/>
        <w:rPr>
          <w:rFonts w:ascii="Book Antiqua" w:eastAsia="Calibri" w:hAnsi="Book Antiqua" w:cs="Times New Roman"/>
          <w:b/>
          <w:color w:val="000000" w:themeColor="text1"/>
          <w:sz w:val="24"/>
          <w:szCs w:val="24"/>
          <w:lang w:val="en-US"/>
        </w:rPr>
      </w:pPr>
      <w:r w:rsidRPr="00CC34A3">
        <w:rPr>
          <w:rFonts w:ascii="Book Antiqua" w:eastAsia="Calibri" w:hAnsi="Book Antiqua" w:cs="Times New Roman"/>
          <w:b/>
          <w:color w:val="000000" w:themeColor="text1"/>
          <w:sz w:val="24"/>
          <w:szCs w:val="24"/>
          <w:lang w:val="en-US"/>
        </w:rPr>
        <w:t>Core tip</w:t>
      </w:r>
      <w:r w:rsidR="003021B3" w:rsidRPr="00CC34A3">
        <w:rPr>
          <w:rFonts w:ascii="Book Antiqua" w:eastAsia="Calibri" w:hAnsi="Book Antiqua" w:cs="Times New Roman"/>
          <w:b/>
          <w:color w:val="000000" w:themeColor="text1"/>
          <w:sz w:val="24"/>
          <w:szCs w:val="24"/>
          <w:lang w:val="en-US"/>
        </w:rPr>
        <w:t xml:space="preserve">: </w:t>
      </w:r>
      <w:r w:rsidRPr="00CC34A3">
        <w:rPr>
          <w:rFonts w:ascii="Book Antiqua" w:eastAsia="Calibri" w:hAnsi="Book Antiqua" w:cs="Times New Roman"/>
          <w:color w:val="000000" w:themeColor="text1"/>
          <w:sz w:val="24"/>
          <w:szCs w:val="24"/>
          <w:lang w:val="en-US"/>
        </w:rPr>
        <w:t>Up to now, application of, prototype cytoprotective agent BPC 157 induced bypassing of occlusion, in rats underwent vessels occlusions, through rapid collaterals presentation, and lesions and whole consequent syndrome (ischemic colitis; deep vein thrombosis, Virchow triad) were attenuated. In rats underwent superior anterior pancreaticoduodenal vein-ligation, medication was with BPC 157, L-NAME; L-arginine, saline given alone and/or together at 1 min ligation time. Unlike severe course in controls, BPC 157 rats commonly exhibited strong attenuation of mucosal lesion and serosal congestion, since BPC 157 rescued original duodenal flow through inferior anterior pancreaticoduodenal vein to superior mesenteric vein flow.</w:t>
      </w:r>
    </w:p>
    <w:p w14:paraId="55309917" w14:textId="77777777" w:rsidR="006E2B0A" w:rsidRPr="00CC34A3" w:rsidRDefault="006E2B0A" w:rsidP="00CC34A3">
      <w:pPr>
        <w:adjustRightInd w:val="0"/>
        <w:snapToGrid w:val="0"/>
        <w:spacing w:after="0" w:line="360" w:lineRule="auto"/>
        <w:jc w:val="both"/>
        <w:rPr>
          <w:rFonts w:ascii="Book Antiqua" w:eastAsia="Calibri" w:hAnsi="Book Antiqua" w:cs="Times New Roman"/>
          <w:i/>
          <w:color w:val="000000" w:themeColor="text1"/>
          <w:sz w:val="24"/>
          <w:szCs w:val="24"/>
          <w:lang w:val="en-US"/>
        </w:rPr>
      </w:pPr>
    </w:p>
    <w:p w14:paraId="2B46EEA4" w14:textId="2374B192" w:rsidR="006E2B0A" w:rsidRPr="00CC34A3" w:rsidRDefault="006E2B0A" w:rsidP="00CC34A3">
      <w:pPr>
        <w:adjustRightInd w:val="0"/>
        <w:snapToGrid w:val="0"/>
        <w:spacing w:after="0" w:line="360" w:lineRule="auto"/>
        <w:jc w:val="both"/>
        <w:rPr>
          <w:rFonts w:ascii="Book Antiqua" w:eastAsia="Calibri" w:hAnsi="Book Antiqua" w:cs="Times New Roman"/>
          <w:color w:val="000000" w:themeColor="text1"/>
          <w:sz w:val="24"/>
          <w:szCs w:val="24"/>
          <w:lang w:val="en-US"/>
        </w:rPr>
      </w:pPr>
      <w:proofErr w:type="spellStart"/>
      <w:r w:rsidRPr="00CC34A3">
        <w:rPr>
          <w:rFonts w:ascii="Book Antiqua" w:eastAsia="Calibri" w:hAnsi="Book Antiqua" w:cs="Times New Roman"/>
          <w:color w:val="000000" w:themeColor="text1"/>
          <w:sz w:val="24"/>
          <w:szCs w:val="24"/>
          <w:lang w:val="en-US"/>
        </w:rPr>
        <w:t>Amic</w:t>
      </w:r>
      <w:proofErr w:type="spellEnd"/>
      <w:r w:rsidRPr="00CC34A3">
        <w:rPr>
          <w:rFonts w:ascii="Book Antiqua" w:eastAsia="Calibri" w:hAnsi="Book Antiqua" w:cs="Times New Roman"/>
          <w:color w:val="000000" w:themeColor="text1"/>
          <w:sz w:val="24"/>
          <w:szCs w:val="24"/>
          <w:lang w:val="en-US"/>
        </w:rPr>
        <w:t xml:space="preserve"> F, Drmic D, </w:t>
      </w:r>
      <w:proofErr w:type="spellStart"/>
      <w:r w:rsidRPr="00CC34A3">
        <w:rPr>
          <w:rFonts w:ascii="Book Antiqua" w:eastAsia="Calibri" w:hAnsi="Book Antiqua" w:cs="Times New Roman"/>
          <w:color w:val="000000" w:themeColor="text1"/>
          <w:sz w:val="24"/>
          <w:szCs w:val="24"/>
          <w:lang w:val="en-US"/>
        </w:rPr>
        <w:t>Bilic</w:t>
      </w:r>
      <w:proofErr w:type="spellEnd"/>
      <w:r w:rsidRPr="00CC34A3">
        <w:rPr>
          <w:rFonts w:ascii="Book Antiqua" w:eastAsia="Calibri" w:hAnsi="Book Antiqua" w:cs="Times New Roman"/>
          <w:color w:val="000000" w:themeColor="text1"/>
          <w:sz w:val="24"/>
          <w:szCs w:val="24"/>
          <w:lang w:val="en-US"/>
        </w:rPr>
        <w:t xml:space="preserve"> Z, </w:t>
      </w:r>
      <w:proofErr w:type="spellStart"/>
      <w:r w:rsidRPr="00CC34A3">
        <w:rPr>
          <w:rFonts w:ascii="Book Antiqua" w:eastAsia="Calibri" w:hAnsi="Book Antiqua" w:cs="Times New Roman"/>
          <w:color w:val="000000" w:themeColor="text1"/>
          <w:sz w:val="24"/>
          <w:szCs w:val="24"/>
          <w:lang w:val="en-US"/>
        </w:rPr>
        <w:t>Krezic</w:t>
      </w:r>
      <w:proofErr w:type="spellEnd"/>
      <w:r w:rsidRPr="00CC34A3">
        <w:rPr>
          <w:rFonts w:ascii="Book Antiqua" w:eastAsia="Calibri" w:hAnsi="Book Antiqua" w:cs="Times New Roman"/>
          <w:color w:val="000000" w:themeColor="text1"/>
          <w:sz w:val="24"/>
          <w:szCs w:val="24"/>
          <w:lang w:val="en-US"/>
        </w:rPr>
        <w:t xml:space="preserve"> I, </w:t>
      </w:r>
      <w:proofErr w:type="spellStart"/>
      <w:r w:rsidRPr="00CC34A3">
        <w:rPr>
          <w:rFonts w:ascii="Book Antiqua" w:eastAsia="Calibri" w:hAnsi="Book Antiqua" w:cs="Times New Roman"/>
          <w:color w:val="000000" w:themeColor="text1"/>
          <w:sz w:val="24"/>
          <w:szCs w:val="24"/>
          <w:lang w:val="en-US"/>
        </w:rPr>
        <w:t>Zizek</w:t>
      </w:r>
      <w:proofErr w:type="spellEnd"/>
      <w:r w:rsidRPr="00CC34A3">
        <w:rPr>
          <w:rFonts w:ascii="Book Antiqua" w:eastAsia="Calibri" w:hAnsi="Book Antiqua" w:cs="Times New Roman"/>
          <w:color w:val="000000" w:themeColor="text1"/>
          <w:sz w:val="24"/>
          <w:szCs w:val="24"/>
          <w:lang w:val="en-US"/>
        </w:rPr>
        <w:t xml:space="preserve"> H, </w:t>
      </w:r>
      <w:proofErr w:type="spellStart"/>
      <w:r w:rsidRPr="00CC34A3">
        <w:rPr>
          <w:rFonts w:ascii="Book Antiqua" w:eastAsia="Calibri" w:hAnsi="Book Antiqua" w:cs="Times New Roman"/>
          <w:color w:val="000000" w:themeColor="text1"/>
          <w:sz w:val="24"/>
          <w:szCs w:val="24"/>
          <w:lang w:val="en-US"/>
        </w:rPr>
        <w:t>Peklic</w:t>
      </w:r>
      <w:proofErr w:type="spellEnd"/>
      <w:r w:rsidRPr="00CC34A3">
        <w:rPr>
          <w:rFonts w:ascii="Book Antiqua" w:eastAsia="Calibri" w:hAnsi="Book Antiqua" w:cs="Times New Roman"/>
          <w:color w:val="000000" w:themeColor="text1"/>
          <w:sz w:val="24"/>
          <w:szCs w:val="24"/>
          <w:lang w:val="en-US"/>
        </w:rPr>
        <w:t xml:space="preserve"> M, </w:t>
      </w:r>
      <w:proofErr w:type="spellStart"/>
      <w:r w:rsidRPr="00CC34A3">
        <w:rPr>
          <w:rFonts w:ascii="Book Antiqua" w:eastAsia="Calibri" w:hAnsi="Book Antiqua" w:cs="Times New Roman"/>
          <w:color w:val="000000" w:themeColor="text1"/>
          <w:sz w:val="24"/>
          <w:szCs w:val="24"/>
          <w:lang w:val="en-US"/>
        </w:rPr>
        <w:t>Klicek</w:t>
      </w:r>
      <w:proofErr w:type="spellEnd"/>
      <w:r w:rsidRPr="00CC34A3">
        <w:rPr>
          <w:rFonts w:ascii="Book Antiqua" w:eastAsia="Calibri" w:hAnsi="Book Antiqua" w:cs="Times New Roman"/>
          <w:color w:val="000000" w:themeColor="text1"/>
          <w:sz w:val="24"/>
          <w:szCs w:val="24"/>
          <w:lang w:val="en-US"/>
        </w:rPr>
        <w:t xml:space="preserve"> R, </w:t>
      </w:r>
      <w:proofErr w:type="spellStart"/>
      <w:r w:rsidRPr="00CC34A3">
        <w:rPr>
          <w:rFonts w:ascii="Book Antiqua" w:eastAsia="Calibri" w:hAnsi="Book Antiqua" w:cs="Times New Roman"/>
          <w:color w:val="000000" w:themeColor="text1"/>
          <w:sz w:val="24"/>
          <w:szCs w:val="24"/>
          <w:lang w:val="en-US"/>
        </w:rPr>
        <w:t>Pajtak</w:t>
      </w:r>
      <w:proofErr w:type="spellEnd"/>
      <w:r w:rsidRPr="00CC34A3">
        <w:rPr>
          <w:rFonts w:ascii="Book Antiqua" w:eastAsia="Calibri" w:hAnsi="Book Antiqua" w:cs="Times New Roman"/>
          <w:color w:val="000000" w:themeColor="text1"/>
          <w:sz w:val="24"/>
          <w:szCs w:val="24"/>
          <w:lang w:val="en-US"/>
        </w:rPr>
        <w:t xml:space="preserve"> A, </w:t>
      </w:r>
      <w:proofErr w:type="spellStart"/>
      <w:r w:rsidRPr="00CC34A3">
        <w:rPr>
          <w:rFonts w:ascii="Book Antiqua" w:eastAsia="Calibri" w:hAnsi="Book Antiqua" w:cs="Times New Roman"/>
          <w:color w:val="000000" w:themeColor="text1"/>
          <w:sz w:val="24"/>
          <w:szCs w:val="24"/>
          <w:lang w:val="en-US"/>
        </w:rPr>
        <w:t>Amic</w:t>
      </w:r>
      <w:proofErr w:type="spellEnd"/>
      <w:r w:rsidRPr="00CC34A3">
        <w:rPr>
          <w:rFonts w:ascii="Book Antiqua" w:eastAsia="Calibri" w:hAnsi="Book Antiqua" w:cs="Times New Roman"/>
          <w:color w:val="000000" w:themeColor="text1"/>
          <w:sz w:val="24"/>
          <w:szCs w:val="24"/>
          <w:lang w:val="en-US"/>
        </w:rPr>
        <w:t xml:space="preserve"> E, Vidovic T, </w:t>
      </w:r>
      <w:proofErr w:type="spellStart"/>
      <w:r w:rsidRPr="00CC34A3">
        <w:rPr>
          <w:rFonts w:ascii="Book Antiqua" w:eastAsia="Calibri" w:hAnsi="Book Antiqua" w:cs="Times New Roman"/>
          <w:color w:val="000000" w:themeColor="text1"/>
          <w:sz w:val="24"/>
          <w:szCs w:val="24"/>
          <w:lang w:val="en-US"/>
        </w:rPr>
        <w:t>Rakic</w:t>
      </w:r>
      <w:proofErr w:type="spellEnd"/>
      <w:r w:rsidRPr="00CC34A3">
        <w:rPr>
          <w:rFonts w:ascii="Book Antiqua" w:eastAsia="Calibri" w:hAnsi="Book Antiqua" w:cs="Times New Roman"/>
          <w:color w:val="000000" w:themeColor="text1"/>
          <w:sz w:val="24"/>
          <w:szCs w:val="24"/>
          <w:lang w:val="en-US"/>
        </w:rPr>
        <w:t xml:space="preserve"> M, </w:t>
      </w:r>
      <w:proofErr w:type="spellStart"/>
      <w:r w:rsidRPr="00CC34A3">
        <w:rPr>
          <w:rFonts w:ascii="Book Antiqua" w:eastAsia="Calibri" w:hAnsi="Book Antiqua" w:cs="Times New Roman"/>
          <w:color w:val="000000" w:themeColor="text1"/>
          <w:sz w:val="24"/>
          <w:szCs w:val="24"/>
          <w:lang w:val="en-US"/>
        </w:rPr>
        <w:t>Milkovic</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Perisa</w:t>
      </w:r>
      <w:proofErr w:type="spellEnd"/>
      <w:r w:rsidRPr="00CC34A3">
        <w:rPr>
          <w:rFonts w:ascii="Book Antiqua" w:eastAsia="Calibri" w:hAnsi="Book Antiqua" w:cs="Times New Roman"/>
          <w:color w:val="000000" w:themeColor="text1"/>
          <w:sz w:val="24"/>
          <w:szCs w:val="24"/>
          <w:lang w:val="en-US"/>
        </w:rPr>
        <w:t xml:space="preserve"> M, Horvat Pavlov K, </w:t>
      </w:r>
      <w:proofErr w:type="spellStart"/>
      <w:r w:rsidRPr="00CC34A3">
        <w:rPr>
          <w:rFonts w:ascii="Book Antiqua" w:eastAsia="Calibri" w:hAnsi="Book Antiqua" w:cs="Times New Roman"/>
          <w:color w:val="000000" w:themeColor="text1"/>
          <w:sz w:val="24"/>
          <w:szCs w:val="24"/>
          <w:lang w:val="en-US"/>
        </w:rPr>
        <w:t>Kokot</w:t>
      </w:r>
      <w:proofErr w:type="spellEnd"/>
      <w:r w:rsidRPr="00CC34A3">
        <w:rPr>
          <w:rFonts w:ascii="Book Antiqua" w:eastAsia="Calibri" w:hAnsi="Book Antiqua" w:cs="Times New Roman"/>
          <w:color w:val="000000" w:themeColor="text1"/>
          <w:sz w:val="24"/>
          <w:szCs w:val="24"/>
          <w:lang w:val="en-US"/>
        </w:rPr>
        <w:t xml:space="preserve"> A, </w:t>
      </w:r>
      <w:proofErr w:type="spellStart"/>
      <w:r w:rsidRPr="00CC34A3">
        <w:rPr>
          <w:rFonts w:ascii="Book Antiqua" w:eastAsia="Calibri" w:hAnsi="Book Antiqua" w:cs="Times New Roman"/>
          <w:color w:val="000000" w:themeColor="text1"/>
          <w:sz w:val="24"/>
          <w:szCs w:val="24"/>
          <w:lang w:val="en-US"/>
        </w:rPr>
        <w:t>Tvrdeic</w:t>
      </w:r>
      <w:proofErr w:type="spellEnd"/>
      <w:r w:rsidRPr="00CC34A3">
        <w:rPr>
          <w:rFonts w:ascii="Book Antiqua" w:eastAsia="Calibri" w:hAnsi="Book Antiqua" w:cs="Times New Roman"/>
          <w:color w:val="000000" w:themeColor="text1"/>
          <w:sz w:val="24"/>
          <w:szCs w:val="24"/>
          <w:lang w:val="en-US"/>
        </w:rPr>
        <w:t xml:space="preserve"> A, </w:t>
      </w:r>
      <w:proofErr w:type="spellStart"/>
      <w:r w:rsidRPr="00CC34A3">
        <w:rPr>
          <w:rFonts w:ascii="Book Antiqua" w:eastAsia="Calibri" w:hAnsi="Book Antiqua" w:cs="Times New Roman"/>
          <w:color w:val="000000" w:themeColor="text1"/>
          <w:sz w:val="24"/>
          <w:szCs w:val="24"/>
          <w:lang w:val="en-US"/>
        </w:rPr>
        <w:t>Boban</w:t>
      </w:r>
      <w:proofErr w:type="spellEnd"/>
      <w:r w:rsidRPr="00CC34A3">
        <w:rPr>
          <w:rFonts w:ascii="Book Antiqua" w:eastAsia="Calibri" w:hAnsi="Book Antiqua" w:cs="Times New Roman"/>
          <w:color w:val="000000" w:themeColor="text1"/>
          <w:sz w:val="24"/>
          <w:szCs w:val="24"/>
          <w:lang w:val="en-US"/>
        </w:rPr>
        <w:t xml:space="preserve"> </w:t>
      </w:r>
      <w:proofErr w:type="spellStart"/>
      <w:r w:rsidRPr="00CC34A3">
        <w:rPr>
          <w:rFonts w:ascii="Book Antiqua" w:eastAsia="Calibri" w:hAnsi="Book Antiqua" w:cs="Times New Roman"/>
          <w:color w:val="000000" w:themeColor="text1"/>
          <w:sz w:val="24"/>
          <w:szCs w:val="24"/>
          <w:lang w:val="en-US"/>
        </w:rPr>
        <w:t>Blagaic</w:t>
      </w:r>
      <w:proofErr w:type="spellEnd"/>
      <w:r w:rsidRPr="00CC34A3">
        <w:rPr>
          <w:rFonts w:ascii="Book Antiqua" w:eastAsia="Calibri" w:hAnsi="Book Antiqua" w:cs="Times New Roman"/>
          <w:color w:val="000000" w:themeColor="text1"/>
          <w:sz w:val="24"/>
          <w:szCs w:val="24"/>
          <w:lang w:val="en-US"/>
        </w:rPr>
        <w:t xml:space="preserve"> A, </w:t>
      </w:r>
      <w:proofErr w:type="spellStart"/>
      <w:r w:rsidRPr="00CC34A3">
        <w:rPr>
          <w:rFonts w:ascii="Book Antiqua" w:eastAsia="Calibri" w:hAnsi="Book Antiqua" w:cs="Times New Roman"/>
          <w:color w:val="000000" w:themeColor="text1"/>
          <w:sz w:val="24"/>
          <w:szCs w:val="24"/>
          <w:lang w:val="en-US"/>
        </w:rPr>
        <w:t>Zovak</w:t>
      </w:r>
      <w:proofErr w:type="spellEnd"/>
      <w:r w:rsidRPr="00CC34A3">
        <w:rPr>
          <w:rFonts w:ascii="Book Antiqua" w:eastAsia="Calibri" w:hAnsi="Book Antiqua" w:cs="Times New Roman"/>
          <w:color w:val="000000" w:themeColor="text1"/>
          <w:sz w:val="24"/>
          <w:szCs w:val="24"/>
          <w:lang w:val="en-US"/>
        </w:rPr>
        <w:t xml:space="preserve"> M, </w:t>
      </w:r>
      <w:proofErr w:type="spellStart"/>
      <w:r w:rsidRPr="00CC34A3">
        <w:rPr>
          <w:rFonts w:ascii="Book Antiqua" w:eastAsia="Calibri" w:hAnsi="Book Antiqua" w:cs="Times New Roman"/>
          <w:color w:val="000000" w:themeColor="text1"/>
          <w:sz w:val="24"/>
          <w:szCs w:val="24"/>
          <w:lang w:val="en-US"/>
        </w:rPr>
        <w:t>Seiwerth</w:t>
      </w:r>
      <w:proofErr w:type="spellEnd"/>
      <w:r w:rsidRPr="00CC34A3">
        <w:rPr>
          <w:rFonts w:ascii="Book Antiqua" w:eastAsia="Calibri" w:hAnsi="Book Antiqua" w:cs="Times New Roman"/>
          <w:color w:val="000000" w:themeColor="text1"/>
          <w:sz w:val="24"/>
          <w:szCs w:val="24"/>
          <w:lang w:val="en-US"/>
        </w:rPr>
        <w:t xml:space="preserve"> S, </w:t>
      </w:r>
      <w:proofErr w:type="spellStart"/>
      <w:r w:rsidRPr="00CC34A3">
        <w:rPr>
          <w:rFonts w:ascii="Book Antiqua" w:eastAsia="Calibri" w:hAnsi="Book Antiqua" w:cs="Times New Roman"/>
          <w:color w:val="000000" w:themeColor="text1"/>
          <w:sz w:val="24"/>
          <w:szCs w:val="24"/>
          <w:lang w:val="en-US"/>
        </w:rPr>
        <w:t>Sikiric</w:t>
      </w:r>
      <w:proofErr w:type="spellEnd"/>
      <w:r w:rsidRPr="00CC34A3">
        <w:rPr>
          <w:rFonts w:ascii="Book Antiqua" w:eastAsia="Calibri" w:hAnsi="Book Antiqua" w:cs="Times New Roman"/>
          <w:color w:val="000000" w:themeColor="text1"/>
          <w:sz w:val="24"/>
          <w:szCs w:val="24"/>
          <w:lang w:val="en-US"/>
        </w:rPr>
        <w:t xml:space="preserve"> P. Bypassing major venous occlusion and duodenal lesions in rat, and therapy with the stable gastric </w:t>
      </w:r>
      <w:proofErr w:type="spellStart"/>
      <w:r w:rsidRPr="00CC34A3">
        <w:rPr>
          <w:rFonts w:ascii="Book Antiqua" w:eastAsia="Calibri" w:hAnsi="Book Antiqua" w:cs="Times New Roman"/>
          <w:color w:val="000000" w:themeColor="text1"/>
          <w:sz w:val="24"/>
          <w:szCs w:val="24"/>
          <w:lang w:val="en-US"/>
        </w:rPr>
        <w:t>pentadecapeptide</w:t>
      </w:r>
      <w:proofErr w:type="spellEnd"/>
      <w:r w:rsidRPr="00CC34A3">
        <w:rPr>
          <w:rFonts w:ascii="Book Antiqua" w:eastAsia="Calibri" w:hAnsi="Book Antiqua" w:cs="Times New Roman"/>
          <w:color w:val="000000" w:themeColor="text1"/>
          <w:sz w:val="24"/>
          <w:szCs w:val="24"/>
          <w:lang w:val="en-US"/>
        </w:rPr>
        <w:t xml:space="preserve"> BPC 157, L-NAME and L-arginine</w:t>
      </w:r>
      <w:r w:rsidR="00D87649" w:rsidRPr="00CC34A3">
        <w:rPr>
          <w:rFonts w:ascii="Book Antiqua" w:eastAsia="Calibri" w:hAnsi="Book Antiqua" w:cs="Times New Roman"/>
          <w:color w:val="000000" w:themeColor="text1"/>
          <w:sz w:val="24"/>
          <w:szCs w:val="24"/>
          <w:lang w:val="en-US"/>
        </w:rPr>
        <w:t xml:space="preserve">. </w:t>
      </w:r>
      <w:bookmarkStart w:id="20" w:name="OLE_LINK1105"/>
      <w:bookmarkStart w:id="21" w:name="OLE_LINK1107"/>
      <w:bookmarkStart w:id="22" w:name="OLE_LINK380"/>
      <w:r w:rsidR="00D87649" w:rsidRPr="00CC34A3">
        <w:rPr>
          <w:rFonts w:ascii="Book Antiqua" w:hAnsi="Book Antiqua"/>
          <w:i/>
          <w:color w:val="000000"/>
          <w:sz w:val="24"/>
          <w:szCs w:val="24"/>
        </w:rPr>
        <w:t xml:space="preserve">World J Gastroenterol </w:t>
      </w:r>
      <w:r w:rsidR="00D87649" w:rsidRPr="00CC34A3">
        <w:rPr>
          <w:rFonts w:ascii="Book Antiqua" w:hAnsi="Book Antiqua"/>
          <w:color w:val="000000"/>
          <w:sz w:val="24"/>
          <w:szCs w:val="24"/>
        </w:rPr>
        <w:t>2018; In press</w:t>
      </w:r>
      <w:bookmarkEnd w:id="20"/>
      <w:bookmarkEnd w:id="21"/>
      <w:bookmarkEnd w:id="22"/>
    </w:p>
    <w:p w14:paraId="268F6422" w14:textId="77777777" w:rsidR="00D87649" w:rsidRPr="00CC34A3" w:rsidRDefault="00D87649" w:rsidP="00CC34A3">
      <w:pPr>
        <w:adjustRightInd w:val="0"/>
        <w:snapToGrid w:val="0"/>
        <w:spacing w:after="0" w:line="360" w:lineRule="auto"/>
        <w:rPr>
          <w:rFonts w:ascii="Book Antiqua" w:hAnsi="Book Antiqua" w:cs="Times New Roman"/>
          <w:color w:val="000000" w:themeColor="text1"/>
          <w:sz w:val="24"/>
          <w:szCs w:val="24"/>
          <w:lang w:val="en-US"/>
        </w:rPr>
      </w:pPr>
      <w:r w:rsidRPr="00CC34A3">
        <w:rPr>
          <w:rFonts w:ascii="Book Antiqua" w:hAnsi="Book Antiqua" w:cs="Times New Roman"/>
          <w:color w:val="000000" w:themeColor="text1"/>
          <w:sz w:val="24"/>
          <w:szCs w:val="24"/>
          <w:lang w:val="en-US"/>
        </w:rPr>
        <w:br w:type="page"/>
      </w:r>
    </w:p>
    <w:p w14:paraId="2172FD67" w14:textId="4ECCEC3B" w:rsidR="00EB7476" w:rsidRPr="00CC34A3" w:rsidRDefault="00EB7476" w:rsidP="00CC34A3">
      <w:pPr>
        <w:autoSpaceDE w:val="0"/>
        <w:autoSpaceDN w:val="0"/>
        <w:adjustRightInd w:val="0"/>
        <w:snapToGrid w:val="0"/>
        <w:spacing w:after="0" w:line="360" w:lineRule="auto"/>
        <w:jc w:val="both"/>
        <w:outlineLvl w:val="0"/>
        <w:rPr>
          <w:rFonts w:ascii="Book Antiqua" w:hAnsi="Book Antiqua" w:cs="Times New Roman"/>
          <w:b/>
          <w:color w:val="000000" w:themeColor="text1"/>
          <w:sz w:val="24"/>
          <w:szCs w:val="24"/>
          <w:lang w:val="en-US"/>
        </w:rPr>
      </w:pPr>
      <w:r w:rsidRPr="00CC34A3">
        <w:rPr>
          <w:rFonts w:ascii="Book Antiqua" w:hAnsi="Book Antiqua" w:cs="Times New Roman"/>
          <w:b/>
          <w:color w:val="000000" w:themeColor="text1"/>
          <w:sz w:val="24"/>
          <w:szCs w:val="24"/>
          <w:lang w:val="en-US"/>
        </w:rPr>
        <w:lastRenderedPageBreak/>
        <w:t>I</w:t>
      </w:r>
      <w:r w:rsidR="00006479" w:rsidRPr="00CC34A3">
        <w:rPr>
          <w:rFonts w:ascii="Book Antiqua" w:hAnsi="Book Antiqua" w:cs="Times New Roman"/>
          <w:b/>
          <w:color w:val="000000" w:themeColor="text1"/>
          <w:sz w:val="24"/>
          <w:szCs w:val="24"/>
          <w:lang w:val="en-US"/>
        </w:rPr>
        <w:t>NTRODUCTION</w:t>
      </w:r>
    </w:p>
    <w:p w14:paraId="537028AA" w14:textId="4A4703B6" w:rsidR="00EB7476" w:rsidRPr="00CC34A3" w:rsidRDefault="00EB7476" w:rsidP="00CC34A3">
      <w:pPr>
        <w:pStyle w:val="title10"/>
        <w:adjustRightInd w:val="0"/>
        <w:snapToGrid w:val="0"/>
        <w:spacing w:line="360" w:lineRule="auto"/>
        <w:jc w:val="both"/>
        <w:rPr>
          <w:rFonts w:ascii="Book Antiqua" w:hAnsi="Book Antiqua"/>
          <w:color w:val="000000" w:themeColor="text1"/>
          <w:sz w:val="24"/>
          <w:szCs w:val="24"/>
          <w:lang w:val="en-US"/>
        </w:rPr>
      </w:pPr>
      <w:r w:rsidRPr="00CC34A3">
        <w:rPr>
          <w:rFonts w:ascii="Book Antiqua" w:hAnsi="Book Antiqua"/>
          <w:color w:val="000000" w:themeColor="text1"/>
          <w:sz w:val="24"/>
          <w:szCs w:val="24"/>
          <w:lang w:val="en-US"/>
        </w:rPr>
        <w:t xml:space="preserve">We focused on major venous </w:t>
      </w:r>
      <w:r w:rsidR="00733A15" w:rsidRPr="00CC34A3">
        <w:rPr>
          <w:rFonts w:ascii="Book Antiqua" w:hAnsi="Book Antiqua"/>
          <w:color w:val="000000" w:themeColor="text1"/>
          <w:sz w:val="24"/>
          <w:szCs w:val="24"/>
          <w:lang w:val="en-US"/>
        </w:rPr>
        <w:t>occlusion</w:t>
      </w:r>
      <w:r w:rsidR="00DB165E" w:rsidRPr="00CC34A3">
        <w:rPr>
          <w:rFonts w:ascii="Book Antiqua" w:hAnsi="Book Antiqua"/>
          <w:color w:val="000000" w:themeColor="text1"/>
          <w:sz w:val="24"/>
          <w:szCs w:val="24"/>
          <w:lang w:val="en-US"/>
        </w:rPr>
        <w:t>s</w:t>
      </w:r>
      <w:r w:rsidRPr="00CC34A3">
        <w:rPr>
          <w:rFonts w:ascii="Book Antiqua" w:hAnsi="Book Antiqua"/>
          <w:color w:val="000000" w:themeColor="text1"/>
          <w:sz w:val="24"/>
          <w:szCs w:val="24"/>
          <w:lang w:val="en-US"/>
        </w:rPr>
        <w:t xml:space="preserve"> and duodenal lesions in </w:t>
      </w:r>
      <w:r w:rsidR="00FD7273" w:rsidRPr="00CC34A3">
        <w:rPr>
          <w:rFonts w:ascii="Book Antiqua" w:hAnsi="Book Antiqua"/>
          <w:color w:val="000000" w:themeColor="text1"/>
          <w:sz w:val="24"/>
          <w:szCs w:val="24"/>
          <w:lang w:val="en-US"/>
        </w:rPr>
        <w:t xml:space="preserve">the </w:t>
      </w:r>
      <w:r w:rsidRPr="00CC34A3">
        <w:rPr>
          <w:rFonts w:ascii="Book Antiqua" w:hAnsi="Book Antiqua"/>
          <w:color w:val="000000" w:themeColor="text1"/>
          <w:sz w:val="24"/>
          <w:szCs w:val="24"/>
          <w:lang w:val="en-US"/>
        </w:rPr>
        <w:t xml:space="preserve">rat and </w:t>
      </w:r>
      <w:r w:rsidR="00461985" w:rsidRPr="00CC34A3">
        <w:rPr>
          <w:rFonts w:ascii="Book Antiqua" w:hAnsi="Book Antiqua"/>
          <w:color w:val="000000" w:themeColor="text1"/>
          <w:sz w:val="24"/>
          <w:szCs w:val="24"/>
          <w:lang w:val="en-US"/>
        </w:rPr>
        <w:t xml:space="preserve">treatment </w:t>
      </w:r>
      <w:r w:rsidRPr="00CC34A3">
        <w:rPr>
          <w:rFonts w:ascii="Book Antiqua" w:hAnsi="Book Antiqua"/>
          <w:color w:val="000000" w:themeColor="text1"/>
          <w:sz w:val="24"/>
          <w:szCs w:val="24"/>
          <w:lang w:val="en-US"/>
        </w:rPr>
        <w:t xml:space="preserve">with the stable gastric </w:t>
      </w:r>
      <w:proofErr w:type="spellStart"/>
      <w:r w:rsidRPr="00CC34A3">
        <w:rPr>
          <w:rFonts w:ascii="Book Antiqua" w:hAnsi="Book Antiqua"/>
          <w:color w:val="000000" w:themeColor="text1"/>
          <w:sz w:val="24"/>
          <w:szCs w:val="24"/>
          <w:lang w:val="en-US"/>
        </w:rPr>
        <w:t>pentadecapeptide</w:t>
      </w:r>
      <w:proofErr w:type="spellEnd"/>
      <w:r w:rsidRPr="00CC34A3">
        <w:rPr>
          <w:rFonts w:ascii="Book Antiqua" w:hAnsi="Book Antiqua"/>
          <w:color w:val="000000" w:themeColor="text1"/>
          <w:sz w:val="24"/>
          <w:szCs w:val="24"/>
          <w:lang w:val="en-US"/>
        </w:rPr>
        <w:t xml:space="preserve"> BPC 157, </w:t>
      </w:r>
      <w:r w:rsidR="004047BC" w:rsidRPr="00CC34A3">
        <w:rPr>
          <w:rFonts w:ascii="Book Antiqua" w:hAnsi="Book Antiqua"/>
          <w:color w:val="000000" w:themeColor="text1"/>
          <w:sz w:val="24"/>
          <w:szCs w:val="24"/>
          <w:lang w:val="en-US"/>
        </w:rPr>
        <w:t xml:space="preserve">which is </w:t>
      </w:r>
      <w:r w:rsidR="00461985" w:rsidRPr="00CC34A3">
        <w:rPr>
          <w:rFonts w:ascii="Book Antiqua" w:hAnsi="Book Antiqua"/>
          <w:color w:val="000000" w:themeColor="text1"/>
          <w:sz w:val="24"/>
          <w:szCs w:val="24"/>
          <w:lang w:val="en-US"/>
        </w:rPr>
        <w:t xml:space="preserve">a </w:t>
      </w:r>
      <w:r w:rsidR="008B617C" w:rsidRPr="00CC34A3">
        <w:rPr>
          <w:rFonts w:ascii="Book Antiqua" w:hAnsi="Book Antiqua"/>
          <w:color w:val="000000" w:themeColor="text1"/>
          <w:sz w:val="24"/>
          <w:szCs w:val="24"/>
          <w:lang w:val="en-US"/>
        </w:rPr>
        <w:t xml:space="preserve">prototype cytoprotective agent </w:t>
      </w:r>
      <w:r w:rsidR="001E01E3" w:rsidRPr="00CC34A3">
        <w:rPr>
          <w:rFonts w:ascii="Book Antiqua" w:hAnsi="Book Antiqua"/>
          <w:color w:val="000000" w:themeColor="text1"/>
          <w:sz w:val="24"/>
          <w:szCs w:val="24"/>
          <w:lang w:val="en-US"/>
        </w:rPr>
        <w:t>used in ulcerative colitis and multiple sclerosis trial</w:t>
      </w:r>
      <w:r w:rsidR="00FD7273" w:rsidRPr="00CC34A3">
        <w:rPr>
          <w:rFonts w:ascii="Book Antiqua" w:hAnsi="Book Antiqua"/>
          <w:color w:val="000000" w:themeColor="text1"/>
          <w:sz w:val="24"/>
          <w:szCs w:val="24"/>
          <w:lang w:val="en-US"/>
        </w:rPr>
        <w:t>s</w:t>
      </w:r>
      <w:r w:rsidR="001E01E3" w:rsidRPr="00CC34A3">
        <w:rPr>
          <w:rFonts w:ascii="Book Antiqua" w:hAnsi="Book Antiqua"/>
          <w:color w:val="000000" w:themeColor="text1"/>
          <w:sz w:val="24"/>
          <w:szCs w:val="24"/>
          <w:lang w:val="en-US"/>
        </w:rPr>
        <w:t xml:space="preserve"> </w:t>
      </w:r>
      <w:r w:rsidR="00461985" w:rsidRPr="00CC34A3">
        <w:rPr>
          <w:rFonts w:ascii="Book Antiqua" w:hAnsi="Book Antiqua"/>
          <w:color w:val="000000" w:themeColor="text1"/>
          <w:sz w:val="24"/>
          <w:szCs w:val="24"/>
          <w:lang w:val="en-US"/>
        </w:rPr>
        <w:t>(</w:t>
      </w:r>
      <w:r w:rsidR="001E01E3" w:rsidRPr="00CC34A3">
        <w:rPr>
          <w:rFonts w:ascii="Book Antiqua" w:hAnsi="Book Antiqua"/>
          <w:color w:val="000000" w:themeColor="text1"/>
          <w:sz w:val="24"/>
          <w:szCs w:val="24"/>
          <w:lang w:val="en-US"/>
        </w:rPr>
        <w:t>LD1 not achieved)</w:t>
      </w:r>
      <w:r w:rsidR="00461985" w:rsidRPr="00CC34A3">
        <w:rPr>
          <w:rFonts w:ascii="Book Antiqua" w:hAnsi="Book Antiqua"/>
          <w:color w:val="000000" w:themeColor="text1"/>
          <w:sz w:val="24"/>
          <w:szCs w:val="24"/>
          <w:lang w:val="en-US"/>
        </w:rPr>
        <w:t xml:space="preserve"> and</w:t>
      </w:r>
      <w:r w:rsidR="001E01E3" w:rsidRPr="00CC34A3">
        <w:rPr>
          <w:rFonts w:ascii="Book Antiqua" w:hAnsi="Book Antiqua"/>
          <w:color w:val="000000" w:themeColor="text1"/>
          <w:sz w:val="24"/>
          <w:szCs w:val="24"/>
          <w:lang w:val="en-US"/>
        </w:rPr>
        <w:t xml:space="preserve"> </w:t>
      </w:r>
      <w:r w:rsidR="004047BC" w:rsidRPr="00CC34A3">
        <w:rPr>
          <w:rFonts w:ascii="Book Antiqua" w:hAnsi="Book Antiqua"/>
          <w:color w:val="000000" w:themeColor="text1"/>
          <w:sz w:val="24"/>
          <w:szCs w:val="24"/>
          <w:lang w:val="en-US"/>
        </w:rPr>
        <w:t xml:space="preserve">is </w:t>
      </w:r>
      <w:r w:rsidRPr="00CC34A3">
        <w:rPr>
          <w:rFonts w:ascii="Book Antiqua" w:hAnsi="Book Antiqua"/>
          <w:color w:val="000000" w:themeColor="text1"/>
          <w:sz w:val="24"/>
          <w:szCs w:val="24"/>
          <w:lang w:val="en-US"/>
        </w:rPr>
        <w:t>known to counteract duodenal lesions</w:t>
      </w:r>
      <w:r w:rsidR="00264F2B" w:rsidRPr="00CC34A3">
        <w:rPr>
          <w:rFonts w:ascii="Book Antiqua" w:eastAsia="Calibri" w:hAnsi="Book Antiqua"/>
          <w:color w:val="000000" w:themeColor="text1"/>
          <w:sz w:val="24"/>
          <w:szCs w:val="24"/>
          <w:lang w:val="en-US" w:eastAsia="en-US"/>
        </w:rPr>
        <w:fldChar w:fldCharType="begin" w:fldLock="1"/>
      </w:r>
      <w:r w:rsidR="00317D7F" w:rsidRPr="00CC34A3">
        <w:rPr>
          <w:rFonts w:ascii="Book Antiqua" w:eastAsia="Calibri" w:hAnsi="Book Antiqua"/>
          <w:color w:val="000000" w:themeColor="text1"/>
          <w:sz w:val="24"/>
          <w:szCs w:val="24"/>
          <w:lang w:val="en-US" w:eastAsia="en-US"/>
        </w:rPr>
        <w:instrText>ADDIN CSL_CITATION { "citationItems" : [ { "id" : "ITEM-1", "itemData" : { "DOI" : "10.2174/1381612823666170220163219", "ISSN" : "13816128", "PMID" : "28228068", "abstract" : "Selye's syndrome produced by diverse nocuous agents and ``response to damage as such{''} means Selye's stress triad in stress coping response to reestablish homeostasis. Logically, from the gastrointestinal tract viewpoint, such organoprotective/healing response implies the angiogenic growth factors that commonly signify the healing. Thereby, the gastric pentadecapeptide BPC 157-organoprotection (huge range of beneficial effects) signifies the Selye's stress concept/stress coping response implemented in and from gastrointestinal tract, and BPC 157 as an integrative mediator that integrates the adaptive bodily response to stress. In clinical trials without side effects, LD1 not achieved, BPC 157 healing in gastrointestinal tract, and particularly the healing of the extra-gastrointestinal tissues (i.e., skin/tendon/ligament/muscle/bone; nerve; cornea/brain) were referred throughout its integrative capabilities (i.e., ulcerative colitis/multiple sclerosis model equally counteracted), native in gastrointestinal tract, stability in human gastric juice (and thereby, strong efficacy and applicability), its relevance for dopamine-system function (and thereby, counteracting effects of dopamine-system dysfunction and over-function, centrally and peripherally (mucosa maintenance); interaction with serotonin- and GABA-system)), afforded cytoprotection/adaptive cytoprotection/organoprotection (and thereby, beneficial effects on gastric and whole intestinal tract lesions and adaptation, wounds and fistulas healing, blood vessels, somatosensory neurons, NSAIDs-side effects (including also pancreas, liver, brain lesions, and blood disturbances, prolonged bleeding, thrombocytopenia, thrombosis)). Further, we combine such gut-brain axis and the NO-system where BPC 157 counteracts complications of either L-NAME application (i.e., various lesions aggravation, hypertension) or L-arginine application (i.e., hypotension, prolonged bleeding, thrombocytopenia). Also, BPC 157 particularly affects genes functions (i.e., Fos, c-Jun, Egr-1), all together suggestive for an indicative generalization. Thus, we could suggest gastric pentadecapeptide BPC 157 and BPC 157 induced-organoprotection as integrative mediator that integrates the adaptive bodily response to stress, and thereby practically applied in further therapy and in effective realization of Selye's stress response.",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"Drmic", "given" : "Domagoj", "non-dropping-particle" : "", "parse-names" : false, "suffix" : "" }, { "dropping-particle" : "", "family" : "Stupnisek", "given" : "Mirjana", "non-dropping-particle" : "", "parse-names" : false, "suffix" : "" }, { "dropping-particle" : "", "family" : "Kokot", "given" : "Antonio", "non-dropping-particle" : "", "parse-names" : false, "suffix" : "" }, { "dropping-particle" : "", "family" : "Sever", "given" : "Marko", "non-dropping-particle" : "", "parse-names" : false, "suffix" : "" }, { "dropping-particle" : "", "family" : "Zoricic", "given" : "Ivan", "non-dropping-particle" : "", "parse-names" : false, "suffix" : "" }, { "dropping-particle" : "", "family" : "Zoricic", "given" : "Zoran", "non-dropping-particle" : "", "parse-names" : false, "suffix" : "" }, { "dropping-particle" : "", "family" : "Batelja", "given" : "Lovorka", "non-dropping-particle" : "", "parse-names" : false, "suffix" : "" }, { "dropping-particle" : "", "family" : "Ziger", "given" : "Tihomil", "non-dropping-particle" : "", "parse-names" : false, "suffix" : "" }, { "dropping-particle" : "", "family" : "Luetic", "given" : "Kresimir", "non-dropping-particle" : "", "parse-names" : false, "suffix" : "" }, { "dropping-particle" : "", "family" : "Vlainic", "given" : "Josipa", "non-dropping-particle" : "", "parse-names" : false, "suffix" : "" }, { "dropping-particle" : "", "family" : "Rasic", "given" : "Zarko", "non-dropping-particle" : "", "parse-names" : false, "suffix" : "" }, { "dropping-particle" : "", "family" : "Bencic", "given" : "Martina Lovric", "non-dropping-particle" : "", "parse-names" : false, "suffix" : "" } ], "container-title" : "Current Pharmaceutical Design", "id" : "ITEM-1", "issue" : "27", "issued" : { "date-parts" : [ [ "2017" ] ] }, "page" : "4012-4028", "title" : "Stress in Gastrointestinal Tract and Stable Gastric Pentadecapeptide BPC 157. Finally, do we have a Solution?", "type" : "article-journal", "volume" : "23" }, "uris" : [ "http://www.mendeley.com/documents/?uuid=15899097-6542-32aa-acf2-ef932af08516" ] }, { "id" : "ITEM-2", "itemData" : { "ISSN" : "1875-6190", "PMID" : "27138887", "abstract" : "BACKGROUND Brain-gut interaction involves, among others, peptidergic growth factors which are native in GI tract and have strong antiulcer potency and thus could from periphery beneficially affect CNS-disorders. We focused on the stable gastric pentadecapeptide BPC 157, an antiulcer peptidergic agent, safe in inflammatory bowel disease trials and now in multiple sclerosis trial, native and stable in human gastric juice. METHODS Review of our research on BPC 157 in terms of brain-gut axis. RESULTS BPC 157 may serve as a novel mediator of Robert's cytoprotection, involved in maintaining of GI mucosa integrity, with no toxic effect. BPC 157 was successful in the therapy of GI tract, periodontitis, liver and pancreas lesions, and in the healing of various tissues and wounds. Stimulated Egr-1 gene, NAB2, FAK-paxillin and JAK-2 pathways are hitherto implicated. Initially corresponding beneficial central influence was seen when BPC 157 was given peripherally and a serotonin release in particular brain areas, mostly nigrostriatal, was changed. BPC 157 modulates serotonergic and dopaminergic systems, beneficially affects various behavioral disturbances that otherwise appeared due to specifically (over)stimulated/damaged neurotransmitters systems. Besides, BPC 157 has neuroprotective effects: protects somatosensory neurons; peripheral nerve regeneration appearent after transection; after traumatic brain injury counteracts the otherwise progressing course, in rat spinal cord compression with tail paralysis, axonal and neuronal necrosis, demyelination, cyst formation and rescues tail function in both short-terms and long-terms; after NSAIDs or insulin overdose or cuprizone encephalopathies were attenuated along with GI, liver and vascular injuries. CONCLUSION BPC 157, a gastric peptide, may serve as remedy in various CNS-disorders.",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"Kolenc", "given" : "Danijela", "non-dropping-particle" : "", "parse-names" : false, "suffix" : "" }, { "dropping-particle" : "", "family" : "Vuletic", "given" : "Lovorka Batelja", "non-dropping-particle" : "", "parse-names" : false, "suffix" : "" }, { "dropping-particle" : "", "family" : "Drmic", "given" : "Domagoj", "non-dropping-particle" : "", "parse-names" : false, "suffix" : "" }, { "dropping-particle" : "", "family" : "Grgic", "given" : "Tihomir", "non-dropping-particle" : "", "parse-names" : false, "suffix" : "" }, { "dropping-particle" : "", "family" : "Strbe", "given" : "Sanja", "non-dropping-particle" : "", "parse-names" : false, "suffix" : "" }, { "dropping-particle" : "", "family" : "Zukanovic", "given" : "Goran", "non-dropping-particle" : "", "parse-names" : false, "suffix" : "" }, { "dropping-particle" : "", "family" : "Crvenkovic", "given" : "Dalibor", "non-dropping-particle" : "", "parse-names" : false, "suffix" : "" }, { "dropping-particle" : "", "family" : "Madzarac", "given" : "Goran", "non-dropping-particle" : "", "parse-names" : false, "suffix" : "" }, { "dropping-particle" : "", "family" : "Rukavina", "given" : "Iva", "non-dropping-particle" : "", "parse-names" : false, "suffix" : "" }, { "dropping-particle" : "", "family" : "Sucic", "given" : "Mario", "non-dropping-particle" : "", "parse-names" : false, "suffix" : "" }, { "dropping-particle" : "", "family" : "Baric", "given" : "Marko", "non-dropping-particle" : "", "parse-names" : false, "suffix" : "" }, { "dropping-particle" : "", "family" : "Starcevic", "given" : "Neven", "non-dropping-particle" : "", "parse-names" : false, "suffix" : "" }, { "dropping-particle" : "", "family" : "Krstonijevic", "given" : "Zoran", "non-dropping-particle" : "", "parse-names" : false, "suffix" : "" }, { "dropping-particle" : "", "family" : "Bencic", "given" : "Martina Lovric", "non-dropping-particle" : "", "parse-names" : false, "suffix" : "" }, { "dropping-particle" : "", "family" : "Filipcic", "given" : "Igor", "non-dropping-particle" : "", "parse-names" : false, "suffix" : "" }, { "dropping-particle" : "", "family" : "Rokotov", "given" : "Dinko Stancic", "non-dropping-particle" : "", "parse-names" : false, "suffix" : "" }, { "dropping-particle" : "", "family" : "Vlainic", "given" : "Josipa", "non-dropping-particle" : "", "parse-names" : false, "suffix" : "" } ], "container-title" : "Current neuropharmacology", "id" : "ITEM-2", "issue" : "8", "issued" : { "date-parts" : [ [ "2016" ] ] }, "page" : "857-865", "title" : "Brain-gut Axis and Pentadecapeptide BPC 157: Theoretical and Practical Implications.", "type" : "article-journal", "volume" : "14" }, "uris" : [ "http://www.mendeley.com/documents/?uuid=9b2831b1-d3dd-4080-846d-5f4f7ead3113" ] }, { "id" : "ITEM-3", "itemData" : { "ISSN" : "1873-4286", "PMID" : "23782145", "abstract" : "This review focuses on the described effects of BPC 157 on blood vessels after different types of damage, and elucidate by investigating different aspects of vascular response to injury (endothelium damage, clotting, thrombosis, vasoconstriction, vasodilatation, vasculoneogenesis and edema formation) especially in connection to the healing processes. In this respect, BPC 157 was concluded to be the most potent angiomodulatory agent, acting through different vasoactive pathways and systems (e.g. NO, VEGF, FAK) and leading to optimization of the vascular response followed, as it has to be expected, by optimization of the healing process. Formation of new blood vessels involves two main, partly overlapping mechanisms, angiogenesis and vasculogenesis. The additional mechanism of arteriogenesis is involved in the formation of collaterals. In conjunction with blood vessel function, we at least have to consider leakage of fluid/proteins/plasma, resulting in edema/exudate formation as well as thrombogenesis. Blood vessels are also strongly involved in tumor biology. In this aspect, we have neoangiogenesis resulting in pathological vascularization, vascular invasion resulting in release of metastatic cells and the phenomenon of homing resulting in formation of secondary tumors--metastases.", "author" : [ { "dropping-particle" : "", "family" : "Seiwerth", "given" : "Sven", "non-dropping-particle" : "", "parse-names" : false, "suffix" : "" }, { "dropping-particle" : "", "family" : "Brcic", "given" : "Luka", "non-dropping-particle" : "", "parse-names" : false, "suffix" : "" }, { "dropping-particle" : "", "family" : "Vuletic", "given" : "Lovorka Batelja",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"Misic", "given" : "Marija", "non-dropping-particle" : "", "parse-names" : false, "suffix" : "" }, { "dropping-particle" : "", "family" : "Zenko", "given" : "Anita", "non-dropping-particle" : "", "parse-names" : false, "suffix" : "" }, { "dropping-particle" : "", "family" : "Drmic", "given" : "Domagoj", "non-dropping-particle" : "", "parse-names" : false, "suffix" : "" }, { "dropping-particle" : "", "family" : "Rucman", "given" : "Rudolf", "non-dropping-particle" : "", "parse-names" : false, "suffix" : "" }, { "dropping-particle" : "", "family" : "Sikiric", "given" : "Predrag", "non-dropping-particle" : "", "parse-names" : false, "suffix" : "" } ], "container-title" : "Current pharmaceutical design", "id" : "ITEM-3", "issue" : "7", "issued" : { "date-parts" : [ [ "2014" ] ] }, "page" : "1121-5", "title" : "BPC 157 and blood vessels.", "type" : "article-journal", "volume" : "20" }, "uris" : [ "http://www.mendeley.com/documents/?uuid=5f0ff73a-1c13-4e9f-9921-366eef3ba469" ] }, { "id" : "ITEM-4", "itemData" : { "ISSN" : "1873-4286", "PMID" : "23755725", "abstract" : "We reviewed stable gastric pentadecapeptide BPC 157-NO-system-relation, its close participation in Moncada's (maintained vascular integrity, platelets control) homeostatic healing response of NO-system to injury. Namely, BPC 157's particular healing effect also affects all events after vascular integrity loss (dependent on circumstances, it reduces either thrombosis (abdominal aorta anastomosis) or bleeding/thrombocytopenia (amputation, heparin, warfarin, aspirin)) and in a series of different injurious models, acute and chronic, BPC 157 consistently advances healing after severe injuries in various tissues spontaneously unable to heal; stimulates egr-1 and naB2 genes; exhibits high safety (LD1 not achieved)). Hypothesis, that BPC 157 (since formed constitutively in the gastric mucosa, stable in human gastric juice, along with significance of NO-synthase and the basal formation of NO in stomach mucosa, greater than that seen in other tissues) exhibits a general, effective competing both with L-arginine analogues (i. e., L-NAME) and L-arginine, and that this has some physiologic importance (NO-generation), later, practically supports its beneficial effects illustrating BPC 157 and NOsystem mutual (with L-NAME/L-arginine; alone and together) relations in (i) gastric mucosa and mucosal protection, following alcohol lesions, in cytoprotection course, NO-generation, and blood pressure regulation; (ii) alcohol acute/chronic intoxication, and withdrawal; (iii) cardiovascular disturbances, chronic heart failure, pulmonary hypertension, and arrhythmias; (iv) disturbances after hypokalemia and hyperkalemia, and potassium-cell membrane dysfunction; and finally, in (v) complex healing failure, proved by the fistulas healing, colocutaneous and esophagocutaneous. However, how this advantage of modulating NO-system (i. e., particular effect on eNOS gene), may be practically translated into an enhanced clinical performance remains to be determined.",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"Stupnisek", "given" : "Mirjana", "non-dropping-particle" : "", "parse-names" : false, "suffix" : "" }, { "dropping-particle" : "", "family" : "Suran", "given" : "Jelena", "non-dropping-particle" : "", "parse-names" : false, "suffix" : "" }, { "dropping-particle" : "", "family" : "Barisic", "given" : "Ivan",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"ITEM-4", "issue" : "7", "issued" : { "date-parts" : [ [ "2014" ] ] }, "page" : "1126-35", "title" : "Stable gastric pentadecapeptide BPC 157-NO-system relation.", "type" : "article-journal", "volume" : "20" }, "uris" : [ "http://www.mendeley.com/documents/?uuid=74ead48f-0c75-446a-a19b-49bb02b31992" ] }, { "id" : "ITEM-5", "itemData" : { "ISSN" : "1873-4286", "PMID" : "22950504", "abstract" : "Stable gastric pentadecapeptide BPC 157 is an anti-ulcer peptidergic agent, proven in clinical trials to be both safe in inflammatory bowel disease (PL-10, PLD-116, PL 14736) and wound healing, stable in human gastric juice, with no toxicity being reported. Recently, we claim that BPC 157 may be used as an antidote against NSAIDs. We focused on BPC 157 beneficial effects on stomach, duodenum, intestine, liver and brain injuries, adjuvant arthritis, pain, hyper/hypothermia, obstructive thrombus formation and thrombolysis, blood vessel function, counteraction of prolonged bleeding and thrombocytopenia after application of various anticoagulants and antiplatelet agents and wound healing improvement. The arguments for BPC 157 antidote activity (i.e., the role of BPC 157 in cytoprotection, being a novel mediator of Robert's cytoprotection and BPC 157 beneficial effects on NSAIDs mediated lesions in the gastrointestinal tract, liver and brain and finally, counteraction of aspirin-induced prolonged bleeding and thrombocytopenia) obviously have a counteracting effect on several established side-effects of NSAIDs use. The mentioned variety of the beneficial effects portrayed by BPC 157 may well be a foundation for establishing BPC 157 as a NSAIDs antidote since no other single agent has portrayed a similar array of effects. Unlike NSAIDs, a very high safety (no reported toxicity (LD1 could be not achieved)) profile is reported for BPC 157. Also, unlike the different dosage levels of aspirin, as a NSAIDs prototype, which differ by a factor of about ten, all these beneficial and counteracting effects of BPC 157 were obtained using the equipotent dosage (\u03bcg, ng/kg) in parenteral or peroral regimens.",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"Safic", "given" : "Hana", "non-dropping-particle" : "", "parse-names" : false, "suffix" : "" }, { "dropping-particle" : "", "family" : "Suran", "given" : "Jelena", "non-dropping-particle" : "", "parse-names" : false, "suffix" : "" }, { "dropping-particle" : "", "family" : "Rak", "given" : "Davor",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"ITEM-5", "issue" : "1", "issued" : { "date-parts" : [ [ "2013" ] ] }, "page" : "76-83", "title" : "Toxicity by NSAIDs. Counteraction by stable gastric pentadecapeptide BPC 157.", "type" : "article-journal", "volume" : "19" }, "uris" : [ "http://www.mendeley.com/documents/?uuid=b4d81bb8-a391-4622-abb3-23195e4a65ff" ] }, { "id" : "ITEM-6", "itemData" : { "ISSN" : "1875-533X", "PMID" : "22300085", "abstract" : "Stable gastric pentadecapeptide BPC 157 (GEPPPGKPADDAGLV, M.W. 1419) may be the new drug stable in human gastric juice, effective both in the upper and lower GI tract, and free of side effects. BPC 157, in addition to an antiulcer effect efficient in therapy of inflammatory bowel disease (IBD) (PL 14736) so far only tested in clinical phase II, has a very safe profile, and exhibited a particular wound healing effect. It also has shown to interact with the NO-system, providing endothelium protection and angiogenic effect, even in severely impaired conditions (i.e., it stimulated expression of early growth response 1 gene responsible for cytokine and growth factor generation and early extracellular matrix (collagen) formation (but also its repressor nerve growth factor 1-A binding protein-2)), important to counteract severe complications of advanced and poorly controlled IBD. Hopefully, the lessons from animal studies, particularly advanced intestinal anastomosis healing, reversed short bowel syndrome and fistula healing indicate BPC 157's high significance in further IBD therapy. Also, this supportive evidence (i.e., no toxic effect, limit test negative, LD1 not achieved, no side effect in trials) may counteract the problems commonly exercised in the use of peptidergic agents, particularly those used on a long-term basis.", "author" : [ { "dropping-particle" : "", "family" : "Sikiric", "given" : "P", "non-dropping-particle" : "", "parse-names" : false, "suffix" : "" }, { "dropping-particle" : "", "family" : "Seiwerth", "given" : "S", "non-dropping-particle" : "", "parse-names" : false, "suffix" : "" }, { "dropping-particle" : "", "family" : "Rucman", "given" : "R", "non-dropping-particle" : "", "parse-names" : false, "suffix" : "" }, { "dropping-particle" : "", "family" : "Turkovic", "given" : "B", "non-dropping-particle" : "", "parse-names" : false, "suffix" : "" }, { "dropping-particle" : "", "family" : "Rokotov", "given" : "D S", "non-dropping-particle" : "", "parse-names" : false, "suffix" : "" }, { "dropping-particle" : "", "family" : "Brcic", "given" : "L", "non-dropping-particle" : "", "parse-names" : false, "suffix" : "" }, { "dropping-particle" : "", "family" : "Sever", "given" : "M", "non-dropping-particle" : "", "parse-names" : false, "suffix" : "" }, { "dropping-particle" : "", "family" : "Klicek", "given" : "R", "non-dropping-particle" : "", "parse-names" : false, "suffix" : "" }, { "dropping-particle" : "", "family" : "Radic", "given" : "B", "non-dropping-particle" : "", "parse-names" : false, "suffix" : "" }, { "dropping-particle" : "", "family" : "Drmic", "given" : "D", "non-dropping-particle" : "", "parse-names" : false, "suffix" : "" }, { "dropping-particle" : "", "family" : "Ilic", "given" : "S", "non-dropping-particle" : "", "parse-names" : false, "suffix" : "" }, { "dropping-particle" : "", "family" : "Kolenc", "given" : "D", "non-dropping-particle" : "", "parse-names" : false, "suffix" : "" }, { "dropping-particle" : "", "family" : "Stambolija", "given" : "V", "non-dropping-particle" : "", "parse-names" : false, "suffix" : "" }, { "dropping-particle" : "", "family" : "Zoricic", "given" : "Z", "non-dropping-particle" : "", "parse-names" : false, "suffix" : "" }, { "dropping-particle" : "", "family" : "Vrcic", "given" : "H", "non-dropping-particle" : "", "parse-names" : false, "suffix" : "" }, { "dropping-particle" : "", "family" : "Sebecic", "given" : "B", "non-dropping-particle" : "", "parse-names" : false, "suffix" : "" } ], "container-title" : "Current medicinal chemistry", "id" : "ITEM-6", "issue" : "1", "issued" : { "date-parts" : [ [ "2012" ] ] }, "page" : "126-32", "title" : "Focus on ulcerative colitis: stable gastric pentadecapeptide BPC 157.", "type" : "article-journal", "volume" : "19" }, "uris" : [ "http://www.mendeley.com/documents/?uuid=82217b0f-1a75-4f5f-99de-cbbc916f534e" ] }, { "id" : "ITEM-7", "itemData" : { "DOI" : "10.2174/138161211796196954", "ISBN" : "1873-4286 (Electronic)\\n1381-6128 (Linking)", "ISSN" : "1873-4286", "PMID" : "21548867", "abstract" : "Stable gastric pentadecapeptide BPC 157 is an anti-ulcer peptidergic agent, safe in inflammatory bowel disease clinical trials (GEPPPGKPADDAGLV, M.W. 1419, PL 14736) and wound healing, stable in human gastric juice and has no reported toxicity. We focused on BPC 157 as a therapy in peridontitis, esophagus, stomach, duodenum, intestine, liver and pancreas lesions. Particularly, it has a prominent effect on alcohol-lesions (i.e., acute, chronic) and NSAIDs-lesions (interestingly, BPC 157 both prevents and reverses adjuvant arthritis). In rat esophagitis and failed function of both lower esophageal sphincter (LES) and pyloric sphincters (PS), BPC 157 increased pressure in both sphincters till normal and reduced esophagitis. However, in healthy rats, it may decrease (PS) or increase (LES) the pressure in sphincters. It has strong angiogenic potential, it acts protectively on endothelium, prevents and reverses thrombus formation after abdominal aorta anastomosis, affects many central disturbances (i.e., dopamine and 5-HT system), the NO-system (either L-arginine and L-NAME effects), endothelin, acts as a free radical scavenger (counteracting CCl4-, paracetamol-, diclofenac-injuries) and exhibits neuroprotective properties. BPC 157 successfully heals the intestinal anastomosis, gastrocutaneous, duodenocutaneous and colocutaneous fistulas in rats, as well as interacting with the NO-system. Interestingly, the fistula closure was achieved even when the BPC 157 therapy was postponed for one month. In short-bowel syndrome escalating throughout 4 weeks, the constant weight gain above preoperative values started immediately with peroral and parental BPC 157 therapy and the villus height, crypth depth and muscle thickness (inner (circular) muscular layer) additionally increased. Thus, BPC 157 may improve gastrointestinal tract therapy.",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"ITEM-7", "issue" : "16", "issued" : { "date-parts" : [ [ "2011" ] ] }, "page" : "1612-32", "title" : "Stable gastric pentadecapeptide BPC 157: novel therapy in gastrointestinal tract.", "type" : "article-journal", "volume" : "17" }, "uris" : [ "http://www.mendeley.com/documents/?uuid=0c326320-ddc2-4da8-939a-b8cfc65cd61b" ] }, { "id" : "ITEM-8", "itemData" : { "DOI" : "10.2174/138161210790945977", "ISBN" : "1873-4286 (Electronic)\\r1381-6128 (Linking)", "ISSN" : "13816128", "PMID" : "20166993", "abstract" : "The significance of cytoprotection and adaptive cytoprotection and the peptides importance remained to be not completely determined. BPC 157 is an anti-ulcer peptidergic agent, proven in clinical trials to be both safe in inflammatory bowel disease (PL-10, PLD-116, PL 14736) and wound healing, and stable in human gastric juice, with no toxicity being reported. It has a prominent effect on alcohol- lesions (i.e., induced acutely and chronically) and non-steroidal anti-inflammatory drugs-lesions (while interestingly BPC 157 may both prevent and reverse adjuvant arthritis). To review the importance of BPC 157, this review focused on Robert's cytoprotection concept described in rat stomach, reviewing our evidence that may resolve whether the cytoprotection and adaptive cytoprotection is an uniform phenomenon or not; whether the phenomenon or phenomena are endogenous or not, depending on nature of the irritants (mild or strong); whether this may contribute to stomach mucosa defense either when threaten by various ulcerogens or afforded by various antiulcer agents; whether these phenomena are uniform in whole gastrointestinal tract or not; whether they are interrelated or not. Finally, the importance of the cytoprotection phenomena and cytoprotection activity for skin wound healing, and wound healing in general was challenged. Thereby, this review focused on BPC 157 role in cytoprotection and adaptative cytoprotection suggesting that it may be the essential endogenous mediator able to mediate both cytoprotective and adaptive cytoprotective response in stomach and the whole gastrointestinal tract with significant importance in wound healing as well.", "author" : [ { "dropping-particle" : "", "family" : "Sikiric", "given" : "Predrag", "non-dropping-particle" : "", "parse-names" : false, "suffix" : "" }, { "dropping-particle" : "", "family" : "Seiwerth", "given" : "Sven",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"container-title" : "Current pharmaceutical design", "id" : "ITEM-8", "issue" : "10", "issued" : { "date-parts" : [ [ "2010" ] ] }, "page" : "1224-1234", "title" : "Revised Robert's cytoprotection and adaptive cytoprotection and stable gastric pentadecapeptide BPC 157. Possible significance and implications for novel mediator.", "type" : "article-journal", "volume" : "16" }, "uris" : [ "http://www.mendeley.com/documents/?uuid=e3cf6c8b-0484-4890-9aee-cda6592874b2" ] }, { "id" : "ITEM-9", "itemData" : { "DOI" : "10.1007/s10787-006-1531-7", "ISSN" : "0925-4692", "PMID" : "17186181", "abstract" : "Gastric pentadecapeptide BPC 157 (GEPPPGKPADDAGLV, M.W. 1419, safe in clinical trials for inflammatory bowel disease (PL 10, PLD 116, PLD 14736, Pliva, Croatia)) has a particular cytoprotective/adaptive cytoprotective activity. The cytoprotective/adaptive cytoprotection researches largely neglect that stomach distension could per se jeopardize the mucosal integrity, with constantly stretched mucosa and blood vessels, and sphincters more prone for reflux induction. After absolute alcohol instillation in fully distended rat stomach, gastric, esophageal and duodenal lesions occur. Throughout next 3 min, left gastric artery blood vessels clearly disappear at the serosal site, indicative for loss of vessels both integrity and function. Contrary, constant vessels presentation could predict the beneficial effect of applied agent. After pentadecapeptide BPC 157 instillation into the stomach the vessels presentation remains constant, and lesions of stomach, esophagus, and duodenum are inhibited. Standards (atropine, ranitidine, omeprazole) could only slightly improve the vessels presentation compared to control values, and they have only a partial effect on the lesions. In this review we emphasize BPC 157 unusual stability, and some of its important effects: effectiveness against various lesions in gastrointestinal tract, on nitric oxide (NO)-system, and NO-agents effects, on somatosensory neurons, salivary glands function, recovery of AMP-ADP-ATP system, endothelium protection, effect on endothelin, and on angiogenesis promotion. It also antagonizes other alcohol effects, including acute and chronic intoxication. Given peripherally, it counteracts the consequence of central dopamine system disturbances (receptor blockade), and induces serotonin release in substantia nigra. Therapeutic potential of BPC 157 as a cytoprotective agent is also seen in its capability to heal various wounds. Given directly into the stomach, BPC 157 instantly recovers disturbed lower esophageal and pyloric sphincter pressure in rats after 12-20 months of untreated esophagitis. All these could be suggestive for its role as a natural protectant in gastric juice with particular function throughout stomach distension.", "author" : [ { "dropping-particle" : "", "family" : "Sikiric", "given" : "P.", "non-dropping-particle" : "", "parse-names" : false, "suffix" : "" }, { "dropping-particle" : "", "family" : "Seiwerth", "given" : "S.", "non-dropping-particle" : "", "parse-names" : false, "suffix" : "" }, { "dropping-particle" : "", "family" : "Brcic", "given" : "L.", "non-dropping-particle" : "", "parse-names" : false, "suffix" : "" }, { "dropping-particle" : "", "family" : "Blagaic", "given" : "A B", "non-dropping-particle" : "", "parse-names" : false, "suffix" : "" }, { "dropping-particle" : "", "family" : "Zoricic", "given" : "I.", "non-dropping-particle" : "", "parse-names" : false, "suffix" : "" }, { "dropping-particle" : "", "family" : "Sever", "given" : "M.", "non-dropping-particle" : "", "parse-names" : false, "suffix" : "" }, { "dropping-particle" : "", "family" : "Klicek", "given" : "R.", "non-dropping-particle" : "", "parse-names" : false, "suffix" : "" }, { "dropping-particle" : "", "family" : "Radic", "given" : "B.", "non-dropping-particle" : "", "parse-names" : false, "suffix" : "" }, { "dropping-particle" : "", "family" : "Keller", "given" : "N.", "non-dropping-particle" : "", "parse-names" : false, "suffix" : "" }, { "dropping-particle" : "", "family" : "Sipos", "given" : "K.", "non-dropping-particle" : "", "parse-names" : false, "suffix" : "" }, { "dropping-particle" : "", "family" : "Jakir", "given" : "A.", "non-dropping-particle" : "", "parse-names" : false, "suffix" : "" }, { "dropping-particle" : "", "family" : "Udovicic", "given" : "M.", "non-dropping-particle" : "", "parse-names" : false, "suffix" : "" }, { "dropping-particle" : "", "family" : "Tonkic", "given" : "A.", "non-dropping-particle" : "", "parse-names" : false, "suffix" : "" }, { "dropping-particle" : "", "family" : "Kokic", "given" : "N.", "non-dropping-particle" : "", "parse-names" : false, "suffix" : "" }, { "dropping-particle" : "", "family" : "Turkovic", "given" : "B.", "non-dropping-particle" : "", "parse-names" : false, "suffix" : "" }, { "dropping-particle" : "", "family" : "Mise", "given" : "S.", "non-dropping-particle" : "", "parse-names" : false, "suffix" : "" }, { "dropping-particle" : "", "family" : "Anic", "given" : "T.", "non-dropping-particle" : "", "parse-names" : false, "suffix" : "" } ], "container-title" : "Inflammopharmacology", "id" : "ITEM-9", "issue" : "5-6", "issued" : { "date-parts" : [ [ "2006", "12" ] ] }, "page" : "214-21", "title" : "Stable gastric pentadecapeptide BPC 157 in trials for inflammatory bowel disease (PL-10, PLD-116, PL 14736, Pliva, Croatia). Full and distended stomach, and vascular response.", "type" : "article-journal", "volume" : "14" }, "uris" : [ "http://www.mendeley.com/documents/?uuid=a21321d3-6201-3777-b54c-60d2c5d4ff9a" ] }, { "id" : "ITEM-10", "itemData" : { "DOI" : "10.1016/0928-4257(93)90038-U", "ISSN" : "0928-4257", "PMID" : "8298609", "abstract" : "The possibility that the stomach, affected by general stress, might initiate a counter-response has not until recently been considered in theories of stress. We suggest that the stomach, as the most sensitive part of the gastrointestinal tract and the largest neuroendocrine organ in the body, is crucial for the initiation of a full stress response against all noxious stress pathology. The end result would be a strong protection of all organs invaded by 'stress'. Consistent with this assumption, this coping response is best explained in terms of 'organoprotection'. Endogenous organoprotectors (eg prostaglandins, somatostatin, dopamine) are proposed as mediators. Such an endogenous counteraction could even be afforded by their suitable application. A new gastric juice peptide, M(r) 40,000, named BPC, was recently isolated. Herein, a 15 amino acid fragment (BPC 157), thought to be essential for its activity, has been fully characterized and investigated. As has been demonstrated for many organoprotective agents using different models of various tissue lesions, despite the poorly understood final mechanism, practically all organ systems appear to benefit from BPC activity. These effects have been achieved in many species using very low dosages (mostly microgram and ng/kg range) after ip, ig, and intramucosal (local) application. The effect was apparent already after one application. Long lasting activity was also demonstrated. BPC was highly effective when applied simultaneously with noxious agents or in already pathological, as well as chronical, conditions. Therefore, it seems that BPC treatment does not share any of the so far known limitations for 'conventional organoprotectors'. No influence on different basal parameters and no toxicity were observed. These findings provide a breakthrough in stress theory. BPC, as a possible endogenous free radical scavenger and organoprotection mediator, could be a useful prototype of a new class of drugs, organoprotective agents.", "author" : [ { "dropping-particle" : "", "family" : "Sikiri\u0107", "given" : "P.", "non-dropping-particle" : "", "parse-names" : false, "suffix" : "" }, { "dropping-particle" : "", "family" : "Petek", "given" : "M.", "non-dropping-particle" : "", "parse-names" : false, "suffix" : "" }, { "dropping-particle" : "", "family" : "Rucman", "given" : "R", "non-dropping-particle" : "", "parse-names" : false, "suffix" : "" }, { "dropping-particle" : "", "family" : "Seiwerth", "given" : "S.", "non-dropping-particle" : "", "parse-names" : false, "suffix" : "" }, { "dropping-particle" : "", "family" : "Grabarevi\u0107", "given" : "Z.", "non-dropping-particle" : "", "parse-names" : false, "suffix" : "" }, { "dropping-particle" : "", "family" : "Rotkvi\u0107", "given" : "I.", "non-dropping-particle" : "", "parse-names" : false, "suffix" : "" }, { "dropping-particle" : "", "family" : "Turkovi\u0107", "given" : "B.", "non-dropping-particle" : "", "parse-names" : false, "suffix" : "" }, { "dropping-particle" : "", "family" : "Jagi\u0107", "given" : "V.", "non-dropping-particle" : "", "parse-names" : false, "suffix" : "" }, { "dropping-particle" : "", "family" : "Mildner", "given" : "B.", "non-dropping-particle" : "", "parse-names" : false, "suffix" : "" }, { "dropping-particle" : "", "family" : "Duvnjak", "given" : "M.", "non-dropping-particle" : "", "parse-names" : false, "suffix" : "" } ], "container-title" : "Journal of physiology, Paris", "id" : "ITEM-10", "issue" : "5", "issued" : { "date-parts" : [ [ "1993" ] ] }, "page" : "313-27", "title" : "A new gastric juice peptide, BPC. An overview of the stomach-stress-organoprotection hypothesis and beneficial effects of BPC.", "type" : "article-journal", "volume" : "87" }, "uris" : [ "http://www.mendeley.com/documents/?uuid=f738bbb1-8d16-31eb-a5d7-6f273100aa96" ] } ], "mendeley" : { "formattedCitation" : "&lt;sup&gt;[1\u201310]&lt;/sup&gt;", "plainTextFormattedCitation" : "[1\u201310]", "previouslyFormattedCitation" : "(Seiwerth et al., 2014; Sikiric et al., 2017, 2016, 2014, 2013, 2012, 2011, 2010, 2006; Sikiri\u0107 et al., 1993)" }, "properties" : {  }, "schema" : "https://github.com/citation-style-language/schema/raw/master/csl-citation.json" }</w:instrText>
      </w:r>
      <w:r w:rsidR="00264F2B" w:rsidRPr="00CC34A3">
        <w:rPr>
          <w:rFonts w:ascii="Book Antiqua" w:eastAsia="Calibri" w:hAnsi="Book Antiqua"/>
          <w:color w:val="000000" w:themeColor="text1"/>
          <w:sz w:val="24"/>
          <w:szCs w:val="24"/>
          <w:lang w:val="en-US" w:eastAsia="en-US"/>
        </w:rPr>
        <w:fldChar w:fldCharType="separate"/>
      </w:r>
      <w:r w:rsidR="00317D7F" w:rsidRPr="00CC34A3">
        <w:rPr>
          <w:rFonts w:ascii="Book Antiqua" w:eastAsia="Calibri" w:hAnsi="Book Antiqua"/>
          <w:color w:val="000000" w:themeColor="text1"/>
          <w:sz w:val="24"/>
          <w:szCs w:val="24"/>
          <w:vertAlign w:val="superscript"/>
          <w:lang w:val="en-US" w:eastAsia="en-US"/>
        </w:rPr>
        <w:t>[1–10]</w:t>
      </w:r>
      <w:r w:rsidR="00264F2B" w:rsidRPr="00CC34A3">
        <w:rPr>
          <w:rFonts w:ascii="Book Antiqua" w:eastAsia="Calibri" w:hAnsi="Book Antiqua"/>
          <w:color w:val="000000" w:themeColor="text1"/>
          <w:sz w:val="24"/>
          <w:szCs w:val="24"/>
          <w:lang w:val="en-US" w:eastAsia="en-US"/>
        </w:rPr>
        <w:fldChar w:fldCharType="end"/>
      </w:r>
      <w:r w:rsidRPr="00CC34A3">
        <w:rPr>
          <w:rFonts w:ascii="Book Antiqua" w:hAnsi="Book Antiqua"/>
          <w:color w:val="000000" w:themeColor="text1"/>
          <w:sz w:val="24"/>
          <w:szCs w:val="24"/>
          <w:lang w:val="en-US"/>
        </w:rPr>
        <w:t xml:space="preserve">. </w:t>
      </w:r>
      <w:r w:rsidR="000A5B0D" w:rsidRPr="00CC34A3">
        <w:rPr>
          <w:rFonts w:ascii="Book Antiqua" w:hAnsi="Book Antiqua"/>
          <w:color w:val="000000" w:themeColor="text1"/>
          <w:sz w:val="24"/>
          <w:szCs w:val="24"/>
          <w:lang w:val="en-US"/>
        </w:rPr>
        <w:t>R</w:t>
      </w:r>
      <w:r w:rsidRPr="00CC34A3">
        <w:rPr>
          <w:rFonts w:ascii="Book Antiqua" w:hAnsi="Book Antiqua"/>
          <w:color w:val="000000" w:themeColor="text1"/>
          <w:sz w:val="24"/>
          <w:szCs w:val="24"/>
          <w:lang w:val="en-US"/>
        </w:rPr>
        <w:t xml:space="preserve">at duodenal lesion </w:t>
      </w:r>
      <w:r w:rsidR="001129E5" w:rsidRPr="00CC34A3">
        <w:rPr>
          <w:rFonts w:ascii="Book Antiqua" w:hAnsi="Book Antiqua"/>
          <w:color w:val="000000" w:themeColor="text1"/>
          <w:sz w:val="24"/>
          <w:szCs w:val="24"/>
          <w:lang w:val="en-US"/>
        </w:rPr>
        <w:t>re</w:t>
      </w:r>
      <w:r w:rsidRPr="00CC34A3">
        <w:rPr>
          <w:rFonts w:ascii="Book Antiqua" w:hAnsi="Book Antiqua"/>
          <w:color w:val="000000" w:themeColor="text1"/>
          <w:sz w:val="24"/>
          <w:szCs w:val="24"/>
          <w:lang w:val="en-US"/>
        </w:rPr>
        <w:t>search</w:t>
      </w:r>
      <w:r w:rsidR="001129E5" w:rsidRPr="00CC34A3">
        <w:rPr>
          <w:rFonts w:ascii="Book Antiqua" w:hAnsi="Book Antiqua"/>
          <w:color w:val="000000" w:themeColor="text1"/>
          <w:sz w:val="24"/>
          <w:szCs w:val="24"/>
          <w:lang w:val="en-US"/>
        </w:rPr>
        <w:t xml:space="preserve"> is</w:t>
      </w:r>
      <w:r w:rsidR="00DD5DA6" w:rsidRPr="00CC34A3">
        <w:rPr>
          <w:rFonts w:ascii="Book Antiqua" w:hAnsi="Book Antiqua"/>
          <w:color w:val="000000" w:themeColor="text1"/>
          <w:sz w:val="24"/>
          <w:szCs w:val="24"/>
          <w:lang w:val="en-US"/>
        </w:rPr>
        <w:t xml:space="preserve"> mostly based on cysteamine and acetic acid models</w:t>
      </w:r>
      <w:r w:rsidR="00A526CA" w:rsidRPr="00CC34A3">
        <w:rPr>
          <w:rFonts w:ascii="Book Antiqua" w:eastAsia="Calibri" w:hAnsi="Book Antiqua"/>
          <w:color w:val="000000" w:themeColor="text1"/>
          <w:sz w:val="24"/>
          <w:szCs w:val="24"/>
          <w:lang w:val="en-US" w:eastAsia="en-US"/>
        </w:rPr>
        <w:fldChar w:fldCharType="begin" w:fldLock="1"/>
      </w:r>
      <w:r w:rsidR="00317D7F" w:rsidRPr="00CC34A3">
        <w:rPr>
          <w:rFonts w:ascii="Book Antiqua" w:eastAsia="Calibri" w:hAnsi="Book Antiqua"/>
          <w:color w:val="000000" w:themeColor="text1"/>
          <w:sz w:val="24"/>
          <w:szCs w:val="24"/>
          <w:lang w:val="en-US" w:eastAsia="en-US"/>
        </w:rPr>
        <w:instrText>ADDIN CSL_CITATION { "citationItems" : [ { "id" : "ITEM-1", "itemData" : { "ISSN" : "0163-2116", "PMID" : "9753225", "abstract" : "Endothelins (ET) and VEGF/VPF (vascular endothelial growth factor/vascular permeability factor) are products mainly of endothelial cells, which are also regulated via autocrine and paracrine pathways by these peptides. As a follow-up to our focus on vascular factors in ulcer pathogenesis and healing, we review here our recent studies with ET-1 and VEGF/VPF in animal models and human subjects. Our new results demonstrated a rapid and time-dependent release of ET-1 into the systemic circulation after intragastric administration of ethanol or HCI in rats, and ethanol in humans. The ET-1 release preceded the development of hemorrhagic erosions in both species and might be used as a diagnostic tool to noninvasively quantify acute gastric mucosal lesions. The development of solitary duodenal ulcers in the rat was preceded only by an organ- (involving only the duodenum and not the stomach) and molecule-specific (induced only by cysteamine and not by the nonulcerogenic analog ethanolamine) rapid local release of ET-1. The severity of cysteamine-induced duodenal ulcers was dose-dependently decreased by pretreatment with ET-1 antibodies or antagonist bosentan. A single intragastric dose of VEGF/VPF resulted in gastroprotection against ethanol, while daily intragastric treatment with the peptide for three weeks stimulated angiogenesis in the base of cysteamine-induced duodenal ulcers and accelerated ulcer healing. Thus, modulation of vascular factors seems to be sufficient for both acute gastroprotection and chronic duodenal ulcer healing.", "author" : [ { "dropping-particle" : "", "family" : "Szabo", "given" : "S", "non-dropping-particle" : "", "parse-names" : false, "suffix" : "" }, { "dropping-particle" : "", "family" : "Vincze", "given" : "A", "non-dropping-particle" : "", "parse-names" : false, "suffix" : "" }, { "dropping-particle" : "", "family" : "Sandor", "given" : "Z", "non-dropping-particle" : "", "parse-names" : false, "suffix" : "" }, { "dropping-particle" : "", "family" : "Jadus", "given" : "M", "non-dropping-particle" : "", "parse-names" : false, "suffix" : "" }, { "dropping-particle" : "", "family" : "Gombos", "given" : "Z", "non-dropping-particle" : "", "parse-names" : false, "suffix" : "" }, { "dropping-particle" : "", "family" : "Pedram", "given" : "A", "non-dropping-particle" : "", "parse-names" : false, "suffix" : "" }, { "dropping-particle" : "", "family" : "Levin", "given" : "E", "non-dropping-particle" : "", "parse-names" : false, "suffix" : "" }, { "dropping-particle" : "", "family" : "Hagar", "given" : "J", "non-dropping-particle" : "", "parse-names" : false, "suffix" : "" }, { "dropping-particle" : "", "family" : "Iaquinto", "given" : "G", "non-dropping-particle" : "", "parse-names" : false, "suffix" : "" } ], "container-title" : "Digestive diseases and sciences", "id" : "ITEM-1", "issue" : "9 Suppl", "issued" : { "date-parts" : [ [ "1998", "9" ] ] }, "page" : "40S-45S", "title" : "Vascular approach to gastroduodenal ulceration: new studies with endothelins and VEGF.", "type" : "article-journal", "volume" : "43" }, "uris" : [ "http://www.mendeley.com/documents/?uuid=a368431f-4aa9-48a1-9150-a8db5c4ff9d6" ] }, { "id" : "ITEM-2", "itemData" : { "ISSN" : "0023-6837", "PMID" : "6205219", "author" : [ { "dropping-particle" : "", "family" : "Szabo", "given" : "S", "non-dropping-particle" : "", "parse-names" : false, "suffix" : "" } ], "container-title" : "Laboratory investigation; a journal of technical methods and pathology", "id" : "ITEM-2", "issue" : "2", "issued" : { "date-parts" : [ [ "1984", "8" ] ] }, "page" : "121-147", "title" : "Pathogenesis of duodenal ulcer disease.", "type" : "article-journal", "volume" : "51" }, "uris" : [ "http://www.mendeley.com/documents/?uuid=68797d15-99f9-4837-a207-539f39367a7a" ] }, { "id" : "ITEM-3", "itemData" : { "ISSN" : "0140-6736", "PMID" : "90970", "abstract" : "Cysteamine-induced duodenal ulcers in rats were prevented by the dopamine agonists bromocriptine, lergotrile, and apomorphine, whereas both the severity of duodenal ulcers and the mortality among cysteamine-treated rats were raised by the dopamine receptor antagonist, haloperiodol. Bromocriptine and lergotrile greatly reduced gastric-acid output in cysteamine-treated rats. A review of the literature shows a high incidence of duodenal ulcers in patients with Parkinson's disease (associated with dopamine deficiency) and a low occurrence in schizophrenics (associated with dopamine excess and/or hyperactivity). Thus, changes in peripheral and/or central dopamine concentrations and/or receptor activity may have a role in the pathogenesis of duodenal ulceration.", "author" : [ { "dropping-particle" : "", "family" : "Szabo", "given" : "S", "non-dropping-particle" : "", "parse-names" : false, "suffix" : "" } ], "container-title" : "Lancet (London, England)", "id" : "ITEM-3", "issue" : "8148", "issued" : { "date-parts" : [ [ "1979", "10", "27" ] ] }, "page" : "880-882", "title" : "Dopamine disorder in duodenal ulceration.", "type" : "article-journal", "volume" : "2" }, "uris" : [ "http://www.mendeley.com/documents/?uuid=a39cbd3a-5146-4738-9970-643ef4565221" ] }, { "id" : "ITEM-4", "itemData" : { "ISSN" : "0918-6158", "PMID" : "16079471", "abstract" : "Four types of experimental chronic ulcer models, named acetic acid ulcer models, have been developed to examine the healing process of peptic ulcers, screen anti-ulcer drugs, and better evaluate the adverse effects of various anti-inflammatory drugs on the gastrointestinal mucosa. The model easily and reliably produces round, deep ulcers in the stomach and duodenum, allowing acetic acid ulcer production in mice, rats, Mongolian gerbils, guinea pigs, cats, dogs, miniature pigs, and monkeys. These ulcer models highly resemble human ulcers in terms of both pathological features and healing process. The models have been established over the past 35 years and are now used throughout the world by basic and clinical scientists. One of the characteristic features of acetic acid ulcers in rats is the spontaneous relapse of healed ulcers &gt;100 d after ulceration, an endoscopically confirmed phenomenon. Indomethacin significantly delays the healing of acetic acid ulcers, probably by reducing endogenous prostaglandins and inhibiting angiogenesis in ulcerated tissue. Helicobacter pylori significantly delays healing of acetic acid ulcers and causes relapse of healed ulcers at a high incidence in Mongolian gerbils. Anti-secretory drugs (e.g. omeprazole), prostaglandin analogs, mucosal defense agents (e.g. sucralfate), and various growth factors all significantly enhance healing of acetic acid ulcers. Gene therapy with epidermal growth factor and vascular endothelial growth factor applied to the base of acetic acid ulcers in rats is effective in enhancing ulcer healing. Since an inhibitor of nitric oxide syntase prevents ulcer healing, nitric oxide might be involved in the mechanism underlying ulcer healing. We conclude that acetic acid ulcer models are quite useful for various studies related to peptic ulcers.", "author" : [ { "dropping-particle" : "", "family" : "Okabe", "given" : "Susumu", "non-dropping-particle" : "", "parse-names" : false, "suffix" : "" }, { "dropping-particle" : "", "family" : "Amagase", "given" : "Kikuko", "non-dropping-particle" : "", "parse-names" : false, "suffix" : "" } ], "container-title" : "Biological &amp; pharmaceutical bulletin", "id" : "ITEM-4", "issue" : "8", "issued" : { "date-parts" : [ [ "2005", "8" ] ] }, "page" : "1321-1341", "title" : "An overview of acetic acid ulcer models--the history and state of the art of peptic ulcer research.", "type" : "article-journal", "volume" : "28" }, "uris" : [ "http://www.mendeley.com/documents/?uuid=8822b118-98be-4c1b-8f3b-ded3f634e325" ] } ], "mendeley" : { "formattedCitation" : "&lt;sup&gt;[11\u201314]&lt;/sup&gt;", "plainTextFormattedCitation" : "[11\u201314]", "previouslyFormattedCitation" : "(Okabe and Amagase, 2005; Szabo, 1984, 1979; Szabo et al., 1998)" }, "properties" : {  }, "schema" : "https://github.com/citation-style-language/schema/raw/master/csl-citation.json" }</w:instrText>
      </w:r>
      <w:r w:rsidR="00A526CA" w:rsidRPr="00CC34A3">
        <w:rPr>
          <w:rFonts w:ascii="Book Antiqua" w:eastAsia="Calibri" w:hAnsi="Book Antiqua"/>
          <w:color w:val="000000" w:themeColor="text1"/>
          <w:sz w:val="24"/>
          <w:szCs w:val="24"/>
          <w:lang w:val="en-US" w:eastAsia="en-US"/>
        </w:rPr>
        <w:fldChar w:fldCharType="separate"/>
      </w:r>
      <w:r w:rsidR="00317D7F" w:rsidRPr="00CC34A3">
        <w:rPr>
          <w:rFonts w:ascii="Book Antiqua" w:eastAsia="Calibri" w:hAnsi="Book Antiqua"/>
          <w:color w:val="000000" w:themeColor="text1"/>
          <w:sz w:val="24"/>
          <w:szCs w:val="24"/>
          <w:vertAlign w:val="superscript"/>
          <w:lang w:val="en-US" w:eastAsia="en-US"/>
        </w:rPr>
        <w:t>[11–14]</w:t>
      </w:r>
      <w:r w:rsidR="00A526CA" w:rsidRPr="00CC34A3">
        <w:rPr>
          <w:rFonts w:ascii="Book Antiqua" w:eastAsia="Calibri" w:hAnsi="Book Antiqua"/>
          <w:color w:val="000000" w:themeColor="text1"/>
          <w:sz w:val="24"/>
          <w:szCs w:val="24"/>
          <w:lang w:val="en-US" w:eastAsia="en-US"/>
        </w:rPr>
        <w:fldChar w:fldCharType="end"/>
      </w:r>
      <w:r w:rsidR="000A5B0D" w:rsidRPr="00CC34A3">
        <w:rPr>
          <w:rFonts w:ascii="Book Antiqua" w:hAnsi="Book Antiqua"/>
          <w:color w:val="000000" w:themeColor="text1"/>
          <w:sz w:val="24"/>
          <w:szCs w:val="24"/>
          <w:lang w:val="en-US"/>
        </w:rPr>
        <w:t>;</w:t>
      </w:r>
      <w:r w:rsidRPr="00CC34A3">
        <w:rPr>
          <w:rFonts w:ascii="Book Antiqua" w:hAnsi="Book Antiqua"/>
          <w:color w:val="000000" w:themeColor="text1"/>
          <w:sz w:val="24"/>
          <w:szCs w:val="24"/>
          <w:lang w:val="en-US"/>
        </w:rPr>
        <w:t xml:space="preserve"> </w:t>
      </w:r>
      <w:r w:rsidR="00C70D73" w:rsidRPr="00CC34A3">
        <w:rPr>
          <w:rFonts w:ascii="Book Antiqua" w:hAnsi="Book Antiqua"/>
          <w:color w:val="000000" w:themeColor="text1"/>
          <w:sz w:val="24"/>
          <w:szCs w:val="24"/>
          <w:lang w:val="en-US"/>
        </w:rPr>
        <w:t xml:space="preserve">investigations are sparse on </w:t>
      </w:r>
      <w:r w:rsidRPr="00CC34A3">
        <w:rPr>
          <w:rFonts w:ascii="Book Antiqua" w:hAnsi="Book Antiqua"/>
          <w:color w:val="000000" w:themeColor="text1"/>
          <w:sz w:val="24"/>
          <w:szCs w:val="24"/>
          <w:lang w:val="en-US"/>
        </w:rPr>
        <w:t>the impact of major venous obstruction and whether recruitment of blood vessels to bypass obstruction may occur</w:t>
      </w:r>
      <w:r w:rsidR="001129E5" w:rsidRPr="00CC34A3">
        <w:rPr>
          <w:rFonts w:ascii="Book Antiqua" w:hAnsi="Book Antiqua"/>
          <w:color w:val="000000" w:themeColor="text1"/>
          <w:sz w:val="24"/>
          <w:szCs w:val="24"/>
          <w:lang w:val="en-US"/>
        </w:rPr>
        <w:t xml:space="preserve"> quickly</w:t>
      </w:r>
      <w:r w:rsidRPr="00CC34A3">
        <w:rPr>
          <w:rFonts w:ascii="Book Antiqua" w:hAnsi="Book Antiqua"/>
          <w:color w:val="000000" w:themeColor="text1"/>
          <w:sz w:val="24"/>
          <w:szCs w:val="24"/>
          <w:lang w:val="en-US"/>
        </w:rPr>
        <w:t xml:space="preserve">, and if so, whether it may be facilitated by a </w:t>
      </w:r>
      <w:r w:rsidR="001129E5" w:rsidRPr="00CC34A3">
        <w:rPr>
          <w:rFonts w:ascii="Book Antiqua" w:hAnsi="Book Antiqua"/>
          <w:color w:val="000000" w:themeColor="text1"/>
          <w:sz w:val="24"/>
          <w:szCs w:val="24"/>
          <w:lang w:val="en-US"/>
        </w:rPr>
        <w:t>suitable</w:t>
      </w:r>
      <w:r w:rsidRPr="00CC34A3">
        <w:rPr>
          <w:rFonts w:ascii="Book Antiqua" w:hAnsi="Book Antiqua"/>
          <w:color w:val="000000" w:themeColor="text1"/>
          <w:sz w:val="24"/>
          <w:szCs w:val="24"/>
          <w:lang w:val="en-US"/>
        </w:rPr>
        <w:t xml:space="preserve"> therapy. On the other hand, in rats </w:t>
      </w:r>
      <w:r w:rsidR="00B53FB7" w:rsidRPr="00CC34A3">
        <w:rPr>
          <w:rFonts w:ascii="Book Antiqua" w:hAnsi="Book Antiqua"/>
          <w:color w:val="000000" w:themeColor="text1"/>
          <w:sz w:val="24"/>
          <w:szCs w:val="24"/>
          <w:lang w:val="en-US"/>
        </w:rPr>
        <w:t xml:space="preserve">that </w:t>
      </w:r>
      <w:r w:rsidRPr="00CC34A3">
        <w:rPr>
          <w:rFonts w:ascii="Book Antiqua" w:hAnsi="Book Antiqua"/>
          <w:color w:val="000000" w:themeColor="text1"/>
          <w:sz w:val="24"/>
          <w:szCs w:val="24"/>
          <w:lang w:val="en-US"/>
        </w:rPr>
        <w:t>underwent other vessel occlusions (</w:t>
      </w:r>
      <w:r w:rsidRPr="00CC34A3">
        <w:rPr>
          <w:rFonts w:ascii="Book Antiqua" w:hAnsi="Book Antiqua"/>
          <w:i/>
          <w:color w:val="000000" w:themeColor="text1"/>
          <w:sz w:val="24"/>
          <w:szCs w:val="24"/>
          <w:lang w:val="en-US"/>
        </w:rPr>
        <w:t>i.e.</w:t>
      </w:r>
      <w:r w:rsidRPr="00CC34A3">
        <w:rPr>
          <w:rFonts w:ascii="Book Antiqua" w:hAnsi="Book Antiqua"/>
          <w:color w:val="000000" w:themeColor="text1"/>
          <w:sz w:val="24"/>
          <w:szCs w:val="24"/>
          <w:lang w:val="en-US"/>
        </w:rPr>
        <w:t>, left colic artery and vein</w:t>
      </w:r>
      <w:r w:rsidR="001129E5" w:rsidRPr="00CC34A3">
        <w:rPr>
          <w:rFonts w:ascii="Book Antiqua" w:hAnsi="Book Antiqua"/>
          <w:color w:val="000000" w:themeColor="text1"/>
          <w:sz w:val="24"/>
          <w:szCs w:val="24"/>
          <w:lang w:val="en-US"/>
        </w:rPr>
        <w:t>,</w:t>
      </w:r>
      <w:r w:rsidRPr="00CC34A3">
        <w:rPr>
          <w:rFonts w:ascii="Book Antiqua" w:hAnsi="Book Antiqua"/>
          <w:color w:val="000000" w:themeColor="text1"/>
          <w:sz w:val="24"/>
          <w:szCs w:val="24"/>
          <w:lang w:val="en-US"/>
        </w:rPr>
        <w:t xml:space="preserve"> infrarenal inferior </w:t>
      </w:r>
      <w:proofErr w:type="spellStart"/>
      <w:r w:rsidRPr="00CC34A3">
        <w:rPr>
          <w:rFonts w:ascii="Book Antiqua" w:hAnsi="Book Antiqua"/>
          <w:color w:val="000000" w:themeColor="text1"/>
          <w:sz w:val="24"/>
          <w:szCs w:val="24"/>
          <w:lang w:val="en-US"/>
        </w:rPr>
        <w:t>caval</w:t>
      </w:r>
      <w:proofErr w:type="spellEnd"/>
      <w:r w:rsidRPr="00CC34A3">
        <w:rPr>
          <w:rFonts w:ascii="Book Antiqua" w:hAnsi="Book Antiqua"/>
          <w:color w:val="000000" w:themeColor="text1"/>
          <w:sz w:val="24"/>
          <w:szCs w:val="24"/>
          <w:lang w:val="en-US"/>
        </w:rPr>
        <w:t xml:space="preserve"> vein</w:t>
      </w:r>
      <w:r w:rsidR="00A526CA" w:rsidRPr="00CC34A3">
        <w:rPr>
          <w:rFonts w:ascii="Book Antiqua" w:eastAsia="Calibri" w:hAnsi="Book Antiqua"/>
          <w:color w:val="000000" w:themeColor="text1"/>
          <w:sz w:val="24"/>
          <w:szCs w:val="24"/>
          <w:lang w:val="en-US" w:eastAsia="en-US"/>
        </w:rPr>
        <w:fldChar w:fldCharType="begin" w:fldLock="1"/>
      </w:r>
      <w:r w:rsidR="00317D7F" w:rsidRPr="00CC34A3">
        <w:rPr>
          <w:rFonts w:ascii="Book Antiqua" w:eastAsia="Calibri" w:hAnsi="Book Antiqua"/>
          <w:color w:val="000000" w:themeColor="text1"/>
          <w:sz w:val="24"/>
          <w:szCs w:val="24"/>
          <w:lang w:val="en-US" w:eastAsia="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A526CA" w:rsidRPr="00CC34A3">
        <w:rPr>
          <w:rFonts w:ascii="Book Antiqua" w:eastAsia="Calibri" w:hAnsi="Book Antiqua"/>
          <w:color w:val="000000" w:themeColor="text1"/>
          <w:sz w:val="24"/>
          <w:szCs w:val="24"/>
          <w:lang w:val="en-US" w:eastAsia="en-US"/>
        </w:rPr>
        <w:fldChar w:fldCharType="separate"/>
      </w:r>
      <w:r w:rsidR="00317D7F" w:rsidRPr="00CC34A3">
        <w:rPr>
          <w:rFonts w:ascii="Book Antiqua" w:eastAsia="Calibri" w:hAnsi="Book Antiqua"/>
          <w:color w:val="000000" w:themeColor="text1"/>
          <w:sz w:val="24"/>
          <w:szCs w:val="24"/>
          <w:vertAlign w:val="superscript"/>
          <w:lang w:val="en-US" w:eastAsia="en-US"/>
        </w:rPr>
        <w:t>[15,16]</w:t>
      </w:r>
      <w:r w:rsidR="00A526CA" w:rsidRPr="00CC34A3">
        <w:rPr>
          <w:rFonts w:ascii="Book Antiqua" w:eastAsia="Calibri" w:hAnsi="Book Antiqua"/>
          <w:color w:val="000000" w:themeColor="text1"/>
          <w:sz w:val="24"/>
          <w:szCs w:val="24"/>
          <w:lang w:val="en-US" w:eastAsia="en-US"/>
        </w:rPr>
        <w:fldChar w:fldCharType="end"/>
      </w:r>
      <w:r w:rsidRPr="00CC34A3">
        <w:rPr>
          <w:rFonts w:ascii="Book Antiqua" w:hAnsi="Book Antiqua"/>
          <w:color w:val="000000" w:themeColor="text1"/>
          <w:sz w:val="24"/>
          <w:szCs w:val="24"/>
          <w:lang w:val="en-US"/>
        </w:rPr>
        <w:t xml:space="preserve">), after </w:t>
      </w:r>
      <w:r w:rsidR="00F2667A" w:rsidRPr="00CC34A3">
        <w:rPr>
          <w:rFonts w:ascii="Book Antiqua" w:hAnsi="Book Antiqua"/>
          <w:color w:val="000000" w:themeColor="text1"/>
          <w:sz w:val="24"/>
          <w:szCs w:val="24"/>
          <w:lang w:val="en-US"/>
        </w:rPr>
        <w:t xml:space="preserve">application of </w:t>
      </w:r>
      <w:r w:rsidRPr="00CC34A3">
        <w:rPr>
          <w:rFonts w:ascii="Book Antiqua" w:hAnsi="Book Antiqua"/>
          <w:color w:val="000000" w:themeColor="text1"/>
          <w:sz w:val="24"/>
          <w:szCs w:val="24"/>
          <w:lang w:val="en-US"/>
        </w:rPr>
        <w:t xml:space="preserve">stable gastric </w:t>
      </w:r>
      <w:proofErr w:type="spellStart"/>
      <w:r w:rsidRPr="00CC34A3">
        <w:rPr>
          <w:rFonts w:ascii="Book Antiqua" w:hAnsi="Book Antiqua"/>
          <w:color w:val="000000" w:themeColor="text1"/>
          <w:sz w:val="24"/>
          <w:szCs w:val="24"/>
          <w:lang w:val="en-US"/>
        </w:rPr>
        <w:t>pentadecapeptide</w:t>
      </w:r>
      <w:proofErr w:type="spellEnd"/>
      <w:r w:rsidRPr="00CC34A3">
        <w:rPr>
          <w:rFonts w:ascii="Book Antiqua" w:hAnsi="Book Antiqua"/>
          <w:color w:val="000000" w:themeColor="text1"/>
          <w:sz w:val="24"/>
          <w:szCs w:val="24"/>
          <w:lang w:val="en-US"/>
        </w:rPr>
        <w:t xml:space="preserve"> BPC 157, </w:t>
      </w:r>
      <w:r w:rsidR="00F2667A" w:rsidRPr="00CC34A3">
        <w:rPr>
          <w:rFonts w:ascii="Book Antiqua" w:hAnsi="Book Antiqua"/>
          <w:color w:val="000000" w:themeColor="text1"/>
          <w:sz w:val="24"/>
          <w:szCs w:val="24"/>
          <w:lang w:val="en-US"/>
        </w:rPr>
        <w:t xml:space="preserve">the </w:t>
      </w:r>
      <w:r w:rsidRPr="00CC34A3">
        <w:rPr>
          <w:rFonts w:ascii="Book Antiqua" w:hAnsi="Book Antiqua"/>
          <w:color w:val="000000" w:themeColor="text1"/>
          <w:sz w:val="24"/>
          <w:szCs w:val="24"/>
          <w:lang w:val="en-US"/>
        </w:rPr>
        <w:t xml:space="preserve">bypassing </w:t>
      </w:r>
      <w:r w:rsidR="008B617C" w:rsidRPr="00CC34A3">
        <w:rPr>
          <w:rFonts w:ascii="Book Antiqua" w:hAnsi="Book Antiqua"/>
          <w:color w:val="000000" w:themeColor="text1"/>
          <w:sz w:val="24"/>
          <w:szCs w:val="24"/>
          <w:lang w:val="en-US"/>
        </w:rPr>
        <w:t>occurs</w:t>
      </w:r>
      <w:r w:rsidRPr="00CC34A3">
        <w:rPr>
          <w:rFonts w:ascii="Book Antiqua" w:hAnsi="Book Antiqua"/>
          <w:color w:val="000000" w:themeColor="text1"/>
          <w:sz w:val="24"/>
          <w:szCs w:val="24"/>
          <w:lang w:val="en-US"/>
        </w:rPr>
        <w:t xml:space="preserve"> through </w:t>
      </w:r>
      <w:r w:rsidR="0091501D" w:rsidRPr="00CC34A3">
        <w:rPr>
          <w:rFonts w:ascii="Book Antiqua" w:hAnsi="Book Antiqua"/>
          <w:color w:val="000000" w:themeColor="text1"/>
          <w:sz w:val="24"/>
          <w:szCs w:val="24"/>
          <w:lang w:val="en-US"/>
        </w:rPr>
        <w:t xml:space="preserve">a </w:t>
      </w:r>
      <w:r w:rsidRPr="00CC34A3">
        <w:rPr>
          <w:rFonts w:ascii="Book Antiqua" w:hAnsi="Book Antiqua"/>
          <w:color w:val="000000" w:themeColor="text1"/>
          <w:sz w:val="24"/>
          <w:szCs w:val="24"/>
          <w:lang w:val="en-US"/>
        </w:rPr>
        <w:t xml:space="preserve">rapid collateral presentation, and </w:t>
      </w:r>
      <w:r w:rsidR="00F2667A" w:rsidRPr="00CC34A3">
        <w:rPr>
          <w:rFonts w:ascii="Book Antiqua" w:hAnsi="Book Antiqua"/>
          <w:color w:val="000000" w:themeColor="text1"/>
          <w:sz w:val="24"/>
          <w:szCs w:val="24"/>
          <w:lang w:val="en-US"/>
        </w:rPr>
        <w:t xml:space="preserve">the </w:t>
      </w:r>
      <w:r w:rsidRPr="00CC34A3">
        <w:rPr>
          <w:rFonts w:ascii="Book Antiqua" w:hAnsi="Book Antiqua"/>
          <w:color w:val="000000" w:themeColor="text1"/>
          <w:sz w:val="24"/>
          <w:szCs w:val="24"/>
          <w:lang w:val="en-US"/>
        </w:rPr>
        <w:t xml:space="preserve">lesions and consequent syndrome were largely </w:t>
      </w:r>
      <w:r w:rsidR="008B617C" w:rsidRPr="00CC34A3">
        <w:rPr>
          <w:rFonts w:ascii="Book Antiqua" w:hAnsi="Book Antiqua"/>
          <w:color w:val="000000" w:themeColor="text1"/>
          <w:sz w:val="24"/>
          <w:szCs w:val="24"/>
          <w:lang w:val="en-US"/>
        </w:rPr>
        <w:t>attenuated</w:t>
      </w:r>
      <w:r w:rsidRPr="00CC34A3">
        <w:rPr>
          <w:rFonts w:ascii="Book Antiqua" w:hAnsi="Book Antiqua"/>
          <w:color w:val="000000" w:themeColor="text1"/>
          <w:sz w:val="24"/>
          <w:szCs w:val="24"/>
          <w:lang w:val="en-US"/>
        </w:rPr>
        <w:t>. Rapidly reestablished arcade vessel interconnections upon BPC 157 application mitigate</w:t>
      </w:r>
      <w:r w:rsidR="00F2667A" w:rsidRPr="00CC34A3">
        <w:rPr>
          <w:rFonts w:ascii="Book Antiqua" w:hAnsi="Book Antiqua"/>
          <w:color w:val="000000" w:themeColor="text1"/>
          <w:sz w:val="24"/>
          <w:szCs w:val="24"/>
          <w:lang w:val="en-US"/>
        </w:rPr>
        <w:t>d</w:t>
      </w:r>
      <w:r w:rsidRPr="00CC34A3">
        <w:rPr>
          <w:rFonts w:ascii="Book Antiqua" w:hAnsi="Book Antiqua"/>
          <w:color w:val="000000" w:themeColor="text1"/>
          <w:sz w:val="24"/>
          <w:szCs w:val="24"/>
          <w:lang w:val="en-US"/>
        </w:rPr>
        <w:t xml:space="preserve"> </w:t>
      </w:r>
      <w:r w:rsidR="00B53FB7" w:rsidRPr="00CC34A3">
        <w:rPr>
          <w:rFonts w:ascii="Book Antiqua" w:hAnsi="Book Antiqua"/>
          <w:color w:val="000000" w:themeColor="text1"/>
          <w:sz w:val="24"/>
          <w:szCs w:val="24"/>
          <w:lang w:val="en-US"/>
        </w:rPr>
        <w:t xml:space="preserve">the </w:t>
      </w:r>
      <w:r w:rsidRPr="00CC34A3">
        <w:rPr>
          <w:rFonts w:ascii="Book Antiqua" w:hAnsi="Book Antiqua"/>
          <w:color w:val="000000" w:themeColor="text1"/>
          <w:sz w:val="24"/>
          <w:szCs w:val="24"/>
          <w:lang w:val="en-US"/>
        </w:rPr>
        <w:t xml:space="preserve">harm </w:t>
      </w:r>
      <w:r w:rsidR="00F2667A" w:rsidRPr="00CC34A3">
        <w:rPr>
          <w:rFonts w:ascii="Book Antiqua" w:hAnsi="Book Antiqua"/>
          <w:color w:val="000000" w:themeColor="text1"/>
          <w:sz w:val="24"/>
          <w:szCs w:val="24"/>
          <w:lang w:val="en-US"/>
        </w:rPr>
        <w:t xml:space="preserve">in </w:t>
      </w:r>
      <w:r w:rsidRPr="00CC34A3">
        <w:rPr>
          <w:rFonts w:ascii="Book Antiqua" w:hAnsi="Book Antiqua"/>
          <w:color w:val="000000" w:themeColor="text1"/>
          <w:sz w:val="24"/>
          <w:szCs w:val="24"/>
          <w:lang w:val="en-US"/>
        </w:rPr>
        <w:t xml:space="preserve">two ligations of </w:t>
      </w:r>
      <w:r w:rsidR="00F2667A" w:rsidRPr="00CC34A3">
        <w:rPr>
          <w:rFonts w:ascii="Book Antiqua" w:hAnsi="Book Antiqua"/>
          <w:color w:val="000000" w:themeColor="text1"/>
          <w:sz w:val="24"/>
          <w:szCs w:val="24"/>
          <w:lang w:val="en-US"/>
        </w:rPr>
        <w:t xml:space="preserve">the </w:t>
      </w:r>
      <w:r w:rsidRPr="00CC34A3">
        <w:rPr>
          <w:rFonts w:ascii="Book Antiqua" w:hAnsi="Book Antiqua"/>
          <w:color w:val="000000" w:themeColor="text1"/>
          <w:sz w:val="24"/>
          <w:szCs w:val="24"/>
          <w:lang w:val="en-US"/>
        </w:rPr>
        <w:t xml:space="preserve">left colic artery and vein and consequently </w:t>
      </w:r>
      <w:r w:rsidR="005014AB" w:rsidRPr="00CC34A3">
        <w:rPr>
          <w:rFonts w:ascii="Book Antiqua" w:hAnsi="Book Antiqua"/>
          <w:color w:val="000000" w:themeColor="text1"/>
          <w:sz w:val="24"/>
          <w:szCs w:val="24"/>
          <w:lang w:val="en-US"/>
        </w:rPr>
        <w:t xml:space="preserve">alleviated </w:t>
      </w:r>
      <w:r w:rsidRPr="00CC34A3">
        <w:rPr>
          <w:rFonts w:ascii="Book Antiqua" w:hAnsi="Book Antiqua"/>
          <w:color w:val="000000" w:themeColor="text1"/>
          <w:sz w:val="24"/>
          <w:szCs w:val="24"/>
          <w:lang w:val="en-US"/>
        </w:rPr>
        <w:t>ischemic colitis as well</w:t>
      </w:r>
      <w:r w:rsidR="00A526CA" w:rsidRPr="00CC34A3">
        <w:rPr>
          <w:rFonts w:ascii="Book Antiqua" w:eastAsia="Calibri" w:hAnsi="Book Antiqua"/>
          <w:color w:val="000000" w:themeColor="text1"/>
          <w:sz w:val="24"/>
          <w:szCs w:val="24"/>
          <w:lang w:val="en-US" w:eastAsia="en-US"/>
        </w:rPr>
        <w:fldChar w:fldCharType="begin" w:fldLock="1"/>
      </w:r>
      <w:r w:rsidR="00317D7F" w:rsidRPr="00CC34A3">
        <w:rPr>
          <w:rFonts w:ascii="Book Antiqua" w:eastAsia="Calibri" w:hAnsi="Book Antiqua"/>
          <w:color w:val="000000" w:themeColor="text1"/>
          <w:sz w:val="24"/>
          <w:szCs w:val="24"/>
          <w:lang w:val="en-US" w:eastAsia="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"mendeley" : { "formattedCitation" : "&lt;sup&gt;[15]&lt;/sup&gt;", "plainTextFormattedCitation" : "[15]", "previouslyFormattedCitation" : "(Duzel et al., 2017)" }, "properties" : {  }, "schema" : "https://github.com/citation-style-language/schema/raw/master/csl-citation.json" }</w:instrText>
      </w:r>
      <w:r w:rsidR="00A526CA" w:rsidRPr="00CC34A3">
        <w:rPr>
          <w:rFonts w:ascii="Book Antiqua" w:eastAsia="Calibri" w:hAnsi="Book Antiqua"/>
          <w:color w:val="000000" w:themeColor="text1"/>
          <w:sz w:val="24"/>
          <w:szCs w:val="24"/>
          <w:lang w:val="en-US" w:eastAsia="en-US"/>
        </w:rPr>
        <w:fldChar w:fldCharType="separate"/>
      </w:r>
      <w:r w:rsidR="00317D7F" w:rsidRPr="00CC34A3">
        <w:rPr>
          <w:rFonts w:ascii="Book Antiqua" w:eastAsia="Calibri" w:hAnsi="Book Antiqua"/>
          <w:color w:val="000000" w:themeColor="text1"/>
          <w:sz w:val="24"/>
          <w:szCs w:val="24"/>
          <w:vertAlign w:val="superscript"/>
          <w:lang w:val="en-US" w:eastAsia="en-US"/>
        </w:rPr>
        <w:t>[15]</w:t>
      </w:r>
      <w:r w:rsidR="00A526CA" w:rsidRPr="00CC34A3">
        <w:rPr>
          <w:rFonts w:ascii="Book Antiqua" w:eastAsia="Calibri" w:hAnsi="Book Antiqua"/>
          <w:color w:val="000000" w:themeColor="text1"/>
          <w:sz w:val="24"/>
          <w:szCs w:val="24"/>
          <w:lang w:val="en-US" w:eastAsia="en-US"/>
        </w:rPr>
        <w:fldChar w:fldCharType="end"/>
      </w:r>
      <w:r w:rsidRPr="00CC34A3">
        <w:rPr>
          <w:rFonts w:ascii="Book Antiqua" w:hAnsi="Book Antiqua"/>
          <w:color w:val="000000" w:themeColor="text1"/>
          <w:sz w:val="24"/>
          <w:szCs w:val="24"/>
          <w:lang w:val="en-US"/>
        </w:rPr>
        <w:t xml:space="preserve">. In rats with </w:t>
      </w:r>
      <w:r w:rsidR="006E6E9D" w:rsidRPr="00CC34A3">
        <w:rPr>
          <w:rFonts w:ascii="Book Antiqua" w:hAnsi="Book Antiqua"/>
          <w:color w:val="000000" w:themeColor="text1"/>
          <w:sz w:val="24"/>
          <w:szCs w:val="24"/>
          <w:lang w:val="en-US"/>
        </w:rPr>
        <w:t xml:space="preserve">infrarenal </w:t>
      </w:r>
      <w:r w:rsidRPr="00CC34A3">
        <w:rPr>
          <w:rFonts w:ascii="Book Antiqua" w:hAnsi="Book Antiqua"/>
          <w:color w:val="000000" w:themeColor="text1"/>
          <w:sz w:val="24"/>
          <w:szCs w:val="24"/>
          <w:lang w:val="en-US"/>
        </w:rPr>
        <w:t xml:space="preserve">inferior </w:t>
      </w:r>
      <w:proofErr w:type="spellStart"/>
      <w:r w:rsidRPr="00CC34A3">
        <w:rPr>
          <w:rFonts w:ascii="Book Antiqua" w:hAnsi="Book Antiqua"/>
          <w:color w:val="000000" w:themeColor="text1"/>
          <w:sz w:val="24"/>
          <w:szCs w:val="24"/>
          <w:lang w:val="en-US"/>
        </w:rPr>
        <w:t>caval</w:t>
      </w:r>
      <w:proofErr w:type="spellEnd"/>
      <w:r w:rsidRPr="00CC34A3">
        <w:rPr>
          <w:rFonts w:ascii="Book Antiqua" w:hAnsi="Book Antiqua"/>
          <w:color w:val="000000" w:themeColor="text1"/>
          <w:sz w:val="24"/>
          <w:szCs w:val="24"/>
          <w:lang w:val="en-US"/>
        </w:rPr>
        <w:t xml:space="preserve"> vein </w:t>
      </w:r>
      <w:r w:rsidR="006E6E9D" w:rsidRPr="00CC34A3">
        <w:rPr>
          <w:rFonts w:ascii="Book Antiqua" w:hAnsi="Book Antiqua"/>
          <w:color w:val="000000" w:themeColor="text1"/>
          <w:sz w:val="24"/>
          <w:szCs w:val="24"/>
          <w:lang w:val="en-US"/>
        </w:rPr>
        <w:t>occlusion</w:t>
      </w:r>
      <w:r w:rsidRPr="00CC34A3">
        <w:rPr>
          <w:rFonts w:ascii="Book Antiqua" w:hAnsi="Book Antiqua"/>
          <w:color w:val="000000" w:themeColor="text1"/>
          <w:sz w:val="24"/>
          <w:szCs w:val="24"/>
          <w:lang w:val="en-US"/>
        </w:rPr>
        <w:t xml:space="preserve">, </w:t>
      </w:r>
      <w:r w:rsidR="005014AB" w:rsidRPr="00CC34A3">
        <w:rPr>
          <w:rFonts w:ascii="Book Antiqua" w:hAnsi="Book Antiqua"/>
          <w:color w:val="000000" w:themeColor="text1"/>
          <w:sz w:val="24"/>
          <w:szCs w:val="24"/>
          <w:lang w:val="en-US"/>
        </w:rPr>
        <w:t xml:space="preserve">the </w:t>
      </w:r>
      <w:r w:rsidRPr="00CC34A3">
        <w:rPr>
          <w:rFonts w:ascii="Book Antiqua" w:hAnsi="Book Antiqua"/>
          <w:color w:val="000000" w:themeColor="text1"/>
          <w:sz w:val="24"/>
          <w:szCs w:val="24"/>
          <w:lang w:val="en-US"/>
        </w:rPr>
        <w:t>therap</w:t>
      </w:r>
      <w:r w:rsidR="0091501D" w:rsidRPr="00CC34A3">
        <w:rPr>
          <w:rFonts w:ascii="Book Antiqua" w:hAnsi="Book Antiqua"/>
          <w:color w:val="000000" w:themeColor="text1"/>
          <w:sz w:val="24"/>
          <w:szCs w:val="24"/>
          <w:lang w:val="en-US"/>
        </w:rPr>
        <w:t>eutic</w:t>
      </w:r>
      <w:r w:rsidRPr="00CC34A3">
        <w:rPr>
          <w:rFonts w:ascii="Book Antiqua" w:hAnsi="Book Antiqua"/>
          <w:color w:val="000000" w:themeColor="text1"/>
          <w:sz w:val="24"/>
          <w:szCs w:val="24"/>
          <w:lang w:val="en-US"/>
        </w:rPr>
        <w:t xml:space="preserve"> effect </w:t>
      </w:r>
      <w:r w:rsidR="008B617C" w:rsidRPr="00CC34A3">
        <w:rPr>
          <w:rFonts w:ascii="Book Antiqua" w:hAnsi="Book Antiqua"/>
          <w:color w:val="000000" w:themeColor="text1"/>
          <w:sz w:val="24"/>
          <w:szCs w:val="24"/>
          <w:lang w:val="en-US"/>
        </w:rPr>
        <w:t>occurs</w:t>
      </w:r>
      <w:r w:rsidRPr="00CC34A3">
        <w:rPr>
          <w:rFonts w:ascii="Book Antiqua" w:hAnsi="Book Antiqua"/>
          <w:color w:val="000000" w:themeColor="text1"/>
          <w:sz w:val="24"/>
          <w:szCs w:val="24"/>
          <w:lang w:val="en-US"/>
        </w:rPr>
        <w:t xml:space="preserve"> through </w:t>
      </w:r>
      <w:r w:rsidR="006E6E9D" w:rsidRPr="00CC34A3">
        <w:rPr>
          <w:rFonts w:ascii="Book Antiqua" w:hAnsi="Book Antiqua"/>
          <w:color w:val="000000" w:themeColor="text1"/>
          <w:sz w:val="24"/>
          <w:szCs w:val="24"/>
          <w:lang w:val="en-US"/>
        </w:rPr>
        <w:t xml:space="preserve">the </w:t>
      </w:r>
      <w:r w:rsidRPr="00CC34A3">
        <w:rPr>
          <w:rFonts w:ascii="Book Antiqua" w:hAnsi="Book Antiqua"/>
          <w:color w:val="000000" w:themeColor="text1"/>
          <w:sz w:val="24"/>
          <w:szCs w:val="24"/>
          <w:lang w:val="en-US"/>
        </w:rPr>
        <w:t xml:space="preserve">immediate presentation of </w:t>
      </w:r>
      <w:r w:rsidR="006E6E9D" w:rsidRPr="00CC34A3">
        <w:rPr>
          <w:rFonts w:ascii="Book Antiqua" w:hAnsi="Book Antiqua"/>
          <w:color w:val="000000" w:themeColor="text1"/>
          <w:sz w:val="24"/>
          <w:szCs w:val="24"/>
          <w:lang w:val="en-US"/>
        </w:rPr>
        <w:t xml:space="preserve">the </w:t>
      </w:r>
      <w:r w:rsidRPr="00CC34A3">
        <w:rPr>
          <w:rFonts w:ascii="Book Antiqua" w:hAnsi="Book Antiqua"/>
          <w:color w:val="000000" w:themeColor="text1"/>
          <w:sz w:val="24"/>
          <w:szCs w:val="24"/>
          <w:lang w:val="en-US"/>
        </w:rPr>
        <w:t xml:space="preserve">left </w:t>
      </w:r>
      <w:proofErr w:type="spellStart"/>
      <w:r w:rsidRPr="00CC34A3">
        <w:rPr>
          <w:rFonts w:ascii="Book Antiqua" w:hAnsi="Book Antiqua"/>
          <w:color w:val="000000" w:themeColor="text1"/>
          <w:sz w:val="24"/>
          <w:szCs w:val="24"/>
          <w:lang w:val="en-US"/>
        </w:rPr>
        <w:t>ovaric</w:t>
      </w:r>
      <w:proofErr w:type="spellEnd"/>
      <w:r w:rsidRPr="00CC34A3">
        <w:rPr>
          <w:rFonts w:ascii="Book Antiqua" w:hAnsi="Book Antiqua"/>
          <w:color w:val="000000" w:themeColor="text1"/>
          <w:sz w:val="24"/>
          <w:szCs w:val="24"/>
          <w:lang w:val="en-US"/>
        </w:rPr>
        <w:t xml:space="preserve"> vein</w:t>
      </w:r>
      <w:r w:rsidR="00720A83" w:rsidRPr="00CC34A3">
        <w:rPr>
          <w:rFonts w:ascii="Book Antiqua" w:hAnsi="Book Antiqua"/>
          <w:color w:val="000000" w:themeColor="text1"/>
          <w:sz w:val="24"/>
          <w:szCs w:val="24"/>
          <w:lang w:val="en-US"/>
        </w:rPr>
        <w:t xml:space="preserve"> (LOV) </w:t>
      </w:r>
      <w:r w:rsidRPr="00CC34A3">
        <w:rPr>
          <w:rFonts w:ascii="Book Antiqua" w:hAnsi="Book Antiqua"/>
          <w:color w:val="000000" w:themeColor="text1"/>
          <w:sz w:val="24"/>
          <w:szCs w:val="24"/>
          <w:lang w:val="en-US"/>
        </w:rPr>
        <w:t xml:space="preserve">and other veins, bypassing </w:t>
      </w:r>
      <w:r w:rsidR="006E6E9D" w:rsidRPr="00CC34A3">
        <w:rPr>
          <w:rFonts w:ascii="Book Antiqua" w:hAnsi="Book Antiqua"/>
          <w:color w:val="000000" w:themeColor="text1"/>
          <w:sz w:val="24"/>
          <w:szCs w:val="24"/>
          <w:lang w:val="en-US"/>
        </w:rPr>
        <w:t xml:space="preserve">the </w:t>
      </w:r>
      <w:r w:rsidRPr="00CC34A3">
        <w:rPr>
          <w:rFonts w:ascii="Book Antiqua" w:hAnsi="Book Antiqua"/>
          <w:color w:val="000000" w:themeColor="text1"/>
          <w:sz w:val="24"/>
          <w:szCs w:val="24"/>
          <w:lang w:val="en-US"/>
        </w:rPr>
        <w:t xml:space="preserve">obstruction, </w:t>
      </w:r>
      <w:r w:rsidR="005014AB" w:rsidRPr="00CC34A3">
        <w:rPr>
          <w:rFonts w:ascii="Book Antiqua" w:hAnsi="Book Antiqua"/>
          <w:color w:val="000000" w:themeColor="text1"/>
          <w:sz w:val="24"/>
          <w:szCs w:val="24"/>
          <w:lang w:val="en-US"/>
        </w:rPr>
        <w:t xml:space="preserve">and counteracting </w:t>
      </w:r>
      <w:r w:rsidRPr="00CC34A3">
        <w:rPr>
          <w:rFonts w:ascii="Book Antiqua" w:hAnsi="Book Antiqua"/>
          <w:color w:val="000000" w:themeColor="text1"/>
          <w:sz w:val="24"/>
          <w:szCs w:val="24"/>
          <w:lang w:val="en-US"/>
        </w:rPr>
        <w:t xml:space="preserve">all </w:t>
      </w:r>
      <w:r w:rsidR="005014AB" w:rsidRPr="00CC34A3">
        <w:rPr>
          <w:rFonts w:ascii="Book Antiqua" w:hAnsi="Book Antiqua"/>
          <w:color w:val="000000" w:themeColor="text1"/>
          <w:sz w:val="24"/>
          <w:szCs w:val="24"/>
          <w:lang w:val="en-US"/>
        </w:rPr>
        <w:t xml:space="preserve">the symptoms </w:t>
      </w:r>
      <w:r w:rsidRPr="00CC34A3">
        <w:rPr>
          <w:rFonts w:ascii="Book Antiqua" w:hAnsi="Book Antiqua"/>
          <w:color w:val="000000" w:themeColor="text1"/>
          <w:sz w:val="24"/>
          <w:szCs w:val="24"/>
          <w:lang w:val="en-US"/>
        </w:rPr>
        <w:t>of Virchow</w:t>
      </w:r>
      <w:r w:rsidR="005014AB" w:rsidRPr="00CC34A3">
        <w:rPr>
          <w:rFonts w:ascii="Book Antiqua" w:hAnsi="Book Antiqua"/>
          <w:color w:val="000000" w:themeColor="text1"/>
          <w:sz w:val="24"/>
          <w:szCs w:val="24"/>
          <w:lang w:val="en-US"/>
        </w:rPr>
        <w:t>’s</w:t>
      </w:r>
      <w:r w:rsidRPr="00CC34A3">
        <w:rPr>
          <w:rFonts w:ascii="Book Antiqua" w:hAnsi="Book Antiqua"/>
          <w:color w:val="000000" w:themeColor="text1"/>
          <w:sz w:val="24"/>
          <w:szCs w:val="24"/>
          <w:lang w:val="en-US"/>
        </w:rPr>
        <w:t xml:space="preserve"> triad</w:t>
      </w:r>
      <w:r w:rsidR="00A526CA" w:rsidRPr="00CC34A3">
        <w:rPr>
          <w:rFonts w:ascii="Book Antiqua" w:eastAsia="Calibri" w:hAnsi="Book Antiqua"/>
          <w:color w:val="000000" w:themeColor="text1"/>
          <w:sz w:val="24"/>
          <w:szCs w:val="24"/>
          <w:lang w:val="en-US" w:eastAsia="en-US"/>
        </w:rPr>
        <w:fldChar w:fldCharType="begin" w:fldLock="1"/>
      </w:r>
      <w:r w:rsidR="00317D7F" w:rsidRPr="00CC34A3">
        <w:rPr>
          <w:rFonts w:ascii="Book Antiqua" w:eastAsia="Calibri" w:hAnsi="Book Antiqua"/>
          <w:color w:val="000000" w:themeColor="text1"/>
          <w:sz w:val="24"/>
          <w:szCs w:val="24"/>
          <w:lang w:val="en-US" w:eastAsia="en-US"/>
        </w:rPr>
        <w:instrText>ADDIN CSL_CITATION { "citationItems" : [ { "id" : "ITEM-1",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"ITEM-1",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"&lt;sup&gt;[16]&lt;/sup&gt;", "plainTextFormattedCitation" : "[16]", "previouslyFormattedCitation" : "(Vukojevi\u0107 et al., 2018)" }, "properties" : {  }, "schema" : "https://github.com/citation-style-language/schema/raw/master/csl-citation.json" }</w:instrText>
      </w:r>
      <w:r w:rsidR="00A526CA" w:rsidRPr="00CC34A3">
        <w:rPr>
          <w:rFonts w:ascii="Book Antiqua" w:eastAsia="Calibri" w:hAnsi="Book Antiqua"/>
          <w:color w:val="000000" w:themeColor="text1"/>
          <w:sz w:val="24"/>
          <w:szCs w:val="24"/>
          <w:lang w:val="en-US" w:eastAsia="en-US"/>
        </w:rPr>
        <w:fldChar w:fldCharType="separate"/>
      </w:r>
      <w:r w:rsidR="00317D7F" w:rsidRPr="00CC34A3">
        <w:rPr>
          <w:rFonts w:ascii="Book Antiqua" w:eastAsia="Calibri" w:hAnsi="Book Antiqua"/>
          <w:color w:val="000000" w:themeColor="text1"/>
          <w:sz w:val="24"/>
          <w:szCs w:val="24"/>
          <w:vertAlign w:val="superscript"/>
          <w:lang w:val="en-US" w:eastAsia="en-US"/>
        </w:rPr>
        <w:t>[16]</w:t>
      </w:r>
      <w:r w:rsidR="00A526CA" w:rsidRPr="00CC34A3">
        <w:rPr>
          <w:rFonts w:ascii="Book Antiqua" w:eastAsia="Calibri" w:hAnsi="Book Antiqua"/>
          <w:color w:val="000000" w:themeColor="text1"/>
          <w:sz w:val="24"/>
          <w:szCs w:val="24"/>
          <w:lang w:val="en-US" w:eastAsia="en-US"/>
        </w:rPr>
        <w:fldChar w:fldCharType="end"/>
      </w:r>
      <w:r w:rsidR="008D5CC8" w:rsidRPr="00CC34A3">
        <w:rPr>
          <w:rFonts w:ascii="Book Antiqua" w:hAnsi="Book Antiqua"/>
          <w:color w:val="000000" w:themeColor="text1"/>
          <w:sz w:val="24"/>
          <w:szCs w:val="24"/>
          <w:lang w:val="en-US"/>
        </w:rPr>
        <w:t xml:space="preserve">. </w:t>
      </w:r>
      <w:r w:rsidR="005014AB" w:rsidRPr="00CC34A3">
        <w:rPr>
          <w:rFonts w:ascii="Book Antiqua" w:hAnsi="Book Antiqua"/>
          <w:color w:val="000000" w:themeColor="text1"/>
          <w:sz w:val="24"/>
          <w:szCs w:val="24"/>
          <w:lang w:val="en-US"/>
        </w:rPr>
        <w:t>The n</w:t>
      </w:r>
      <w:r w:rsidRPr="00CC34A3">
        <w:rPr>
          <w:rFonts w:ascii="Book Antiqua" w:hAnsi="Book Antiqua"/>
          <w:color w:val="000000" w:themeColor="text1"/>
          <w:sz w:val="24"/>
          <w:szCs w:val="24"/>
          <w:lang w:val="en-US"/>
        </w:rPr>
        <w:t xml:space="preserve">ormalized levels of </w:t>
      </w:r>
      <w:r w:rsidR="00D10AD9" w:rsidRPr="00CC34A3">
        <w:rPr>
          <w:rFonts w:ascii="Book Antiqua" w:hAnsi="Book Antiqua"/>
          <w:color w:val="000000" w:themeColor="text1"/>
          <w:sz w:val="24"/>
          <w:szCs w:val="24"/>
          <w:lang w:val="en-US"/>
        </w:rPr>
        <w:t xml:space="preserve">two oxidative stress markers, </w:t>
      </w:r>
      <w:r w:rsidR="00773972" w:rsidRPr="00CC34A3">
        <w:rPr>
          <w:rFonts w:ascii="Book Antiqua" w:hAnsi="Book Antiqua"/>
          <w:color w:val="000000" w:themeColor="text1"/>
          <w:sz w:val="24"/>
          <w:szCs w:val="24"/>
          <w:lang w:val="en-US"/>
        </w:rPr>
        <w:t>nitric oxide (</w:t>
      </w:r>
      <w:r w:rsidRPr="00CC34A3">
        <w:rPr>
          <w:rFonts w:ascii="Book Antiqua" w:hAnsi="Book Antiqua"/>
          <w:color w:val="000000" w:themeColor="text1"/>
          <w:sz w:val="24"/>
          <w:szCs w:val="24"/>
          <w:lang w:val="en-US"/>
        </w:rPr>
        <w:t>NO</w:t>
      </w:r>
      <w:r w:rsidR="00773972" w:rsidRPr="00CC34A3">
        <w:rPr>
          <w:rFonts w:ascii="Book Antiqua" w:hAnsi="Book Antiqua"/>
          <w:color w:val="000000" w:themeColor="text1"/>
          <w:sz w:val="24"/>
          <w:szCs w:val="24"/>
          <w:lang w:val="en-US"/>
        </w:rPr>
        <w:t>)</w:t>
      </w:r>
      <w:r w:rsidRPr="00CC34A3">
        <w:rPr>
          <w:rFonts w:ascii="Book Antiqua" w:hAnsi="Book Antiqua"/>
          <w:color w:val="000000" w:themeColor="text1"/>
          <w:sz w:val="24"/>
          <w:szCs w:val="24"/>
          <w:lang w:val="en-US"/>
        </w:rPr>
        <w:t xml:space="preserve"> and </w:t>
      </w:r>
      <w:r w:rsidR="00D10AD9" w:rsidRPr="00CC34A3">
        <w:rPr>
          <w:rFonts w:ascii="Book Antiqua" w:hAnsi="Book Antiqua" w:cs="Courier New"/>
          <w:color w:val="000000" w:themeColor="text1"/>
          <w:sz w:val="24"/>
          <w:szCs w:val="24"/>
          <w:lang w:val="en-US"/>
        </w:rPr>
        <w:t>malondialdehyde (MDA)</w:t>
      </w:r>
      <w:r w:rsidRPr="00CC34A3">
        <w:rPr>
          <w:rFonts w:ascii="Book Antiqua" w:hAnsi="Book Antiqua"/>
          <w:color w:val="000000" w:themeColor="text1"/>
          <w:sz w:val="24"/>
          <w:szCs w:val="24"/>
          <w:lang w:val="en-US"/>
        </w:rPr>
        <w:t xml:space="preserve">, in tissues as well as </w:t>
      </w:r>
      <w:r w:rsidR="005014AB" w:rsidRPr="00CC34A3">
        <w:rPr>
          <w:rFonts w:ascii="Book Antiqua" w:hAnsi="Book Antiqua"/>
          <w:color w:val="000000" w:themeColor="text1"/>
          <w:sz w:val="24"/>
          <w:szCs w:val="24"/>
          <w:lang w:val="en-US"/>
        </w:rPr>
        <w:t>the reduced</w:t>
      </w:r>
      <w:r w:rsidRPr="00CC34A3">
        <w:rPr>
          <w:rFonts w:ascii="Book Antiqua" w:hAnsi="Book Antiqua"/>
          <w:color w:val="000000" w:themeColor="text1"/>
          <w:sz w:val="24"/>
          <w:szCs w:val="24"/>
          <w:lang w:val="en-US"/>
        </w:rPr>
        <w:t xml:space="preserve"> L-NAME and L-arginine effects showed BPC 157 effectiveness over the NO-system background</w:t>
      </w:r>
      <w:r w:rsidR="00A526CA" w:rsidRPr="00CC34A3">
        <w:rPr>
          <w:rFonts w:ascii="Book Antiqua" w:eastAsia="Calibri" w:hAnsi="Book Antiqua"/>
          <w:color w:val="000000" w:themeColor="text1"/>
          <w:sz w:val="24"/>
          <w:szCs w:val="24"/>
          <w:lang w:val="en-US" w:eastAsia="en-US"/>
        </w:rPr>
        <w:fldChar w:fldCharType="begin" w:fldLock="1"/>
      </w:r>
      <w:r w:rsidR="00317D7F" w:rsidRPr="00CC34A3">
        <w:rPr>
          <w:rFonts w:ascii="Book Antiqua" w:eastAsia="Calibri" w:hAnsi="Book Antiqua"/>
          <w:color w:val="000000" w:themeColor="text1"/>
          <w:sz w:val="24"/>
          <w:szCs w:val="24"/>
          <w:lang w:val="en-US" w:eastAsia="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A526CA" w:rsidRPr="00CC34A3">
        <w:rPr>
          <w:rFonts w:ascii="Book Antiqua" w:eastAsia="Calibri" w:hAnsi="Book Antiqua"/>
          <w:color w:val="000000" w:themeColor="text1"/>
          <w:sz w:val="24"/>
          <w:szCs w:val="24"/>
          <w:lang w:val="en-US" w:eastAsia="en-US"/>
        </w:rPr>
        <w:fldChar w:fldCharType="separate"/>
      </w:r>
      <w:r w:rsidR="00317D7F" w:rsidRPr="00CC34A3">
        <w:rPr>
          <w:rFonts w:ascii="Book Antiqua" w:eastAsia="Calibri" w:hAnsi="Book Antiqua"/>
          <w:color w:val="000000" w:themeColor="text1"/>
          <w:sz w:val="24"/>
          <w:szCs w:val="24"/>
          <w:vertAlign w:val="superscript"/>
          <w:lang w:val="en-US" w:eastAsia="en-US"/>
        </w:rPr>
        <w:t>[15,16]</w:t>
      </w:r>
      <w:r w:rsidR="00A526CA" w:rsidRPr="00CC34A3">
        <w:rPr>
          <w:rFonts w:ascii="Book Antiqua" w:eastAsia="Calibri" w:hAnsi="Book Antiqua"/>
          <w:color w:val="000000" w:themeColor="text1"/>
          <w:sz w:val="24"/>
          <w:szCs w:val="24"/>
          <w:lang w:val="en-US" w:eastAsia="en-US"/>
        </w:rPr>
        <w:fldChar w:fldCharType="end"/>
      </w:r>
      <w:r w:rsidR="008D5CC8" w:rsidRPr="00CC34A3">
        <w:rPr>
          <w:rFonts w:ascii="Book Antiqua" w:eastAsia="Calibri" w:hAnsi="Book Antiqua"/>
          <w:color w:val="000000" w:themeColor="text1"/>
          <w:sz w:val="24"/>
          <w:szCs w:val="24"/>
          <w:lang w:val="en-US" w:eastAsia="en-US"/>
        </w:rPr>
        <w:t>.</w:t>
      </w:r>
    </w:p>
    <w:p w14:paraId="37A54B64" w14:textId="69F25FB1" w:rsidR="000F78E9" w:rsidRPr="00CC34A3" w:rsidRDefault="00D87649" w:rsidP="00CC34A3">
      <w:pPr>
        <w:adjustRightInd w:val="0"/>
        <w:snapToGrid w:val="0"/>
        <w:spacing w:after="0" w:line="360" w:lineRule="auto"/>
        <w:jc w:val="both"/>
        <w:rPr>
          <w:rFonts w:ascii="Book Antiqua" w:hAnsi="Book Antiqua" w:cs="Courier New"/>
          <w:color w:val="000000" w:themeColor="text1"/>
          <w:sz w:val="24"/>
          <w:szCs w:val="24"/>
          <w:lang w:val="en-US"/>
        </w:rPr>
      </w:pPr>
      <w:r w:rsidRPr="00CC34A3">
        <w:rPr>
          <w:rFonts w:ascii="Book Antiqua" w:hAnsi="Book Antiqua" w:cs="Courier New"/>
          <w:color w:val="000000" w:themeColor="text1"/>
          <w:sz w:val="24"/>
          <w:szCs w:val="24"/>
          <w:lang w:val="en-US"/>
        </w:rPr>
        <w:t xml:space="preserve">  </w:t>
      </w:r>
      <w:r w:rsidR="000F78E9" w:rsidRPr="00CC34A3">
        <w:rPr>
          <w:rFonts w:ascii="Book Antiqua" w:hAnsi="Book Antiqua" w:cs="Courier New"/>
          <w:color w:val="000000" w:themeColor="text1"/>
          <w:sz w:val="24"/>
          <w:szCs w:val="24"/>
          <w:lang w:val="en-US"/>
        </w:rPr>
        <w:t>These findings were related</w:t>
      </w:r>
      <w:r w:rsidR="000F78E9" w:rsidRPr="00CC34A3">
        <w:rPr>
          <w:rFonts w:ascii="Book Antiqua" w:eastAsia="Calibri" w:hAnsi="Book Antiqua" w:cs="Courier New"/>
          <w:color w:val="000000" w:themeColor="text1"/>
          <w:sz w:val="24"/>
          <w:szCs w:val="24"/>
          <w:lang w:val="en-US"/>
        </w:rPr>
        <w:fldChar w:fldCharType="begin" w:fldLock="1"/>
      </w:r>
      <w:r w:rsidR="000F78E9"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0F78E9" w:rsidRPr="00CC34A3">
        <w:rPr>
          <w:rFonts w:ascii="Book Antiqua" w:eastAsia="Calibri" w:hAnsi="Book Antiqua" w:cs="Courier New"/>
          <w:color w:val="000000" w:themeColor="text1"/>
          <w:sz w:val="24"/>
          <w:szCs w:val="24"/>
          <w:lang w:val="en-US"/>
        </w:rPr>
        <w:fldChar w:fldCharType="separate"/>
      </w:r>
      <w:r w:rsidR="000F78E9" w:rsidRPr="00CC34A3">
        <w:rPr>
          <w:rFonts w:ascii="Book Antiqua" w:eastAsia="Calibri" w:hAnsi="Book Antiqua" w:cs="Courier New"/>
          <w:color w:val="000000" w:themeColor="text1"/>
          <w:sz w:val="24"/>
          <w:szCs w:val="24"/>
          <w:vertAlign w:val="superscript"/>
          <w:lang w:val="en-US"/>
        </w:rPr>
        <w:t>[15,16]</w:t>
      </w:r>
      <w:r w:rsidR="000F78E9" w:rsidRPr="00CC34A3">
        <w:rPr>
          <w:rFonts w:ascii="Book Antiqua" w:eastAsia="Calibri" w:hAnsi="Book Antiqua" w:cs="Courier New"/>
          <w:color w:val="000000" w:themeColor="text1"/>
          <w:sz w:val="24"/>
          <w:szCs w:val="24"/>
          <w:lang w:val="en-US"/>
        </w:rPr>
        <w:fldChar w:fldCharType="end"/>
      </w:r>
      <w:r w:rsidR="000F78E9" w:rsidRPr="00CC34A3">
        <w:rPr>
          <w:rFonts w:ascii="Book Antiqua" w:hAnsi="Book Antiqua" w:cs="Courier New"/>
          <w:color w:val="000000" w:themeColor="text1"/>
          <w:sz w:val="24"/>
          <w:szCs w:val="24"/>
          <w:lang w:val="en-US"/>
        </w:rPr>
        <w:t xml:space="preserve"> </w:t>
      </w:r>
      <w:r w:rsidR="00D10AD9" w:rsidRPr="00CC34A3">
        <w:rPr>
          <w:rFonts w:ascii="Book Antiqua" w:hAnsi="Book Antiqua" w:cs="Courier New"/>
          <w:color w:val="000000" w:themeColor="text1"/>
          <w:sz w:val="24"/>
          <w:szCs w:val="24"/>
          <w:lang w:val="en-US"/>
        </w:rPr>
        <w:t xml:space="preserve">to the </w:t>
      </w:r>
      <w:r w:rsidR="000F78E9" w:rsidRPr="00CC34A3">
        <w:rPr>
          <w:rFonts w:ascii="Book Antiqua" w:hAnsi="Book Antiqua" w:cs="Courier New"/>
          <w:color w:val="000000" w:themeColor="text1"/>
          <w:sz w:val="24"/>
          <w:szCs w:val="24"/>
          <w:lang w:val="en-US"/>
        </w:rPr>
        <w:t>cytoprotective agents, to the effects originally noted in the stomach, which is the</w:t>
      </w:r>
      <w:r w:rsidR="00773972" w:rsidRPr="00CC34A3">
        <w:rPr>
          <w:rFonts w:ascii="Book Antiqua" w:hAnsi="Book Antiqua" w:cs="Courier New"/>
          <w:color w:val="000000" w:themeColor="text1"/>
          <w:sz w:val="24"/>
          <w:szCs w:val="24"/>
          <w:lang w:val="en-US"/>
        </w:rPr>
        <w:t xml:space="preserve"> rapid endothelial protection. </w:t>
      </w:r>
      <w:r w:rsidR="000F78E9" w:rsidRPr="00CC34A3">
        <w:rPr>
          <w:rFonts w:ascii="Book Antiqua" w:hAnsi="Book Antiqua" w:cs="Courier New"/>
          <w:color w:val="000000" w:themeColor="text1"/>
          <w:sz w:val="24"/>
          <w:szCs w:val="24"/>
          <w:lang w:val="en-US"/>
        </w:rPr>
        <w:t>Using BPC 157 as a prototype cytoprotective agent</w:t>
      </w:r>
      <w:r w:rsidR="000F78E9" w:rsidRPr="00CC34A3">
        <w:rPr>
          <w:rFonts w:ascii="Book Antiqua" w:eastAsia="Calibri" w:hAnsi="Book Antiqua" w:cs="Courier New"/>
          <w:color w:val="000000" w:themeColor="text1"/>
          <w:sz w:val="24"/>
          <w:szCs w:val="24"/>
          <w:lang w:val="en-US"/>
        </w:rPr>
        <w:fldChar w:fldCharType="begin" w:fldLock="1"/>
      </w:r>
      <w:r w:rsidR="000F78E9"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0F78E9" w:rsidRPr="00CC34A3">
        <w:rPr>
          <w:rFonts w:ascii="Book Antiqua" w:eastAsia="Calibri" w:hAnsi="Book Antiqua" w:cs="Courier New"/>
          <w:color w:val="000000" w:themeColor="text1"/>
          <w:sz w:val="24"/>
          <w:szCs w:val="24"/>
          <w:lang w:val="en-US"/>
        </w:rPr>
        <w:fldChar w:fldCharType="separate"/>
      </w:r>
      <w:r w:rsidR="000F78E9" w:rsidRPr="00CC34A3">
        <w:rPr>
          <w:rFonts w:ascii="Book Antiqua" w:eastAsia="Calibri" w:hAnsi="Book Antiqua" w:cs="Courier New"/>
          <w:color w:val="000000" w:themeColor="text1"/>
          <w:sz w:val="24"/>
          <w:szCs w:val="24"/>
          <w:vertAlign w:val="superscript"/>
          <w:lang w:val="en-US"/>
        </w:rPr>
        <w:t>[15,16]</w:t>
      </w:r>
      <w:r w:rsidR="000F78E9" w:rsidRPr="00CC34A3">
        <w:rPr>
          <w:rFonts w:ascii="Book Antiqua" w:eastAsia="Calibri" w:hAnsi="Book Antiqua" w:cs="Courier New"/>
          <w:color w:val="000000" w:themeColor="text1"/>
          <w:sz w:val="24"/>
          <w:szCs w:val="24"/>
          <w:lang w:val="en-US"/>
        </w:rPr>
        <w:fldChar w:fldCharType="end"/>
      </w:r>
      <w:r w:rsidR="000F78E9" w:rsidRPr="00CC34A3">
        <w:rPr>
          <w:rFonts w:ascii="Book Antiqua" w:hAnsi="Book Antiqua" w:cs="Courier New"/>
          <w:color w:val="000000" w:themeColor="text1"/>
          <w:sz w:val="24"/>
          <w:szCs w:val="24"/>
          <w:lang w:val="en-US"/>
        </w:rPr>
        <w:t>, these mechanisms can prevent and resolve adjacent ischemic mucosal lesions</w:t>
      </w:r>
      <w:r w:rsidR="000F78E9" w:rsidRPr="00CC34A3">
        <w:rPr>
          <w:rFonts w:ascii="Book Antiqua" w:eastAsia="Calibri" w:hAnsi="Book Antiqua" w:cs="Courier New"/>
          <w:color w:val="000000" w:themeColor="text1"/>
          <w:sz w:val="24"/>
          <w:szCs w:val="24"/>
          <w:lang w:val="en-US"/>
        </w:rPr>
        <w:fldChar w:fldCharType="begin" w:fldLock="1"/>
      </w:r>
      <w:r w:rsidR="000F78E9" w:rsidRPr="00CC34A3">
        <w:rPr>
          <w:rFonts w:ascii="Book Antiqua" w:eastAsia="Calibri" w:hAnsi="Book Antiqua" w:cs="Courier New"/>
          <w:color w:val="000000" w:themeColor="text1"/>
          <w:sz w:val="24"/>
          <w:szCs w:val="24"/>
          <w:lang w:val="en-US"/>
        </w:rPr>
        <w:instrText>ADDIN CSL_CITATION { "citationItems" : [ { "id" : "ITEM-1", "itemData" : { "DOI" : "10.1007/978-1-4684-5697-4_4", "author" : [ { "dropping-particle" : "", "family" : "Szabo", "given" : "Sandor", "non-dropping-particle" : "", "parse-names" : false, "suffix" : "" } ], "container-title" : "Gastric Cytoprotection", "id" : "ITEM-1", "issued" : { "date-parts" : [ [ "1989" ] ] }, "page" : "49-73", "publisher" : "Springer US", "publisher-place" : "Boston, MA", "title" : "Mechanisms of Mucosal Protection", "type" : "chapter" }, "uris" : [ "http://www.mendeley.com/documents/?uuid=d88f8e6b-1a39-4b24-96bf-cfb05f28ef11" ] }, { "id" : "ITEM-2", "itemData" : { "author" : [ { "dropping-particle" : "", "family" : "Szabo", "given" : "Sandor", "non-dropping-particle" : "", "parse-names" : false, "suffix" : "" }, { "dropping-particle" : "", "family" : "Trier", "given" : "JS", "non-dropping-particle" : "", "parse-names" : false, "suffix" : "" } ], "container-title" : "Mechanism of mucosal protection in the upper gastrointestinal tract", "editor" : [ { "dropping-particle" : "", "family" : "Allen", "given" : "A", "non-dropping-particle" : "", "parse-names" : false, "suffix" : "" }, { "dropping-particle" : "", "family" : "Flemstrom", "given" : "G", "non-dropping-particle" : "", "parse-names" : false, "suffix" : "" }, { "dropping-particle" : "", "family" : "Garner", "given" : "A", "non-dropping-particle" : "", "parse-names" : false, "suffix" : "" }, { "dropping-particle" : "", "family" : "Silen", "given" : "W", "non-dropping-particle" : "", "parse-names" : false, "suffix" : "" }, { "dropping-particle" : "", "family" : "Turnberg", "given" : "LA", "non-dropping-particle" : "", "parse-names" : false, "suffix" : "" } ], "id" : "ITEM-2", "issued" : { "date-parts" : [ [ "1984" ] ] }, "page" : "387-393", "publisher" : "Raven", "publisher-place" : "New York", "title" : "Pathogenesis of acute gastric mucosal injury: Sulfhydrils as a protector, adrenal cortex as a modulator, and vascular endothelium as a target", "type" : "chapter" }, "uris" : [ "http://www.mendeley.com/documents/?uuid=21df94ec-a5e2-4420-85db-5334a540ef21" ] }, { "id" : "ITEM-3", "itemData" : { "ISSN" : "0016-5085", "PMID" : "3781180", "abstract" : "Impairment of the mucosal microcirculation may contribute to ethanol-induced gastric mucosal damage. In this report, we describe diffuse and severe ultrastructural damage to the capillaries of the gastric glandular mucosa of the rat that occurred within 1 min after intragastric instillation of 100% ethanol. There was a gradient of damage in that endothelial cell structure was most severely disrupted in profiles of capillaries located close to the luminal surface but some morphologic evidence of damage was evident in the wall of capillary profiles to a mean depth of 256 micron. Capillary structure was generally normal in the deeper regions of the mucosa. Pretreatment with intragastric cysteamine, 30 mg/100 g, or intragastric prostaglandin F2 beta, 0.5 mg/100 g, significantly reduced the depth in the mucosa to which damage to capillaries extended. Pretreatment with intragastric prostaglandin F2 beta, 0.2 mg/100 g, afforded no significant protection. We conclude that a 1-min exposure to 100% ethanol induces striking damage to the microcirculation of glandular mucosa of the rat stomach with severe damage to capillary profiles near the lumen and sparing of capillary profiles near the muscularis mucosa, and pretreatment with the sulfhydryl agent, cysteamine, or with a large dose of prostaglandin F2 beta reduces the extent of but does not abolish ethanol-induced damage to gastric mucosal capillaries.", "author" : [ { "dropping-particle" : "", "family" : "Trier", "given" : "JS", "non-dropping-particle" : "", "parse-names" : false, "suffix" : "" }, { "dropping-particle" : "", "family" : "Szabo", "given" : "S", "non-dropping-particle" : "", "parse-names" : false, "suffix" : "" }, { "dropping-particle" : "", "family" : "Allan", "given" : "CH", "non-dropping-particle" : "", "parse-names" : false, "suffix" : "" } ], "container-title" : "Gastroenterology", "id" : "ITEM-3", "issue" : "1", "issued" : { "date-parts" : [ [ "1987", "1" ] ] }, "page" : "13-22", "title" : "Ethanol-induced damage to mucosal capillaries of rat stomach. Ultrastructural features and effects of prostaglandin F2 beta and cysteamine.", "type" : "article-journal", "volume" : "92" }, "uris" : [ "http://www.mendeley.com/documents/?uuid=c3f098f1-f060-4c67-9911-5ab2b4c90217" ] }, { "id" : "ITEM-4", "itemData" : { "ISSN" : "0016-5085", "PMID" : "3871087", "abstract" : "The hypothesis that vascular injury contributes to the development of hemorrhagic erosions after intragastric administration of ethanol has been examined in the rat using vascular tracers. Extravasation of intravenously injected Evans blue into the gastric wall and into gastric contents was used as an indicator of vascular permeability. India ink and monastral blue, which label damaged blood vessels, were used to demonstrate vascular injury morphologically. Intragastric instillation of 75% and 100% ethanol induced increased vascular permeability within 1-3 min and resulted in monastral blue labeling of vessels in 13% and 17%, respectively, of the glandular mucosa within 1 min. After 1 h of 100% ethanol exposure, the areal density of monastral blue-stained blood vessels did not increase compared with that seen at 1 min, but the areal density of grossly visible hemorrhagic lesions increased strikingly and approximated that of vessel staining. The hemorrhagic erosions consistently occurred in regions of glandular mucosa where vessels were stained with monastral blue. Pretreatment with prostaglandin F2 beta or cysteamine reduced ethanol-induced Evans blue extravasation and monastral blue staining of mucosal blood vessels but did not reduce histologic evidence of gastric surface cell damage in the glandular mucosa. As increased vascular permeability and morphologically detectable vascular lesions consistently preceded the development of grossly visible hemorrhagic erosions in the glandular mucosa, we suggest that vascular injury is an early pathogenetic factor in the development of ethanol-induced gastric hemorrhagic erosions. The data also indicate that the degree of vascular damage, unlike the injury to surface epithelial cells, is reduced by pretreatment with prostaglandin F2 beta or the sulfhydryl cysteamine.", "author" : [ { "dropping-particle" : "", "family" : "Szabo", "given" : "S", "non-dropping-particle" : "", "parse-names" : false, "suffix" : "" }, { "dropping-particle" : "", "family" : "Trier", "given" : "J S", "non-dropping-particle" : "", "parse-names" : false, "suffix" : "" }, { "dropping-particle" : "", "family" : "Brown", "given" : "A", "non-dropping-particle" : "", "parse-names" : false, "suffix" : "" }, { "dropping-particle" : "", "family" : "Schnoor", "given" : "J", "non-dropping-particle" : "", "parse-names" : false, "suffix" : "" } ], "container-title" : "Gastroenterology", "id" : "ITEM-4", "issue" : "1 Pt 2", "issued" : { "date-parts" : [ [ "1985", "1" ] ] }, "page" : "228-36", "title" : "Early vascular injury and increased vascular permeability in gastric mucosal injury caused by ethanol in the rat.", "type" : "article-journal", "volume" : "88" }, "uris" : [ "http://www.mendeley.com/documents/?uuid=a3272911-ef25-495c-85d1-1b71d1d7f12e" ] }, { "id" : "ITEM-5", "itemData" : { "ISSN" : "0024-3205", "PMID" : "7904712", "abstract" : "The protection of stomach and duodenum in conjecture with anti-inflammatory effect was demonstrated for a novel 15 amino acid peptide, coded BPC 157, a fragment of the recently discovered gastric juice peptide BPC. BPC 157 (i.p./i.g.) was investigated in rats in comparison with several reference standards in three experimental ulcer models (48 h-restraint stress, subcutaneous cysteamine, intragastrical 96% ethanol ulcer tests) (pre-/co-/post-treatment). Only BPC 157 regimens were consistently effective in all of the tested models. On the other hand, bromocriptine, amantadine, famotidine, cimetidine and somatostatin were ineffective (restraint stress). A dose-dependent protection (cysteamine) and/or partial positive effect (related to treatment conditions) (ethanol), was obtained with glucagon, NPY and secretin whereas CCK/26-30/was not effective. Based on Monastral blue studies BPC 157 beneficial effect appears to be related to a strong endothelial protection.", "author" : [ { "dropping-particle" : "", "family" : "Sikiric", "given" : "P", "non-dropping-particle" : "", "parse-names" : false, "suffix" : "" }, { "dropping-particle" : "", "family" : "Seiwerth", "given" : "S", "non-dropping-particle" : "", "parse-names" : false, "suffix" : "" }, { "dropping-particle" : "", "family" : "Grabarevic", "given" : "Z", "non-dropping-particle" : "", "parse-names" : false, "suffix" : "" }, { "dropping-particle" : "", "family" : "Petek", "given" : "M", "non-dropping-particle" : "", "parse-names" : false, "suffix" : "" }, { "dropping-particle" : "", "family" : "Rucman", "given" : "R", "non-dropping-particle" : "", "parse-names" : false, "suffix" : "" }, { "dropping-particle" : "", "family" : "Turkovic", "given" : "B", "non-dropping-particle" : "", "parse-names" : false, "suffix" : "" }, { "dropping-particle" : "", "family" : "Rotkvic", "given" : "I", "non-dropping-particle" : "", "parse-names" : false, "suffix" : "" }, { "dropping-particle" : "", "family" : "Jagic", "given" : "V", "non-dropping-particle" : "", "parse-names" : false, "suffix" : "" }, { "dropping-particle" : "", "family" : "Duvnjak", "given" : "M", "non-dropping-particle" : "", "parse-names" : false, "suffix" : "" }, { "dropping-particle" : "", "family" : "Mise", "given" : "S", "non-dropping-particle" : "", "parse-names" : false, "suffix" : "" } ], "container-title" : "Life sciences", "id" : "ITEM-5", "issue" : "5", "issued" : { "date-parts" : [ [ "1994" ] ] }, "page" : "PL63-8", "title" : "The beneficial effect of BPC 157, a 15 amino acid peptide BPC fragment, on gastric and duodenal lesions induced by restraint stress, cysteamine and 96% ethanol in rats. A comparative study with H2 receptor antagonists, dopamine promotors and gut peptides.", "type" : "article-journal", "volume" : "54" }, "uris" : [ "http://www.mendeley.com/documents/?uuid=2aa4e8e1-46ae-4739-88c5-de4cb0e272b1" ] } ], "mendeley" : { "formattedCitation" : "&lt;sup&gt;[17\u201321]&lt;/sup&gt;", "plainTextFormattedCitation" : "[17\u201321]", "previouslyFormattedCitation" : "(Sikiric et al., 1994; Szabo, 1989; Szabo et al., 1985; Szabo and Trier, 1984; Trier et al., 1987)" }, "properties" : {  }, "schema" : "https://github.com/citation-style-language/schema/raw/master/csl-citation.json" }</w:instrText>
      </w:r>
      <w:r w:rsidR="000F78E9" w:rsidRPr="00CC34A3">
        <w:rPr>
          <w:rFonts w:ascii="Book Antiqua" w:eastAsia="Calibri" w:hAnsi="Book Antiqua" w:cs="Courier New"/>
          <w:color w:val="000000" w:themeColor="text1"/>
          <w:sz w:val="24"/>
          <w:szCs w:val="24"/>
          <w:lang w:val="en-US"/>
        </w:rPr>
        <w:fldChar w:fldCharType="separate"/>
      </w:r>
      <w:r w:rsidR="000F78E9" w:rsidRPr="00CC34A3">
        <w:rPr>
          <w:rFonts w:ascii="Book Antiqua" w:eastAsia="Calibri" w:hAnsi="Book Antiqua" w:cs="Courier New"/>
          <w:color w:val="000000" w:themeColor="text1"/>
          <w:sz w:val="24"/>
          <w:szCs w:val="24"/>
          <w:vertAlign w:val="superscript"/>
          <w:lang w:val="en-US"/>
        </w:rPr>
        <w:t>[17–21]</w:t>
      </w:r>
      <w:r w:rsidR="000F78E9" w:rsidRPr="00CC34A3">
        <w:rPr>
          <w:rFonts w:ascii="Book Antiqua" w:eastAsia="Calibri" w:hAnsi="Book Antiqua" w:cs="Courier New"/>
          <w:color w:val="000000" w:themeColor="text1"/>
          <w:sz w:val="24"/>
          <w:szCs w:val="24"/>
          <w:lang w:val="en-US"/>
        </w:rPr>
        <w:fldChar w:fldCharType="end"/>
      </w:r>
      <w:r w:rsidR="000F78E9" w:rsidRPr="00CC34A3">
        <w:rPr>
          <w:rFonts w:ascii="Book Antiqua" w:eastAsia="Calibri" w:hAnsi="Book Antiqua" w:cs="Courier New"/>
          <w:color w:val="000000" w:themeColor="text1"/>
          <w:sz w:val="24"/>
          <w:szCs w:val="24"/>
          <w:lang w:val="en-US"/>
        </w:rPr>
        <w:t xml:space="preserve"> providing </w:t>
      </w:r>
      <w:r w:rsidR="000F78E9" w:rsidRPr="00CC34A3">
        <w:rPr>
          <w:rFonts w:ascii="Book Antiqua" w:hAnsi="Book Antiqua" w:cs="Courier New"/>
          <w:color w:val="000000" w:themeColor="text1"/>
          <w:sz w:val="24"/>
          <w:szCs w:val="24"/>
          <w:lang w:val="en-US"/>
        </w:rPr>
        <w:t>activation of the collateral circulation</w:t>
      </w:r>
      <w:r w:rsidR="000F78E9" w:rsidRPr="00CC34A3">
        <w:rPr>
          <w:rFonts w:ascii="Book Antiqua" w:eastAsia="Calibri" w:hAnsi="Book Antiqua" w:cs="Courier New"/>
          <w:color w:val="000000" w:themeColor="text1"/>
          <w:sz w:val="24"/>
          <w:szCs w:val="24"/>
          <w:lang w:val="en-US"/>
        </w:rPr>
        <w:fldChar w:fldCharType="begin" w:fldLock="1"/>
      </w:r>
      <w:r w:rsidR="000F78E9"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0F78E9" w:rsidRPr="00CC34A3">
        <w:rPr>
          <w:rFonts w:ascii="Book Antiqua" w:eastAsia="Calibri" w:hAnsi="Book Antiqua" w:cs="Courier New"/>
          <w:color w:val="000000" w:themeColor="text1"/>
          <w:sz w:val="24"/>
          <w:szCs w:val="24"/>
          <w:lang w:val="en-US"/>
        </w:rPr>
        <w:fldChar w:fldCharType="separate"/>
      </w:r>
      <w:r w:rsidR="000F78E9" w:rsidRPr="00CC34A3">
        <w:rPr>
          <w:rFonts w:ascii="Book Antiqua" w:eastAsia="Calibri" w:hAnsi="Book Antiqua" w:cs="Courier New"/>
          <w:color w:val="000000" w:themeColor="text1"/>
          <w:sz w:val="24"/>
          <w:szCs w:val="24"/>
          <w:vertAlign w:val="superscript"/>
          <w:lang w:val="en-US"/>
        </w:rPr>
        <w:t>[15,16]</w:t>
      </w:r>
      <w:r w:rsidR="000F78E9" w:rsidRPr="00CC34A3">
        <w:rPr>
          <w:rFonts w:ascii="Book Antiqua" w:eastAsia="Calibri" w:hAnsi="Book Antiqua" w:cs="Courier New"/>
          <w:color w:val="000000" w:themeColor="text1"/>
          <w:sz w:val="24"/>
          <w:szCs w:val="24"/>
          <w:lang w:val="en-US"/>
        </w:rPr>
        <w:fldChar w:fldCharType="end"/>
      </w:r>
      <w:r w:rsidR="000F78E9" w:rsidRPr="00CC34A3">
        <w:rPr>
          <w:rFonts w:ascii="Book Antiqua" w:hAnsi="Book Antiqua" w:cs="Courier New"/>
          <w:color w:val="000000" w:themeColor="text1"/>
          <w:sz w:val="24"/>
          <w:szCs w:val="24"/>
          <w:lang w:val="en-US"/>
        </w:rPr>
        <w:t>. This activation is specific and can circumvent obstructions</w:t>
      </w:r>
      <w:r w:rsidR="0054654F" w:rsidRPr="00CC34A3">
        <w:rPr>
          <w:rFonts w:ascii="Book Antiqua" w:eastAsia="Calibri" w:hAnsi="Book Antiqua" w:cs="Courier New"/>
          <w:color w:val="000000" w:themeColor="text1"/>
          <w:sz w:val="24"/>
          <w:szCs w:val="24"/>
          <w:lang w:val="en-US"/>
        </w:rPr>
        <w:fldChar w:fldCharType="begin" w:fldLock="1"/>
      </w:r>
      <w:r w:rsidR="0054654F"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54654F" w:rsidRPr="00CC34A3">
        <w:rPr>
          <w:rFonts w:ascii="Book Antiqua" w:eastAsia="Calibri" w:hAnsi="Book Antiqua" w:cs="Courier New"/>
          <w:color w:val="000000" w:themeColor="text1"/>
          <w:sz w:val="24"/>
          <w:szCs w:val="24"/>
          <w:lang w:val="en-US"/>
        </w:rPr>
        <w:fldChar w:fldCharType="separate"/>
      </w:r>
      <w:r w:rsidR="0054654F" w:rsidRPr="00CC34A3">
        <w:rPr>
          <w:rFonts w:ascii="Book Antiqua" w:eastAsia="Calibri" w:hAnsi="Book Antiqua" w:cs="Courier New"/>
          <w:color w:val="000000" w:themeColor="text1"/>
          <w:sz w:val="24"/>
          <w:szCs w:val="24"/>
          <w:vertAlign w:val="superscript"/>
          <w:lang w:val="en-US"/>
        </w:rPr>
        <w:t>[15,16]</w:t>
      </w:r>
      <w:r w:rsidR="0054654F" w:rsidRPr="00CC34A3">
        <w:rPr>
          <w:rFonts w:ascii="Book Antiqua" w:eastAsia="Calibri" w:hAnsi="Book Antiqua" w:cs="Courier New"/>
          <w:color w:val="000000" w:themeColor="text1"/>
          <w:sz w:val="24"/>
          <w:szCs w:val="24"/>
          <w:lang w:val="en-US"/>
        </w:rPr>
        <w:fldChar w:fldCharType="end"/>
      </w:r>
      <w:r w:rsidR="000F78E9" w:rsidRPr="00CC34A3">
        <w:rPr>
          <w:rFonts w:ascii="Book Antiqua" w:hAnsi="Book Antiqua" w:cs="Courier New"/>
          <w:color w:val="000000" w:themeColor="text1"/>
          <w:sz w:val="24"/>
          <w:szCs w:val="24"/>
          <w:lang w:val="en-US"/>
        </w:rPr>
        <w:t>. That factor had not been considered in vascular studies of ischemic colitis or deep vein thrombosis</w:t>
      </w:r>
      <w:r w:rsidR="000F78E9" w:rsidRPr="00CC34A3">
        <w:rPr>
          <w:rFonts w:ascii="Book Antiqua" w:eastAsia="Calibri" w:hAnsi="Book Antiqua" w:cs="Courier New"/>
          <w:color w:val="000000" w:themeColor="text1"/>
          <w:sz w:val="24"/>
          <w:szCs w:val="24"/>
          <w:lang w:val="en-US"/>
        </w:rPr>
        <w:fldChar w:fldCharType="begin" w:fldLock="1"/>
      </w:r>
      <w:r w:rsidR="000F78E9" w:rsidRPr="00CC34A3">
        <w:rPr>
          <w:rFonts w:ascii="Book Antiqua" w:eastAsia="Calibri" w:hAnsi="Book Antiqua" w:cs="Courier New"/>
          <w:color w:val="000000" w:themeColor="text1"/>
          <w:sz w:val="24"/>
          <w:szCs w:val="24"/>
          <w:lang w:val="en-US"/>
        </w:rPr>
        <w:instrText>ADDIN CSL_CITATION { "citationItems" : [ { "id" : "ITEM-1", "itemData" : { "DOI" : "10.1002/ar.20628", "ISSN" : "19328486", "PMID" : "18085623", "abstract" : "Oscillatory blood flow in the microcirculation is generally considered to be the result of cardiopulmonary influences or active vasomotion. In this report, we describe rhythmically oscillating blood flow in the bridging vessels of the mouse colon that appeared to be independent of known biological control mechanisms. Corrosion casting and scanning electron microscopy of the mouse colon demonstrated highly branched bridging vessels that connected the submucosal vessels with the mucosal plexus. Because of similar morphometric characteristics (19 +/- 11 microm vs. 28 +/- 16 microm), bridging arterioles and venules were distinguished by tracking fluorescent nanoparticles through the microcirculation using intravital fluorescence videomicroscopy. In control mice, the blood flow through the bridging vessels was typically continuous and unidirectional. In contrast, two models of chemically induced inflammation (trinitrobenzenesulfonic acid and dextran sodium sulfate) were associated with a twofold reduction in flow velocity and the prominence of rhythmically oscillating blood flow. The blood oscillation was characterized by tracking the bidirectional displacement of fluorescent nanoparticles. Space-time plots and particle tracking of the oscillating segments demonstrated an oscillation frequency between 0.2 and 5.1 cycles per second. Discrete Fourier transforms demonstrated a power spectrum composed of several base frequencies. These observations suggest that inflammation-inducible changes in blood flow patterns in the murine colon resulted in both reduced blood flow velocity and rhythmic oscillations within the bridging vessels of the mouse colon.", "author" : [ { "dropping-particle" : "", "family" : "Turhan", "given" : "Aslihan", "non-dropping-particle" : "", "parse-names" : false, "suffix" : "" }, { "dropping-particle" : "", "family" : "Konerding", "given" : "Moritz A", "non-dropping-particle" : "", "parse-names" : false, "suffix" : "" }, { "dropping-particle" : "", "family" : "Tsuda", "given" : "Akira", "non-dropping-particle" : "", "parse-names" : false, "suffix" : "" }, { "dropping-particle" : "", "family" : "Ravnic", "given" : "Dino J", "non-dropping-particle" : "", "parse-names" : false, "suffix" : "" }, { "dropping-particle" : "", "family" : "Hanidziar", "given" : "Dusan", "non-dropping-particle" : "", "parse-names" : false, "suffix" : "" }, { "dropping-particle" : "", "family" : "Lin", "given" : "Miao", "non-dropping-particle" : "", "parse-names" : false, "suffix" : "" }, { "dropping-particle" : "", "family" : "Mentzer", "given" : "Steven J", "non-dropping-particle" : "", "parse-names" : false, "suffix" : "" } ], "container-title" : "The Anatomical Record: Advances in Integrative Anatomy and Evolutionary Biology", "id" : "ITEM-1", "issue" : "1", "issued" : { "date-parts" : [ [ "2008", "1" ] ] }, "page" : "74-82", "title" : "Bridging Mucosal Vessels Associated with Rhythmically Oscillating Blood Flow in Murine Colitis", "type" : "article-journal", "volume" : "291" }, "uris" : [ "http://www.mendeley.com/documents/?uuid=9ec5dfc8-752b-4905-9606-0c3fb05ca611" ] }, { "id" : "ITEM-2", "itemData" : { "DOI" : "10.1002/ar.21110", "ISSN" : "19328486", "PMID" : "20225210", "abstract" : "Intussusceptive angiogenesis is a morphogenetic process that forms new blood vessels by the division of a single blood vessel into two lumens. Here, we show that this process of intraluminal division participates in the inflammation-induced neovascularization associated with chemically induced murine colitis. In studies of both acute (4-7 days) and chronic (28-31 days) colitis, intravital microscopy of intravascular tracers demonstrated a twofold reduction in blood flow velocity. In the acute colitis model, the decreased velocity was associated with marked dilatation of the mucosal plexus. In contrast, chronic inflammation was associated with normal caliber vessels and duplication (and triplication) of the quasi-polygonal mucosal plexus. Scanning electron microscopy (SEM) of intravascular corrosion casts suggested that pillar formation and septation, previously linked to the morphogenetic process of intussusceptive angiogenesis, were present within days of the onset of inflammation. Four weeks after the onset of inflammation, SEM of vascular corrosion casts demonstrated replication of the mucosal plexus without significant evidence of sprouting angiogenesis. These data suggest that mucosal capillaries have comparable aggregate cross-sectional area in acute and chronic colitis; however, there is a significant increase in functional capillary density in chronic colitis. We conclude that intussusceptive angiogenesis is a fundamental mechanism of microvascular adaptation to prolonged inflammation.", "author" : [ { "dropping-particle" : "", "family" : "Konerding", "given" : "Moritz A", "non-dropping-particle" : "", "parse-names" : false, "suffix" : "" }, { "dropping-particle" : "", "family" : "Turhan", "given" : "Aslihan", "non-dropping-particle" : "", "parse-names" : false, "suffix" : "" }, { "dropping-particle" : "", "family" : "Ravnic", "given" : "Dino J", "non-dropping-particle" : "", "parse-names" : false, "suffix" : "" }, { "dropping-particle" : "", "family" : "Lin", "given" : "Miao", "non-dropping-particle" : "", "parse-names" : false, "suffix" : "" }, { "dropping-particle" : "", "family" : "Fuchs", "given" : "Christine", "non-dropping-particle" : "", "parse-names" : false, "suffix" : "" }, { "dropping-particle" : "", "family" : "Secomb", "given" : "Timothy W", "non-dropping-particle" : "", "parse-names" : false, "suffix" : "" }, { "dropping-particle" : "", "family" : "Tsuda", "given" : "Akira", "non-dropping-particle" : "", "parse-names" : false, "suffix" : "" }, { "dropping-particle" : "", "family" : "Mentzer", "given" : "Steven J", "non-dropping-particle" : "", "parse-names" : false, "suffix" : "" } ], "container-title" : "The Anatomical Record: Advances in Integrative Anatomy and Evolutionary Biology", "id" : "ITEM-2", "issue" : "5", "issued" : { "date-parts" : [ [ "2010", "5" ] ] }, "page" : "849-857", "title" : "Inflammation-Induced Intussusceptive Angiogenesis in Murine Colitis", "type" : "article-journal", "volume" : "293" }, "uris" : [ "http://www.mendeley.com/documents/?uuid=62619ea5-c9e6-4d7b-863e-6941cc202a5a" ] }, { "id" : "ITEM-3", "itemData" : { "DOI" : "10.1136/gut.2006.101824", "ISSN" : "0017-5749", "PMID" : "17114297", "abstract" : "BACKGROUND Blood flowing across the vascular endothelium creates wall shear stress, dependent on velocity of flow and vessel geometry, that tends to disrupt lymphocyte-endothelial cell adhesion. OBJECTIVE The microcirculation in a murine model of acute colitis was investigated to identify structural adaptations during acute colitis that may facilitate transmigration. METHODS In 2,4,6-trinitrobenzenesulphonic acid-induced acute colitis, the infiltrating cells and colonic microcirculation was investigated by cellular topographic mapping, corrosion casting and three-dimensional scanning electron microscopy (SEM). Colonic blood velocimetry was performed using intravital microscopy. RESULTS Clinical and histological parameters suggested a peak inflammatory response at 96 h (p&lt;0.001). The infiltrating cells were spatially related to the mucosal capillary plexus by three-dimensional topographic mapping (p&lt;0.001). In normal mice, corrosion casting and three-dimensional SEM showed a polygonal mucosal plexus supplied by ascending arteries and descending veins. After 2,4,6-trinitrobenzenesulphonic acid stimulation, three-dimensional SEM showed preserved branch angles (p = 0.52) and nominal vessel lengths (p = 0.93), but a significantly dilated mucosal capillary plexus (p&lt;0.001). Intravital microscopy of the mucosal plexus showed a greater than twofold decrease in the velocity of flow (p&lt;0.001). CONCLUSIONS The demonstrable slowing of the velocity of flow despite an increase in volumetric flow suggests that these microvascular adaptations create conditions suitable for leucocyte adhesion and transmigration.", "author" : [ { "dropping-particle" : "", "family" : "Ravnic", "given" : "Dino J", "non-dropping-particle" : "", "parse-names" : false, "suffix" : "" }, { "dropping-particle" : "", "family" : "Konerding", "given" : "Moritz A", "non-dropping-particle" : "", "parse-names" : false, "suffix" : "" }, { "dropping-particle" : "", "family" : "Tsuda", "given" : "Akira", "non-dropping-particle" : "", "parse-names" : false, "suffix" : "" }, { "dropping-particle" : "", "family" : "Huss", "given" : "Harold T", "non-dropping-particle" : "", "parse-names" : false, "suffix" : "" }, { "dropping-particle" : "", "family" : "Wolloscheck", "given" : "Tanja", "non-dropping-particle" : "", "parse-names" : false, "suffix" : "" }, { "dropping-particle" : "", "family" : "Pratt", "given" : "Juan P", "non-dropping-particle" : "", "parse-names" : false, "suffix" : "" }, { "dropping-particle" : "", "family" : "Mentzer", "given" : "Steven J", "non-dropping-particle" : "", "parse-names" : false, "suffix" : "" } ], "container-title" : "Gut", "id" : "ITEM-3", "issue" : "4", "issued" : { "date-parts" : [ [ "2007", "4", "1" ] ] }, "page" : "518-523", "title" : "Structural adaptations in the murine colon microcirculation associated with hapten-induced inflammation", "type" : "article-journal", "volume" : "56" }, "uris" : [ "http://www.mendeley.com/documents/?uuid=fbd1ddcc-d909-4f7f-9b3d-7d8af670fcf2" ] }, { "id" : "ITEM-4", "itemData" : { "DOI" : "10.21037/cdt.2017.08.10", "ISSN" : "2223-3652", "PMID" : "29399523", "abstract" : "Venous thrombosis (VT) is a prevalent clinical condition with significant adverse sequela or mortality. Anticoagulation and pharmacologic or pharmacomechanical thrombolytic therapies are the mainstays of VT treatment. An understanding of thrombosis biology will allow for more effective VT-tailored diagnosis and therapy.In vivomodels of thrombosis provide indispensable tools to study the pathogenesis of thrombus formation and to evaluate novel therapeutic or preventive adjuncts for VT management or prevention. In this article, we review the most prominentin vivomodels of VT created in rodents and swine species and outline how each model can serve as a useful tool to promote our understanding of VT pathogenesis and to examine novel therapies.", "author" : [ { "dropping-particle" : "", "family" : "Albadawi", "given" : "Hassan", "non-dropping-particle" : "", "parse-names" : false, "suffix" : "" }, { "dropping-particle" : "", "family" : "Witting", "given" : "Avery A", "non-dropping-particle" : "", "parse-names" : false, "suffix" : "" }, { "dropping-particle" : "", "family" : "Pershad", "given" : "Yash", "non-dropping-particle" : "", "parse-names" : false, "suffix" : "" }, { "dropping-particle" : "", "family" : "Wallace", "given" : "Alex", "non-dropping-particle" : "", "parse-names" : false, "suffix" : "" }, { "dropping-particle" : "", "family" : "Fleck", "given" : "Andrew R", "non-dropping-particle" : "", "parse-names" : false, "suffix" : "" }, { "dropping-particle" : "", "family" : "Hoang", "given" : "Peter", "non-dropping-particle" : "", "parse-names" : false, "suffix" : "" }, { "dropping-particle" : "", "family" : "Khademhosseini", "given" : "Ali", "non-dropping-particle" : "", "parse-names" : false, "suffix" : "" }, { "dropping-particle" : "", "family" : "Oklu", "given" : "Rahmi", "non-dropping-particle" : "", "parse-names" : false, "suffix" : "" } ], "container-title" : "Cardiovascular diagnosis and therapy", "id" : "ITEM-4", "issue" : "Suppl 3", "issued" : { "date-parts" : [ [ "2017", "12" ] ] }, "page" : "S197-S206", "title" : "Animal models of venous thrombosis.", "type" : "article-journal", "volume" : "7" }, "uris" : [ "http://www.mendeley.com/documents/?uuid=07b567de-26e3-4a07-b1f2-4b1e8529c738" ] } ], "mendeley" : { "formattedCitation" : "&lt;sup&gt;[22\u201325]&lt;/sup&gt;", "plainTextFormattedCitation" : "[22\u201325]", "previouslyFormattedCitation" : "(Albadawi et al., 2017; Konerding et al., 2010; Ravnic et al., 2007; Turhan et al., 2008)" }, "properties" : {  }, "schema" : "https://github.com/citation-style-language/schema/raw/master/csl-citation.json" }</w:instrText>
      </w:r>
      <w:r w:rsidR="000F78E9" w:rsidRPr="00CC34A3">
        <w:rPr>
          <w:rFonts w:ascii="Book Antiqua" w:eastAsia="Calibri" w:hAnsi="Book Antiqua" w:cs="Courier New"/>
          <w:color w:val="000000" w:themeColor="text1"/>
          <w:sz w:val="24"/>
          <w:szCs w:val="24"/>
          <w:lang w:val="en-US"/>
        </w:rPr>
        <w:fldChar w:fldCharType="separate"/>
      </w:r>
      <w:r w:rsidR="000F78E9" w:rsidRPr="00CC34A3">
        <w:rPr>
          <w:rFonts w:ascii="Book Antiqua" w:eastAsia="Calibri" w:hAnsi="Book Antiqua" w:cs="Courier New"/>
          <w:color w:val="000000" w:themeColor="text1"/>
          <w:sz w:val="24"/>
          <w:szCs w:val="24"/>
          <w:vertAlign w:val="superscript"/>
          <w:lang w:val="en-US"/>
        </w:rPr>
        <w:t>[22–25]</w:t>
      </w:r>
      <w:r w:rsidR="000F78E9" w:rsidRPr="00CC34A3">
        <w:rPr>
          <w:rFonts w:ascii="Book Antiqua" w:eastAsia="Calibri" w:hAnsi="Book Antiqua" w:cs="Courier New"/>
          <w:color w:val="000000" w:themeColor="text1"/>
          <w:sz w:val="24"/>
          <w:szCs w:val="24"/>
          <w:lang w:val="en-US"/>
        </w:rPr>
        <w:fldChar w:fldCharType="end"/>
      </w:r>
      <w:r w:rsidR="000F78E9" w:rsidRPr="00CC34A3">
        <w:rPr>
          <w:rFonts w:ascii="Book Antiqua" w:eastAsia="Calibri" w:hAnsi="Book Antiqua" w:cs="Courier New"/>
          <w:color w:val="000000" w:themeColor="text1"/>
          <w:sz w:val="24"/>
          <w:szCs w:val="24"/>
          <w:lang w:val="en-US"/>
        </w:rPr>
        <w:t xml:space="preserve">. </w:t>
      </w:r>
      <w:r w:rsidR="000F78E9" w:rsidRPr="00CC34A3">
        <w:rPr>
          <w:rFonts w:ascii="Book Antiqua" w:hAnsi="Book Antiqua" w:cs="Courier New"/>
          <w:color w:val="000000" w:themeColor="text1"/>
          <w:sz w:val="24"/>
          <w:szCs w:val="24"/>
          <w:lang w:val="en-US"/>
        </w:rPr>
        <w:t>As a result exerted within the immediate post-injury time in vascular studies of ischemic colitis or deep vein thrombosis</w:t>
      </w:r>
      <w:r w:rsidR="000F78E9" w:rsidRPr="00CC34A3">
        <w:rPr>
          <w:rFonts w:ascii="Book Antiqua" w:eastAsia="Calibri" w:hAnsi="Book Antiqua" w:cs="Courier New"/>
          <w:color w:val="000000" w:themeColor="text1"/>
          <w:sz w:val="24"/>
          <w:szCs w:val="24"/>
          <w:lang w:val="en-US"/>
        </w:rPr>
        <w:fldChar w:fldCharType="begin" w:fldLock="1"/>
      </w:r>
      <w:r w:rsidR="000F78E9" w:rsidRPr="00CC34A3">
        <w:rPr>
          <w:rFonts w:ascii="Book Antiqua" w:eastAsia="Calibri" w:hAnsi="Book Antiqua" w:cs="Courier New"/>
          <w:color w:val="000000" w:themeColor="text1"/>
          <w:sz w:val="24"/>
          <w:szCs w:val="24"/>
          <w:lang w:val="en-US"/>
        </w:rPr>
        <w:instrText>ADDIN CSL_CITATION { "citationItems" : [ { "id" : "ITEM-1", "itemData" : { "DOI" : "10.1002/ar.20628", "ISSN" : "19328486", "PMID" : "18085623", "abstract" : "Oscillatory blood flow in the microcirculation is generally considered to be the result of cardiopulmonary influences or active vasomotion. In this report, we describe rhythmically oscillating blood flow in the bridging vessels of the mouse colon that appeared to be independent of known biological control mechanisms. Corrosion casting and scanning electron microscopy of the mouse colon demonstrated highly branched bridging vessels that connected the submucosal vessels with the mucosal plexus. Because of similar morphometric characteristics (19 +/- 11 microm vs. 28 +/- 16 microm), bridging arterioles and venules were distinguished by tracking fluorescent nanoparticles through the microcirculation using intravital fluorescence videomicroscopy. In control mice, the blood flow through the bridging vessels was typically continuous and unidirectional. In contrast, two models of chemically induced inflammation (trinitrobenzenesulfonic acid and dextran sodium sulfate) were associated with a twofold reduction in flow velocity and the prominence of rhythmically oscillating blood flow. The blood oscillation was characterized by tracking the bidirectional displacement of fluorescent nanoparticles. Space-time plots and particle tracking of the oscillating segments demonstrated an oscillation frequency between 0.2 and 5.1 cycles per second. Discrete Fourier transforms demonstrated a power spectrum composed of several base frequencies. These observations suggest that inflammation-inducible changes in blood flow patterns in the murine colon resulted in both reduced blood flow velocity and rhythmic oscillations within the bridging vessels of the mouse colon.", "author" : [ { "dropping-particle" : "", "family" : "Turhan", "given" : "Aslihan", "non-dropping-particle" : "", "parse-names" : false, "suffix" : "" }, { "dropping-particle" : "", "family" : "Konerding", "given" : "Moritz A", "non-dropping-particle" : "", "parse-names" : false, "suffix" : "" }, { "dropping-particle" : "", "family" : "Tsuda", "given" : "Akira", "non-dropping-particle" : "", "parse-names" : false, "suffix" : "" }, { "dropping-particle" : "", "family" : "Ravnic", "given" : "Dino J", "non-dropping-particle" : "", "parse-names" : false, "suffix" : "" }, { "dropping-particle" : "", "family" : "Hanidziar", "given" : "Dusan", "non-dropping-particle" : "", "parse-names" : false, "suffix" : "" }, { "dropping-particle" : "", "family" : "Lin", "given" : "Miao", "non-dropping-particle" : "", "parse-names" : false, "suffix" : "" }, { "dropping-particle" : "", "family" : "Mentzer", "given" : "Steven J", "non-dropping-particle" : "", "parse-names" : false, "suffix" : "" } ], "container-title" : "The Anatomical Record: Advances in Integrative Anatomy and Evolutionary Biology", "id" : "ITEM-1", "issue" : "1", "issued" : { "date-parts" : [ [ "2008", "1" ] ] }, "page" : "74-82", "title" : "Bridging Mucosal Vessels Associated with Rhythmically Oscillating Blood Flow in Murine Colitis", "type" : "article-journal", "volume" : "291" }, "uris" : [ "http://www.mendeley.com/documents/?uuid=9ec5dfc8-752b-4905-9606-0c3fb05ca611" ] }, { "id" : "ITEM-2", "itemData" : { "DOI" : "10.1002/ar.21110", "ISSN" : "19328486", "PMID" : "20225210", "abstract" : "Intussusceptive angiogenesis is a morphogenetic process that forms new blood vessels by the division of a single blood vessel into two lumens. Here, we show that this process of intraluminal division participates in the inflammation-induced neovascularization associated with chemically induced murine colitis. In studies of both acute (4-7 days) and chronic (28-31 days) colitis, intravital microscopy of intravascular tracers demonstrated a twofold reduction in blood flow velocity. In the acute colitis model, the decreased velocity was associated with marked dilatation of the mucosal plexus. In contrast, chronic inflammation was associated with normal caliber vessels and duplication (and triplication) of the quasi-polygonal mucosal plexus. Scanning electron microscopy (SEM) of intravascular corrosion casts suggested that pillar formation and septation, previously linked to the morphogenetic process of intussusceptive angiogenesis, were present within days of the onset of inflammation. Four weeks after the onset of inflammation, SEM of vascular corrosion casts demonstrated replication of the mucosal plexus without significant evidence of sprouting angiogenesis. These data suggest that mucosal capillaries have comparable aggregate cross-sectional area in acute and chronic colitis; however, there is a significant increase in functional capillary density in chronic colitis. We conclude that intussusceptive angiogenesis is a fundamental mechanism of microvascular adaptation to prolonged inflammation.", "author" : [ { "dropping-particle" : "", "family" : "Konerding", "given" : "Moritz A", "non-dropping-particle" : "", "parse-names" : false, "suffix" : "" }, { "dropping-particle" : "", "family" : "Turhan", "given" : "Aslihan", "non-dropping-particle" : "", "parse-names" : false, "suffix" : "" }, { "dropping-particle" : "", "family" : "Ravnic", "given" : "Dino J", "non-dropping-particle" : "", "parse-names" : false, "suffix" : "" }, { "dropping-particle" : "", "family" : "Lin", "given" : "Miao", "non-dropping-particle" : "", "parse-names" : false, "suffix" : "" }, { "dropping-particle" : "", "family" : "Fuchs", "given" : "Christine", "non-dropping-particle" : "", "parse-names" : false, "suffix" : "" }, { "dropping-particle" : "", "family" : "Secomb", "given" : "Timothy W", "non-dropping-particle" : "", "parse-names" : false, "suffix" : "" }, { "dropping-particle" : "", "family" : "Tsuda", "given" : "Akira", "non-dropping-particle" : "", "parse-names" : false, "suffix" : "" }, { "dropping-particle" : "", "family" : "Mentzer", "given" : "Steven J", "non-dropping-particle" : "", "parse-names" : false, "suffix" : "" } ], "container-title" : "The Anatomical Record: Advances in Integrative Anatomy and Evolutionary Biology", "id" : "ITEM-2", "issue" : "5", "issued" : { "date-parts" : [ [ "2010", "5" ] ] }, "page" : "849-857", "title" : "Inflammation-Induced Intussusceptive Angiogenesis in Murine Colitis", "type" : "article-journal", "volume" : "293" }, "uris" : [ "http://www.mendeley.com/documents/?uuid=62619ea5-c9e6-4d7b-863e-6941cc202a5a" ] }, { "id" : "ITEM-3", "itemData" : { "DOI" : "10.1136/gut.2006.101824", "ISSN" : "0017-5749", "PMID" : "17114297", "abstract" : "BACKGROUND Blood flowing across the vascular endothelium creates wall shear stress, dependent on velocity of flow and vessel geometry, that tends to disrupt lymphocyte-endothelial cell adhesion. OBJECTIVE The microcirculation in a murine model of acute colitis was investigated to identify structural adaptations during acute colitis that may facilitate transmigration. METHODS In 2,4,6-trinitrobenzenesulphonic acid-induced acute colitis, the infiltrating cells and colonic microcirculation was investigated by cellular topographic mapping, corrosion casting and three-dimensional scanning electron microscopy (SEM). Colonic blood velocimetry was performed using intravital microscopy. RESULTS Clinical and histological parameters suggested a peak inflammatory response at 96 h (p&lt;0.001). The infiltrating cells were spatially related to the mucosal capillary plexus by three-dimensional topographic mapping (p&lt;0.001). In normal mice, corrosion casting and three-dimensional SEM showed a polygonal mucosal plexus supplied by ascending arteries and descending veins. After 2,4,6-trinitrobenzenesulphonic acid stimulation, three-dimensional SEM showed preserved branch angles (p = 0.52) and nominal vessel lengths (p = 0.93), but a significantly dilated mucosal capillary plexus (p&lt;0.001). Intravital microscopy of the mucosal plexus showed a greater than twofold decrease in the velocity of flow (p&lt;0.001). CONCLUSIONS The demonstrable slowing of the velocity of flow despite an increase in volumetric flow suggests that these microvascular adaptations create conditions suitable for leucocyte adhesion and transmigration.", "author" : [ { "dropping-particle" : "", "family" : "Ravnic", "given" : "Dino J", "non-dropping-particle" : "", "parse-names" : false, "suffix" : "" }, { "dropping-particle" : "", "family" : "Konerding", "given" : "Moritz A", "non-dropping-particle" : "", "parse-names" : false, "suffix" : "" }, { "dropping-particle" : "", "family" : "Tsuda", "given" : "Akira", "non-dropping-particle" : "", "parse-names" : false, "suffix" : "" }, { "dropping-particle" : "", "family" : "Huss", "given" : "Harold T", "non-dropping-particle" : "", "parse-names" : false, "suffix" : "" }, { "dropping-particle" : "", "family" : "Wolloscheck", "given" : "Tanja", "non-dropping-particle" : "", "parse-names" : false, "suffix" : "" }, { "dropping-particle" : "", "family" : "Pratt", "given" : "Juan P", "non-dropping-particle" : "", "parse-names" : false, "suffix" : "" }, { "dropping-particle" : "", "family" : "Mentzer", "given" : "Steven J", "non-dropping-particle" : "", "parse-names" : false, "suffix" : "" } ], "container-title" : "Gut", "id" : "ITEM-3", "issue" : "4", "issued" : { "date-parts" : [ [ "2007", "4", "1" ] ] }, "page" : "518-523", "title" : "Structural adaptations in the murine colon microcirculation associated with hapten-induced inflammation", "type" : "article-journal", "volume" : "56" }, "uris" : [ "http://www.mendeley.com/documents/?uuid=fbd1ddcc-d909-4f7f-9b3d-7d8af670fcf2" ] }, { "id" : "ITEM-4", "itemData" : { "DOI" : "10.21037/cdt.2017.08.10", "ISSN" : "2223-3652", "PMID" : "29399523", "abstract" : "Venous thrombosis (VT) is a prevalent clinical condition with significant adverse sequela or mortality. Anticoagulation and pharmacologic or pharmacomechanical thrombolytic therapies are the mainstays of VT treatment. An understanding of thrombosis biology will allow for more effective VT-tailored diagnosis and therapy.In vivomodels of thrombosis provide indispensable tools to study the pathogenesis of thrombus formation and to evaluate novel therapeutic or preventive adjuncts for VT management or prevention. In this article, we review the most prominentin vivomodels of VT created in rodents and swine species and outline how each model can serve as a useful tool to promote our understanding of VT pathogenesis and to examine novel therapies.", "author" : [ { "dropping-particle" : "", "family" : "Albadawi", "given" : "Hassan", "non-dropping-particle" : "", "parse-names" : false, "suffix" : "" }, { "dropping-particle" : "", "family" : "Witting", "given" : "Avery A", "non-dropping-particle" : "", "parse-names" : false, "suffix" : "" }, { "dropping-particle" : "", "family" : "Pershad", "given" : "Yash", "non-dropping-particle" : "", "parse-names" : false, "suffix" : "" }, { "dropping-particle" : "", "family" : "Wallace", "given" : "Alex", "non-dropping-particle" : "", "parse-names" : false, "suffix" : "" }, { "dropping-particle" : "", "family" : "Fleck", "given" : "Andrew R", "non-dropping-particle" : "", "parse-names" : false, "suffix" : "" }, { "dropping-particle" : "", "family" : "Hoang", "given" : "Peter", "non-dropping-particle" : "", "parse-names" : false, "suffix" : "" }, { "dropping-particle" : "", "family" : "Khademhosseini", "given" : "Ali", "non-dropping-particle" : "", "parse-names" : false, "suffix" : "" }, { "dropping-particle" : "", "family" : "Oklu", "given" : "Rahmi", "non-dropping-particle" : "", "parse-names" : false, "suffix" : "" } ], "container-title" : "Cardiovascular diagnosis and therapy", "id" : "ITEM-4", "issue" : "Suppl 3", "issued" : { "date-parts" : [ [ "2017", "12" ] ] }, "page" : "S197-S206", "title" : "Animal models of venous thrombosis.", "type" : "article-journal", "volume" : "7" }, "uris" : [ "http://www.mendeley.com/documents/?uuid=07b567de-26e3-4a07-b1f2-4b1e8529c738" ] } ], "mendeley" : { "formattedCitation" : "&lt;sup&gt;[22\u201325]&lt;/sup&gt;", "plainTextFormattedCitation" : "[22\u201325]", "previouslyFormattedCitation" : "(Albadawi et al., 2017; Konerding et al., 2010; Ravnic et al., 2007; Turhan et al., 2008)" }, "properties" : {  }, "schema" : "https://github.com/citation-style-language/schema/raw/master/csl-citation.json" }</w:instrText>
      </w:r>
      <w:r w:rsidR="000F78E9" w:rsidRPr="00CC34A3">
        <w:rPr>
          <w:rFonts w:ascii="Book Antiqua" w:eastAsia="Calibri" w:hAnsi="Book Antiqua" w:cs="Courier New"/>
          <w:color w:val="000000" w:themeColor="text1"/>
          <w:sz w:val="24"/>
          <w:szCs w:val="24"/>
          <w:lang w:val="en-US"/>
        </w:rPr>
        <w:fldChar w:fldCharType="separate"/>
      </w:r>
      <w:r w:rsidR="000F78E9" w:rsidRPr="00CC34A3">
        <w:rPr>
          <w:rFonts w:ascii="Book Antiqua" w:eastAsia="Calibri" w:hAnsi="Book Antiqua" w:cs="Courier New"/>
          <w:color w:val="000000" w:themeColor="text1"/>
          <w:sz w:val="24"/>
          <w:szCs w:val="24"/>
          <w:vertAlign w:val="superscript"/>
          <w:lang w:val="en-US"/>
        </w:rPr>
        <w:t>[15,16]</w:t>
      </w:r>
      <w:r w:rsidR="000F78E9" w:rsidRPr="00CC34A3">
        <w:rPr>
          <w:rFonts w:ascii="Book Antiqua" w:eastAsia="Calibri" w:hAnsi="Book Antiqua" w:cs="Courier New"/>
          <w:color w:val="000000" w:themeColor="text1"/>
          <w:sz w:val="24"/>
          <w:szCs w:val="24"/>
          <w:lang w:val="en-US"/>
        </w:rPr>
        <w:fldChar w:fldCharType="end"/>
      </w:r>
      <w:r w:rsidR="004A54A4" w:rsidRPr="00CC34A3">
        <w:rPr>
          <w:rFonts w:ascii="Book Antiqua" w:eastAsia="Calibri" w:hAnsi="Book Antiqua" w:cs="Courier New"/>
          <w:color w:val="000000" w:themeColor="text1"/>
          <w:sz w:val="24"/>
          <w:szCs w:val="24"/>
          <w:lang w:val="en-US"/>
        </w:rPr>
        <w:t>,</w:t>
      </w:r>
      <w:r w:rsidR="000F78E9" w:rsidRPr="00CC34A3">
        <w:rPr>
          <w:rFonts w:ascii="Book Antiqua" w:hAnsi="Book Antiqua" w:cs="Courier New"/>
          <w:color w:val="000000" w:themeColor="text1"/>
          <w:sz w:val="24"/>
          <w:szCs w:val="24"/>
          <w:lang w:val="en-US"/>
        </w:rPr>
        <w:t xml:space="preserve"> it reestablishes the continuity of blood flow, in particular</w:t>
      </w:r>
      <w:r w:rsidR="000F78E9" w:rsidRPr="00CC34A3">
        <w:rPr>
          <w:rFonts w:ascii="Book Antiqua" w:eastAsia="Calibri" w:hAnsi="Book Antiqua" w:cs="Courier New"/>
          <w:color w:val="000000" w:themeColor="text1"/>
          <w:sz w:val="24"/>
          <w:szCs w:val="24"/>
          <w:lang w:val="en-US"/>
        </w:rPr>
        <w:fldChar w:fldCharType="begin" w:fldLock="1"/>
      </w:r>
      <w:r w:rsidR="000F78E9" w:rsidRPr="00CC34A3">
        <w:rPr>
          <w:rFonts w:ascii="Book Antiqua" w:eastAsia="Calibri" w:hAnsi="Book Antiqua" w:cs="Courier New"/>
          <w:color w:val="000000" w:themeColor="text1"/>
          <w:sz w:val="24"/>
          <w:szCs w:val="24"/>
          <w:lang w:val="en-US"/>
        </w:rPr>
        <w:instrText>ADDIN CSL_CITATION { "citationItems" : [ { "id" : "ITEM-1", "itemData" : { "DOI" : "10.1002/ar.20628", "ISSN" : "19328486", "PMID" : "18085623", "abstract" : "Oscillatory blood flow in the microcirculation is generally considered to be the result of cardiopulmonary influences or active vasomotion. In this report, we describe rhythmically oscillating blood flow in the bridging vessels of the mouse colon that appeared to be independent of known biological control mechanisms. Corrosion casting and scanning electron microscopy of the mouse colon demonstrated highly branched bridging vessels that connected the submucosal vessels with the mucosal plexus. Because of similar morphometric characteristics (19 +/- 11 microm vs. 28 +/- 16 microm), bridging arterioles and venules were distinguished by tracking fluorescent nanoparticles through the microcirculation using intravital fluorescence videomicroscopy. In control mice, the blood flow through the bridging vessels was typically continuous and unidirectional. In contrast, two models of chemically induced inflammation (trinitrobenzenesulfonic acid and dextran sodium sulfate) were associated with a twofold reduction in flow velocity and the prominence of rhythmically oscillating blood flow. The blood oscillation was characterized by tracking the bidirectional displacement of fluorescent nanoparticles. Space-time plots and particle tracking of the oscillating segments demonstrated an oscillation frequency between 0.2 and 5.1 cycles per second. Discrete Fourier transforms demonstrated a power spectrum composed of several base frequencies. These observations suggest that inflammation-inducible changes in blood flow patterns in the murine colon resulted in both reduced blood flow velocity and rhythmic oscillations within the bridging vessels of the mouse colon.", "author" : [ { "dropping-particle" : "", "family" : "Turhan", "given" : "Aslihan", "non-dropping-particle" : "", "parse-names" : false, "suffix" : "" }, { "dropping-particle" : "", "family" : "Konerding", "given" : "Moritz A", "non-dropping-particle" : "", "parse-names" : false, "suffix" : "" }, { "dropping-particle" : "", "family" : "Tsuda", "given" : "Akira", "non-dropping-particle" : "", "parse-names" : false, "suffix" : "" }, { "dropping-particle" : "", "family" : "Ravnic", "given" : "Dino J", "non-dropping-particle" : "", "parse-names" : false, "suffix" : "" }, { "dropping-particle" : "", "family" : "Hanidziar", "given" : "Dusan", "non-dropping-particle" : "", "parse-names" : false, "suffix" : "" }, { "dropping-particle" : "", "family" : "Lin", "given" : "Miao", "non-dropping-particle" : "", "parse-names" : false, "suffix" : "" }, { "dropping-particle" : "", "family" : "Mentzer", "given" : "Steven J", "non-dropping-particle" : "", "parse-names" : false, "suffix" : "" } ], "container-title" : "The Anatomical Record: Advances in Integrative Anatomy and Evolutionary Biology", "id" : "ITEM-1", "issue" : "1", "issued" : { "date-parts" : [ [ "2008", "1" ] ] }, "page" : "74-82", "title" : "Bridging Mucosal Vessels Associated with Rhythmically Oscillating Blood Flow in Murine Colitis", "type" : "article-journal", "volume" : "291" }, "uris" : [ "http://www.mendeley.com/documents/?uuid=9ec5dfc8-752b-4905-9606-0c3fb05ca611" ] }, { "id" : "ITEM-2", "itemData" : { "DOI" : "10.1002/ar.21110", "ISSN" : "19328486", "PMID" : "20225210", "abstract" : "Intussusceptive angiogenesis is a morphogenetic process that forms new blood vessels by the division of a single blood vessel into two lumens. Here, we show that this process of intraluminal division participates in the inflammation-induced neovascularization associated with chemically induced murine colitis. In studies of both acute (4-7 days) and chronic (28-31 days) colitis, intravital microscopy of intravascular tracers demonstrated a twofold reduction in blood flow velocity. In the acute colitis model, the decreased velocity was associated with marked dilatation of the mucosal plexus. In contrast, chronic inflammation was associated with normal caliber vessels and duplication (and triplication) of the quasi-polygonal mucosal plexus. Scanning electron microscopy (SEM) of intravascular corrosion casts suggested that pillar formation and septation, previously linked to the morphogenetic process of intussusceptive angiogenesis, were present within days of the onset of inflammation. Four weeks after the onset of inflammation, SEM of vascular corrosion casts demonstrated replication of the mucosal plexus without significant evidence of sprouting angiogenesis. These data suggest that mucosal capillaries have comparable aggregate cross-sectional area in acute and chronic colitis; however, there is a significant increase in functional capillary density in chronic colitis. We conclude that intussusceptive angiogenesis is a fundamental mechanism of microvascular adaptation to prolonged inflammation.", "author" : [ { "dropping-particle" : "", "family" : "Konerding", "given" : "Moritz A", "non-dropping-particle" : "", "parse-names" : false, "suffix" : "" }, { "dropping-particle" : "", "family" : "Turhan", "given" : "Aslihan", "non-dropping-particle" : "", "parse-names" : false, "suffix" : "" }, { "dropping-particle" : "", "family" : "Ravnic", "given" : "Dino J", "non-dropping-particle" : "", "parse-names" : false, "suffix" : "" }, { "dropping-particle" : "", "family" : "Lin", "given" : "Miao", "non-dropping-particle" : "", "parse-names" : false, "suffix" : "" }, { "dropping-particle" : "", "family" : "Fuchs", "given" : "Christine", "non-dropping-particle" : "", "parse-names" : false, "suffix" : "" }, { "dropping-particle" : "", "family" : "Secomb", "given" : "Timothy W", "non-dropping-particle" : "", "parse-names" : false, "suffix" : "" }, { "dropping-particle" : "", "family" : "Tsuda", "given" : "Akira", "non-dropping-particle" : "", "parse-names" : false, "suffix" : "" }, { "dropping-particle" : "", "family" : "Mentzer", "given" : "Steven J", "non-dropping-particle" : "", "parse-names" : false, "suffix" : "" } ], "container-title" : "The Anatomical Record: Advances in Integrative Anatomy and Evolutionary Biology", "id" : "ITEM-2", "issue" : "5", "issued" : { "date-parts" : [ [ "2010", "5" ] ] }, "page" : "849-857", "title" : "Inflammation-Induced Intussusceptive Angiogenesis in Murine Colitis", "type" : "article-journal", "volume" : "293" }, "uris" : [ "http://www.mendeley.com/documents/?uuid=62619ea5-c9e6-4d7b-863e-6941cc202a5a" ] }, { "id" : "ITEM-3", "itemData" : { "DOI" : "10.1136/gut.2006.101824", "ISSN" : "0017-5749", "PMID" : "17114297", "abstract" : "BACKGROUND Blood flowing across the vascular endothelium creates wall shear stress, dependent on velocity of flow and vessel geometry, that tends to disrupt lymphocyte-endothelial cell adhesion. OBJECTIVE The microcirculation in a murine model of acute colitis was investigated to identify structural adaptations during acute colitis that may facilitate transmigration. METHODS In 2,4,6-trinitrobenzenesulphonic acid-induced acute colitis, the infiltrating cells and colonic microcirculation was investigated by cellular topographic mapping, corrosion casting and three-dimensional scanning electron microscopy (SEM). Colonic blood velocimetry was performed using intravital microscopy. RESULTS Clinical and histological parameters suggested a peak inflammatory response at 96 h (p&lt;0.001). The infiltrating cells were spatially related to the mucosal capillary plexus by three-dimensional topographic mapping (p&lt;0.001). In normal mice, corrosion casting and three-dimensional SEM showed a polygonal mucosal plexus supplied by ascending arteries and descending veins. After 2,4,6-trinitrobenzenesulphonic acid stimulation, three-dimensional SEM showed preserved branch angles (p = 0.52) and nominal vessel lengths (p = 0.93), but a significantly dilated mucosal capillary plexus (p&lt;0.001). Intravital microscopy of the mucosal plexus showed a greater than twofold decrease in the velocity of flow (p&lt;0.001). CONCLUSIONS The demonstrable slowing of the velocity of flow despite an increase in volumetric flow suggests that these microvascular adaptations create conditions suitable for leucocyte adhesion and transmigration.", "author" : [ { "dropping-particle" : "", "family" : "Ravnic", "given" : "Dino J", "non-dropping-particle" : "", "parse-names" : false, "suffix" : "" }, { "dropping-particle" : "", "family" : "Konerding", "given" : "Moritz A", "non-dropping-particle" : "", "parse-names" : false, "suffix" : "" }, { "dropping-particle" : "", "family" : "Tsuda", "given" : "Akira", "non-dropping-particle" : "", "parse-names" : false, "suffix" : "" }, { "dropping-particle" : "", "family" : "Huss", "given" : "Harold T", "non-dropping-particle" : "", "parse-names" : false, "suffix" : "" }, { "dropping-particle" : "", "family" : "Wolloscheck", "given" : "Tanja", "non-dropping-particle" : "", "parse-names" : false, "suffix" : "" }, { "dropping-particle" : "", "family" : "Pratt", "given" : "Juan P", "non-dropping-particle" : "", "parse-names" : false, "suffix" : "" }, { "dropping-particle" : "", "family" : "Mentzer", "given" : "Steven J", "non-dropping-particle" : "", "parse-names" : false, "suffix" : "" } ], "container-title" : "Gut", "id" : "ITEM-3", "issue" : "4", "issued" : { "date-parts" : [ [ "2007", "4", "1" ] ] }, "page" : "518-523", "title" : "Structural adaptations in the murine colon microcirculation associated with hapten-induced inflammation", "type" : "article-journal", "volume" : "56" }, "uris" : [ "http://www.mendeley.com/documents/?uuid=fbd1ddcc-d909-4f7f-9b3d-7d8af670fcf2" ] }, { "id" : "ITEM-4", "itemData" : { "DOI" : "10.21037/cdt.2017.08.10", "ISSN" : "2223-3652", "PMID" : "29399523", "abstract" : "Venous thrombosis (VT) is a prevalent clinical condition with significant adverse sequela or mortality. Anticoagulation and pharmacologic or pharmacomechanical thrombolytic therapies are the mainstays of VT treatment. An understanding of thrombosis biology will allow for more effective VT-tailored diagnosis and therapy.In vivomodels of thrombosis provide indispensable tools to study the pathogenesis of thrombus formation and to evaluate novel therapeutic or preventive adjuncts for VT management or prevention. In this article, we review the most prominentin vivomodels of VT created in rodents and swine species and outline how each model can serve as a useful tool to promote our understanding of VT pathogenesis and to examine novel therapies.", "author" : [ { "dropping-particle" : "", "family" : "Albadawi", "given" : "Hassan", "non-dropping-particle" : "", "parse-names" : false, "suffix" : "" }, { "dropping-particle" : "", "family" : "Witting", "given" : "Avery A", "non-dropping-particle" : "", "parse-names" : false, "suffix" : "" }, { "dropping-particle" : "", "family" : "Pershad", "given" : "Yash", "non-dropping-particle" : "", "parse-names" : false, "suffix" : "" }, { "dropping-particle" : "", "family" : "Wallace", "given" : "Alex", "non-dropping-particle" : "", "parse-names" : false, "suffix" : "" }, { "dropping-particle" : "", "family" : "Fleck", "given" : "Andrew R", "non-dropping-particle" : "", "parse-names" : false, "suffix" : "" }, { "dropping-particle" : "", "family" : "Hoang", "given" : "Peter", "non-dropping-particle" : "", "parse-names" : false, "suffix" : "" }, { "dropping-particle" : "", "family" : "Khademhosseini", "given" : "Ali", "non-dropping-particle" : "", "parse-names" : false, "suffix" : "" }, { "dropping-particle" : "", "family" : "Oklu", "given" : "Rahmi", "non-dropping-particle" : "", "parse-names" : false, "suffix" : "" } ], "container-title" : "Cardiovascular diagnosis and therapy", "id" : "ITEM-4", "issue" : "Suppl 3", "issued" : { "date-parts" : [ [ "2017", "12" ] ] }, "page" : "S197-S206", "title" : "Animal models of venous thrombosis.", "type" : "article-journal", "volume" : "7" }, "uris" : [ "http://www.mendeley.com/documents/?uuid=07b567de-26e3-4a07-b1f2-4b1e8529c738" ] } ], "mendeley" : { "formattedCitation" : "&lt;sup&gt;[22\u201325]&lt;/sup&gt;", "plainTextFormattedCitation" : "[22\u201325]", "previouslyFormattedCitation" : "(Albadawi et al., 2017; Konerding et al., 2010; Ravnic et al., 2007; Turhan et al., 2008)" }, "properties" : {  }, "schema" : "https://github.com/citation-style-language/schema/raw/master/csl-citation.json" }</w:instrText>
      </w:r>
      <w:r w:rsidR="000F78E9" w:rsidRPr="00CC34A3">
        <w:rPr>
          <w:rFonts w:ascii="Book Antiqua" w:eastAsia="Calibri" w:hAnsi="Book Antiqua" w:cs="Courier New"/>
          <w:color w:val="000000" w:themeColor="text1"/>
          <w:sz w:val="24"/>
          <w:szCs w:val="24"/>
          <w:lang w:val="en-US"/>
        </w:rPr>
        <w:fldChar w:fldCharType="separate"/>
      </w:r>
      <w:r w:rsidR="000F78E9" w:rsidRPr="00CC34A3">
        <w:rPr>
          <w:rFonts w:ascii="Book Antiqua" w:eastAsia="Calibri" w:hAnsi="Book Antiqua" w:cs="Courier New"/>
          <w:color w:val="000000" w:themeColor="text1"/>
          <w:sz w:val="24"/>
          <w:szCs w:val="24"/>
          <w:vertAlign w:val="superscript"/>
          <w:lang w:val="en-US"/>
        </w:rPr>
        <w:t>[15,16]</w:t>
      </w:r>
      <w:r w:rsidR="000F78E9" w:rsidRPr="00CC34A3">
        <w:rPr>
          <w:rFonts w:ascii="Book Antiqua" w:eastAsia="Calibri" w:hAnsi="Book Antiqua" w:cs="Courier New"/>
          <w:color w:val="000000" w:themeColor="text1"/>
          <w:sz w:val="24"/>
          <w:szCs w:val="24"/>
          <w:lang w:val="en-US"/>
        </w:rPr>
        <w:fldChar w:fldCharType="end"/>
      </w:r>
      <w:r w:rsidR="000F78E9" w:rsidRPr="00CC34A3">
        <w:rPr>
          <w:rFonts w:ascii="Book Antiqua" w:hAnsi="Book Antiqua" w:cs="Courier New"/>
          <w:color w:val="000000" w:themeColor="text1"/>
          <w:sz w:val="24"/>
          <w:szCs w:val="24"/>
          <w:lang w:val="en-US"/>
        </w:rPr>
        <w:t>. Also, this effect was shown to be a long-</w:t>
      </w:r>
      <w:r w:rsidR="000F78E9" w:rsidRPr="00CC34A3">
        <w:rPr>
          <w:rFonts w:ascii="Book Antiqua" w:hAnsi="Book Antiqua" w:cs="Courier New"/>
          <w:color w:val="000000" w:themeColor="text1"/>
          <w:sz w:val="24"/>
          <w:szCs w:val="24"/>
          <w:lang w:val="en-US"/>
        </w:rPr>
        <w:lastRenderedPageBreak/>
        <w:t>lasting effect</w:t>
      </w:r>
      <w:r w:rsidR="000F78E9" w:rsidRPr="00CC34A3">
        <w:rPr>
          <w:rFonts w:ascii="Book Antiqua" w:eastAsia="Calibri" w:hAnsi="Book Antiqua" w:cs="Courier New"/>
          <w:color w:val="000000" w:themeColor="text1"/>
          <w:sz w:val="24"/>
          <w:szCs w:val="24"/>
          <w:lang w:val="en-US"/>
        </w:rPr>
        <w:fldChar w:fldCharType="begin" w:fldLock="1"/>
      </w:r>
      <w:r w:rsidR="000F78E9" w:rsidRPr="00CC34A3">
        <w:rPr>
          <w:rFonts w:ascii="Book Antiqua" w:eastAsia="Calibri" w:hAnsi="Book Antiqua" w:cs="Courier New"/>
          <w:color w:val="000000" w:themeColor="text1"/>
          <w:sz w:val="24"/>
          <w:szCs w:val="24"/>
          <w:lang w:val="en-US"/>
        </w:rPr>
        <w:instrText>ADDIN CSL_CITATION { "citationItems" : [ { "id" : "ITEM-1", "itemData" : { "DOI" : "10.1002/ar.20628", "ISSN" : "19328486", "PMID" : "18085623", "abstract" : "Oscillatory blood flow in the microcirculation is generally considered to be the result of cardiopulmonary influences or active vasomotion. In this report, we describe rhythmically oscillating blood flow in the bridging vessels of the mouse colon that appeared to be independent of known biological control mechanisms. Corrosion casting and scanning electron microscopy of the mouse colon demonstrated highly branched bridging vessels that connected the submucosal vessels with the mucosal plexus. Because of similar morphometric characteristics (19 +/- 11 microm vs. 28 +/- 16 microm), bridging arterioles and venules were distinguished by tracking fluorescent nanoparticles through the microcirculation using intravital fluorescence videomicroscopy. In control mice, the blood flow through the bridging vessels was typically continuous and unidirectional. In contrast, two models of chemically induced inflammation (trinitrobenzenesulfonic acid and dextran sodium sulfate) were associated with a twofold reduction in flow velocity and the prominence of rhythmically oscillating blood flow. The blood oscillation was characterized by tracking the bidirectional displacement of fluorescent nanoparticles. Space-time plots and particle tracking of the oscillating segments demonstrated an oscillation frequency between 0.2 and 5.1 cycles per second. Discrete Fourier transforms demonstrated a power spectrum composed of several base frequencies. These observations suggest that inflammation-inducible changes in blood flow patterns in the murine colon resulted in both reduced blood flow velocity and rhythmic oscillations within the bridging vessels of the mouse colon.", "author" : [ { "dropping-particle" : "", "family" : "Turhan", "given" : "Aslihan", "non-dropping-particle" : "", "parse-names" : false, "suffix" : "" }, { "dropping-particle" : "", "family" : "Konerding", "given" : "Moritz A", "non-dropping-particle" : "", "parse-names" : false, "suffix" : "" }, { "dropping-particle" : "", "family" : "Tsuda", "given" : "Akira", "non-dropping-particle" : "", "parse-names" : false, "suffix" : "" }, { "dropping-particle" : "", "family" : "Ravnic", "given" : "Dino J", "non-dropping-particle" : "", "parse-names" : false, "suffix" : "" }, { "dropping-particle" : "", "family" : "Hanidziar", "given" : "Dusan", "non-dropping-particle" : "", "parse-names" : false, "suffix" : "" }, { "dropping-particle" : "", "family" : "Lin", "given" : "Miao", "non-dropping-particle" : "", "parse-names" : false, "suffix" : "" }, { "dropping-particle" : "", "family" : "Mentzer", "given" : "Steven J", "non-dropping-particle" : "", "parse-names" : false, "suffix" : "" } ], "container-title" : "The Anatomical Record: Advances in Integrative Anatomy and Evolutionary Biology", "id" : "ITEM-1", "issue" : "1", "issued" : { "date-parts" : [ [ "2008", "1" ] ] }, "page" : "74-82", "title" : "Bridging Mucosal Vessels Associated with Rhythmically Oscillating Blood Flow in Murine Colitis", "type" : "article-journal", "volume" : "291" }, "uris" : [ "http://www.mendeley.com/documents/?uuid=9ec5dfc8-752b-4905-9606-0c3fb05ca611" ] }, { "id" : "ITEM-2", "itemData" : { "DOI" : "10.1002/ar.21110", "ISSN" : "19328486", "PMID" : "20225210", "abstract" : "Intussusceptive angiogenesis is a morphogenetic process that forms new blood vessels by the division of a single blood vessel into two lumens. Here, we show that this process of intraluminal division participates in the inflammation-induced neovascularization associated with chemically induced murine colitis. In studies of both acute (4-7 days) and chronic (28-31 days) colitis, intravital microscopy of intravascular tracers demonstrated a twofold reduction in blood flow velocity. In the acute colitis model, the decreased velocity was associated with marked dilatation of the mucosal plexus. In contrast, chronic inflammation was associated with normal caliber vessels and duplication (and triplication) of the quasi-polygonal mucosal plexus. Scanning electron microscopy (SEM) of intravascular corrosion casts suggested that pillar formation and septation, previously linked to the morphogenetic process of intussusceptive angiogenesis, were present within days of the onset of inflammation. Four weeks after the onset of inflammation, SEM of vascular corrosion casts demonstrated replication of the mucosal plexus without significant evidence of sprouting angiogenesis. These data suggest that mucosal capillaries have comparable aggregate cross-sectional area in acute and chronic colitis; however, there is a significant increase in functional capillary density in chronic colitis. We conclude that intussusceptive angiogenesis is a fundamental mechanism of microvascular adaptation to prolonged inflammation.", "author" : [ { "dropping-particle" : "", "family" : "Konerding", "given" : "Moritz A", "non-dropping-particle" : "", "parse-names" : false, "suffix" : "" }, { "dropping-particle" : "", "family" : "Turhan", "given" : "Aslihan", "non-dropping-particle" : "", "parse-names" : false, "suffix" : "" }, { "dropping-particle" : "", "family" : "Ravnic", "given" : "Dino J", "non-dropping-particle" : "", "parse-names" : false, "suffix" : "" }, { "dropping-particle" : "", "family" : "Lin", "given" : "Miao", "non-dropping-particle" : "", "parse-names" : false, "suffix" : "" }, { "dropping-particle" : "", "family" : "Fuchs", "given" : "Christine", "non-dropping-particle" : "", "parse-names" : false, "suffix" : "" }, { "dropping-particle" : "", "family" : "Secomb", "given" : "Timothy W", "non-dropping-particle" : "", "parse-names" : false, "suffix" : "" }, { "dropping-particle" : "", "family" : "Tsuda", "given" : "Akira", "non-dropping-particle" : "", "parse-names" : false, "suffix" : "" }, { "dropping-particle" : "", "family" : "Mentzer", "given" : "Steven J", "non-dropping-particle" : "", "parse-names" : false, "suffix" : "" } ], "container-title" : "The Anatomical Record: Advances in Integrative Anatomy and Evolutionary Biology", "id" : "ITEM-2", "issue" : "5", "issued" : { "date-parts" : [ [ "2010", "5" ] ] }, "page" : "849-857", "title" : "Inflammation-Induced Intussusceptive Angiogenesis in Murine Colitis", "type" : "article-journal", "volume" : "293" }, "uris" : [ "http://www.mendeley.com/documents/?uuid=62619ea5-c9e6-4d7b-863e-6941cc202a5a" ] }, { "id" : "ITEM-3", "itemData" : { "DOI" : "10.1136/gut.2006.101824", "ISSN" : "0017-5749", "PMID" : "17114297", "abstract" : "BACKGROUND Blood flowing across the vascular endothelium creates wall shear stress, dependent on velocity of flow and vessel geometry, that tends to disrupt lymphocyte-endothelial cell adhesion. OBJECTIVE The microcirculation in a murine model of acute colitis was investigated to identify structural adaptations during acute colitis that may facilitate transmigration. METHODS In 2,4,6-trinitrobenzenesulphonic acid-induced acute colitis, the infiltrating cells and colonic microcirculation was investigated by cellular topographic mapping, corrosion casting and three-dimensional scanning electron microscopy (SEM). Colonic blood velocimetry was performed using intravital microscopy. RESULTS Clinical and histological parameters suggested a peak inflammatory response at 96 h (p&lt;0.001). The infiltrating cells were spatially related to the mucosal capillary plexus by three-dimensional topographic mapping (p&lt;0.001). In normal mice, corrosion casting and three-dimensional SEM showed a polygonal mucosal plexus supplied by ascending arteries and descending veins. After 2,4,6-trinitrobenzenesulphonic acid stimulation, three-dimensional SEM showed preserved branch angles (p = 0.52) and nominal vessel lengths (p = 0.93), but a significantly dilated mucosal capillary plexus (p&lt;0.001). Intravital microscopy of the mucosal plexus showed a greater than twofold decrease in the velocity of flow (p&lt;0.001). CONCLUSIONS The demonstrable slowing of the velocity of flow despite an increase in volumetric flow suggests that these microvascular adaptations create conditions suitable for leucocyte adhesion and transmigration.", "author" : [ { "dropping-particle" : "", "family" : "Ravnic", "given" : "Dino J", "non-dropping-particle" : "", "parse-names" : false, "suffix" : "" }, { "dropping-particle" : "", "family" : "Konerding", "given" : "Moritz A", "non-dropping-particle" : "", "parse-names" : false, "suffix" : "" }, { "dropping-particle" : "", "family" : "Tsuda", "given" : "Akira", "non-dropping-particle" : "", "parse-names" : false, "suffix" : "" }, { "dropping-particle" : "", "family" : "Huss", "given" : "Harold T", "non-dropping-particle" : "", "parse-names" : false, "suffix" : "" }, { "dropping-particle" : "", "family" : "Wolloscheck", "given" : "Tanja", "non-dropping-particle" : "", "parse-names" : false, "suffix" : "" }, { "dropping-particle" : "", "family" : "Pratt", "given" : "Juan P", "non-dropping-particle" : "", "parse-names" : false, "suffix" : "" }, { "dropping-particle" : "", "family" : "Mentzer", "given" : "Steven J", "non-dropping-particle" : "", "parse-names" : false, "suffix" : "" } ], "container-title" : "Gut", "id" : "ITEM-3", "issue" : "4", "issued" : { "date-parts" : [ [ "2007", "4", "1" ] ] }, "page" : "518-523", "title" : "Structural adaptations in the murine colon microcirculation associated with hapten-induced inflammation", "type" : "article-journal", "volume" : "56" }, "uris" : [ "http://www.mendeley.com/documents/?uuid=fbd1ddcc-d909-4f7f-9b3d-7d8af670fcf2" ] }, { "id" : "ITEM-4", "itemData" : { "DOI" : "10.21037/cdt.2017.08.10", "ISSN" : "2223-3652", "PMID" : "29399523", "abstract" : "Venous thrombosis (VT) is a prevalent clinical condition with significant adverse sequela or mortality. Anticoagulation and pharmacologic or pharmacomechanical thrombolytic therapies are the mainstays of VT treatment. An understanding of thrombosis biology will allow for more effective VT-tailored diagnosis and therapy.In vivomodels of thrombosis provide indispensable tools to study the pathogenesis of thrombus formation and to evaluate novel therapeutic or preventive adjuncts for VT management or prevention. In this article, we review the most prominentin vivomodels of VT created in rodents and swine species and outline how each model can serve as a useful tool to promote our understanding of VT pathogenesis and to examine novel therapies.", "author" : [ { "dropping-particle" : "", "family" : "Albadawi", "given" : "Hassan", "non-dropping-particle" : "", "parse-names" : false, "suffix" : "" }, { "dropping-particle" : "", "family" : "Witting", "given" : "Avery A", "non-dropping-particle" : "", "parse-names" : false, "suffix" : "" }, { "dropping-particle" : "", "family" : "Pershad", "given" : "Yash", "non-dropping-particle" : "", "parse-names" : false, "suffix" : "" }, { "dropping-particle" : "", "family" : "Wallace", "given" : "Alex", "non-dropping-particle" : "", "parse-names" : false, "suffix" : "" }, { "dropping-particle" : "", "family" : "Fleck", "given" : "Andrew R", "non-dropping-particle" : "", "parse-names" : false, "suffix" : "" }, { "dropping-particle" : "", "family" : "Hoang", "given" : "Peter", "non-dropping-particle" : "", "parse-names" : false, "suffix" : "" }, { "dropping-particle" : "", "family" : "Khademhosseini", "given" : "Ali", "non-dropping-particle" : "", "parse-names" : false, "suffix" : "" }, { "dropping-particle" : "", "family" : "Oklu", "given" : "Rahmi", "non-dropping-particle" : "", "parse-names" : false, "suffix" : "" } ], "container-title" : "Cardiovascular diagnosis and therapy", "id" : "ITEM-4", "issue" : "Suppl 3", "issued" : { "date-parts" : [ [ "2017", "12" ] ] }, "page" : "S197-S206", "title" : "Animal models of venous thrombosis.", "type" : "article-journal", "volume" : "7" }, "uris" : [ "http://www.mendeley.com/documents/?uuid=07b567de-26e3-4a07-b1f2-4b1e8529c738" ] } ], "mendeley" : { "formattedCitation" : "&lt;sup&gt;[22\u201325]&lt;/sup&gt;", "plainTextFormattedCitation" : "[22\u201325]", "previouslyFormattedCitation" : "(Albadawi et al., 2017; Konerding et al., 2010; Ravnic et al., 2007; Turhan et al., 2008)" }, "properties" : {  }, "schema" : "https://github.com/citation-style-language/schema/raw/master/csl-citation.json" }</w:instrText>
      </w:r>
      <w:r w:rsidR="000F78E9" w:rsidRPr="00CC34A3">
        <w:rPr>
          <w:rFonts w:ascii="Book Antiqua" w:eastAsia="Calibri" w:hAnsi="Book Antiqua" w:cs="Courier New"/>
          <w:color w:val="000000" w:themeColor="text1"/>
          <w:sz w:val="24"/>
          <w:szCs w:val="24"/>
          <w:lang w:val="en-US"/>
        </w:rPr>
        <w:fldChar w:fldCharType="separate"/>
      </w:r>
      <w:r w:rsidR="000F78E9" w:rsidRPr="00CC34A3">
        <w:rPr>
          <w:rFonts w:ascii="Book Antiqua" w:eastAsia="Calibri" w:hAnsi="Book Antiqua" w:cs="Courier New"/>
          <w:color w:val="000000" w:themeColor="text1"/>
          <w:sz w:val="24"/>
          <w:szCs w:val="24"/>
          <w:vertAlign w:val="superscript"/>
          <w:lang w:val="en-US"/>
        </w:rPr>
        <w:t>[15,16]</w:t>
      </w:r>
      <w:r w:rsidR="000F78E9" w:rsidRPr="00CC34A3">
        <w:rPr>
          <w:rFonts w:ascii="Book Antiqua" w:eastAsia="Calibri" w:hAnsi="Book Antiqua" w:cs="Courier New"/>
          <w:color w:val="000000" w:themeColor="text1"/>
          <w:sz w:val="24"/>
          <w:szCs w:val="24"/>
          <w:lang w:val="en-US"/>
        </w:rPr>
        <w:fldChar w:fldCharType="end"/>
      </w:r>
      <w:r w:rsidR="000F78E9" w:rsidRPr="00CC34A3">
        <w:rPr>
          <w:rFonts w:ascii="Book Antiqua" w:hAnsi="Book Antiqua" w:cs="Courier New"/>
          <w:color w:val="000000" w:themeColor="text1"/>
          <w:sz w:val="24"/>
          <w:szCs w:val="24"/>
          <w:lang w:val="en-US"/>
        </w:rPr>
        <w:t>. It was also applicable in the later period, even after additional colon or major vein obstruction had occurred</w:t>
      </w:r>
      <w:r w:rsidR="000F78E9" w:rsidRPr="00CC34A3">
        <w:rPr>
          <w:rFonts w:ascii="Book Antiqua" w:eastAsia="Calibri" w:hAnsi="Book Antiqua" w:cs="Courier New"/>
          <w:color w:val="000000" w:themeColor="text1"/>
          <w:sz w:val="24"/>
          <w:szCs w:val="24"/>
          <w:lang w:val="en-US"/>
        </w:rPr>
        <w:fldChar w:fldCharType="begin" w:fldLock="1"/>
      </w:r>
      <w:r w:rsidR="000F78E9"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0F78E9" w:rsidRPr="00CC34A3">
        <w:rPr>
          <w:rFonts w:ascii="Book Antiqua" w:eastAsia="Calibri" w:hAnsi="Book Antiqua" w:cs="Courier New"/>
          <w:color w:val="000000" w:themeColor="text1"/>
          <w:sz w:val="24"/>
          <w:szCs w:val="24"/>
          <w:lang w:val="en-US"/>
        </w:rPr>
        <w:fldChar w:fldCharType="separate"/>
      </w:r>
      <w:r w:rsidR="000F78E9" w:rsidRPr="00CC34A3">
        <w:rPr>
          <w:rFonts w:ascii="Book Antiqua" w:eastAsia="Calibri" w:hAnsi="Book Antiqua" w:cs="Courier New"/>
          <w:color w:val="000000" w:themeColor="text1"/>
          <w:sz w:val="24"/>
          <w:szCs w:val="24"/>
          <w:vertAlign w:val="superscript"/>
          <w:lang w:val="en-US"/>
        </w:rPr>
        <w:t>[15,16]</w:t>
      </w:r>
      <w:r w:rsidR="000F78E9" w:rsidRPr="00CC34A3">
        <w:rPr>
          <w:rFonts w:ascii="Book Antiqua" w:eastAsia="Calibri" w:hAnsi="Book Antiqua" w:cs="Courier New"/>
          <w:color w:val="000000" w:themeColor="text1"/>
          <w:sz w:val="24"/>
          <w:szCs w:val="24"/>
          <w:lang w:val="en-US"/>
        </w:rPr>
        <w:fldChar w:fldCharType="end"/>
      </w:r>
      <w:r w:rsidR="000F78E9" w:rsidRPr="00CC34A3">
        <w:rPr>
          <w:rFonts w:ascii="Book Antiqua" w:eastAsia="Calibri" w:hAnsi="Book Antiqua" w:cs="Courier New"/>
          <w:color w:val="000000" w:themeColor="text1"/>
          <w:sz w:val="24"/>
          <w:szCs w:val="24"/>
          <w:lang w:val="en-US"/>
        </w:rPr>
        <w:t>.</w:t>
      </w:r>
      <w:r w:rsidR="000F78E9" w:rsidRPr="00CC34A3">
        <w:rPr>
          <w:rFonts w:ascii="Book Antiqua" w:hAnsi="Book Antiqua" w:cs="Courier New"/>
          <w:color w:val="000000" w:themeColor="text1"/>
          <w:sz w:val="24"/>
          <w:szCs w:val="24"/>
          <w:lang w:val="en-US"/>
        </w:rPr>
        <w:t xml:space="preserve"> </w:t>
      </w:r>
    </w:p>
    <w:p w14:paraId="7CC4FF7A" w14:textId="400C58F7" w:rsidR="0054654F" w:rsidRPr="00CC34A3" w:rsidRDefault="00FF3466" w:rsidP="00CC34A3">
      <w:pPr>
        <w:autoSpaceDE w:val="0"/>
        <w:autoSpaceDN w:val="0"/>
        <w:adjustRightInd w:val="0"/>
        <w:snapToGrid w:val="0"/>
        <w:spacing w:after="0" w:line="360" w:lineRule="auto"/>
        <w:jc w:val="both"/>
        <w:rPr>
          <w:rFonts w:ascii="Book Antiqua" w:hAnsi="Book Antiqua" w:cs="Courier New"/>
          <w:color w:val="000000" w:themeColor="text1"/>
          <w:sz w:val="24"/>
          <w:szCs w:val="24"/>
          <w:lang w:val="en-US"/>
        </w:rPr>
      </w:pPr>
      <w:r w:rsidRPr="00CC34A3">
        <w:rPr>
          <w:rFonts w:ascii="Book Antiqua" w:hAnsi="Book Antiqua" w:cs="Courier New"/>
          <w:color w:val="000000" w:themeColor="text1"/>
          <w:sz w:val="24"/>
          <w:szCs w:val="24"/>
          <w:lang w:val="en-US"/>
        </w:rPr>
        <w:t xml:space="preserve">  </w:t>
      </w:r>
      <w:r w:rsidR="0054654F" w:rsidRPr="00CC34A3">
        <w:rPr>
          <w:rFonts w:ascii="Book Antiqua" w:hAnsi="Book Antiqua" w:cs="Courier New"/>
          <w:color w:val="000000" w:themeColor="text1"/>
          <w:sz w:val="24"/>
          <w:szCs w:val="24"/>
          <w:lang w:val="en-US"/>
        </w:rPr>
        <w:t xml:space="preserve">This will also resolve mucosal lesions that would appear with disturbed duodenal circulation, if the </w:t>
      </w:r>
      <w:proofErr w:type="spellStart"/>
      <w:r w:rsidR="0054654F" w:rsidRPr="00CC34A3">
        <w:rPr>
          <w:rFonts w:ascii="Book Antiqua" w:hAnsi="Book Antiqua" w:cs="Courier New"/>
          <w:color w:val="000000" w:themeColor="text1"/>
          <w:sz w:val="24"/>
          <w:szCs w:val="24"/>
          <w:lang w:val="en-US"/>
        </w:rPr>
        <w:t>cytoprotection</w:t>
      </w:r>
      <w:proofErr w:type="spellEnd"/>
      <w:r w:rsidR="0054654F" w:rsidRPr="00CC34A3">
        <w:rPr>
          <w:rFonts w:ascii="Book Antiqua" w:hAnsi="Book Antiqua" w:cs="Courier New"/>
          <w:color w:val="000000" w:themeColor="text1"/>
          <w:sz w:val="24"/>
          <w:szCs w:val="24"/>
          <w:lang w:val="en-US"/>
        </w:rPr>
        <w:t>/endothelium protection is essential</w:t>
      </w:r>
      <w:r w:rsidR="0054654F" w:rsidRPr="00CC34A3">
        <w:rPr>
          <w:rFonts w:ascii="Book Antiqua" w:eastAsia="Calibri" w:hAnsi="Book Antiqua" w:cs="Courier New"/>
          <w:color w:val="000000" w:themeColor="text1"/>
          <w:sz w:val="24"/>
          <w:szCs w:val="24"/>
          <w:lang w:val="en-US"/>
        </w:rPr>
        <w:fldChar w:fldCharType="begin" w:fldLock="1"/>
      </w:r>
      <w:r w:rsidR="0054654F"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54654F" w:rsidRPr="00CC34A3">
        <w:rPr>
          <w:rFonts w:ascii="Book Antiqua" w:eastAsia="Calibri" w:hAnsi="Book Antiqua" w:cs="Courier New"/>
          <w:color w:val="000000" w:themeColor="text1"/>
          <w:sz w:val="24"/>
          <w:szCs w:val="24"/>
          <w:lang w:val="en-US"/>
        </w:rPr>
        <w:fldChar w:fldCharType="separate"/>
      </w:r>
      <w:r w:rsidR="0054654F" w:rsidRPr="00CC34A3">
        <w:rPr>
          <w:rFonts w:ascii="Book Antiqua" w:eastAsia="Calibri" w:hAnsi="Book Antiqua" w:cs="Courier New"/>
          <w:color w:val="000000" w:themeColor="text1"/>
          <w:sz w:val="24"/>
          <w:szCs w:val="24"/>
          <w:vertAlign w:val="superscript"/>
          <w:lang w:val="en-US"/>
        </w:rPr>
        <w:t>[15,16]</w:t>
      </w:r>
      <w:r w:rsidR="0054654F" w:rsidRPr="00CC34A3">
        <w:rPr>
          <w:rFonts w:ascii="Book Antiqua" w:eastAsia="Calibri" w:hAnsi="Book Antiqua" w:cs="Courier New"/>
          <w:color w:val="000000" w:themeColor="text1"/>
          <w:sz w:val="24"/>
          <w:szCs w:val="24"/>
          <w:lang w:val="en-US"/>
        </w:rPr>
        <w:fldChar w:fldCharType="end"/>
      </w:r>
      <w:r w:rsidR="0054654F" w:rsidRPr="00CC34A3">
        <w:rPr>
          <w:rFonts w:ascii="Book Antiqua" w:eastAsia="Calibri" w:hAnsi="Book Antiqua" w:cs="Courier New"/>
          <w:color w:val="000000" w:themeColor="text1"/>
          <w:sz w:val="24"/>
          <w:szCs w:val="24"/>
          <w:lang w:val="en-US"/>
        </w:rPr>
        <w:t xml:space="preserve"> </w:t>
      </w:r>
      <w:r w:rsidR="0054654F" w:rsidRPr="00CC34A3">
        <w:rPr>
          <w:rFonts w:ascii="Book Antiqua" w:hAnsi="Book Antiqua" w:cs="Courier New"/>
          <w:color w:val="000000" w:themeColor="text1"/>
          <w:sz w:val="24"/>
          <w:szCs w:val="24"/>
          <w:lang w:val="en-US"/>
        </w:rPr>
        <w:t>to quickly restore blood supply to the ischemic area, and if the application of BPC 157 may offer a fundamental treatment with the rapid and successful recruitment of blood vessels during harmful events. In support, various harmful conditions, all overwhelmed,  such as vascular obstruction, short-lasting blood deprivation, reperfusion, long-lasting blood deprivation and additional bowel obstruction, verify that BCP 157 can rapidly activate collaterals as we suggested</w:t>
      </w:r>
      <w:r w:rsidR="0054654F" w:rsidRPr="00CC34A3">
        <w:rPr>
          <w:rFonts w:ascii="Book Antiqua" w:eastAsia="Calibri" w:hAnsi="Book Antiqua" w:cs="Courier New"/>
          <w:color w:val="000000" w:themeColor="text1"/>
          <w:sz w:val="24"/>
          <w:szCs w:val="24"/>
          <w:lang w:val="en-US"/>
        </w:rPr>
        <w:fldChar w:fldCharType="begin" w:fldLock="1"/>
      </w:r>
      <w:r w:rsidR="0054654F"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54654F" w:rsidRPr="00CC34A3">
        <w:rPr>
          <w:rFonts w:ascii="Book Antiqua" w:eastAsia="Calibri" w:hAnsi="Book Antiqua" w:cs="Courier New"/>
          <w:color w:val="000000" w:themeColor="text1"/>
          <w:sz w:val="24"/>
          <w:szCs w:val="24"/>
          <w:lang w:val="en-US"/>
        </w:rPr>
        <w:fldChar w:fldCharType="separate"/>
      </w:r>
      <w:r w:rsidR="0054654F" w:rsidRPr="00CC34A3">
        <w:rPr>
          <w:rFonts w:ascii="Book Antiqua" w:eastAsia="Calibri" w:hAnsi="Book Antiqua" w:cs="Courier New"/>
          <w:color w:val="000000" w:themeColor="text1"/>
          <w:sz w:val="24"/>
          <w:szCs w:val="24"/>
          <w:vertAlign w:val="superscript"/>
          <w:lang w:val="en-US"/>
        </w:rPr>
        <w:t>[15,16]</w:t>
      </w:r>
      <w:r w:rsidR="0054654F" w:rsidRPr="00CC34A3">
        <w:rPr>
          <w:rFonts w:ascii="Book Antiqua" w:eastAsia="Calibri" w:hAnsi="Book Antiqua" w:cs="Courier New"/>
          <w:color w:val="000000" w:themeColor="text1"/>
          <w:sz w:val="24"/>
          <w:szCs w:val="24"/>
          <w:lang w:val="en-US"/>
        </w:rPr>
        <w:fldChar w:fldCharType="end"/>
      </w:r>
      <w:r w:rsidRPr="00CC34A3">
        <w:rPr>
          <w:rFonts w:ascii="Book Antiqua" w:hAnsi="Book Antiqua" w:cs="Courier New"/>
          <w:color w:val="000000" w:themeColor="text1"/>
          <w:sz w:val="24"/>
          <w:szCs w:val="24"/>
          <w:lang w:val="en-US"/>
        </w:rPr>
        <w:t>.</w:t>
      </w:r>
    </w:p>
    <w:p w14:paraId="24827F05" w14:textId="158AB011" w:rsidR="00647551" w:rsidRPr="00CC34A3" w:rsidRDefault="00FF3466" w:rsidP="00CC34A3">
      <w:pPr>
        <w:adjustRightInd w:val="0"/>
        <w:snapToGrid w:val="0"/>
        <w:spacing w:after="0" w:line="360" w:lineRule="auto"/>
        <w:jc w:val="both"/>
        <w:rPr>
          <w:rFonts w:ascii="Book Antiqua" w:hAnsi="Book Antiqua" w:cs="Courier New"/>
          <w:color w:val="000000" w:themeColor="text1"/>
          <w:sz w:val="24"/>
          <w:szCs w:val="24"/>
          <w:lang w:val="en-US"/>
        </w:rPr>
      </w:pPr>
      <w:r w:rsidRPr="00CC34A3">
        <w:rPr>
          <w:rFonts w:ascii="Book Antiqua" w:hAnsi="Book Antiqua" w:cs="Times New Roman"/>
          <w:color w:val="000000" w:themeColor="text1"/>
          <w:sz w:val="24"/>
          <w:szCs w:val="24"/>
          <w:lang w:val="en-US"/>
        </w:rPr>
        <w:t xml:space="preserve">  </w:t>
      </w:r>
      <w:r w:rsidR="00647551" w:rsidRPr="00CC34A3">
        <w:rPr>
          <w:rFonts w:ascii="Book Antiqua" w:hAnsi="Book Antiqua" w:cs="Courier New"/>
          <w:color w:val="000000" w:themeColor="text1"/>
          <w:sz w:val="24"/>
          <w:szCs w:val="24"/>
          <w:lang w:val="en-US"/>
        </w:rPr>
        <w:t>We treated occluded superior anterior pancreaticoduodenal veins</w:t>
      </w:r>
      <w:r w:rsidR="003021B3" w:rsidRPr="00CC34A3">
        <w:rPr>
          <w:rFonts w:ascii="Book Antiqua" w:hAnsi="Book Antiqua" w:cs="Courier New"/>
          <w:color w:val="000000" w:themeColor="text1"/>
          <w:sz w:val="24"/>
          <w:szCs w:val="24"/>
          <w:lang w:val="en-US"/>
        </w:rPr>
        <w:t xml:space="preserve"> (SPDAVs)</w:t>
      </w:r>
      <w:r w:rsidR="00647551" w:rsidRPr="00CC34A3">
        <w:rPr>
          <w:rFonts w:ascii="Book Antiqua" w:hAnsi="Book Antiqua" w:cs="Courier New"/>
          <w:color w:val="000000" w:themeColor="text1"/>
          <w:sz w:val="24"/>
          <w:szCs w:val="24"/>
          <w:lang w:val="en-US"/>
        </w:rPr>
        <w:t xml:space="preserve"> and duodenal lesions (that would otherwise rapidly appear and sustainably progress) with the stable gastric </w:t>
      </w:r>
      <w:proofErr w:type="spellStart"/>
      <w:r w:rsidR="00647551" w:rsidRPr="00CC34A3">
        <w:rPr>
          <w:rFonts w:ascii="Book Antiqua" w:hAnsi="Book Antiqua" w:cs="Courier New"/>
          <w:color w:val="000000" w:themeColor="text1"/>
          <w:sz w:val="24"/>
          <w:szCs w:val="24"/>
          <w:lang w:val="en-US"/>
        </w:rPr>
        <w:t>pentadecapeptide</w:t>
      </w:r>
      <w:proofErr w:type="spellEnd"/>
      <w:r w:rsidR="00647551" w:rsidRPr="00CC34A3">
        <w:rPr>
          <w:rFonts w:ascii="Book Antiqua" w:hAnsi="Book Antiqua" w:cs="Courier New"/>
          <w:color w:val="000000" w:themeColor="text1"/>
          <w:sz w:val="24"/>
          <w:szCs w:val="24"/>
          <w:lang w:val="en-US"/>
        </w:rPr>
        <w:t xml:space="preserve"> BPC 157, L-NAME and L-arginine. Namely, interaction between BPC 157 and NO-system </w:t>
      </w:r>
      <w:r w:rsidR="00D10AD9" w:rsidRPr="00CC34A3">
        <w:rPr>
          <w:rFonts w:ascii="Book Antiqua" w:hAnsi="Book Antiqua" w:cs="Courier New"/>
          <w:color w:val="000000" w:themeColor="text1"/>
          <w:sz w:val="24"/>
          <w:szCs w:val="24"/>
          <w:lang w:val="en-US"/>
        </w:rPr>
        <w:t>goes</w:t>
      </w:r>
      <w:r w:rsidR="00647551" w:rsidRPr="00CC34A3">
        <w:rPr>
          <w:rFonts w:ascii="Book Antiqua" w:hAnsi="Book Antiqua" w:cs="Courier New"/>
          <w:color w:val="000000" w:themeColor="text1"/>
          <w:sz w:val="24"/>
          <w:szCs w:val="24"/>
          <w:lang w:val="en-US"/>
        </w:rPr>
        <w:t xml:space="preserve"> in different systems and species. This was also demonstrated using both L-NAME and L-arginine as individual agents or in combination</w:t>
      </w:r>
      <w:r w:rsidR="00647551" w:rsidRPr="00CC34A3">
        <w:rPr>
          <w:rFonts w:ascii="Book Antiqua" w:eastAsia="Calibri" w:hAnsi="Book Antiqua" w:cs="Courier New"/>
          <w:color w:val="000000" w:themeColor="text1"/>
          <w:sz w:val="24"/>
          <w:szCs w:val="24"/>
          <w:lang w:val="en-US"/>
        </w:rPr>
        <w:fldChar w:fldCharType="begin" w:fldLock="1"/>
      </w:r>
      <w:r w:rsidR="00647551" w:rsidRPr="00CC34A3">
        <w:rPr>
          <w:rFonts w:ascii="Book Antiqua" w:eastAsia="Calibri" w:hAnsi="Book Antiqua" w:cs="Courier New"/>
          <w:color w:val="000000" w:themeColor="text1"/>
          <w:sz w:val="24"/>
          <w:szCs w:val="24"/>
          <w:lang w:val="en-US"/>
        </w:rPr>
        <w:instrText>ADDIN CSL_CITATION { "citationItems" : [ { "id" : "ITEM-1", "itemData" : { "DOI" : "10.2174/1381612823666170220163219", "ISSN" : "13816128", "PMID" : "28228068", "abstract" : "Selye's syndrome produced by diverse nocuous agents and ``response to damage as such{''} means Selye's stress triad in stress coping response to reestablish homeostasis. Logically, from the gastrointestinal tract viewpoint, such organoprotective/healing response implies the angiogenic growth factors that commonly signify the healing. Thereby, the gastric pentadecapeptide BPC 157-organoprotection (huge range of beneficial effects) signifies the Selye's stress concept/stress coping response implemented in and from gastrointestinal tract, and BPC 157 as an integrative mediator that integrates the adaptive bodily response to stress. In clinical trials without side effects, LD1 not achieved, BPC 157 healing in gastrointestinal tract, and particularly the healing of the extra-gastrointestinal tissues (i.e., skin/tendon/ligament/muscle/bone; nerve; cornea/brain) were referred throughout its integrative capabilities (i.e., ulcerative colitis/multiple sclerosis model equally counteracted), native in gastrointestinal tract, stability in human gastric juice (and thereby, strong efficacy and applicability), its relevance for dopamine-system function (and thereby, counteracting effects of dopamine-system dysfunction and over-function, centrally and peripherally (mucosa maintenance); interaction with serotonin- and GABA-system)), afforded cytoprotection/adaptive cytoprotection/organoprotection (and thereby, beneficial effects on gastric and whole intestinal tract lesions and adaptation, wounds and fistulas healing, blood vessels, somatosensory neurons, NSAIDs-side effects (including also pancreas, liver, brain lesions, and blood disturbances, prolonged bleeding, thrombocytopenia, thrombosis)). Further, we combine such gut-brain axis and the NO-system where BPC 157 counteracts complications of either L-NAME application (i.e., various lesions aggravation, hypertension) or L-arginine application (i.e., hypotension, prolonged bleeding, thrombocytopenia). Also, BPC 157 particularly affects genes functions (i.e., Fos, c-Jun, Egr-1), all together suggestive for an indicative generalization. Thus, we could suggest gastric pentadecapeptide BPC 157 and BPC 157 induced-organoprotection as integrative mediator that integrates the adaptive bodily response to stress, and thereby practically applied in further therapy and in effective realization of Selye's stress response.",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"Drmic", "given" : "Domagoj", "non-dropping-particle" : "", "parse-names" : false, "suffix" : "" }, { "dropping-particle" : "", "family" : "Stupnisek", "given" : "Mirjana", "non-dropping-particle" : "", "parse-names" : false, "suffix" : "" }, { "dropping-particle" : "", "family" : "Kokot", "given" : "Antonio", "non-dropping-particle" : "", "parse-names" : false, "suffix" : "" }, { "dropping-particle" : "", "family" : "Sever", "given" : "Marko", "non-dropping-particle" : "", "parse-names" : false, "suffix" : "" }, { "dropping-particle" : "", "family" : "Zoricic", "given" : "Ivan", "non-dropping-particle" : "", "parse-names" : false, "suffix" : "" }, { "dropping-particle" : "", "family" : "Zoricic", "given" : "Zoran", "non-dropping-particle" : "", "parse-names" : false, "suffix" : "" }, { "dropping-particle" : "", "family" : "Batelja", "given" : "Lovorka", "non-dropping-particle" : "", "parse-names" : false, "suffix" : "" }, { "dropping-particle" : "", "family" : "Ziger", "given" : "Tihomil", "non-dropping-particle" : "", "parse-names" : false, "suffix" : "" }, { "dropping-particle" : "", "family" : "Luetic", "given" : "Kresimir", "non-dropping-particle" : "", "parse-names" : false, "suffix" : "" }, { "dropping-particle" : "", "family" : "Vlainic", "given" : "Josipa", "non-dropping-particle" : "", "parse-names" : false, "suffix" : "" }, { "dropping-particle" : "", "family" : "Rasic", "given" : "Zarko", "non-dropping-particle" : "", "parse-names" : false, "suffix" : "" }, { "dropping-particle" : "", "family" : "Bencic", "given" : "Martina Lovric", "non-dropping-particle" : "", "parse-names" : false, "suffix" : "" } ], "container-title" : "Current Pharmaceutical Design", "id" : "ITEM-1", "issue" : "27", "issued" : { "date-parts" : [ [ "2017" ] ] }, "page" : "4012-4028", "title" : "Stress in Gastrointestinal Tract and Stable Gastric Pentadecapeptide BPC 157. Finally, do we have a Solution?", "type" : "article-journal", "volume" : "23" }, "uris" : [ "http://www.mendeley.com/documents/?uuid=15899097-6542-32aa-acf2-ef932af08516" ] }, { "id" : "ITEM-2", "itemData" : { "ISSN" : "1875-6190", "PMID" : "27138887", "abstract" : "BACKGROUND Brain-gut interaction involves, among others, peptidergic growth factors which are native in GI tract and have strong antiulcer potency and thus could from periphery beneficially affect CNS-disorders. We focused on the stable gastric pentadecapeptide BPC 157, an antiulcer peptidergic agent, safe in inflammatory bowel disease trials and now in multiple sclerosis trial, native and stable in human gastric juice. METHODS Review of our research on BPC 157 in terms of brain-gut axis. RESULTS BPC 157 may serve as a novel mediator of Robert's cytoprotection, involved in maintaining of GI mucosa integrity, with no toxic effect. BPC 157 was successful in the therapy of GI tract, periodontitis, liver and pancreas lesions, and in the healing of various tissues and wounds. Stimulated Egr-1 gene, NAB2, FAK-paxillin and JAK-2 pathways are hitherto implicated. Initially corresponding beneficial central influence was seen when BPC 157 was given peripherally and a serotonin release in particular brain areas, mostly nigrostriatal, was changed. BPC 157 modulates serotonergic and dopaminergic systems, beneficially affects various behavioral disturbances that otherwise appeared due to specifically (over)stimulated/damaged neurotransmitters systems. Besides, BPC 157 has neuroprotective effects: protects somatosensory neurons; peripheral nerve regeneration appearent after transection; after traumatic brain injury counteracts the otherwise progressing course, in rat spinal cord compression with tail paralysis, axonal and neuronal necrosis, demyelination, cyst formation and rescues tail function in both short-terms and long-terms; after NSAIDs or insulin overdose or cuprizone encephalopathies were attenuated along with GI, liver and vascular injuries. CONCLUSION BPC 157, a gastric peptide, may serve as remedy in various CNS-disorders.",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"Kolenc", "given" : "Danijela", "non-dropping-particle" : "", "parse-names" : false, "suffix" : "" }, { "dropping-particle" : "", "family" : "Vuletic", "given" : "Lovorka Batelja", "non-dropping-particle" : "", "parse-names" : false, "suffix" : "" }, { "dropping-particle" : "", "family" : "Drmic", "given" : "Domagoj", "non-dropping-particle" : "", "parse-names" : false, "suffix" : "" }, { "dropping-particle" : "", "family" : "Grgic", "given" : "Tihomir", "non-dropping-particle" : "", "parse-names" : false, "suffix" : "" }, { "dropping-particle" : "", "family" : "Strbe", "given" : "Sanja", "non-dropping-particle" : "", "parse-names" : false, "suffix" : "" }, { "dropping-particle" : "", "family" : "Zukanovic", "given" : "Goran", "non-dropping-particle" : "", "parse-names" : false, "suffix" : "" }, { "dropping-particle" : "", "family" : "Crvenkovic", "given" : "Dalibor", "non-dropping-particle" : "", "parse-names" : false, "suffix" : "" }, { "dropping-particle" : "", "family" : "Madzarac", "given" : "Goran", "non-dropping-particle" : "", "parse-names" : false, "suffix" : "" }, { "dropping-particle" : "", "family" : "Rukavina", "given" : "Iva", "non-dropping-particle" : "", "parse-names" : false, "suffix" : "" }, { "dropping-particle" : "", "family" : "Sucic", "given" : "Mario", "non-dropping-particle" : "", "parse-names" : false, "suffix" : "" }, { "dropping-particle" : "", "family" : "Baric", "given" : "Marko", "non-dropping-particle" : "", "parse-names" : false, "suffix" : "" }, { "dropping-particle" : "", "family" : "Starcevic", "given" : "Neven", "non-dropping-particle" : "", "parse-names" : false, "suffix" : "" }, { "dropping-particle" : "", "family" : "Krstonijevic", "given" : "Zoran", "non-dropping-particle" : "", "parse-names" : false, "suffix" : "" }, { "dropping-particle" : "", "family" : "Bencic", "given" : "Martina Lovric", "non-dropping-particle" : "", "parse-names" : false, "suffix" : "" }, { "dropping-particle" : "", "family" : "Filipcic", "given" : "Igor", "non-dropping-particle" : "", "parse-names" : false, "suffix" : "" }, { "dropping-particle" : "", "family" : "Rokotov", "given" : "Dinko Stancic", "non-dropping-particle" : "", "parse-names" : false, "suffix" : "" }, { "dropping-particle" : "", "family" : "Vlainic", "given" : "Josipa", "non-dropping-particle" : "", "parse-names" : false, "suffix" : "" } ], "container-title" : "Current neuropharmacology", "id" : "ITEM-2", "issue" : "8", "issued" : { "date-parts" : [ [ "2016" ] ] }, "page" : "857-865", "title" : "Brain-gut Axis and Pentadecapeptide BPC 157: Theoretical and Practical Implications.", "type" : "article-journal", "volume" : "14" }, "uris" : [ "http://www.mendeley.com/documents/?uuid=9b2831b1-d3dd-4080-846d-5f4f7ead3113" ] }, { "id" : "ITEM-3", "itemData" : { "ISSN" : "1873-4286", "PMID" : "23782145", "abstract" : "This review focuses on the described effects of BPC 157 on blood vessels after different types of damage, and elucidate by investigating different aspects of vascular response to injury (endothelium damage, clotting, thrombosis, vasoconstriction, vasodilatation, vasculoneogenesis and edema formation) especially in connection to the healing processes. In this respect, BPC 157 was concluded to be the most potent angiomodulatory agent, acting through different vasoactive pathways and systems (e.g. NO, VEGF, FAK) and leading to optimization of the vascular response followed, as it has to be expected, by optimization of the healing process. Formation of new blood vessels involves two main, partly overlapping mechanisms, angiogenesis and vasculogenesis. The additional mechanism of arteriogenesis is involved in the formation of collaterals. In conjunction with blood vessel function, we at least have to consider leakage of fluid/proteins/plasma, resulting in edema/exudate formation as well as thrombogenesis. Blood vessels are also strongly involved in tumor biology. In this aspect, we have neoangiogenesis resulting in pathological vascularization, vascular invasion resulting in release of metastatic cells and the phenomenon of homing resulting in formation of secondary tumors--metastases.", "author" : [ { "dropping-particle" : "", "family" : "Seiwerth", "given" : "Sven", "non-dropping-particle" : "", "parse-names" : false, "suffix" : "" }, { "dropping-particle" : "", "family" : "Brcic", "given" : "Luka", "non-dropping-particle" : "", "parse-names" : false, "suffix" : "" }, { "dropping-particle" : "", "family" : "Vuletic", "given" : "Lovorka Batelja",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"Misic", "given" : "Marija", "non-dropping-particle" : "", "parse-names" : false, "suffix" : "" }, { "dropping-particle" : "", "family" : "Zenko", "given" : "Anita", "non-dropping-particle" : "", "parse-names" : false, "suffix" : "" }, { "dropping-particle" : "", "family" : "Drmic", "given" : "Domagoj", "non-dropping-particle" : "", "parse-names" : false, "suffix" : "" }, { "dropping-particle" : "", "family" : "Rucman", "given" : "Rudolf", "non-dropping-particle" : "", "parse-names" : false, "suffix" : "" }, { "dropping-particle" : "", "family" : "Sikiric", "given" : "Predrag", "non-dropping-particle" : "", "parse-names" : false, "suffix" : "" } ], "container-title" : "Current pharmaceutical design", "id" : "ITEM-3", "issue" : "7", "issued" : { "date-parts" : [ [ "2014" ] ] }, "page" : "1121-5", "title" : "BPC 157 and blood vessels.", "type" : "article-journal", "volume" : "20" }, "uris" : [ "http://www.mendeley.com/documents/?uuid=5f0ff73a-1c13-4e9f-9921-366eef3ba469" ] }, { "id" : "ITEM-4", "itemData" : { "ISSN" : "1873-4286", "PMID" : "23755725", "abstract" : "We reviewed stable gastric pentadecapeptide BPC 157-NO-system-relation, its close participation in Moncada's (maintained vascular integrity, platelets control) homeostatic healing response of NO-system to injury. Namely, BPC 157's particular healing effect also affects all events after vascular integrity loss (dependent on circumstances, it reduces either thrombosis (abdominal aorta anastomosis) or bleeding/thrombocytopenia (amputation, heparin, warfarin, aspirin)) and in a series of different injurious models, acute and chronic, BPC 157 consistently advances healing after severe injuries in various tissues spontaneously unable to heal; stimulates egr-1 and naB2 genes; exhibits high safety (LD1 not achieved)). Hypothesis, that BPC 157 (since formed constitutively in the gastric mucosa, stable in human gastric juice, along with significance of NO-synthase and the basal formation of NO in stomach mucosa, greater than that seen in other tissues) exhibits a general, effective competing both with L-arginine analogues (i. e., L-NAME) and L-arginine, and that this has some physiologic importance (NO-generation), later, practically supports its beneficial effects illustrating BPC 157 and NOsystem mutual (with L-NAME/L-arginine; alone and together) relations in (i) gastric mucosa and mucosal protection, following alcohol lesions, in cytoprotection course, NO-generation, and blood pressure regulation; (ii) alcohol acute/chronic intoxication, and withdrawal; (iii) cardiovascular disturbances, chronic heart failure, pulmonary hypertension, and arrhythmias; (iv) disturbances after hypokalemia and hyperkalemia, and potassium-cell membrane dysfunction; and finally, in (v) complex healing failure, proved by the fistulas healing, colocutaneous and esophagocutaneous. However, how this advantage of modulating NO-system (i. e., particular effect on eNOS gene), may be practically translated into an enhanced clinical performance remains to be determined.",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"Stupnisek", "given" : "Mirjana", "non-dropping-particle" : "", "parse-names" : false, "suffix" : "" }, { "dropping-particle" : "", "family" : "Suran", "given" : "Jelena", "non-dropping-particle" : "", "parse-names" : false, "suffix" : "" }, { "dropping-particle" : "", "family" : "Barisic", "given" : "Ivan",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"ITEM-4", "issue" : "7", "issued" : { "date-parts" : [ [ "2014" ] ] }, "page" : "1126-35", "title" : "Stable gastric pentadecapeptide BPC 157-NO-system relation.", "type" : "article-journal", "volume" : "20" }, "uris" : [ "http://www.mendeley.com/documents/?uuid=74ead48f-0c75-446a-a19b-49bb02b31992" ] }, { "id" : "ITEM-5", "itemData" : { "ISSN" : "1873-4286", "PMID" : "22950504", "abstract" : "Stable gastric pentadecapeptide BPC 157 is an anti-ulcer peptidergic agent, proven in clinical trials to be both safe in inflammatory bowel disease (PL-10, PLD-116, PL 14736) and wound healing, stable in human gastric juice, with no toxicity being reported. Recently, we claim that BPC 157 may be used as an antidote against NSAIDs. We focused on BPC 157 beneficial effects on stomach, duodenum, intestine, liver and brain injuries, adjuvant arthritis, pain, hyper/hypothermia, obstructive thrombus formation and thrombolysis, blood vessel function, counteraction of prolonged bleeding and thrombocytopenia after application of various anticoagulants and antiplatelet agents and wound healing improvement. The arguments for BPC 157 antidote activity (i.e., the role of BPC 157 in cytoprotection, being a novel mediator of Robert's cytoprotection and BPC 157 beneficial effects on NSAIDs mediated lesions in the gastrointestinal tract, liver and brain and finally, counteraction of aspirin-induced prolonged bleeding and thrombocytopenia) obviously have a counteracting effect on several established side-effects of NSAIDs use. The mentioned variety of the beneficial effects portrayed by BPC 157 may well be a foundation for establishing BPC 157 as a NSAIDs antidote since no other single agent has portrayed a similar array of effects. Unlike NSAIDs, a very high safety (no reported toxicity (LD1 could be not achieved)) profile is reported for BPC 157. Also, unlike the different dosage levels of aspirin, as a NSAIDs prototype, which differ by a factor of about ten, all these beneficial and counteracting effects of BPC 157 were obtained using the equipotent dosage (\u03bcg, ng/kg) in parenteral or peroral regimens.",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"Safic", "given" : "Hana", "non-dropping-particle" : "", "parse-names" : false, "suffix" : "" }, { "dropping-particle" : "", "family" : "Suran", "given" : "Jelena", "non-dropping-particle" : "", "parse-names" : false, "suffix" : "" }, { "dropping-particle" : "", "family" : "Rak", "given" : "Davor",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"ITEM-5", "issue" : "1", "issued" : { "date-parts" : [ [ "2013" ] ] }, "page" : "76-83", "title" : "Toxicity by NSAIDs. Counteraction by stable gastric pentadecapeptide BPC 157.", "type" : "article-journal", "volume" : "19" }, "uris" : [ "http://www.mendeley.com/documents/?uuid=b4d81bb8-a391-4622-abb3-23195e4a65ff" ] } ], "mendeley" : { "formattedCitation" : "&lt;sup&gt;[1\u20135]&lt;/sup&gt;", "plainTextFormattedCitation" : "[1\u20135]", "previouslyFormattedCitation" : "(Seiwerth et al., 2014; Sikiric et al., 2017, 2016, 2014, 2013)" }, "properties" : {  }, "schema" : "https://github.com/citation-style-language/schema/raw/master/csl-citation.json" }</w:instrText>
      </w:r>
      <w:r w:rsidR="00647551" w:rsidRPr="00CC34A3">
        <w:rPr>
          <w:rFonts w:ascii="Book Antiqua" w:eastAsia="Calibri" w:hAnsi="Book Antiqua" w:cs="Courier New"/>
          <w:color w:val="000000" w:themeColor="text1"/>
          <w:sz w:val="24"/>
          <w:szCs w:val="24"/>
          <w:lang w:val="en-US"/>
        </w:rPr>
        <w:fldChar w:fldCharType="separate"/>
      </w:r>
      <w:r w:rsidR="00647551" w:rsidRPr="00CC34A3">
        <w:rPr>
          <w:rFonts w:ascii="Book Antiqua" w:eastAsia="Calibri" w:hAnsi="Book Antiqua" w:cs="Courier New"/>
          <w:color w:val="000000" w:themeColor="text1"/>
          <w:sz w:val="24"/>
          <w:szCs w:val="24"/>
          <w:vertAlign w:val="superscript"/>
          <w:lang w:val="en-US"/>
        </w:rPr>
        <w:t>[1–5]</w:t>
      </w:r>
      <w:r w:rsidR="00647551" w:rsidRPr="00CC34A3">
        <w:rPr>
          <w:rFonts w:ascii="Book Antiqua" w:eastAsia="Calibri" w:hAnsi="Book Antiqua" w:cs="Courier New"/>
          <w:color w:val="000000" w:themeColor="text1"/>
          <w:sz w:val="24"/>
          <w:szCs w:val="24"/>
          <w:lang w:val="en-US"/>
        </w:rPr>
        <w:fldChar w:fldCharType="end"/>
      </w:r>
      <w:r w:rsidR="00647551" w:rsidRPr="00CC34A3">
        <w:rPr>
          <w:rFonts w:ascii="Book Antiqua" w:hAnsi="Book Antiqua" w:cs="Courier New"/>
          <w:color w:val="000000" w:themeColor="text1"/>
          <w:sz w:val="24"/>
          <w:szCs w:val="24"/>
          <w:lang w:val="en-US"/>
        </w:rPr>
        <w:t xml:space="preserve"> in </w:t>
      </w:r>
      <w:proofErr w:type="spellStart"/>
      <w:r w:rsidR="00647551" w:rsidRPr="00CC34A3">
        <w:rPr>
          <w:rFonts w:ascii="Book Antiqua" w:hAnsi="Book Antiqua" w:cs="Courier New"/>
          <w:color w:val="000000" w:themeColor="text1"/>
          <w:sz w:val="24"/>
          <w:szCs w:val="24"/>
          <w:lang w:val="en-US"/>
        </w:rPr>
        <w:t>cytoprotection</w:t>
      </w:r>
      <w:proofErr w:type="spellEnd"/>
      <w:r w:rsidR="00647551" w:rsidRPr="00CC34A3">
        <w:rPr>
          <w:rFonts w:ascii="Book Antiqua" w:hAnsi="Book Antiqua" w:cs="Courier New"/>
          <w:color w:val="000000" w:themeColor="text1"/>
          <w:sz w:val="24"/>
          <w:szCs w:val="24"/>
          <w:lang w:val="en-US"/>
        </w:rPr>
        <w:t xml:space="preserve"> studies. Furthermore, venous obstruction may be more damaging to the intestine than corresponding artery occlusions and rapidly induces mucosal lesions (</w:t>
      </w:r>
      <w:r w:rsidR="00647551" w:rsidRPr="00CC34A3">
        <w:rPr>
          <w:rFonts w:ascii="Book Antiqua" w:hAnsi="Book Antiqua" w:cs="Courier New"/>
          <w:i/>
          <w:color w:val="000000" w:themeColor="text1"/>
          <w:sz w:val="24"/>
          <w:szCs w:val="24"/>
          <w:lang w:val="en-US"/>
        </w:rPr>
        <w:t>i.e.</w:t>
      </w:r>
      <w:r w:rsidR="00647551" w:rsidRPr="00CC34A3">
        <w:rPr>
          <w:rFonts w:ascii="Book Antiqua" w:hAnsi="Book Antiqua" w:cs="Courier New"/>
          <w:color w:val="000000" w:themeColor="text1"/>
          <w:sz w:val="24"/>
          <w:szCs w:val="24"/>
          <w:lang w:val="en-US"/>
        </w:rPr>
        <w:t>, within 5 min in the case of the superior mesenteric vein)</w:t>
      </w:r>
      <w:r w:rsidR="00647551" w:rsidRPr="00CC34A3">
        <w:rPr>
          <w:rFonts w:ascii="Book Antiqua" w:eastAsia="Calibri" w:hAnsi="Book Antiqua" w:cs="Courier New"/>
          <w:color w:val="000000" w:themeColor="text1"/>
          <w:sz w:val="24"/>
          <w:szCs w:val="24"/>
          <w:lang w:val="en-US"/>
        </w:rPr>
        <w:fldChar w:fldCharType="begin" w:fldLock="1"/>
      </w:r>
      <w:r w:rsidR="00647551" w:rsidRPr="00CC34A3">
        <w:rPr>
          <w:rFonts w:ascii="Book Antiqua" w:eastAsia="Calibri" w:hAnsi="Book Antiqua" w:cs="Courier New"/>
          <w:color w:val="000000" w:themeColor="text1"/>
          <w:sz w:val="24"/>
          <w:szCs w:val="24"/>
          <w:lang w:val="en-US"/>
        </w:rPr>
        <w:instrText>ADDIN CSL_CITATION { "citationItems" : [ { "id" : "ITEM-1", "itemData" : { "ISSN" : "2219-2840", "PMID" : "19701970", "abstract" : "AIM To investigate the differences in injury patterns caused by arterial, venous or arteriovenous mesenteric occlusion. METHODS Male Wistar rats were separated equally into four groups. Occlusion was performed by clamping the superior mesenteric artery (A), the mesenteric vein (V) or both (AV) for 30 min, followed by 60 min of reperfusion. A control group received sham surgery only. Intestinal sections were examined for histological damage and serum tumor necrosis factor-alpha (TNF-alpha), endothelin-1 (ET-1), P-selectin, antithrombin III (ATIII) and soluble intracellular adhesion molecule-1 (ICAM-1) concentrations were measured. RESULTS All groups showed significant mucosal injury compared to controls. Furthermore, mucosal injury was significantly more severe in the V and AV groups compared to the A group (3.6 +/- 0.55, 3.4 +/- 0.55 and 2 +/- 0.71, respectively P = 0.01). ICAM-1 was similarly elevated in all groups, with no significant differences between the groups. P-selectin levels were significantly elevated in the V and AV groups but not the A group (1.4 +/- 0.5 ng/mL, 2.52 +/- 0.9 ng/mL and 0.02 +/- 0.01 ng/mL, respectively, P = 0.01) and ET-1 was significantly elevated in the A and V groups but not the AV group (0.32 +/- 0.04 pg/mL, 0.36 +/- 0.05 pg/mL and 0.29 +/- 0.03 pg/mL, respectively, P = 0.01) compared to sham controls. ATIII levels were markedly depleted in the V and AV groups, but not in the A group (29.1 +/- 5.2 pg/mL, 31.4 +/- 21.8 pg/mL and 55.8 +/- 35.6 pg/mL, respectively, P = 0.01), compared to controls. Serum TNF-alpha was significantly increased in all groups compared to sham controls (1.32 +/- 0.87 ng/mL, 1.79 +/- 0.20 ng/mL and 4.4 +/- 0.69 ng/mL, for groups A, V and AV, respectively, P = 0.01), with higher values in the AV group. CONCLUSION Different patterns of response to ischemia/reperfusion are associated with venous, arterial or arteriovenous occlusion. Venous and arteriovenous occlusion was associated with the most severe alterations.", "author" : [ { "dropping-particle" : "", "family" : "Guzm\u00e1n-de la Garza", "given" : "Francisco Javier", "non-dropping-particle" : "", "parse-names" : false, "suffix" : "" }, { "dropping-particle" : "", "family" : "C\u00e1mara-Lemarroy", "given" : "Carlos Rodrigo", "non-dropping-particle" : "", "parse-names" : false, "suffix" : "" }, { "dropping-particle" : "", "family" : "Alarc\u00f3n-Galv\u00e1n", "given" : "Gabriela", "non-dropping-particle" : "", "parse-names" : false, "suffix" : "" }, { "dropping-particle" : "", "family" : "Cordero-P\u00e9rez", "given" : "Paula", "non-dropping-particle" : "", "parse-names" : false, "suffix" : "" }, { "dropping-particle" : "", "family" : "Mu\u00f1oz-Espinosa", "given" : "Linda Elsa", "non-dropping-particle" : "", "parse-names" : false, "suffix" : "" }, { "dropping-particle" : "", "family" : "Fern\u00e1ndez-Garza", "given" : "Nancy Esthela", "non-dropping-particle" : "", "parse-names" : false, "suffix" : "" } ], "container-title" : "World journal of gastroenterology", "id" : "ITEM-1", "issue" : "31", "issued" : { "date-parts" : [ [ "2009", "8", "21" ] ] }, "page" : "3901-3907", "title" : "Different patterns of intestinal response to injury after arterial, venous or arteriovenous occlusion in rats.", "type" : "article-journal", "volume" : "15" }, "uris" : [ "http://www.mendeley.com/documents/?uuid=6d91dc79-71d1-4187-9646-4358c75978c5" ] } ], "mendeley" : { "formattedCitation" : "&lt;sup&gt;[26]&lt;/sup&gt;", "plainTextFormattedCitation" : "[26]", "previouslyFormattedCitation" : "(Guzm\u00e1n-de la Garza et al., 2009)" }, "properties" : {  }, "schema" : "https://github.com/citation-style-language/schema/raw/master/csl-citation.json" }</w:instrText>
      </w:r>
      <w:r w:rsidR="00647551" w:rsidRPr="00CC34A3">
        <w:rPr>
          <w:rFonts w:ascii="Book Antiqua" w:eastAsia="Calibri" w:hAnsi="Book Antiqua" w:cs="Courier New"/>
          <w:color w:val="000000" w:themeColor="text1"/>
          <w:sz w:val="24"/>
          <w:szCs w:val="24"/>
          <w:lang w:val="en-US"/>
        </w:rPr>
        <w:fldChar w:fldCharType="separate"/>
      </w:r>
      <w:r w:rsidR="00647551" w:rsidRPr="00CC34A3">
        <w:rPr>
          <w:rFonts w:ascii="Book Antiqua" w:eastAsia="Calibri" w:hAnsi="Book Antiqua" w:cs="Courier New"/>
          <w:color w:val="000000" w:themeColor="text1"/>
          <w:sz w:val="24"/>
          <w:szCs w:val="24"/>
          <w:vertAlign w:val="superscript"/>
          <w:lang w:val="en-US"/>
        </w:rPr>
        <w:t>[26]</w:t>
      </w:r>
      <w:r w:rsidR="00647551" w:rsidRPr="00CC34A3">
        <w:rPr>
          <w:rFonts w:ascii="Book Antiqua" w:eastAsia="Calibri" w:hAnsi="Book Antiqua" w:cs="Courier New"/>
          <w:color w:val="000000" w:themeColor="text1"/>
          <w:sz w:val="24"/>
          <w:szCs w:val="24"/>
          <w:lang w:val="en-US"/>
        </w:rPr>
        <w:fldChar w:fldCharType="end"/>
      </w:r>
      <w:r w:rsidR="00647551" w:rsidRPr="00CC34A3">
        <w:rPr>
          <w:rFonts w:ascii="Book Antiqua" w:hAnsi="Book Antiqua" w:cs="Courier New"/>
          <w:color w:val="000000" w:themeColor="text1"/>
          <w:sz w:val="24"/>
          <w:szCs w:val="24"/>
          <w:lang w:val="en-US"/>
        </w:rPr>
        <w:t>. Thus, bypassing one or more of the vascular obstructions and thereby achieving a therapeutic effect</w:t>
      </w:r>
      <w:r w:rsidR="00647551" w:rsidRPr="00CC34A3">
        <w:rPr>
          <w:rFonts w:ascii="Book Antiqua" w:eastAsia="Calibri" w:hAnsi="Book Antiqua" w:cs="Courier New"/>
          <w:color w:val="000000" w:themeColor="text1"/>
          <w:sz w:val="24"/>
          <w:szCs w:val="24"/>
          <w:lang w:val="en-US"/>
        </w:rPr>
        <w:fldChar w:fldCharType="begin" w:fldLock="1"/>
      </w:r>
      <w:r w:rsidR="00647551"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647551" w:rsidRPr="00CC34A3">
        <w:rPr>
          <w:rFonts w:ascii="Book Antiqua" w:eastAsia="Calibri" w:hAnsi="Book Antiqua" w:cs="Courier New"/>
          <w:color w:val="000000" w:themeColor="text1"/>
          <w:sz w:val="24"/>
          <w:szCs w:val="24"/>
          <w:lang w:val="en-US"/>
        </w:rPr>
        <w:fldChar w:fldCharType="separate"/>
      </w:r>
      <w:r w:rsidR="00647551" w:rsidRPr="00CC34A3">
        <w:rPr>
          <w:rFonts w:ascii="Book Antiqua" w:eastAsia="Calibri" w:hAnsi="Book Antiqua" w:cs="Courier New"/>
          <w:color w:val="000000" w:themeColor="text1"/>
          <w:sz w:val="24"/>
          <w:szCs w:val="24"/>
          <w:vertAlign w:val="superscript"/>
          <w:lang w:val="en-US"/>
        </w:rPr>
        <w:t>[15,16]</w:t>
      </w:r>
      <w:r w:rsidR="00647551" w:rsidRPr="00CC34A3">
        <w:rPr>
          <w:rFonts w:ascii="Book Antiqua" w:eastAsia="Calibri" w:hAnsi="Book Antiqua" w:cs="Courier New"/>
          <w:color w:val="000000" w:themeColor="text1"/>
          <w:sz w:val="24"/>
          <w:szCs w:val="24"/>
          <w:lang w:val="en-US"/>
        </w:rPr>
        <w:fldChar w:fldCharType="end"/>
      </w:r>
      <w:r w:rsidR="00647551" w:rsidRPr="00CC34A3">
        <w:rPr>
          <w:rFonts w:ascii="Book Antiqua" w:eastAsia="Calibri" w:hAnsi="Book Antiqua" w:cs="Courier New"/>
          <w:color w:val="000000" w:themeColor="text1"/>
          <w:sz w:val="24"/>
          <w:szCs w:val="24"/>
          <w:lang w:val="en-US"/>
        </w:rPr>
        <w:t xml:space="preserve"> appears, if </w:t>
      </w:r>
      <w:r w:rsidR="00647551" w:rsidRPr="00CC34A3">
        <w:rPr>
          <w:rFonts w:ascii="Book Antiqua" w:hAnsi="Book Antiqua" w:cs="Courier New"/>
          <w:color w:val="000000" w:themeColor="text1"/>
          <w:sz w:val="24"/>
          <w:szCs w:val="24"/>
          <w:lang w:val="en-US"/>
        </w:rPr>
        <w:t>BPC 157 rapidly activates collaterals due to its particular direct and rapid effect on vessel presentation. The main focus of the intervention was parallel with the findings in the colon and venous tissues</w:t>
      </w:r>
      <w:r w:rsidR="00647551" w:rsidRPr="00CC34A3">
        <w:rPr>
          <w:rFonts w:ascii="Book Antiqua" w:eastAsia="Calibri" w:hAnsi="Book Antiqua" w:cs="Courier New"/>
          <w:color w:val="000000" w:themeColor="text1"/>
          <w:sz w:val="24"/>
          <w:szCs w:val="24"/>
          <w:lang w:val="en-US"/>
        </w:rPr>
        <w:fldChar w:fldCharType="begin" w:fldLock="1"/>
      </w:r>
      <w:r w:rsidR="00647551"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647551" w:rsidRPr="00CC34A3">
        <w:rPr>
          <w:rFonts w:ascii="Book Antiqua" w:eastAsia="Calibri" w:hAnsi="Book Antiqua" w:cs="Courier New"/>
          <w:color w:val="000000" w:themeColor="text1"/>
          <w:sz w:val="24"/>
          <w:szCs w:val="24"/>
          <w:lang w:val="en-US"/>
        </w:rPr>
        <w:fldChar w:fldCharType="separate"/>
      </w:r>
      <w:r w:rsidR="00647551" w:rsidRPr="00CC34A3">
        <w:rPr>
          <w:rFonts w:ascii="Book Antiqua" w:eastAsia="Calibri" w:hAnsi="Book Antiqua" w:cs="Courier New"/>
          <w:color w:val="000000" w:themeColor="text1"/>
          <w:sz w:val="24"/>
          <w:szCs w:val="24"/>
          <w:vertAlign w:val="superscript"/>
          <w:lang w:val="en-US"/>
        </w:rPr>
        <w:t>[15,16]</w:t>
      </w:r>
      <w:r w:rsidR="00647551" w:rsidRPr="00CC34A3">
        <w:rPr>
          <w:rFonts w:ascii="Book Antiqua" w:eastAsia="Calibri" w:hAnsi="Book Antiqua" w:cs="Courier New"/>
          <w:color w:val="000000" w:themeColor="text1"/>
          <w:sz w:val="24"/>
          <w:szCs w:val="24"/>
          <w:lang w:val="en-US"/>
        </w:rPr>
        <w:fldChar w:fldCharType="end"/>
      </w:r>
      <w:r w:rsidR="00647551" w:rsidRPr="00CC34A3">
        <w:rPr>
          <w:rFonts w:ascii="Book Antiqua" w:eastAsia="Calibri" w:hAnsi="Book Antiqua" w:cs="Courier New"/>
          <w:color w:val="000000" w:themeColor="text1"/>
          <w:sz w:val="24"/>
          <w:szCs w:val="24"/>
          <w:lang w:val="en-US"/>
        </w:rPr>
        <w:t>.</w:t>
      </w:r>
      <w:r w:rsidR="00647551" w:rsidRPr="00CC34A3">
        <w:rPr>
          <w:rFonts w:ascii="Book Antiqua" w:hAnsi="Book Antiqua" w:cs="Courier New"/>
          <w:color w:val="000000" w:themeColor="text1"/>
          <w:sz w:val="24"/>
          <w:szCs w:val="24"/>
          <w:lang w:val="en-US"/>
        </w:rPr>
        <w:t xml:space="preserve"> Levels of oxidative stress </w:t>
      </w:r>
      <w:r w:rsidR="00D10AD9" w:rsidRPr="00CC34A3">
        <w:rPr>
          <w:rFonts w:ascii="Book Antiqua" w:hAnsi="Book Antiqua" w:cs="Courier New"/>
          <w:color w:val="000000" w:themeColor="text1"/>
          <w:sz w:val="24"/>
          <w:szCs w:val="24"/>
          <w:lang w:val="en-US"/>
        </w:rPr>
        <w:t>MDA</w:t>
      </w:r>
      <w:r w:rsidR="00647551" w:rsidRPr="00CC34A3">
        <w:rPr>
          <w:rFonts w:ascii="Book Antiqua" w:hAnsi="Book Antiqua" w:cs="Courier New"/>
          <w:color w:val="000000" w:themeColor="text1"/>
          <w:sz w:val="24"/>
          <w:szCs w:val="24"/>
          <w:lang w:val="en-US"/>
        </w:rPr>
        <w:t xml:space="preserve"> and NO were also assessed in duodenal tissue, and the results showed NO- and MDA- duodenal tissue levels and relative to the ligation cour</w:t>
      </w:r>
      <w:r w:rsidR="00321145" w:rsidRPr="00CC34A3">
        <w:rPr>
          <w:rFonts w:ascii="Book Antiqua" w:hAnsi="Book Antiqua" w:cs="Courier New"/>
          <w:color w:val="000000" w:themeColor="text1"/>
          <w:sz w:val="24"/>
          <w:szCs w:val="24"/>
          <w:lang w:val="en-US"/>
        </w:rPr>
        <w:t>se or therapeutic effects.</w:t>
      </w:r>
    </w:p>
    <w:p w14:paraId="0A925651" w14:textId="77777777" w:rsidR="00647551" w:rsidRPr="00CC34A3" w:rsidRDefault="00647551" w:rsidP="00CC34A3">
      <w:pPr>
        <w:adjustRightInd w:val="0"/>
        <w:snapToGrid w:val="0"/>
        <w:spacing w:after="0" w:line="360" w:lineRule="auto"/>
        <w:jc w:val="both"/>
        <w:rPr>
          <w:rFonts w:ascii="Book Antiqua" w:hAnsi="Book Antiqua" w:cs="Times New Roman"/>
          <w:color w:val="000000" w:themeColor="text1"/>
          <w:sz w:val="24"/>
          <w:szCs w:val="24"/>
          <w:lang w:val="en-US"/>
        </w:rPr>
      </w:pPr>
    </w:p>
    <w:p w14:paraId="38DD8028" w14:textId="0D794445" w:rsidR="002A7CCE" w:rsidRPr="00CC34A3" w:rsidRDefault="00006479" w:rsidP="00CC34A3">
      <w:pPr>
        <w:widowControl w:val="0"/>
        <w:autoSpaceDE w:val="0"/>
        <w:autoSpaceDN w:val="0"/>
        <w:adjustRightInd w:val="0"/>
        <w:snapToGrid w:val="0"/>
        <w:spacing w:after="0" w:line="360" w:lineRule="auto"/>
        <w:jc w:val="both"/>
        <w:outlineLvl w:val="0"/>
        <w:rPr>
          <w:rFonts w:ascii="Book Antiqua" w:hAnsi="Book Antiqua" w:cs="Times New Roman"/>
          <w:b/>
          <w:color w:val="000000" w:themeColor="text1"/>
          <w:sz w:val="24"/>
          <w:szCs w:val="24"/>
          <w:lang w:val="en-US"/>
        </w:rPr>
      </w:pPr>
      <w:r w:rsidRPr="00CC34A3">
        <w:rPr>
          <w:rFonts w:ascii="Book Antiqua" w:hAnsi="Book Antiqua" w:cs="Times New Roman"/>
          <w:b/>
          <w:color w:val="000000" w:themeColor="text1"/>
          <w:sz w:val="24"/>
          <w:szCs w:val="24"/>
          <w:lang w:val="en-US"/>
        </w:rPr>
        <w:t xml:space="preserve">MATERIALS AND METHODS </w:t>
      </w:r>
    </w:p>
    <w:p w14:paraId="6B169E8D" w14:textId="77777777" w:rsidR="002A7CCE" w:rsidRPr="00CC34A3" w:rsidRDefault="002A7CCE" w:rsidP="00CC34A3">
      <w:pPr>
        <w:autoSpaceDE w:val="0"/>
        <w:autoSpaceDN w:val="0"/>
        <w:adjustRightInd w:val="0"/>
        <w:snapToGrid w:val="0"/>
        <w:spacing w:after="0" w:line="360" w:lineRule="auto"/>
        <w:jc w:val="both"/>
        <w:outlineLvl w:val="0"/>
        <w:rPr>
          <w:rFonts w:ascii="Book Antiqua" w:hAnsi="Book Antiqua" w:cs="Times New Roman"/>
          <w:b/>
          <w:bCs/>
          <w:i/>
          <w:iCs/>
          <w:color w:val="000000" w:themeColor="text1"/>
          <w:sz w:val="24"/>
          <w:szCs w:val="24"/>
          <w:lang w:val="en-US"/>
        </w:rPr>
      </w:pPr>
      <w:r w:rsidRPr="00CC34A3">
        <w:rPr>
          <w:rFonts w:ascii="Book Antiqua" w:hAnsi="Book Antiqua" w:cs="Times New Roman"/>
          <w:b/>
          <w:bCs/>
          <w:i/>
          <w:iCs/>
          <w:color w:val="000000" w:themeColor="text1"/>
          <w:sz w:val="24"/>
          <w:szCs w:val="24"/>
          <w:lang w:val="en-US"/>
        </w:rPr>
        <w:t>Animals</w:t>
      </w:r>
    </w:p>
    <w:p w14:paraId="212E87C3" w14:textId="77777777" w:rsidR="008D3907" w:rsidRPr="00CC34A3" w:rsidRDefault="008D3907" w:rsidP="00CC34A3">
      <w:pPr>
        <w:autoSpaceDE w:val="0"/>
        <w:autoSpaceDN w:val="0"/>
        <w:adjustRightInd w:val="0"/>
        <w:snapToGrid w:val="0"/>
        <w:spacing w:after="0" w:line="360" w:lineRule="auto"/>
        <w:jc w:val="both"/>
        <w:rPr>
          <w:rFonts w:ascii="Book Antiqua" w:hAnsi="Book Antiqua" w:cs="Courier New"/>
          <w:color w:val="000000" w:themeColor="text1"/>
          <w:sz w:val="24"/>
          <w:szCs w:val="24"/>
          <w:lang w:val="en-US"/>
        </w:rPr>
      </w:pPr>
      <w:r w:rsidRPr="00CC34A3">
        <w:rPr>
          <w:rFonts w:ascii="Book Antiqua" w:hAnsi="Book Antiqua" w:cs="Courier New"/>
          <w:color w:val="000000" w:themeColor="text1"/>
          <w:sz w:val="24"/>
          <w:szCs w:val="24"/>
          <w:lang w:val="en-US"/>
        </w:rPr>
        <w:t xml:space="preserve">We used male Albino Wistar rats, 200 g </w:t>
      </w:r>
      <w:proofErr w:type="spellStart"/>
      <w:r w:rsidRPr="00CC34A3">
        <w:rPr>
          <w:rFonts w:ascii="Book Antiqua" w:hAnsi="Book Antiqua" w:cs="Courier New"/>
          <w:color w:val="000000" w:themeColor="text1"/>
          <w:sz w:val="24"/>
          <w:szCs w:val="24"/>
          <w:lang w:val="en-US"/>
        </w:rPr>
        <w:t>b.w.</w:t>
      </w:r>
      <w:proofErr w:type="spellEnd"/>
      <w:r w:rsidRPr="00CC34A3">
        <w:rPr>
          <w:rFonts w:ascii="Book Antiqua" w:hAnsi="Book Antiqua" w:cs="Courier New"/>
          <w:color w:val="000000" w:themeColor="text1"/>
          <w:sz w:val="24"/>
          <w:szCs w:val="24"/>
          <w:lang w:val="en-US"/>
        </w:rPr>
        <w:t xml:space="preserve">, randomly assigned to groups with at least 7 rats per group. Local ethics committee approved all of the experiments. Rats had access to food and water ad libitum before the procedure and until the end of the </w:t>
      </w:r>
      <w:r w:rsidRPr="00CC34A3">
        <w:rPr>
          <w:rFonts w:ascii="Book Antiqua" w:hAnsi="Book Antiqua" w:cs="Courier New"/>
          <w:color w:val="000000" w:themeColor="text1"/>
          <w:sz w:val="24"/>
          <w:szCs w:val="24"/>
          <w:lang w:val="en-US"/>
        </w:rPr>
        <w:lastRenderedPageBreak/>
        <w:t>experiment. The surgical procedure was performed as well as the assessments were performed by a blinded observer.</w:t>
      </w:r>
    </w:p>
    <w:p w14:paraId="38A49E62" w14:textId="77777777" w:rsidR="008D3907" w:rsidRPr="00CC34A3" w:rsidRDefault="008D3907" w:rsidP="00CC34A3">
      <w:pPr>
        <w:autoSpaceDE w:val="0"/>
        <w:autoSpaceDN w:val="0"/>
        <w:adjustRightInd w:val="0"/>
        <w:snapToGrid w:val="0"/>
        <w:spacing w:after="0" w:line="360" w:lineRule="auto"/>
        <w:jc w:val="both"/>
        <w:rPr>
          <w:rFonts w:ascii="Book Antiqua" w:hAnsi="Book Antiqua" w:cs="Times New Roman"/>
          <w:strike/>
          <w:color w:val="000000" w:themeColor="text1"/>
          <w:sz w:val="24"/>
          <w:szCs w:val="24"/>
          <w:lang w:val="en-US"/>
        </w:rPr>
      </w:pPr>
    </w:p>
    <w:p w14:paraId="49465007" w14:textId="77777777" w:rsidR="002A7CCE" w:rsidRPr="00CC34A3" w:rsidRDefault="002A7CCE" w:rsidP="00CC34A3">
      <w:pPr>
        <w:autoSpaceDE w:val="0"/>
        <w:autoSpaceDN w:val="0"/>
        <w:adjustRightInd w:val="0"/>
        <w:snapToGrid w:val="0"/>
        <w:spacing w:after="0" w:line="360" w:lineRule="auto"/>
        <w:jc w:val="both"/>
        <w:outlineLvl w:val="0"/>
        <w:rPr>
          <w:rFonts w:ascii="Book Antiqua" w:hAnsi="Book Antiqua" w:cs="Times New Roman"/>
          <w:b/>
          <w:bCs/>
          <w:i/>
          <w:iCs/>
          <w:color w:val="000000" w:themeColor="text1"/>
          <w:sz w:val="24"/>
          <w:szCs w:val="24"/>
          <w:lang w:val="en-US"/>
        </w:rPr>
      </w:pPr>
      <w:r w:rsidRPr="00CC34A3">
        <w:rPr>
          <w:rFonts w:ascii="Book Antiqua" w:hAnsi="Book Antiqua" w:cs="Times New Roman"/>
          <w:b/>
          <w:bCs/>
          <w:i/>
          <w:iCs/>
          <w:color w:val="000000" w:themeColor="text1"/>
          <w:sz w:val="24"/>
          <w:szCs w:val="24"/>
          <w:lang w:val="en-US"/>
        </w:rPr>
        <w:t>Drugs</w:t>
      </w:r>
    </w:p>
    <w:p w14:paraId="7B56EB3A" w14:textId="5223A155" w:rsidR="00B13ED8" w:rsidRPr="00CC34A3" w:rsidRDefault="00B13ED8" w:rsidP="00CC34A3">
      <w:pPr>
        <w:pStyle w:val="title10"/>
        <w:adjustRightInd w:val="0"/>
        <w:snapToGrid w:val="0"/>
        <w:spacing w:line="360" w:lineRule="auto"/>
        <w:jc w:val="both"/>
        <w:rPr>
          <w:rFonts w:ascii="Book Antiqua" w:hAnsi="Book Antiqua" w:cs="Courier New"/>
          <w:color w:val="000000" w:themeColor="text1"/>
          <w:sz w:val="24"/>
          <w:szCs w:val="24"/>
          <w:lang w:val="en-US"/>
        </w:rPr>
      </w:pPr>
      <w:r w:rsidRPr="00CC34A3">
        <w:rPr>
          <w:rFonts w:ascii="Book Antiqua" w:hAnsi="Book Antiqua" w:cs="Courier New"/>
          <w:color w:val="000000" w:themeColor="text1"/>
          <w:sz w:val="24"/>
          <w:szCs w:val="24"/>
          <w:lang w:val="en-US"/>
        </w:rPr>
        <w:t xml:space="preserve">We used the </w:t>
      </w:r>
      <w:proofErr w:type="spellStart"/>
      <w:r w:rsidRPr="00CC34A3">
        <w:rPr>
          <w:rFonts w:ascii="Book Antiqua" w:hAnsi="Book Antiqua" w:cs="Courier New"/>
          <w:color w:val="000000" w:themeColor="text1"/>
          <w:sz w:val="24"/>
          <w:szCs w:val="24"/>
          <w:lang w:val="en-US"/>
        </w:rPr>
        <w:t>pentadecapeptide</w:t>
      </w:r>
      <w:proofErr w:type="spellEnd"/>
      <w:r w:rsidRPr="00CC34A3">
        <w:rPr>
          <w:rFonts w:ascii="Book Antiqua" w:hAnsi="Book Antiqua" w:cs="Courier New"/>
          <w:color w:val="000000" w:themeColor="text1"/>
          <w:sz w:val="24"/>
          <w:szCs w:val="24"/>
          <w:lang w:val="en-US"/>
        </w:rPr>
        <w:t xml:space="preserve"> </w:t>
      </w:r>
      <w:proofErr w:type="spellStart"/>
      <w:r w:rsidRPr="00CC34A3">
        <w:rPr>
          <w:rFonts w:ascii="Book Antiqua" w:hAnsi="Book Antiqua" w:cs="Courier New"/>
          <w:color w:val="000000" w:themeColor="text1"/>
          <w:sz w:val="24"/>
          <w:szCs w:val="24"/>
          <w:lang w:val="en-US"/>
        </w:rPr>
        <w:t>Gly</w:t>
      </w:r>
      <w:proofErr w:type="spellEnd"/>
      <w:r w:rsidRPr="00CC34A3">
        <w:rPr>
          <w:rFonts w:ascii="Book Antiqua" w:hAnsi="Book Antiqua" w:cs="Courier New"/>
          <w:color w:val="000000" w:themeColor="text1"/>
          <w:sz w:val="24"/>
          <w:szCs w:val="24"/>
          <w:lang w:val="en-US"/>
        </w:rPr>
        <w:t>-Glu-Pro-Pro-Pro-</w:t>
      </w:r>
      <w:proofErr w:type="spellStart"/>
      <w:r w:rsidRPr="00CC34A3">
        <w:rPr>
          <w:rFonts w:ascii="Book Antiqua" w:hAnsi="Book Antiqua" w:cs="Courier New"/>
          <w:color w:val="000000" w:themeColor="text1"/>
          <w:sz w:val="24"/>
          <w:szCs w:val="24"/>
          <w:lang w:val="en-US"/>
        </w:rPr>
        <w:t>Gly</w:t>
      </w:r>
      <w:proofErr w:type="spellEnd"/>
      <w:r w:rsidRPr="00CC34A3">
        <w:rPr>
          <w:rFonts w:ascii="Book Antiqua" w:hAnsi="Book Antiqua" w:cs="Courier New"/>
          <w:color w:val="000000" w:themeColor="text1"/>
          <w:sz w:val="24"/>
          <w:szCs w:val="24"/>
          <w:lang w:val="en-US"/>
        </w:rPr>
        <w:t>-Lys-Pro-Ala-Asp</w:t>
      </w:r>
      <w:r w:rsidR="00321145" w:rsidRPr="00CC34A3">
        <w:rPr>
          <w:rFonts w:ascii="Book Antiqua" w:hAnsi="Book Antiqua" w:cs="Courier New"/>
          <w:color w:val="000000" w:themeColor="text1"/>
          <w:sz w:val="24"/>
          <w:szCs w:val="24"/>
          <w:lang w:val="en-US"/>
        </w:rPr>
        <w:t>-Asp-Ala-</w:t>
      </w:r>
      <w:proofErr w:type="spellStart"/>
      <w:r w:rsidR="00321145" w:rsidRPr="00CC34A3">
        <w:rPr>
          <w:rFonts w:ascii="Book Antiqua" w:hAnsi="Book Antiqua" w:cs="Courier New"/>
          <w:color w:val="000000" w:themeColor="text1"/>
          <w:sz w:val="24"/>
          <w:szCs w:val="24"/>
          <w:lang w:val="en-US"/>
        </w:rPr>
        <w:t>Gly</w:t>
      </w:r>
      <w:proofErr w:type="spellEnd"/>
      <w:r w:rsidR="00321145" w:rsidRPr="00CC34A3">
        <w:rPr>
          <w:rFonts w:ascii="Book Antiqua" w:hAnsi="Book Antiqua" w:cs="Courier New"/>
          <w:color w:val="000000" w:themeColor="text1"/>
          <w:sz w:val="24"/>
          <w:szCs w:val="24"/>
          <w:lang w:val="en-US"/>
        </w:rPr>
        <w:t>-Leu-Val, M.W. 1</w:t>
      </w:r>
      <w:r w:rsidRPr="00CC34A3">
        <w:rPr>
          <w:rFonts w:ascii="Book Antiqua" w:hAnsi="Book Antiqua" w:cs="Courier New"/>
          <w:color w:val="000000" w:themeColor="text1"/>
          <w:sz w:val="24"/>
          <w:szCs w:val="24"/>
          <w:lang w:val="en-US"/>
        </w:rPr>
        <w:t>419, named BPC 157 (</w:t>
      </w:r>
      <w:proofErr w:type="spellStart"/>
      <w:r w:rsidRPr="00CC34A3">
        <w:rPr>
          <w:rFonts w:ascii="Book Antiqua" w:hAnsi="Book Antiqua" w:cs="Courier New"/>
          <w:color w:val="000000" w:themeColor="text1"/>
          <w:sz w:val="24"/>
          <w:szCs w:val="24"/>
          <w:lang w:val="en-US"/>
        </w:rPr>
        <w:t>Diagen</w:t>
      </w:r>
      <w:proofErr w:type="spellEnd"/>
      <w:r w:rsidRPr="00CC34A3">
        <w:rPr>
          <w:rFonts w:ascii="Book Antiqua" w:hAnsi="Book Antiqua" w:cs="Courier New"/>
          <w:color w:val="000000" w:themeColor="text1"/>
          <w:sz w:val="24"/>
          <w:szCs w:val="24"/>
          <w:lang w:val="en-US"/>
        </w:rPr>
        <w:t xml:space="preserve">, Ljubljana, Slovenia), freely soluble in water at </w:t>
      </w:r>
      <w:r w:rsidR="00773972" w:rsidRPr="00CC34A3">
        <w:rPr>
          <w:rFonts w:ascii="Book Antiqua" w:hAnsi="Book Antiqua" w:cs="Courier New"/>
          <w:color w:val="000000" w:themeColor="text1"/>
          <w:sz w:val="24"/>
          <w:szCs w:val="24"/>
          <w:lang w:val="en-US"/>
        </w:rPr>
        <w:t xml:space="preserve">pH 7.0 and in saline, prepared </w:t>
      </w:r>
      <w:r w:rsidRPr="00CC34A3">
        <w:rPr>
          <w:rFonts w:ascii="Book Antiqua" w:hAnsi="Book Antiqua" w:cs="Courier New"/>
          <w:color w:val="000000" w:themeColor="text1"/>
          <w:sz w:val="24"/>
          <w:szCs w:val="24"/>
          <w:lang w:val="en-US"/>
        </w:rPr>
        <w:t>as previously described</w:t>
      </w:r>
      <w:r w:rsidRPr="00CC34A3">
        <w:rPr>
          <w:rFonts w:ascii="Book Antiqua" w:eastAsia="Calibri" w:hAnsi="Book Antiqua" w:cs="Courier New"/>
          <w:color w:val="000000" w:themeColor="text1"/>
          <w:sz w:val="24"/>
          <w:szCs w:val="24"/>
          <w:lang w:val="en-US" w:eastAsia="en-US"/>
        </w:rPr>
        <w:fldChar w:fldCharType="begin" w:fldLock="1"/>
      </w:r>
      <w:r w:rsidRPr="00CC34A3">
        <w:rPr>
          <w:rFonts w:ascii="Book Antiqua" w:eastAsia="Calibri" w:hAnsi="Book Antiqua" w:cs="Courier New"/>
          <w:color w:val="000000" w:themeColor="text1"/>
          <w:sz w:val="24"/>
          <w:szCs w:val="24"/>
          <w:lang w:val="en-US" w:eastAsia="en-US"/>
        </w:rPr>
        <w:instrText>ADDIN CSL_CITATION { "citationItems" : [ { "id" : "ITEM-1", "itemData" : { "DOI" : "10.2174/1381612823666170220163219", "ISSN" : "13816128", "PMID" : "28228068", "abstract" : "Selye's syndrome produced by diverse nocuous agents and ``response to damage as such{''} means Selye's stress triad in stress coping response to reestablish homeostasis. Logically, from the gastrointestinal tract viewpoint, such organoprotective/healing response implies the angiogenic growth factors that commonly signify the healing. Thereby, the gastric pentadecapeptide BPC 157-organoprotection (huge range of beneficial effects) signifies the Selye's stress concept/stress coping response implemented in and from gastrointestinal tract, and BPC 157 as an integrative mediator that integrates the adaptive bodily response to stress. In clinical trials without side effects, LD1 not achieved, BPC 157 healing in gastrointestinal tract, and particularly the healing of the extra-gastrointestinal tissues (i.e., skin/tendon/ligament/muscle/bone; nerve; cornea/brain) were referred throughout its integrative capabilities (i.e., ulcerative colitis/multiple sclerosis model equally counteracted), native in gastrointestinal tract, stability in human gastric juice (and thereby, strong efficacy and applicability), its relevance for dopamine-system function (and thereby, counteracting effects of dopamine-system dysfunction and over-function, centrally and peripherally (mucosa maintenance); interaction with serotonin- and GABA-system)), afforded cytoprotection/adaptive cytoprotection/organoprotection (and thereby, beneficial effects on gastric and whole intestinal tract lesions and adaptation, wounds and fistulas healing, blood vessels, somatosensory neurons, NSAIDs-side effects (including also pancreas, liver, brain lesions, and blood disturbances, prolonged bleeding, thrombocytopenia, thrombosis)). Further, we combine such gut-brain axis and the NO-system where BPC 157 counteracts complications of either L-NAME application (i.e., various lesions aggravation, hypertension) or L-arginine application (i.e., hypotension, prolonged bleeding, thrombocytopenia). Also, BPC 157 particularly affects genes functions (i.e., Fos, c-Jun, Egr-1), all together suggestive for an indicative generalization. Thus, we could suggest gastric pentadecapeptide BPC 157 and BPC 157 induced-organoprotection as integrative mediator that integrates the adaptive bodily response to stress, and thereby practically applied in further therapy and in effective realization of Selye's stress response.",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"Drmic", "given" : "Domagoj", "non-dropping-particle" : "", "parse-names" : false, "suffix" : "" }, { "dropping-particle" : "", "family" : "Stupnisek", "given" : "Mirjana", "non-dropping-particle" : "", "parse-names" : false, "suffix" : "" }, { "dropping-particle" : "", "family" : "Kokot", "given" : "Antonio", "non-dropping-particle" : "", "parse-names" : false, "suffix" : "" }, { "dropping-particle" : "", "family" : "Sever", "given" : "Marko", "non-dropping-particle" : "", "parse-names" : false, "suffix" : "" }, { "dropping-particle" : "", "family" : "Zoricic", "given" : "Ivan", "non-dropping-particle" : "", "parse-names" : false, "suffix" : "" }, { "dropping-particle" : "", "family" : "Zoricic", "given" : "Zoran", "non-dropping-particle" : "", "parse-names" : false, "suffix" : "" }, { "dropping-particle" : "", "family" : "Batelja", "given" : "Lovorka", "non-dropping-particle" : "", "parse-names" : false, "suffix" : "" }, { "dropping-particle" : "", "family" : "Ziger", "given" : "Tihomil", "non-dropping-particle" : "", "parse-names" : false, "suffix" : "" }, { "dropping-particle" : "", "family" : "Luetic", "given" : "Kresimir", "non-dropping-particle" : "", "parse-names" : false, "suffix" : "" }, { "dropping-particle" : "", "family" : "Vlainic", "given" : "Josipa", "non-dropping-particle" : "", "parse-names" : false, "suffix" : "" }, { "dropping-particle" : "", "family" : "Rasic", "given" : "Zarko", "non-dropping-particle" : "", "parse-names" : false, "suffix" : "" }, { "dropping-particle" : "", "family" : "Bencic", "given" : "Martina Lovric", "non-dropping-particle" : "", "parse-names" : false, "suffix" : "" } ], "container-title" : "Current Pharmaceutical Design", "id" : "ITEM-1", "issue" : "27", "issued" : { "date-parts" : [ [ "2017" ] ] }, "page" : "4012-4028", "title" : "Stress in Gastrointestinal Tract and Stable Gastric Pentadecapeptide BPC 157. Finally, do we have a Solution?", "type" : "article-journal", "volume" : "23" }, "uris" : [ "http://www.mendeley.com/documents/?uuid=15899097-6542-32aa-acf2-ef932af08516" ] }, { "id" : "ITEM-2", "itemData" : { "ISSN" : "1875-6190", "PMID" : "27138887", "abstract" : "BACKGROUND Brain-gut interaction involves, among others, peptidergic growth factors which are native in GI tract and have strong antiulcer potency and thus could from periphery beneficially affect CNS-disorders. We focused on the stable gastric pentadecapeptide BPC 157, an antiulcer peptidergic agent, safe in inflammatory bowel disease trials and now in multiple sclerosis trial, native and stable in human gastric juice. METHODS Review of our research on BPC 157 in terms of brain-gut axis. RESULTS BPC 157 may serve as a novel mediator of Robert's cytoprotection, involved in maintaining of GI mucosa integrity, with no toxic effect. BPC 157 was successful in the therapy of GI tract, periodontitis, liver and pancreas lesions, and in the healing of various tissues and wounds. Stimulated Egr-1 gene, NAB2, FAK-paxillin and JAK-2 pathways are hitherto implicated. Initially corresponding beneficial central influence was seen when BPC 157 was given peripherally and a serotonin release in particular brain areas, mostly nigrostriatal, was changed. BPC 157 modulates serotonergic and dopaminergic systems, beneficially affects various behavioral disturbances that otherwise appeared due to specifically (over)stimulated/damaged neurotransmitters systems. Besides, BPC 157 has neuroprotective effects: protects somatosensory neurons; peripheral nerve regeneration appearent after transection; after traumatic brain injury counteracts the otherwise progressing course, in rat spinal cord compression with tail paralysis, axonal and neuronal necrosis, demyelination, cyst formation and rescues tail function in both short-terms and long-terms; after NSAIDs or insulin overdose or cuprizone encephalopathies were attenuated along with GI, liver and vascular injuries. CONCLUSION BPC 157, a gastric peptide, may serve as remedy in various CNS-disorders.",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"Kolenc", "given" : "Danijela", "non-dropping-particle" : "", "parse-names" : false, "suffix" : "" }, { "dropping-particle" : "", "family" : "Vuletic", "given" : "Lovorka Batelja", "non-dropping-particle" : "", "parse-names" : false, "suffix" : "" }, { "dropping-particle" : "", "family" : "Drmic", "given" : "Domagoj", "non-dropping-particle" : "", "parse-names" : false, "suffix" : "" }, { "dropping-particle" : "", "family" : "Grgic", "given" : "Tihomir", "non-dropping-particle" : "", "parse-names" : false, "suffix" : "" }, { "dropping-particle" : "", "family" : "Strbe", "given" : "Sanja", "non-dropping-particle" : "", "parse-names" : false, "suffix" : "" }, { "dropping-particle" : "", "family" : "Zukanovic", "given" : "Goran", "non-dropping-particle" : "", "parse-names" : false, "suffix" : "" }, { "dropping-particle" : "", "family" : "Crvenkovic", "given" : "Dalibor", "non-dropping-particle" : "", "parse-names" : false, "suffix" : "" }, { "dropping-particle" : "", "family" : "Madzarac", "given" : "Goran", "non-dropping-particle" : "", "parse-names" : false, "suffix" : "" }, { "dropping-particle" : "", "family" : "Rukavina", "given" : "Iva", "non-dropping-particle" : "", "parse-names" : false, "suffix" : "" }, { "dropping-particle" : "", "family" : "Sucic", "given" : "Mario", "non-dropping-particle" : "", "parse-names" : false, "suffix" : "" }, { "dropping-particle" : "", "family" : "Baric", "given" : "Marko", "non-dropping-particle" : "", "parse-names" : false, "suffix" : "" }, { "dropping-particle" : "", "family" : "Starcevic", "given" : "Neven", "non-dropping-particle" : "", "parse-names" : false, "suffix" : "" }, { "dropping-particle" : "", "family" : "Krstonijevic", "given" : "Zoran", "non-dropping-particle" : "", "parse-names" : false, "suffix" : "" }, { "dropping-particle" : "", "family" : "Bencic", "given" : "Martina Lovric", "non-dropping-particle" : "", "parse-names" : false, "suffix" : "" }, { "dropping-particle" : "", "family" : "Filipcic", "given" : "Igor", "non-dropping-particle" : "", "parse-names" : false, "suffix" : "" }, { "dropping-particle" : "", "family" : "Rokotov", "given" : "Dinko Stancic", "non-dropping-particle" : "", "parse-names" : false, "suffix" : "" }, { "dropping-particle" : "", "family" : "Vlainic", "given" : "Josipa", "non-dropping-particle" : "", "parse-names" : false, "suffix" : "" } ], "container-title" : "Current neuropharmacology", "id" : "ITEM-2", "issue" : "8", "issued" : { "date-parts" : [ [ "2016" ] ] }, "page" : "857-865", "title" : "Brain-gut Axis and Pentadecapeptide BPC 157: Theoretical and Practical Implications.", "type" : "article-journal", "volume" : "14" }, "uris" : [ "http://www.mendeley.com/documents/?uuid=9b2831b1-d3dd-4080-846d-5f4f7ead3113" ] }, { "id" : "ITEM-3", "itemData" : { "ISSN" : "1873-4286", "PMID" : "23782145", "abstract" : "This review focuses on the described effects of BPC 157 on blood vessels after different types of damage, and elucidate by investigating different aspects of vascular response to injury (endothelium damage, clotting, thrombosis, vasoconstriction, vasodilatation, vasculoneogenesis and edema formation) especially in connection to the healing processes. In this respect, BPC 157 was concluded to be the most potent angiomodulatory agent, acting through different vasoactive pathways and systems (e.g. NO, VEGF, FAK) and leading to optimization of the vascular response followed, as it has to be expected, by optimization of the healing process. Formation of new blood vessels involves two main, partly overlapping mechanisms, angiogenesis and vasculogenesis. The additional mechanism of arteriogenesis is involved in the formation of collaterals. In conjunction with blood vessel function, we at least have to consider leakage of fluid/proteins/plasma, resulting in edema/exudate formation as well as thrombogenesis. Blood vessels are also strongly involved in tumor biology. In this aspect, we have neoangiogenesis resulting in pathological vascularization, vascular invasion resulting in release of metastatic cells and the phenomenon of homing resulting in formation of secondary tumors--metastases.", "author" : [ { "dropping-particle" : "", "family" : "Seiwerth", "given" : "Sven", "non-dropping-particle" : "", "parse-names" : false, "suffix" : "" }, { "dropping-particle" : "", "family" : "Brcic", "given" : "Luka", "non-dropping-particle" : "", "parse-names" : false, "suffix" : "" }, { "dropping-particle" : "", "family" : "Vuletic", "given" : "Lovorka Batelja",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"Misic", "given" : "Marija", "non-dropping-particle" : "", "parse-names" : false, "suffix" : "" }, { "dropping-particle" : "", "family" : "Zenko", "given" : "Anita", "non-dropping-particle" : "", "parse-names" : false, "suffix" : "" }, { "dropping-particle" : "", "family" : "Drmic", "given" : "Domagoj", "non-dropping-particle" : "", "parse-names" : false, "suffix" : "" }, { "dropping-particle" : "", "family" : "Rucman", "given" : "Rudolf", "non-dropping-particle" : "", "parse-names" : false, "suffix" : "" }, { "dropping-particle" : "", "family" : "Sikiric", "given" : "Predrag", "non-dropping-particle" : "", "parse-names" : false, "suffix" : "" } ], "container-title" : "Current pharmaceutical design", "id" : "ITEM-3", "issue" : "7", "issued" : { "date-parts" : [ [ "2014" ] ] }, "page" : "1121-5", "title" : "BPC 157 and blood vessels.", "type" : "article-journal", "volume" : "20" }, "uris" : [ "http://www.mendeley.com/documents/?uuid=5f0ff73a-1c13-4e9f-9921-366eef3ba469" ] }, { "id" : "ITEM-4", "itemData" : { "ISSN" : "1873-4286", "PMID" : "23755725", "abstract" : "We reviewed stable gastric pentadecapeptide BPC 157-NO-system-relation, its close participation in Moncada's (maintained vascular integrity, platelets control) homeostatic healing response of NO-system to injury. Namely, BPC 157's particular healing effect also affects all events after vascular integrity loss (dependent on circumstances, it reduces either thrombosis (abdominal aorta anastomosis) or bleeding/thrombocytopenia (amputation, heparin, warfarin, aspirin)) and in a series of different injurious models, acute and chronic, BPC 157 consistently advances healing after severe injuries in various tissues spontaneously unable to heal; stimulates egr-1 and naB2 genes; exhibits high safety (LD1 not achieved)). Hypothesis, that BPC 157 (since formed constitutively in the gastric mucosa, stable in human gastric juice, along with significance of NO-synthase and the basal formation of NO in stomach mucosa, greater than that seen in other tissues) exhibits a general, effective competing both with L-arginine analogues (i. e., L-NAME) and L-arginine, and that this has some physiologic importance (NO-generation), later, practically supports its beneficial effects illustrating BPC 157 and NOsystem mutual (with L-NAME/L-arginine; alone and together) relations in (i) gastric mucosa and mucosal protection, following alcohol lesions, in cytoprotection course, NO-generation, and blood pressure regulation; (ii) alcohol acute/chronic intoxication, and withdrawal; (iii) cardiovascular disturbances, chronic heart failure, pulmonary hypertension, and arrhythmias; (iv) disturbances after hypokalemia and hyperkalemia, and potassium-cell membrane dysfunction; and finally, in (v) complex healing failure, proved by the fistulas healing, colocutaneous and esophagocutaneous. However, how this advantage of modulating NO-system (i. e., particular effect on eNOS gene), may be practically translated into an enhanced clinical performance remains to be determined.",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"Stupnisek", "given" : "Mirjana", "non-dropping-particle" : "", "parse-names" : false, "suffix" : "" }, { "dropping-particle" : "", "family" : "Suran", "given" : "Jelena", "non-dropping-particle" : "", "parse-names" : false, "suffix" : "" }, { "dropping-particle" : "", "family" : "Barisic", "given" : "Ivan",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"ITEM-4", "issue" : "7", "issued" : { "date-parts" : [ [ "2014" ] ] }, "page" : "1126-35", "title" : "Stable gastric pentadecapeptide BPC 157-NO-system relation.", "type" : "article-journal", "volume" : "20" }, "uris" : [ "http://www.mendeley.com/documents/?uuid=74ead48f-0c75-446a-a19b-49bb02b31992" ] }, { "id" : "ITEM-5", "itemData" : { "ISSN" : "1873-4286", "PMID" : "22950504", "abstract" : "Stable gastric pentadecapeptide BPC 157 is an anti-ulcer peptidergic agent, proven in clinical trials to be both safe in inflammatory bowel disease (PL-10, PLD-116, PL 14736) and wound healing, stable in human gastric juice, with no toxicity being reported. Recently, we claim that BPC 157 may be used as an antidote against NSAIDs. We focused on BPC 157 beneficial effects on stomach, duodenum, intestine, liver and brain injuries, adjuvant arthritis, pain, hyper/hypothermia, obstructive thrombus formation and thrombolysis, blood vessel function, counteraction of prolonged bleeding and thrombocytopenia after application of various anticoagulants and antiplatelet agents and wound healing improvement. The arguments for BPC 157 antidote activity (i.e., the role of BPC 157 in cytoprotection, being a novel mediator of Robert's cytoprotection and BPC 157 beneficial effects on NSAIDs mediated lesions in the gastrointestinal tract, liver and brain and finally, counteraction of aspirin-induced prolonged bleeding and thrombocytopenia) obviously have a counteracting effect on several established side-effects of NSAIDs use. The mentioned variety of the beneficial effects portrayed by BPC 157 may well be a foundation for establishing BPC 157 as a NSAIDs antidote since no other single agent has portrayed a similar array of effects. Unlike NSAIDs, a very high safety (no reported toxicity (LD1 could be not achieved)) profile is reported for BPC 157. Also, unlike the different dosage levels of aspirin, as a NSAIDs prototype, which differ by a factor of about ten, all these beneficial and counteracting effects of BPC 157 were obtained using the equipotent dosage (\u03bcg, ng/kg) in parenteral or peroral regimens.",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"Safic", "given" : "Hana", "non-dropping-particle" : "", "parse-names" : false, "suffix" : "" }, { "dropping-particle" : "", "family" : "Suran", "given" : "Jelena", "non-dropping-particle" : "", "parse-names" : false, "suffix" : "" }, { "dropping-particle" : "", "family" : "Rak", "given" : "Davor",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"ITEM-5", "issue" : "1", "issued" : { "date-parts" : [ [ "2013" ] ] }, "page" : "76-83", "title" : "Toxicity by NSAIDs. Counteraction by stable gastric pentadecapeptide BPC 157.", "type" : "article-journal", "volume" : "19" }, "uris" : [ "http://www.mendeley.com/documents/?uuid=b4d81bb8-a391-4622-abb3-23195e4a65ff" ] }, { "id" : "ITEM-6", "itemData" : { "ISSN" : "1875-533X", "PMID" : "22300085", "abstract" : "Stable gastric pentadecapeptide BPC 157 (GEPPPGKPADDAGLV, M.W. 1419) may be the new drug stable in human gastric juice, effective both in the upper and lower GI tract, and free of side effects. BPC 157, in addition to an antiulcer effect efficient in therapy of inflammatory bowel disease (IBD) (PL 14736) so far only tested in clinical phase II, has a very safe profile, and exhibited a particular wound healing effect. It also has shown to interact with the NO-system, providing endothelium protection and angiogenic effect, even in severely impaired conditions (i.e., it stimulated expression of early growth response 1 gene responsible for cytokine and growth factor generation and early extracellular matrix (collagen) formation (but also its repressor nerve growth factor 1-A binding protein-2)), important to counteract severe complications of advanced and poorly controlled IBD. Hopefully, the lessons from animal studies, particularly advanced intestinal anastomosis healing, reversed short bowel syndrome and fistula healing indicate BPC 157's high significance in further IBD therapy. Also, this supportive evidence (i.e., no toxic effect, limit test negative, LD1 not achieved, no side effect in trials) may counteract the problems commonly exercised in the use of peptidergic agents, particularly those used on a long-term basis.", "author" : [ { "dropping-particle" : "", "family" : "Sikiric", "given" : "P", "non-dropping-particle" : "", "parse-names" : false, "suffix" : "" }, { "dropping-particle" : "", "family" : "Seiwerth", "given" : "S", "non-dropping-particle" : "", "parse-names" : false, "suffix" : "" }, { "dropping-particle" : "", "family" : "Rucman", "given" : "R", "non-dropping-particle" : "", "parse-names" : false, "suffix" : "" }, { "dropping-particle" : "", "family" : "Turkovic", "given" : "B", "non-dropping-particle" : "", "parse-names" : false, "suffix" : "" }, { "dropping-particle" : "", "family" : "Rokotov", "given" : "D S", "non-dropping-particle" : "", "parse-names" : false, "suffix" : "" }, { "dropping-particle" : "", "family" : "Brcic", "given" : "L", "non-dropping-particle" : "", "parse-names" : false, "suffix" : "" }, { "dropping-particle" : "", "family" : "Sever", "given" : "M", "non-dropping-particle" : "", "parse-names" : false, "suffix" : "" }, { "dropping-particle" : "", "family" : "Klicek", "given" : "R", "non-dropping-particle" : "", "parse-names" : false, "suffix" : "" }, { "dropping-particle" : "", "family" : "Radic", "given" : "B", "non-dropping-particle" : "", "parse-names" : false, "suffix" : "" }, { "dropping-particle" : "", "family" : "Drmic", "given" : "D", "non-dropping-particle" : "", "parse-names" : false, "suffix" : "" }, { "dropping-particle" : "", "family" : "Ilic", "given" : "S", "non-dropping-particle" : "", "parse-names" : false, "suffix" : "" }, { "dropping-particle" : "", "family" : "Kolenc", "given" : "D", "non-dropping-particle" : "", "parse-names" : false, "suffix" : "" }, { "dropping-particle" : "", "family" : "Stambolija", "given" : "V", "non-dropping-particle" : "", "parse-names" : false, "suffix" : "" }, { "dropping-particle" : "", "family" : "Zoricic", "given" : "Z", "non-dropping-particle" : "", "parse-names" : false, "suffix" : "" }, { "dropping-particle" : "", "family" : "Vrcic", "given" : "H", "non-dropping-particle" : "", "parse-names" : false, "suffix" : "" }, { "dropping-particle" : "", "family" : "Sebecic", "given" : "B", "non-dropping-particle" : "", "parse-names" : false, "suffix" : "" } ], "container-title" : "Current medicinal chemistry", "id" : "ITEM-6", "issue" : "1", "issued" : { "date-parts" : [ [ "2012" ] ] }, "page" : "126-32", "title" : "Focus on ulcerative colitis: stable gastric pentadecapeptide BPC 157.", "type" : "article-journal", "volume" : "19" }, "uris" : [ "http://www.mendeley.com/documents/?uuid=82217b0f-1a75-4f5f-99de-cbbc916f534e" ] }, { "id" : "ITEM-7", "itemData" : { "DOI" : "10.2174/138161211796196954", "ISBN" : "1873-4286 (Electronic)\\n1381-6128 (Linking)", "ISSN" : "1873-4286", "PMID" : "21548867", "abstract" : "Stable gastric pentadecapeptide BPC 157 is an anti-ulcer peptidergic agent, safe in inflammatory bowel disease clinical trials (GEPPPGKPADDAGLV, M.W. 1419, PL 14736) and wound healing, stable in human gastric juice and has no reported toxicity. We focused on BPC 157 as a therapy in peridontitis, esophagus, stomach, duodenum, intestine, liver and pancreas lesions. Particularly, it has a prominent effect on alcohol-lesions (i.e., acute, chronic) and NSAIDs-lesions (interestingly, BPC 157 both prevents and reverses adjuvant arthritis). In rat esophagitis and failed function of both lower esophageal sphincter (LES) and pyloric sphincters (PS), BPC 157 increased pressure in both sphincters till normal and reduced esophagitis. However, in healthy rats, it may decrease (PS) or increase (LES) the pressure in sphincters. It has strong angiogenic potential, it acts protectively on endothelium, prevents and reverses thrombus formation after abdominal aorta anastomosis, affects many central disturbances (i.e., dopamine and 5-HT system), the NO-system (either L-arginine and L-NAME effects), endothelin, acts as a free radical scavenger (counteracting CCl4-, paracetamol-, diclofenac-injuries) and exhibits neuroprotective properties. BPC 157 successfully heals the intestinal anastomosis, gastrocutaneous, duodenocutaneous and colocutaneous fistulas in rats, as well as interacting with the NO-system. Interestingly, the fistula closure was achieved even when the BPC 157 therapy was postponed for one month. In short-bowel syndrome escalating throughout 4 weeks, the constant weight gain above preoperative values started immediately with peroral and parental BPC 157 therapy and the villus height, crypth depth and muscle thickness (inner (circular) muscular layer) additionally increased. Thus, BPC 157 may improve gastrointestinal tract therapy.",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"ITEM-7", "issue" : "16", "issued" : { "date-parts" : [ [ "2011" ] ] }, "page" : "1612-32", "title" : "Stable gastric pentadecapeptide BPC 157: novel therapy in gastrointestinal tract.", "type" : "article-journal", "volume" : "17" }, "uris" : [ "http://www.mendeley.com/documents/?uuid=0c326320-ddc2-4da8-939a-b8cfc65cd61b" ] }, { "id" : "ITEM-8", "itemData" : { "DOI" : "10.2174/138161210790945977", "ISBN" : "1873-4286 (Electronic)\\r1381-6128 (Linking)", "ISSN" : "13816128", "PMID" : "20166993", "abstract" : "The significance of cytoprotection and adaptive cytoprotection and the peptides importance remained to be not completely determined. BPC 157 is an anti-ulcer peptidergic agent, proven in clinical trials to be both safe in inflammatory bowel disease (PL-10, PLD-116, PL 14736) and wound healing, and stable in human gastric juice, with no toxicity being reported. It has a prominent effect on alcohol- lesions (i.e., induced acutely and chronically) and non-steroidal anti-inflammatory drugs-lesions (while interestingly BPC 157 may both prevent and reverse adjuvant arthritis). To review the importance of BPC 157, this review focused on Robert's cytoprotection concept described in rat stomach, reviewing our evidence that may resolve whether the cytoprotection and adaptive cytoprotection is an uniform phenomenon or not; whether the phenomenon or phenomena are endogenous or not, depending on nature of the irritants (mild or strong); whether this may contribute to stomach mucosa defense either when threaten by various ulcerogens or afforded by various antiulcer agents; whether these phenomena are uniform in whole gastrointestinal tract or not; whether they are interrelated or not. Finally, the importance of the cytoprotection phenomena and cytoprotection activity for skin wound healing, and wound healing in general was challenged. Thereby, this review focused on BPC 157 role in cytoprotection and adaptative cytoprotection suggesting that it may be the essential endogenous mediator able to mediate both cytoprotective and adaptive cytoprotective response in stomach and the whole gastrointestinal tract with significant importance in wound healing as well.", "author" : [ { "dropping-particle" : "", "family" : "Sikiric", "given" : "Predrag", "non-dropping-particle" : "", "parse-names" : false, "suffix" : "" }, { "dropping-particle" : "", "family" : "Seiwerth", "given" : "Sven",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"container-title" : "Current pharmaceutical design", "id" : "ITEM-8", "issue" : "10", "issued" : { "date-parts" : [ [ "2010" ] ] }, "page" : "1224-1234", "title" : "Revised Robert's cytoprotection and adaptive cytoprotection and stable gastric pentadecapeptide BPC 157. Possible significance and implications for novel mediator.", "type" : "article-journal", "volume" : "16" }, "uris" : [ "http://www.mendeley.com/documents/?uuid=e3cf6c8b-0484-4890-9aee-cda6592874b2" ] }, { "id" : "ITEM-9", "itemData" : { "DOI" : "10.1007/s10787-006-1531-7", "ISSN" : "0925-4692", "PMID" : "17186181", "abstract" : "Gastric pentadecapeptide BPC 157 (GEPPPGKPADDAGLV, M.W. 1419, safe in clinical trials for inflammatory bowel disease (PL 10, PLD 116, PLD 14736, Pliva, Croatia)) has a particular cytoprotective/adaptive cytoprotective activity. The cytoprotective/adaptive cytoprotection researches largely neglect that stomach distension could per se jeopardize the mucosal integrity, with constantly stretched mucosa and blood vessels, and sphincters more prone for reflux induction. After absolute alcohol instillation in fully distended rat stomach, gastric, esophageal and duodenal lesions occur. Throughout next 3 min, left gastric artery blood vessels clearly disappear at the serosal site, indicative for loss of vessels both integrity and function. Contrary, constant vessels presentation could predict the beneficial effect of applied agent. After pentadecapeptide BPC 157 instillation into the stomach the vessels presentation remains constant, and lesions of stomach, esophagus, and duodenum are inhibited. Standards (atropine, ranitidine, omeprazole) could only slightly improve the vessels presentation compared to control values, and they have only a partial effect on the lesions. In this review we emphasize BPC 157 unusual stability, and some of its important effects: effectiveness against various lesions in gastrointestinal tract, on nitric oxide (NO)-system, and NO-agents effects, on somatosensory neurons, salivary glands function, recovery of AMP-ADP-ATP system, endothelium protection, effect on endothelin, and on angiogenesis promotion. It also antagonizes other alcohol effects, including acute and chronic intoxication. Given peripherally, it counteracts the consequence of central dopamine system disturbances (receptor blockade), and induces serotonin release in substantia nigra. Therapeutic potential of BPC 157 as a cytoprotective agent is also seen in its capability to heal various wounds. Given directly into the stomach, BPC 157 instantly recovers disturbed lower esophageal and pyloric sphincter pressure in rats after 12-20 months of untreated esophagitis. All these could be suggestive for its role as a natural protectant in gastric juice with particular function throughout stomach distension.", "author" : [ { "dropping-particle" : "", "family" : "Sikiric", "given" : "P.", "non-dropping-particle" : "", "parse-names" : false, "suffix" : "" }, { "dropping-particle" : "", "family" : "Seiwerth", "given" : "S.", "non-dropping-particle" : "", "parse-names" : false, "suffix" : "" }, { "dropping-particle" : "", "family" : "Brcic", "given" : "L.", "non-dropping-particle" : "", "parse-names" : false, "suffix" : "" }, { "dropping-particle" : "", "family" : "Blagaic", "given" : "A B", "non-dropping-particle" : "", "parse-names" : false, "suffix" : "" }, { "dropping-particle" : "", "family" : "Zoricic", "given" : "I.", "non-dropping-particle" : "", "parse-names" : false, "suffix" : "" }, { "dropping-particle" : "", "family" : "Sever", "given" : "M.", "non-dropping-particle" : "", "parse-names" : false, "suffix" : "" }, { "dropping-particle" : "", "family" : "Klicek", "given" : "R.", "non-dropping-particle" : "", "parse-names" : false, "suffix" : "" }, { "dropping-particle" : "", "family" : "Radic", "given" : "B.", "non-dropping-particle" : "", "parse-names" : false, "suffix" : "" }, { "dropping-particle" : "", "family" : "Keller", "given" : "N.", "non-dropping-particle" : "", "parse-names" : false, "suffix" : "" }, { "dropping-particle" : "", "family" : "Sipos", "given" : "K.", "non-dropping-particle" : "", "parse-names" : false, "suffix" : "" }, { "dropping-particle" : "", "family" : "Jakir", "given" : "A.", "non-dropping-particle" : "", "parse-names" : false, "suffix" : "" }, { "dropping-particle" : "", "family" : "Udovicic", "given" : "M.", "non-dropping-particle" : "", "parse-names" : false, "suffix" : "" }, { "dropping-particle" : "", "family" : "Tonkic", "given" : "A.", "non-dropping-particle" : "", "parse-names" : false, "suffix" : "" }, { "dropping-particle" : "", "family" : "Kokic", "given" : "N.", "non-dropping-particle" : "", "parse-names" : false, "suffix" : "" }, { "dropping-particle" : "", "family" : "Turkovic", "given" : "B.", "non-dropping-particle" : "", "parse-names" : false, "suffix" : "" }, { "dropping-particle" : "", "family" : "Mise", "given" : "S.", "non-dropping-particle" : "", "parse-names" : false, "suffix" : "" }, { "dropping-particle" : "", "family" : "Anic", "given" : "T.", "non-dropping-particle" : "", "parse-names" : false, "suffix" : "" } ], "container-title" : "Inflammopharmacology", "id" : "ITEM-9", "issue" : "5-6", "issued" : { "date-parts" : [ [ "2006", "12" ] ] }, "page" : "214-21", "title" : "Stable gastric pentadecapeptide BPC 157 in trials for inflammatory bowel disease (PL-10, PLD-116, PL 14736, Pliva, Croatia). Full and distended stomach, and vascular response.", "type" : "article-journal", "volume" : "14" }, "uris" : [ "http://www.mendeley.com/documents/?uuid=a21321d3-6201-3777-b54c-60d2c5d4ff9a" ] }, { "id" : "ITEM-10", "itemData" : { "DOI" : "10.1016/0928-4257(93)90038-U", "ISSN" : "0928-4257", "PMID" : "8298609", "abstract" : "The possibility that the stomach, affected by general stress, might initiate a counter-response has not until recently been considered in theories of stress. We suggest that the stomach, as the most sensitive part of the gastrointestinal tract and the largest neuroendocrine organ in the body, is crucial for the initiation of a full stress response against all noxious stress pathology. The end result would be a strong protection of all organs invaded by 'stress'. Consistent with this assumption, this coping response is best explained in terms of 'organoprotection'. Endogenous organoprotectors (eg prostaglandins, somatostatin, dopamine) are proposed as mediators. Such an endogenous counteraction could even be afforded by their suitable application. A new gastric juice peptide, M(r) 40,000, named BPC, was recently isolated. Herein, a 15 amino acid fragment (BPC 157), thought to be essential for its activity, has been fully characterized and investigated. As has been demonstrated for many organoprotective agents using different models of various tissue lesions, despite the poorly understood final mechanism, practically all organ systems appear to benefit from BPC activity. These effects have been achieved in many species using very low dosages (mostly microgram and ng/kg range) after ip, ig, and intramucosal (local) application. The effect was apparent already after one application. Long lasting activity was also demonstrated. BPC was highly effective when applied simultaneously with noxious agents or in already pathological, as well as chronical, conditions. Therefore, it seems that BPC treatment does not share any of the so far known limitations for 'conventional organoprotectors'. No influence on different basal parameters and no toxicity were observed. These findings provide a breakthrough in stress theory. BPC, as a possible endogenous free radical scavenger and organoprotection mediator, could be a useful prototype of a new class of drugs, organoprotective agents.", "author" : [ { "dropping-particle" : "", "family" : "Sikiri\u0107", "given" : "P.", "non-dropping-particle" : "", "parse-names" : false, "suffix" : "" }, { "dropping-particle" : "", "family" : "Petek", "given" : "M.", "non-dropping-particle" : "", "parse-names" : false, "suffix" : "" }, { "dropping-particle" : "", "family" : "Rucman", "given" : "R", "non-dropping-particle" : "", "parse-names" : false, "suffix" : "" }, { "dropping-particle" : "", "family" : "Seiwerth", "given" : "S.", "non-dropping-particle" : "", "parse-names" : false, "suffix" : "" }, { "dropping-particle" : "", "family" : "Grabarevi\u0107", "given" : "Z.", "non-dropping-particle" : "", "parse-names" : false, "suffix" : "" }, { "dropping-particle" : "", "family" : "Rotkvi\u0107", "given" : "I.", "non-dropping-particle" : "", "parse-names" : false, "suffix" : "" }, { "dropping-particle" : "", "family" : "Turkovi\u0107", "given" : "B.", "non-dropping-particle" : "", "parse-names" : false, "suffix" : "" }, { "dropping-particle" : "", "family" : "Jagi\u0107", "given" : "V.", "non-dropping-particle" : "", "parse-names" : false, "suffix" : "" }, { "dropping-particle" : "", "family" : "Mildner", "given" : "B.", "non-dropping-particle" : "", "parse-names" : false, "suffix" : "" }, { "dropping-particle" : "", "family" : "Duvnjak", "given" : "M.", "non-dropping-particle" : "", "parse-names" : false, "suffix" : "" } ], "container-title" : "Journal of physiology, Paris", "id" : "ITEM-10", "issue" : "5", "issued" : { "date-parts" : [ [ "1993" ] ] }, "page" : "313-27", "title" : "A new gastric juice peptide, BPC. An overview of the stomach-stress-organoprotection hypothesis and beneficial effects of BPC.", "type" : "article-journal", "volume" : "87" }, "uris" : [ "http://www.mendeley.com/documents/?uuid=f738bbb1-8d16-31eb-a5d7-6f273100aa96" ] } ], "mendeley" : { "formattedCitation" : "&lt;sup&gt;[1\u201310]&lt;/sup&gt;", "plainTextFormattedCitation" : "[1\u201310]", "previouslyFormattedCitation" : "(Seiwerth et al., 2014; Sikiric et al., 2017, 2016, 2014, 2013, 2012, 2011, 2010, 2006; Sikiri\u0107 et al., 1993)" }, "properties" : {  }, "schema" : "https://github.com/citation-style-language/schema/raw/master/csl-citation.json" }</w:instrText>
      </w:r>
      <w:r w:rsidRPr="00CC34A3">
        <w:rPr>
          <w:rFonts w:ascii="Book Antiqua" w:eastAsia="Calibri" w:hAnsi="Book Antiqua" w:cs="Courier New"/>
          <w:color w:val="000000" w:themeColor="text1"/>
          <w:sz w:val="24"/>
          <w:szCs w:val="24"/>
          <w:lang w:val="en-US" w:eastAsia="en-US"/>
        </w:rPr>
        <w:fldChar w:fldCharType="separate"/>
      </w:r>
      <w:r w:rsidRPr="00CC34A3">
        <w:rPr>
          <w:rFonts w:ascii="Book Antiqua" w:eastAsia="Calibri" w:hAnsi="Book Antiqua" w:cs="Courier New"/>
          <w:color w:val="000000" w:themeColor="text1"/>
          <w:sz w:val="24"/>
          <w:szCs w:val="24"/>
          <w:vertAlign w:val="superscript"/>
          <w:lang w:val="en-US" w:eastAsia="en-US"/>
        </w:rPr>
        <w:t>[1–10]</w:t>
      </w:r>
      <w:r w:rsidRPr="00CC34A3">
        <w:rPr>
          <w:rFonts w:ascii="Book Antiqua" w:eastAsia="Calibri" w:hAnsi="Book Antiqua" w:cs="Courier New"/>
          <w:color w:val="000000" w:themeColor="text1"/>
          <w:sz w:val="24"/>
          <w:szCs w:val="24"/>
          <w:lang w:val="en-US" w:eastAsia="en-US"/>
        </w:rPr>
        <w:fldChar w:fldCharType="end"/>
      </w:r>
      <w:r w:rsidRPr="00CC34A3">
        <w:rPr>
          <w:rFonts w:ascii="Book Antiqua" w:eastAsia="Calibri" w:hAnsi="Book Antiqua" w:cs="Courier New"/>
          <w:color w:val="000000" w:themeColor="text1"/>
          <w:sz w:val="24"/>
          <w:szCs w:val="24"/>
          <w:lang w:val="en-US" w:eastAsia="en-US"/>
        </w:rPr>
        <w:t>.</w:t>
      </w:r>
      <w:r w:rsidRPr="00CC34A3">
        <w:rPr>
          <w:rFonts w:ascii="Book Antiqua" w:hAnsi="Book Antiqua" w:cs="Courier New"/>
          <w:color w:val="000000" w:themeColor="text1"/>
          <w:sz w:val="24"/>
          <w:szCs w:val="24"/>
          <w:lang w:val="en-US"/>
        </w:rPr>
        <w:t xml:space="preserve"> L-NAME (Sigma, United States) and L-arginine (Sigma, United States) were used as previously described</w:t>
      </w:r>
      <w:r w:rsidRPr="00CC34A3">
        <w:rPr>
          <w:rFonts w:ascii="Book Antiqua" w:eastAsia="Calibri" w:hAnsi="Book Antiqua" w:cs="Courier New"/>
          <w:color w:val="000000" w:themeColor="text1"/>
          <w:sz w:val="24"/>
          <w:szCs w:val="24"/>
          <w:lang w:val="en-US" w:eastAsia="en-US"/>
        </w:rPr>
        <w:fldChar w:fldCharType="begin" w:fldLock="1"/>
      </w:r>
      <w:r w:rsidRPr="00CC34A3">
        <w:rPr>
          <w:rFonts w:ascii="Book Antiqua" w:eastAsia="Calibri" w:hAnsi="Book Antiqua" w:cs="Courier New"/>
          <w:color w:val="000000" w:themeColor="text1"/>
          <w:sz w:val="24"/>
          <w:szCs w:val="24"/>
          <w:lang w:val="en-US" w:eastAsia="en-US"/>
        </w:rPr>
        <w:instrText>ADDIN CSL_CITATION { "citationItems" : [ { "id" : "ITEM-1", "itemData" : { "DOI" : "10.2174/1381612823666170220163219", "ISSN" : "13816128", "PMID" : "28228068", "abstract" : "Selye's syndrome produced by diverse nocuous agents and ``response to damage as such{''} means Selye's stress triad in stress coping response to reestablish homeostasis. Logically, from the gastrointestinal tract viewpoint, such organoprotective/healing response implies the angiogenic growth factors that commonly signify the healing. Thereby, the gastric pentadecapeptide BPC 157-organoprotection (huge range of beneficial effects) signifies the Selye's stress concept/stress coping response implemented in and from gastrointestinal tract, and BPC 157 as an integrative mediator that integrates the adaptive bodily response to stress. In clinical trials without side effects, LD1 not achieved, BPC 157 healing in gastrointestinal tract, and particularly the healing of the extra-gastrointestinal tissues (i.e., skin/tendon/ligament/muscle/bone; nerve; cornea/brain) were referred throughout its integrative capabilities (i.e., ulcerative colitis/multiple sclerosis model equally counteracted), native in gastrointestinal tract, stability in human gastric juice (and thereby, strong efficacy and applicability), its relevance for dopamine-system function (and thereby, counteracting effects of dopamine-system dysfunction and over-function, centrally and peripherally (mucosa maintenance); interaction with serotonin- and GABA-system)), afforded cytoprotection/adaptive cytoprotection/organoprotection (and thereby, beneficial effects on gastric and whole intestinal tract lesions and adaptation, wounds and fistulas healing, blood vessels, somatosensory neurons, NSAIDs-side effects (including also pancreas, liver, brain lesions, and blood disturbances, prolonged bleeding, thrombocytopenia, thrombosis)). Further, we combine such gut-brain axis and the NO-system where BPC 157 counteracts complications of either L-NAME application (i.e., various lesions aggravation, hypertension) or L-arginine application (i.e., hypotension, prolonged bleeding, thrombocytopenia). Also, BPC 157 particularly affects genes functions (i.e., Fos, c-Jun, Egr-1), all together suggestive for an indicative generalization. Thus, we could suggest gastric pentadecapeptide BPC 157 and BPC 157 induced-organoprotection as integrative mediator that integrates the adaptive bodily response to stress, and thereby practically applied in further therapy and in effective realization of Selye's stress response.",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"Drmic", "given" : "Domagoj", "non-dropping-particle" : "", "parse-names" : false, "suffix" : "" }, { "dropping-particle" : "", "family" : "Stupnisek", "given" : "Mirjana", "non-dropping-particle" : "", "parse-names" : false, "suffix" : "" }, { "dropping-particle" : "", "family" : "Kokot", "given" : "Antonio", "non-dropping-particle" : "", "parse-names" : false, "suffix" : "" }, { "dropping-particle" : "", "family" : "Sever", "given" : "Marko", "non-dropping-particle" : "", "parse-names" : false, "suffix" : "" }, { "dropping-particle" : "", "family" : "Zoricic", "given" : "Ivan", "non-dropping-particle" : "", "parse-names" : false, "suffix" : "" }, { "dropping-particle" : "", "family" : "Zoricic", "given" : "Zoran", "non-dropping-particle" : "", "parse-names" : false, "suffix" : "" }, { "dropping-particle" : "", "family" : "Batelja", "given" : "Lovorka", "non-dropping-particle" : "", "parse-names" : false, "suffix" : "" }, { "dropping-particle" : "", "family" : "Ziger", "given" : "Tihomil", "non-dropping-particle" : "", "parse-names" : false, "suffix" : "" }, { "dropping-particle" : "", "family" : "Luetic", "given" : "Kresimir", "non-dropping-particle" : "", "parse-names" : false, "suffix" : "" }, { "dropping-particle" : "", "family" : "Vlainic", "given" : "Josipa", "non-dropping-particle" : "", "parse-names" : false, "suffix" : "" }, { "dropping-particle" : "", "family" : "Rasic", "given" : "Zarko", "non-dropping-particle" : "", "parse-names" : false, "suffix" : "" }, { "dropping-particle" : "", "family" : "Bencic", "given" : "Martina Lovric", "non-dropping-particle" : "", "parse-names" : false, "suffix" : "" } ], "container-title" : "Current Pharmaceutical Design", "id" : "ITEM-1", "issue" : "27", "issued" : { "date-parts" : [ [ "2017" ] ] }, "page" : "4012-4028", "title" : "Stress in Gastrointestinal Tract and Stable Gastric Pentadecapeptide BPC 157. Finally, do we have a Solution?", "type" : "article-journal", "volume" : "23" }, "uris" : [ "http://www.mendeley.com/documents/?uuid=15899097-6542-32aa-acf2-ef932af08516" ] }, { "id" : "ITEM-2", "itemData" : { "ISSN" : "1875-6190", "PMID" : "27138887", "abstract" : "BACKGROUND Brain-gut interaction involves, among others, peptidergic growth factors which are native in GI tract and have strong antiulcer potency and thus could from periphery beneficially affect CNS-disorders. We focused on the stable gastric pentadecapeptide BPC 157, an antiulcer peptidergic agent, safe in inflammatory bowel disease trials and now in multiple sclerosis trial, native and stable in human gastric juice. METHODS Review of our research on BPC 157 in terms of brain-gut axis. RESULTS BPC 157 may serve as a novel mediator of Robert's cytoprotection, involved in maintaining of GI mucosa integrity, with no toxic effect. BPC 157 was successful in the therapy of GI tract, periodontitis, liver and pancreas lesions, and in the healing of various tissues and wounds. Stimulated Egr-1 gene, NAB2, FAK-paxillin and JAK-2 pathways are hitherto implicated. Initially corresponding beneficial central influence was seen when BPC 157 was given peripherally and a serotonin release in particular brain areas, mostly nigrostriatal, was changed. BPC 157 modulates serotonergic and dopaminergic systems, beneficially affects various behavioral disturbances that otherwise appeared due to specifically (over)stimulated/damaged neurotransmitters systems. Besides, BPC 157 has neuroprotective effects: protects somatosensory neurons; peripheral nerve regeneration appearent after transection; after traumatic brain injury counteracts the otherwise progressing course, in rat spinal cord compression with tail paralysis, axonal and neuronal necrosis, demyelination, cyst formation and rescues tail function in both short-terms and long-terms; after NSAIDs or insulin overdose or cuprizone encephalopathies were attenuated along with GI, liver and vascular injuries. CONCLUSION BPC 157, a gastric peptide, may serve as remedy in various CNS-disorders.",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"Kolenc", "given" : "Danijela", "non-dropping-particle" : "", "parse-names" : false, "suffix" : "" }, { "dropping-particle" : "", "family" : "Vuletic", "given" : "Lovorka Batelja", "non-dropping-particle" : "", "parse-names" : false, "suffix" : "" }, { "dropping-particle" : "", "family" : "Drmic", "given" : "Domagoj", "non-dropping-particle" : "", "parse-names" : false, "suffix" : "" }, { "dropping-particle" : "", "family" : "Grgic", "given" : "Tihomir", "non-dropping-particle" : "", "parse-names" : false, "suffix" : "" }, { "dropping-particle" : "", "family" : "Strbe", "given" : "Sanja", "non-dropping-particle" : "", "parse-names" : false, "suffix" : "" }, { "dropping-particle" : "", "family" : "Zukanovic", "given" : "Goran", "non-dropping-particle" : "", "parse-names" : false, "suffix" : "" }, { "dropping-particle" : "", "family" : "Crvenkovic", "given" : "Dalibor", "non-dropping-particle" : "", "parse-names" : false, "suffix" : "" }, { "dropping-particle" : "", "family" : "Madzarac", "given" : "Goran", "non-dropping-particle" : "", "parse-names" : false, "suffix" : "" }, { "dropping-particle" : "", "family" : "Rukavina", "given" : "Iva", "non-dropping-particle" : "", "parse-names" : false, "suffix" : "" }, { "dropping-particle" : "", "family" : "Sucic", "given" : "Mario", "non-dropping-particle" : "", "parse-names" : false, "suffix" : "" }, { "dropping-particle" : "", "family" : "Baric", "given" : "Marko", "non-dropping-particle" : "", "parse-names" : false, "suffix" : "" }, { "dropping-particle" : "", "family" : "Starcevic", "given" : "Neven", "non-dropping-particle" : "", "parse-names" : false, "suffix" : "" }, { "dropping-particle" : "", "family" : "Krstonijevic", "given" : "Zoran", "non-dropping-particle" : "", "parse-names" : false, "suffix" : "" }, { "dropping-particle" : "", "family" : "Bencic", "given" : "Martina Lovric", "non-dropping-particle" : "", "parse-names" : false, "suffix" : "" }, { "dropping-particle" : "", "family" : "Filipcic", "given" : "Igor", "non-dropping-particle" : "", "parse-names" : false, "suffix" : "" }, { "dropping-particle" : "", "family" : "Rokotov", "given" : "Dinko Stancic", "non-dropping-particle" : "", "parse-names" : false, "suffix" : "" }, { "dropping-particle" : "", "family" : "Vlainic", "given" : "Josipa", "non-dropping-particle" : "", "parse-names" : false, "suffix" : "" } ], "container-title" : "Current neuropharmacology", "id" : "ITEM-2", "issue" : "8", "issued" : { "date-parts" : [ [ "2016" ] ] }, "page" : "857-865", "title" : "Brain-gut Axis and Pentadecapeptide BPC 157: Theoretical and Practical Implications.", "type" : "article-journal", "volume" : "14" }, "uris" : [ "http://www.mendeley.com/documents/?uuid=9b2831b1-d3dd-4080-846d-5f4f7ead3113" ] }, { "id" : "ITEM-3", "itemData" : { "ISSN" : "1873-4286", "PMID" : "23782145", "abstract" : "This review focuses on the described effects of BPC 157 on blood vessels after different types of damage, and elucidate by investigating different aspects of vascular response to injury (endothelium damage, clotting, thrombosis, vasoconstriction, vasodilatation, vasculoneogenesis and edema formation) especially in connection to the healing processes. In this respect, BPC 157 was concluded to be the most potent angiomodulatory agent, acting through different vasoactive pathways and systems (e.g. NO, VEGF, FAK) and leading to optimization of the vascular response followed, as it has to be expected, by optimization of the healing process. Formation of new blood vessels involves two main, partly overlapping mechanisms, angiogenesis and vasculogenesis. The additional mechanism of arteriogenesis is involved in the formation of collaterals. In conjunction with blood vessel function, we at least have to consider leakage of fluid/proteins/plasma, resulting in edema/exudate formation as well as thrombogenesis. Blood vessels are also strongly involved in tumor biology. In this aspect, we have neoangiogenesis resulting in pathological vascularization, vascular invasion resulting in release of metastatic cells and the phenomenon of homing resulting in formation of secondary tumors--metastases.", "author" : [ { "dropping-particle" : "", "family" : "Seiwerth", "given" : "Sven", "non-dropping-particle" : "", "parse-names" : false, "suffix" : "" }, { "dropping-particle" : "", "family" : "Brcic", "given" : "Luka", "non-dropping-particle" : "", "parse-names" : false, "suffix" : "" }, { "dropping-particle" : "", "family" : "Vuletic", "given" : "Lovorka Batelja",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"Misic", "given" : "Marija", "non-dropping-particle" : "", "parse-names" : false, "suffix" : "" }, { "dropping-particle" : "", "family" : "Zenko", "given" : "Anita", "non-dropping-particle" : "", "parse-names" : false, "suffix" : "" }, { "dropping-particle" : "", "family" : "Drmic", "given" : "Domagoj", "non-dropping-particle" : "", "parse-names" : false, "suffix" : "" }, { "dropping-particle" : "", "family" : "Rucman", "given" : "Rudolf", "non-dropping-particle" : "", "parse-names" : false, "suffix" : "" }, { "dropping-particle" : "", "family" : "Sikiric", "given" : "Predrag", "non-dropping-particle" : "", "parse-names" : false, "suffix" : "" } ], "container-title" : "Current pharmaceutical design", "id" : "ITEM-3", "issue" : "7", "issued" : { "date-parts" : [ [ "2014" ] ] }, "page" : "1121-5", "title" : "BPC 157 and blood vessels.", "type" : "article-journal", "volume" : "20" }, "uris" : [ "http://www.mendeley.com/documents/?uuid=5f0ff73a-1c13-4e9f-9921-366eef3ba469" ] }, { "id" : "ITEM-4", "itemData" : { "ISSN" : "1873-4286", "PMID" : "23755725", "abstract" : "We reviewed stable gastric pentadecapeptide BPC 157-NO-system-relation, its close participation in Moncada's (maintained vascular integrity, platelets control) homeostatic healing response of NO-system to injury. Namely, BPC 157's particular healing effect also affects all events after vascular integrity loss (dependent on circumstances, it reduces either thrombosis (abdominal aorta anastomosis) or bleeding/thrombocytopenia (amputation, heparin, warfarin, aspirin)) and in a series of different injurious models, acute and chronic, BPC 157 consistently advances healing after severe injuries in various tissues spontaneously unable to heal; stimulates egr-1 and naB2 genes; exhibits high safety (LD1 not achieved)). Hypothesis, that BPC 157 (since formed constitutively in the gastric mucosa, stable in human gastric juice, along with significance of NO-synthase and the basal formation of NO in stomach mucosa, greater than that seen in other tissues) exhibits a general, effective competing both with L-arginine analogues (i. e., L-NAME) and L-arginine, and that this has some physiologic importance (NO-generation), later, practically supports its beneficial effects illustrating BPC 157 and NOsystem mutual (with L-NAME/L-arginine; alone and together) relations in (i) gastric mucosa and mucosal protection, following alcohol lesions, in cytoprotection course, NO-generation, and blood pressure regulation; (ii) alcohol acute/chronic intoxication, and withdrawal; (iii) cardiovascular disturbances, chronic heart failure, pulmonary hypertension, and arrhythmias; (iv) disturbances after hypokalemia and hyperkalemia, and potassium-cell membrane dysfunction; and finally, in (v) complex healing failure, proved by the fistulas healing, colocutaneous and esophagocutaneous. However, how this advantage of modulating NO-system (i. e., particular effect on eNOS gene), may be practically translated into an enhanced clinical performance remains to be determined.",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"Stupnisek", "given" : "Mirjana", "non-dropping-particle" : "", "parse-names" : false, "suffix" : "" }, { "dropping-particle" : "", "family" : "Suran", "given" : "Jelena", "non-dropping-particle" : "", "parse-names" : false, "suffix" : "" }, { "dropping-particle" : "", "family" : "Barisic", "given" : "Ivan",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"ITEM-4", "issue" : "7", "issued" : { "date-parts" : [ [ "2014" ] ] }, "page" : "1126-35", "title" : "Stable gastric pentadecapeptide BPC 157-NO-system relation.", "type" : "article-journal", "volume" : "20" }, "uris" : [ "http://www.mendeley.com/documents/?uuid=74ead48f-0c75-446a-a19b-49bb02b31992" ] }, { "id" : "ITEM-5", "itemData" : { "ISSN" : "1873-4286", "PMID" : "22950504", "abstract" : "Stable gastric pentadecapeptide BPC 157 is an anti-ulcer peptidergic agent, proven in clinical trials to be both safe in inflammatory bowel disease (PL-10, PLD-116, PL 14736) and wound healing, stable in human gastric juice, with no toxicity being reported. Recently, we claim that BPC 157 may be used as an antidote against NSAIDs. We focused on BPC 157 beneficial effects on stomach, duodenum, intestine, liver and brain injuries, adjuvant arthritis, pain, hyper/hypothermia, obstructive thrombus formation and thrombolysis, blood vessel function, counteraction of prolonged bleeding and thrombocytopenia after application of various anticoagulants and antiplatelet agents and wound healing improvement. The arguments for BPC 157 antidote activity (i.e., the role of BPC 157 in cytoprotection, being a novel mediator of Robert's cytoprotection and BPC 157 beneficial effects on NSAIDs mediated lesions in the gastrointestinal tract, liver and brain and finally, counteraction of aspirin-induced prolonged bleeding and thrombocytopenia) obviously have a counteracting effect on several established side-effects of NSAIDs use. The mentioned variety of the beneficial effects portrayed by BPC 157 may well be a foundation for establishing BPC 157 as a NSAIDs antidote since no other single agent has portrayed a similar array of effects. Unlike NSAIDs, a very high safety (no reported toxicity (LD1 could be not achieved)) profile is reported for BPC 157. Also, unlike the different dosage levels of aspirin, as a NSAIDs prototype, which differ by a factor of about ten, all these beneficial and counteracting effects of BPC 157 were obtained using the equipotent dosage (\u03bcg, ng/kg) in parenteral or peroral regimens.",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"Safic", "given" : "Hana", "non-dropping-particle" : "", "parse-names" : false, "suffix" : "" }, { "dropping-particle" : "", "family" : "Suran", "given" : "Jelena", "non-dropping-particle" : "", "parse-names" : false, "suffix" : "" }, { "dropping-particle" : "", "family" : "Rak", "given" : "Davor",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"ITEM-5", "issue" : "1", "issued" : { "date-parts" : [ [ "2013" ] ] }, "page" : "76-83", "title" : "Toxicity by NSAIDs. Counteraction by stable gastric pentadecapeptide BPC 157.", "type" : "article-journal", "volume" : "19" }, "uris" : [ "http://www.mendeley.com/documents/?uuid=b4d81bb8-a391-4622-abb3-23195e4a65ff" ] }, { "id" : "ITEM-6", "itemData" : { "ISSN" : "1875-533X", "PMID" : "22300085", "abstract" : "Stable gastric pentadecapeptide BPC 157 (GEPPPGKPADDAGLV, M.W. 1419) may be the new drug stable in human gastric juice, effective both in the upper and lower GI tract, and free of side effects. BPC 157, in addition to an antiulcer effect efficient in therapy of inflammatory bowel disease (IBD) (PL 14736) so far only tested in clinical phase II, has a very safe profile, and exhibited a particular wound healing effect. It also has shown to interact with the NO-system, providing endothelium protection and angiogenic effect, even in severely impaired conditions (i.e., it stimulated expression of early growth response 1 gene responsible for cytokine and growth factor generation and early extracellular matrix (collagen) formation (but also its repressor nerve growth factor 1-A binding protein-2)), important to counteract severe complications of advanced and poorly controlled IBD. Hopefully, the lessons from animal studies, particularly advanced intestinal anastomosis healing, reversed short bowel syndrome and fistula healing indicate BPC 157's high significance in further IBD therapy. Also, this supportive evidence (i.e., no toxic effect, limit test negative, LD1 not achieved, no side effect in trials) may counteract the problems commonly exercised in the use of peptidergic agents, particularly those used on a long-term basis.", "author" : [ { "dropping-particle" : "", "family" : "Sikiric", "given" : "P", "non-dropping-particle" : "", "parse-names" : false, "suffix" : "" }, { "dropping-particle" : "", "family" : "Seiwerth", "given" : "S", "non-dropping-particle" : "", "parse-names" : false, "suffix" : "" }, { "dropping-particle" : "", "family" : "Rucman", "given" : "R", "non-dropping-particle" : "", "parse-names" : false, "suffix" : "" }, { "dropping-particle" : "", "family" : "Turkovic", "given" : "B", "non-dropping-particle" : "", "parse-names" : false, "suffix" : "" }, { "dropping-particle" : "", "family" : "Rokotov", "given" : "D S", "non-dropping-particle" : "", "parse-names" : false, "suffix" : "" }, { "dropping-particle" : "", "family" : "Brcic", "given" : "L", "non-dropping-particle" : "", "parse-names" : false, "suffix" : "" }, { "dropping-particle" : "", "family" : "Sever", "given" : "M", "non-dropping-particle" : "", "parse-names" : false, "suffix" : "" }, { "dropping-particle" : "", "family" : "Klicek", "given" : "R", "non-dropping-particle" : "", "parse-names" : false, "suffix" : "" }, { "dropping-particle" : "", "family" : "Radic", "given" : "B", "non-dropping-particle" : "", "parse-names" : false, "suffix" : "" }, { "dropping-particle" : "", "family" : "Drmic", "given" : "D", "non-dropping-particle" : "", "parse-names" : false, "suffix" : "" }, { "dropping-particle" : "", "family" : "Ilic", "given" : "S", "non-dropping-particle" : "", "parse-names" : false, "suffix" : "" }, { "dropping-particle" : "", "family" : "Kolenc", "given" : "D", "non-dropping-particle" : "", "parse-names" : false, "suffix" : "" }, { "dropping-particle" : "", "family" : "Stambolija", "given" : "V", "non-dropping-particle" : "", "parse-names" : false, "suffix" : "" }, { "dropping-particle" : "", "family" : "Zoricic", "given" : "Z", "non-dropping-particle" : "", "parse-names" : false, "suffix" : "" }, { "dropping-particle" : "", "family" : "Vrcic", "given" : "H", "non-dropping-particle" : "", "parse-names" : false, "suffix" : "" }, { "dropping-particle" : "", "family" : "Sebecic", "given" : "B", "non-dropping-particle" : "", "parse-names" : false, "suffix" : "" } ], "container-title" : "Current medicinal chemistry", "id" : "ITEM-6", "issue" : "1", "issued" : { "date-parts" : [ [ "2012" ] ] }, "page" : "126-32", "title" : "Focus on ulcerative colitis: stable gastric pentadecapeptide BPC 157.", "type" : "article-journal", "volume" : "19" }, "uris" : [ "http://www.mendeley.com/documents/?uuid=82217b0f-1a75-4f5f-99de-cbbc916f534e" ] }, { "id" : "ITEM-7", "itemData" : { "DOI" : "10.2174/138161211796196954", "ISBN" : "1873-4286 (Electronic)\\n1381-6128 (Linking)", "ISSN" : "1873-4286", "PMID" : "21548867", "abstract" : "Stable gastric pentadecapeptide BPC 157 is an anti-ulcer peptidergic agent, safe in inflammatory bowel disease clinical trials (GEPPPGKPADDAGLV, M.W. 1419, PL 14736) and wound healing, stable in human gastric juice and has no reported toxicity. We focused on BPC 157 as a therapy in peridontitis, esophagus, stomach, duodenum, intestine, liver and pancreas lesions. Particularly, it has a prominent effect on alcohol-lesions (i.e., acute, chronic) and NSAIDs-lesions (interestingly, BPC 157 both prevents and reverses adjuvant arthritis). In rat esophagitis and failed function of both lower esophageal sphincter (LES) and pyloric sphincters (PS), BPC 157 increased pressure in both sphincters till normal and reduced esophagitis. However, in healthy rats, it may decrease (PS) or increase (LES) the pressure in sphincters. It has strong angiogenic potential, it acts protectively on endothelium, prevents and reverses thrombus formation after abdominal aorta anastomosis, affects many central disturbances (i.e., dopamine and 5-HT system), the NO-system (either L-arginine and L-NAME effects), endothelin, acts as a free radical scavenger (counteracting CCl4-, paracetamol-, diclofenac-injuries) and exhibits neuroprotective properties. BPC 157 successfully heals the intestinal anastomosis, gastrocutaneous, duodenocutaneous and colocutaneous fistulas in rats, as well as interacting with the NO-system. Interestingly, the fistula closure was achieved even when the BPC 157 therapy was postponed for one month. In short-bowel syndrome escalating throughout 4 weeks, the constant weight gain above preoperative values started immediately with peroral and parental BPC 157 therapy and the villus height, crypth depth and muscle thickness (inner (circular) muscular layer) additionally increased. Thus, BPC 157 may improve gastrointestinal tract therapy.",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"ITEM-7", "issue" : "16", "issued" : { "date-parts" : [ [ "2011" ] ] }, "page" : "1612-32", "title" : "Stable gastric pentadecapeptide BPC 157: novel therapy in gastrointestinal tract.", "type" : "article-journal", "volume" : "17" }, "uris" : [ "http://www.mendeley.com/documents/?uuid=0c326320-ddc2-4da8-939a-b8cfc65cd61b" ] }, { "id" : "ITEM-8", "itemData" : { "DOI" : "10.2174/138161210790945977", "ISBN" : "1873-4286 (Electronic)\\r1381-6128 (Linking)", "ISSN" : "13816128", "PMID" : "20166993", "abstract" : "The significance of cytoprotection and adaptive cytoprotection and the peptides importance remained to be not completely determined. BPC 157 is an anti-ulcer peptidergic agent, proven in clinical trials to be both safe in inflammatory bowel disease (PL-10, PLD-116, PL 14736) and wound healing, and stable in human gastric juice, with no toxicity being reported. It has a prominent effect on alcohol- lesions (i.e., induced acutely and chronically) and non-steroidal anti-inflammatory drugs-lesions (while interestingly BPC 157 may both prevent and reverse adjuvant arthritis). To review the importance of BPC 157, this review focused on Robert's cytoprotection concept described in rat stomach, reviewing our evidence that may resolve whether the cytoprotection and adaptive cytoprotection is an uniform phenomenon or not; whether the phenomenon or phenomena are endogenous or not, depending on nature of the irritants (mild or strong); whether this may contribute to stomach mucosa defense either when threaten by various ulcerogens or afforded by various antiulcer agents; whether these phenomena are uniform in whole gastrointestinal tract or not; whether they are interrelated or not. Finally, the importance of the cytoprotection phenomena and cytoprotection activity for skin wound healing, and wound healing in general was challenged. Thereby, this review focused on BPC 157 role in cytoprotection and adaptative cytoprotection suggesting that it may be the essential endogenous mediator able to mediate both cytoprotective and adaptive cytoprotective response in stomach and the whole gastrointestinal tract with significant importance in wound healing as well.", "author" : [ { "dropping-particle" : "", "family" : "Sikiric", "given" : "Predrag", "non-dropping-particle" : "", "parse-names" : false, "suffix" : "" }, { "dropping-particle" : "", "family" : "Seiwerth", "given" : "Sven",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"container-title" : "Current pharmaceutical design", "id" : "ITEM-8", "issue" : "10", "issued" : { "date-parts" : [ [ "2010" ] ] }, "page" : "1224-1234", "title" : "Revised Robert's cytoprotection and adaptive cytoprotection and stable gastric pentadecapeptide BPC 157. Possible significance and implications for novel mediator.", "type" : "article-journal", "volume" : "16" }, "uris" : [ "http://www.mendeley.com/documents/?uuid=e3cf6c8b-0484-4890-9aee-cda6592874b2" ] }, { "id" : "ITEM-9", "itemData" : { "DOI" : "10.1007/s10787-006-1531-7", "ISSN" : "0925-4692", "PMID" : "17186181", "abstract" : "Gastric pentadecapeptide BPC 157 (GEPPPGKPADDAGLV, M.W. 1419, safe in clinical trials for inflammatory bowel disease (PL 10, PLD 116, PLD 14736, Pliva, Croatia)) has a particular cytoprotective/adaptive cytoprotective activity. The cytoprotective/adaptive cytoprotection researches largely neglect that stomach distension could per se jeopardize the mucosal integrity, with constantly stretched mucosa and blood vessels, and sphincters more prone for reflux induction. After absolute alcohol instillation in fully distended rat stomach, gastric, esophageal and duodenal lesions occur. Throughout next 3 min, left gastric artery blood vessels clearly disappear at the serosal site, indicative for loss of vessels both integrity and function. Contrary, constant vessels presentation could predict the beneficial effect of applied agent. After pentadecapeptide BPC 157 instillation into the stomach the vessels presentation remains constant, and lesions of stomach, esophagus, and duodenum are inhibited. Standards (atropine, ranitidine, omeprazole) could only slightly improve the vessels presentation compared to control values, and they have only a partial effect on the lesions. In this review we emphasize BPC 157 unusual stability, and some of its important effects: effectiveness against various lesions in gastrointestinal tract, on nitric oxide (NO)-system, and NO-agents effects, on somatosensory neurons, salivary glands function, recovery of AMP-ADP-ATP system, endothelium protection, effect on endothelin, and on angiogenesis promotion. It also antagonizes other alcohol effects, including acute and chronic intoxication. Given peripherally, it counteracts the consequence of central dopamine system disturbances (receptor blockade), and induces serotonin release in substantia nigra. Therapeutic potential of BPC 157 as a cytoprotective agent is also seen in its capability to heal various wounds. Given directly into the stomach, BPC 157 instantly recovers disturbed lower esophageal and pyloric sphincter pressure in rats after 12-20 months of untreated esophagitis. All these could be suggestive for its role as a natural protectant in gastric juice with particular function throughout stomach distension.", "author" : [ { "dropping-particle" : "", "family" : "Sikiric", "given" : "P.", "non-dropping-particle" : "", "parse-names" : false, "suffix" : "" }, { "dropping-particle" : "", "family" : "Seiwerth", "given" : "S.", "non-dropping-particle" : "", "parse-names" : false, "suffix" : "" }, { "dropping-particle" : "", "family" : "Brcic", "given" : "L.", "non-dropping-particle" : "", "parse-names" : false, "suffix" : "" }, { "dropping-particle" : "", "family" : "Blagaic", "given" : "A B", "non-dropping-particle" : "", "parse-names" : false, "suffix" : "" }, { "dropping-particle" : "", "family" : "Zoricic", "given" : "I.", "non-dropping-particle" : "", "parse-names" : false, "suffix" : "" }, { "dropping-particle" : "", "family" : "Sever", "given" : "M.", "non-dropping-particle" : "", "parse-names" : false, "suffix" : "" }, { "dropping-particle" : "", "family" : "Klicek", "given" : "R.", "non-dropping-particle" : "", "parse-names" : false, "suffix" : "" }, { "dropping-particle" : "", "family" : "Radic", "given" : "B.", "non-dropping-particle" : "", "parse-names" : false, "suffix" : "" }, { "dropping-particle" : "", "family" : "Keller", "given" : "N.", "non-dropping-particle" : "", "parse-names" : false, "suffix" : "" }, { "dropping-particle" : "", "family" : "Sipos", "given" : "K.", "non-dropping-particle" : "", "parse-names" : false, "suffix" : "" }, { "dropping-particle" : "", "family" : "Jakir", "given" : "A.", "non-dropping-particle" : "", "parse-names" : false, "suffix" : "" }, { "dropping-particle" : "", "family" : "Udovicic", "given" : "M.", "non-dropping-particle" : "", "parse-names" : false, "suffix" : "" }, { "dropping-particle" : "", "family" : "Tonkic", "given" : "A.", "non-dropping-particle" : "", "parse-names" : false, "suffix" : "" }, { "dropping-particle" : "", "family" : "Kokic", "given" : "N.", "non-dropping-particle" : "", "parse-names" : false, "suffix" : "" }, { "dropping-particle" : "", "family" : "Turkovic", "given" : "B.", "non-dropping-particle" : "", "parse-names" : false, "suffix" : "" }, { "dropping-particle" : "", "family" : "Mise", "given" : "S.", "non-dropping-particle" : "", "parse-names" : false, "suffix" : "" }, { "dropping-particle" : "", "family" : "Anic", "given" : "T.", "non-dropping-particle" : "", "parse-names" : false, "suffix" : "" } ], "container-title" : "Inflammopharmacology", "id" : "ITEM-9", "issue" : "5-6", "issued" : { "date-parts" : [ [ "2006", "12" ] ] }, "page" : "214-21", "title" : "Stable gastric pentadecapeptide BPC 157 in trials for inflammatory bowel disease (PL-10, PLD-116, PL 14736, Pliva, Croatia). Full and distended stomach, and vascular response.", "type" : "article-journal", "volume" : "14" }, "uris" : [ "http://www.mendeley.com/documents/?uuid=a21321d3-6201-3777-b54c-60d2c5d4ff9a" ] }, { "id" : "ITEM-10", "itemData" : { "DOI" : "10.1016/0928-4257(93)90038-U", "ISSN" : "0928-4257", "PMID" : "8298609", "abstract" : "The possibility that the stomach, affected by general stress, might initiate a counter-response has not until recently been considered in theories of stress. We suggest that the stomach, as the most sensitive part of the gastrointestinal tract and the largest neuroendocrine organ in the body, is crucial for the initiation of a full stress response against all noxious stress pathology. The end result would be a strong protection of all organs invaded by 'stress'. Consistent with this assumption, this coping response is best explained in terms of 'organoprotection'. Endogenous organoprotectors (eg prostaglandins, somatostatin, dopamine) are proposed as mediators. Such an endogenous counteraction could even be afforded by their suitable application. A new gastric juice peptide, M(r) 40,000, named BPC, was recently isolated. Herein, a 15 amino acid fragment (BPC 157), thought to be essential for its activity, has been fully characterized and investigated. As has been demonstrated for many organoprotective agents using different models of various tissue lesions, despite the poorly understood final mechanism, practically all organ systems appear to benefit from BPC activity. These effects have been achieved in many species using very low dosages (mostly microgram and ng/kg range) after ip, ig, and intramucosal (local) application. The effect was apparent already after one application. Long lasting activity was also demonstrated. BPC was highly effective when applied simultaneously with noxious agents or in already pathological, as well as chronical, conditions. Therefore, it seems that BPC treatment does not share any of the so far known limitations for 'conventional organoprotectors'. No influence on different basal parameters and no toxicity were observed. These findings provide a breakthrough in stress theory. BPC, as a possible endogenous free radical scavenger and organoprotection mediator, could be a useful prototype of a new class of drugs, organoprotective agents.", "author" : [ { "dropping-particle" : "", "family" : "Sikiri\u0107", "given" : "P.", "non-dropping-particle" : "", "parse-names" : false, "suffix" : "" }, { "dropping-particle" : "", "family" : "Petek", "given" : "M.", "non-dropping-particle" : "", "parse-names" : false, "suffix" : "" }, { "dropping-particle" : "", "family" : "Rucman", "given" : "R", "non-dropping-particle" : "", "parse-names" : false, "suffix" : "" }, { "dropping-particle" : "", "family" : "Seiwerth", "given" : "S.", "non-dropping-particle" : "", "parse-names" : false, "suffix" : "" }, { "dropping-particle" : "", "family" : "Grabarevi\u0107", "given" : "Z.", "non-dropping-particle" : "", "parse-names" : false, "suffix" : "" }, { "dropping-particle" : "", "family" : "Rotkvi\u0107", "given" : "I.", "non-dropping-particle" : "", "parse-names" : false, "suffix" : "" }, { "dropping-particle" : "", "family" : "Turkovi\u0107", "given" : "B.", "non-dropping-particle" : "", "parse-names" : false, "suffix" : "" }, { "dropping-particle" : "", "family" : "Jagi\u0107", "given" : "V.", "non-dropping-particle" : "", "parse-names" : false, "suffix" : "" }, { "dropping-particle" : "", "family" : "Mildner", "given" : "B.", "non-dropping-particle" : "", "parse-names" : false, "suffix" : "" }, { "dropping-particle" : "", "family" : "Duvnjak", "given" : "M.", "non-dropping-particle" : "", "parse-names" : false, "suffix" : "" } ], "container-title" : "Journal of physiology, Paris", "id" : "ITEM-10", "issue" : "5", "issued" : { "date-parts" : [ [ "1993" ] ] }, "page" : "313-27", "title" : "A new gastric juice peptide, BPC. An overview of the stomach-stress-organoprotection hypothesis and beneficial effects of BPC.", "type" : "article-journal", "volume" : "87" }, "uris" : [ "http://www.mendeley.com/documents/?uuid=f738bbb1-8d16-31eb-a5d7-6f273100aa96" ] } ], "mendeley" : { "formattedCitation" : "&lt;sup&gt;[1\u201310]&lt;/sup&gt;", "plainTextFormattedCitation" : "[1\u201310]", "previouslyFormattedCitation" : "(Seiwerth et al., 2014; Sikiric et al., 2017, 2016, 2014, 2013, 2012, 2011, 2010, 2006; Sikiri\u0107 et al., 1993)" }, "properties" : {  }, "schema" : "https://github.com/citation-style-language/schema/raw/master/csl-citation.json" }</w:instrText>
      </w:r>
      <w:r w:rsidRPr="00CC34A3">
        <w:rPr>
          <w:rFonts w:ascii="Book Antiqua" w:eastAsia="Calibri" w:hAnsi="Book Antiqua" w:cs="Courier New"/>
          <w:color w:val="000000" w:themeColor="text1"/>
          <w:sz w:val="24"/>
          <w:szCs w:val="24"/>
          <w:lang w:val="en-US" w:eastAsia="en-US"/>
        </w:rPr>
        <w:fldChar w:fldCharType="separate"/>
      </w:r>
      <w:r w:rsidRPr="00CC34A3">
        <w:rPr>
          <w:rFonts w:ascii="Book Antiqua" w:eastAsia="Calibri" w:hAnsi="Book Antiqua" w:cs="Courier New"/>
          <w:color w:val="000000" w:themeColor="text1"/>
          <w:sz w:val="24"/>
          <w:szCs w:val="24"/>
          <w:vertAlign w:val="superscript"/>
          <w:lang w:val="en-US" w:eastAsia="en-US"/>
        </w:rPr>
        <w:t>[1–10]</w:t>
      </w:r>
      <w:r w:rsidRPr="00CC34A3">
        <w:rPr>
          <w:rFonts w:ascii="Book Antiqua" w:eastAsia="Calibri" w:hAnsi="Book Antiqua" w:cs="Courier New"/>
          <w:color w:val="000000" w:themeColor="text1"/>
          <w:sz w:val="24"/>
          <w:szCs w:val="24"/>
          <w:lang w:val="en-US" w:eastAsia="en-US"/>
        </w:rPr>
        <w:fldChar w:fldCharType="end"/>
      </w:r>
      <w:r w:rsidRPr="00CC34A3">
        <w:rPr>
          <w:rFonts w:ascii="Book Antiqua" w:hAnsi="Book Antiqua" w:cs="Courier New"/>
          <w:color w:val="000000" w:themeColor="text1"/>
          <w:sz w:val="24"/>
          <w:szCs w:val="24"/>
          <w:lang w:val="en-US"/>
        </w:rPr>
        <w:t>.</w:t>
      </w:r>
    </w:p>
    <w:p w14:paraId="204622A3" w14:textId="77777777" w:rsidR="005E3D33" w:rsidRPr="00CC34A3" w:rsidRDefault="005E3D33" w:rsidP="00CC34A3">
      <w:pPr>
        <w:autoSpaceDE w:val="0"/>
        <w:autoSpaceDN w:val="0"/>
        <w:adjustRightInd w:val="0"/>
        <w:snapToGrid w:val="0"/>
        <w:spacing w:after="0" w:line="360" w:lineRule="auto"/>
        <w:jc w:val="both"/>
        <w:rPr>
          <w:rFonts w:ascii="Book Antiqua" w:hAnsi="Book Antiqua" w:cs="Times New Roman"/>
          <w:color w:val="000000" w:themeColor="text1"/>
          <w:sz w:val="24"/>
          <w:szCs w:val="24"/>
          <w:lang w:val="en-US"/>
        </w:rPr>
      </w:pPr>
    </w:p>
    <w:p w14:paraId="3DAB98AA" w14:textId="01ABBE21" w:rsidR="002A7CCE" w:rsidRPr="00CC34A3" w:rsidRDefault="001251FF" w:rsidP="00CC34A3">
      <w:pPr>
        <w:autoSpaceDE w:val="0"/>
        <w:autoSpaceDN w:val="0"/>
        <w:adjustRightInd w:val="0"/>
        <w:snapToGrid w:val="0"/>
        <w:spacing w:after="0" w:line="360" w:lineRule="auto"/>
        <w:jc w:val="both"/>
        <w:outlineLvl w:val="0"/>
        <w:rPr>
          <w:rFonts w:ascii="Book Antiqua" w:hAnsi="Book Antiqua" w:cs="Times New Roman"/>
          <w:b/>
          <w:bCs/>
          <w:i/>
          <w:iCs/>
          <w:color w:val="000000" w:themeColor="text1"/>
          <w:sz w:val="24"/>
          <w:szCs w:val="24"/>
          <w:lang w:val="en-US"/>
        </w:rPr>
      </w:pPr>
      <w:r w:rsidRPr="00CC34A3">
        <w:rPr>
          <w:rFonts w:ascii="Book Antiqua" w:hAnsi="Book Antiqua" w:cs="Times New Roman"/>
          <w:b/>
          <w:bCs/>
          <w:i/>
          <w:iCs/>
          <w:color w:val="000000" w:themeColor="text1"/>
          <w:sz w:val="24"/>
          <w:szCs w:val="24"/>
          <w:lang w:val="en-US"/>
        </w:rPr>
        <w:t>Experimental procedure and assessment</w:t>
      </w:r>
    </w:p>
    <w:p w14:paraId="42D17264" w14:textId="3B1EFE83" w:rsidR="006E2B0A" w:rsidRPr="00CC34A3" w:rsidRDefault="00F07FF7" w:rsidP="00CC34A3">
      <w:pPr>
        <w:autoSpaceDE w:val="0"/>
        <w:autoSpaceDN w:val="0"/>
        <w:adjustRightInd w:val="0"/>
        <w:snapToGrid w:val="0"/>
        <w:spacing w:after="0" w:line="360" w:lineRule="auto"/>
        <w:jc w:val="both"/>
        <w:rPr>
          <w:rFonts w:ascii="Book Antiqua" w:hAnsi="Book Antiqua" w:cs="Times New Roman"/>
          <w:color w:val="000000" w:themeColor="text1"/>
          <w:sz w:val="24"/>
          <w:szCs w:val="24"/>
          <w:lang w:val="en-US"/>
        </w:rPr>
      </w:pPr>
      <w:r w:rsidRPr="00CC34A3">
        <w:rPr>
          <w:rFonts w:ascii="Book Antiqua" w:hAnsi="Book Antiqua" w:cs="Times New Roman"/>
          <w:b/>
          <w:color w:val="000000" w:themeColor="text1"/>
          <w:sz w:val="24"/>
          <w:szCs w:val="24"/>
          <w:lang w:val="en-US"/>
        </w:rPr>
        <w:t>Surgery</w:t>
      </w:r>
      <w:r w:rsidR="00F33A5D" w:rsidRPr="00CC34A3">
        <w:rPr>
          <w:rFonts w:ascii="Book Antiqua" w:hAnsi="Book Antiqua" w:cs="Times New Roman"/>
          <w:b/>
          <w:color w:val="000000" w:themeColor="text1"/>
          <w:sz w:val="24"/>
          <w:szCs w:val="24"/>
          <w:lang w:val="en-US"/>
        </w:rPr>
        <w:t>:</w:t>
      </w:r>
      <w:r w:rsidRPr="00CC34A3">
        <w:rPr>
          <w:rFonts w:ascii="Book Antiqua" w:hAnsi="Book Antiqua" w:cs="Times New Roman"/>
          <w:color w:val="000000" w:themeColor="text1"/>
          <w:sz w:val="24"/>
          <w:szCs w:val="24"/>
          <w:lang w:val="en-US"/>
        </w:rPr>
        <w:t xml:space="preserve"> </w:t>
      </w:r>
      <w:r w:rsidR="002A7CCE" w:rsidRPr="00CC34A3">
        <w:rPr>
          <w:rFonts w:ascii="Book Antiqua" w:hAnsi="Book Antiqua" w:cs="Times New Roman"/>
          <w:color w:val="000000" w:themeColor="text1"/>
          <w:sz w:val="24"/>
          <w:szCs w:val="24"/>
          <w:lang w:val="en-US"/>
        </w:rPr>
        <w:t xml:space="preserve">The surgery was conducted in deeply anesthetized rats. </w:t>
      </w:r>
      <w:r w:rsidR="006C4B3C" w:rsidRPr="00CC34A3">
        <w:rPr>
          <w:rFonts w:ascii="Book Antiqua" w:hAnsi="Book Antiqua" w:cs="Times New Roman"/>
          <w:color w:val="000000" w:themeColor="text1"/>
          <w:sz w:val="24"/>
          <w:szCs w:val="24"/>
          <w:lang w:val="en-US"/>
        </w:rPr>
        <w:t xml:space="preserve">The </w:t>
      </w:r>
      <w:r w:rsidR="003021B3" w:rsidRPr="00CC34A3">
        <w:rPr>
          <w:rFonts w:ascii="Book Antiqua" w:hAnsi="Book Antiqua" w:cs="Times New Roman"/>
          <w:color w:val="000000" w:themeColor="text1"/>
          <w:sz w:val="24"/>
          <w:szCs w:val="24"/>
          <w:lang w:val="en-US"/>
        </w:rPr>
        <w:t>SAPDV</w:t>
      </w:r>
      <w:r w:rsidR="002A7CCE" w:rsidRPr="00CC34A3">
        <w:rPr>
          <w:rFonts w:ascii="Book Antiqua" w:hAnsi="Book Antiqua" w:cs="Times New Roman"/>
          <w:color w:val="000000" w:themeColor="text1"/>
          <w:sz w:val="24"/>
          <w:szCs w:val="24"/>
          <w:lang w:val="en-US"/>
        </w:rPr>
        <w:t xml:space="preserve"> was occluded by ligation (</w:t>
      </w:r>
      <w:proofErr w:type="spellStart"/>
      <w:r w:rsidR="002A7CCE" w:rsidRPr="00CC34A3">
        <w:rPr>
          <w:rFonts w:ascii="Book Antiqua" w:hAnsi="Book Antiqua" w:cs="Times New Roman"/>
          <w:color w:val="000000" w:themeColor="text1"/>
          <w:sz w:val="24"/>
          <w:szCs w:val="24"/>
          <w:lang w:val="en-US"/>
        </w:rPr>
        <w:t>Premilene</w:t>
      </w:r>
      <w:proofErr w:type="spellEnd"/>
      <w:r w:rsidR="002A7CCE" w:rsidRPr="00CC34A3">
        <w:rPr>
          <w:rFonts w:ascii="Book Antiqua" w:hAnsi="Book Antiqua" w:cs="Times New Roman"/>
          <w:color w:val="000000" w:themeColor="text1"/>
          <w:sz w:val="24"/>
          <w:szCs w:val="24"/>
          <w:lang w:val="en-US"/>
        </w:rPr>
        <w:t xml:space="preserve"> 7/0, Braun)</w:t>
      </w:r>
      <w:r w:rsidR="006C4B3C" w:rsidRPr="00CC34A3">
        <w:rPr>
          <w:rFonts w:ascii="Book Antiqua" w:hAnsi="Book Antiqua" w:cs="Times New Roman"/>
          <w:color w:val="000000" w:themeColor="text1"/>
          <w:sz w:val="24"/>
          <w:szCs w:val="24"/>
          <w:lang w:val="en-US"/>
        </w:rPr>
        <w:t xml:space="preserve"> </w:t>
      </w:r>
      <w:r w:rsidR="006A5C33" w:rsidRPr="00CC34A3">
        <w:rPr>
          <w:rFonts w:ascii="Book Antiqua" w:hAnsi="Book Antiqua" w:cs="Times New Roman"/>
          <w:color w:val="000000" w:themeColor="text1"/>
          <w:sz w:val="24"/>
          <w:szCs w:val="24"/>
          <w:lang w:val="en-US"/>
        </w:rPr>
        <w:t>of</w:t>
      </w:r>
      <w:r w:rsidR="002A7CCE" w:rsidRPr="00CC34A3">
        <w:rPr>
          <w:rFonts w:ascii="Book Antiqua" w:hAnsi="Book Antiqua" w:cs="Times New Roman"/>
          <w:color w:val="000000" w:themeColor="text1"/>
          <w:sz w:val="24"/>
          <w:szCs w:val="24"/>
          <w:lang w:val="en-US"/>
        </w:rPr>
        <w:t xml:space="preserve"> 5 ar</w:t>
      </w:r>
      <w:r w:rsidRPr="00CC34A3">
        <w:rPr>
          <w:rFonts w:ascii="Book Antiqua" w:hAnsi="Book Antiqua" w:cs="Times New Roman"/>
          <w:color w:val="000000" w:themeColor="text1"/>
          <w:sz w:val="24"/>
          <w:szCs w:val="24"/>
          <w:lang w:val="en-US"/>
        </w:rPr>
        <w:t xml:space="preserve">cade vessels at </w:t>
      </w:r>
      <w:r w:rsidR="006C4B3C" w:rsidRPr="00CC34A3">
        <w:rPr>
          <w:rFonts w:ascii="Book Antiqua" w:hAnsi="Book Antiqua" w:cs="Times New Roman"/>
          <w:color w:val="000000" w:themeColor="text1"/>
          <w:sz w:val="24"/>
          <w:szCs w:val="24"/>
          <w:lang w:val="en-US"/>
        </w:rPr>
        <w:t xml:space="preserve">the </w:t>
      </w:r>
      <w:r w:rsidRPr="00CC34A3">
        <w:rPr>
          <w:rFonts w:ascii="Book Antiqua" w:hAnsi="Book Antiqua" w:cs="Times New Roman"/>
          <w:color w:val="000000" w:themeColor="text1"/>
          <w:sz w:val="24"/>
          <w:szCs w:val="24"/>
          <w:lang w:val="en-US"/>
        </w:rPr>
        <w:t xml:space="preserve">duodenal serosa </w:t>
      </w:r>
      <w:r w:rsidR="002A7CCE" w:rsidRPr="00CC34A3">
        <w:rPr>
          <w:rFonts w:ascii="Book Antiqua" w:hAnsi="Book Antiqua" w:cs="Times New Roman"/>
          <w:color w:val="000000" w:themeColor="text1"/>
          <w:sz w:val="24"/>
          <w:szCs w:val="24"/>
          <w:lang w:val="en-US"/>
        </w:rPr>
        <w:t xml:space="preserve">within the SAPDV </w:t>
      </w:r>
      <w:r w:rsidR="006C4B3C" w:rsidRPr="00CC34A3">
        <w:rPr>
          <w:rFonts w:ascii="Book Antiqua" w:hAnsi="Book Antiqua" w:cs="Times New Roman"/>
          <w:color w:val="000000" w:themeColor="text1"/>
          <w:sz w:val="24"/>
          <w:szCs w:val="24"/>
          <w:lang w:val="en-US"/>
        </w:rPr>
        <w:t>branches</w:t>
      </w:r>
      <w:r w:rsidR="006A5C33" w:rsidRPr="00CC34A3">
        <w:rPr>
          <w:rFonts w:ascii="Book Antiqua" w:hAnsi="Book Antiqua" w:cs="Times New Roman"/>
          <w:color w:val="000000" w:themeColor="text1"/>
          <w:sz w:val="24"/>
          <w:szCs w:val="24"/>
          <w:lang w:val="en-US"/>
        </w:rPr>
        <w:t>.</w:t>
      </w:r>
      <w:r w:rsidR="002A7CCE" w:rsidRPr="00CC34A3">
        <w:rPr>
          <w:rFonts w:ascii="Book Antiqua" w:hAnsi="Book Antiqua" w:cs="Times New Roman"/>
          <w:color w:val="000000" w:themeColor="text1"/>
          <w:sz w:val="24"/>
          <w:szCs w:val="24"/>
          <w:lang w:val="en-US"/>
        </w:rPr>
        <w:t xml:space="preserve"> </w:t>
      </w:r>
      <w:r w:rsidR="006A5C33" w:rsidRPr="00CC34A3">
        <w:rPr>
          <w:rFonts w:ascii="Book Antiqua" w:hAnsi="Book Antiqua" w:cs="Times New Roman"/>
          <w:color w:val="000000" w:themeColor="text1"/>
          <w:sz w:val="24"/>
          <w:szCs w:val="24"/>
          <w:lang w:val="en-US"/>
        </w:rPr>
        <w:t>T</w:t>
      </w:r>
      <w:r w:rsidR="002A7CCE" w:rsidRPr="00CC34A3">
        <w:rPr>
          <w:rFonts w:ascii="Book Antiqua" w:hAnsi="Book Antiqua" w:cs="Times New Roman"/>
          <w:color w:val="000000" w:themeColor="text1"/>
          <w:sz w:val="24"/>
          <w:szCs w:val="24"/>
          <w:lang w:val="en-US"/>
        </w:rPr>
        <w:t>he 30</w:t>
      </w:r>
      <w:r w:rsidR="00F33A5D" w:rsidRPr="00CC34A3">
        <w:rPr>
          <w:rFonts w:ascii="Book Antiqua" w:hAnsi="Book Antiqua" w:cs="Times New Roman"/>
          <w:color w:val="000000" w:themeColor="text1"/>
          <w:sz w:val="24"/>
          <w:szCs w:val="24"/>
          <w:lang w:val="en-US"/>
        </w:rPr>
        <w:t>-</w:t>
      </w:r>
      <w:r w:rsidR="002A7CCE" w:rsidRPr="00CC34A3">
        <w:rPr>
          <w:rFonts w:ascii="Book Antiqua" w:hAnsi="Book Antiqua" w:cs="Times New Roman"/>
          <w:color w:val="000000" w:themeColor="text1"/>
          <w:sz w:val="24"/>
          <w:szCs w:val="24"/>
          <w:lang w:val="en-US"/>
        </w:rPr>
        <w:t xml:space="preserve">mm blood-flow </w:t>
      </w:r>
      <w:r w:rsidR="006E6E9D" w:rsidRPr="00CC34A3">
        <w:rPr>
          <w:rFonts w:ascii="Book Antiqua" w:hAnsi="Book Antiqua" w:cs="Times New Roman"/>
          <w:color w:val="000000" w:themeColor="text1"/>
          <w:sz w:val="24"/>
          <w:szCs w:val="24"/>
          <w:lang w:val="en-US"/>
        </w:rPr>
        <w:t>affec</w:t>
      </w:r>
      <w:r w:rsidR="006A5C33" w:rsidRPr="00CC34A3">
        <w:rPr>
          <w:rFonts w:ascii="Book Antiqua" w:hAnsi="Book Antiqua" w:cs="Times New Roman"/>
          <w:color w:val="000000" w:themeColor="text1"/>
          <w:sz w:val="24"/>
          <w:szCs w:val="24"/>
          <w:lang w:val="en-US"/>
        </w:rPr>
        <w:t>ting a</w:t>
      </w:r>
      <w:r w:rsidR="002A7CCE" w:rsidRPr="00CC34A3">
        <w:rPr>
          <w:rFonts w:ascii="Book Antiqua" w:hAnsi="Book Antiqua" w:cs="Times New Roman"/>
          <w:color w:val="000000" w:themeColor="text1"/>
          <w:sz w:val="24"/>
          <w:szCs w:val="24"/>
          <w:lang w:val="en-US"/>
        </w:rPr>
        <w:t xml:space="preserve"> duodenum segment</w:t>
      </w:r>
      <w:r w:rsidRPr="00CC34A3">
        <w:rPr>
          <w:rFonts w:ascii="Book Antiqua" w:hAnsi="Book Antiqua" w:cs="Times New Roman"/>
          <w:color w:val="000000" w:themeColor="text1"/>
          <w:sz w:val="24"/>
          <w:szCs w:val="24"/>
          <w:lang w:val="en-US"/>
        </w:rPr>
        <w:t xml:space="preserve"> was marked </w:t>
      </w:r>
      <w:r w:rsidR="00F33A5D" w:rsidRPr="00CC34A3">
        <w:rPr>
          <w:rFonts w:ascii="Book Antiqua" w:hAnsi="Book Antiqua" w:cs="Times New Roman"/>
          <w:color w:val="000000" w:themeColor="text1"/>
          <w:sz w:val="24"/>
          <w:szCs w:val="24"/>
          <w:lang w:val="en-US"/>
        </w:rPr>
        <w:t>(Figure</w:t>
      </w:r>
      <w:r w:rsidR="001251FF" w:rsidRPr="00CC34A3">
        <w:rPr>
          <w:rFonts w:ascii="Book Antiqua" w:hAnsi="Book Antiqua" w:cs="Times New Roman"/>
          <w:color w:val="000000" w:themeColor="text1"/>
          <w:sz w:val="24"/>
          <w:szCs w:val="24"/>
          <w:lang w:val="en-US"/>
        </w:rPr>
        <w:t xml:space="preserve"> 1)</w:t>
      </w:r>
      <w:r w:rsidR="00773972" w:rsidRPr="00CC34A3">
        <w:rPr>
          <w:rFonts w:ascii="Book Antiqua" w:hAnsi="Book Antiqua" w:cs="Times New Roman"/>
          <w:color w:val="000000" w:themeColor="text1"/>
          <w:sz w:val="24"/>
          <w:szCs w:val="24"/>
          <w:lang w:val="en-US"/>
        </w:rPr>
        <w:t>.</w:t>
      </w:r>
    </w:p>
    <w:p w14:paraId="4D5F550E" w14:textId="77777777" w:rsidR="00F33A5D" w:rsidRPr="00CC34A3" w:rsidRDefault="00F33A5D" w:rsidP="00CC34A3">
      <w:pPr>
        <w:autoSpaceDE w:val="0"/>
        <w:autoSpaceDN w:val="0"/>
        <w:adjustRightInd w:val="0"/>
        <w:snapToGrid w:val="0"/>
        <w:spacing w:after="0" w:line="360" w:lineRule="auto"/>
        <w:jc w:val="both"/>
        <w:rPr>
          <w:rFonts w:ascii="Book Antiqua" w:hAnsi="Book Antiqua" w:cs="Times New Roman"/>
          <w:b/>
          <w:color w:val="000000" w:themeColor="text1"/>
          <w:sz w:val="24"/>
          <w:szCs w:val="24"/>
          <w:lang w:val="en-US"/>
        </w:rPr>
      </w:pPr>
    </w:p>
    <w:p w14:paraId="7BBC047F" w14:textId="394D0E79" w:rsidR="00890A0F" w:rsidRPr="00CC34A3" w:rsidRDefault="00F07FF7" w:rsidP="00CC34A3">
      <w:pPr>
        <w:autoSpaceDE w:val="0"/>
        <w:autoSpaceDN w:val="0"/>
        <w:adjustRightInd w:val="0"/>
        <w:snapToGrid w:val="0"/>
        <w:spacing w:after="0" w:line="360" w:lineRule="auto"/>
        <w:jc w:val="both"/>
        <w:rPr>
          <w:rFonts w:ascii="Book Antiqua" w:hAnsi="Book Antiqua" w:cs="Courier New"/>
          <w:color w:val="000000" w:themeColor="text1"/>
          <w:sz w:val="24"/>
          <w:szCs w:val="24"/>
          <w:lang w:val="en-US"/>
        </w:rPr>
      </w:pPr>
      <w:r w:rsidRPr="00CC34A3">
        <w:rPr>
          <w:rFonts w:ascii="Book Antiqua" w:hAnsi="Book Antiqua" w:cs="Times New Roman"/>
          <w:b/>
          <w:color w:val="000000" w:themeColor="text1"/>
          <w:sz w:val="24"/>
          <w:szCs w:val="24"/>
          <w:lang w:val="en-US"/>
        </w:rPr>
        <w:t>Medication</w:t>
      </w:r>
      <w:r w:rsidR="00F33A5D" w:rsidRPr="00CC34A3">
        <w:rPr>
          <w:rFonts w:ascii="Book Antiqua" w:hAnsi="Book Antiqua" w:cs="Times New Roman"/>
          <w:b/>
          <w:color w:val="000000" w:themeColor="text1"/>
          <w:sz w:val="24"/>
          <w:szCs w:val="24"/>
          <w:lang w:val="en-US"/>
        </w:rPr>
        <w:t>:</w:t>
      </w:r>
      <w:r w:rsidRPr="00CC34A3">
        <w:rPr>
          <w:rFonts w:ascii="Book Antiqua" w:hAnsi="Book Antiqua" w:cs="Times New Roman"/>
          <w:color w:val="000000" w:themeColor="text1"/>
          <w:sz w:val="24"/>
          <w:szCs w:val="24"/>
          <w:lang w:val="en-US"/>
        </w:rPr>
        <w:t xml:space="preserve"> </w:t>
      </w:r>
      <w:r w:rsidR="00890A0F" w:rsidRPr="00CC34A3">
        <w:rPr>
          <w:rFonts w:ascii="Book Antiqua" w:hAnsi="Book Antiqua" w:cs="Courier New"/>
          <w:color w:val="000000" w:themeColor="text1"/>
          <w:sz w:val="24"/>
          <w:szCs w:val="24"/>
          <w:lang w:val="en-US"/>
        </w:rPr>
        <w:t>We used two regimens of BPC 1</w:t>
      </w:r>
      <w:r w:rsidR="00372F82" w:rsidRPr="00CC34A3">
        <w:rPr>
          <w:rFonts w:ascii="Book Antiqua" w:hAnsi="Book Antiqua" w:cs="Courier New"/>
          <w:color w:val="000000" w:themeColor="text1"/>
          <w:sz w:val="24"/>
          <w:szCs w:val="24"/>
          <w:lang w:val="en-US"/>
        </w:rPr>
        <w:t xml:space="preserve">57 application: 10 </w:t>
      </w:r>
      <w:proofErr w:type="spellStart"/>
      <w:r w:rsidR="00372F82" w:rsidRPr="00CC34A3">
        <w:rPr>
          <w:rFonts w:ascii="Book Antiqua" w:hAnsi="Book Antiqua" w:cs="Courier New"/>
          <w:color w:val="000000" w:themeColor="text1"/>
          <w:sz w:val="24"/>
          <w:szCs w:val="24"/>
          <w:lang w:val="en-US"/>
        </w:rPr>
        <w:t>μg</w:t>
      </w:r>
      <w:proofErr w:type="spellEnd"/>
      <w:r w:rsidR="00372F82" w:rsidRPr="00CC34A3">
        <w:rPr>
          <w:rFonts w:ascii="Book Antiqua" w:hAnsi="Book Antiqua" w:cs="Courier New"/>
          <w:color w:val="000000" w:themeColor="text1"/>
          <w:sz w:val="24"/>
          <w:szCs w:val="24"/>
          <w:lang w:val="en-US"/>
        </w:rPr>
        <w:t xml:space="preserve">, 10 ng/kg per </w:t>
      </w:r>
      <w:r w:rsidR="00890A0F" w:rsidRPr="00CC34A3">
        <w:rPr>
          <w:rFonts w:ascii="Book Antiqua" w:hAnsi="Book Antiqua" w:cs="Courier New"/>
          <w:color w:val="000000" w:themeColor="text1"/>
          <w:sz w:val="24"/>
          <w:szCs w:val="24"/>
          <w:lang w:val="en-US"/>
        </w:rPr>
        <w:t xml:space="preserve">1 mL bath/rat or 10 </w:t>
      </w:r>
      <w:proofErr w:type="spellStart"/>
      <w:r w:rsidR="00890A0F" w:rsidRPr="00CC34A3">
        <w:rPr>
          <w:rFonts w:ascii="Book Antiqua" w:hAnsi="Book Antiqua" w:cs="Courier New"/>
          <w:color w:val="000000" w:themeColor="text1"/>
          <w:sz w:val="24"/>
          <w:szCs w:val="24"/>
          <w:lang w:val="en-US"/>
        </w:rPr>
        <w:t>μg</w:t>
      </w:r>
      <w:proofErr w:type="spellEnd"/>
      <w:r w:rsidR="00890A0F" w:rsidRPr="00CC34A3">
        <w:rPr>
          <w:rFonts w:ascii="Book Antiqua" w:hAnsi="Book Antiqua" w:cs="Courier New"/>
          <w:color w:val="000000" w:themeColor="text1"/>
          <w:sz w:val="24"/>
          <w:szCs w:val="24"/>
          <w:lang w:val="en-US"/>
        </w:rPr>
        <w:t>/kg instilled into the rat stomach, at 1 min ligation-time. To investigate the effect of NO-agents (L-NAME (NO-system-blockade), L-arginine (NO-system over-stimulation); L-NAME+L-arginine (NO-system immobili</w:t>
      </w:r>
      <w:r w:rsidR="00E82FF0" w:rsidRPr="00CC34A3">
        <w:rPr>
          <w:rFonts w:ascii="Book Antiqua" w:hAnsi="Book Antiqua" w:cs="Courier New"/>
          <w:color w:val="000000" w:themeColor="text1"/>
          <w:sz w:val="24"/>
          <w:szCs w:val="24"/>
          <w:lang w:val="en-US"/>
        </w:rPr>
        <w:t xml:space="preserve">zation)) we used L-NAME 5 mg/kg per </w:t>
      </w:r>
      <w:r w:rsidR="00890A0F" w:rsidRPr="00CC34A3">
        <w:rPr>
          <w:rFonts w:ascii="Book Antiqua" w:hAnsi="Book Antiqua" w:cs="Courier New"/>
          <w:color w:val="000000" w:themeColor="text1"/>
          <w:sz w:val="24"/>
          <w:szCs w:val="24"/>
          <w:lang w:val="en-US"/>
        </w:rPr>
        <w:t>1 mL</w:t>
      </w:r>
      <w:r w:rsidR="00E82FF0" w:rsidRPr="00CC34A3">
        <w:rPr>
          <w:rFonts w:ascii="Book Antiqua" w:hAnsi="Book Antiqua" w:cs="Courier New"/>
          <w:color w:val="000000" w:themeColor="text1"/>
          <w:sz w:val="24"/>
          <w:szCs w:val="24"/>
          <w:lang w:val="en-US"/>
        </w:rPr>
        <w:t xml:space="preserve"> bath/rat; L-arginine 100 mg/kg per </w:t>
      </w:r>
      <w:r w:rsidR="00890A0F" w:rsidRPr="00CC34A3">
        <w:rPr>
          <w:rFonts w:ascii="Book Antiqua" w:hAnsi="Book Antiqua" w:cs="Courier New"/>
          <w:color w:val="000000" w:themeColor="text1"/>
          <w:sz w:val="24"/>
          <w:szCs w:val="24"/>
          <w:lang w:val="en-US"/>
        </w:rPr>
        <w:t xml:space="preserve">1 mL bath/rat, alone and/or together. Controls received a saline bath of equal volume at 1 min of ligation time or an equal volume of saline instilled into the stomach of the </w:t>
      </w:r>
      <w:r w:rsidR="00992FA2" w:rsidRPr="00CC34A3">
        <w:rPr>
          <w:rFonts w:ascii="Book Antiqua" w:hAnsi="Book Antiqua" w:cs="Courier New"/>
          <w:color w:val="000000" w:themeColor="text1"/>
          <w:sz w:val="24"/>
          <w:szCs w:val="24"/>
          <w:lang w:val="en-US"/>
        </w:rPr>
        <w:t>SAPDV</w:t>
      </w:r>
      <w:r w:rsidR="00890A0F" w:rsidRPr="00CC34A3">
        <w:rPr>
          <w:rFonts w:ascii="Book Antiqua" w:hAnsi="Book Antiqua" w:cs="Courier New"/>
          <w:color w:val="000000" w:themeColor="text1"/>
          <w:sz w:val="24"/>
          <w:szCs w:val="24"/>
          <w:lang w:val="en-US"/>
        </w:rPr>
        <w:t>-ligated rats.</w:t>
      </w:r>
    </w:p>
    <w:p w14:paraId="5E827CE5" w14:textId="77777777" w:rsidR="00270FB7" w:rsidRPr="00CC34A3" w:rsidRDefault="00270FB7" w:rsidP="00CC34A3">
      <w:pPr>
        <w:autoSpaceDE w:val="0"/>
        <w:autoSpaceDN w:val="0"/>
        <w:adjustRightInd w:val="0"/>
        <w:snapToGrid w:val="0"/>
        <w:spacing w:after="0" w:line="360" w:lineRule="auto"/>
        <w:jc w:val="both"/>
        <w:rPr>
          <w:rFonts w:ascii="Book Antiqua" w:hAnsi="Book Antiqua" w:cs="Courier New"/>
          <w:color w:val="000000" w:themeColor="text1"/>
          <w:sz w:val="24"/>
          <w:szCs w:val="24"/>
          <w:lang w:val="en-US"/>
        </w:rPr>
      </w:pPr>
    </w:p>
    <w:p w14:paraId="500D7363" w14:textId="17778598" w:rsidR="00D25C56" w:rsidRPr="00CC34A3" w:rsidRDefault="00B018C7" w:rsidP="00CC34A3">
      <w:pPr>
        <w:autoSpaceDE w:val="0"/>
        <w:autoSpaceDN w:val="0"/>
        <w:adjustRightInd w:val="0"/>
        <w:snapToGrid w:val="0"/>
        <w:spacing w:after="0" w:line="360" w:lineRule="auto"/>
        <w:jc w:val="both"/>
        <w:outlineLvl w:val="0"/>
        <w:rPr>
          <w:rFonts w:ascii="Book Antiqua" w:hAnsi="Book Antiqua" w:cs="Times New Roman"/>
          <w:color w:val="000000" w:themeColor="text1"/>
          <w:sz w:val="24"/>
          <w:szCs w:val="24"/>
          <w:lang w:val="en-US"/>
        </w:rPr>
      </w:pPr>
      <w:r w:rsidRPr="00CC34A3">
        <w:rPr>
          <w:rFonts w:ascii="Book Antiqua" w:hAnsi="Book Antiqua" w:cs="Times New Roman"/>
          <w:b/>
          <w:color w:val="000000" w:themeColor="text1"/>
          <w:sz w:val="24"/>
          <w:szCs w:val="24"/>
          <w:lang w:val="en-US"/>
        </w:rPr>
        <w:t>Assessment</w:t>
      </w:r>
      <w:r w:rsidR="00E82FF0" w:rsidRPr="00CC34A3">
        <w:rPr>
          <w:rFonts w:ascii="Book Antiqua" w:hAnsi="Book Antiqua" w:cs="Times New Roman"/>
          <w:b/>
          <w:color w:val="000000" w:themeColor="text1"/>
          <w:sz w:val="24"/>
          <w:szCs w:val="24"/>
          <w:lang w:val="en-US"/>
        </w:rPr>
        <w:t xml:space="preserve">: </w:t>
      </w:r>
      <w:r w:rsidR="00D25C56" w:rsidRPr="00CC34A3">
        <w:rPr>
          <w:rFonts w:ascii="Book Antiqua" w:hAnsi="Book Antiqua" w:cs="Courier New"/>
          <w:color w:val="000000" w:themeColor="text1"/>
          <w:sz w:val="24"/>
          <w:szCs w:val="24"/>
          <w:lang w:val="en-US"/>
        </w:rPr>
        <w:t>Considering the point immediately before therapy (as 100%) [</w:t>
      </w:r>
      <w:r w:rsidR="00E82FF0" w:rsidRPr="00CC34A3">
        <w:rPr>
          <w:rFonts w:ascii="Book Antiqua" w:hAnsi="Book Antiqua" w:cs="Courier New"/>
          <w:color w:val="000000" w:themeColor="text1"/>
          <w:sz w:val="24"/>
          <w:szCs w:val="24"/>
          <w:lang w:val="en-US"/>
        </w:rPr>
        <w:t>see the assessment shown in Figure</w:t>
      </w:r>
      <w:r w:rsidR="00D25C56" w:rsidRPr="00CC34A3">
        <w:rPr>
          <w:rFonts w:ascii="Book Antiqua" w:hAnsi="Book Antiqua" w:cs="Courier New"/>
          <w:color w:val="000000" w:themeColor="text1"/>
          <w:sz w:val="24"/>
          <w:szCs w:val="24"/>
          <w:lang w:val="en-US"/>
        </w:rPr>
        <w:t xml:space="preserve"> 1 (</w:t>
      </w:r>
      <w:r w:rsidR="00992FA2" w:rsidRPr="00CC34A3">
        <w:rPr>
          <w:rFonts w:ascii="Book Antiqua" w:hAnsi="Book Antiqua" w:cs="Courier New"/>
          <w:color w:val="000000" w:themeColor="text1"/>
          <w:sz w:val="24"/>
          <w:szCs w:val="24"/>
          <w:lang w:val="en-US"/>
        </w:rPr>
        <w:t>SAPDV</w:t>
      </w:r>
      <w:r w:rsidR="00D25C56" w:rsidRPr="00CC34A3">
        <w:rPr>
          <w:rFonts w:ascii="Book Antiqua" w:hAnsi="Book Antiqua" w:cs="Courier New"/>
          <w:color w:val="000000" w:themeColor="text1"/>
          <w:sz w:val="24"/>
          <w:szCs w:val="24"/>
          <w:lang w:val="en-US"/>
        </w:rPr>
        <w:t xml:space="preserve"> rats)], we </w:t>
      </w:r>
      <w:r w:rsidR="00E82FF0" w:rsidRPr="00CC34A3">
        <w:rPr>
          <w:rFonts w:ascii="Book Antiqua" w:hAnsi="Book Antiqua" w:cs="Courier New"/>
          <w:color w:val="000000" w:themeColor="text1"/>
          <w:sz w:val="24"/>
          <w:szCs w:val="24"/>
          <w:lang w:val="en-US"/>
        </w:rPr>
        <w:t>scored the vessel presentation {</w:t>
      </w:r>
      <w:r w:rsidR="00D25C56" w:rsidRPr="00CC34A3">
        <w:rPr>
          <w:rFonts w:ascii="Book Antiqua" w:hAnsi="Book Antiqua" w:cs="Courier New"/>
          <w:color w:val="000000" w:themeColor="text1"/>
          <w:sz w:val="24"/>
          <w:szCs w:val="24"/>
          <w:lang w:val="en-US"/>
        </w:rPr>
        <w:t>recorded filled/appea</w:t>
      </w:r>
      <w:r w:rsidR="00E82FF0" w:rsidRPr="00CC34A3">
        <w:rPr>
          <w:rFonts w:ascii="Book Antiqua" w:hAnsi="Book Antiqua" w:cs="Courier New"/>
          <w:color w:val="000000" w:themeColor="text1"/>
          <w:sz w:val="24"/>
          <w:szCs w:val="24"/>
          <w:lang w:val="en-US"/>
        </w:rPr>
        <w:t>rance or emptied/disappearance [</w:t>
      </w:r>
      <w:r w:rsidR="00D25C56" w:rsidRPr="00CC34A3">
        <w:rPr>
          <w:rFonts w:ascii="Book Antiqua" w:hAnsi="Book Antiqua" w:cs="Courier New"/>
          <w:color w:val="000000" w:themeColor="text1"/>
          <w:sz w:val="24"/>
          <w:szCs w:val="24"/>
          <w:lang w:val="en-US"/>
        </w:rPr>
        <w:t xml:space="preserve">camera attached to a USB microscope </w:t>
      </w:r>
      <w:r w:rsidR="00E82FF0" w:rsidRPr="00CC34A3">
        <w:rPr>
          <w:rFonts w:ascii="Book Antiqua" w:hAnsi="Book Antiqua" w:cs="Courier New"/>
          <w:color w:val="000000" w:themeColor="text1"/>
          <w:sz w:val="24"/>
          <w:szCs w:val="24"/>
          <w:lang w:val="en-US"/>
        </w:rPr>
        <w:t>(</w:t>
      </w:r>
      <w:proofErr w:type="spellStart"/>
      <w:r w:rsidR="00E82FF0" w:rsidRPr="00CC34A3">
        <w:rPr>
          <w:rFonts w:ascii="Book Antiqua" w:hAnsi="Book Antiqua" w:cs="Courier New"/>
          <w:color w:val="000000" w:themeColor="text1"/>
          <w:sz w:val="24"/>
          <w:szCs w:val="24"/>
          <w:lang w:val="en-US"/>
        </w:rPr>
        <w:t>Veho</w:t>
      </w:r>
      <w:proofErr w:type="spellEnd"/>
      <w:r w:rsidR="00E82FF0" w:rsidRPr="00CC34A3">
        <w:rPr>
          <w:rFonts w:ascii="Book Antiqua" w:hAnsi="Book Antiqua" w:cs="Courier New"/>
          <w:color w:val="000000" w:themeColor="text1"/>
          <w:sz w:val="24"/>
          <w:szCs w:val="24"/>
          <w:lang w:val="en-US"/>
        </w:rPr>
        <w:t xml:space="preserve"> discovery VMS-004 deluxe)]}</w:t>
      </w:r>
      <w:r w:rsidR="00D25C56" w:rsidRPr="00CC34A3">
        <w:rPr>
          <w:rFonts w:ascii="Book Antiqua" w:hAnsi="Book Antiqua" w:cs="Courier New"/>
          <w:color w:val="000000" w:themeColor="text1"/>
          <w:sz w:val="24"/>
          <w:szCs w:val="24"/>
          <w:lang w:val="en-US"/>
        </w:rPr>
        <w:t xml:space="preserve"> between the 5 arcade vessels arising from the </w:t>
      </w:r>
      <w:r w:rsidR="00992FA2" w:rsidRPr="00CC34A3">
        <w:rPr>
          <w:rFonts w:ascii="Book Antiqua" w:hAnsi="Book Antiqua" w:cs="Courier New"/>
          <w:color w:val="000000" w:themeColor="text1"/>
          <w:sz w:val="24"/>
          <w:szCs w:val="24"/>
          <w:lang w:val="en-US"/>
        </w:rPr>
        <w:t>SAPDV</w:t>
      </w:r>
      <w:r w:rsidR="00D25C56" w:rsidRPr="00CC34A3">
        <w:rPr>
          <w:rFonts w:ascii="Book Antiqua" w:hAnsi="Book Antiqua" w:cs="Courier New"/>
          <w:color w:val="000000" w:themeColor="text1"/>
          <w:sz w:val="24"/>
          <w:szCs w:val="24"/>
          <w:lang w:val="en-US"/>
        </w:rPr>
        <w:t xml:space="preserve"> on the ventral duodenum side (as described before</w:t>
      </w:r>
      <w:r w:rsidR="00D25C56" w:rsidRPr="00CC34A3">
        <w:rPr>
          <w:rFonts w:ascii="Book Antiqua" w:eastAsia="Calibri" w:hAnsi="Book Antiqua" w:cs="Courier New"/>
          <w:color w:val="000000" w:themeColor="text1"/>
          <w:sz w:val="24"/>
          <w:szCs w:val="24"/>
          <w:lang w:val="en-US"/>
        </w:rPr>
        <w:fldChar w:fldCharType="begin" w:fldLock="1"/>
      </w:r>
      <w:r w:rsidR="00D25C56"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"mendeley" : { "formattedCitation" : "&lt;sup&gt;[15]&lt;/sup&gt;", "plainTextFormattedCitation" : "[15]", "previouslyFormattedCitation" : "(Duzel et al., 2017)" }, "properties" : {  }, "schema" : "https://github.com/citation-style-language/schema/raw/master/csl-citation.json" }</w:instrText>
      </w:r>
      <w:r w:rsidR="00D25C56" w:rsidRPr="00CC34A3">
        <w:rPr>
          <w:rFonts w:ascii="Book Antiqua" w:eastAsia="Calibri" w:hAnsi="Book Antiqua" w:cs="Courier New"/>
          <w:color w:val="000000" w:themeColor="text1"/>
          <w:sz w:val="24"/>
          <w:szCs w:val="24"/>
          <w:lang w:val="en-US"/>
        </w:rPr>
        <w:fldChar w:fldCharType="separate"/>
      </w:r>
      <w:r w:rsidR="00D25C56" w:rsidRPr="00CC34A3">
        <w:rPr>
          <w:rFonts w:ascii="Book Antiqua" w:eastAsia="Calibri" w:hAnsi="Book Antiqua" w:cs="Courier New"/>
          <w:color w:val="000000" w:themeColor="text1"/>
          <w:sz w:val="24"/>
          <w:szCs w:val="24"/>
          <w:vertAlign w:val="superscript"/>
          <w:lang w:val="en-US"/>
        </w:rPr>
        <w:t>[15]</w:t>
      </w:r>
      <w:r w:rsidR="00D25C56" w:rsidRPr="00CC34A3">
        <w:rPr>
          <w:rFonts w:ascii="Book Antiqua" w:eastAsia="Calibri" w:hAnsi="Book Antiqua" w:cs="Courier New"/>
          <w:color w:val="000000" w:themeColor="text1"/>
          <w:sz w:val="24"/>
          <w:szCs w:val="24"/>
          <w:lang w:val="en-US"/>
        </w:rPr>
        <w:fldChar w:fldCharType="end"/>
      </w:r>
      <w:r w:rsidR="00D25C56" w:rsidRPr="00CC34A3">
        <w:rPr>
          <w:rFonts w:ascii="Book Antiqua" w:hAnsi="Book Antiqua" w:cs="Courier New"/>
          <w:color w:val="000000" w:themeColor="text1"/>
          <w:sz w:val="24"/>
          <w:szCs w:val="24"/>
          <w:lang w:val="en-US"/>
        </w:rPr>
        <w:t>), the IAPDV, SMV</w:t>
      </w:r>
      <w:r w:rsidR="00773972" w:rsidRPr="00CC34A3">
        <w:rPr>
          <w:rFonts w:ascii="Book Antiqua" w:hAnsi="Book Antiqua" w:cs="Courier New"/>
          <w:color w:val="000000" w:themeColor="text1"/>
          <w:sz w:val="24"/>
          <w:szCs w:val="24"/>
          <w:lang w:val="en-US"/>
        </w:rPr>
        <w:t xml:space="preserve"> as bypassing vascular pathway.</w:t>
      </w:r>
      <w:r w:rsidR="00D25C56" w:rsidRPr="00CC34A3">
        <w:rPr>
          <w:rFonts w:ascii="Book Antiqua" w:hAnsi="Book Antiqua" w:cs="Courier New"/>
          <w:color w:val="000000" w:themeColor="text1"/>
          <w:sz w:val="24"/>
          <w:szCs w:val="24"/>
          <w:lang w:val="en-US"/>
        </w:rPr>
        <w:t xml:space="preserve"> Scoring 0-3 was as follows: 0, presentation </w:t>
      </w:r>
      <w:r w:rsidR="00D25C56" w:rsidRPr="00CC34A3">
        <w:rPr>
          <w:rFonts w:ascii="Book Antiqua" w:hAnsi="Book Antiqua" w:cs="Courier New"/>
          <w:color w:val="000000" w:themeColor="text1"/>
          <w:sz w:val="24"/>
          <w:szCs w:val="24"/>
          <w:lang w:val="en-US"/>
        </w:rPr>
        <w:lastRenderedPageBreak/>
        <w:t>similar to health</w:t>
      </w:r>
      <w:r w:rsidR="00E82FF0" w:rsidRPr="00CC34A3">
        <w:rPr>
          <w:rFonts w:ascii="Book Antiqua" w:hAnsi="Book Antiqua" w:cs="Courier New"/>
          <w:color w:val="000000" w:themeColor="text1"/>
          <w:sz w:val="24"/>
          <w:szCs w:val="24"/>
          <w:lang w:val="en-US"/>
        </w:rPr>
        <w:t xml:space="preserve">y rats; 1, mild congestion; 2, </w:t>
      </w:r>
      <w:r w:rsidR="00D25C56" w:rsidRPr="00CC34A3">
        <w:rPr>
          <w:rFonts w:ascii="Book Antiqua" w:hAnsi="Book Antiqua" w:cs="Courier New"/>
          <w:color w:val="000000" w:themeColor="text1"/>
          <w:sz w:val="24"/>
          <w:szCs w:val="24"/>
          <w:lang w:val="en-US"/>
        </w:rPr>
        <w:t>moderate congestion; and 3, severe congestion, after 5 min; then, at 30 min, at 24 h. Likewise, upon the duodenum opening and after sacrifice, we assessed the congested hemorrhagic areas as the sum of the largest lesion diameters</w:t>
      </w:r>
      <w:r w:rsidR="00D25C56" w:rsidRPr="00CC34A3">
        <w:rPr>
          <w:rFonts w:ascii="Book Antiqua" w:eastAsia="Calibri" w:hAnsi="Book Antiqua" w:cs="Courier New"/>
          <w:color w:val="000000" w:themeColor="text1"/>
          <w:sz w:val="24"/>
          <w:szCs w:val="24"/>
          <w:lang w:val="en-US"/>
        </w:rPr>
        <w:fldChar w:fldCharType="begin" w:fldLock="1"/>
      </w:r>
      <w:r w:rsidR="00D25C56" w:rsidRPr="00CC34A3">
        <w:rPr>
          <w:rFonts w:ascii="Book Antiqua" w:eastAsia="Calibri" w:hAnsi="Book Antiqua" w:cs="Courier New"/>
          <w:color w:val="000000" w:themeColor="text1"/>
          <w:sz w:val="24"/>
          <w:szCs w:val="24"/>
          <w:lang w:val="en-US"/>
        </w:rPr>
        <w:instrText>ADDIN CSL_CITATION { "citationItems" : [ { "id" : "ITEM-1", "itemData" : { "ISSN" : "0024-3205", "PMID" : "7904712", "abstract" : "The protection of stomach and duodenum in conjecture with anti-inflammatory effect was demonstrated for a novel 15 amino acid peptide, coded BPC 157, a fragment of the recently discovered gastric juice peptide BPC. BPC 157 (i.p./i.g.) was investigated in rats in comparison with several reference standards in three experimental ulcer models (48 h-restraint stress, subcutaneous cysteamine, intragastrical 96% ethanol ulcer tests) (pre-/co-/post-treatment). Only BPC 157 regimens were consistently effective in all of the tested models. On the other hand, bromocriptine, amantadine, famotidine, cimetidine and somatostatin were ineffective (restraint stress). A dose-dependent protection (cysteamine) and/or partial positive effect (related to treatment conditions) (ethanol), was obtained with glucagon, NPY and secretin whereas CCK/26-30/was not effective. Based on Monastral blue studies BPC 157 beneficial effect appears to be related to a strong endothelial protection.", "author" : [ { "dropping-particle" : "", "family" : "Sikiric", "given" : "P", "non-dropping-particle" : "", "parse-names" : false, "suffix" : "" }, { "dropping-particle" : "", "family" : "Seiwerth", "given" : "S", "non-dropping-particle" : "", "parse-names" : false, "suffix" : "" }, { "dropping-particle" : "", "family" : "Grabarevic", "given" : "Z", "non-dropping-particle" : "", "parse-names" : false, "suffix" : "" }, { "dropping-particle" : "", "family" : "Petek", "given" : "M", "non-dropping-particle" : "", "parse-names" : false, "suffix" : "" }, { "dropping-particle" : "", "family" : "Rucman", "given" : "R", "non-dropping-particle" : "", "parse-names" : false, "suffix" : "" }, { "dropping-particle" : "", "family" : "Turkovic", "given" : "B", "non-dropping-particle" : "", "parse-names" : false, "suffix" : "" }, { "dropping-particle" : "", "family" : "Rotkvic", "given" : "I", "non-dropping-particle" : "", "parse-names" : false, "suffix" : "" }, { "dropping-particle" : "", "family" : "Jagic", "given" : "V", "non-dropping-particle" : "", "parse-names" : false, "suffix" : "" }, { "dropping-particle" : "", "family" : "Duvnjak", "given" : "M", "non-dropping-particle" : "", "parse-names" : false, "suffix" : "" }, { "dropping-particle" : "", "family" : "Mise", "given" : "S", "non-dropping-particle" : "", "parse-names" : false, "suffix" : "" } ], "container-title" : "Life sciences", "id" : "ITEM-1", "issue" : "5", "issued" : { "date-parts" : [ [ "1994" ] ] }, "page" : "PL63-8", "title" : "The beneficial effect of BPC 157, a 15 amino acid peptide BPC fragment, on gastric and duodenal lesions induced by restraint stress, cysteamine and 96% ethanol in rats. A comparative study with H2 receptor antagonists, dopamine promotors and gut peptides.", "type" : "article-journal", "volume" : "54" }, "uris" : [ "http://www.mendeley.com/documents/?uuid=2aa4e8e1-46ae-4739-88c5-de4cb0e272b1" ] }, { "id" : "ITEM-2", "itemData" : { "ISSN" : "1899-1505", "PMID" : "24304574", "abstract" : "Stable gastric pentadecapeptide BPC 157 was suggested to link inflammatory bowel disease and multiple sclerosis, and thereby, shown to equally counteract the models of both of those diseases. For colitis, cysteamine (400 mg/kg intrarectally (1 ml/rat)) and colon-colon anastomosis (sacrifice at day 3, 5, 7, and 14) were used. BPC 157 (10 \u03bcg/kg, 10 ng/kg) was applied either intraperitoneally once time daily (first application immediately after surgery, last at 24 hours before sacrifice) or per-orally in drinking water (0.16 \u03bcg/ml/12 ml/day till the sacrifice) while controls simultaneously received an equivolume of saline (5 ml/kg) intraperitoneally or drinking water only (12 ml/day). A multiple sclerosis suited toxic rat model, cuprizone (compared with standard, a several times higher regimen, 2.5% of diet regimen + 1 g/kg intragastrically/day) was combined with BPC 157 (in drinking water 0.16 \u03bcg or 0.16 ng/ml/12 ml/day/rat + 10 \u03bcg or 10 ng/kg intragastrically/day) till the sacrifice at day 4. In general, the controls could not heal cysteamine colitis and colon-colon anastomosis. BPC 157 induced an efficient healing of both at the same time. Likewise, cuprizone-controls clearly exhibited an exaggerated and accelerated damaging process; nerve damage appeared in various brain areas, with most prominent damage in corpus callosum, laterodorsal thalamus, nucleus reunions, anterior horn motor neurons. BPC 157-cuprizone rats had consistently less nerve damage in all damaged areas, especially in those areas that otherwise were most affected. Consistently, BPC 157 counteracted cerebellar ataxia and impaired forelimb function. Thereby, this experimental evidence advocates BPC 157 in both inflammatory bowel disease and multiple sclerosis therapy.", "author" : [ { "dropping-particle" : "", "family" : "Klicek", "given" : "R", "non-dropping-particle" : "", "parse-names" : false, "suffix" : "" }, { "dropping-particle" : "", "family" : "Kolenc", "given" : "D", "non-dropping-particle" : "", "parse-names" : false, "suffix" : "" }, { "dropping-particle" : "", "family" : "Suran", "given" : "J", "non-dropping-particle" : "", "parse-names" : false, "suffix" : "" }, { "dropping-particle" : "", "family" : "Drmic", "given" : "D", "non-dropping-particle" : "", "parse-names" : false, "suffix" : "" }, { "dropping-particle" : "", "family" : "Brcic", "given" : "L", "non-dropping-particle" : "", "parse-names" : false, "suffix" : "" }, { "dropping-particle" : "", "family" : "Aralica", "given" : "G", "non-dropping-particle" : "", "parse-names" : false, "suffix" : "" }, { "dropping-particle" : "", "family" : "Sever", "given" : "M", "non-dropping-particle" : "", "parse-names" : false, "suffix" : "" }, { "dropping-particle" : "", "family" : "Holjevac", "given" : "J", "non-dropping-particle" : "", "parse-names" : false, "suffix" : "" }, { "dropping-particle" : "", "family" : "Radic", "given" : "B", "non-dropping-particle" : "", "parse-names" : false, "suffix" : "" }, { "dropping-particle" : "", "family" : "Turudic", "given" : "T", "non-dropping-particle" : "", "parse-names" : false, "suffix" : "" }, { "dropping-particle" : "", "family" : "Kokot", "given" : "A", "non-dropping-particle" : "", "parse-names" : false, "suffix" : "" }, { "dropping-particle" : "", "family" : "Patrlj", "given" : "L", "non-dropping-particle" : "", "parse-names" : false, "suffix" : "" }, { "dropping-particle" : "", "family" : "Rucman", "given" : "R", "non-dropping-particle" : "", "parse-names" : false, "suffix" : "" }, { "dropping-particle" : "", "family" : "Seiwerth", "given" : "S", "non-dropping-particle" : "", "parse-names" : false, "suffix" : "" }, { "dropping-particle" : "", "family" : "Sikiric", "given" : "P", "non-dropping-particle" : "", "parse-names" : false, "suffix" : "" } ], "container-title" : "Journal of physiology and pharmacology : an official journal of the Polish Physiological Society", "id" : "ITEM-2", "issue" : "5", "issued" : { "date-parts" : [ [ "2013", "10" ] ] }, "page" : "597-612", "title" : "Stable gastric pentadecapeptide BPC 157 heals cysteamine-colitis and colon-colon-anastomosis and counteracts cuprizone brain injuries and motor disability.", "type" : "article-journal", "volume" : "64" }, "uris" : [ "http://www.mendeley.com/documents/?uuid=c8654aa2-4d8b-437f-aed4-dd14ff95a775" ] }, { "id" : "ITEM-3", "itemData" : { "ISSN" : "1234-1010", "PMID" : "16572047", "abstract" : "BACKGROUND Adaptive cytoprotection could be demonstrated in lesion attenuation within the whole gastrointestinal tract, in particular sequences, with onset and duration longer than the initial short-lasting period (i.e. one hour) defined by Robert in the stomach only. MATERIAL/METHODS Adaptive cytoprotection possibly appeared and lesions were attenuated when the stomach, duodenum or colon, in various combinations and sequences, were challenged with initial (mild) and/or final (strong) irritants over a two-week period. Rats were challenged with the mild or strong irritants 25% or 96% ethanol intragastrically 1 ml/rat (stomach) and cysteamine 40 mg or 400 mg/kg subcutaneously (duodenum), or intrarectally (colon). To postulate the prostaglandin relationship known in Robert's cytoprotection and adaptive cytoprotection, indomethacin (1 mg/kg subcutaneously) was given simultaneously with the second challenge. RESULTS Administering the mild and strong irritant protocols within the same part of the gastrointestinal tract, adaptive cytoprotection presents in the stomach (1 h to 14 days), duodenum (2 h to 14 days), but not in the colon. With these protocols applied to different parts of the gastrointestinal tract, adaptive cytoprotection cross-reaction was evident in the stomach-duodenum, duodenum-stomach (1 h-14 days and 2 h-14 days), stomach-colon, and duodenum-colon (both 2-24 hours), but not in the colon-stomach or colon-duodenum. This protection was fully antagonized with indomethacin. CONCLUSIONS As observed for a day and even weeks, stomach-duodenum-colon adaptive cytoprotection is an important new defensive phenomenon.", "author" : [ { "dropping-particle" : "", "family" : "Mise", "given" : "Stjepan", "non-dropping-particle" : "", "parse-names" : false, "suffix" : "" }, { "dropping-particle" : "", "family" : "Tonkic", "given" : "Ante", "non-dropping-particle" : "", "parse-names" : false, "suffix" : "" }, { "dropping-particle" : "", "family" : "Pesutic", "given" : "Valdi", "non-dropping-particle" : "", "parse-names" : false, "suffix" : "" }, { "dropping-particle" : "", "family" : "Tonkic", "given" : "Marija", "non-dropping-particle" : "", "parse-names" : false, "suffix" : "" }, { "dropping-particle" : "", "family" : "Mise", "given" : "Sandro", "non-dropping-particle" : "", "parse-names" : false, "suffix" : "" }, { "dropping-particle" : "", "family" : "Capkun", "given" : "Vesna", "non-dropping-particle" : "", "parse-names" : false, "suffix" : "" }, { "dropping-particle" : "", "family" : "Batelja", "given" : "Lovorka", "non-dropping-particle" : "", "parse-names" : false, "suffix" : "" }, { "dropping-particle" : "", "family" : "Blagaic", "given" : "Alenka Boban", "non-dropping-particle" : "", "parse-names" : false, "suffix" : "" }, { "dropping-particle" : "", "family" : "Kokic", "given" : "Neven", "non-dropping-particle" : "", "parse-names" : false, "suffix" : "" }, { "dropping-particle" : "", "family" : "Zoricic", "given" : "Ivan", "non-dropping-particle" : "", "parse-names" : false, "suffix" : "" }, { "dropping-particle" : "", "family" : "Saifert", "given" : "Davor", "non-dropping-particle" : "", "parse-names" : false, "suffix" : "" }, { "dropping-particle" : "", "family" : "Anic", "given" : "Tomislav", "non-dropping-particle" : "", "parse-names" : false, "suffix" : "" }, { "dropping-particle" : "", "family" : "Seiwerth", "given" : "Sven", "non-dropping-particle" : "", "parse-names" : false, "suffix" : "" }, { "dropping-particle" : "", "family" : "Sikiric", "given" : "Predrag", "non-dropping-particle" : "", "parse-names" : false, "suffix" : "" } ], "container-title" : "Medical science monitor : international medical journal of experimental and clinical research", "id" : "ITEM-3", "issue" : "4", "issued" : { "date-parts" : [ [ "2006", "4" ] ] }, "page" : "BR146-53", "title" : "The presentation and organization of adaptive cytoprotection in the rat stomach, duodenum, and colon. Dedicated to Andr\u00e9 Robert the founder of the concept of cytoprotection and adaptive cytoprotection.", "type" : "article-journal", "volume" : "12" }, "uris" : [ "http://www.mendeley.com/documents/?uuid=9647afbe-2f8c-3ac7-82ac-6a7bde04784f" ] }, { "id" : "ITEM-4", "itemData" : { "DOI" : "10.1016/j.ejphar.2003.08.013", "ISSN" : "00142999", "abstract" : "The focus was on salivary glands in cysteamine-induced duodenal ulcer and the different effects of antiulcer agents on cysteamine-induced duodenal ulcer in sialoadenectomized but not gastrectomized rats. We tested antiulcer agents on cysteamine-induced duodenal ulcer in rats (agents/kg i.p.) simultaneously with cysteamine 400 mg/kg s.c., rat killed 24 h thereafter subjected to no surgery (normal), to gastrectomy (24 h before) or sialoadenectomy, acute (24 h before) or chronic (21 days before). (i) Ulcerogenesis: cysteamine-induced duodenal ulcer had the same severity and incidence in normal, gastrectomized or acutely or chronically sialoadenectomized rats. (ii) Antiulcer effect under normal conditions or following gastrectomy: in normal or gastrectomized rats all agents tested, gastric pentadecapeptide BPC 157 [currently in clinical trials for inflammatory bowel disease (PL-10, PLD-116, PL-14736, Pliva) (10.0 \u03bcg or 10.0 ng), ranitidine (10 mg), atropine (10 mg), omeprazole (10 mg)] inhibited cysteamine-induced duodenal ulcers, acting through gastric acid-independent mechanisms. Following sialoadenectomy, acute or chronic: ranitidine, omeprazole and atropine were completely ineffective, while pentadecapeptide BPC 157 could protect. Thus, we found that contrary to stomach, salivary glands are implicated in cytoprotective agent activity (standard agents were ineffective after sialoadenectomy). Also, gastric pentadecapeptide BPC 157 was consistently associated with a cytoprotective effect, suggesting a beneficial activity distinctive from that of H2-receptor blockers, proton-pump inhibitors and anticholinergics; but probably replacing missing salivary glands factors. \u00a9 2003 Published by Elsevier B.V.", "author" : [ { "dropping-particle" : "", "family" : "Bedekovic", "given" : "V.", "non-dropping-particle" : "", "parse-names" : false, "suffix" : "" }, { "dropping-particle" : "", "family" : "Mise", "given" : "S.", "non-dropping-particle" : "", "parse-names" : false, "suffix" : "" }, { "dropping-particle" : "", "family" : "Anic", "given" : "T.", "non-dropping-particle" : "", "parse-names" : false, "suffix" : "" }, { "dropping-particle" : "", "family" : "Staresinic", "given" : "M.", "non-dropping-particle" : "", "parse-names" : false, "suffix" : "" }, { "dropping-particle" : "", "family" : "Gjurasin", "given" : "M.", "non-dropping-particle" : "", "parse-names" : false, "suffix" : "" }, { "dropping-particle" : "", "family" : "Kopljar", "given" : "M.", "non-dropping-particle" : "", "parse-names" : false, "suffix" : "" }, { "dropping-particle" : "", "family" : "Kalogjera", "given" : "L.", "non-dropping-particle" : "", "parse-names" : false, "suffix" : "" }, { "dropping-particle" : "", "family" : "Drvis", "given" : "P.", "non-dropping-particle" : "", "parse-names" : false, "suffix" : "" }, { "dropping-particle" : "", "family" : "Boban Blagaic", "given" : "A.", "non-dropping-particle" : "", "parse-names" : false, "suffix" : "" }, { "dropping-particle" : "", "family" : "Batelja", "given" : "L.", "non-dropping-particle" : "", "parse-names" : false, "suffix" : "" }, { "dropping-particle" : "", "family" : "Seiwerth", "given" : "S.", "non-dropping-particle" : "", "parse-names" : false, "suffix" : "" }, { "dropping-particle" : "", "family" : "Sikiric", "given" : "P.", "non-dropping-particle" : "", "parse-names" : false, "suffix" : "" } ], "container-title" : "European Journal of Pharmacology", "id" : "ITEM-4", "issue" : "1", "issued" : { "date-parts" : [ [ "2003" ] ] }, "title" : "Different effect of antiulcer agents on rat cysteamine-induced duodenal ulcer after sialoadenectomy, but not gastrectomy", "type" : "article-journal", "volume" : "477" }, "uris" : [ "http://www.mendeley.com/documents/?uuid=451ce0c9-0534-3ac6-af86-de181d03bc7f" ] } ], "mendeley" : { "formattedCitation" : "&lt;sup&gt;[21,27\u201329]&lt;/sup&gt;", "plainTextFormattedCitation" : "[21,27\u201329]", "previouslyFormattedCitation" : "(Bedekovic et al., 2003; Klicek et al., 2013; Mise et al., 2006; Sikiric et al., 1994)" }, "properties" : {  }, "schema" : "https://github.com/citation-style-language/schema/raw/master/csl-citation.json" }</w:instrText>
      </w:r>
      <w:r w:rsidR="00D25C56" w:rsidRPr="00CC34A3">
        <w:rPr>
          <w:rFonts w:ascii="Book Antiqua" w:eastAsia="Calibri" w:hAnsi="Book Antiqua" w:cs="Courier New"/>
          <w:color w:val="000000" w:themeColor="text1"/>
          <w:sz w:val="24"/>
          <w:szCs w:val="24"/>
          <w:lang w:val="en-US"/>
        </w:rPr>
        <w:fldChar w:fldCharType="separate"/>
      </w:r>
      <w:r w:rsidR="00D25C56" w:rsidRPr="00CC34A3">
        <w:rPr>
          <w:rFonts w:ascii="Book Antiqua" w:eastAsia="Calibri" w:hAnsi="Book Antiqua" w:cs="Courier New"/>
          <w:color w:val="000000" w:themeColor="text1"/>
          <w:sz w:val="24"/>
          <w:szCs w:val="24"/>
          <w:vertAlign w:val="superscript"/>
          <w:lang w:val="en-US"/>
        </w:rPr>
        <w:t>[21,27–29]</w:t>
      </w:r>
      <w:r w:rsidR="00D25C56" w:rsidRPr="00CC34A3">
        <w:rPr>
          <w:rFonts w:ascii="Book Antiqua" w:eastAsia="Calibri" w:hAnsi="Book Antiqua" w:cs="Courier New"/>
          <w:color w:val="000000" w:themeColor="text1"/>
          <w:sz w:val="24"/>
          <w:szCs w:val="24"/>
          <w:lang w:val="en-US"/>
        </w:rPr>
        <w:fldChar w:fldCharType="end"/>
      </w:r>
      <w:r w:rsidR="00D25C56" w:rsidRPr="00CC34A3">
        <w:rPr>
          <w:rFonts w:ascii="Book Antiqua" w:hAnsi="Book Antiqua" w:cs="Courier New"/>
          <w:color w:val="000000" w:themeColor="text1"/>
          <w:sz w:val="24"/>
          <w:szCs w:val="24"/>
          <w:lang w:val="en-US"/>
        </w:rPr>
        <w:t>. As described previously</w:t>
      </w:r>
      <w:r w:rsidR="00D25C56" w:rsidRPr="00CC34A3">
        <w:rPr>
          <w:rFonts w:ascii="Book Antiqua" w:eastAsia="Calibri" w:hAnsi="Book Antiqua" w:cs="Courier New"/>
          <w:color w:val="000000" w:themeColor="text1"/>
          <w:sz w:val="24"/>
          <w:szCs w:val="24"/>
          <w:lang w:val="en-US"/>
        </w:rPr>
        <w:fldChar w:fldCharType="begin" w:fldLock="1"/>
      </w:r>
      <w:r w:rsidR="00D25C56" w:rsidRPr="00CC34A3">
        <w:rPr>
          <w:rFonts w:ascii="Book Antiqua" w:eastAsia="Calibri" w:hAnsi="Book Antiqua" w:cs="Courier New"/>
          <w:color w:val="000000" w:themeColor="text1"/>
          <w:sz w:val="24"/>
          <w:szCs w:val="24"/>
          <w:lang w:val="en-US"/>
        </w:rPr>
        <w:instrText>ADDIN CSL_CITATION { "citationItems" : [ { "id" : "ITEM-1", "itemData" : { "DOI" : "10.2174/1381612823666170220163219", "ISSN" : "13816128", "PMID" : "28228068", "abstract" : "Selye's syndrome produced by diverse nocuous agents and ``response to damage as such{''} means Selye's stress triad in stress coping response to reestablish homeostasis. Logically, from the gastrointestinal tract viewpoint, such organoprotective/healing response implies the angiogenic growth factors that commonly signify the healing. Thereby, the gastric pentadecapeptide BPC 157-organoprotection (huge range of beneficial effects) signifies the Selye's stress concept/stress coping response implemented in and from gastrointestinal tract, and BPC 157 as an integrative mediator that integrates the adaptive bodily response to stress. In clinical trials without side effects, LD1 not achieved, BPC 157 healing in gastrointestinal tract, and particularly the healing of the extra-gastrointestinal tissues (i.e., skin/tendon/ligament/muscle/bone; nerve; cornea/brain) were referred throughout its integrative capabilities (i.e., ulcerative colitis/multiple sclerosis model equally counteracted), native in gastrointestinal tract, stability in human gastric juice (and thereby, strong efficacy and applicability), its relevance for dopamine-system function (and thereby, counteracting effects of dopamine-system dysfunction and over-function, centrally and peripherally (mucosa maintenance); interaction with serotonin- and GABA-system)), afforded cytoprotection/adaptive cytoprotection/organoprotection (and thereby, beneficial effects on gastric and whole intestinal tract lesions and adaptation, wounds and fistulas healing, blood vessels, somatosensory neurons, NSAIDs-side effects (including also pancreas, liver, brain lesions, and blood disturbances, prolonged bleeding, thrombocytopenia, thrombosis)). Further, we combine such gut-brain axis and the NO-system where BPC 157 counteracts complications of either L-NAME application (i.e., various lesions aggravation, hypertension) or L-arginine application (i.e., hypotension, prolonged bleeding, thrombocytopenia). Also, BPC 157 particularly affects genes functions (i.e., Fos, c-Jun, Egr-1), all together suggestive for an indicative generalization. Thus, we could suggest gastric pentadecapeptide BPC 157 and BPC 157 induced-organoprotection as integrative mediator that integrates the adaptive bodily response to stress, and thereby practically applied in further therapy and in effective realization of Selye's stress response.",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"Drmic", "given" : "Domagoj", "non-dropping-particle" : "", "parse-names" : false, "suffix" : "" }, { "dropping-particle" : "", "family" : "Stupnisek", "given" : "Mirjana", "non-dropping-particle" : "", "parse-names" : false, "suffix" : "" }, { "dropping-particle" : "", "family" : "Kokot", "given" : "Antonio", "non-dropping-particle" : "", "parse-names" : false, "suffix" : "" }, { "dropping-particle" : "", "family" : "Sever", "given" : "Marko", "non-dropping-particle" : "", "parse-names" : false, "suffix" : "" }, { "dropping-particle" : "", "family" : "Zoricic", "given" : "Ivan", "non-dropping-particle" : "", "parse-names" : false, "suffix" : "" }, { "dropping-particle" : "", "family" : "Zoricic", "given" : "Zoran", "non-dropping-particle" : "", "parse-names" : false, "suffix" : "" }, { "dropping-particle" : "", "family" : "Batelja", "given" : "Lovorka", "non-dropping-particle" : "", "parse-names" : false, "suffix" : "" }, { "dropping-particle" : "", "family" : "Ziger", "given" : "Tihomil", "non-dropping-particle" : "", "parse-names" : false, "suffix" : "" }, { "dropping-particle" : "", "family" : "Luetic", "given" : "Kresimir", "non-dropping-particle" : "", "parse-names" : false, "suffix" : "" }, { "dropping-particle" : "", "family" : "Vlainic", "given" : "Josipa", "non-dropping-particle" : "", "parse-names" : false, "suffix" : "" }, { "dropping-particle" : "", "family" : "Rasic", "given" : "Zarko", "non-dropping-particle" : "", "parse-names" : false, "suffix" : "" }, { "dropping-particle" : "", "family" : "Bencic", "given" : "Martina Lovric", "non-dropping-particle" : "", "parse-names" : false, "suffix" : "" } ], "container-title" : "Current Pharmaceutical Design", "id" : "ITEM-1", "issue" : "27", "issued" : { "date-parts" : [ [ "2017" ] ] }, "page" : "4012-4028", "title" : "Stress in Gastrointestinal Tract and Stable Gastric Pentadecapeptide BPC 157. Finally, do we have a Solution?", "type" : "article-journal", "volume" : "23" }, "uris" : [ "http://www.mendeley.com/documents/?uuid=15899097-6542-32aa-acf2-ef932af08516" ] }, { "id" : "ITEM-2", "itemData" : { "ISSN" : "1875-6190", "PMID" : "27138887", "abstract" : "BACKGROUND Brain-gut interaction involves, among others, peptidergic growth factors which are native in GI tract and have strong antiulcer potency and thus could from periphery beneficially affect CNS-disorders. We focused on the stable gastric pentadecapeptide BPC 157, an antiulcer peptidergic agent, safe in inflammatory bowel disease trials and now in multiple sclerosis trial, native and stable in human gastric juice. METHODS Review of our research on BPC 157 in terms of brain-gut axis. RESULTS BPC 157 may serve as a novel mediator of Robert's cytoprotection, involved in maintaining of GI mucosa integrity, with no toxic effect. BPC 157 was successful in the therapy of GI tract, periodontitis, liver and pancreas lesions, and in the healing of various tissues and wounds. Stimulated Egr-1 gene, NAB2, FAK-paxillin and JAK-2 pathways are hitherto implicated. Initially corresponding beneficial central influence was seen when BPC 157 was given peripherally and a serotonin release in particular brain areas, mostly nigrostriatal, was changed. BPC 157 modulates serotonergic and dopaminergic systems, beneficially affects various behavioral disturbances that otherwise appeared due to specifically (over)stimulated/damaged neurotransmitters systems. Besides, BPC 157 has neuroprotective effects: protects somatosensory neurons; peripheral nerve regeneration appearent after transection; after traumatic brain injury counteracts the otherwise progressing course, in rat spinal cord compression with tail paralysis, axonal and neuronal necrosis, demyelination, cyst formation and rescues tail function in both short-terms and long-terms; after NSAIDs or insulin overdose or cuprizone encephalopathies were attenuated along with GI, liver and vascular injuries. CONCLUSION BPC 157, a gastric peptide, may serve as remedy in various CNS-disorders.",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"Kolenc", "given" : "Danijela", "non-dropping-particle" : "", "parse-names" : false, "suffix" : "" }, { "dropping-particle" : "", "family" : "Vuletic", "given" : "Lovorka Batelja", "non-dropping-particle" : "", "parse-names" : false, "suffix" : "" }, { "dropping-particle" : "", "family" : "Drmic", "given" : "Domagoj", "non-dropping-particle" : "", "parse-names" : false, "suffix" : "" }, { "dropping-particle" : "", "family" : "Grgic", "given" : "Tihomir", "non-dropping-particle" : "", "parse-names" : false, "suffix" : "" }, { "dropping-particle" : "", "family" : "Strbe", "given" : "Sanja", "non-dropping-particle" : "", "parse-names" : false, "suffix" : "" }, { "dropping-particle" : "", "family" : "Zukanovic", "given" : "Goran", "non-dropping-particle" : "", "parse-names" : false, "suffix" : "" }, { "dropping-particle" : "", "family" : "Crvenkovic", "given" : "Dalibor", "non-dropping-particle" : "", "parse-names" : false, "suffix" : "" }, { "dropping-particle" : "", "family" : "Madzarac", "given" : "Goran", "non-dropping-particle" : "", "parse-names" : false, "suffix" : "" }, { "dropping-particle" : "", "family" : "Rukavina", "given" : "Iva", "non-dropping-particle" : "", "parse-names" : false, "suffix" : "" }, { "dropping-particle" : "", "family" : "Sucic", "given" : "Mario", "non-dropping-particle" : "", "parse-names" : false, "suffix" : "" }, { "dropping-particle" : "", "family" : "Baric", "given" : "Marko", "non-dropping-particle" : "", "parse-names" : false, "suffix" : "" }, { "dropping-particle" : "", "family" : "Starcevic", "given" : "Neven", "non-dropping-particle" : "", "parse-names" : false, "suffix" : "" }, { "dropping-particle" : "", "family" : "Krstonijevic", "given" : "Zoran", "non-dropping-particle" : "", "parse-names" : false, "suffix" : "" }, { "dropping-particle" : "", "family" : "Bencic", "given" : "Martina Lovric", "non-dropping-particle" : "", "parse-names" : false, "suffix" : "" }, { "dropping-particle" : "", "family" : "Filipcic", "given" : "Igor", "non-dropping-particle" : "", "parse-names" : false, "suffix" : "" }, { "dropping-particle" : "", "family" : "Rokotov", "given" : "Dinko Stancic", "non-dropping-particle" : "", "parse-names" : false, "suffix" : "" }, { "dropping-particle" : "", "family" : "Vlainic", "given" : "Josipa", "non-dropping-particle" : "", "parse-names" : false, "suffix" : "" } ], "container-title" : "Current neuropharmacology", "id" : "ITEM-2", "issue" : "8", "issued" : { "date-parts" : [ [ "2016" ] ] }, "page" : "857-865", "title" : "Brain-gut Axis and Pentadecapeptide BPC 157: Theoretical and Practical Implications.", "type" : "article-journal", "volume" : "14" }, "uris" : [ "http://www.mendeley.com/documents/?uuid=9b2831b1-d3dd-4080-846d-5f4f7ead3113" ] }, { "id" : "ITEM-3", "itemData" : { "ISSN" : "1873-4286", "PMID" : "23782145", "abstract" : "This review focuses on the described effects of BPC 157 on blood vessels after different types of damage, and elucidate by investigating different aspects of vascular response to injury (endothelium damage, clotting, thrombosis, vasoconstriction, vasodilatation, vasculoneogenesis and edema formation) especially in connection to the healing processes. In this respect, BPC 157 was concluded to be the most potent angiomodulatory agent, acting through different vasoactive pathways and systems (e.g. NO, VEGF, FAK) and leading to optimization of the vascular response followed, as it has to be expected, by optimization of the healing process. Formation of new blood vessels involves two main, partly overlapping mechanisms, angiogenesis and vasculogenesis. The additional mechanism of arteriogenesis is involved in the formation of collaterals. In conjunction with blood vessel function, we at least have to consider leakage of fluid/proteins/plasma, resulting in edema/exudate formation as well as thrombogenesis. Blood vessels are also strongly involved in tumor biology. In this aspect, we have neoangiogenesis resulting in pathological vascularization, vascular invasion resulting in release of metastatic cells and the phenomenon of homing resulting in formation of secondary tumors--metastases.", "author" : [ { "dropping-particle" : "", "family" : "Seiwerth", "given" : "Sven", "non-dropping-particle" : "", "parse-names" : false, "suffix" : "" }, { "dropping-particle" : "", "family" : "Brcic", "given" : "Luka", "non-dropping-particle" : "", "parse-names" : false, "suffix" : "" }, { "dropping-particle" : "", "family" : "Vuletic", "given" : "Lovorka Batelja",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"Misic", "given" : "Marija", "non-dropping-particle" : "", "parse-names" : false, "suffix" : "" }, { "dropping-particle" : "", "family" : "Zenko", "given" : "Anita", "non-dropping-particle" : "", "parse-names" : false, "suffix" : "" }, { "dropping-particle" : "", "family" : "Drmic", "given" : "Domagoj", "non-dropping-particle" : "", "parse-names" : false, "suffix" : "" }, { "dropping-particle" : "", "family" : "Rucman", "given" : "Rudolf", "non-dropping-particle" : "", "parse-names" : false, "suffix" : "" }, { "dropping-particle" : "", "family" : "Sikiric", "given" : "Predrag", "non-dropping-particle" : "", "parse-names" : false, "suffix" : "" } ], "container-title" : "Current pharmaceutical design", "id" : "ITEM-3", "issue" : "7", "issued" : { "date-parts" : [ [ "2014" ] ] }, "page" : "1121-5", "title" : "BPC 157 and blood vessels.", "type" : "article-journal", "volume" : "20" }, "uris" : [ "http://www.mendeley.com/documents/?uuid=5f0ff73a-1c13-4e9f-9921-366eef3ba469" ] }, { "id" : "ITEM-4", "itemData" : { "ISSN" : "1873-4286", "PMID" : "23755725", "abstract" : "We reviewed stable gastric pentadecapeptide BPC 157-NO-system-relation, its close participation in Moncada's (maintained vascular integrity, platelets control) homeostatic healing response of NO-system to injury. Namely, BPC 157's particular healing effect also affects all events after vascular integrity loss (dependent on circumstances, it reduces either thrombosis (abdominal aorta anastomosis) or bleeding/thrombocytopenia (amputation, heparin, warfarin, aspirin)) and in a series of different injurious models, acute and chronic, BPC 157 consistently advances healing after severe injuries in various tissues spontaneously unable to heal; stimulates egr-1 and naB2 genes; exhibits high safety (LD1 not achieved)). Hypothesis, that BPC 157 (since formed constitutively in the gastric mucosa, stable in human gastric juice, along with significance of NO-synthase and the basal formation of NO in stomach mucosa, greater than that seen in other tissues) exhibits a general, effective competing both with L-arginine analogues (i. e., L-NAME) and L-arginine, and that this has some physiologic importance (NO-generation), later, practically supports its beneficial effects illustrating BPC 157 and NOsystem mutual (with L-NAME/L-arginine; alone and together) relations in (i) gastric mucosa and mucosal protection, following alcohol lesions, in cytoprotection course, NO-generation, and blood pressure regulation; (ii) alcohol acute/chronic intoxication, and withdrawal; (iii) cardiovascular disturbances, chronic heart failure, pulmonary hypertension, and arrhythmias; (iv) disturbances after hypokalemia and hyperkalemia, and potassium-cell membrane dysfunction; and finally, in (v) complex healing failure, proved by the fistulas healing, colocutaneous and esophagocutaneous. However, how this advantage of modulating NO-system (i. e., particular effect on eNOS gene), may be practically translated into an enhanced clinical performance remains to be determined.",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"Stupnisek", "given" : "Mirjana", "non-dropping-particle" : "", "parse-names" : false, "suffix" : "" }, { "dropping-particle" : "", "family" : "Suran", "given" : "Jelena", "non-dropping-particle" : "", "parse-names" : false, "suffix" : "" }, { "dropping-particle" : "", "family" : "Barisic", "given" : "Ivan",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"ITEM-4", "issue" : "7", "issued" : { "date-parts" : [ [ "2014" ] ] }, "page" : "1126-35", "title" : "Stable gastric pentadecapeptide BPC 157-NO-system relation.", "type" : "article-journal", "volume" : "20" }, "uris" : [ "http://www.mendeley.com/documents/?uuid=74ead48f-0c75-446a-a19b-49bb02b31992" ] }, { "id" : "ITEM-5", "itemData" : { "ISSN" : "1873-4286", "PMID" : "22950504", "abstract" : "Stable gastric pentadecapeptide BPC 157 is an anti-ulcer peptidergic agent, proven in clinical trials to be both safe in inflammatory bowel disease (PL-10, PLD-116, PL 14736) and wound healing, stable in human gastric juice, with no toxicity being reported. Recently, we claim that BPC 157 may be used as an antidote against NSAIDs. We focused on BPC 157 beneficial effects on stomach, duodenum, intestine, liver and brain injuries, adjuvant arthritis, pain, hyper/hypothermia, obstructive thrombus formation and thrombolysis, blood vessel function, counteraction of prolonged bleeding and thrombocytopenia after application of various anticoagulants and antiplatelet agents and wound healing improvement. The arguments for BPC 157 antidote activity (i.e., the role of BPC 157 in cytoprotection, being a novel mediator of Robert's cytoprotection and BPC 157 beneficial effects on NSAIDs mediated lesions in the gastrointestinal tract, liver and brain and finally, counteraction of aspirin-induced prolonged bleeding and thrombocytopenia) obviously have a counteracting effect on several established side-effects of NSAIDs use. The mentioned variety of the beneficial effects portrayed by BPC 157 may well be a foundation for establishing BPC 157 as a NSAIDs antidote since no other single agent has portrayed a similar array of effects. Unlike NSAIDs, a very high safety (no reported toxicity (LD1 could be not achieved)) profile is reported for BPC 157. Also, unlike the different dosage levels of aspirin, as a NSAIDs prototype, which differ by a factor of about ten, all these beneficial and counteracting effects of BPC 157 were obtained using the equipotent dosage (\u03bcg, ng/kg) in parenteral or peroral regimens.",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"Safic", "given" : "Hana", "non-dropping-particle" : "", "parse-names" : false, "suffix" : "" }, { "dropping-particle" : "", "family" : "Suran", "given" : "Jelena", "non-dropping-particle" : "", "parse-names" : false, "suffix" : "" }, { "dropping-particle" : "", "family" : "Rak", "given" : "Davor",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"ITEM-5", "issue" : "1", "issued" : { "date-parts" : [ [ "2013" ] ] }, "page" : "76-83", "title" : "Toxicity by NSAIDs. Counteraction by stable gastric pentadecapeptide BPC 157.", "type" : "article-journal", "volume" : "19" }, "uris" : [ "http://www.mendeley.com/documents/?uuid=b4d81bb8-a391-4622-abb3-23195e4a65ff" ] }, { "id" : "ITEM-6", "itemData" : { "ISSN" : "1875-533X", "PMID" : "22300085", "abstract" : "Stable gastric pentadecapeptide BPC 157 (GEPPPGKPADDAGLV, M.W. 1419) may be the new drug stable in human gastric juice, effective both in the upper and lower GI tract, and free of side effects. BPC 157, in addition to an antiulcer effect efficient in therapy of inflammatory bowel disease (IBD) (PL 14736) so far only tested in clinical phase II, has a very safe profile, and exhibited a particular wound healing effect. It also has shown to interact with the NO-system, providing endothelium protection and angiogenic effect, even in severely impaired conditions (i.e., it stimulated expression of early growth response 1 gene responsible for cytokine and growth factor generation and early extracellular matrix (collagen) formation (but also its repressor nerve growth factor 1-A binding protein-2)), important to counteract severe complications of advanced and poorly controlled IBD. Hopefully, the lessons from animal studies, particularly advanced intestinal anastomosis healing, reversed short bowel syndrome and fistula healing indicate BPC 157's high significance in further IBD therapy. Also, this supportive evidence (i.e., no toxic effect, limit test negative, LD1 not achieved, no side effect in trials) may counteract the problems commonly exercised in the use of peptidergic agents, particularly those used on a long-term basis.", "author" : [ { "dropping-particle" : "", "family" : "Sikiric", "given" : "P", "non-dropping-particle" : "", "parse-names" : false, "suffix" : "" }, { "dropping-particle" : "", "family" : "Seiwerth", "given" : "S", "non-dropping-particle" : "", "parse-names" : false, "suffix" : "" }, { "dropping-particle" : "", "family" : "Rucman", "given" : "R", "non-dropping-particle" : "", "parse-names" : false, "suffix" : "" }, { "dropping-particle" : "", "family" : "Turkovic", "given" : "B", "non-dropping-particle" : "", "parse-names" : false, "suffix" : "" }, { "dropping-particle" : "", "family" : "Rokotov", "given" : "D S", "non-dropping-particle" : "", "parse-names" : false, "suffix" : "" }, { "dropping-particle" : "", "family" : "Brcic", "given" : "L", "non-dropping-particle" : "", "parse-names" : false, "suffix" : "" }, { "dropping-particle" : "", "family" : "Sever", "given" : "M", "non-dropping-particle" : "", "parse-names" : false, "suffix" : "" }, { "dropping-particle" : "", "family" : "Klicek", "given" : "R", "non-dropping-particle" : "", "parse-names" : false, "suffix" : "" }, { "dropping-particle" : "", "family" : "Radic", "given" : "B", "non-dropping-particle" : "", "parse-names" : false, "suffix" : "" }, { "dropping-particle" : "", "family" : "Drmic", "given" : "D", "non-dropping-particle" : "", "parse-names" : false, "suffix" : "" }, { "dropping-particle" : "", "family" : "Ilic", "given" : "S", "non-dropping-particle" : "", "parse-names" : false, "suffix" : "" }, { "dropping-particle" : "", "family" : "Kolenc", "given" : "D", "non-dropping-particle" : "", "parse-names" : false, "suffix" : "" }, { "dropping-particle" : "", "family" : "Stambolija", "given" : "V", "non-dropping-particle" : "", "parse-names" : false, "suffix" : "" }, { "dropping-particle" : "", "family" : "Zoricic", "given" : "Z", "non-dropping-particle" : "", "parse-names" : false, "suffix" : "" }, { "dropping-particle" : "", "family" : "Vrcic", "given" : "H", "non-dropping-particle" : "", "parse-names" : false, "suffix" : "" }, { "dropping-particle" : "", "family" : "Sebecic", "given" : "B", "non-dropping-particle" : "", "parse-names" : false, "suffix" : "" } ], "container-title" : "Current medicinal chemistry", "id" : "ITEM-6", "issue" : "1", "issued" : { "date-parts" : [ [ "2012" ] ] }, "page" : "126-32", "title" : "Focus on ulcerative colitis: stable gastric pentadecapeptide BPC 157.", "type" : "article-journal", "volume" : "19" }, "uris" : [ "http://www.mendeley.com/documents/?uuid=82217b0f-1a75-4f5f-99de-cbbc916f534e" ] }, { "id" : "ITEM-7", "itemData" : { "DOI" : "10.2174/138161211796196954", "ISBN" : "1873-4286 (Electronic)\\n1381-6128 (Linking)", "ISSN" : "1873-4286", "PMID" : "21548867", "abstract" : "Stable gastric pentadecapeptide BPC 157 is an anti-ulcer peptidergic agent, safe in inflammatory bowel disease clinical trials (GEPPPGKPADDAGLV, M.W. 1419, PL 14736) and wound healing, stable in human gastric juice and has no reported toxicity. We focused on BPC 157 as a therapy in peridontitis, esophagus, stomach, duodenum, intestine, liver and pancreas lesions. Particularly, it has a prominent effect on alcohol-lesions (i.e., acute, chronic) and NSAIDs-lesions (interestingly, BPC 157 both prevents and reverses adjuvant arthritis). In rat esophagitis and failed function of both lower esophageal sphincter (LES) and pyloric sphincters (PS), BPC 157 increased pressure in both sphincters till normal and reduced esophagitis. However, in healthy rats, it may decrease (PS) or increase (LES) the pressure in sphincters. It has strong angiogenic potential, it acts protectively on endothelium, prevents and reverses thrombus formation after abdominal aorta anastomosis, affects many central disturbances (i.e., dopamine and 5-HT system), the NO-system (either L-arginine and L-NAME effects), endothelin, acts as a free radical scavenger (counteracting CCl4-, paracetamol-, diclofenac-injuries) and exhibits neuroprotective properties. BPC 157 successfully heals the intestinal anastomosis, gastrocutaneous, duodenocutaneous and colocutaneous fistulas in rats, as well as interacting with the NO-system. Interestingly, the fistula closure was achieved even when the BPC 157 therapy was postponed for one month. In short-bowel syndrome escalating throughout 4 weeks, the constant weight gain above preoperative values started immediately with peroral and parental BPC 157 therapy and the villus height, crypth depth and muscle thickness (inner (circular) muscular layer) additionally increased. Thus, BPC 157 may improve gastrointestinal tract therapy.",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"ITEM-7", "issue" : "16", "issued" : { "date-parts" : [ [ "2011" ] ] }, "page" : "1612-32", "title" : "Stable gastric pentadecapeptide BPC 157: novel therapy in gastrointestinal tract.", "type" : "article-journal", "volume" : "17" }, "uris" : [ "http://www.mendeley.com/documents/?uuid=0c326320-ddc2-4da8-939a-b8cfc65cd61b" ] }, { "id" : "ITEM-8", "itemData" : { "DOI" : "10.2174/138161210790945977", "ISBN" : "1873-4286 (Electronic)\\r1381-6128 (Linking)", "ISSN" : "13816128", "PMID" : "20166993", "abstract" : "The significance of cytoprotection and adaptive cytoprotection and the peptides importance remained to be not completely determined. BPC 157 is an anti-ulcer peptidergic agent, proven in clinical trials to be both safe in inflammatory bowel disease (PL-10, PLD-116, PL 14736) and wound healing, and stable in human gastric juice, with no toxicity being reported. It has a prominent effect on alcohol- lesions (i.e., induced acutely and chronically) and non-steroidal anti-inflammatory drugs-lesions (while interestingly BPC 157 may both prevent and reverse adjuvant arthritis). To review the importance of BPC 157, this review focused on Robert's cytoprotection concept described in rat stomach, reviewing our evidence that may resolve whether the cytoprotection and adaptive cytoprotection is an uniform phenomenon or not; whether the phenomenon or phenomena are endogenous or not, depending on nature of the irritants (mild or strong); whether this may contribute to stomach mucosa defense either when threaten by various ulcerogens or afforded by various antiulcer agents; whether these phenomena are uniform in whole gastrointestinal tract or not; whether they are interrelated or not. Finally, the importance of the cytoprotection phenomena and cytoprotection activity for skin wound healing, and wound healing in general was challenged. Thereby, this review focused on BPC 157 role in cytoprotection and adaptative cytoprotection suggesting that it may be the essential endogenous mediator able to mediate both cytoprotective and adaptive cytoprotective response in stomach and the whole gastrointestinal tract with significant importance in wound healing as well.", "author" : [ { "dropping-particle" : "", "family" : "Sikiric", "given" : "Predrag", "non-dropping-particle" : "", "parse-names" : false, "suffix" : "" }, { "dropping-particle" : "", "family" : "Seiwerth", "given" : "Sven",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"container-title" : "Current pharmaceutical design", "id" : "ITEM-8", "issue" : "10", "issued" : { "date-parts" : [ [ "2010" ] ] }, "page" : "1224-1234", "title" : "Revised Robert's cytoprotection and adaptive cytoprotection and stable gastric pentadecapeptide BPC 157. Possible significance and implications for novel mediator.", "type" : "article-journal", "volume" : "16" }, "uris" : [ "http://www.mendeley.com/documents/?uuid=e3cf6c8b-0484-4890-9aee-cda6592874b2" ] }, { "id" : "ITEM-9", "itemData" : { "DOI" : "10.1007/s10787-006-1531-7", "ISSN" : "0925-4692", "PMID" : "17186181", "abstract" : "Gastric pentadecapeptide BPC 157 (GEPPPGKPADDAGLV, M.W. 1419, safe in clinical trials for inflammatory bowel disease (PL 10, PLD 116, PLD 14736, Pliva, Croatia)) has a particular cytoprotective/adaptive cytoprotective activity. The cytoprotective/adaptive cytoprotection researches largely neglect that stomach distension could per se jeopardize the mucosal integrity, with constantly stretched mucosa and blood vessels, and sphincters more prone for reflux induction. After absolute alcohol instillation in fully distended rat stomach, gastric, esophageal and duodenal lesions occur. Throughout next 3 min, left gastric artery blood vessels clearly disappear at the serosal site, indicative for loss of vessels both integrity and function. Contrary, constant vessels presentation could predict the beneficial effect of applied agent. After pentadecapeptide BPC 157 instillation into the stomach the vessels presentation remains constant, and lesions of stomach, esophagus, and duodenum are inhibited. Standards (atropine, ranitidine, omeprazole) could only slightly improve the vessels presentation compared to control values, and they have only a partial effect on the lesions. In this review we emphasize BPC 157 unusual stability, and some of its important effects: effectiveness against various lesions in gastrointestinal tract, on nitric oxide (NO)-system, and NO-agents effects, on somatosensory neurons, salivary glands function, recovery of AMP-ADP-ATP system, endothelium protection, effect on endothelin, and on angiogenesis promotion. It also antagonizes other alcohol effects, including acute and chronic intoxication. Given peripherally, it counteracts the consequence of central dopamine system disturbances (receptor blockade), and induces serotonin release in substantia nigra. Therapeutic potential of BPC 157 as a cytoprotective agent is also seen in its capability to heal various wounds. Given directly into the stomach, BPC 157 instantly recovers disturbed lower esophageal and pyloric sphincter pressure in rats after 12-20 months of untreated esophagitis. All these could be suggestive for its role as a natural protectant in gastric juice with particular function throughout stomach distension.", "author" : [ { "dropping-particle" : "", "family" : "Sikiric", "given" : "P.", "non-dropping-particle" : "", "parse-names" : false, "suffix" : "" }, { "dropping-particle" : "", "family" : "Seiwerth", "given" : "S.", "non-dropping-particle" : "", "parse-names" : false, "suffix" : "" }, { "dropping-particle" : "", "family" : "Brcic", "given" : "L.", "non-dropping-particle" : "", "parse-names" : false, "suffix" : "" }, { "dropping-particle" : "", "family" : "Blagaic", "given" : "A B", "non-dropping-particle" : "", "parse-names" : false, "suffix" : "" }, { "dropping-particle" : "", "family" : "Zoricic", "given" : "I.", "non-dropping-particle" : "", "parse-names" : false, "suffix" : "" }, { "dropping-particle" : "", "family" : "Sever", "given" : "M.", "non-dropping-particle" : "", "parse-names" : false, "suffix" : "" }, { "dropping-particle" : "", "family" : "Klicek", "given" : "R.", "non-dropping-particle" : "", "parse-names" : false, "suffix" : "" }, { "dropping-particle" : "", "family" : "Radic", "given" : "B.", "non-dropping-particle" : "", "parse-names" : false, "suffix" : "" }, { "dropping-particle" : "", "family" : "Keller", "given" : "N.", "non-dropping-particle" : "", "parse-names" : false, "suffix" : "" }, { "dropping-particle" : "", "family" : "Sipos", "given" : "K.", "non-dropping-particle" : "", "parse-names" : false, "suffix" : "" }, { "dropping-particle" : "", "family" : "Jakir", "given" : "A.", "non-dropping-particle" : "", "parse-names" : false, "suffix" : "" }, { "dropping-particle" : "", "family" : "Udovicic", "given" : "M.", "non-dropping-particle" : "", "parse-names" : false, "suffix" : "" }, { "dropping-particle" : "", "family" : "Tonkic", "given" : "A.", "non-dropping-particle" : "", "parse-names" : false, "suffix" : "" }, { "dropping-particle" : "", "family" : "Kokic", "given" : "N.", "non-dropping-particle" : "", "parse-names" : false, "suffix" : "" }, { "dropping-particle" : "", "family" : "Turkovic", "given" : "B.", "non-dropping-particle" : "", "parse-names" : false, "suffix" : "" }, { "dropping-particle" : "", "family" : "Mise", "given" : "S.", "non-dropping-particle" : "", "parse-names" : false, "suffix" : "" }, { "dropping-particle" : "", "family" : "Anic", "given" : "T.", "non-dropping-particle" : "", "parse-names" : false, "suffix" : "" } ], "container-title" : "Inflammopharmacology", "id" : "ITEM-9", "issue" : "5-6", "issued" : { "date-parts" : [ [ "2006", "12" ] ] }, "page" : "214-21", "title" : "Stable gastric pentadecapeptide BPC 157 in trials for inflammatory bowel disease (PL-10, PLD-116, PL 14736, Pliva, Croatia). Full and distended stomach, and vascular response.", "type" : "article-journal", "volume" : "14" }, "uris" : [ "http://www.mendeley.com/documents/?uuid=a21321d3-6201-3777-b54c-60d2c5d4ff9a" ] }, { "id" : "ITEM-10", "itemData" : { "DOI" : "10.1016/0928-4257(93)90038-U", "ISSN" : "0928-4257", "PMID" : "8298609", "abstract" : "The possibility that the stomach, affected by general stress, might initiate a counter-response has not until recently been considered in theories of stress. We suggest that the stomach, as the most sensitive part of the gastrointestinal tract and the largest neuroendocrine organ in the body, is crucial for the initiation of a full stress response against all noxious stress pathology. The end result would be a strong protection of all organs invaded by 'stress'. Consistent with this assumption, this coping response is best explained in terms of 'organoprotection'. Endogenous organoprotectors (eg prostaglandins, somatostatin, dopamine) are proposed as mediators. Such an endogenous counteraction could even be afforded by their suitable application. A new gastric juice peptide, M(r) 40,000, named BPC, was recently isolated. Herein, a 15 amino acid fragment (BPC 157), thought to be essential for its activity, has been fully characterized and investigated. As has been demonstrated for many organoprotective agents using different models of various tissue lesions, despite the poorly understood final mechanism, practically all organ systems appear to benefit from BPC activity. These effects have been achieved in many species using very low dosages (mostly microgram and ng/kg range) after ip, ig, and intramucosal (local) application. The effect was apparent already after one application. Long lasting activity was also demonstrated. BPC was highly effective when applied simultaneously with noxious agents or in already pathological, as well as chronical, conditions. Therefore, it seems that BPC treatment does not share any of the so far known limitations for 'conventional organoprotectors'. No influence on different basal parameters and no toxicity were observed. These findings provide a breakthrough in stress theory. BPC, as a possible endogenous free radical scavenger and organoprotection mediator, could be a useful prototype of a new class of drugs, organoprotective agents.", "author" : [ { "dropping-particle" : "", "family" : "Sikiri\u0107", "given" : "P.", "non-dropping-particle" : "", "parse-names" : false, "suffix" : "" }, { "dropping-particle" : "", "family" : "Petek", "given" : "M.", "non-dropping-particle" : "", "parse-names" : false, "suffix" : "" }, { "dropping-particle" : "", "family" : "Rucman", "given" : "R", "non-dropping-particle" : "", "parse-names" : false, "suffix" : "" }, { "dropping-particle" : "", "family" : "Seiwerth", "given" : "S.", "non-dropping-particle" : "", "parse-names" : false, "suffix" : "" }, { "dropping-particle" : "", "family" : "Grabarevi\u0107", "given" : "Z.", "non-dropping-particle" : "", "parse-names" : false, "suffix" : "" }, { "dropping-particle" : "", "family" : "Rotkvi\u0107", "given" : "I.", "non-dropping-particle" : "", "parse-names" : false, "suffix" : "" }, { "dropping-particle" : "", "family" : "Turkovi\u0107", "given" : "B.", "non-dropping-particle" : "", "parse-names" : false, "suffix" : "" }, { "dropping-particle" : "", "family" : "Jagi\u0107", "given" : "V.", "non-dropping-particle" : "", "parse-names" : false, "suffix" : "" }, { "dropping-particle" : "", "family" : "Mildner", "given" : "B.", "non-dropping-particle" : "", "parse-names" : false, "suffix" : "" }, { "dropping-particle" : "", "family" : "Duvnjak", "given" : "M.", "non-dropping-particle" : "", "parse-names" : false, "suffix" : "" } ], "container-title" : "Journal of physiology, Paris", "id" : "ITEM-10", "issue" : "5", "issued" : { "date-parts" : [ [ "1993" ] ] }, "page" : "313-27", "title" : "A new gastric juice peptide, BPC. An overview of the stomach-stress-organoprotection hypothesis and beneficial effects of BPC.", "type" : "article-journal", "volume" : "87" }, "uris" : [ "http://www.mendeley.com/documents/?uuid=f738bbb1-8d16-31eb-a5d7-6f273100aa96" ] }, { "id" : "ITEM-11",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"ITEM-12", "itemData" : { "DOI" : "10.1371/journal.pone.0162590", "ISSN" : "1932-6203", "author" : [ { "dropping-particle" : "", "family" : "Lojo", "given" : "Nermin", "non-dropping-particle" : "", "parse-names" : false, "suffix" : "" }, { "dropping-particle" : "", "family" : "Rasic", "given" : "Zarko", "non-dropping-particle" : "", "parse-names" : false, "suffix" : "" }, { "dropping-particle" : "", "family" : "Zenko Sever", "given" : "Anita", "non-dropping-particle" : "", "parse-names" : false, "suffix" : "" }, { "dropping-particle" : "", "family" : "Kolenc", "given" : "Danijela", "non-dropping-particle" : "", "parse-names" : false, "suffix" : "" }, { "dropping-particle" : "", "family" : "Vukusic", "given" : "Darko", "non-dropping-particle" : "", "parse-names" : false, "suffix" : "" }, { "dropping-particle" : "", "family" : "Drmic", "given" : "Domagoj", "non-dropping-particle" : "", "parse-names" : false, "suffix" : "" }, { "dropping-particle" : "", "family" : "Zoricic", "given" : "Ivan", "non-dropping-particle" : "", "parse-names" : false, "suffix" : "" }, { "dropping-particle" : "", "family" : "Sever",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"PLOS ONE", "editor" : [ { "dropping-particle" : "", "family" : "Singh", "given" : "Shree Ram", "non-dropping-particle" : "", "parse-names" : false, "suffix" : "" } ], "id" : "ITEM-12", "issue" : "9", "issued" : { "date-parts" : [ [ "2016", "9", "14" ] ] }, "page" : "e0162590", "title" : "Effects of Diclofenac, L-NAME, L-Arginine, and Pentadecapeptide BPC 157 on Gastrointestinal, Liver, and Brain Lesions, Failed Anastomosis, and Intestinal Adaptation Deterioration in 24 Hour-Short-Bowel Rats", "type" : "article-journal", "volume" : "11" }, "uris" : [ "http://www.mendeley.com/documents/?uuid=f765251b-42c4-4691-a197-e5408869fd60" ] } ], "mendeley" : { "formattedCitation" : "&lt;sup&gt;[1\u201310,15,30]&lt;/sup&gt;", "plainTextFormattedCitation" : "[1\u201310,15,30]", "previouslyFormattedCitation" : "(Duzel et al., 2017; Lojo et al., 2016; Seiwerth et al., 2014; Sikiric et al., 2006, 2017, 2016, 2014, 2013, 2012, 2011, 2010; Sikiri\u0107 et al., 1993)" }, "properties" : {  }, "schema" : "https://github.com/citation-style-language/schema/raw/master/csl-citation.json" }</w:instrText>
      </w:r>
      <w:r w:rsidR="00D25C56" w:rsidRPr="00CC34A3">
        <w:rPr>
          <w:rFonts w:ascii="Book Antiqua" w:eastAsia="Calibri" w:hAnsi="Book Antiqua" w:cs="Courier New"/>
          <w:color w:val="000000" w:themeColor="text1"/>
          <w:sz w:val="24"/>
          <w:szCs w:val="24"/>
          <w:lang w:val="en-US"/>
        </w:rPr>
        <w:fldChar w:fldCharType="separate"/>
      </w:r>
      <w:r w:rsidR="00D25C56" w:rsidRPr="00CC34A3">
        <w:rPr>
          <w:rFonts w:ascii="Book Antiqua" w:eastAsia="Calibri" w:hAnsi="Book Antiqua" w:cs="Courier New"/>
          <w:color w:val="000000" w:themeColor="text1"/>
          <w:sz w:val="24"/>
          <w:szCs w:val="24"/>
          <w:vertAlign w:val="superscript"/>
          <w:lang w:val="en-US"/>
        </w:rPr>
        <w:t>[1–10,15,30]</w:t>
      </w:r>
      <w:r w:rsidR="00D25C56" w:rsidRPr="00CC34A3">
        <w:rPr>
          <w:rFonts w:ascii="Book Antiqua" w:eastAsia="Calibri" w:hAnsi="Book Antiqua" w:cs="Courier New"/>
          <w:color w:val="000000" w:themeColor="text1"/>
          <w:sz w:val="24"/>
          <w:szCs w:val="24"/>
          <w:lang w:val="en-US"/>
        </w:rPr>
        <w:fldChar w:fldCharType="end"/>
      </w:r>
      <w:r w:rsidR="00D25C56" w:rsidRPr="00CC34A3">
        <w:rPr>
          <w:rFonts w:ascii="Book Antiqua" w:eastAsia="Calibri" w:hAnsi="Book Antiqua" w:cs="Courier New"/>
          <w:color w:val="000000" w:themeColor="text1"/>
          <w:sz w:val="24"/>
          <w:szCs w:val="24"/>
          <w:lang w:val="en-US"/>
        </w:rPr>
        <w:t>, w</w:t>
      </w:r>
      <w:r w:rsidR="00D25C56" w:rsidRPr="00CC34A3">
        <w:rPr>
          <w:rFonts w:ascii="Book Antiqua" w:hAnsi="Book Antiqua" w:cs="Courier New"/>
          <w:color w:val="000000" w:themeColor="text1"/>
          <w:sz w:val="24"/>
          <w:szCs w:val="24"/>
          <w:lang w:val="en-US"/>
        </w:rPr>
        <w:t>e processed the representative tissue sections for further histological analysis</w:t>
      </w:r>
      <w:r w:rsidR="00D25C56" w:rsidRPr="00CC34A3">
        <w:rPr>
          <w:rFonts w:ascii="Book Antiqua" w:eastAsia="Calibri" w:hAnsi="Book Antiqua" w:cs="Courier New"/>
          <w:color w:val="000000" w:themeColor="text1"/>
          <w:sz w:val="24"/>
          <w:szCs w:val="24"/>
          <w:lang w:val="en-US"/>
        </w:rPr>
        <w:t>.</w:t>
      </w:r>
      <w:r w:rsidR="00D25C56" w:rsidRPr="00CC34A3">
        <w:rPr>
          <w:rFonts w:ascii="Book Antiqua" w:hAnsi="Book Antiqua" w:cs="Courier New"/>
          <w:color w:val="000000" w:themeColor="text1"/>
          <w:sz w:val="24"/>
          <w:szCs w:val="24"/>
          <w:highlight w:val="yellow"/>
          <w:lang w:val="en-US"/>
        </w:rPr>
        <w:t xml:space="preserve"> </w:t>
      </w:r>
    </w:p>
    <w:p w14:paraId="46937B56" w14:textId="77777777" w:rsidR="002A7CCE" w:rsidRPr="00CC34A3" w:rsidRDefault="002A7CCE" w:rsidP="00CC34A3">
      <w:pPr>
        <w:autoSpaceDE w:val="0"/>
        <w:autoSpaceDN w:val="0"/>
        <w:adjustRightInd w:val="0"/>
        <w:snapToGrid w:val="0"/>
        <w:spacing w:after="0" w:line="360" w:lineRule="auto"/>
        <w:jc w:val="both"/>
        <w:rPr>
          <w:rFonts w:ascii="Book Antiqua" w:hAnsi="Book Antiqua" w:cs="Times New Roman"/>
          <w:color w:val="000000" w:themeColor="text1"/>
          <w:sz w:val="24"/>
          <w:szCs w:val="24"/>
          <w:lang w:val="en-US"/>
        </w:rPr>
      </w:pPr>
    </w:p>
    <w:p w14:paraId="22EF6185" w14:textId="77777777" w:rsidR="002A7CCE" w:rsidRPr="00CC34A3" w:rsidRDefault="002A7CCE" w:rsidP="00CC34A3">
      <w:pPr>
        <w:autoSpaceDE w:val="0"/>
        <w:autoSpaceDN w:val="0"/>
        <w:adjustRightInd w:val="0"/>
        <w:snapToGrid w:val="0"/>
        <w:spacing w:after="0" w:line="360" w:lineRule="auto"/>
        <w:jc w:val="both"/>
        <w:outlineLvl w:val="0"/>
        <w:rPr>
          <w:rFonts w:ascii="Book Antiqua" w:hAnsi="Book Antiqua" w:cs="Times New Roman"/>
          <w:b/>
          <w:bCs/>
          <w:i/>
          <w:iCs/>
          <w:color w:val="000000" w:themeColor="text1"/>
          <w:sz w:val="24"/>
          <w:szCs w:val="24"/>
          <w:lang w:val="en-US"/>
        </w:rPr>
      </w:pPr>
      <w:r w:rsidRPr="00CC34A3">
        <w:rPr>
          <w:rFonts w:ascii="Book Antiqua" w:hAnsi="Book Antiqua" w:cs="Times New Roman"/>
          <w:b/>
          <w:bCs/>
          <w:i/>
          <w:iCs/>
          <w:color w:val="000000" w:themeColor="text1"/>
          <w:sz w:val="24"/>
          <w:szCs w:val="24"/>
          <w:lang w:val="en-US"/>
        </w:rPr>
        <w:t>Oxidative stress</w:t>
      </w:r>
    </w:p>
    <w:p w14:paraId="4125C134" w14:textId="1F072AA9" w:rsidR="007B7F18" w:rsidRPr="00CC34A3" w:rsidRDefault="007B7F18" w:rsidP="00CC34A3">
      <w:pPr>
        <w:adjustRightInd w:val="0"/>
        <w:snapToGrid w:val="0"/>
        <w:spacing w:after="0" w:line="360" w:lineRule="auto"/>
        <w:jc w:val="both"/>
        <w:rPr>
          <w:rFonts w:ascii="Book Antiqua" w:hAnsi="Book Antiqua" w:cs="Courier New"/>
          <w:color w:val="000000" w:themeColor="text1"/>
          <w:sz w:val="24"/>
          <w:szCs w:val="24"/>
          <w:lang w:val="en-US"/>
        </w:rPr>
      </w:pPr>
      <w:r w:rsidRPr="00CC34A3">
        <w:rPr>
          <w:rFonts w:ascii="Book Antiqua" w:hAnsi="Book Antiqua" w:cs="Courier New"/>
          <w:color w:val="000000" w:themeColor="text1"/>
          <w:sz w:val="24"/>
          <w:szCs w:val="24"/>
          <w:lang w:val="en-US"/>
        </w:rPr>
        <w:t>As described before</w:t>
      </w:r>
      <w:r w:rsidRPr="00CC34A3">
        <w:rPr>
          <w:rFonts w:ascii="Book Antiqua" w:eastAsia="Calibri" w:hAnsi="Book Antiqua" w:cs="Courier New"/>
          <w:color w:val="000000" w:themeColor="text1"/>
          <w:sz w:val="24"/>
          <w:szCs w:val="24"/>
          <w:lang w:val="en-US"/>
        </w:rPr>
        <w:fldChar w:fldCharType="begin" w:fldLock="1"/>
      </w:r>
      <w:r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"id" : "ITEM-3", "itemData" : { "DOI" : "10.1007/s10787-017-0358-8", "ISSN" : "15685608", "abstract" : "\u00a9 2017, Springer International Publishing. The ulcerogenic potential of dopamine antagonists and l-NAME in rats provides unresolved issues of anti-emetic neuroleptic application in both patients and experimental studies. Therefore, in a 1-week study, we examined the pressures within the lower oesophageal and the pyloric sphincters in rats [assessed manometrically (cm H 2 O)] after dopamine neuroleptics/prokinetics, l-NAME, l-arginine and stable gastric pentadecapeptide BPC 157 were administered alone and/or in combination. Medication (/kg) was given once daily intraperitoneally throughout the 7\u00a0days, with the last dose at 24\u00a0h before pressure assessment. Given as individual agents to healthy rats, all dopamine antagonists (central [haloperidol (6.25\u00a0mg, 16\u00a0mg, 25\u00a0mg), fluphenazine (5\u00a0mg), levomepromazine (50\u00a0mg), chlorpromazine (10\u00a0mg), quetiapine (10\u00a0mg), olanzapine (5\u00a0mg), clozapine (100\u00a0mg), sulpiride (160\u00a0mg), metoclopramide (25\u00a0mg)) and peripheral(domperidone (10\u00a0mg)] , l-NAME (5\u00a0mg) and l-arginine (100\u00a0mg) decreased the pressure within both sphincters. As a common effect, this decreased pressure was rescued, dose-dependently, by BPC 157 (10\u00a0\u00b5g, 10\u00a0ng) (also note that l-arginine and l-NAME given together antagonized each other\u2019s responses). With haloperidol, l-NAME worsened both the lower oesophageal and the pyloric sphincter pressure, while l-arginine ameliorated lower oesophageal sphincter but not pyloric sphincter pressure, and antagonized l-NAME effect. With domperidone, l-arginine originally had no effect, while l-NAME worsened pyloric sphincter pressure. This effect was opposed by l-arginine. All these effects were further reversed towards a stronger beneficial effect, close to normal pressure values, by the addition of BPC 157. In addition, NO level was determined in plasma, sphincters and brain tissue. Thiobarbituric acid reactive substances (TBARS) were also assessed. Haloperidol increased NO levels (in both sphincters, the plasma and brain), consistently producing increased TBARS levels in the plasma, sphincters and brain tissues. These effects were all counteracted by BPC 157 administration. In conclusion, we revealed that BPC 157 counteracts the anti-emetic neuroleptic class side effect of decreased pressure in sphincters and the dopamine/NO-system/BPC 157 relationship.", "author" : [ { "dropping-particle" : "", "family" : "Belosic Halle", "given" : "Z.", "non-dropping-particle" : "", "parse-names" : false, "suffix" : "" }, { "dropping-particle" : "", "family" : "Vlainic", "given" : "J.", "non-dropping-particle" : "", "parse-names" : false, "suffix" : "" }, { "dropping-particle" : "", "family" : "Drmic", "given" : "D.", "non-dropping-particle" : "", "parse-names" : false, "suffix" : "" }, { "dropping-particle" : "", "family" : "Strinic", "given" : "D.", "non-dropping-particle" : "", "parse-names" : false, "suffix" : "" }, { "dropping-particle" : "", "family" : "Luetic", "given" : "K.", "non-dropping-particle" : "", "parse-names" : false, "suffix" : "" }, { "dropping-particle" : "", "family" : "Sucic", "given" : "M.", "non-dropping-particle" : "", "parse-names" : false, "suffix" : "" }, { "dropping-particle" : "", "family" : "Medvidovic-Grubisic", "given" : "M.", "non-dropping-particle" : "", "parse-names" : false, "suffix" : "" }, { "dropping-particle" : "", "family" : "Pavelic Turudic", "given" : "T.", "non-dropping-particle" : "", "parse-names" : false, "suffix" : "" }, { "dropping-particle" : "", "family" : "Petrovic", "given" : "I.", "non-dropping-particle" : "", "parse-names" : false, "suffix" : "" }, { "dropping-particle" : "", "family" : "Seiwerth", "given" : "S.", "non-dropping-particle" : "", "parse-names" : false, "suffix" : "" }, { "dropping-particle" : "", "family" : "Sikiric", "given" : "P.", "non-dropping-particle" : "", "parse-names" : false, "suffix" : "" } ], "container-title" : "Inflammopharmacology", "id" : "ITEM-3", "issue" : "5", "issued" : { "date-parts" : [ [ "2017" ] ] }, "title" : "Class side effects: decreased pressure in the lower oesophageal and the pyloric sphincters after the administration of dopamine antagonists, neuroleptics, anti-emetics, l-NAME, pentadecapeptide BPC 157 and l-arginine", "type" : "article-journal", "volume" : "25" }, "uris" : [ "http://www.mendeley.com/documents/?uuid=5e612fde-7bf0-31cb-a989-d591b593deeb" ] }, { "id" : "ITEM-4", "itemData" : { "DOI" : "10.1007/s10787-017-0330-7", "ISSN" : "0925-4692", "author" : [ { "dropping-particle" : "", "family" : "Luetic", "given" : "Kre\u0161imir", "non-dropping-particle" : "", "parse-names" : false, "suffix" : "" }, { "dropping-particle" : "", "family" : "Sucic", "given" : "Mario", "non-dropping-particle" : "", "parse-names" : false, "suffix" : "" }, { "dropping-particle" : "", "family" : "Vlainic", "given" : "Josipa", "non-dropping-particle" : "", "parse-names" : false, "suffix" : "" }, { "dropping-particle" : "", "family" : "Halle", "given" : "Zeljka Belosic", "non-dropping-particle" : "", "parse-names" : false, "suffix" : "" }, { "dropping-particle" : "", "family" : "Strinic", "given" : "Dean", "non-dropping-particle" : "", "parse-names" : false, "suffix" : "" }, { "dropping-particle" : "", "family" : "Vidovic", "given" : "Tinka", "non-dropping-particle" : "", "parse-names" : false, "suffix" : "" }, { "dropping-particle" : "", "family" : "Luetic", "given" : "Franka", "non-dropping-particle" : "", "parse-names" : false, "suffix" : "" }, { "dropping-particle" : "", "family" : "Marusic", "given" : "Marinko", "non-dropping-particle" : "", "parse-names" : false, "suffix" : "" }, { "dropping-particle" : "", "family" : "Gulic", "given" : "Sasa", "non-dropping-particle" : "", "parse-names" : false, "suffix" : "" }, { "dropping-particle" : "", "family" : "Pavelic", "given" : "Tatjana Turudic", "non-dropping-particle" : "", "parse-names" : false, "suffix" : "" }, { "dropping-particle" : "", "family" : "Kokot", "given" : "Antonio", "non-dropping-particle" : "", "parse-names" : false, "suffix" : "" }, { "dropping-particle" : "", "family" : "Seiwerth", "given" : "Ranka Serventi", "non-dropping-particle" : "", "parse-names" : false, "suffix" : "" }, { "dropping-particle" : "", "family" : "Drmic", "given" : "Domagoj", "non-dropping-particle" : "", "parse-names" : false, "suffix" : "" }, { "dropping-particle" : "", "family" : "Batelja", "given" : "Lovorka", "non-dropping-particle" : "", "parse-names" : false, "suffix" : "" }, { "dropping-particle" : "", "family" : "Seiwerth", "given" : "Sven", "non-dropping-particle" : "", "parse-names" : false, "suffix" : "" }, { "dropping-particle" : "", "family" : "Sikiric", "given" : "Predrag", "non-dropping-particle" : "", "parse-names" : false, "suffix" : "" } ], "container-title" : "Inflammopharmacology", "id" : "ITEM-4", "issue" : "2", "issued" : { "date-parts" : [ [ "2017", "4", "2" ] ] }, "page" : "255-264", "title" : "Cyclophosphamide induced stomach and duodenal lesions as a NO-system disturbance in rats: l-NAME, l-arginine, stable gastric pentadecapeptide BPC 157", "type" : "article-journal", "volume" : "25" }, "uris" : [ "http://www.mendeley.com/documents/?uuid=f2cde618-4ef1-4c10-9d3c-c738d709d854" ] } ], "mendeley" : { "formattedCitation" : "&lt;sup&gt;[15,16,31,32]&lt;/sup&gt;", "plainTextFormattedCitation" : "[15,16,31,32]", "previouslyFormattedCitation" : "(Belosic Halle et al., 2017; Duzel et al., 2017; Luetic et al., 2017; Vukojevi\u0107 et al., 2018)" }, "properties" : {  }, "schema" : "https://github.com/citation-style-language/schema/raw/master/csl-citation.json" }</w:instrText>
      </w:r>
      <w:r w:rsidRPr="00CC34A3">
        <w:rPr>
          <w:rFonts w:ascii="Book Antiqua" w:eastAsia="Calibri" w:hAnsi="Book Antiqua" w:cs="Courier New"/>
          <w:color w:val="000000" w:themeColor="text1"/>
          <w:sz w:val="24"/>
          <w:szCs w:val="24"/>
          <w:lang w:val="en-US"/>
        </w:rPr>
        <w:fldChar w:fldCharType="separate"/>
      </w:r>
      <w:r w:rsidRPr="00CC34A3">
        <w:rPr>
          <w:rFonts w:ascii="Book Antiqua" w:eastAsia="Calibri" w:hAnsi="Book Antiqua" w:cs="Courier New"/>
          <w:color w:val="000000" w:themeColor="text1"/>
          <w:sz w:val="24"/>
          <w:szCs w:val="24"/>
          <w:vertAlign w:val="superscript"/>
          <w:lang w:val="en-US"/>
        </w:rPr>
        <w:t>[15,16,31,32]</w:t>
      </w:r>
      <w:r w:rsidRPr="00CC34A3">
        <w:rPr>
          <w:rFonts w:ascii="Book Antiqua" w:eastAsia="Calibri" w:hAnsi="Book Antiqua" w:cs="Courier New"/>
          <w:color w:val="000000" w:themeColor="text1"/>
          <w:sz w:val="24"/>
          <w:szCs w:val="24"/>
          <w:lang w:val="en-US"/>
        </w:rPr>
        <w:fldChar w:fldCharType="end"/>
      </w:r>
      <w:r w:rsidRPr="00CC34A3">
        <w:rPr>
          <w:rFonts w:ascii="Book Antiqua" w:hAnsi="Book Antiqua" w:cs="Courier New"/>
          <w:color w:val="000000" w:themeColor="text1"/>
          <w:sz w:val="24"/>
          <w:szCs w:val="24"/>
          <w:lang w:val="en-US"/>
        </w:rPr>
        <w:t xml:space="preserve">, at the end of the experiment and at 5 min, 30 min and 24 h of ligation time in </w:t>
      </w:r>
      <w:r w:rsidR="00992FA2" w:rsidRPr="00CC34A3">
        <w:rPr>
          <w:rFonts w:ascii="Book Antiqua" w:hAnsi="Book Antiqua" w:cs="Courier New"/>
          <w:color w:val="000000" w:themeColor="text1"/>
          <w:sz w:val="24"/>
          <w:szCs w:val="24"/>
          <w:lang w:val="en-US"/>
        </w:rPr>
        <w:t>SAPDV</w:t>
      </w:r>
      <w:r w:rsidRPr="00CC34A3">
        <w:rPr>
          <w:rFonts w:ascii="Book Antiqua" w:hAnsi="Book Antiqua" w:cs="Courier New"/>
          <w:color w:val="000000" w:themeColor="text1"/>
          <w:sz w:val="24"/>
          <w:szCs w:val="24"/>
          <w:lang w:val="en-US"/>
        </w:rPr>
        <w:t>-ligated rats, we assessed</w:t>
      </w:r>
      <w:r w:rsidRPr="00CC34A3">
        <w:rPr>
          <w:rFonts w:ascii="Book Antiqua" w:eastAsia="Times New Roman" w:hAnsi="Book Antiqua" w:cs="Courier New"/>
          <w:color w:val="000000" w:themeColor="text1"/>
          <w:sz w:val="24"/>
          <w:szCs w:val="24"/>
          <w:lang w:val="en-US" w:eastAsia="hr-HR"/>
        </w:rPr>
        <w:t xml:space="preserve"> </w:t>
      </w:r>
      <w:r w:rsidRPr="00CC34A3">
        <w:rPr>
          <w:rFonts w:ascii="Book Antiqua" w:hAnsi="Book Antiqua" w:cs="Courier New"/>
          <w:color w:val="000000" w:themeColor="text1"/>
          <w:sz w:val="24"/>
          <w:szCs w:val="24"/>
          <w:lang w:val="en-US"/>
        </w:rPr>
        <w:t xml:space="preserve">the oxidative stress in the collected tissue samples by quantifying </w:t>
      </w:r>
      <w:bookmarkStart w:id="23" w:name="OLE_LINK145"/>
      <w:proofErr w:type="spellStart"/>
      <w:r w:rsidRPr="00CC34A3">
        <w:rPr>
          <w:rFonts w:ascii="Book Antiqua" w:hAnsi="Book Antiqua" w:cs="Courier New"/>
          <w:color w:val="000000" w:themeColor="text1"/>
          <w:sz w:val="24"/>
          <w:szCs w:val="24"/>
          <w:lang w:val="en-US"/>
        </w:rPr>
        <w:t>thiobarbituric</w:t>
      </w:r>
      <w:proofErr w:type="spellEnd"/>
      <w:r w:rsidRPr="00CC34A3">
        <w:rPr>
          <w:rFonts w:ascii="Book Antiqua" w:hAnsi="Book Antiqua" w:cs="Courier New"/>
          <w:color w:val="000000" w:themeColor="text1"/>
          <w:sz w:val="24"/>
          <w:szCs w:val="24"/>
          <w:lang w:val="en-US"/>
        </w:rPr>
        <w:t xml:space="preserve"> acid-reactive species</w:t>
      </w:r>
      <w:bookmarkEnd w:id="23"/>
      <w:r w:rsidRPr="00CC34A3">
        <w:rPr>
          <w:rFonts w:ascii="Book Antiqua" w:hAnsi="Book Antiqua" w:cs="Courier New"/>
          <w:color w:val="000000" w:themeColor="text1"/>
          <w:sz w:val="24"/>
          <w:szCs w:val="24"/>
          <w:lang w:val="en-US"/>
        </w:rPr>
        <w:t xml:space="preserve"> (TBARS) as MDA equi</w:t>
      </w:r>
      <w:r w:rsidR="00773972" w:rsidRPr="00CC34A3">
        <w:rPr>
          <w:rFonts w:ascii="Book Antiqua" w:hAnsi="Book Antiqua" w:cs="Courier New"/>
          <w:color w:val="000000" w:themeColor="text1"/>
          <w:sz w:val="24"/>
          <w:szCs w:val="24"/>
          <w:lang w:val="en-US"/>
        </w:rPr>
        <w:t>valents</w:t>
      </w:r>
      <w:r w:rsidRPr="00CC34A3">
        <w:rPr>
          <w:rFonts w:ascii="Book Antiqua" w:hAnsi="Book Antiqua" w:cs="Courier New"/>
          <w:color w:val="000000" w:themeColor="text1"/>
          <w:sz w:val="24"/>
          <w:szCs w:val="24"/>
          <w:lang w:val="en-US"/>
        </w:rPr>
        <w:t xml:space="preserve"> (results expressed in nmol per mg of protein). Briefly, we </w:t>
      </w:r>
      <w:r w:rsidR="00E82FF0" w:rsidRPr="00CC34A3">
        <w:rPr>
          <w:rFonts w:ascii="Book Antiqua" w:hAnsi="Book Antiqua" w:cs="Courier New"/>
          <w:color w:val="000000" w:themeColor="text1"/>
          <w:sz w:val="24"/>
          <w:szCs w:val="24"/>
          <w:lang w:val="en-US"/>
        </w:rPr>
        <w:t>homogenized the tissue samples [</w:t>
      </w:r>
      <w:r w:rsidRPr="00CC34A3">
        <w:rPr>
          <w:rFonts w:ascii="Book Antiqua" w:hAnsi="Book Antiqua" w:cs="Courier New"/>
          <w:color w:val="000000" w:themeColor="text1"/>
          <w:sz w:val="24"/>
          <w:szCs w:val="24"/>
          <w:lang w:val="en-US"/>
        </w:rPr>
        <w:t>in PBS (pH 7.4) containing 0.1 mmol/L butylated hydroxytoluene (BHT) (</w:t>
      </w:r>
      <w:proofErr w:type="spellStart"/>
      <w:r w:rsidRPr="00CC34A3">
        <w:rPr>
          <w:rFonts w:ascii="Book Antiqua" w:hAnsi="Book Antiqua" w:cs="Courier New"/>
          <w:color w:val="000000" w:themeColor="text1"/>
          <w:sz w:val="24"/>
          <w:szCs w:val="24"/>
          <w:lang w:val="en-US"/>
        </w:rPr>
        <w:t>Tissu</w:t>
      </w:r>
      <w:r w:rsidR="00E82FF0" w:rsidRPr="00CC34A3">
        <w:rPr>
          <w:rFonts w:ascii="Book Antiqua" w:hAnsi="Book Antiqua" w:cs="Courier New"/>
          <w:color w:val="000000" w:themeColor="text1"/>
          <w:sz w:val="24"/>
          <w:szCs w:val="24"/>
          <w:lang w:val="en-US"/>
        </w:rPr>
        <w:t>eRuptor</w:t>
      </w:r>
      <w:proofErr w:type="spellEnd"/>
      <w:r w:rsidR="00E82FF0" w:rsidRPr="00CC34A3">
        <w:rPr>
          <w:rFonts w:ascii="Book Antiqua" w:hAnsi="Book Antiqua" w:cs="Courier New"/>
          <w:color w:val="000000" w:themeColor="text1"/>
          <w:sz w:val="24"/>
          <w:szCs w:val="24"/>
          <w:lang w:val="en-US"/>
        </w:rPr>
        <w:t>, Qiagen, United States)] and sonicated [</w:t>
      </w:r>
      <w:r w:rsidRPr="00CC34A3">
        <w:rPr>
          <w:rFonts w:ascii="Book Antiqua" w:hAnsi="Book Antiqua" w:cs="Courier New"/>
          <w:color w:val="000000" w:themeColor="text1"/>
          <w:sz w:val="24"/>
          <w:szCs w:val="24"/>
          <w:lang w:val="en-US"/>
        </w:rPr>
        <w:t>for 30 s in an ice bath (Ultrasoni</w:t>
      </w:r>
      <w:r w:rsidR="00E82FF0" w:rsidRPr="00CC34A3">
        <w:rPr>
          <w:rFonts w:ascii="Book Antiqua" w:hAnsi="Book Antiqua" w:cs="Courier New"/>
          <w:color w:val="000000" w:themeColor="text1"/>
          <w:sz w:val="24"/>
          <w:szCs w:val="24"/>
          <w:lang w:val="en-US"/>
        </w:rPr>
        <w:t>c bath, Branson, United States)]</w:t>
      </w:r>
      <w:r w:rsidRPr="00CC34A3">
        <w:rPr>
          <w:rFonts w:ascii="Book Antiqua" w:hAnsi="Book Antiqua" w:cs="Courier New"/>
          <w:color w:val="000000" w:themeColor="text1"/>
          <w:sz w:val="24"/>
          <w:szCs w:val="24"/>
          <w:lang w:val="en-US"/>
        </w:rPr>
        <w:t xml:space="preserve">, added trichloroacetic acid (TCA, 10%) to the homogenate, centrifuged the mixture (at 3000 rpm for 5 min), and collected the supernatant. Then, we added 1% TBA, boiled the samples (95 </w:t>
      </w:r>
      <w:r w:rsidRPr="00CC34A3">
        <w:rPr>
          <w:rFonts w:ascii="MS Mincho" w:eastAsia="MS Mincho" w:hAnsi="MS Mincho" w:cs="MS Mincho"/>
          <w:color w:val="000000" w:themeColor="text1"/>
          <w:sz w:val="24"/>
          <w:szCs w:val="24"/>
          <w:lang w:val="en-US"/>
        </w:rPr>
        <w:t>℃</w:t>
      </w:r>
      <w:r w:rsidRPr="00CC34A3">
        <w:rPr>
          <w:rFonts w:ascii="Book Antiqua" w:hAnsi="Book Antiqua" w:cs="Courier New"/>
          <w:color w:val="000000" w:themeColor="text1"/>
          <w:sz w:val="24"/>
          <w:szCs w:val="24"/>
          <w:lang w:val="en-US"/>
        </w:rPr>
        <w:t>, 60 min), and kept the tubes on ice for 10 mi</w:t>
      </w:r>
      <w:r w:rsidR="00467939" w:rsidRPr="00CC34A3">
        <w:rPr>
          <w:rFonts w:ascii="Book Antiqua" w:hAnsi="Book Antiqua" w:cs="Courier New"/>
          <w:color w:val="000000" w:themeColor="text1"/>
          <w:sz w:val="24"/>
          <w:szCs w:val="24"/>
          <w:lang w:val="en-US"/>
        </w:rPr>
        <w:t>n. Following centrifugation (14</w:t>
      </w:r>
      <w:r w:rsidRPr="00CC34A3">
        <w:rPr>
          <w:rFonts w:ascii="Book Antiqua" w:hAnsi="Book Antiqua" w:cs="Courier New"/>
          <w:color w:val="000000" w:themeColor="text1"/>
          <w:sz w:val="24"/>
          <w:szCs w:val="24"/>
          <w:lang w:val="en-US"/>
        </w:rPr>
        <w:t>000 rpm, 10 min), we determined the absorbance of the mixture at the wavelength of 532 nm. We assessed the concentration of MDA from a standard calibration curve plotted using 1,1,3,3’-tetraethoxypropane (TEP). We express the extent of lipid peroxidation as MDA using a molar extinction coeffici</w:t>
      </w:r>
      <w:r w:rsidR="00467939" w:rsidRPr="00CC34A3">
        <w:rPr>
          <w:rFonts w:ascii="Book Antiqua" w:hAnsi="Book Antiqua" w:cs="Courier New"/>
          <w:color w:val="000000" w:themeColor="text1"/>
          <w:sz w:val="24"/>
          <w:szCs w:val="24"/>
          <w:lang w:val="en-US"/>
        </w:rPr>
        <w:t>ent for MDA of 1.56 × 10</w:t>
      </w:r>
      <w:r w:rsidR="00467939" w:rsidRPr="00CC34A3">
        <w:rPr>
          <w:rFonts w:ascii="Book Antiqua" w:hAnsi="Book Antiqua" w:cs="Courier New"/>
          <w:color w:val="000000" w:themeColor="text1"/>
          <w:sz w:val="24"/>
          <w:szCs w:val="24"/>
          <w:vertAlign w:val="superscript"/>
          <w:lang w:val="en-US"/>
        </w:rPr>
        <w:t>5</w:t>
      </w:r>
      <w:r w:rsidR="00467939" w:rsidRPr="00CC34A3">
        <w:rPr>
          <w:rFonts w:ascii="Book Antiqua" w:hAnsi="Book Antiqua" w:cs="Courier New"/>
          <w:color w:val="000000" w:themeColor="text1"/>
          <w:sz w:val="24"/>
          <w:szCs w:val="24"/>
          <w:lang w:val="en-US"/>
        </w:rPr>
        <w:t xml:space="preserve"> mol/L per </w:t>
      </w:r>
      <w:r w:rsidRPr="00CC34A3">
        <w:rPr>
          <w:rFonts w:ascii="Book Antiqua" w:hAnsi="Book Antiqua" w:cs="Courier New"/>
          <w:color w:val="000000" w:themeColor="text1"/>
          <w:sz w:val="24"/>
          <w:szCs w:val="24"/>
          <w:lang w:val="en-US"/>
        </w:rPr>
        <w:t xml:space="preserve">cm and determined protein concentration using a commercial kit. </w:t>
      </w:r>
    </w:p>
    <w:p w14:paraId="567E97C7" w14:textId="77777777" w:rsidR="005E3D33" w:rsidRPr="00CC34A3" w:rsidRDefault="005E3D33" w:rsidP="00CC34A3">
      <w:pPr>
        <w:autoSpaceDE w:val="0"/>
        <w:autoSpaceDN w:val="0"/>
        <w:adjustRightInd w:val="0"/>
        <w:snapToGrid w:val="0"/>
        <w:spacing w:after="0" w:line="360" w:lineRule="auto"/>
        <w:jc w:val="both"/>
        <w:rPr>
          <w:rFonts w:ascii="Book Antiqua" w:hAnsi="Book Antiqua" w:cs="Times New Roman"/>
          <w:color w:val="000000" w:themeColor="text1"/>
          <w:sz w:val="24"/>
          <w:szCs w:val="24"/>
          <w:lang w:val="en-US" w:eastAsia="zh-CN"/>
        </w:rPr>
      </w:pPr>
    </w:p>
    <w:p w14:paraId="5191936B" w14:textId="77777777" w:rsidR="002A7CCE" w:rsidRPr="00CC34A3" w:rsidRDefault="002A7CCE" w:rsidP="00CC34A3">
      <w:pPr>
        <w:autoSpaceDE w:val="0"/>
        <w:autoSpaceDN w:val="0"/>
        <w:adjustRightInd w:val="0"/>
        <w:snapToGrid w:val="0"/>
        <w:spacing w:after="0" w:line="360" w:lineRule="auto"/>
        <w:jc w:val="both"/>
        <w:outlineLvl w:val="0"/>
        <w:rPr>
          <w:rFonts w:ascii="Book Antiqua" w:hAnsi="Book Antiqua" w:cs="Times New Roman"/>
          <w:b/>
          <w:bCs/>
          <w:i/>
          <w:iCs/>
          <w:color w:val="000000" w:themeColor="text1"/>
          <w:sz w:val="24"/>
          <w:szCs w:val="24"/>
          <w:lang w:val="en-US"/>
        </w:rPr>
      </w:pPr>
      <w:r w:rsidRPr="00CC34A3">
        <w:rPr>
          <w:rFonts w:ascii="Book Antiqua" w:hAnsi="Book Antiqua" w:cs="Times New Roman"/>
          <w:b/>
          <w:bCs/>
          <w:i/>
          <w:iCs/>
          <w:color w:val="000000" w:themeColor="text1"/>
          <w:sz w:val="24"/>
          <w:szCs w:val="24"/>
          <w:lang w:val="en-US"/>
        </w:rPr>
        <w:t xml:space="preserve">NO determination in </w:t>
      </w:r>
      <w:r w:rsidR="003B6643" w:rsidRPr="00CC34A3">
        <w:rPr>
          <w:rFonts w:ascii="Book Antiqua" w:hAnsi="Book Antiqua" w:cs="Times New Roman"/>
          <w:b/>
          <w:bCs/>
          <w:i/>
          <w:iCs/>
          <w:color w:val="000000" w:themeColor="text1"/>
          <w:sz w:val="24"/>
          <w:szCs w:val="24"/>
          <w:lang w:val="en-US"/>
        </w:rPr>
        <w:t>duodenum</w:t>
      </w:r>
      <w:r w:rsidRPr="00CC34A3">
        <w:rPr>
          <w:rFonts w:ascii="Book Antiqua" w:hAnsi="Book Antiqua" w:cs="Times New Roman"/>
          <w:b/>
          <w:bCs/>
          <w:i/>
          <w:iCs/>
          <w:color w:val="000000" w:themeColor="text1"/>
          <w:sz w:val="24"/>
          <w:szCs w:val="24"/>
          <w:lang w:val="en-US"/>
        </w:rPr>
        <w:t xml:space="preserve"> tissue</w:t>
      </w:r>
    </w:p>
    <w:p w14:paraId="13F8F5B2" w14:textId="70FC4AE4" w:rsidR="009A3F24" w:rsidRPr="00CC34A3" w:rsidRDefault="009A3F24" w:rsidP="00CC34A3">
      <w:pPr>
        <w:adjustRightInd w:val="0"/>
        <w:snapToGrid w:val="0"/>
        <w:spacing w:after="0" w:line="360" w:lineRule="auto"/>
        <w:jc w:val="both"/>
        <w:rPr>
          <w:rFonts w:ascii="Book Antiqua" w:eastAsia="Times New Roman" w:hAnsi="Book Antiqua" w:cs="Courier New"/>
          <w:color w:val="000000" w:themeColor="text1"/>
          <w:sz w:val="24"/>
          <w:szCs w:val="24"/>
          <w:lang w:val="en-US" w:eastAsia="hr-HR"/>
        </w:rPr>
      </w:pPr>
      <w:r w:rsidRPr="00CC34A3">
        <w:rPr>
          <w:rFonts w:ascii="Book Antiqua" w:hAnsi="Book Antiqua" w:cs="Courier New"/>
          <w:color w:val="000000" w:themeColor="text1"/>
          <w:sz w:val="24"/>
          <w:szCs w:val="24"/>
          <w:lang w:val="en-US"/>
        </w:rPr>
        <w:t xml:space="preserve">In </w:t>
      </w:r>
      <w:r w:rsidR="00992FA2" w:rsidRPr="00CC34A3">
        <w:rPr>
          <w:rFonts w:ascii="Book Antiqua" w:hAnsi="Book Antiqua" w:cs="Courier New"/>
          <w:color w:val="000000" w:themeColor="text1"/>
          <w:sz w:val="24"/>
          <w:szCs w:val="24"/>
          <w:lang w:val="en-US"/>
        </w:rPr>
        <w:t>SAPDV</w:t>
      </w:r>
      <w:r w:rsidRPr="00CC34A3">
        <w:rPr>
          <w:rFonts w:ascii="Book Antiqua" w:hAnsi="Book Antiqua" w:cs="Courier New"/>
          <w:color w:val="000000" w:themeColor="text1"/>
          <w:sz w:val="24"/>
          <w:szCs w:val="24"/>
          <w:lang w:val="en-US"/>
        </w:rPr>
        <w:t>-ligated rats, as described before</w:t>
      </w:r>
      <w:r w:rsidRPr="00CC34A3">
        <w:rPr>
          <w:rFonts w:ascii="Book Antiqua" w:eastAsia="Calibri" w:hAnsi="Book Antiqua" w:cs="Courier New"/>
          <w:color w:val="000000" w:themeColor="text1"/>
          <w:sz w:val="24"/>
          <w:szCs w:val="24"/>
          <w:lang w:val="en-US"/>
        </w:rPr>
        <w:fldChar w:fldCharType="begin" w:fldLock="1"/>
      </w:r>
      <w:r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"id" : "ITEM-3", "itemData" : { "DOI" : "10.1007/s10787-017-0358-8", "ISSN" : "15685608", "abstract" : "\u00a9 2017, Springer International Publishing. The ulcerogenic potential of dopamine antagonists and l-NAME in rats provides unresolved issues of anti-emetic neuroleptic application in both patients and experimental studies. Therefore, in a 1-week study, we examined the pressures within the lower oesophageal and the pyloric sphincters in rats [assessed manometrically (cm H 2 O)] after dopamine neuroleptics/prokinetics, l-NAME, l-arginine and stable gastric pentadecapeptide BPC 157 were administered alone and/or in combination. Medication (/kg) was given once daily intraperitoneally throughout the 7\u00a0days, with the last dose at 24\u00a0h before pressure assessment. Given as individual agents to healthy rats, all dopamine antagonists (central [haloperidol (6.25\u00a0mg, 16\u00a0mg, 25\u00a0mg), fluphenazine (5\u00a0mg), levomepromazine (50\u00a0mg), chlorpromazine (10\u00a0mg), quetiapine (10\u00a0mg), olanzapine (5\u00a0mg), clozapine (100\u00a0mg), sulpiride (160\u00a0mg), metoclopramide (25\u00a0mg)) and peripheral(domperidone (10\u00a0mg)] , l-NAME (5\u00a0mg) and l-arginine (100\u00a0mg) decreased the pressure within both sphincters. As a common effect, this decreased pressure was rescued, dose-dependently, by BPC 157 (10\u00a0\u00b5g, 10\u00a0ng) (also note that l-arginine and l-NAME given together antagonized each other\u2019s responses). With haloperidol, l-NAME worsened both the lower oesophageal and the pyloric sphincter pressure, while l-arginine ameliorated lower oesophageal sphincter but not pyloric sphincter pressure, and antagonized l-NAME effect. With domperidone, l-arginine originally had no effect, while l-NAME worsened pyloric sphincter pressure. This effect was opposed by l-arginine. All these effects were further reversed towards a stronger beneficial effect, close to normal pressure values, by the addition of BPC 157. In addition, NO level was determined in plasma, sphincters and brain tissue. Thiobarbituric acid reactive substances (TBARS) were also assessed. Haloperidol increased NO levels (in both sphincters, the plasma and brain), consistently producing increased TBARS levels in the plasma, sphincters and brain tissues. These effects were all counteracted by BPC 157 administration. In conclusion, we revealed that BPC 157 counteracts the anti-emetic neuroleptic class side effect of decreased pressure in sphincters and the dopamine/NO-system/BPC 157 relationship.", "author" : [ { "dropping-particle" : "", "family" : "Belosic Halle", "given" : "Z.", "non-dropping-particle" : "", "parse-names" : false, "suffix" : "" }, { "dropping-particle" : "", "family" : "Vlainic", "given" : "J.", "non-dropping-particle" : "", "parse-names" : false, "suffix" : "" }, { "dropping-particle" : "", "family" : "Drmic", "given" : "D.", "non-dropping-particle" : "", "parse-names" : false, "suffix" : "" }, { "dropping-particle" : "", "family" : "Strinic", "given" : "D.", "non-dropping-particle" : "", "parse-names" : false, "suffix" : "" }, { "dropping-particle" : "", "family" : "Luetic", "given" : "K.", "non-dropping-particle" : "", "parse-names" : false, "suffix" : "" }, { "dropping-particle" : "", "family" : "Sucic", "given" : "M.", "non-dropping-particle" : "", "parse-names" : false, "suffix" : "" }, { "dropping-particle" : "", "family" : "Medvidovic-Grubisic", "given" : "M.", "non-dropping-particle" : "", "parse-names" : false, "suffix" : "" }, { "dropping-particle" : "", "family" : "Pavelic Turudic", "given" : "T.", "non-dropping-particle" : "", "parse-names" : false, "suffix" : "" }, { "dropping-particle" : "", "family" : "Petrovic", "given" : "I.", "non-dropping-particle" : "", "parse-names" : false, "suffix" : "" }, { "dropping-particle" : "", "family" : "Seiwerth", "given" : "S.", "non-dropping-particle" : "", "parse-names" : false, "suffix" : "" }, { "dropping-particle" : "", "family" : "Sikiric", "given" : "P.", "non-dropping-particle" : "", "parse-names" : false, "suffix" : "" } ], "container-title" : "Inflammopharmacology", "id" : "ITEM-3", "issue" : "5", "issued" : { "date-parts" : [ [ "2017" ] ] }, "title" : "Class side effects: decreased pressure in the lower oesophageal and the pyloric sphincters after the administration of dopamine antagonists, neuroleptics, anti-emetics, l-NAME, pentadecapeptide BPC 157 and l-arginine", "type" : "article-journal", "volume" : "25" }, "uris" : [ "http://www.mendeley.com/documents/?uuid=5e612fde-7bf0-31cb-a989-d591b593deeb" ] }, { "id" : "ITEM-4", "itemData" : { "DOI" : "10.1007/s10787-017-0330-7", "ISSN" : "0925-4692", "author" : [ { "dropping-particle" : "", "family" : "Luetic", "given" : "Kre\u0161imir", "non-dropping-particle" : "", "parse-names" : false, "suffix" : "" }, { "dropping-particle" : "", "family" : "Sucic", "given" : "Mario", "non-dropping-particle" : "", "parse-names" : false, "suffix" : "" }, { "dropping-particle" : "", "family" : "Vlainic", "given" : "Josipa", "non-dropping-particle" : "", "parse-names" : false, "suffix" : "" }, { "dropping-particle" : "", "family" : "Halle", "given" : "Zeljka Belosic", "non-dropping-particle" : "", "parse-names" : false, "suffix" : "" }, { "dropping-particle" : "", "family" : "Strinic", "given" : "Dean", "non-dropping-particle" : "", "parse-names" : false, "suffix" : "" }, { "dropping-particle" : "", "family" : "Vidovic", "given" : "Tinka", "non-dropping-particle" : "", "parse-names" : false, "suffix" : "" }, { "dropping-particle" : "", "family" : "Luetic", "given" : "Franka", "non-dropping-particle" : "", "parse-names" : false, "suffix" : "" }, { "dropping-particle" : "", "family" : "Marusic", "given" : "Marinko", "non-dropping-particle" : "", "parse-names" : false, "suffix" : "" }, { "dropping-particle" : "", "family" : "Gulic", "given" : "Sasa", "non-dropping-particle" : "", "parse-names" : false, "suffix" : "" }, { "dropping-particle" : "", "family" : "Pavelic", "given" : "Tatjana Turudic", "non-dropping-particle" : "", "parse-names" : false, "suffix" : "" }, { "dropping-particle" : "", "family" : "Kokot", "given" : "Antonio", "non-dropping-particle" : "", "parse-names" : false, "suffix" : "" }, { "dropping-particle" : "", "family" : "Seiwerth", "given" : "Ranka Serventi", "non-dropping-particle" : "", "parse-names" : false, "suffix" : "" }, { "dropping-particle" : "", "family" : "Drmic", "given" : "Domagoj", "non-dropping-particle" : "", "parse-names" : false, "suffix" : "" }, { "dropping-particle" : "", "family" : "Batelja", "given" : "Lovorka", "non-dropping-particle" : "", "parse-names" : false, "suffix" : "" }, { "dropping-particle" : "", "family" : "Seiwerth", "given" : "Sven", "non-dropping-particle" : "", "parse-names" : false, "suffix" : "" }, { "dropping-particle" : "", "family" : "Sikiric", "given" : "Predrag", "non-dropping-particle" : "", "parse-names" : false, "suffix" : "" } ], "container-title" : "Inflammopharmacology", "id" : "ITEM-4", "issue" : "2", "issued" : { "date-parts" : [ [ "2017", "4", "2" ] ] }, "page" : "255-264", "title" : "Cyclophosphamide induced stomach and duodenal lesions as a NO-system disturbance in rats: l-NAME, l-arginine, stable gastric pentadecapeptide BPC 157", "type" : "article-journal", "volume" : "25" }, "uris" : [ "http://www.mendeley.com/documents/?uuid=f2cde618-4ef1-4c10-9d3c-c738d709d854" ] } ], "mendeley" : { "formattedCitation" : "&lt;sup&gt;[15,16,31,32]&lt;/sup&gt;", "plainTextFormattedCitation" : "[15,16,31,32]", "previouslyFormattedCitation" : "(Belosic Halle et al., 2017; Duzel et al., 2017; Luetic et al., 2017; Vukojevi\u0107 et al., 2018)" }, "properties" : {  }, "schema" : "https://github.com/citation-style-language/schema/raw/master/csl-citation.json" }</w:instrText>
      </w:r>
      <w:r w:rsidRPr="00CC34A3">
        <w:rPr>
          <w:rFonts w:ascii="Book Antiqua" w:eastAsia="Calibri" w:hAnsi="Book Antiqua" w:cs="Courier New"/>
          <w:color w:val="000000" w:themeColor="text1"/>
          <w:sz w:val="24"/>
          <w:szCs w:val="24"/>
          <w:lang w:val="en-US"/>
        </w:rPr>
        <w:fldChar w:fldCharType="separate"/>
      </w:r>
      <w:r w:rsidRPr="00CC34A3">
        <w:rPr>
          <w:rFonts w:ascii="Book Antiqua" w:eastAsia="Calibri" w:hAnsi="Book Antiqua" w:cs="Courier New"/>
          <w:color w:val="000000" w:themeColor="text1"/>
          <w:sz w:val="24"/>
          <w:szCs w:val="24"/>
          <w:vertAlign w:val="superscript"/>
          <w:lang w:val="en-US"/>
        </w:rPr>
        <w:t>[15,16,31,32]</w:t>
      </w:r>
      <w:r w:rsidRPr="00CC34A3">
        <w:rPr>
          <w:rFonts w:ascii="Book Antiqua" w:eastAsia="Calibri" w:hAnsi="Book Antiqua" w:cs="Courier New"/>
          <w:color w:val="000000" w:themeColor="text1"/>
          <w:sz w:val="24"/>
          <w:szCs w:val="24"/>
          <w:lang w:val="en-US"/>
        </w:rPr>
        <w:fldChar w:fldCharType="end"/>
      </w:r>
      <w:r w:rsidRPr="00CC34A3">
        <w:rPr>
          <w:rFonts w:ascii="Book Antiqua" w:hAnsi="Book Antiqua" w:cs="Courier New"/>
          <w:color w:val="000000" w:themeColor="text1"/>
          <w:sz w:val="24"/>
          <w:szCs w:val="24"/>
          <w:lang w:val="en-US"/>
        </w:rPr>
        <w:t>, at the end of the experiment and at 5 min, 30 min and 24 h ligation time, we determined the NO levels (</w:t>
      </w:r>
      <w:proofErr w:type="spellStart"/>
      <w:r w:rsidRPr="00CC34A3">
        <w:rPr>
          <w:rFonts w:ascii="Book Antiqua" w:hAnsi="Book Antiqua" w:cs="Courier New"/>
          <w:color w:val="000000" w:themeColor="text1"/>
          <w:sz w:val="24"/>
          <w:szCs w:val="24"/>
          <w:lang w:val="en-US"/>
        </w:rPr>
        <w:t>μmol</w:t>
      </w:r>
      <w:proofErr w:type="spellEnd"/>
      <w:r w:rsidRPr="00CC34A3">
        <w:rPr>
          <w:rFonts w:ascii="Book Antiqua" w:hAnsi="Book Antiqua" w:cs="Courier New"/>
          <w:color w:val="000000" w:themeColor="text1"/>
          <w:sz w:val="24"/>
          <w:szCs w:val="24"/>
          <w:lang w:val="en-US"/>
        </w:rPr>
        <w:t xml:space="preserve">/mg protein) in the duodenum tissue samples using the Griess reaction (Griess Reagent System, Promega, United States). </w:t>
      </w:r>
      <w:r w:rsidR="003B32DE" w:rsidRPr="00CC34A3">
        <w:rPr>
          <w:rFonts w:ascii="Book Antiqua" w:hAnsi="Book Antiqua" w:cs="Courier New"/>
          <w:color w:val="000000" w:themeColor="text1"/>
          <w:sz w:val="24"/>
          <w:szCs w:val="24"/>
          <w:lang w:val="en-US"/>
        </w:rPr>
        <w:t>Briefly, w</w:t>
      </w:r>
      <w:r w:rsidRPr="00CC34A3">
        <w:rPr>
          <w:rFonts w:ascii="Book Antiqua" w:hAnsi="Book Antiqua" w:cs="Courier New"/>
          <w:color w:val="000000" w:themeColor="text1"/>
          <w:sz w:val="24"/>
          <w:szCs w:val="24"/>
          <w:lang w:val="en-US"/>
        </w:rPr>
        <w:t xml:space="preserve">e added sulfanilamide to the homogenized tissue; we incubated the mixture, and added N-1-naphthylethylenediamine dihydrochloride. We measured absorbance at 540 nm </w:t>
      </w:r>
      <w:r w:rsidRPr="00CC34A3">
        <w:rPr>
          <w:rFonts w:ascii="Book Antiqua" w:hAnsi="Book Antiqua" w:cs="Courier New"/>
          <w:color w:val="000000" w:themeColor="text1"/>
          <w:sz w:val="24"/>
          <w:szCs w:val="24"/>
          <w:lang w:val="en-US"/>
        </w:rPr>
        <w:lastRenderedPageBreak/>
        <w:t>using a sodium nitrite solution as a standard. We determined protein concentrations</w:t>
      </w:r>
      <w:r w:rsidRPr="00CC34A3">
        <w:rPr>
          <w:rFonts w:ascii="Book Antiqua" w:eastAsia="Times New Roman" w:hAnsi="Book Antiqua" w:cs="Courier New"/>
          <w:color w:val="000000" w:themeColor="text1"/>
          <w:sz w:val="24"/>
          <w:szCs w:val="24"/>
          <w:lang w:val="en-US" w:eastAsia="hr-HR"/>
        </w:rPr>
        <w:t xml:space="preserve"> </w:t>
      </w:r>
      <w:r w:rsidRPr="00CC34A3">
        <w:rPr>
          <w:rFonts w:ascii="Book Antiqua" w:hAnsi="Book Antiqua" w:cs="Courier New"/>
          <w:color w:val="000000" w:themeColor="text1"/>
          <w:sz w:val="24"/>
          <w:szCs w:val="24"/>
          <w:lang w:val="en-US"/>
        </w:rPr>
        <w:t>using a commercial kit (</w:t>
      </w:r>
      <w:proofErr w:type="spellStart"/>
      <w:r w:rsidRPr="00CC34A3">
        <w:rPr>
          <w:rFonts w:ascii="Book Antiqua" w:hAnsi="Book Antiqua" w:cs="Courier New"/>
          <w:color w:val="000000" w:themeColor="text1"/>
          <w:sz w:val="24"/>
          <w:szCs w:val="24"/>
          <w:lang w:val="en-US"/>
        </w:rPr>
        <w:t>BioRad</w:t>
      </w:r>
      <w:proofErr w:type="spellEnd"/>
      <w:r w:rsidRPr="00CC34A3">
        <w:rPr>
          <w:rFonts w:ascii="Book Antiqua" w:hAnsi="Book Antiqua" w:cs="Courier New"/>
          <w:color w:val="000000" w:themeColor="text1"/>
          <w:sz w:val="24"/>
          <w:szCs w:val="24"/>
          <w:lang w:val="en-US"/>
        </w:rPr>
        <w:t xml:space="preserve"> Protein DR Assay Reagent Kit, United States).</w:t>
      </w:r>
    </w:p>
    <w:p w14:paraId="735596A3" w14:textId="77777777" w:rsidR="00733A15" w:rsidRPr="00CC34A3" w:rsidRDefault="00733A15" w:rsidP="00CC34A3">
      <w:pPr>
        <w:autoSpaceDE w:val="0"/>
        <w:autoSpaceDN w:val="0"/>
        <w:adjustRightInd w:val="0"/>
        <w:snapToGrid w:val="0"/>
        <w:spacing w:after="0" w:line="360" w:lineRule="auto"/>
        <w:jc w:val="both"/>
        <w:rPr>
          <w:rFonts w:ascii="Book Antiqua" w:hAnsi="Book Antiqua" w:cs="Times New Roman"/>
          <w:bCs/>
          <w:i/>
          <w:iCs/>
          <w:color w:val="000000" w:themeColor="text1"/>
          <w:sz w:val="24"/>
          <w:szCs w:val="24"/>
          <w:lang w:val="en-US"/>
        </w:rPr>
      </w:pPr>
    </w:p>
    <w:p w14:paraId="3580D085" w14:textId="77777777" w:rsidR="002A7CCE" w:rsidRPr="00CC34A3" w:rsidRDefault="002A7CCE" w:rsidP="00CC34A3">
      <w:pPr>
        <w:autoSpaceDE w:val="0"/>
        <w:autoSpaceDN w:val="0"/>
        <w:adjustRightInd w:val="0"/>
        <w:snapToGrid w:val="0"/>
        <w:spacing w:after="0" w:line="360" w:lineRule="auto"/>
        <w:jc w:val="both"/>
        <w:outlineLvl w:val="0"/>
        <w:rPr>
          <w:rFonts w:ascii="Book Antiqua" w:hAnsi="Book Antiqua" w:cs="Times New Roman"/>
          <w:b/>
          <w:bCs/>
          <w:i/>
          <w:iCs/>
          <w:color w:val="000000" w:themeColor="text1"/>
          <w:sz w:val="24"/>
          <w:szCs w:val="24"/>
          <w:lang w:val="en-US"/>
        </w:rPr>
      </w:pPr>
      <w:r w:rsidRPr="00CC34A3">
        <w:rPr>
          <w:rFonts w:ascii="Book Antiqua" w:hAnsi="Book Antiqua" w:cs="Times New Roman"/>
          <w:b/>
          <w:bCs/>
          <w:i/>
          <w:iCs/>
          <w:color w:val="000000" w:themeColor="text1"/>
          <w:sz w:val="24"/>
          <w:szCs w:val="24"/>
          <w:lang w:val="en-US"/>
        </w:rPr>
        <w:t>Statistical analysis</w:t>
      </w:r>
    </w:p>
    <w:p w14:paraId="1304682C" w14:textId="28849217" w:rsidR="009A3F24" w:rsidRPr="00CC34A3" w:rsidRDefault="009A3F24" w:rsidP="00CC34A3">
      <w:pPr>
        <w:autoSpaceDE w:val="0"/>
        <w:autoSpaceDN w:val="0"/>
        <w:adjustRightInd w:val="0"/>
        <w:snapToGrid w:val="0"/>
        <w:spacing w:after="0" w:line="360" w:lineRule="auto"/>
        <w:jc w:val="both"/>
        <w:rPr>
          <w:rFonts w:ascii="Book Antiqua" w:hAnsi="Book Antiqua" w:cs="Courier New"/>
          <w:color w:val="000000" w:themeColor="text1"/>
          <w:sz w:val="24"/>
          <w:szCs w:val="24"/>
          <w:lang w:val="en-US"/>
        </w:rPr>
      </w:pPr>
      <w:r w:rsidRPr="00CC34A3">
        <w:rPr>
          <w:rFonts w:ascii="Book Antiqua" w:hAnsi="Book Antiqua" w:cs="Courier New"/>
          <w:color w:val="000000" w:themeColor="text1"/>
          <w:sz w:val="24"/>
          <w:szCs w:val="24"/>
          <w:lang w:val="en-US"/>
        </w:rPr>
        <w:t xml:space="preserve">We used parametric one-way ANOVA with a </w:t>
      </w:r>
      <w:r w:rsidRPr="00CC34A3">
        <w:rPr>
          <w:rFonts w:ascii="Book Antiqua" w:hAnsi="Book Antiqua" w:cs="Courier New"/>
          <w:i/>
          <w:iCs/>
          <w:color w:val="000000" w:themeColor="text1"/>
          <w:sz w:val="24"/>
          <w:szCs w:val="24"/>
          <w:lang w:val="en-US"/>
        </w:rPr>
        <w:t xml:space="preserve">post hoc </w:t>
      </w:r>
      <w:r w:rsidRPr="00CC34A3">
        <w:rPr>
          <w:rFonts w:ascii="Book Antiqua" w:hAnsi="Book Antiqua" w:cs="Courier New"/>
          <w:color w:val="000000" w:themeColor="text1"/>
          <w:sz w:val="24"/>
          <w:szCs w:val="24"/>
          <w:lang w:val="en-US"/>
        </w:rPr>
        <w:t>Newman-</w:t>
      </w:r>
      <w:proofErr w:type="spellStart"/>
      <w:r w:rsidRPr="00CC34A3">
        <w:rPr>
          <w:rFonts w:ascii="Book Antiqua" w:hAnsi="Book Antiqua" w:cs="Courier New"/>
          <w:color w:val="000000" w:themeColor="text1"/>
          <w:sz w:val="24"/>
          <w:szCs w:val="24"/>
          <w:lang w:val="en-US"/>
        </w:rPr>
        <w:t>Keuls</w:t>
      </w:r>
      <w:proofErr w:type="spellEnd"/>
      <w:r w:rsidRPr="00CC34A3">
        <w:rPr>
          <w:rFonts w:ascii="Book Antiqua" w:hAnsi="Book Antiqua" w:cs="Courier New"/>
          <w:color w:val="000000" w:themeColor="text1"/>
          <w:sz w:val="24"/>
          <w:szCs w:val="24"/>
          <w:lang w:val="en-US"/>
        </w:rPr>
        <w:t xml:space="preserve"> test, nonparametric Kruskal-Wallis and subsequent Mann-Whitney </w:t>
      </w:r>
      <w:r w:rsidRPr="00CC34A3">
        <w:rPr>
          <w:rFonts w:ascii="Book Antiqua" w:hAnsi="Book Antiqua" w:cs="Courier New"/>
          <w:i/>
          <w:iCs/>
          <w:color w:val="000000" w:themeColor="text1"/>
          <w:sz w:val="24"/>
          <w:szCs w:val="24"/>
          <w:lang w:val="en-US"/>
        </w:rPr>
        <w:t>U</w:t>
      </w:r>
      <w:r w:rsidR="00773972" w:rsidRPr="00CC34A3">
        <w:rPr>
          <w:rFonts w:ascii="Book Antiqua" w:hAnsi="Book Antiqua" w:cs="Courier New"/>
          <w:color w:val="000000" w:themeColor="text1"/>
          <w:sz w:val="24"/>
          <w:szCs w:val="24"/>
          <w:lang w:val="en-US"/>
        </w:rPr>
        <w:t>-test to compare the groups.</w:t>
      </w:r>
      <w:r w:rsidRPr="00CC34A3">
        <w:rPr>
          <w:rFonts w:ascii="Book Antiqua" w:hAnsi="Book Antiqua" w:cs="Courier New"/>
          <w:color w:val="000000" w:themeColor="text1"/>
          <w:sz w:val="24"/>
          <w:szCs w:val="24"/>
          <w:lang w:val="en-US"/>
        </w:rPr>
        <w:t xml:space="preserve"> We considered </w:t>
      </w:r>
      <w:r w:rsidRPr="00CC34A3">
        <w:rPr>
          <w:rFonts w:ascii="Book Antiqua" w:hAnsi="Book Antiqua" w:cs="Courier New"/>
          <w:i/>
          <w:iCs/>
          <w:color w:val="000000" w:themeColor="text1"/>
          <w:sz w:val="24"/>
          <w:szCs w:val="24"/>
          <w:lang w:val="en-US"/>
        </w:rPr>
        <w:t xml:space="preserve">P </w:t>
      </w:r>
      <w:r w:rsidRPr="00CC34A3">
        <w:rPr>
          <w:rFonts w:ascii="Book Antiqua" w:hAnsi="Book Antiqua" w:cs="Courier New"/>
          <w:color w:val="000000" w:themeColor="text1"/>
          <w:sz w:val="24"/>
          <w:szCs w:val="24"/>
          <w:lang w:val="en-US"/>
        </w:rPr>
        <w:t>&lt; 0.05 to be statistically relevant.</w:t>
      </w:r>
    </w:p>
    <w:p w14:paraId="0C9E8896" w14:textId="77777777" w:rsidR="002A7CCE" w:rsidRPr="00CC34A3" w:rsidRDefault="002A7CCE" w:rsidP="00CC34A3">
      <w:pPr>
        <w:widowControl w:val="0"/>
        <w:autoSpaceDE w:val="0"/>
        <w:autoSpaceDN w:val="0"/>
        <w:adjustRightInd w:val="0"/>
        <w:snapToGrid w:val="0"/>
        <w:spacing w:after="0" w:line="360" w:lineRule="auto"/>
        <w:jc w:val="both"/>
        <w:rPr>
          <w:rFonts w:ascii="Book Antiqua" w:hAnsi="Book Antiqua" w:cs="Times New Roman"/>
          <w:color w:val="000000" w:themeColor="text1"/>
          <w:sz w:val="24"/>
          <w:szCs w:val="24"/>
          <w:lang w:val="en-US"/>
        </w:rPr>
      </w:pPr>
    </w:p>
    <w:p w14:paraId="1D2E7E3F" w14:textId="37CAF09F" w:rsidR="00167883" w:rsidRPr="00CC34A3" w:rsidRDefault="00006479" w:rsidP="00CC34A3">
      <w:pPr>
        <w:widowControl w:val="0"/>
        <w:autoSpaceDE w:val="0"/>
        <w:autoSpaceDN w:val="0"/>
        <w:adjustRightInd w:val="0"/>
        <w:snapToGrid w:val="0"/>
        <w:spacing w:after="0" w:line="360" w:lineRule="auto"/>
        <w:jc w:val="both"/>
        <w:outlineLvl w:val="0"/>
        <w:rPr>
          <w:rFonts w:ascii="Book Antiqua" w:hAnsi="Book Antiqua" w:cs="Times New Roman"/>
          <w:b/>
          <w:color w:val="000000" w:themeColor="text1"/>
          <w:sz w:val="24"/>
          <w:szCs w:val="24"/>
          <w:lang w:val="en-US"/>
        </w:rPr>
      </w:pPr>
      <w:r w:rsidRPr="00CC34A3">
        <w:rPr>
          <w:rFonts w:ascii="Book Antiqua" w:hAnsi="Book Antiqua" w:cs="Times New Roman"/>
          <w:b/>
          <w:color w:val="000000" w:themeColor="text1"/>
          <w:sz w:val="24"/>
          <w:szCs w:val="24"/>
          <w:lang w:val="en-US"/>
        </w:rPr>
        <w:t xml:space="preserve">RESULTS </w:t>
      </w:r>
    </w:p>
    <w:p w14:paraId="7DADD94B" w14:textId="416BA2CE" w:rsidR="00C14C1D" w:rsidRPr="00CC34A3" w:rsidRDefault="0091501D" w:rsidP="00CC34A3">
      <w:pPr>
        <w:widowControl w:val="0"/>
        <w:autoSpaceDE w:val="0"/>
        <w:autoSpaceDN w:val="0"/>
        <w:adjustRightInd w:val="0"/>
        <w:snapToGrid w:val="0"/>
        <w:spacing w:after="0" w:line="360" w:lineRule="auto"/>
        <w:jc w:val="both"/>
        <w:outlineLvl w:val="0"/>
        <w:rPr>
          <w:rFonts w:ascii="Book Antiqua" w:hAnsi="Book Antiqua" w:cs="Times New Roman"/>
          <w:b/>
          <w:i/>
          <w:color w:val="000000" w:themeColor="text1"/>
          <w:sz w:val="24"/>
          <w:szCs w:val="24"/>
          <w:lang w:val="en-US"/>
        </w:rPr>
      </w:pPr>
      <w:r w:rsidRPr="00CC34A3">
        <w:rPr>
          <w:rFonts w:ascii="Book Antiqua" w:hAnsi="Book Antiqua" w:cs="Times New Roman"/>
          <w:b/>
          <w:i/>
          <w:color w:val="000000" w:themeColor="text1"/>
          <w:sz w:val="24"/>
          <w:szCs w:val="24"/>
          <w:lang w:val="en-US"/>
        </w:rPr>
        <w:t>The r</w:t>
      </w:r>
      <w:r w:rsidR="00C14C1D" w:rsidRPr="00CC34A3">
        <w:rPr>
          <w:rFonts w:ascii="Book Antiqua" w:hAnsi="Book Antiqua" w:cs="Times New Roman"/>
          <w:b/>
          <w:i/>
          <w:color w:val="000000" w:themeColor="text1"/>
          <w:sz w:val="24"/>
          <w:szCs w:val="24"/>
          <w:lang w:val="en-US"/>
        </w:rPr>
        <w:t xml:space="preserve">egular </w:t>
      </w:r>
      <w:r w:rsidR="008463A4" w:rsidRPr="00CC34A3">
        <w:rPr>
          <w:rFonts w:ascii="Book Antiqua" w:hAnsi="Book Antiqua" w:cs="Times New Roman"/>
          <w:b/>
          <w:i/>
          <w:color w:val="000000" w:themeColor="text1"/>
          <w:sz w:val="24"/>
          <w:szCs w:val="24"/>
          <w:lang w:val="en-US"/>
        </w:rPr>
        <w:t xml:space="preserve">perilous </w:t>
      </w:r>
      <w:r w:rsidR="00C14C1D" w:rsidRPr="00CC34A3">
        <w:rPr>
          <w:rFonts w:ascii="Book Antiqua" w:hAnsi="Book Antiqua" w:cs="Times New Roman"/>
          <w:b/>
          <w:i/>
          <w:color w:val="000000" w:themeColor="text1"/>
          <w:sz w:val="24"/>
          <w:szCs w:val="24"/>
          <w:lang w:val="en-US"/>
        </w:rPr>
        <w:t xml:space="preserve">course in rats with </w:t>
      </w:r>
      <w:r w:rsidR="00992FA2" w:rsidRPr="00CC34A3">
        <w:rPr>
          <w:rFonts w:ascii="Book Antiqua" w:hAnsi="Book Antiqua" w:cs="Times New Roman"/>
          <w:b/>
          <w:i/>
          <w:color w:val="000000" w:themeColor="text1"/>
          <w:sz w:val="24"/>
          <w:szCs w:val="24"/>
          <w:lang w:val="en-US"/>
        </w:rPr>
        <w:t>SAPDV</w:t>
      </w:r>
      <w:r w:rsidR="00C14C1D" w:rsidRPr="00CC34A3">
        <w:rPr>
          <w:rFonts w:ascii="Book Antiqua" w:hAnsi="Book Antiqua" w:cs="Times New Roman"/>
          <w:b/>
          <w:i/>
          <w:color w:val="000000" w:themeColor="text1"/>
          <w:sz w:val="24"/>
          <w:szCs w:val="24"/>
          <w:lang w:val="en-US"/>
        </w:rPr>
        <w:t xml:space="preserve"> occlusion</w:t>
      </w:r>
    </w:p>
    <w:p w14:paraId="11761141" w14:textId="0A72C56A" w:rsidR="00444502" w:rsidRPr="00CC34A3" w:rsidRDefault="002A7CCE" w:rsidP="00CC34A3">
      <w:pPr>
        <w:widowControl w:val="0"/>
        <w:autoSpaceDE w:val="0"/>
        <w:autoSpaceDN w:val="0"/>
        <w:adjustRightInd w:val="0"/>
        <w:snapToGrid w:val="0"/>
        <w:spacing w:after="0" w:line="360" w:lineRule="auto"/>
        <w:jc w:val="both"/>
        <w:rPr>
          <w:rFonts w:ascii="Book Antiqua" w:hAnsi="Book Antiqua" w:cs="Times New Roman"/>
          <w:color w:val="000000" w:themeColor="text1"/>
          <w:sz w:val="24"/>
          <w:szCs w:val="24"/>
          <w:lang w:val="en-US"/>
        </w:rPr>
      </w:pPr>
      <w:r w:rsidRPr="00CC34A3">
        <w:rPr>
          <w:rFonts w:ascii="Book Antiqua" w:hAnsi="Book Antiqua" w:cs="Times New Roman"/>
          <w:color w:val="000000" w:themeColor="text1"/>
          <w:sz w:val="24"/>
          <w:szCs w:val="24"/>
          <w:lang w:val="en-US"/>
        </w:rPr>
        <w:t>Failure progressed in control SAPDV-ligated rats (5-30 min</w:t>
      </w:r>
      <w:r w:rsidR="00EB5756" w:rsidRPr="00CC34A3">
        <w:rPr>
          <w:rFonts w:ascii="Book Antiqua" w:hAnsi="Book Antiqua" w:cs="Times New Roman"/>
          <w:color w:val="000000" w:themeColor="text1"/>
          <w:sz w:val="24"/>
          <w:szCs w:val="24"/>
          <w:lang w:val="en-US"/>
        </w:rPr>
        <w:t xml:space="preserve"> </w:t>
      </w:r>
      <w:r w:rsidRPr="00CC34A3">
        <w:rPr>
          <w:rFonts w:ascii="Book Antiqua" w:hAnsi="Book Antiqua" w:cs="Times New Roman"/>
          <w:color w:val="000000" w:themeColor="text1"/>
          <w:sz w:val="24"/>
          <w:szCs w:val="24"/>
          <w:lang w:val="en-US"/>
        </w:rPr>
        <w:t>-</w:t>
      </w:r>
      <w:r w:rsidR="00EB5756" w:rsidRPr="00CC34A3">
        <w:rPr>
          <w:rFonts w:ascii="Book Antiqua" w:hAnsi="Book Antiqua" w:cs="Times New Roman"/>
          <w:color w:val="000000" w:themeColor="text1"/>
          <w:sz w:val="24"/>
          <w:szCs w:val="24"/>
          <w:lang w:val="en-US"/>
        </w:rPr>
        <w:t xml:space="preserve"> </w:t>
      </w:r>
      <w:r w:rsidRPr="00CC34A3">
        <w:rPr>
          <w:rFonts w:ascii="Book Antiqua" w:hAnsi="Book Antiqua" w:cs="Times New Roman"/>
          <w:color w:val="000000" w:themeColor="text1"/>
          <w:sz w:val="24"/>
          <w:szCs w:val="24"/>
          <w:lang w:val="en-US"/>
        </w:rPr>
        <w:t>24 h)</w:t>
      </w:r>
      <w:r w:rsidR="008D6F98" w:rsidRPr="00CC34A3">
        <w:rPr>
          <w:rFonts w:ascii="Book Antiqua" w:hAnsi="Book Antiqua" w:cs="Times New Roman"/>
          <w:color w:val="000000" w:themeColor="text1"/>
          <w:sz w:val="24"/>
          <w:szCs w:val="24"/>
          <w:lang w:val="en-US"/>
        </w:rPr>
        <w:t>. L</w:t>
      </w:r>
      <w:r w:rsidR="00167883" w:rsidRPr="00CC34A3">
        <w:rPr>
          <w:rFonts w:ascii="Book Antiqua" w:hAnsi="Book Antiqua" w:cs="Times New Roman"/>
          <w:color w:val="000000" w:themeColor="text1"/>
          <w:sz w:val="24"/>
          <w:szCs w:val="24"/>
          <w:lang w:val="en-US"/>
        </w:rPr>
        <w:t xml:space="preserve">esions were </w:t>
      </w:r>
      <w:r w:rsidRPr="00CC34A3">
        <w:rPr>
          <w:rFonts w:ascii="Book Antiqua" w:hAnsi="Book Antiqua" w:cs="Times New Roman"/>
          <w:color w:val="000000" w:themeColor="text1"/>
          <w:sz w:val="24"/>
          <w:szCs w:val="24"/>
          <w:lang w:val="en-US"/>
        </w:rPr>
        <w:t>more than 30 mm in diameter</w:t>
      </w:r>
      <w:r w:rsidR="00F42B59" w:rsidRPr="00CC34A3">
        <w:rPr>
          <w:rFonts w:ascii="Book Antiqua" w:hAnsi="Book Antiqua" w:cs="Times New Roman"/>
          <w:color w:val="000000" w:themeColor="text1"/>
          <w:sz w:val="24"/>
          <w:szCs w:val="24"/>
          <w:lang w:val="en-US"/>
        </w:rPr>
        <w:t xml:space="preserve"> and included</w:t>
      </w:r>
      <w:r w:rsidRPr="00CC34A3">
        <w:rPr>
          <w:rFonts w:ascii="Book Antiqua" w:hAnsi="Book Antiqua" w:cs="Times New Roman"/>
          <w:color w:val="000000" w:themeColor="text1"/>
          <w:sz w:val="24"/>
          <w:szCs w:val="24"/>
          <w:lang w:val="en-US"/>
        </w:rPr>
        <w:t xml:space="preserve"> hemorrhagic mucosal lesion</w:t>
      </w:r>
      <w:r w:rsidR="00F42B59" w:rsidRPr="00CC34A3">
        <w:rPr>
          <w:rFonts w:ascii="Book Antiqua" w:hAnsi="Book Antiqua" w:cs="Times New Roman"/>
          <w:color w:val="000000" w:themeColor="text1"/>
          <w:sz w:val="24"/>
          <w:szCs w:val="24"/>
          <w:lang w:val="en-US"/>
        </w:rPr>
        <w:t>s</w:t>
      </w:r>
      <w:r w:rsidR="00F2676A" w:rsidRPr="00CC34A3">
        <w:rPr>
          <w:rFonts w:ascii="Book Antiqua" w:hAnsi="Book Antiqua" w:cs="Times New Roman"/>
          <w:color w:val="000000" w:themeColor="text1"/>
          <w:sz w:val="24"/>
          <w:szCs w:val="24"/>
          <w:lang w:val="en-US"/>
        </w:rPr>
        <w:t xml:space="preserve">, </w:t>
      </w:r>
      <w:r w:rsidRPr="00CC34A3">
        <w:rPr>
          <w:rFonts w:ascii="Book Antiqua" w:hAnsi="Book Antiqua" w:cs="Times New Roman"/>
          <w:color w:val="000000" w:themeColor="text1"/>
          <w:sz w:val="24"/>
          <w:szCs w:val="24"/>
          <w:lang w:val="en-US"/>
        </w:rPr>
        <w:t xml:space="preserve">serosal congestion </w:t>
      </w:r>
      <w:r w:rsidR="00951B85" w:rsidRPr="00CC34A3">
        <w:rPr>
          <w:rFonts w:ascii="Book Antiqua" w:hAnsi="Book Antiqua" w:cs="Times New Roman"/>
          <w:color w:val="000000" w:themeColor="text1"/>
          <w:sz w:val="24"/>
          <w:szCs w:val="24"/>
          <w:lang w:val="en-US"/>
        </w:rPr>
        <w:t>(Figures</w:t>
      </w:r>
      <w:r w:rsidR="00167883" w:rsidRPr="00CC34A3">
        <w:rPr>
          <w:rFonts w:ascii="Book Antiqua" w:hAnsi="Book Antiqua" w:cs="Times New Roman"/>
          <w:color w:val="000000" w:themeColor="text1"/>
          <w:sz w:val="24"/>
          <w:szCs w:val="24"/>
          <w:lang w:val="en-US"/>
        </w:rPr>
        <w:t xml:space="preserve"> </w:t>
      </w:r>
      <w:r w:rsidR="00A43E62" w:rsidRPr="00CC34A3">
        <w:rPr>
          <w:rFonts w:ascii="Book Antiqua" w:hAnsi="Book Antiqua" w:cs="Times New Roman"/>
          <w:color w:val="000000" w:themeColor="text1"/>
          <w:sz w:val="24"/>
          <w:szCs w:val="24"/>
          <w:lang w:val="en-US"/>
        </w:rPr>
        <w:t>2</w:t>
      </w:r>
      <w:r w:rsidR="00951B85" w:rsidRPr="00CC34A3">
        <w:rPr>
          <w:rFonts w:ascii="Book Antiqua" w:hAnsi="Book Antiqua" w:cs="Times New Roman"/>
          <w:color w:val="000000" w:themeColor="text1"/>
          <w:sz w:val="24"/>
          <w:szCs w:val="24"/>
          <w:lang w:val="en-US"/>
        </w:rPr>
        <w:t>-</w:t>
      </w:r>
      <w:r w:rsidR="00A43E62" w:rsidRPr="00CC34A3">
        <w:rPr>
          <w:rFonts w:ascii="Book Antiqua" w:hAnsi="Book Antiqua" w:cs="Times New Roman"/>
          <w:color w:val="000000" w:themeColor="text1"/>
          <w:sz w:val="24"/>
          <w:szCs w:val="24"/>
          <w:lang w:val="en-US"/>
        </w:rPr>
        <w:t>4</w:t>
      </w:r>
      <w:r w:rsidR="00167883" w:rsidRPr="00CC34A3">
        <w:rPr>
          <w:rFonts w:ascii="Book Antiqua" w:hAnsi="Book Antiqua" w:cs="Times New Roman"/>
          <w:color w:val="000000" w:themeColor="text1"/>
          <w:sz w:val="24"/>
          <w:szCs w:val="24"/>
          <w:lang w:val="en-US"/>
        </w:rPr>
        <w:t xml:space="preserve">) </w:t>
      </w:r>
      <w:r w:rsidRPr="00CC34A3">
        <w:rPr>
          <w:rFonts w:ascii="Book Antiqua" w:hAnsi="Book Antiqua" w:cs="Times New Roman"/>
          <w:color w:val="000000" w:themeColor="text1"/>
          <w:sz w:val="24"/>
          <w:szCs w:val="24"/>
          <w:lang w:val="en-US"/>
        </w:rPr>
        <w:t xml:space="preserve">with deteriorating vessels, losing collaterals, and branching </w:t>
      </w:r>
      <w:r w:rsidR="00F2676A" w:rsidRPr="00CC34A3">
        <w:rPr>
          <w:rFonts w:ascii="Book Antiqua" w:hAnsi="Book Antiqua" w:cs="Times New Roman"/>
          <w:color w:val="000000" w:themeColor="text1"/>
          <w:sz w:val="24"/>
          <w:szCs w:val="24"/>
          <w:lang w:val="en-US"/>
        </w:rPr>
        <w:t xml:space="preserve">was </w:t>
      </w:r>
      <w:r w:rsidRPr="00CC34A3">
        <w:rPr>
          <w:rFonts w:ascii="Book Antiqua" w:hAnsi="Book Antiqua" w:cs="Times New Roman"/>
          <w:color w:val="000000" w:themeColor="text1"/>
          <w:sz w:val="24"/>
          <w:szCs w:val="24"/>
          <w:lang w:val="en-US"/>
        </w:rPr>
        <w:t xml:space="preserve">present </w:t>
      </w:r>
      <w:r w:rsidR="00F2676A" w:rsidRPr="00CC34A3">
        <w:rPr>
          <w:rFonts w:ascii="Book Antiqua" w:hAnsi="Book Antiqua" w:cs="Times New Roman"/>
          <w:color w:val="000000" w:themeColor="text1"/>
          <w:sz w:val="24"/>
          <w:szCs w:val="24"/>
          <w:lang w:val="en-US"/>
        </w:rPr>
        <w:t>in</w:t>
      </w:r>
      <w:r w:rsidRPr="00CC34A3">
        <w:rPr>
          <w:rFonts w:ascii="Book Antiqua" w:hAnsi="Book Antiqua" w:cs="Times New Roman"/>
          <w:color w:val="000000" w:themeColor="text1"/>
          <w:sz w:val="24"/>
          <w:szCs w:val="24"/>
          <w:lang w:val="en-US"/>
        </w:rPr>
        <w:t xml:space="preserve"> 30% </w:t>
      </w:r>
      <w:r w:rsidR="00F2676A" w:rsidRPr="00CC34A3">
        <w:rPr>
          <w:rFonts w:ascii="Book Antiqua" w:hAnsi="Book Antiqua" w:cs="Times New Roman"/>
          <w:color w:val="000000" w:themeColor="text1"/>
          <w:sz w:val="24"/>
          <w:szCs w:val="24"/>
          <w:lang w:val="en-US"/>
        </w:rPr>
        <w:t xml:space="preserve">or less </w:t>
      </w:r>
      <w:r w:rsidRPr="00CC34A3">
        <w:rPr>
          <w:rFonts w:ascii="Book Antiqua" w:hAnsi="Book Antiqua" w:cs="Times New Roman"/>
          <w:color w:val="000000" w:themeColor="text1"/>
          <w:sz w:val="24"/>
          <w:szCs w:val="24"/>
          <w:lang w:val="en-US"/>
        </w:rPr>
        <w:t>of the initial value at the end</w:t>
      </w:r>
      <w:r w:rsidR="00F2676A" w:rsidRPr="00CC34A3">
        <w:rPr>
          <w:rFonts w:ascii="Book Antiqua" w:hAnsi="Book Antiqua" w:cs="Times New Roman"/>
          <w:color w:val="000000" w:themeColor="text1"/>
          <w:sz w:val="24"/>
          <w:szCs w:val="24"/>
          <w:lang w:val="en-US"/>
        </w:rPr>
        <w:t xml:space="preserve"> of the experiment</w:t>
      </w:r>
      <w:r w:rsidR="00E21FDA" w:rsidRPr="00CC34A3">
        <w:rPr>
          <w:rFonts w:ascii="Book Antiqua" w:hAnsi="Book Antiqua" w:cs="Times New Roman"/>
          <w:color w:val="000000" w:themeColor="text1"/>
          <w:sz w:val="24"/>
          <w:szCs w:val="24"/>
          <w:lang w:val="en-US"/>
        </w:rPr>
        <w:t xml:space="preserve"> (Figure</w:t>
      </w:r>
      <w:r w:rsidR="00167883" w:rsidRPr="00CC34A3">
        <w:rPr>
          <w:rFonts w:ascii="Book Antiqua" w:hAnsi="Book Antiqua" w:cs="Times New Roman"/>
          <w:color w:val="000000" w:themeColor="text1"/>
          <w:sz w:val="24"/>
          <w:szCs w:val="24"/>
          <w:lang w:val="en-US"/>
        </w:rPr>
        <w:t xml:space="preserve"> </w:t>
      </w:r>
      <w:r w:rsidR="004847C9" w:rsidRPr="00CC34A3">
        <w:rPr>
          <w:rFonts w:ascii="Book Antiqua" w:hAnsi="Book Antiqua" w:cs="Times New Roman"/>
          <w:color w:val="000000" w:themeColor="text1"/>
          <w:sz w:val="24"/>
          <w:szCs w:val="24"/>
          <w:lang w:val="en-US"/>
        </w:rPr>
        <w:t>5</w:t>
      </w:r>
      <w:r w:rsidR="00167883" w:rsidRPr="00CC34A3">
        <w:rPr>
          <w:rFonts w:ascii="Book Antiqua" w:hAnsi="Book Antiqua" w:cs="Times New Roman"/>
          <w:color w:val="000000" w:themeColor="text1"/>
          <w:sz w:val="24"/>
          <w:szCs w:val="24"/>
          <w:lang w:val="en-US"/>
        </w:rPr>
        <w:t>)</w:t>
      </w:r>
      <w:r w:rsidR="00295BF5" w:rsidRPr="00CC34A3">
        <w:rPr>
          <w:rFonts w:ascii="Book Antiqua" w:hAnsi="Book Antiqua" w:cs="Times New Roman"/>
          <w:color w:val="000000" w:themeColor="text1"/>
          <w:sz w:val="24"/>
          <w:szCs w:val="24"/>
          <w:lang w:val="en-US"/>
        </w:rPr>
        <w:t>.</w:t>
      </w:r>
      <w:r w:rsidRPr="00CC34A3">
        <w:rPr>
          <w:rFonts w:ascii="Book Antiqua" w:hAnsi="Book Antiqua" w:cs="Times New Roman"/>
          <w:color w:val="000000" w:themeColor="text1"/>
          <w:sz w:val="24"/>
          <w:szCs w:val="24"/>
          <w:lang w:val="en-US"/>
        </w:rPr>
        <w:t xml:space="preserve"> IAPDV and SMV </w:t>
      </w:r>
      <w:r w:rsidR="00295BF5" w:rsidRPr="00CC34A3">
        <w:rPr>
          <w:rFonts w:ascii="Book Antiqua" w:hAnsi="Book Antiqua" w:cs="Times New Roman"/>
          <w:color w:val="000000" w:themeColor="text1"/>
          <w:sz w:val="24"/>
          <w:szCs w:val="24"/>
          <w:lang w:val="en-US"/>
        </w:rPr>
        <w:t xml:space="preserve">were </w:t>
      </w:r>
      <w:r w:rsidRPr="00CC34A3">
        <w:rPr>
          <w:rFonts w:ascii="Book Antiqua" w:hAnsi="Book Antiqua" w:cs="Times New Roman"/>
          <w:color w:val="000000" w:themeColor="text1"/>
          <w:sz w:val="24"/>
          <w:szCs w:val="24"/>
          <w:lang w:val="en-US"/>
        </w:rPr>
        <w:t>both congested</w:t>
      </w:r>
      <w:r w:rsidR="00E21FDA" w:rsidRPr="00CC34A3">
        <w:rPr>
          <w:rFonts w:ascii="Book Antiqua" w:hAnsi="Book Antiqua" w:cs="Times New Roman"/>
          <w:color w:val="000000" w:themeColor="text1"/>
          <w:sz w:val="24"/>
          <w:szCs w:val="24"/>
          <w:lang w:val="en-US"/>
        </w:rPr>
        <w:t xml:space="preserve"> (Figures</w:t>
      </w:r>
      <w:r w:rsidR="00295BF5" w:rsidRPr="00CC34A3">
        <w:rPr>
          <w:rFonts w:ascii="Book Antiqua" w:hAnsi="Book Antiqua" w:cs="Times New Roman"/>
          <w:color w:val="000000" w:themeColor="text1"/>
          <w:sz w:val="24"/>
          <w:szCs w:val="24"/>
          <w:lang w:val="en-US"/>
        </w:rPr>
        <w:t xml:space="preserve"> </w:t>
      </w:r>
      <w:r w:rsidR="004847C9" w:rsidRPr="00CC34A3">
        <w:rPr>
          <w:rFonts w:ascii="Book Antiqua" w:hAnsi="Book Antiqua" w:cs="Times New Roman"/>
          <w:color w:val="000000" w:themeColor="text1"/>
          <w:sz w:val="24"/>
          <w:szCs w:val="24"/>
          <w:lang w:val="en-US"/>
        </w:rPr>
        <w:t>2</w:t>
      </w:r>
      <w:r w:rsidR="00E21FDA" w:rsidRPr="00CC34A3">
        <w:rPr>
          <w:rFonts w:ascii="Book Antiqua" w:hAnsi="Book Antiqua" w:cs="Times New Roman"/>
          <w:color w:val="000000" w:themeColor="text1"/>
          <w:sz w:val="24"/>
          <w:szCs w:val="24"/>
          <w:lang w:val="en-US"/>
        </w:rPr>
        <w:t xml:space="preserve"> and</w:t>
      </w:r>
      <w:r w:rsidR="00295BF5" w:rsidRPr="00CC34A3">
        <w:rPr>
          <w:rFonts w:ascii="Book Antiqua" w:hAnsi="Book Antiqua" w:cs="Times New Roman"/>
          <w:color w:val="000000" w:themeColor="text1"/>
          <w:sz w:val="24"/>
          <w:szCs w:val="24"/>
          <w:lang w:val="en-US"/>
        </w:rPr>
        <w:t xml:space="preserve"> </w:t>
      </w:r>
      <w:r w:rsidR="004847C9" w:rsidRPr="00CC34A3">
        <w:rPr>
          <w:rFonts w:ascii="Book Antiqua" w:hAnsi="Book Antiqua" w:cs="Times New Roman"/>
          <w:color w:val="000000" w:themeColor="text1"/>
          <w:sz w:val="24"/>
          <w:szCs w:val="24"/>
          <w:lang w:val="en-US"/>
        </w:rPr>
        <w:t>6</w:t>
      </w:r>
      <w:r w:rsidR="00295BF5" w:rsidRPr="00CC34A3">
        <w:rPr>
          <w:rFonts w:ascii="Book Antiqua" w:hAnsi="Book Antiqua" w:cs="Times New Roman"/>
          <w:color w:val="000000" w:themeColor="text1"/>
          <w:sz w:val="24"/>
          <w:szCs w:val="24"/>
          <w:lang w:val="en-US"/>
        </w:rPr>
        <w:t xml:space="preserve">). </w:t>
      </w:r>
    </w:p>
    <w:p w14:paraId="5530C102" w14:textId="099C08DC" w:rsidR="006E2B0A" w:rsidRPr="00CC34A3" w:rsidRDefault="000C11A6" w:rsidP="00CC34A3">
      <w:pPr>
        <w:widowControl w:val="0"/>
        <w:autoSpaceDE w:val="0"/>
        <w:autoSpaceDN w:val="0"/>
        <w:adjustRightInd w:val="0"/>
        <w:snapToGrid w:val="0"/>
        <w:spacing w:after="0" w:line="360" w:lineRule="auto"/>
        <w:jc w:val="both"/>
        <w:rPr>
          <w:rFonts w:ascii="Book Antiqua" w:hAnsi="Book Antiqua" w:cs="Times New Roman"/>
          <w:bCs/>
          <w:color w:val="000000" w:themeColor="text1"/>
          <w:sz w:val="24"/>
          <w:szCs w:val="24"/>
          <w:lang w:val="en-US"/>
        </w:rPr>
      </w:pPr>
      <w:r w:rsidRPr="00CC34A3">
        <w:rPr>
          <w:rFonts w:ascii="Book Antiqua" w:hAnsi="Book Antiqua" w:cs="Times New Roman"/>
          <w:color w:val="000000" w:themeColor="text1"/>
          <w:sz w:val="24"/>
          <w:szCs w:val="24"/>
          <w:lang w:val="en-US"/>
        </w:rPr>
        <w:t xml:space="preserve">  Microscopically (Figure</w:t>
      </w:r>
      <w:r w:rsidR="006E2B0A" w:rsidRPr="00CC34A3">
        <w:rPr>
          <w:rFonts w:ascii="Book Antiqua" w:hAnsi="Book Antiqua" w:cs="Times New Roman"/>
          <w:color w:val="000000" w:themeColor="text1"/>
          <w:sz w:val="24"/>
          <w:szCs w:val="24"/>
          <w:lang w:val="en-US"/>
        </w:rPr>
        <w:t xml:space="preserve"> 7), the lesions progressed from mild villous edema with mild lymphocytic infiltrate (5 min ligation time) toward denuded villous tops with marked villous edema and submucosal capillary congestion (30 min ligation time) to the substantial subepithelial space with abundant lifting of epithelial layer from lamina </w:t>
      </w:r>
      <w:proofErr w:type="spellStart"/>
      <w:r w:rsidR="006E2B0A" w:rsidRPr="00CC34A3">
        <w:rPr>
          <w:rFonts w:ascii="Book Antiqua" w:hAnsi="Book Antiqua" w:cs="Times New Roman"/>
          <w:color w:val="000000" w:themeColor="text1"/>
          <w:sz w:val="24"/>
          <w:szCs w:val="24"/>
          <w:lang w:val="en-US"/>
        </w:rPr>
        <w:t>propira</w:t>
      </w:r>
      <w:proofErr w:type="spellEnd"/>
      <w:r w:rsidR="006E2B0A" w:rsidRPr="00CC34A3">
        <w:rPr>
          <w:rFonts w:ascii="Book Antiqua" w:hAnsi="Book Antiqua" w:cs="Times New Roman"/>
          <w:color w:val="000000" w:themeColor="text1"/>
          <w:sz w:val="24"/>
          <w:szCs w:val="24"/>
          <w:lang w:val="en-US"/>
        </w:rPr>
        <w:t xml:space="preserve"> extending down sides of villi, villous edema with capillary congestion, submucosal congestion and lymphocytic infiltrate (24 h</w:t>
      </w:r>
      <w:r w:rsidRPr="00CC34A3">
        <w:rPr>
          <w:rFonts w:ascii="Book Antiqua" w:hAnsi="Book Antiqua" w:cs="Times New Roman"/>
          <w:color w:val="000000" w:themeColor="text1"/>
          <w:sz w:val="24"/>
          <w:szCs w:val="24"/>
          <w:lang w:val="en-US"/>
        </w:rPr>
        <w:t xml:space="preserve"> ligation time) (Figure</w:t>
      </w:r>
      <w:r w:rsidR="006E2B0A" w:rsidRPr="00CC34A3">
        <w:rPr>
          <w:rFonts w:ascii="Book Antiqua" w:hAnsi="Book Antiqua" w:cs="Times New Roman"/>
          <w:color w:val="000000" w:themeColor="text1"/>
          <w:sz w:val="24"/>
          <w:szCs w:val="24"/>
          <w:lang w:val="en-US"/>
        </w:rPr>
        <w:t xml:space="preserve"> 7). </w:t>
      </w:r>
    </w:p>
    <w:p w14:paraId="76DCB31B" w14:textId="77777777" w:rsidR="006E2B0A" w:rsidRPr="00CC34A3" w:rsidRDefault="006E2B0A" w:rsidP="00CC34A3">
      <w:pPr>
        <w:widowControl w:val="0"/>
        <w:autoSpaceDE w:val="0"/>
        <w:autoSpaceDN w:val="0"/>
        <w:adjustRightInd w:val="0"/>
        <w:snapToGrid w:val="0"/>
        <w:spacing w:after="0" w:line="360" w:lineRule="auto"/>
        <w:jc w:val="both"/>
        <w:rPr>
          <w:rFonts w:ascii="Book Antiqua" w:hAnsi="Book Antiqua" w:cs="Times New Roman"/>
          <w:color w:val="000000" w:themeColor="text1"/>
          <w:sz w:val="24"/>
          <w:szCs w:val="24"/>
          <w:lang w:val="en-US"/>
        </w:rPr>
      </w:pPr>
    </w:p>
    <w:p w14:paraId="7F7DE1B8" w14:textId="779206DE" w:rsidR="00006479" w:rsidRPr="00CC34A3" w:rsidRDefault="008F58DC" w:rsidP="00CC34A3">
      <w:pPr>
        <w:widowControl w:val="0"/>
        <w:autoSpaceDE w:val="0"/>
        <w:autoSpaceDN w:val="0"/>
        <w:adjustRightInd w:val="0"/>
        <w:snapToGrid w:val="0"/>
        <w:spacing w:after="0" w:line="360" w:lineRule="auto"/>
        <w:jc w:val="both"/>
        <w:outlineLvl w:val="0"/>
        <w:rPr>
          <w:rFonts w:ascii="Book Antiqua" w:hAnsi="Book Antiqua" w:cs="Times New Roman"/>
          <w:i/>
          <w:color w:val="000000" w:themeColor="text1"/>
          <w:sz w:val="24"/>
          <w:szCs w:val="24"/>
          <w:lang w:val="en-US"/>
        </w:rPr>
      </w:pPr>
      <w:r w:rsidRPr="00CC34A3">
        <w:rPr>
          <w:rFonts w:ascii="Book Antiqua" w:hAnsi="Book Antiqua" w:cs="Times New Roman"/>
          <w:b/>
          <w:bCs/>
          <w:i/>
          <w:color w:val="000000" w:themeColor="text1"/>
          <w:sz w:val="24"/>
          <w:szCs w:val="24"/>
          <w:lang w:val="en-US"/>
        </w:rPr>
        <w:t>Oxidative stress and NO determination in duodenum tissue</w:t>
      </w:r>
    </w:p>
    <w:p w14:paraId="6F30086D" w14:textId="048D56E9" w:rsidR="006E2B0A" w:rsidRPr="00CC34A3" w:rsidRDefault="00807FF8" w:rsidP="00CC34A3">
      <w:pPr>
        <w:widowControl w:val="0"/>
        <w:autoSpaceDE w:val="0"/>
        <w:autoSpaceDN w:val="0"/>
        <w:adjustRightInd w:val="0"/>
        <w:snapToGrid w:val="0"/>
        <w:spacing w:after="0" w:line="360" w:lineRule="auto"/>
        <w:jc w:val="both"/>
        <w:rPr>
          <w:rFonts w:ascii="Book Antiqua" w:hAnsi="Book Antiqua"/>
          <w:color w:val="000000" w:themeColor="text1"/>
          <w:sz w:val="24"/>
          <w:szCs w:val="24"/>
          <w:lang w:val="en-US"/>
        </w:rPr>
      </w:pPr>
      <w:r w:rsidRPr="00CC34A3">
        <w:rPr>
          <w:rFonts w:ascii="Book Antiqua" w:hAnsi="Book Antiqua" w:cs="Times New Roman"/>
          <w:color w:val="000000" w:themeColor="text1"/>
          <w:sz w:val="24"/>
          <w:szCs w:val="24"/>
          <w:lang w:val="en-US"/>
        </w:rPr>
        <w:t>The</w:t>
      </w:r>
      <w:r w:rsidR="00F2676A" w:rsidRPr="00CC34A3">
        <w:rPr>
          <w:rFonts w:ascii="Book Antiqua" w:hAnsi="Book Antiqua" w:cs="Times New Roman"/>
          <w:color w:val="000000" w:themeColor="text1"/>
          <w:sz w:val="24"/>
          <w:szCs w:val="24"/>
          <w:lang w:val="en-US"/>
        </w:rPr>
        <w:t xml:space="preserve"> n</w:t>
      </w:r>
      <w:r w:rsidR="008F58DC" w:rsidRPr="00CC34A3">
        <w:rPr>
          <w:rFonts w:ascii="Book Antiqua" w:hAnsi="Book Antiqua" w:cs="Times New Roman"/>
          <w:color w:val="000000" w:themeColor="text1"/>
          <w:sz w:val="24"/>
          <w:szCs w:val="24"/>
          <w:lang w:val="en-US"/>
        </w:rPr>
        <w:t xml:space="preserve">egative chain of events </w:t>
      </w:r>
      <w:r w:rsidR="008D1D19" w:rsidRPr="00CC34A3">
        <w:rPr>
          <w:rFonts w:ascii="Book Antiqua" w:hAnsi="Book Antiqua" w:cs="Times New Roman"/>
          <w:color w:val="000000" w:themeColor="text1"/>
          <w:sz w:val="24"/>
          <w:szCs w:val="24"/>
          <w:lang w:val="en-US"/>
        </w:rPr>
        <w:t xml:space="preserve">was first </w:t>
      </w:r>
      <w:r w:rsidR="008F58DC" w:rsidRPr="00CC34A3">
        <w:rPr>
          <w:rFonts w:ascii="Book Antiqua" w:hAnsi="Book Antiqua" w:cs="Times New Roman"/>
          <w:color w:val="000000" w:themeColor="text1"/>
          <w:sz w:val="24"/>
          <w:szCs w:val="24"/>
          <w:lang w:val="en-US"/>
        </w:rPr>
        <w:t>characterize</w:t>
      </w:r>
      <w:r w:rsidR="008D1D19" w:rsidRPr="00CC34A3">
        <w:rPr>
          <w:rFonts w:ascii="Book Antiqua" w:hAnsi="Book Antiqua" w:cs="Times New Roman"/>
          <w:color w:val="000000" w:themeColor="text1"/>
          <w:sz w:val="24"/>
          <w:szCs w:val="24"/>
          <w:lang w:val="en-US"/>
        </w:rPr>
        <w:t>d</w:t>
      </w:r>
      <w:r w:rsidR="008F58DC" w:rsidRPr="00CC34A3">
        <w:rPr>
          <w:rFonts w:ascii="Book Antiqua" w:hAnsi="Book Antiqua" w:cs="Times New Roman"/>
          <w:color w:val="000000" w:themeColor="text1"/>
          <w:sz w:val="24"/>
          <w:szCs w:val="24"/>
          <w:lang w:val="en-US"/>
        </w:rPr>
        <w:t xml:space="preserve"> </w:t>
      </w:r>
      <w:r w:rsidR="008D1D19" w:rsidRPr="00CC34A3">
        <w:rPr>
          <w:rFonts w:ascii="Book Antiqua" w:hAnsi="Book Antiqua" w:cs="Times New Roman"/>
          <w:color w:val="000000" w:themeColor="text1"/>
          <w:sz w:val="24"/>
          <w:szCs w:val="24"/>
          <w:lang w:val="en-US"/>
        </w:rPr>
        <w:t>by</w:t>
      </w:r>
      <w:r w:rsidR="008F58DC" w:rsidRPr="00CC34A3">
        <w:rPr>
          <w:rFonts w:ascii="Book Antiqua" w:hAnsi="Book Antiqua" w:cs="Times New Roman"/>
          <w:color w:val="000000" w:themeColor="text1"/>
          <w:sz w:val="24"/>
          <w:szCs w:val="24"/>
          <w:lang w:val="en-US"/>
        </w:rPr>
        <w:t xml:space="preserve"> </w:t>
      </w:r>
      <w:r w:rsidR="008F58DC" w:rsidRPr="00CC34A3">
        <w:rPr>
          <w:rFonts w:ascii="Book Antiqua" w:hAnsi="Book Antiqua" w:cs="Times New Roman"/>
          <w:iCs/>
          <w:color w:val="000000" w:themeColor="text1"/>
          <w:sz w:val="24"/>
          <w:szCs w:val="24"/>
          <w:lang w:val="en-US"/>
        </w:rPr>
        <w:t xml:space="preserve">decreased NO levels and increased MDA levels in the duodenum tissue, </w:t>
      </w:r>
      <w:r w:rsidR="000E5BCE" w:rsidRPr="00CC34A3">
        <w:rPr>
          <w:rFonts w:ascii="Book Antiqua" w:hAnsi="Book Antiqua" w:cs="Times New Roman"/>
          <w:iCs/>
          <w:color w:val="000000" w:themeColor="text1"/>
          <w:sz w:val="24"/>
          <w:szCs w:val="24"/>
          <w:lang w:val="en-US"/>
        </w:rPr>
        <w:t>followed by</w:t>
      </w:r>
      <w:r w:rsidR="008F58DC" w:rsidRPr="00CC34A3">
        <w:rPr>
          <w:rFonts w:ascii="Book Antiqua" w:hAnsi="Book Antiqua" w:cs="Times New Roman"/>
          <w:iCs/>
          <w:color w:val="000000" w:themeColor="text1"/>
          <w:sz w:val="24"/>
          <w:szCs w:val="24"/>
          <w:lang w:val="en-US"/>
        </w:rPr>
        <w:t xml:space="preserve"> </w:t>
      </w:r>
      <w:r w:rsidR="000E5BCE" w:rsidRPr="00CC34A3">
        <w:rPr>
          <w:rFonts w:ascii="Book Antiqua" w:hAnsi="Book Antiqua" w:cs="Times New Roman"/>
          <w:iCs/>
          <w:color w:val="000000" w:themeColor="text1"/>
          <w:sz w:val="24"/>
          <w:szCs w:val="24"/>
          <w:lang w:val="en-US"/>
        </w:rPr>
        <w:t xml:space="preserve">excessive </w:t>
      </w:r>
      <w:r w:rsidR="008F58DC" w:rsidRPr="00CC34A3">
        <w:rPr>
          <w:rFonts w:ascii="Book Antiqua" w:hAnsi="Book Antiqua" w:cs="Times New Roman"/>
          <w:color w:val="000000" w:themeColor="text1"/>
          <w:sz w:val="24"/>
          <w:szCs w:val="24"/>
          <w:lang w:val="en-US"/>
        </w:rPr>
        <w:t xml:space="preserve">NO release </w:t>
      </w:r>
      <w:r w:rsidR="008F58DC" w:rsidRPr="00CC34A3">
        <w:rPr>
          <w:rFonts w:ascii="Book Antiqua" w:hAnsi="Book Antiqua" w:cs="Times New Roman"/>
          <w:iCs/>
          <w:color w:val="000000" w:themeColor="text1"/>
          <w:sz w:val="24"/>
          <w:szCs w:val="24"/>
          <w:lang w:val="en-US"/>
        </w:rPr>
        <w:t>and increased MDA lev</w:t>
      </w:r>
      <w:r w:rsidR="006A3087" w:rsidRPr="00CC34A3">
        <w:rPr>
          <w:rFonts w:ascii="Book Antiqua" w:hAnsi="Book Antiqua" w:cs="Times New Roman"/>
          <w:iCs/>
          <w:color w:val="000000" w:themeColor="text1"/>
          <w:sz w:val="24"/>
          <w:szCs w:val="24"/>
          <w:lang w:val="en-US"/>
        </w:rPr>
        <w:t>els in the duodenum tissue (Figure</w:t>
      </w:r>
      <w:r w:rsidR="008F58DC" w:rsidRPr="00CC34A3">
        <w:rPr>
          <w:rFonts w:ascii="Book Antiqua" w:hAnsi="Book Antiqua" w:cs="Times New Roman"/>
          <w:iCs/>
          <w:color w:val="000000" w:themeColor="text1"/>
          <w:sz w:val="24"/>
          <w:szCs w:val="24"/>
          <w:lang w:val="en-US"/>
        </w:rPr>
        <w:t xml:space="preserve"> </w:t>
      </w:r>
      <w:r w:rsidR="004847C9" w:rsidRPr="00CC34A3">
        <w:rPr>
          <w:rFonts w:ascii="Book Antiqua" w:hAnsi="Book Antiqua" w:cs="Times New Roman"/>
          <w:iCs/>
          <w:color w:val="000000" w:themeColor="text1"/>
          <w:sz w:val="24"/>
          <w:szCs w:val="24"/>
          <w:lang w:val="en-US"/>
        </w:rPr>
        <w:t>8</w:t>
      </w:r>
      <w:r w:rsidR="008F58DC" w:rsidRPr="00CC34A3">
        <w:rPr>
          <w:rFonts w:ascii="Book Antiqua" w:hAnsi="Book Antiqua" w:cs="Times New Roman"/>
          <w:iCs/>
          <w:color w:val="000000" w:themeColor="text1"/>
          <w:sz w:val="24"/>
          <w:szCs w:val="24"/>
          <w:lang w:val="en-US"/>
        </w:rPr>
        <w:t>)</w:t>
      </w:r>
      <w:r w:rsidR="00582230" w:rsidRPr="00CC34A3">
        <w:rPr>
          <w:rFonts w:ascii="Book Antiqua" w:hAnsi="Book Antiqua" w:cs="Times New Roman"/>
          <w:iCs/>
          <w:color w:val="000000" w:themeColor="text1"/>
          <w:sz w:val="24"/>
          <w:szCs w:val="24"/>
          <w:lang w:val="en-US"/>
        </w:rPr>
        <w:t>.</w:t>
      </w:r>
    </w:p>
    <w:p w14:paraId="5E49CD6C" w14:textId="77777777" w:rsidR="006E2B0A" w:rsidRPr="00CC34A3" w:rsidRDefault="006E2B0A" w:rsidP="00CC34A3">
      <w:pPr>
        <w:widowControl w:val="0"/>
        <w:autoSpaceDE w:val="0"/>
        <w:autoSpaceDN w:val="0"/>
        <w:adjustRightInd w:val="0"/>
        <w:snapToGrid w:val="0"/>
        <w:spacing w:after="0" w:line="360" w:lineRule="auto"/>
        <w:jc w:val="both"/>
        <w:rPr>
          <w:rFonts w:ascii="Book Antiqua" w:hAnsi="Book Antiqua" w:cs="Times New Roman"/>
          <w:iCs/>
          <w:color w:val="000000" w:themeColor="text1"/>
          <w:sz w:val="24"/>
          <w:szCs w:val="24"/>
          <w:lang w:val="en-US"/>
        </w:rPr>
      </w:pPr>
    </w:p>
    <w:p w14:paraId="26CA2652" w14:textId="2A663DA8" w:rsidR="00C14C1D" w:rsidRPr="00CC34A3" w:rsidRDefault="0091501D" w:rsidP="00CC34A3">
      <w:pPr>
        <w:pStyle w:val="Title1"/>
        <w:adjustRightInd w:val="0"/>
        <w:snapToGrid w:val="0"/>
        <w:spacing w:before="0" w:beforeAutospacing="0" w:after="0" w:afterAutospacing="0" w:line="360" w:lineRule="auto"/>
        <w:jc w:val="both"/>
        <w:rPr>
          <w:rFonts w:ascii="Book Antiqua" w:hAnsi="Book Antiqua"/>
          <w:b/>
          <w:i/>
          <w:color w:val="000000" w:themeColor="text1"/>
          <w:lang w:val="en-US"/>
        </w:rPr>
      </w:pPr>
      <w:r w:rsidRPr="00CC34A3">
        <w:rPr>
          <w:rFonts w:ascii="Book Antiqua" w:hAnsi="Book Antiqua"/>
          <w:b/>
          <w:i/>
          <w:color w:val="000000" w:themeColor="text1"/>
          <w:lang w:val="en-US"/>
        </w:rPr>
        <w:t>The r</w:t>
      </w:r>
      <w:r w:rsidR="00C14C1D" w:rsidRPr="00CC34A3">
        <w:rPr>
          <w:rFonts w:ascii="Book Antiqua" w:hAnsi="Book Antiqua"/>
          <w:b/>
          <w:i/>
          <w:color w:val="000000" w:themeColor="text1"/>
          <w:lang w:val="en-US"/>
        </w:rPr>
        <w:t xml:space="preserve">egular course in rats with </w:t>
      </w:r>
      <w:r w:rsidR="00992FA2" w:rsidRPr="00CC34A3">
        <w:rPr>
          <w:rFonts w:ascii="Book Antiqua" w:hAnsi="Book Antiqua"/>
          <w:b/>
          <w:i/>
          <w:color w:val="000000" w:themeColor="text1"/>
          <w:lang w:val="en-US"/>
        </w:rPr>
        <w:t>SAPDV</w:t>
      </w:r>
      <w:r w:rsidR="00C14C1D" w:rsidRPr="00CC34A3">
        <w:rPr>
          <w:rFonts w:ascii="Book Antiqua" w:hAnsi="Book Antiqua"/>
          <w:b/>
          <w:i/>
          <w:color w:val="000000" w:themeColor="text1"/>
          <w:lang w:val="en-US"/>
        </w:rPr>
        <w:t xml:space="preserve"> occlusion counteracted with </w:t>
      </w:r>
      <w:r w:rsidR="00F80560" w:rsidRPr="00CC34A3">
        <w:rPr>
          <w:rFonts w:ascii="Book Antiqua" w:hAnsi="Book Antiqua"/>
          <w:b/>
          <w:i/>
          <w:color w:val="000000" w:themeColor="text1"/>
          <w:lang w:val="en-US"/>
        </w:rPr>
        <w:t>BPC 157 therapy</w:t>
      </w:r>
    </w:p>
    <w:p w14:paraId="342CCDF7" w14:textId="13A83B28" w:rsidR="00C14C1D" w:rsidRPr="00CC34A3" w:rsidRDefault="000E5BCE" w:rsidP="00CC34A3">
      <w:pPr>
        <w:widowControl w:val="0"/>
        <w:autoSpaceDE w:val="0"/>
        <w:autoSpaceDN w:val="0"/>
        <w:adjustRightInd w:val="0"/>
        <w:snapToGrid w:val="0"/>
        <w:spacing w:after="0" w:line="360" w:lineRule="auto"/>
        <w:jc w:val="both"/>
        <w:rPr>
          <w:rFonts w:ascii="Book Antiqua" w:hAnsi="Book Antiqua" w:cs="Times New Roman"/>
          <w:color w:val="000000" w:themeColor="text1"/>
          <w:sz w:val="24"/>
          <w:szCs w:val="24"/>
          <w:lang w:val="en-US"/>
        </w:rPr>
      </w:pPr>
      <w:r w:rsidRPr="00CC34A3">
        <w:rPr>
          <w:rFonts w:ascii="Book Antiqua" w:hAnsi="Book Antiqua" w:cs="Times New Roman"/>
          <w:color w:val="000000" w:themeColor="text1"/>
          <w:sz w:val="24"/>
          <w:szCs w:val="24"/>
          <w:lang w:val="en-US"/>
        </w:rPr>
        <w:t xml:space="preserve">In </w:t>
      </w:r>
      <w:r w:rsidR="00C14C1D" w:rsidRPr="00CC34A3">
        <w:rPr>
          <w:rFonts w:ascii="Book Antiqua" w:hAnsi="Book Antiqua" w:cs="Times New Roman"/>
          <w:color w:val="000000" w:themeColor="text1"/>
          <w:sz w:val="24"/>
          <w:szCs w:val="24"/>
          <w:lang w:val="en-US"/>
        </w:rPr>
        <w:t xml:space="preserve">contrast, after BPC 157 </w:t>
      </w:r>
      <w:r w:rsidR="00F80560" w:rsidRPr="00CC34A3">
        <w:rPr>
          <w:rFonts w:ascii="Book Antiqua" w:hAnsi="Book Antiqua" w:cs="Times New Roman"/>
          <w:color w:val="000000" w:themeColor="text1"/>
          <w:sz w:val="24"/>
          <w:szCs w:val="24"/>
          <w:lang w:val="en-US"/>
        </w:rPr>
        <w:t xml:space="preserve">therapy (applied directly to </w:t>
      </w:r>
      <w:r w:rsidR="00F2676A" w:rsidRPr="00CC34A3">
        <w:rPr>
          <w:rFonts w:ascii="Book Antiqua" w:hAnsi="Book Antiqua" w:cs="Times New Roman"/>
          <w:color w:val="000000" w:themeColor="text1"/>
          <w:sz w:val="24"/>
          <w:szCs w:val="24"/>
          <w:lang w:val="en-US"/>
        </w:rPr>
        <w:t xml:space="preserve">the </w:t>
      </w:r>
      <w:r w:rsidR="00F80560" w:rsidRPr="00CC34A3">
        <w:rPr>
          <w:rFonts w:ascii="Book Antiqua" w:hAnsi="Book Antiqua" w:cs="Times New Roman"/>
          <w:color w:val="000000" w:themeColor="text1"/>
          <w:sz w:val="24"/>
          <w:szCs w:val="24"/>
          <w:lang w:val="en-US"/>
        </w:rPr>
        <w:t xml:space="preserve">duodenum as a bath, or </w:t>
      </w:r>
      <w:r w:rsidR="00F80560" w:rsidRPr="00CC34A3">
        <w:rPr>
          <w:rFonts w:ascii="Book Antiqua" w:hAnsi="Book Antiqua" w:cs="Times New Roman"/>
          <w:color w:val="000000" w:themeColor="text1"/>
          <w:sz w:val="24"/>
          <w:szCs w:val="24"/>
          <w:lang w:val="en-US"/>
        </w:rPr>
        <w:lastRenderedPageBreak/>
        <w:t>in</w:t>
      </w:r>
      <w:r w:rsidR="006E6E9D" w:rsidRPr="00CC34A3">
        <w:rPr>
          <w:rFonts w:ascii="Book Antiqua" w:hAnsi="Book Antiqua" w:cs="Times New Roman"/>
          <w:color w:val="000000" w:themeColor="text1"/>
          <w:sz w:val="24"/>
          <w:szCs w:val="24"/>
          <w:lang w:val="en-US"/>
        </w:rPr>
        <w:t>s</w:t>
      </w:r>
      <w:r w:rsidR="00F80560" w:rsidRPr="00CC34A3">
        <w:rPr>
          <w:rFonts w:ascii="Book Antiqua" w:hAnsi="Book Antiqua" w:cs="Times New Roman"/>
          <w:color w:val="000000" w:themeColor="text1"/>
          <w:sz w:val="24"/>
          <w:szCs w:val="24"/>
          <w:lang w:val="en-US"/>
        </w:rPr>
        <w:t>tilled into the stomach)</w:t>
      </w:r>
      <w:r w:rsidR="00C14C1D" w:rsidRPr="00CC34A3">
        <w:rPr>
          <w:rFonts w:ascii="Book Antiqua" w:hAnsi="Book Antiqua" w:cs="Times New Roman"/>
          <w:color w:val="000000" w:themeColor="text1"/>
          <w:sz w:val="24"/>
          <w:szCs w:val="24"/>
          <w:lang w:val="en-US"/>
        </w:rPr>
        <w:t xml:space="preserve">, only </w:t>
      </w:r>
      <w:r w:rsidR="006E6E9D" w:rsidRPr="00CC34A3">
        <w:rPr>
          <w:rFonts w:ascii="Book Antiqua" w:hAnsi="Book Antiqua" w:cs="Times New Roman"/>
          <w:color w:val="000000" w:themeColor="text1"/>
          <w:sz w:val="24"/>
          <w:szCs w:val="24"/>
          <w:lang w:val="en-US"/>
        </w:rPr>
        <w:t xml:space="preserve">a </w:t>
      </w:r>
      <w:r w:rsidR="00C14C1D" w:rsidRPr="00CC34A3">
        <w:rPr>
          <w:rFonts w:ascii="Book Antiqua" w:hAnsi="Book Antiqua" w:cs="Times New Roman"/>
          <w:color w:val="000000" w:themeColor="text1"/>
          <w:sz w:val="24"/>
          <w:szCs w:val="24"/>
          <w:lang w:val="en-US"/>
        </w:rPr>
        <w:t>few</w:t>
      </w:r>
      <w:r w:rsidR="00F80560" w:rsidRPr="00CC34A3">
        <w:rPr>
          <w:rFonts w:ascii="Book Antiqua" w:hAnsi="Book Antiqua" w:cs="Times New Roman"/>
          <w:color w:val="000000" w:themeColor="text1"/>
          <w:sz w:val="24"/>
          <w:szCs w:val="24"/>
          <w:lang w:val="en-US"/>
        </w:rPr>
        <w:t xml:space="preserve"> treated </w:t>
      </w:r>
      <w:r w:rsidR="00C14C1D" w:rsidRPr="00CC34A3">
        <w:rPr>
          <w:rFonts w:ascii="Book Antiqua" w:hAnsi="Book Antiqua" w:cs="Times New Roman"/>
          <w:color w:val="000000" w:themeColor="text1"/>
          <w:sz w:val="24"/>
          <w:szCs w:val="24"/>
          <w:lang w:val="en-US"/>
        </w:rPr>
        <w:t>rats exhibited more than 10 mm</w:t>
      </w:r>
      <w:r w:rsidR="00F2676A" w:rsidRPr="00CC34A3">
        <w:rPr>
          <w:rFonts w:ascii="Book Antiqua" w:hAnsi="Book Antiqua" w:cs="Times New Roman"/>
          <w:color w:val="000000" w:themeColor="text1"/>
          <w:sz w:val="24"/>
          <w:szCs w:val="24"/>
          <w:lang w:val="en-US"/>
        </w:rPr>
        <w:t>-</w:t>
      </w:r>
      <w:r w:rsidR="00C14C1D" w:rsidRPr="00CC34A3">
        <w:rPr>
          <w:rFonts w:ascii="Book Antiqua" w:hAnsi="Book Antiqua" w:cs="Times New Roman"/>
          <w:color w:val="000000" w:themeColor="text1"/>
          <w:sz w:val="24"/>
          <w:szCs w:val="24"/>
          <w:lang w:val="en-US"/>
        </w:rPr>
        <w:t>diameter mucosal lesion</w:t>
      </w:r>
      <w:r w:rsidR="00F2676A" w:rsidRPr="00CC34A3">
        <w:rPr>
          <w:rFonts w:ascii="Book Antiqua" w:hAnsi="Book Antiqua" w:cs="Times New Roman"/>
          <w:color w:val="000000" w:themeColor="text1"/>
          <w:sz w:val="24"/>
          <w:szCs w:val="24"/>
          <w:lang w:val="en-US"/>
        </w:rPr>
        <w:t>s</w:t>
      </w:r>
      <w:r w:rsidR="00C14C1D" w:rsidRPr="00CC34A3">
        <w:rPr>
          <w:rFonts w:ascii="Book Antiqua" w:hAnsi="Book Antiqua" w:cs="Times New Roman"/>
          <w:color w:val="000000" w:themeColor="text1"/>
          <w:sz w:val="24"/>
          <w:szCs w:val="24"/>
          <w:lang w:val="en-US"/>
        </w:rPr>
        <w:t xml:space="preserve"> and serosal congestion </w:t>
      </w:r>
      <w:r w:rsidR="006A3087" w:rsidRPr="00CC34A3">
        <w:rPr>
          <w:rFonts w:ascii="Book Antiqua" w:hAnsi="Book Antiqua" w:cs="Times New Roman"/>
          <w:color w:val="000000" w:themeColor="text1"/>
          <w:sz w:val="24"/>
          <w:szCs w:val="24"/>
          <w:lang w:val="en-US"/>
        </w:rPr>
        <w:t>(Figures</w:t>
      </w:r>
      <w:r w:rsidR="00A43E62" w:rsidRPr="00CC34A3">
        <w:rPr>
          <w:rFonts w:ascii="Book Antiqua" w:hAnsi="Book Antiqua" w:cs="Times New Roman"/>
          <w:color w:val="000000" w:themeColor="text1"/>
          <w:sz w:val="24"/>
          <w:szCs w:val="24"/>
          <w:lang w:val="en-US"/>
        </w:rPr>
        <w:t xml:space="preserve"> 2</w:t>
      </w:r>
      <w:r w:rsidR="006A3087" w:rsidRPr="00CC34A3">
        <w:rPr>
          <w:rFonts w:ascii="Book Antiqua" w:hAnsi="Book Antiqua" w:cs="Times New Roman"/>
          <w:color w:val="000000" w:themeColor="text1"/>
          <w:sz w:val="24"/>
          <w:szCs w:val="24"/>
          <w:lang w:val="en-US"/>
        </w:rPr>
        <w:t>-</w:t>
      </w:r>
      <w:r w:rsidR="00A43E62" w:rsidRPr="00CC34A3">
        <w:rPr>
          <w:rFonts w:ascii="Book Antiqua" w:hAnsi="Book Antiqua" w:cs="Times New Roman"/>
          <w:color w:val="000000" w:themeColor="text1"/>
          <w:sz w:val="24"/>
          <w:szCs w:val="24"/>
          <w:lang w:val="en-US"/>
        </w:rPr>
        <w:t>4)</w:t>
      </w:r>
      <w:r w:rsidR="00F80560" w:rsidRPr="00CC34A3">
        <w:rPr>
          <w:rFonts w:ascii="Book Antiqua" w:hAnsi="Book Antiqua" w:cs="Times New Roman"/>
          <w:color w:val="000000" w:themeColor="text1"/>
          <w:sz w:val="24"/>
          <w:szCs w:val="24"/>
          <w:lang w:val="en-US"/>
        </w:rPr>
        <w:t xml:space="preserve">. </w:t>
      </w:r>
      <w:r w:rsidR="00F2676A" w:rsidRPr="00CC34A3">
        <w:rPr>
          <w:rFonts w:ascii="Book Antiqua" w:hAnsi="Book Antiqua" w:cs="Times New Roman"/>
          <w:color w:val="000000" w:themeColor="text1"/>
          <w:sz w:val="24"/>
          <w:szCs w:val="24"/>
          <w:lang w:val="en-US"/>
        </w:rPr>
        <w:t>Frequently</w:t>
      </w:r>
      <w:r w:rsidR="00F80560" w:rsidRPr="00CC34A3">
        <w:rPr>
          <w:rFonts w:ascii="Book Antiqua" w:hAnsi="Book Antiqua" w:cs="Times New Roman"/>
          <w:color w:val="000000" w:themeColor="text1"/>
          <w:sz w:val="24"/>
          <w:szCs w:val="24"/>
          <w:lang w:val="en-US"/>
        </w:rPr>
        <w:t>, vessel presentation was markedly</w:t>
      </w:r>
      <w:r w:rsidR="00C14C1D" w:rsidRPr="00CC34A3">
        <w:rPr>
          <w:rFonts w:ascii="Book Antiqua" w:hAnsi="Book Antiqua" w:cs="Times New Roman"/>
          <w:color w:val="000000" w:themeColor="text1"/>
          <w:sz w:val="24"/>
          <w:szCs w:val="24"/>
          <w:lang w:val="en-US"/>
        </w:rPr>
        <w:t xml:space="preserve"> improved </w:t>
      </w:r>
      <w:r w:rsidR="00F2676A" w:rsidRPr="00CC34A3">
        <w:rPr>
          <w:rFonts w:ascii="Book Antiqua" w:hAnsi="Book Antiqua" w:cs="Times New Roman"/>
          <w:color w:val="000000" w:themeColor="text1"/>
          <w:sz w:val="24"/>
          <w:szCs w:val="24"/>
          <w:lang w:val="en-US"/>
        </w:rPr>
        <w:t>with increased</w:t>
      </w:r>
      <w:r w:rsidR="00C14C1D" w:rsidRPr="00CC34A3">
        <w:rPr>
          <w:rFonts w:ascii="Book Antiqua" w:hAnsi="Book Antiqua" w:cs="Times New Roman"/>
          <w:color w:val="000000" w:themeColor="text1"/>
          <w:sz w:val="24"/>
          <w:szCs w:val="24"/>
          <w:lang w:val="en-US"/>
        </w:rPr>
        <w:t xml:space="preserve"> interconnections,</w:t>
      </w:r>
      <w:r w:rsidR="00F2676A" w:rsidRPr="00CC34A3">
        <w:rPr>
          <w:rFonts w:ascii="Book Antiqua" w:hAnsi="Book Antiqua" w:cs="Times New Roman"/>
          <w:color w:val="000000" w:themeColor="text1"/>
          <w:sz w:val="24"/>
          <w:szCs w:val="24"/>
          <w:lang w:val="en-US"/>
        </w:rPr>
        <w:t xml:space="preserve"> and</w:t>
      </w:r>
      <w:r w:rsidR="00C14C1D" w:rsidRPr="00CC34A3">
        <w:rPr>
          <w:rFonts w:ascii="Book Antiqua" w:hAnsi="Book Antiqua" w:cs="Times New Roman"/>
          <w:color w:val="000000" w:themeColor="text1"/>
          <w:sz w:val="24"/>
          <w:szCs w:val="24"/>
          <w:lang w:val="en-US"/>
        </w:rPr>
        <w:t xml:space="preserve"> branching </w:t>
      </w:r>
      <w:r w:rsidR="00F2676A" w:rsidRPr="00CC34A3">
        <w:rPr>
          <w:rFonts w:ascii="Book Antiqua" w:hAnsi="Book Antiqua" w:cs="Times New Roman"/>
          <w:color w:val="000000" w:themeColor="text1"/>
          <w:sz w:val="24"/>
          <w:szCs w:val="24"/>
          <w:lang w:val="en-US"/>
        </w:rPr>
        <w:t xml:space="preserve">increased </w:t>
      </w:r>
      <w:r w:rsidR="00C14C1D" w:rsidRPr="00CC34A3">
        <w:rPr>
          <w:rFonts w:ascii="Book Antiqua" w:hAnsi="Book Antiqua" w:cs="Times New Roman"/>
          <w:color w:val="000000" w:themeColor="text1"/>
          <w:sz w:val="24"/>
          <w:szCs w:val="24"/>
          <w:lang w:val="en-US"/>
        </w:rPr>
        <w:t xml:space="preserve">more than </w:t>
      </w:r>
      <w:r w:rsidR="006A3087" w:rsidRPr="00CC34A3">
        <w:rPr>
          <w:rFonts w:ascii="Book Antiqua" w:hAnsi="Book Antiqua" w:cs="Times New Roman"/>
          <w:color w:val="000000" w:themeColor="text1"/>
          <w:sz w:val="24"/>
          <w:szCs w:val="24"/>
          <w:lang w:val="en-US"/>
        </w:rPr>
        <w:t>60% from the initial value (Figure</w:t>
      </w:r>
      <w:r w:rsidR="00C14C1D" w:rsidRPr="00CC34A3">
        <w:rPr>
          <w:rFonts w:ascii="Book Antiqua" w:hAnsi="Book Antiqua" w:cs="Times New Roman"/>
          <w:color w:val="000000" w:themeColor="text1"/>
          <w:sz w:val="24"/>
          <w:szCs w:val="24"/>
          <w:lang w:val="en-US"/>
        </w:rPr>
        <w:t xml:space="preserve"> 5). IAPDV and SMV were both non</w:t>
      </w:r>
      <w:r w:rsidRPr="00CC34A3">
        <w:rPr>
          <w:rFonts w:ascii="Book Antiqua" w:hAnsi="Book Antiqua" w:cs="Times New Roman"/>
          <w:color w:val="000000" w:themeColor="text1"/>
          <w:sz w:val="24"/>
          <w:szCs w:val="24"/>
          <w:lang w:val="en-US"/>
        </w:rPr>
        <w:t>-</w:t>
      </w:r>
      <w:r w:rsidR="006A3087" w:rsidRPr="00CC34A3">
        <w:rPr>
          <w:rFonts w:ascii="Book Antiqua" w:hAnsi="Book Antiqua" w:cs="Times New Roman"/>
          <w:color w:val="000000" w:themeColor="text1"/>
          <w:sz w:val="24"/>
          <w:szCs w:val="24"/>
          <w:lang w:val="en-US"/>
        </w:rPr>
        <w:t>congested (Figures</w:t>
      </w:r>
      <w:r w:rsidR="00C14C1D" w:rsidRPr="00CC34A3">
        <w:rPr>
          <w:rFonts w:ascii="Book Antiqua" w:hAnsi="Book Antiqua" w:cs="Times New Roman"/>
          <w:color w:val="000000" w:themeColor="text1"/>
          <w:sz w:val="24"/>
          <w:szCs w:val="24"/>
          <w:lang w:val="en-US"/>
        </w:rPr>
        <w:t xml:space="preserve"> </w:t>
      </w:r>
      <w:r w:rsidR="004847C9" w:rsidRPr="00CC34A3">
        <w:rPr>
          <w:rFonts w:ascii="Book Antiqua" w:hAnsi="Book Antiqua" w:cs="Times New Roman"/>
          <w:color w:val="000000" w:themeColor="text1"/>
          <w:sz w:val="24"/>
          <w:szCs w:val="24"/>
          <w:lang w:val="en-US"/>
        </w:rPr>
        <w:t>2</w:t>
      </w:r>
      <w:r w:rsidR="006A3087" w:rsidRPr="00CC34A3">
        <w:rPr>
          <w:rFonts w:ascii="Book Antiqua" w:hAnsi="Book Antiqua" w:cs="Times New Roman"/>
          <w:color w:val="000000" w:themeColor="text1"/>
          <w:sz w:val="24"/>
          <w:szCs w:val="24"/>
          <w:lang w:val="en-US"/>
        </w:rPr>
        <w:t xml:space="preserve"> and</w:t>
      </w:r>
      <w:r w:rsidR="00C14C1D" w:rsidRPr="00CC34A3">
        <w:rPr>
          <w:rFonts w:ascii="Book Antiqua" w:hAnsi="Book Antiqua" w:cs="Times New Roman"/>
          <w:color w:val="000000" w:themeColor="text1"/>
          <w:sz w:val="24"/>
          <w:szCs w:val="24"/>
          <w:lang w:val="en-US"/>
        </w:rPr>
        <w:t xml:space="preserve"> </w:t>
      </w:r>
      <w:r w:rsidR="004847C9" w:rsidRPr="00CC34A3">
        <w:rPr>
          <w:rFonts w:ascii="Book Antiqua" w:hAnsi="Book Antiqua" w:cs="Times New Roman"/>
          <w:color w:val="000000" w:themeColor="text1"/>
          <w:sz w:val="24"/>
          <w:szCs w:val="24"/>
          <w:lang w:val="en-US"/>
        </w:rPr>
        <w:t>6</w:t>
      </w:r>
      <w:r w:rsidR="00C14C1D" w:rsidRPr="00CC34A3">
        <w:rPr>
          <w:rFonts w:ascii="Book Antiqua" w:hAnsi="Book Antiqua" w:cs="Times New Roman"/>
          <w:color w:val="000000" w:themeColor="text1"/>
          <w:sz w:val="24"/>
          <w:szCs w:val="24"/>
          <w:lang w:val="en-US"/>
        </w:rPr>
        <w:t xml:space="preserve">). Thereby, </w:t>
      </w:r>
      <w:r w:rsidR="00F2676A" w:rsidRPr="00CC34A3">
        <w:rPr>
          <w:rFonts w:ascii="Book Antiqua" w:hAnsi="Book Antiqua" w:cs="Times New Roman"/>
          <w:color w:val="000000" w:themeColor="text1"/>
          <w:sz w:val="24"/>
          <w:szCs w:val="24"/>
          <w:lang w:val="en-US"/>
        </w:rPr>
        <w:t xml:space="preserve">the treatment </w:t>
      </w:r>
      <w:r w:rsidR="00C14C1D" w:rsidRPr="00CC34A3">
        <w:rPr>
          <w:rFonts w:ascii="Book Antiqua" w:hAnsi="Book Antiqua" w:cs="Times New Roman"/>
          <w:color w:val="000000" w:themeColor="text1"/>
          <w:sz w:val="24"/>
          <w:szCs w:val="24"/>
          <w:lang w:val="en-US"/>
        </w:rPr>
        <w:t xml:space="preserve">rescued </w:t>
      </w:r>
      <w:r w:rsidR="00F2676A" w:rsidRPr="00CC34A3">
        <w:rPr>
          <w:rFonts w:ascii="Book Antiqua" w:hAnsi="Book Antiqua" w:cs="Times New Roman"/>
          <w:color w:val="000000" w:themeColor="text1"/>
          <w:sz w:val="24"/>
          <w:szCs w:val="24"/>
          <w:lang w:val="en-US"/>
        </w:rPr>
        <w:t xml:space="preserve">the </w:t>
      </w:r>
      <w:r w:rsidR="00C14C1D" w:rsidRPr="00CC34A3">
        <w:rPr>
          <w:rFonts w:ascii="Book Antiqua" w:hAnsi="Book Antiqua" w:cs="Times New Roman"/>
          <w:color w:val="000000" w:themeColor="text1"/>
          <w:sz w:val="24"/>
          <w:szCs w:val="24"/>
          <w:lang w:val="en-US"/>
        </w:rPr>
        <w:t xml:space="preserve">original duodenal flow through IAPDV to SMV flow, </w:t>
      </w:r>
      <w:r w:rsidR="00F2676A" w:rsidRPr="00CC34A3">
        <w:rPr>
          <w:rFonts w:ascii="Book Antiqua" w:hAnsi="Book Antiqua" w:cs="Times New Roman"/>
          <w:color w:val="000000" w:themeColor="text1"/>
          <w:sz w:val="24"/>
          <w:szCs w:val="24"/>
          <w:lang w:val="en-US"/>
        </w:rPr>
        <w:t xml:space="preserve">and the </w:t>
      </w:r>
      <w:r w:rsidR="00C14C1D" w:rsidRPr="00CC34A3">
        <w:rPr>
          <w:rFonts w:ascii="Book Antiqua" w:hAnsi="Book Antiqua" w:cs="Times New Roman"/>
          <w:color w:val="000000" w:themeColor="text1"/>
          <w:sz w:val="24"/>
          <w:szCs w:val="24"/>
          <w:lang w:val="en-US"/>
        </w:rPr>
        <w:t xml:space="preserve">duodenal lesions largely </w:t>
      </w:r>
      <w:r w:rsidR="00F2676A" w:rsidRPr="00CC34A3">
        <w:rPr>
          <w:rFonts w:ascii="Book Antiqua" w:hAnsi="Book Antiqua" w:cs="Times New Roman"/>
          <w:color w:val="000000" w:themeColor="text1"/>
          <w:sz w:val="24"/>
          <w:szCs w:val="24"/>
          <w:lang w:val="en-US"/>
        </w:rPr>
        <w:t>diminished</w:t>
      </w:r>
      <w:r w:rsidR="00C14C1D" w:rsidRPr="00CC34A3">
        <w:rPr>
          <w:rFonts w:ascii="Book Antiqua" w:hAnsi="Book Antiqua" w:cs="Times New Roman"/>
          <w:color w:val="000000" w:themeColor="text1"/>
          <w:sz w:val="24"/>
          <w:szCs w:val="24"/>
          <w:lang w:val="en-US"/>
        </w:rPr>
        <w:t>.</w:t>
      </w:r>
    </w:p>
    <w:p w14:paraId="35E63CB8" w14:textId="282E5C6C" w:rsidR="00C14C1D" w:rsidRPr="00CC34A3" w:rsidRDefault="006A3087" w:rsidP="00CC34A3">
      <w:pPr>
        <w:widowControl w:val="0"/>
        <w:autoSpaceDE w:val="0"/>
        <w:autoSpaceDN w:val="0"/>
        <w:adjustRightInd w:val="0"/>
        <w:snapToGrid w:val="0"/>
        <w:spacing w:after="0" w:line="360" w:lineRule="auto"/>
        <w:jc w:val="both"/>
        <w:rPr>
          <w:rFonts w:ascii="Book Antiqua" w:hAnsi="Book Antiqua" w:cs="Times New Roman"/>
          <w:color w:val="000000" w:themeColor="text1"/>
          <w:sz w:val="24"/>
          <w:szCs w:val="24"/>
          <w:lang w:val="en-US"/>
        </w:rPr>
      </w:pPr>
      <w:r w:rsidRPr="00CC34A3">
        <w:rPr>
          <w:rFonts w:ascii="Book Antiqua" w:hAnsi="Book Antiqua" w:cs="Times New Roman"/>
          <w:color w:val="000000" w:themeColor="text1"/>
          <w:sz w:val="24"/>
          <w:szCs w:val="24"/>
          <w:lang w:val="en-US"/>
        </w:rPr>
        <w:t xml:space="preserve">  </w:t>
      </w:r>
      <w:r w:rsidR="008D1D19" w:rsidRPr="00CC34A3">
        <w:rPr>
          <w:rFonts w:ascii="Book Antiqua" w:hAnsi="Book Antiqua" w:cs="Times New Roman"/>
          <w:color w:val="000000" w:themeColor="text1"/>
          <w:sz w:val="24"/>
          <w:szCs w:val="24"/>
          <w:lang w:val="en-US"/>
        </w:rPr>
        <w:t xml:space="preserve">Microscopically, BPC 157 rats exhibited </w:t>
      </w:r>
      <w:r w:rsidR="00F80560" w:rsidRPr="00CC34A3">
        <w:rPr>
          <w:rFonts w:ascii="Book Antiqua" w:hAnsi="Book Antiqua" w:cs="Times New Roman"/>
          <w:color w:val="000000" w:themeColor="text1"/>
          <w:sz w:val="24"/>
          <w:szCs w:val="24"/>
          <w:lang w:val="en-US"/>
        </w:rPr>
        <w:t>intestinal preservation with only mild villous edema and mild lymphocytic infiltrate</w:t>
      </w:r>
      <w:r w:rsidR="005E58A0" w:rsidRPr="00CC34A3">
        <w:rPr>
          <w:rFonts w:ascii="Book Antiqua" w:hAnsi="Book Antiqua" w:cs="Times New Roman"/>
          <w:color w:val="000000" w:themeColor="text1"/>
          <w:sz w:val="24"/>
          <w:szCs w:val="24"/>
          <w:lang w:val="en-US"/>
        </w:rPr>
        <w:t>s</w:t>
      </w:r>
      <w:r w:rsidR="00F80560" w:rsidRPr="00CC34A3">
        <w:rPr>
          <w:rFonts w:ascii="Book Antiqua" w:hAnsi="Book Antiqua" w:cs="Times New Roman"/>
          <w:color w:val="000000" w:themeColor="text1"/>
          <w:sz w:val="24"/>
          <w:szCs w:val="24"/>
          <w:lang w:val="en-US"/>
        </w:rPr>
        <w:t xml:space="preserve">. </w:t>
      </w:r>
      <w:r w:rsidR="005E58A0" w:rsidRPr="00CC34A3">
        <w:rPr>
          <w:rFonts w:ascii="Book Antiqua" w:hAnsi="Book Antiqua" w:cs="Times New Roman"/>
          <w:color w:val="000000" w:themeColor="text1"/>
          <w:sz w:val="24"/>
          <w:szCs w:val="24"/>
          <w:lang w:val="en-US"/>
        </w:rPr>
        <w:t>The e</w:t>
      </w:r>
      <w:r w:rsidR="00F80560" w:rsidRPr="00CC34A3">
        <w:rPr>
          <w:rFonts w:ascii="Book Antiqua" w:hAnsi="Book Antiqua" w:cs="Times New Roman"/>
          <w:color w:val="000000" w:themeColor="text1"/>
          <w:sz w:val="24"/>
          <w:szCs w:val="24"/>
          <w:lang w:val="en-US"/>
        </w:rPr>
        <w:t xml:space="preserve">levation of </w:t>
      </w:r>
      <w:r w:rsidR="005E58A0" w:rsidRPr="00CC34A3">
        <w:rPr>
          <w:rFonts w:ascii="Book Antiqua" w:hAnsi="Book Antiqua" w:cs="Times New Roman"/>
          <w:color w:val="000000" w:themeColor="text1"/>
          <w:sz w:val="24"/>
          <w:szCs w:val="24"/>
          <w:lang w:val="en-US"/>
        </w:rPr>
        <w:t xml:space="preserve">the </w:t>
      </w:r>
      <w:r w:rsidR="00F80560" w:rsidRPr="00CC34A3">
        <w:rPr>
          <w:rFonts w:ascii="Book Antiqua" w:hAnsi="Book Antiqua" w:cs="Times New Roman"/>
          <w:color w:val="000000" w:themeColor="text1"/>
          <w:sz w:val="24"/>
          <w:szCs w:val="24"/>
          <w:lang w:val="en-US"/>
        </w:rPr>
        <w:t xml:space="preserve">epithelium from </w:t>
      </w:r>
      <w:r w:rsidR="005E58A0" w:rsidRPr="00CC34A3">
        <w:rPr>
          <w:rFonts w:ascii="Book Antiqua" w:hAnsi="Book Antiqua" w:cs="Times New Roman"/>
          <w:color w:val="000000" w:themeColor="text1"/>
          <w:sz w:val="24"/>
          <w:szCs w:val="24"/>
          <w:lang w:val="en-US"/>
        </w:rPr>
        <w:t xml:space="preserve">the </w:t>
      </w:r>
      <w:r w:rsidR="00F80560" w:rsidRPr="00CC34A3">
        <w:rPr>
          <w:rFonts w:ascii="Book Antiqua" w:hAnsi="Book Antiqua" w:cs="Times New Roman"/>
          <w:color w:val="000000" w:themeColor="text1"/>
          <w:sz w:val="24"/>
          <w:szCs w:val="24"/>
          <w:lang w:val="en-US"/>
        </w:rPr>
        <w:t xml:space="preserve">lamina propria was found only on </w:t>
      </w:r>
      <w:r w:rsidR="00A8725E" w:rsidRPr="00CC34A3">
        <w:rPr>
          <w:rFonts w:ascii="Book Antiqua" w:hAnsi="Book Antiqua" w:cs="Times New Roman"/>
          <w:color w:val="000000" w:themeColor="text1"/>
          <w:sz w:val="24"/>
          <w:szCs w:val="24"/>
          <w:lang w:val="en-US"/>
        </w:rPr>
        <w:t xml:space="preserve">the </w:t>
      </w:r>
      <w:r w:rsidR="00F80560" w:rsidRPr="00CC34A3">
        <w:rPr>
          <w:rFonts w:ascii="Book Antiqua" w:hAnsi="Book Antiqua" w:cs="Times New Roman"/>
          <w:color w:val="000000" w:themeColor="text1"/>
          <w:sz w:val="24"/>
          <w:szCs w:val="24"/>
          <w:lang w:val="en-US"/>
        </w:rPr>
        <w:t xml:space="preserve">apical portion of </w:t>
      </w:r>
      <w:r w:rsidR="005E58A0" w:rsidRPr="00CC34A3">
        <w:rPr>
          <w:rFonts w:ascii="Book Antiqua" w:hAnsi="Book Antiqua" w:cs="Times New Roman"/>
          <w:color w:val="000000" w:themeColor="text1"/>
          <w:sz w:val="24"/>
          <w:szCs w:val="24"/>
          <w:lang w:val="en-US"/>
        </w:rPr>
        <w:t xml:space="preserve">the </w:t>
      </w:r>
      <w:r w:rsidR="00F80560" w:rsidRPr="00CC34A3">
        <w:rPr>
          <w:rFonts w:ascii="Book Antiqua" w:hAnsi="Book Antiqua" w:cs="Times New Roman"/>
          <w:color w:val="000000" w:themeColor="text1"/>
          <w:sz w:val="24"/>
          <w:szCs w:val="24"/>
          <w:lang w:val="en-US"/>
        </w:rPr>
        <w:t>villi</w:t>
      </w:r>
      <w:r w:rsidR="008D1D19" w:rsidRPr="00CC34A3">
        <w:rPr>
          <w:rFonts w:ascii="Book Antiqua" w:hAnsi="Book Antiqua" w:cs="Times New Roman"/>
          <w:color w:val="000000" w:themeColor="text1"/>
          <w:sz w:val="24"/>
          <w:szCs w:val="24"/>
          <w:lang w:val="en-US"/>
        </w:rPr>
        <w:t xml:space="preserve"> (</w:t>
      </w:r>
      <w:r w:rsidR="005E58A0" w:rsidRPr="00CC34A3">
        <w:rPr>
          <w:rFonts w:ascii="Book Antiqua" w:hAnsi="Book Antiqua" w:cs="Times New Roman"/>
          <w:color w:val="000000" w:themeColor="text1"/>
          <w:sz w:val="24"/>
          <w:szCs w:val="24"/>
          <w:lang w:val="en-US"/>
        </w:rPr>
        <w:t xml:space="preserve">after </w:t>
      </w:r>
      <w:r w:rsidR="008D1D19" w:rsidRPr="00CC34A3">
        <w:rPr>
          <w:rFonts w:ascii="Book Antiqua" w:hAnsi="Book Antiqua" w:cs="Times New Roman"/>
          <w:color w:val="000000" w:themeColor="text1"/>
          <w:sz w:val="24"/>
          <w:szCs w:val="24"/>
          <w:lang w:val="en-US"/>
        </w:rPr>
        <w:t xml:space="preserve">24 h </w:t>
      </w:r>
      <w:r w:rsidR="005E58A0" w:rsidRPr="00CC34A3">
        <w:rPr>
          <w:rFonts w:ascii="Book Antiqua" w:hAnsi="Book Antiqua" w:cs="Times New Roman"/>
          <w:color w:val="000000" w:themeColor="text1"/>
          <w:sz w:val="24"/>
          <w:szCs w:val="24"/>
          <w:lang w:val="en-US"/>
        </w:rPr>
        <w:t xml:space="preserve">of </w:t>
      </w:r>
      <w:r w:rsidRPr="00CC34A3">
        <w:rPr>
          <w:rFonts w:ascii="Book Antiqua" w:hAnsi="Book Antiqua" w:cs="Times New Roman"/>
          <w:color w:val="000000" w:themeColor="text1"/>
          <w:sz w:val="24"/>
          <w:szCs w:val="24"/>
          <w:lang w:val="en-US"/>
        </w:rPr>
        <w:t xml:space="preserve">ligation) (Figure </w:t>
      </w:r>
      <w:r w:rsidR="004847C9" w:rsidRPr="00CC34A3">
        <w:rPr>
          <w:rFonts w:ascii="Book Antiqua" w:hAnsi="Book Antiqua" w:cs="Times New Roman"/>
          <w:color w:val="000000" w:themeColor="text1"/>
          <w:sz w:val="24"/>
          <w:szCs w:val="24"/>
          <w:lang w:val="en-US"/>
        </w:rPr>
        <w:t>7</w:t>
      </w:r>
      <w:r w:rsidR="008D1D19" w:rsidRPr="00CC34A3">
        <w:rPr>
          <w:rFonts w:ascii="Book Antiqua" w:hAnsi="Book Antiqua" w:cs="Times New Roman"/>
          <w:color w:val="000000" w:themeColor="text1"/>
          <w:sz w:val="24"/>
          <w:szCs w:val="24"/>
          <w:lang w:val="en-US"/>
        </w:rPr>
        <w:t>)</w:t>
      </w:r>
      <w:r w:rsidR="00F80560" w:rsidRPr="00CC34A3">
        <w:rPr>
          <w:rFonts w:ascii="Book Antiqua" w:hAnsi="Book Antiqua" w:cs="Times New Roman"/>
          <w:color w:val="000000" w:themeColor="text1"/>
          <w:sz w:val="24"/>
          <w:szCs w:val="24"/>
          <w:lang w:val="en-US"/>
        </w:rPr>
        <w:t xml:space="preserve">. </w:t>
      </w:r>
      <w:r w:rsidR="00C14C1D" w:rsidRPr="00CC34A3">
        <w:rPr>
          <w:rFonts w:ascii="Book Antiqua" w:hAnsi="Book Antiqua" w:cs="Times New Roman"/>
          <w:color w:val="000000" w:themeColor="text1"/>
          <w:sz w:val="24"/>
          <w:szCs w:val="24"/>
          <w:lang w:val="en-US"/>
        </w:rPr>
        <w:t xml:space="preserve"> </w:t>
      </w:r>
    </w:p>
    <w:p w14:paraId="5CB43D54" w14:textId="796EB699" w:rsidR="008D1D19" w:rsidRPr="00CC34A3" w:rsidRDefault="006A3087" w:rsidP="00CC34A3">
      <w:pPr>
        <w:pStyle w:val="Title1"/>
        <w:adjustRightInd w:val="0"/>
        <w:snapToGrid w:val="0"/>
        <w:spacing w:before="0" w:beforeAutospacing="0" w:after="0" w:afterAutospacing="0" w:line="360" w:lineRule="auto"/>
        <w:jc w:val="both"/>
        <w:rPr>
          <w:rFonts w:ascii="Book Antiqua" w:hAnsi="Book Antiqua"/>
          <w:color w:val="000000" w:themeColor="text1"/>
          <w:lang w:val="en-US"/>
        </w:rPr>
      </w:pPr>
      <w:r w:rsidRPr="00CC34A3">
        <w:rPr>
          <w:rFonts w:ascii="Book Antiqua" w:hAnsi="Book Antiqua"/>
          <w:bCs/>
          <w:color w:val="000000" w:themeColor="text1"/>
          <w:lang w:val="en-US"/>
        </w:rPr>
        <w:t xml:space="preserve">  </w:t>
      </w:r>
      <w:r w:rsidR="008D1D19" w:rsidRPr="00CC34A3">
        <w:rPr>
          <w:rFonts w:ascii="Book Antiqua" w:hAnsi="Book Antiqua"/>
          <w:bCs/>
          <w:color w:val="000000" w:themeColor="text1"/>
          <w:lang w:val="en-US"/>
        </w:rPr>
        <w:t xml:space="preserve">Oxidative stress and NO determination in </w:t>
      </w:r>
      <w:r w:rsidR="005E58A0" w:rsidRPr="00CC34A3">
        <w:rPr>
          <w:rFonts w:ascii="Book Antiqua" w:hAnsi="Book Antiqua"/>
          <w:bCs/>
          <w:color w:val="000000" w:themeColor="text1"/>
          <w:lang w:val="en-US"/>
        </w:rPr>
        <w:t xml:space="preserve">the </w:t>
      </w:r>
      <w:r w:rsidR="008D1D19" w:rsidRPr="00CC34A3">
        <w:rPr>
          <w:rFonts w:ascii="Book Antiqua" w:hAnsi="Book Antiqua"/>
          <w:bCs/>
          <w:color w:val="000000" w:themeColor="text1"/>
          <w:lang w:val="en-US"/>
        </w:rPr>
        <w:t>duodenum tissue</w:t>
      </w:r>
      <w:r w:rsidR="008D1D19" w:rsidRPr="00CC34A3">
        <w:rPr>
          <w:rFonts w:ascii="Book Antiqua" w:hAnsi="Book Antiqua"/>
          <w:color w:val="000000" w:themeColor="text1"/>
          <w:lang w:val="en-US"/>
        </w:rPr>
        <w:t xml:space="preserve"> with BPC 157 reveal</w:t>
      </w:r>
      <w:r w:rsidR="005E58A0" w:rsidRPr="00CC34A3">
        <w:rPr>
          <w:rFonts w:ascii="Book Antiqua" w:hAnsi="Book Antiqua"/>
          <w:color w:val="000000" w:themeColor="text1"/>
          <w:lang w:val="en-US"/>
        </w:rPr>
        <w:t>ed</w:t>
      </w:r>
      <w:r w:rsidR="008D1D19" w:rsidRPr="00CC34A3">
        <w:rPr>
          <w:rFonts w:ascii="Book Antiqua" w:hAnsi="Book Antiqua"/>
          <w:color w:val="000000" w:themeColor="text1"/>
          <w:lang w:val="en-US"/>
        </w:rPr>
        <w:t xml:space="preserve"> </w:t>
      </w:r>
      <w:r w:rsidR="006E6E9D" w:rsidRPr="00CC34A3">
        <w:rPr>
          <w:rFonts w:ascii="Book Antiqua" w:hAnsi="Book Antiqua"/>
          <w:color w:val="000000" w:themeColor="text1"/>
          <w:lang w:val="en-US"/>
        </w:rPr>
        <w:t>a</w:t>
      </w:r>
      <w:r w:rsidR="005E58A0" w:rsidRPr="00CC34A3">
        <w:rPr>
          <w:rFonts w:ascii="Book Antiqua" w:hAnsi="Book Antiqua"/>
          <w:color w:val="000000" w:themeColor="text1"/>
          <w:lang w:val="en-US"/>
        </w:rPr>
        <w:t>n</w:t>
      </w:r>
      <w:r w:rsidR="006E6E9D" w:rsidRPr="00CC34A3">
        <w:rPr>
          <w:rFonts w:ascii="Book Antiqua" w:hAnsi="Book Antiqua"/>
          <w:color w:val="000000" w:themeColor="text1"/>
          <w:lang w:val="en-US"/>
        </w:rPr>
        <w:t xml:space="preserve"> </w:t>
      </w:r>
      <w:r w:rsidR="005E58A0" w:rsidRPr="00CC34A3">
        <w:rPr>
          <w:rFonts w:ascii="Book Antiqua" w:hAnsi="Book Antiqua"/>
          <w:iCs/>
          <w:color w:val="000000" w:themeColor="text1"/>
          <w:lang w:val="en-US"/>
        </w:rPr>
        <w:t>increase in the</w:t>
      </w:r>
      <w:r w:rsidR="008D1D19" w:rsidRPr="00CC34A3">
        <w:rPr>
          <w:rFonts w:ascii="Book Antiqua" w:hAnsi="Book Antiqua"/>
          <w:iCs/>
          <w:color w:val="000000" w:themeColor="text1"/>
          <w:lang w:val="en-US"/>
        </w:rPr>
        <w:t xml:space="preserve"> duodenal NO</w:t>
      </w:r>
      <w:r w:rsidR="000A5B0D" w:rsidRPr="00CC34A3">
        <w:rPr>
          <w:rFonts w:ascii="Book Antiqua" w:hAnsi="Book Antiqua"/>
          <w:iCs/>
          <w:color w:val="000000" w:themeColor="text1"/>
          <w:lang w:val="en-US"/>
        </w:rPr>
        <w:t xml:space="preserve"> </w:t>
      </w:r>
      <w:r w:rsidR="008D1D19" w:rsidRPr="00CC34A3">
        <w:rPr>
          <w:rFonts w:ascii="Book Antiqua" w:hAnsi="Book Antiqua"/>
          <w:iCs/>
          <w:color w:val="000000" w:themeColor="text1"/>
          <w:lang w:val="en-US"/>
        </w:rPr>
        <w:t xml:space="preserve">values </w:t>
      </w:r>
      <w:r w:rsidR="005E58A0" w:rsidRPr="00CC34A3">
        <w:rPr>
          <w:rFonts w:ascii="Book Antiqua" w:hAnsi="Book Antiqua"/>
          <w:iCs/>
          <w:color w:val="000000" w:themeColor="text1"/>
          <w:lang w:val="en-US"/>
        </w:rPr>
        <w:t xml:space="preserve">up </w:t>
      </w:r>
      <w:r w:rsidR="008D1D19" w:rsidRPr="00CC34A3">
        <w:rPr>
          <w:rFonts w:ascii="Book Antiqua" w:hAnsi="Book Antiqua"/>
          <w:iCs/>
          <w:color w:val="000000" w:themeColor="text1"/>
          <w:lang w:val="en-US"/>
        </w:rPr>
        <w:t>to the normal values, but normal MDA-values</w:t>
      </w:r>
      <w:r w:rsidR="008D1D19" w:rsidRPr="00CC34A3">
        <w:rPr>
          <w:rFonts w:ascii="Book Antiqua" w:hAnsi="Book Antiqua"/>
          <w:color w:val="000000" w:themeColor="text1"/>
          <w:lang w:val="en-US"/>
        </w:rPr>
        <w:t xml:space="preserve"> </w:t>
      </w:r>
      <w:r w:rsidR="005E58A0" w:rsidRPr="00CC34A3">
        <w:rPr>
          <w:rFonts w:ascii="Book Antiqua" w:hAnsi="Book Antiqua"/>
          <w:iCs/>
          <w:color w:val="000000" w:themeColor="text1"/>
          <w:lang w:val="en-US"/>
        </w:rPr>
        <w:t>compared to the</w:t>
      </w:r>
      <w:r w:rsidR="008D1D19" w:rsidRPr="00CC34A3">
        <w:rPr>
          <w:rFonts w:ascii="Book Antiqua" w:hAnsi="Book Antiqua"/>
          <w:iCs/>
          <w:color w:val="000000" w:themeColor="text1"/>
          <w:lang w:val="en-US"/>
        </w:rPr>
        <w:t xml:space="preserve"> excessively increased </w:t>
      </w:r>
      <w:r w:rsidR="005E58A0" w:rsidRPr="00CC34A3">
        <w:rPr>
          <w:rFonts w:ascii="Book Antiqua" w:hAnsi="Book Antiqua"/>
          <w:iCs/>
          <w:color w:val="000000" w:themeColor="text1"/>
          <w:lang w:val="en-US"/>
        </w:rPr>
        <w:t xml:space="preserve">values seen </w:t>
      </w:r>
      <w:r w:rsidR="008D1D19" w:rsidRPr="00CC34A3">
        <w:rPr>
          <w:rFonts w:ascii="Book Antiqua" w:hAnsi="Book Antiqua"/>
          <w:iCs/>
          <w:color w:val="000000" w:themeColor="text1"/>
          <w:lang w:val="en-US"/>
        </w:rPr>
        <w:t>in the controls</w:t>
      </w:r>
      <w:r w:rsidR="009B47AF" w:rsidRPr="00CC34A3">
        <w:rPr>
          <w:rFonts w:ascii="Book Antiqua" w:hAnsi="Book Antiqua"/>
          <w:iCs/>
          <w:color w:val="000000" w:themeColor="text1"/>
          <w:lang w:val="en-US"/>
        </w:rPr>
        <w:t xml:space="preserve"> </w:t>
      </w:r>
      <w:r w:rsidRPr="00CC34A3">
        <w:rPr>
          <w:rFonts w:ascii="Book Antiqua" w:hAnsi="Book Antiqua"/>
          <w:iCs/>
          <w:color w:val="000000" w:themeColor="text1"/>
          <w:lang w:val="en-US"/>
        </w:rPr>
        <w:t>(Figure</w:t>
      </w:r>
      <w:r w:rsidR="008D1D19" w:rsidRPr="00CC34A3">
        <w:rPr>
          <w:rFonts w:ascii="Book Antiqua" w:hAnsi="Book Antiqua"/>
          <w:iCs/>
          <w:color w:val="000000" w:themeColor="text1"/>
          <w:lang w:val="en-US"/>
        </w:rPr>
        <w:t xml:space="preserve"> </w:t>
      </w:r>
      <w:r w:rsidR="004847C9" w:rsidRPr="00CC34A3">
        <w:rPr>
          <w:rFonts w:ascii="Book Antiqua" w:hAnsi="Book Antiqua"/>
          <w:iCs/>
          <w:color w:val="000000" w:themeColor="text1"/>
          <w:lang w:val="en-US"/>
        </w:rPr>
        <w:t>8</w:t>
      </w:r>
      <w:r w:rsidR="008D1D19" w:rsidRPr="00CC34A3">
        <w:rPr>
          <w:rFonts w:ascii="Book Antiqua" w:hAnsi="Book Antiqua"/>
          <w:iCs/>
          <w:color w:val="000000" w:themeColor="text1"/>
          <w:lang w:val="en-US"/>
        </w:rPr>
        <w:t>)</w:t>
      </w:r>
      <w:r w:rsidR="00A43E62" w:rsidRPr="00CC34A3">
        <w:rPr>
          <w:rFonts w:ascii="Book Antiqua" w:hAnsi="Book Antiqua"/>
          <w:iCs/>
          <w:color w:val="000000" w:themeColor="text1"/>
          <w:lang w:val="en-US"/>
        </w:rPr>
        <w:t>.</w:t>
      </w:r>
      <w:r w:rsidR="008D1D19" w:rsidRPr="00CC34A3">
        <w:rPr>
          <w:rFonts w:ascii="Book Antiqua" w:hAnsi="Book Antiqua"/>
          <w:color w:val="000000" w:themeColor="text1"/>
          <w:lang w:val="en-US"/>
        </w:rPr>
        <w:t xml:space="preserve"> </w:t>
      </w:r>
    </w:p>
    <w:p w14:paraId="09A19B3B" w14:textId="77777777" w:rsidR="00582230" w:rsidRPr="00CC34A3" w:rsidRDefault="00582230" w:rsidP="00CC34A3">
      <w:pPr>
        <w:widowControl w:val="0"/>
        <w:autoSpaceDE w:val="0"/>
        <w:autoSpaceDN w:val="0"/>
        <w:adjustRightInd w:val="0"/>
        <w:snapToGrid w:val="0"/>
        <w:spacing w:after="0" w:line="360" w:lineRule="auto"/>
        <w:jc w:val="both"/>
        <w:rPr>
          <w:rFonts w:ascii="Book Antiqua" w:hAnsi="Book Antiqua" w:cs="Times New Roman"/>
          <w:i/>
          <w:color w:val="000000" w:themeColor="text1"/>
          <w:sz w:val="24"/>
          <w:szCs w:val="24"/>
          <w:lang w:val="en-US"/>
        </w:rPr>
      </w:pPr>
    </w:p>
    <w:p w14:paraId="17CCE680" w14:textId="3CE493EC" w:rsidR="008D1D19" w:rsidRPr="00CC34A3" w:rsidRDefault="00A33B2B" w:rsidP="00CC34A3">
      <w:pPr>
        <w:widowControl w:val="0"/>
        <w:autoSpaceDE w:val="0"/>
        <w:autoSpaceDN w:val="0"/>
        <w:adjustRightInd w:val="0"/>
        <w:snapToGrid w:val="0"/>
        <w:spacing w:after="0" w:line="360" w:lineRule="auto"/>
        <w:jc w:val="both"/>
        <w:outlineLvl w:val="0"/>
        <w:rPr>
          <w:rFonts w:ascii="Book Antiqua" w:hAnsi="Book Antiqua" w:cs="Times New Roman"/>
          <w:b/>
          <w:i/>
          <w:color w:val="000000" w:themeColor="text1"/>
          <w:sz w:val="24"/>
          <w:szCs w:val="24"/>
          <w:lang w:val="en-US"/>
        </w:rPr>
      </w:pPr>
      <w:r w:rsidRPr="00CC34A3">
        <w:rPr>
          <w:rFonts w:ascii="Book Antiqua" w:hAnsi="Book Antiqua" w:cs="Times New Roman"/>
          <w:b/>
          <w:i/>
          <w:color w:val="000000" w:themeColor="text1"/>
          <w:sz w:val="24"/>
          <w:szCs w:val="24"/>
          <w:lang w:val="en-US"/>
        </w:rPr>
        <w:t xml:space="preserve">L-NAME and L-arginine, given alone </w:t>
      </w:r>
      <w:r w:rsidR="005E3D33" w:rsidRPr="00CC34A3">
        <w:rPr>
          <w:rFonts w:ascii="Book Antiqua" w:hAnsi="Book Antiqua" w:cs="Times New Roman"/>
          <w:b/>
          <w:i/>
          <w:color w:val="000000" w:themeColor="text1"/>
          <w:sz w:val="24"/>
          <w:szCs w:val="24"/>
          <w:lang w:val="en-US"/>
        </w:rPr>
        <w:t xml:space="preserve">or together; BPC 157 </w:t>
      </w:r>
      <w:r w:rsidR="009B47AF" w:rsidRPr="00CC34A3">
        <w:rPr>
          <w:rFonts w:ascii="Book Antiqua" w:hAnsi="Book Antiqua" w:cs="Times New Roman"/>
          <w:b/>
          <w:i/>
          <w:color w:val="000000" w:themeColor="text1"/>
          <w:sz w:val="24"/>
          <w:szCs w:val="24"/>
          <w:lang w:val="en-US"/>
        </w:rPr>
        <w:t>treatment</w:t>
      </w:r>
    </w:p>
    <w:p w14:paraId="2AB37B97" w14:textId="3D28DD00" w:rsidR="00C14C1D" w:rsidRPr="00CC34A3" w:rsidRDefault="00C14C1D" w:rsidP="00CC34A3">
      <w:pPr>
        <w:widowControl w:val="0"/>
        <w:autoSpaceDE w:val="0"/>
        <w:autoSpaceDN w:val="0"/>
        <w:adjustRightInd w:val="0"/>
        <w:snapToGrid w:val="0"/>
        <w:spacing w:after="0" w:line="360" w:lineRule="auto"/>
        <w:jc w:val="both"/>
        <w:rPr>
          <w:rFonts w:ascii="Book Antiqua" w:hAnsi="Book Antiqua" w:cs="Times New Roman"/>
          <w:color w:val="000000" w:themeColor="text1"/>
          <w:sz w:val="24"/>
          <w:szCs w:val="24"/>
          <w:lang w:val="en-US"/>
        </w:rPr>
      </w:pPr>
      <w:r w:rsidRPr="00CC34A3">
        <w:rPr>
          <w:rFonts w:ascii="Book Antiqua" w:hAnsi="Book Antiqua" w:cs="Times New Roman"/>
          <w:color w:val="000000" w:themeColor="text1"/>
          <w:sz w:val="24"/>
          <w:szCs w:val="24"/>
          <w:lang w:val="en-US"/>
        </w:rPr>
        <w:t xml:space="preserve">L-NAME and L-arginine </w:t>
      </w:r>
      <w:r w:rsidR="009B47AF" w:rsidRPr="00CC34A3">
        <w:rPr>
          <w:rFonts w:ascii="Book Antiqua" w:hAnsi="Book Antiqua" w:cs="Times New Roman"/>
          <w:color w:val="000000" w:themeColor="text1"/>
          <w:sz w:val="24"/>
          <w:szCs w:val="24"/>
          <w:lang w:val="en-US"/>
        </w:rPr>
        <w:t xml:space="preserve">treatment alone </w:t>
      </w:r>
      <w:r w:rsidRPr="00CC34A3">
        <w:rPr>
          <w:rFonts w:ascii="Book Antiqua" w:hAnsi="Book Antiqua" w:cs="Times New Roman"/>
          <w:color w:val="000000" w:themeColor="text1"/>
          <w:sz w:val="24"/>
          <w:szCs w:val="24"/>
          <w:lang w:val="en-US"/>
        </w:rPr>
        <w:t>decreased mucosal and serosal duodenal lesions</w:t>
      </w:r>
      <w:r w:rsidR="009B47AF" w:rsidRPr="00CC34A3">
        <w:rPr>
          <w:rFonts w:ascii="Book Antiqua" w:hAnsi="Book Antiqua" w:cs="Times New Roman"/>
          <w:color w:val="000000" w:themeColor="text1"/>
          <w:sz w:val="24"/>
          <w:szCs w:val="24"/>
          <w:lang w:val="en-US"/>
        </w:rPr>
        <w:t xml:space="preserve"> at 5 min and 30 min. T</w:t>
      </w:r>
      <w:r w:rsidRPr="00CC34A3">
        <w:rPr>
          <w:rFonts w:ascii="Book Antiqua" w:hAnsi="Book Antiqua" w:cs="Times New Roman"/>
          <w:color w:val="000000" w:themeColor="text1"/>
          <w:sz w:val="24"/>
          <w:szCs w:val="24"/>
          <w:lang w:val="en-US"/>
        </w:rPr>
        <w:t>heir effect</w:t>
      </w:r>
      <w:r w:rsidR="009B47AF" w:rsidRPr="00CC34A3">
        <w:rPr>
          <w:rFonts w:ascii="Book Antiqua" w:hAnsi="Book Antiqua" w:cs="Times New Roman"/>
          <w:color w:val="000000" w:themeColor="text1"/>
          <w:sz w:val="24"/>
          <w:szCs w:val="24"/>
          <w:lang w:val="en-US"/>
        </w:rPr>
        <w:t>s</w:t>
      </w:r>
      <w:r w:rsidRPr="00CC34A3">
        <w:rPr>
          <w:rFonts w:ascii="Book Antiqua" w:hAnsi="Book Antiqua" w:cs="Times New Roman"/>
          <w:color w:val="000000" w:themeColor="text1"/>
          <w:sz w:val="24"/>
          <w:szCs w:val="24"/>
          <w:lang w:val="en-US"/>
        </w:rPr>
        <w:t xml:space="preserve"> </w:t>
      </w:r>
      <w:r w:rsidR="009B47AF" w:rsidRPr="00CC34A3">
        <w:rPr>
          <w:rFonts w:ascii="Book Antiqua" w:hAnsi="Book Antiqua" w:cs="Times New Roman"/>
          <w:color w:val="000000" w:themeColor="text1"/>
          <w:sz w:val="24"/>
          <w:szCs w:val="24"/>
          <w:lang w:val="en-US"/>
        </w:rPr>
        <w:t xml:space="preserve">were less </w:t>
      </w:r>
      <w:r w:rsidRPr="00CC34A3">
        <w:rPr>
          <w:rFonts w:ascii="Book Antiqua" w:hAnsi="Book Antiqua" w:cs="Times New Roman"/>
          <w:color w:val="000000" w:themeColor="text1"/>
          <w:sz w:val="24"/>
          <w:szCs w:val="24"/>
          <w:lang w:val="en-US"/>
        </w:rPr>
        <w:t>at 24 h</w:t>
      </w:r>
      <w:r w:rsidR="009B47AF" w:rsidRPr="00CC34A3">
        <w:rPr>
          <w:rFonts w:ascii="Book Antiqua" w:hAnsi="Book Antiqua" w:cs="Times New Roman"/>
          <w:color w:val="000000" w:themeColor="text1"/>
          <w:sz w:val="24"/>
          <w:szCs w:val="24"/>
          <w:lang w:val="en-US"/>
        </w:rPr>
        <w:t xml:space="preserve">, </w:t>
      </w:r>
      <w:r w:rsidRPr="00CC34A3">
        <w:rPr>
          <w:rFonts w:ascii="Book Antiqua" w:hAnsi="Book Antiqua" w:cs="Times New Roman"/>
          <w:color w:val="000000" w:themeColor="text1"/>
          <w:sz w:val="24"/>
          <w:szCs w:val="24"/>
          <w:lang w:val="en-US"/>
        </w:rPr>
        <w:t xml:space="preserve">but they did not further influence </w:t>
      </w:r>
      <w:r w:rsidR="009B47AF" w:rsidRPr="00CC34A3">
        <w:rPr>
          <w:rFonts w:ascii="Book Antiqua" w:hAnsi="Book Antiqua" w:cs="Times New Roman"/>
          <w:color w:val="000000" w:themeColor="text1"/>
          <w:sz w:val="24"/>
          <w:szCs w:val="24"/>
          <w:lang w:val="en-US"/>
        </w:rPr>
        <w:t xml:space="preserve">the </w:t>
      </w:r>
      <w:r w:rsidRPr="00CC34A3">
        <w:rPr>
          <w:rFonts w:ascii="Book Antiqua" w:hAnsi="Book Antiqua" w:cs="Times New Roman"/>
          <w:color w:val="000000" w:themeColor="text1"/>
          <w:sz w:val="24"/>
          <w:szCs w:val="24"/>
          <w:lang w:val="en-US"/>
        </w:rPr>
        <w:t xml:space="preserve">loss of the </w:t>
      </w:r>
      <w:r w:rsidR="009B47AF" w:rsidRPr="00CC34A3">
        <w:rPr>
          <w:rFonts w:ascii="Book Antiqua" w:hAnsi="Book Antiqua" w:cs="Times New Roman"/>
          <w:color w:val="000000" w:themeColor="text1"/>
          <w:sz w:val="24"/>
          <w:szCs w:val="24"/>
          <w:lang w:val="en-US"/>
        </w:rPr>
        <w:t xml:space="preserve">collateral </w:t>
      </w:r>
      <w:r w:rsidRPr="00CC34A3">
        <w:rPr>
          <w:rFonts w:ascii="Book Antiqua" w:hAnsi="Book Antiqua" w:cs="Times New Roman"/>
          <w:color w:val="000000" w:themeColor="text1"/>
          <w:sz w:val="24"/>
          <w:szCs w:val="24"/>
          <w:lang w:val="en-US"/>
        </w:rPr>
        <w:t>vessels and branching. Together, L-NAME+L-arginine antagonized each other</w:t>
      </w:r>
      <w:r w:rsidR="009B47AF" w:rsidRPr="00CC34A3">
        <w:rPr>
          <w:rFonts w:ascii="Book Antiqua" w:hAnsi="Book Antiqua" w:cs="Times New Roman"/>
          <w:color w:val="000000" w:themeColor="text1"/>
          <w:sz w:val="24"/>
          <w:szCs w:val="24"/>
          <w:lang w:val="en-US"/>
        </w:rPr>
        <w:t>’s</w:t>
      </w:r>
      <w:r w:rsidRPr="00CC34A3">
        <w:rPr>
          <w:rFonts w:ascii="Book Antiqua" w:hAnsi="Book Antiqua" w:cs="Times New Roman"/>
          <w:color w:val="000000" w:themeColor="text1"/>
          <w:sz w:val="24"/>
          <w:szCs w:val="24"/>
          <w:lang w:val="en-US"/>
        </w:rPr>
        <w:t xml:space="preserve"> response at any </w:t>
      </w:r>
      <w:r w:rsidR="009B47AF" w:rsidRPr="00CC34A3">
        <w:rPr>
          <w:rFonts w:ascii="Book Antiqua" w:hAnsi="Book Antiqua" w:cs="Times New Roman"/>
          <w:color w:val="000000" w:themeColor="text1"/>
          <w:sz w:val="24"/>
          <w:szCs w:val="24"/>
          <w:lang w:val="en-US"/>
        </w:rPr>
        <w:t xml:space="preserve">treatment </w:t>
      </w:r>
      <w:r w:rsidRPr="00CC34A3">
        <w:rPr>
          <w:rFonts w:ascii="Book Antiqua" w:hAnsi="Book Antiqua" w:cs="Times New Roman"/>
          <w:color w:val="000000" w:themeColor="text1"/>
          <w:sz w:val="24"/>
          <w:szCs w:val="24"/>
          <w:lang w:val="en-US"/>
        </w:rPr>
        <w:t>point, and thus, NO-related effect</w:t>
      </w:r>
      <w:r w:rsidR="009B47AF" w:rsidRPr="00CC34A3">
        <w:rPr>
          <w:rFonts w:ascii="Book Antiqua" w:hAnsi="Book Antiqua" w:cs="Times New Roman"/>
          <w:color w:val="000000" w:themeColor="text1"/>
          <w:sz w:val="24"/>
          <w:szCs w:val="24"/>
          <w:lang w:val="en-US"/>
        </w:rPr>
        <w:t>s were seen</w:t>
      </w:r>
      <w:r w:rsidRPr="00CC34A3">
        <w:rPr>
          <w:rFonts w:ascii="Book Antiqua" w:hAnsi="Book Antiqua" w:cs="Times New Roman"/>
          <w:color w:val="000000" w:themeColor="text1"/>
          <w:sz w:val="24"/>
          <w:szCs w:val="24"/>
          <w:lang w:val="en-US"/>
        </w:rPr>
        <w:t xml:space="preserve">. </w:t>
      </w:r>
      <w:r w:rsidR="009B47AF" w:rsidRPr="00CC34A3">
        <w:rPr>
          <w:rFonts w:ascii="Book Antiqua" w:hAnsi="Book Antiqua" w:cs="Times New Roman"/>
          <w:color w:val="000000" w:themeColor="text1"/>
          <w:sz w:val="24"/>
          <w:szCs w:val="24"/>
          <w:lang w:val="en-US"/>
        </w:rPr>
        <w:t xml:space="preserve">When treated with </w:t>
      </w:r>
      <w:r w:rsidRPr="00CC34A3">
        <w:rPr>
          <w:rFonts w:ascii="Book Antiqua" w:hAnsi="Book Antiqua" w:cs="Times New Roman"/>
          <w:color w:val="000000" w:themeColor="text1"/>
          <w:sz w:val="24"/>
          <w:szCs w:val="24"/>
          <w:lang w:val="en-US"/>
        </w:rPr>
        <w:t>BPC 157</w:t>
      </w:r>
      <w:r w:rsidR="009B47AF" w:rsidRPr="00CC34A3">
        <w:rPr>
          <w:rFonts w:ascii="Book Antiqua" w:hAnsi="Book Antiqua" w:cs="Times New Roman"/>
          <w:color w:val="000000" w:themeColor="text1"/>
          <w:sz w:val="24"/>
          <w:szCs w:val="24"/>
          <w:lang w:val="en-US"/>
        </w:rPr>
        <w:t>,</w:t>
      </w:r>
      <w:r w:rsidRPr="00CC34A3">
        <w:rPr>
          <w:rFonts w:ascii="Book Antiqua" w:hAnsi="Book Antiqua" w:cs="Times New Roman"/>
          <w:color w:val="000000" w:themeColor="text1"/>
          <w:sz w:val="24"/>
          <w:szCs w:val="24"/>
          <w:lang w:val="en-US"/>
        </w:rPr>
        <w:t xml:space="preserve"> all SAPDV-ligated rats receiving L-NAME and/or L-arginine </w:t>
      </w:r>
      <w:r w:rsidR="009B47AF" w:rsidRPr="00CC34A3">
        <w:rPr>
          <w:rFonts w:ascii="Book Antiqua" w:hAnsi="Book Antiqua" w:cs="Times New Roman"/>
          <w:color w:val="000000" w:themeColor="text1"/>
          <w:sz w:val="24"/>
          <w:szCs w:val="24"/>
          <w:lang w:val="en-US"/>
        </w:rPr>
        <w:t>responded similar</w:t>
      </w:r>
      <w:r w:rsidR="003C72AE" w:rsidRPr="00CC34A3">
        <w:rPr>
          <w:rFonts w:ascii="Book Antiqua" w:hAnsi="Book Antiqua" w:cs="Times New Roman"/>
          <w:color w:val="000000" w:themeColor="text1"/>
          <w:sz w:val="24"/>
          <w:szCs w:val="24"/>
          <w:lang w:val="en-US"/>
        </w:rPr>
        <w:t>ly</w:t>
      </w:r>
      <w:r w:rsidR="009B47AF" w:rsidRPr="00CC34A3">
        <w:rPr>
          <w:rFonts w:ascii="Book Antiqua" w:hAnsi="Book Antiqua" w:cs="Times New Roman"/>
          <w:color w:val="000000" w:themeColor="text1"/>
          <w:sz w:val="24"/>
          <w:szCs w:val="24"/>
          <w:lang w:val="en-US"/>
        </w:rPr>
        <w:t xml:space="preserve"> to </w:t>
      </w:r>
      <w:r w:rsidR="003C72AE" w:rsidRPr="00CC34A3">
        <w:rPr>
          <w:rFonts w:ascii="Book Antiqua" w:hAnsi="Book Antiqua" w:cs="Times New Roman"/>
          <w:color w:val="000000" w:themeColor="text1"/>
          <w:sz w:val="24"/>
          <w:szCs w:val="24"/>
          <w:lang w:val="en-US"/>
        </w:rPr>
        <w:t xml:space="preserve">the </w:t>
      </w:r>
      <w:r w:rsidRPr="00CC34A3">
        <w:rPr>
          <w:rFonts w:ascii="Book Antiqua" w:hAnsi="Book Antiqua" w:cs="Times New Roman"/>
          <w:color w:val="000000" w:themeColor="text1"/>
          <w:sz w:val="24"/>
          <w:szCs w:val="24"/>
          <w:lang w:val="en-US"/>
        </w:rPr>
        <w:t>rats treated with BPC 157 alone</w:t>
      </w:r>
      <w:r w:rsidR="006A3087" w:rsidRPr="00CC34A3">
        <w:rPr>
          <w:rFonts w:ascii="Book Antiqua" w:hAnsi="Book Antiqua" w:cs="Times New Roman"/>
          <w:color w:val="000000" w:themeColor="text1"/>
          <w:sz w:val="24"/>
          <w:szCs w:val="24"/>
          <w:lang w:val="en-US"/>
        </w:rPr>
        <w:t xml:space="preserve"> (Figures</w:t>
      </w:r>
      <w:r w:rsidR="00A33B2B" w:rsidRPr="00CC34A3">
        <w:rPr>
          <w:rFonts w:ascii="Book Antiqua" w:hAnsi="Book Antiqua" w:cs="Times New Roman"/>
          <w:color w:val="000000" w:themeColor="text1"/>
          <w:sz w:val="24"/>
          <w:szCs w:val="24"/>
          <w:lang w:val="en-US"/>
        </w:rPr>
        <w:t xml:space="preserve"> </w:t>
      </w:r>
      <w:r w:rsidR="00733A15" w:rsidRPr="00CC34A3">
        <w:rPr>
          <w:rFonts w:ascii="Book Antiqua" w:hAnsi="Book Antiqua" w:cs="Times New Roman"/>
          <w:color w:val="000000" w:themeColor="text1"/>
          <w:sz w:val="24"/>
          <w:szCs w:val="24"/>
          <w:lang w:val="en-US"/>
        </w:rPr>
        <w:t>2</w:t>
      </w:r>
      <w:r w:rsidR="00A33B2B" w:rsidRPr="00CC34A3">
        <w:rPr>
          <w:rFonts w:ascii="Book Antiqua" w:hAnsi="Book Antiqua" w:cs="Times New Roman"/>
          <w:color w:val="000000" w:themeColor="text1"/>
          <w:sz w:val="24"/>
          <w:szCs w:val="24"/>
          <w:lang w:val="en-US"/>
        </w:rPr>
        <w:t xml:space="preserve">, </w:t>
      </w:r>
      <w:r w:rsidR="004847C9" w:rsidRPr="00CC34A3">
        <w:rPr>
          <w:rFonts w:ascii="Book Antiqua" w:hAnsi="Book Antiqua" w:cs="Times New Roman"/>
          <w:color w:val="000000" w:themeColor="text1"/>
          <w:sz w:val="24"/>
          <w:szCs w:val="24"/>
          <w:lang w:val="en-US"/>
        </w:rPr>
        <w:t>5</w:t>
      </w:r>
      <w:r w:rsidR="00733A15" w:rsidRPr="00CC34A3">
        <w:rPr>
          <w:rFonts w:ascii="Book Antiqua" w:hAnsi="Book Antiqua" w:cs="Times New Roman"/>
          <w:color w:val="000000" w:themeColor="text1"/>
          <w:sz w:val="24"/>
          <w:szCs w:val="24"/>
          <w:lang w:val="en-US"/>
        </w:rPr>
        <w:t xml:space="preserve">, </w:t>
      </w:r>
      <w:r w:rsidR="004847C9" w:rsidRPr="00CC34A3">
        <w:rPr>
          <w:rFonts w:ascii="Book Antiqua" w:hAnsi="Book Antiqua" w:cs="Times New Roman"/>
          <w:color w:val="000000" w:themeColor="text1"/>
          <w:sz w:val="24"/>
          <w:szCs w:val="24"/>
          <w:lang w:val="en-US"/>
        </w:rPr>
        <w:t>6</w:t>
      </w:r>
      <w:r w:rsidR="00A33B2B" w:rsidRPr="00CC34A3">
        <w:rPr>
          <w:rFonts w:ascii="Book Antiqua" w:hAnsi="Book Antiqua" w:cs="Times New Roman"/>
          <w:color w:val="000000" w:themeColor="text1"/>
          <w:sz w:val="24"/>
          <w:szCs w:val="24"/>
          <w:lang w:val="en-US"/>
        </w:rPr>
        <w:t>)</w:t>
      </w:r>
      <w:r w:rsidR="006A3087" w:rsidRPr="00CC34A3">
        <w:rPr>
          <w:rFonts w:ascii="Book Antiqua" w:hAnsi="Book Antiqua" w:cs="Times New Roman"/>
          <w:color w:val="000000" w:themeColor="text1"/>
          <w:sz w:val="24"/>
          <w:szCs w:val="24"/>
          <w:lang w:val="en-US"/>
        </w:rPr>
        <w:t>.</w:t>
      </w:r>
    </w:p>
    <w:p w14:paraId="088B2738" w14:textId="0E3E57D6" w:rsidR="00C14C1D" w:rsidRPr="00CC34A3" w:rsidRDefault="006A3087" w:rsidP="00CC34A3">
      <w:pPr>
        <w:widowControl w:val="0"/>
        <w:autoSpaceDE w:val="0"/>
        <w:autoSpaceDN w:val="0"/>
        <w:adjustRightInd w:val="0"/>
        <w:snapToGrid w:val="0"/>
        <w:spacing w:after="0" w:line="360" w:lineRule="auto"/>
        <w:jc w:val="both"/>
        <w:rPr>
          <w:rFonts w:ascii="Book Antiqua" w:hAnsi="Book Antiqua" w:cs="Times New Roman"/>
          <w:color w:val="000000" w:themeColor="text1"/>
          <w:sz w:val="24"/>
          <w:szCs w:val="24"/>
          <w:lang w:val="en-US"/>
        </w:rPr>
      </w:pPr>
      <w:r w:rsidRPr="00CC34A3">
        <w:rPr>
          <w:rFonts w:ascii="Book Antiqua" w:hAnsi="Book Antiqua" w:cs="Times New Roman"/>
          <w:color w:val="000000" w:themeColor="text1"/>
          <w:sz w:val="24"/>
          <w:szCs w:val="24"/>
          <w:lang w:val="en-US"/>
        </w:rPr>
        <w:t xml:space="preserve">  </w:t>
      </w:r>
      <w:r w:rsidR="00A33B2B" w:rsidRPr="00CC34A3">
        <w:rPr>
          <w:rFonts w:ascii="Book Antiqua" w:hAnsi="Book Antiqua" w:cs="Times New Roman"/>
          <w:color w:val="000000" w:themeColor="text1"/>
          <w:sz w:val="24"/>
          <w:szCs w:val="24"/>
          <w:lang w:val="en-US"/>
        </w:rPr>
        <w:t>Thus, it seems that</w:t>
      </w:r>
      <w:r w:rsidR="009B47AF" w:rsidRPr="00CC34A3">
        <w:rPr>
          <w:rFonts w:ascii="Book Antiqua" w:hAnsi="Book Antiqua" w:cs="Times New Roman"/>
          <w:color w:val="000000" w:themeColor="text1"/>
          <w:sz w:val="24"/>
          <w:szCs w:val="24"/>
          <w:lang w:val="en-US"/>
        </w:rPr>
        <w:t xml:space="preserve"> </w:t>
      </w:r>
      <w:r w:rsidR="00C14C1D" w:rsidRPr="00CC34A3">
        <w:rPr>
          <w:rFonts w:ascii="Book Antiqua" w:hAnsi="Book Antiqua" w:cs="Times New Roman"/>
          <w:color w:val="000000" w:themeColor="text1"/>
          <w:sz w:val="24"/>
          <w:szCs w:val="24"/>
          <w:lang w:val="en-US"/>
        </w:rPr>
        <w:t xml:space="preserve">BPC 157 rescues SAPDV failure and duodenum lesions, </w:t>
      </w:r>
      <w:r w:rsidR="009B47AF" w:rsidRPr="00CC34A3">
        <w:rPr>
          <w:rFonts w:ascii="Book Antiqua" w:hAnsi="Book Antiqua" w:cs="Times New Roman"/>
          <w:color w:val="000000" w:themeColor="text1"/>
          <w:sz w:val="24"/>
          <w:szCs w:val="24"/>
          <w:lang w:val="en-US"/>
        </w:rPr>
        <w:t xml:space="preserve">and its effect is related to the </w:t>
      </w:r>
      <w:r w:rsidR="00C14C1D" w:rsidRPr="00CC34A3">
        <w:rPr>
          <w:rFonts w:ascii="Book Antiqua" w:hAnsi="Book Antiqua" w:cs="Times New Roman"/>
          <w:color w:val="000000" w:themeColor="text1"/>
          <w:sz w:val="24"/>
          <w:szCs w:val="24"/>
          <w:lang w:val="en-US"/>
        </w:rPr>
        <w:t>NO</w:t>
      </w:r>
      <w:r w:rsidR="000A5B0D" w:rsidRPr="00CC34A3">
        <w:rPr>
          <w:rFonts w:ascii="Book Antiqua" w:hAnsi="Book Antiqua" w:cs="Times New Roman"/>
          <w:color w:val="000000" w:themeColor="text1"/>
          <w:sz w:val="24"/>
          <w:szCs w:val="24"/>
          <w:lang w:val="en-US"/>
        </w:rPr>
        <w:t xml:space="preserve"> </w:t>
      </w:r>
      <w:r w:rsidRPr="00CC34A3">
        <w:rPr>
          <w:rFonts w:ascii="Book Antiqua" w:hAnsi="Book Antiqua" w:cs="Times New Roman"/>
          <w:color w:val="000000" w:themeColor="text1"/>
          <w:sz w:val="24"/>
          <w:szCs w:val="24"/>
          <w:lang w:val="en-US"/>
        </w:rPr>
        <w:t>system.</w:t>
      </w:r>
    </w:p>
    <w:p w14:paraId="5D6C4AE9" w14:textId="77777777" w:rsidR="00C14C1D" w:rsidRPr="00CC34A3" w:rsidRDefault="00C14C1D" w:rsidP="00CC34A3">
      <w:pPr>
        <w:pStyle w:val="Title1"/>
        <w:adjustRightInd w:val="0"/>
        <w:snapToGrid w:val="0"/>
        <w:spacing w:before="0" w:beforeAutospacing="0" w:after="0" w:afterAutospacing="0" w:line="360" w:lineRule="auto"/>
        <w:jc w:val="both"/>
        <w:rPr>
          <w:rFonts w:ascii="Book Antiqua" w:hAnsi="Book Antiqua"/>
          <w:color w:val="000000" w:themeColor="text1"/>
          <w:lang w:val="en-US"/>
        </w:rPr>
      </w:pPr>
    </w:p>
    <w:p w14:paraId="1E82B5FF" w14:textId="05CF32C1" w:rsidR="00EB7476" w:rsidRPr="00CC34A3" w:rsidRDefault="00006479" w:rsidP="00CC34A3">
      <w:pPr>
        <w:pStyle w:val="details"/>
        <w:adjustRightInd w:val="0"/>
        <w:snapToGrid w:val="0"/>
        <w:spacing w:before="0" w:beforeAutospacing="0" w:after="0" w:afterAutospacing="0" w:line="360" w:lineRule="auto"/>
        <w:jc w:val="both"/>
        <w:outlineLvl w:val="0"/>
        <w:rPr>
          <w:rFonts w:ascii="Book Antiqua" w:hAnsi="Book Antiqua"/>
          <w:b/>
          <w:color w:val="000000" w:themeColor="text1"/>
          <w:lang w:val="en-US"/>
        </w:rPr>
      </w:pPr>
      <w:r w:rsidRPr="00CC34A3">
        <w:rPr>
          <w:rFonts w:ascii="Book Antiqua" w:hAnsi="Book Antiqua"/>
          <w:b/>
          <w:color w:val="000000" w:themeColor="text1"/>
          <w:lang w:val="en-US"/>
        </w:rPr>
        <w:t xml:space="preserve">DISCUSSION </w:t>
      </w:r>
    </w:p>
    <w:p w14:paraId="2D833482" w14:textId="743AA69B" w:rsidR="009D63FD" w:rsidRPr="00CC34A3" w:rsidRDefault="009D63FD" w:rsidP="00CC34A3">
      <w:pPr>
        <w:adjustRightInd w:val="0"/>
        <w:snapToGrid w:val="0"/>
        <w:spacing w:after="0" w:line="360" w:lineRule="auto"/>
        <w:jc w:val="both"/>
        <w:rPr>
          <w:rFonts w:ascii="Book Antiqua" w:hAnsi="Book Antiqua" w:cs="Courier New"/>
          <w:color w:val="000000" w:themeColor="text1"/>
          <w:sz w:val="24"/>
          <w:szCs w:val="24"/>
          <w:lang w:val="en-US"/>
        </w:rPr>
      </w:pPr>
      <w:r w:rsidRPr="00CC34A3">
        <w:rPr>
          <w:rFonts w:ascii="Book Antiqua" w:hAnsi="Book Antiqua" w:cs="Courier New"/>
          <w:color w:val="000000" w:themeColor="text1"/>
          <w:sz w:val="24"/>
          <w:szCs w:val="24"/>
          <w:lang w:val="en-US"/>
        </w:rPr>
        <w:t xml:space="preserve">We attempted to alleviate major venous obstruction and duodenal lesions in rats with stable gastric </w:t>
      </w:r>
      <w:proofErr w:type="spellStart"/>
      <w:r w:rsidRPr="00CC34A3">
        <w:rPr>
          <w:rFonts w:ascii="Book Antiqua" w:hAnsi="Book Antiqua" w:cs="Courier New"/>
          <w:color w:val="000000" w:themeColor="text1"/>
          <w:sz w:val="24"/>
          <w:szCs w:val="24"/>
          <w:lang w:val="en-US"/>
        </w:rPr>
        <w:t>pentadecapeptide</w:t>
      </w:r>
      <w:proofErr w:type="spellEnd"/>
      <w:r w:rsidRPr="00CC34A3">
        <w:rPr>
          <w:rFonts w:ascii="Book Antiqua" w:hAnsi="Book Antiqua" w:cs="Courier New"/>
          <w:color w:val="000000" w:themeColor="text1"/>
          <w:sz w:val="24"/>
          <w:szCs w:val="24"/>
          <w:lang w:val="en-US"/>
        </w:rPr>
        <w:t xml:space="preserve"> BPC 157 treatment and to investigate its relation to the NO system</w:t>
      </w:r>
      <w:r w:rsidRPr="00CC34A3">
        <w:rPr>
          <w:rFonts w:ascii="Book Antiqua" w:eastAsia="Calibri" w:hAnsi="Book Antiqua" w:cs="Courier New"/>
          <w:color w:val="000000" w:themeColor="text1"/>
          <w:sz w:val="24"/>
          <w:szCs w:val="24"/>
          <w:lang w:val="en-US"/>
        </w:rPr>
        <w:fldChar w:fldCharType="begin" w:fldLock="1"/>
      </w:r>
      <w:r w:rsidRPr="00CC34A3">
        <w:rPr>
          <w:rFonts w:ascii="Book Antiqua" w:eastAsia="Calibri" w:hAnsi="Book Antiqua" w:cs="Courier New"/>
          <w:color w:val="000000" w:themeColor="text1"/>
          <w:sz w:val="24"/>
          <w:szCs w:val="24"/>
          <w:lang w:val="en-US"/>
        </w:rPr>
        <w:instrText>ADDIN CSL_CITATION { "citationItems" : [ { "id" : "ITEM-1", "itemData" : { "DOI" : "10.2174/1381612823666170220163219", "ISSN" : "13816128", "PMID" : "28228068", "abstract" : "Selye's syndrome produced by diverse nocuous agents and ``response to damage as such{''} means Selye's stress triad in stress coping response to reestablish homeostasis. Logically, from the gastrointestinal tract viewpoint, such organoprotective/healing response implies the angiogenic growth factors that commonly signify the healing. Thereby, the gastric pentadecapeptide BPC 157-organoprotection (huge range of beneficial effects) signifies the Selye's stress concept/stress coping response implemented in and from gastrointestinal tract, and BPC 157 as an integrative mediator that integrates the adaptive bodily response to stress. In clinical trials without side effects, LD1 not achieved, BPC 157 healing in gastrointestinal tract, and particularly the healing of the extra-gastrointestinal tissues (i.e., skin/tendon/ligament/muscle/bone; nerve; cornea/brain) were referred throughout its integrative capabilities (i.e., ulcerative colitis/multiple sclerosis model equally counteracted), native in gastrointestinal tract, stability in human gastric juice (and thereby, strong efficacy and applicability), its relevance for dopamine-system function (and thereby, counteracting effects of dopamine-system dysfunction and over-function, centrally and peripherally (mucosa maintenance); interaction with serotonin- and GABA-system)), afforded cytoprotection/adaptive cytoprotection/organoprotection (and thereby, beneficial effects on gastric and whole intestinal tract lesions and adaptation, wounds and fistulas healing, blood vessels, somatosensory neurons, NSAIDs-side effects (including also pancreas, liver, brain lesions, and blood disturbances, prolonged bleeding, thrombocytopenia, thrombosis)). Further, we combine such gut-brain axis and the NO-system where BPC 157 counteracts complications of either L-NAME application (i.e., various lesions aggravation, hypertension) or L-arginine application (i.e., hypotension, prolonged bleeding, thrombocytopenia). Also, BPC 157 particularly affects genes functions (i.e., Fos, c-Jun, Egr-1), all together suggestive for an indicative generalization. Thus, we could suggest gastric pentadecapeptide BPC 157 and BPC 157 induced-organoprotection as integrative mediator that integrates the adaptive bodily response to stress, and thereby practically applied in further therapy and in effective realization of Selye's stress response.",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"Drmic", "given" : "Domagoj", "non-dropping-particle" : "", "parse-names" : false, "suffix" : "" }, { "dropping-particle" : "", "family" : "Stupnisek", "given" : "Mirjana", "non-dropping-particle" : "", "parse-names" : false, "suffix" : "" }, { "dropping-particle" : "", "family" : "Kokot", "given" : "Antonio", "non-dropping-particle" : "", "parse-names" : false, "suffix" : "" }, { "dropping-particle" : "", "family" : "Sever", "given" : "Marko", "non-dropping-particle" : "", "parse-names" : false, "suffix" : "" }, { "dropping-particle" : "", "family" : "Zoricic", "given" : "Ivan", "non-dropping-particle" : "", "parse-names" : false, "suffix" : "" }, { "dropping-particle" : "", "family" : "Zoricic", "given" : "Zoran", "non-dropping-particle" : "", "parse-names" : false, "suffix" : "" }, { "dropping-particle" : "", "family" : "Batelja", "given" : "Lovorka", "non-dropping-particle" : "", "parse-names" : false, "suffix" : "" }, { "dropping-particle" : "", "family" : "Ziger", "given" : "Tihomil", "non-dropping-particle" : "", "parse-names" : false, "suffix" : "" }, { "dropping-particle" : "", "family" : "Luetic", "given" : "Kresimir", "non-dropping-particle" : "", "parse-names" : false, "suffix" : "" }, { "dropping-particle" : "", "family" : "Vlainic", "given" : "Josipa", "non-dropping-particle" : "", "parse-names" : false, "suffix" : "" }, { "dropping-particle" : "", "family" : "Rasic", "given" : "Zarko", "non-dropping-particle" : "", "parse-names" : false, "suffix" : "" }, { "dropping-particle" : "", "family" : "Bencic", "given" : "Martina Lovric", "non-dropping-particle" : "", "parse-names" : false, "suffix" : "" } ], "container-title" : "Current Pharmaceutical Design", "id" : "ITEM-1", "issue" : "27", "issued" : { "date-parts" : [ [ "2017" ] ] }, "page" : "4012-4028", "title" : "Stress in Gastrointestinal Tract and Stable Gastric Pentadecapeptide BPC 157. Finally, do we have a Solution?", "type" : "article-journal", "volume" : "23" }, "uris" : [ "http://www.mendeley.com/documents/?uuid=15899097-6542-32aa-acf2-ef932af08516" ] }, { "id" : "ITEM-2", "itemData" : { "ISSN" : "1875-6190", "PMID" : "27138887", "abstract" : "BACKGROUND Brain-gut interaction involves, among others, peptidergic growth factors which are native in GI tract and have strong antiulcer potency and thus could from periphery beneficially affect CNS-disorders. We focused on the stable gastric pentadecapeptide BPC 157, an antiulcer peptidergic agent, safe in inflammatory bowel disease trials and now in multiple sclerosis trial, native and stable in human gastric juice. METHODS Review of our research on BPC 157 in terms of brain-gut axis. RESULTS BPC 157 may serve as a novel mediator of Robert's cytoprotection, involved in maintaining of GI mucosa integrity, with no toxic effect. BPC 157 was successful in the therapy of GI tract, periodontitis, liver and pancreas lesions, and in the healing of various tissues and wounds. Stimulated Egr-1 gene, NAB2, FAK-paxillin and JAK-2 pathways are hitherto implicated. Initially corresponding beneficial central influence was seen when BPC 157 was given peripherally and a serotonin release in particular brain areas, mostly nigrostriatal, was changed. BPC 157 modulates serotonergic and dopaminergic systems, beneficially affects various behavioral disturbances that otherwise appeared due to specifically (over)stimulated/damaged neurotransmitters systems. Besides, BPC 157 has neuroprotective effects: protects somatosensory neurons; peripheral nerve regeneration appearent after transection; after traumatic brain injury counteracts the otherwise progressing course, in rat spinal cord compression with tail paralysis, axonal and neuronal necrosis, demyelination, cyst formation and rescues tail function in both short-terms and long-terms; after NSAIDs or insulin overdose or cuprizone encephalopathies were attenuated along with GI, liver and vascular injuries. CONCLUSION BPC 157, a gastric peptide, may serve as remedy in various CNS-disorders.",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"Kolenc", "given" : "Danijela", "non-dropping-particle" : "", "parse-names" : false, "suffix" : "" }, { "dropping-particle" : "", "family" : "Vuletic", "given" : "Lovorka Batelja", "non-dropping-particle" : "", "parse-names" : false, "suffix" : "" }, { "dropping-particle" : "", "family" : "Drmic", "given" : "Domagoj", "non-dropping-particle" : "", "parse-names" : false, "suffix" : "" }, { "dropping-particle" : "", "family" : "Grgic", "given" : "Tihomir", "non-dropping-particle" : "", "parse-names" : false, "suffix" : "" }, { "dropping-particle" : "", "family" : "Strbe", "given" : "Sanja", "non-dropping-particle" : "", "parse-names" : false, "suffix" : "" }, { "dropping-particle" : "", "family" : "Zukanovic", "given" : "Goran", "non-dropping-particle" : "", "parse-names" : false, "suffix" : "" }, { "dropping-particle" : "", "family" : "Crvenkovic", "given" : "Dalibor", "non-dropping-particle" : "", "parse-names" : false, "suffix" : "" }, { "dropping-particle" : "", "family" : "Madzarac", "given" : "Goran", "non-dropping-particle" : "", "parse-names" : false, "suffix" : "" }, { "dropping-particle" : "", "family" : "Rukavina", "given" : "Iva", "non-dropping-particle" : "", "parse-names" : false, "suffix" : "" }, { "dropping-particle" : "", "family" : "Sucic", "given" : "Mario", "non-dropping-particle" : "", "parse-names" : false, "suffix" : "" }, { "dropping-particle" : "", "family" : "Baric", "given" : "Marko", "non-dropping-particle" : "", "parse-names" : false, "suffix" : "" }, { "dropping-particle" : "", "family" : "Starcevic", "given" : "Neven", "non-dropping-particle" : "", "parse-names" : false, "suffix" : "" }, { "dropping-particle" : "", "family" : "Krstonijevic", "given" : "Zoran", "non-dropping-particle" : "", "parse-names" : false, "suffix" : "" }, { "dropping-particle" : "", "family" : "Bencic", "given" : "Martina Lovric", "non-dropping-particle" : "", "parse-names" : false, "suffix" : "" }, { "dropping-particle" : "", "family" : "Filipcic", "given" : "Igor", "non-dropping-particle" : "", "parse-names" : false, "suffix" : "" }, { "dropping-particle" : "", "family" : "Rokotov", "given" : "Dinko Stancic", "non-dropping-particle" : "", "parse-names" : false, "suffix" : "" }, { "dropping-particle" : "", "family" : "Vlainic", "given" : "Josipa", "non-dropping-particle" : "", "parse-names" : false, "suffix" : "" } ], "container-title" : "Current neuropharmacology", "id" : "ITEM-2", "issue" : "8", "issued" : { "date-parts" : [ [ "2016" ] ] }, "page" : "857-865", "title" : "Brain-gut Axis and Pentadecapeptide BPC 157: Theoretical and Practical Implications.", "type" : "article-journal", "volume" : "14" }, "uris" : [ "http://www.mendeley.com/documents/?uuid=9b2831b1-d3dd-4080-846d-5f4f7ead3113" ] }, { "id" : "ITEM-3", "itemData" : { "ISSN" : "1873-4286", "PMID" : "23782145", "abstract" : "This review focuses on the described effects of BPC 157 on blood vessels after different types of damage, and elucidate by investigating different aspects of vascular response to injury (endothelium damage, clotting, thrombosis, vasoconstriction, vasodilatation, vasculoneogenesis and edema formation) especially in connection to the healing processes. In this respect, BPC 157 was concluded to be the most potent angiomodulatory agent, acting through different vasoactive pathways and systems (e.g. NO, VEGF, FAK) and leading to optimization of the vascular response followed, as it has to be expected, by optimization of the healing process. Formation of new blood vessels involves two main, partly overlapping mechanisms, angiogenesis and vasculogenesis. The additional mechanism of arteriogenesis is involved in the formation of collaterals. In conjunction with blood vessel function, we at least have to consider leakage of fluid/proteins/plasma, resulting in edema/exudate formation as well as thrombogenesis. Blood vessels are also strongly involved in tumor biology. In this aspect, we have neoangiogenesis resulting in pathological vascularization, vascular invasion resulting in release of metastatic cells and the phenomenon of homing resulting in formation of secondary tumors--metastases.", "author" : [ { "dropping-particle" : "", "family" : "Seiwerth", "given" : "Sven", "non-dropping-particle" : "", "parse-names" : false, "suffix" : "" }, { "dropping-particle" : "", "family" : "Brcic", "given" : "Luka", "non-dropping-particle" : "", "parse-names" : false, "suffix" : "" }, { "dropping-particle" : "", "family" : "Vuletic", "given" : "Lovorka Batelja",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"Misic", "given" : "Marija", "non-dropping-particle" : "", "parse-names" : false, "suffix" : "" }, { "dropping-particle" : "", "family" : "Zenko", "given" : "Anita", "non-dropping-particle" : "", "parse-names" : false, "suffix" : "" }, { "dropping-particle" : "", "family" : "Drmic", "given" : "Domagoj", "non-dropping-particle" : "", "parse-names" : false, "suffix" : "" }, { "dropping-particle" : "", "family" : "Rucman", "given" : "Rudolf", "non-dropping-particle" : "", "parse-names" : false, "suffix" : "" }, { "dropping-particle" : "", "family" : "Sikiric", "given" : "Predrag", "non-dropping-particle" : "", "parse-names" : false, "suffix" : "" } ], "container-title" : "Current pharmaceutical design", "id" : "ITEM-3", "issue" : "7", "issued" : { "date-parts" : [ [ "2014" ] ] }, "page" : "1121-5", "title" : "BPC 157 and blood vessels.", "type" : "article-journal", "volume" : "20" }, "uris" : [ "http://www.mendeley.com/documents/?uuid=5f0ff73a-1c13-4e9f-9921-366eef3ba469" ] }, { "id" : "ITEM-4", "itemData" : { "ISSN" : "1873-4286", "PMID" : "23755725", "abstract" : "We reviewed stable gastric pentadecapeptide BPC 157-NO-system-relation, its close participation in Moncada's (maintained vascular integrity, platelets control) homeostatic healing response of NO-system to injury. Namely, BPC 157's particular healing effect also affects all events after vascular integrity loss (dependent on circumstances, it reduces either thrombosis (abdominal aorta anastomosis) or bleeding/thrombocytopenia (amputation, heparin, warfarin, aspirin)) and in a series of different injurious models, acute and chronic, BPC 157 consistently advances healing after severe injuries in various tissues spontaneously unable to heal; stimulates egr-1 and naB2 genes; exhibits high safety (LD1 not achieved)). Hypothesis, that BPC 157 (since formed constitutively in the gastric mucosa, stable in human gastric juice, along with significance of NO-synthase and the basal formation of NO in stomach mucosa, greater than that seen in other tissues) exhibits a general, effective competing both with L-arginine analogues (i. e., L-NAME) and L-arginine, and that this has some physiologic importance (NO-generation), later, practically supports its beneficial effects illustrating BPC 157 and NOsystem mutual (with L-NAME/L-arginine; alone and together) relations in (i) gastric mucosa and mucosal protection, following alcohol lesions, in cytoprotection course, NO-generation, and blood pressure regulation; (ii) alcohol acute/chronic intoxication, and withdrawal; (iii) cardiovascular disturbances, chronic heart failure, pulmonary hypertension, and arrhythmias; (iv) disturbances after hypokalemia and hyperkalemia, and potassium-cell membrane dysfunction; and finally, in (v) complex healing failure, proved by the fistulas healing, colocutaneous and esophagocutaneous. However, how this advantage of modulating NO-system (i. e., particular effect on eNOS gene), may be practically translated into an enhanced clinical performance remains to be determined.",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"Stupnisek", "given" : "Mirjana", "non-dropping-particle" : "", "parse-names" : false, "suffix" : "" }, { "dropping-particle" : "", "family" : "Suran", "given" : "Jelena", "non-dropping-particle" : "", "parse-names" : false, "suffix" : "" }, { "dropping-particle" : "", "family" : "Barisic", "given" : "Ivan",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"ITEM-4", "issue" : "7", "issued" : { "date-parts" : [ [ "2014" ] ] }, "page" : "1126-35", "title" : "Stable gastric pentadecapeptide BPC 157-NO-system relation.", "type" : "article-journal", "volume" : "20" }, "uris" : [ "http://www.mendeley.com/documents/?uuid=74ead48f-0c75-446a-a19b-49bb02b31992" ] }, { "id" : "ITEM-5", "itemData" : { "ISSN" : "1873-4286", "PMID" : "22950504", "abstract" : "Stable gastric pentadecapeptide BPC 157 is an anti-ulcer peptidergic agent, proven in clinical trials to be both safe in inflammatory bowel disease (PL-10, PLD-116, PL 14736) and wound healing, stable in human gastric juice, with no toxicity being reported. Recently, we claim that BPC 157 may be used as an antidote against NSAIDs. We focused on BPC 157 beneficial effects on stomach, duodenum, intestine, liver and brain injuries, adjuvant arthritis, pain, hyper/hypothermia, obstructive thrombus formation and thrombolysis, blood vessel function, counteraction of prolonged bleeding and thrombocytopenia after application of various anticoagulants and antiplatelet agents and wound healing improvement. The arguments for BPC 157 antidote activity (i.e., the role of BPC 157 in cytoprotection, being a novel mediator of Robert's cytoprotection and BPC 157 beneficial effects on NSAIDs mediated lesions in the gastrointestinal tract, liver and brain and finally, counteraction of aspirin-induced prolonged bleeding and thrombocytopenia) obviously have a counteracting effect on several established side-effects of NSAIDs use. The mentioned variety of the beneficial effects portrayed by BPC 157 may well be a foundation for establishing BPC 157 as a NSAIDs antidote since no other single agent has portrayed a similar array of effects. Unlike NSAIDs, a very high safety (no reported toxicity (LD1 could be not achieved)) profile is reported for BPC 157. Also, unlike the different dosage levels of aspirin, as a NSAIDs prototype, which differ by a factor of about ten, all these beneficial and counteracting effects of BPC 157 were obtained using the equipotent dosage (\u03bcg, ng/kg) in parenteral or peroral regimens.",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"Safic", "given" : "Hana", "non-dropping-particle" : "", "parse-names" : false, "suffix" : "" }, { "dropping-particle" : "", "family" : "Suran", "given" : "Jelena", "non-dropping-particle" : "", "parse-names" : false, "suffix" : "" }, { "dropping-particle" : "", "family" : "Rak", "given" : "Davor",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"ITEM-5", "issue" : "1", "issued" : { "date-parts" : [ [ "2013" ] ] }, "page" : "76-83", "title" : "Toxicity by NSAIDs. Counteraction by stable gastric pentadecapeptide BPC 157.", "type" : "article-journal", "volume" : "19" }, "uris" : [ "http://www.mendeley.com/documents/?uuid=b4d81bb8-a391-4622-abb3-23195e4a65ff" ] }, { "id" : "ITEM-6", "itemData" : { "ISSN" : "1875-533X", "PMID" : "22300085", "abstract" : "Stable gastric pentadecapeptide BPC 157 (GEPPPGKPADDAGLV, M.W. 1419) may be the new drug stable in human gastric juice, effective both in the upper and lower GI tract, and free of side effects. BPC 157, in addition to an antiulcer effect efficient in therapy of inflammatory bowel disease (IBD) (PL 14736) so far only tested in clinical phase II, has a very safe profile, and exhibited a particular wound healing effect. It also has shown to interact with the NO-system, providing endothelium protection and angiogenic effect, even in severely impaired conditions (i.e., it stimulated expression of early growth response 1 gene responsible for cytokine and growth factor generation and early extracellular matrix (collagen) formation (but also its repressor nerve growth factor 1-A binding protein-2)), important to counteract severe complications of advanced and poorly controlled IBD. Hopefully, the lessons from animal studies, particularly advanced intestinal anastomosis healing, reversed short bowel syndrome and fistula healing indicate BPC 157's high significance in further IBD therapy. Also, this supportive evidence (i.e., no toxic effect, limit test negative, LD1 not achieved, no side effect in trials) may counteract the problems commonly exercised in the use of peptidergic agents, particularly those used on a long-term basis.", "author" : [ { "dropping-particle" : "", "family" : "Sikiric", "given" : "P", "non-dropping-particle" : "", "parse-names" : false, "suffix" : "" }, { "dropping-particle" : "", "family" : "Seiwerth", "given" : "S", "non-dropping-particle" : "", "parse-names" : false, "suffix" : "" }, { "dropping-particle" : "", "family" : "Rucman", "given" : "R", "non-dropping-particle" : "", "parse-names" : false, "suffix" : "" }, { "dropping-particle" : "", "family" : "Turkovic", "given" : "B", "non-dropping-particle" : "", "parse-names" : false, "suffix" : "" }, { "dropping-particle" : "", "family" : "Rokotov", "given" : "D S", "non-dropping-particle" : "", "parse-names" : false, "suffix" : "" }, { "dropping-particle" : "", "family" : "Brcic", "given" : "L", "non-dropping-particle" : "", "parse-names" : false, "suffix" : "" }, { "dropping-particle" : "", "family" : "Sever", "given" : "M", "non-dropping-particle" : "", "parse-names" : false, "suffix" : "" }, { "dropping-particle" : "", "family" : "Klicek", "given" : "R", "non-dropping-particle" : "", "parse-names" : false, "suffix" : "" }, { "dropping-particle" : "", "family" : "Radic", "given" : "B", "non-dropping-particle" : "", "parse-names" : false, "suffix" : "" }, { "dropping-particle" : "", "family" : "Drmic", "given" : "D", "non-dropping-particle" : "", "parse-names" : false, "suffix" : "" }, { "dropping-particle" : "", "family" : "Ilic", "given" : "S", "non-dropping-particle" : "", "parse-names" : false, "suffix" : "" }, { "dropping-particle" : "", "family" : "Kolenc", "given" : "D", "non-dropping-particle" : "", "parse-names" : false, "suffix" : "" }, { "dropping-particle" : "", "family" : "Stambolija", "given" : "V", "non-dropping-particle" : "", "parse-names" : false, "suffix" : "" }, { "dropping-particle" : "", "family" : "Zoricic", "given" : "Z", "non-dropping-particle" : "", "parse-names" : false, "suffix" : "" }, { "dropping-particle" : "", "family" : "Vrcic", "given" : "H", "non-dropping-particle" : "", "parse-names" : false, "suffix" : "" }, { "dropping-particle" : "", "family" : "Sebecic", "given" : "B", "non-dropping-particle" : "", "parse-names" : false, "suffix" : "" } ], "container-title" : "Current medicinal chemistry", "id" : "ITEM-6", "issue" : "1", "issued" : { "date-parts" : [ [ "2012" ] ] }, "page" : "126-32", "title" : "Focus on ulcerative colitis: stable gastric pentadecapeptide BPC 157.", "type" : "article-journal", "volume" : "19" }, "uris" : [ "http://www.mendeley.com/documents/?uuid=82217b0f-1a75-4f5f-99de-cbbc916f534e" ] }, { "id" : "ITEM-7", "itemData" : { "DOI" : "10.2174/138161211796196954", "ISBN" : "1873-4286 (Electronic)\\n1381-6128 (Linking)", "ISSN" : "1873-4286", "PMID" : "21548867", "abstract" : "Stable gastric pentadecapeptide BPC 157 is an anti-ulcer peptidergic agent, safe in inflammatory bowel disease clinical trials (GEPPPGKPADDAGLV, M.W. 1419, PL 14736) and wound healing, stable in human gastric juice and has no reported toxicity. We focused on BPC 157 as a therapy in peridontitis, esophagus, stomach, duodenum, intestine, liver and pancreas lesions. Particularly, it has a prominent effect on alcohol-lesions (i.e., acute, chronic) and NSAIDs-lesions (interestingly, BPC 157 both prevents and reverses adjuvant arthritis). In rat esophagitis and failed function of both lower esophageal sphincter (LES) and pyloric sphincters (PS), BPC 157 increased pressure in both sphincters till normal and reduced esophagitis. However, in healthy rats, it may decrease (PS) or increase (LES) the pressure in sphincters. It has strong angiogenic potential, it acts protectively on endothelium, prevents and reverses thrombus formation after abdominal aorta anastomosis, affects many central disturbances (i.e., dopamine and 5-HT system), the NO-system (either L-arginine and L-NAME effects), endothelin, acts as a free radical scavenger (counteracting CCl4-, paracetamol-, diclofenac-injuries) and exhibits neuroprotective properties. BPC 157 successfully heals the intestinal anastomosis, gastrocutaneous, duodenocutaneous and colocutaneous fistulas in rats, as well as interacting with the NO-system. Interestingly, the fistula closure was achieved even when the BPC 157 therapy was postponed for one month. In short-bowel syndrome escalating throughout 4 weeks, the constant weight gain above preoperative values started immediately with peroral and parental BPC 157 therapy and the villus height, crypth depth and muscle thickness (inner (circular) muscular layer) additionally increased. Thus, BPC 157 may improve gastrointestinal tract therapy.",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"ITEM-7", "issue" : "16", "issued" : { "date-parts" : [ [ "2011" ] ] }, "page" : "1612-32", "title" : "Stable gastric pentadecapeptide BPC 157: novel therapy in gastrointestinal tract.", "type" : "article-journal", "volume" : "17" }, "uris" : [ "http://www.mendeley.com/documents/?uuid=0c326320-ddc2-4da8-939a-b8cfc65cd61b" ] }, { "id" : "ITEM-8", "itemData" : { "DOI" : "10.2174/138161210790945977", "ISBN" : "1873-4286 (Electronic)\\r1381-6128 (Linking)", "ISSN" : "13816128", "PMID" : "20166993", "abstract" : "The significance of cytoprotection and adaptive cytoprotection and the peptides importance remained to be not completely determined. BPC 157 is an anti-ulcer peptidergic agent, proven in clinical trials to be both safe in inflammatory bowel disease (PL-10, PLD-116, PL 14736) and wound healing, and stable in human gastric juice, with no toxicity being reported. It has a prominent effect on alcohol- lesions (i.e., induced acutely and chronically) and non-steroidal anti-inflammatory drugs-lesions (while interestingly BPC 157 may both prevent and reverse adjuvant arthritis). To review the importance of BPC 157, this review focused on Robert's cytoprotection concept described in rat stomach, reviewing our evidence that may resolve whether the cytoprotection and adaptive cytoprotection is an uniform phenomenon or not; whether the phenomenon or phenomena are endogenous or not, depending on nature of the irritants (mild or strong); whether this may contribute to stomach mucosa defense either when threaten by various ulcerogens or afforded by various antiulcer agents; whether these phenomena are uniform in whole gastrointestinal tract or not; whether they are interrelated or not. Finally, the importance of the cytoprotection phenomena and cytoprotection activity for skin wound healing, and wound healing in general was challenged. Thereby, this review focused on BPC 157 role in cytoprotection and adaptative cytoprotection suggesting that it may be the essential endogenous mediator able to mediate both cytoprotective and adaptive cytoprotective response in stomach and the whole gastrointestinal tract with significant importance in wound healing as well.", "author" : [ { "dropping-particle" : "", "family" : "Sikiric", "given" : "Predrag", "non-dropping-particle" : "", "parse-names" : false, "suffix" : "" }, { "dropping-particle" : "", "family" : "Seiwerth", "given" : "Sven",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"container-title" : "Current pharmaceutical design", "id" : "ITEM-8", "issue" : "10", "issued" : { "date-parts" : [ [ "2010" ] ] }, "page" : "1224-1234", "title" : "Revised Robert's cytoprotection and adaptive cytoprotection and stable gastric pentadecapeptide BPC 157. Possible significance and implications for novel mediator.", "type" : "article-journal", "volume" : "16" }, "uris" : [ "http://www.mendeley.com/documents/?uuid=e3cf6c8b-0484-4890-9aee-cda6592874b2" ] }, { "id" : "ITEM-9", "itemData" : { "DOI" : "10.1007/s10787-006-1531-7", "ISSN" : "0925-4692", "PMID" : "17186181", "abstract" : "Gastric pentadecapeptide BPC 157 (GEPPPGKPADDAGLV, M.W. 1419, safe in clinical trials for inflammatory bowel disease (PL 10, PLD 116, PLD 14736, Pliva, Croatia)) has a particular cytoprotective/adaptive cytoprotective activity. The cytoprotective/adaptive cytoprotection researches largely neglect that stomach distension could per se jeopardize the mucosal integrity, with constantly stretched mucosa and blood vessels, and sphincters more prone for reflux induction. After absolute alcohol instillation in fully distended rat stomach, gastric, esophageal and duodenal lesions occur. Throughout next 3 min, left gastric artery blood vessels clearly disappear at the serosal site, indicative for loss of vessels both integrity and function. Contrary, constant vessels presentation could predict the beneficial effect of applied agent. After pentadecapeptide BPC 157 instillation into the stomach the vessels presentation remains constant, and lesions of stomach, esophagus, and duodenum are inhibited. Standards (atropine, ranitidine, omeprazole) could only slightly improve the vessels presentation compared to control values, and they have only a partial effect on the lesions. In this review we emphasize BPC 157 unusual stability, and some of its important effects: effectiveness against various lesions in gastrointestinal tract, on nitric oxide (NO)-system, and NO-agents effects, on somatosensory neurons, salivary glands function, recovery of AMP-ADP-ATP system, endothelium protection, effect on endothelin, and on angiogenesis promotion. It also antagonizes other alcohol effects, including acute and chronic intoxication. Given peripherally, it counteracts the consequence of central dopamine system disturbances (receptor blockade), and induces serotonin release in substantia nigra. Therapeutic potential of BPC 157 as a cytoprotective agent is also seen in its capability to heal various wounds. Given directly into the stomach, BPC 157 instantly recovers disturbed lower esophageal and pyloric sphincter pressure in rats after 12-20 months of untreated esophagitis. All these could be suggestive for its role as a natural protectant in gastric juice with particular function throughout stomach distension.", "author" : [ { "dropping-particle" : "", "family" : "Sikiric", "given" : "P.", "non-dropping-particle" : "", "parse-names" : false, "suffix" : "" }, { "dropping-particle" : "", "family" : "Seiwerth", "given" : "S.", "non-dropping-particle" : "", "parse-names" : false, "suffix" : "" }, { "dropping-particle" : "", "family" : "Brcic", "given" : "L.", "non-dropping-particle" : "", "parse-names" : false, "suffix" : "" }, { "dropping-particle" : "", "family" : "Blagaic", "given" : "A B", "non-dropping-particle" : "", "parse-names" : false, "suffix" : "" }, { "dropping-particle" : "", "family" : "Zoricic", "given" : "I.", "non-dropping-particle" : "", "parse-names" : false, "suffix" : "" }, { "dropping-particle" : "", "family" : "Sever", "given" : "M.", "non-dropping-particle" : "", "parse-names" : false, "suffix" : "" }, { "dropping-particle" : "", "family" : "Klicek", "given" : "R.", "non-dropping-particle" : "", "parse-names" : false, "suffix" : "" }, { "dropping-particle" : "", "family" : "Radic", "given" : "B.", "non-dropping-particle" : "", "parse-names" : false, "suffix" : "" }, { "dropping-particle" : "", "family" : "Keller", "given" : "N.", "non-dropping-particle" : "", "parse-names" : false, "suffix" : "" }, { "dropping-particle" : "", "family" : "Sipos", "given" : "K.", "non-dropping-particle" : "", "parse-names" : false, "suffix" : "" }, { "dropping-particle" : "", "family" : "Jakir", "given" : "A.", "non-dropping-particle" : "", "parse-names" : false, "suffix" : "" }, { "dropping-particle" : "", "family" : "Udovicic", "given" : "M.", "non-dropping-particle" : "", "parse-names" : false, "suffix" : "" }, { "dropping-particle" : "", "family" : "Tonkic", "given" : "A.", "non-dropping-particle" : "", "parse-names" : false, "suffix" : "" }, { "dropping-particle" : "", "family" : "Kokic", "given" : "N.", "non-dropping-particle" : "", "parse-names" : false, "suffix" : "" }, { "dropping-particle" : "", "family" : "Turkovic", "given" : "B.", "non-dropping-particle" : "", "parse-names" : false, "suffix" : "" }, { "dropping-particle" : "", "family" : "Mise", "given" : "S.", "non-dropping-particle" : "", "parse-names" : false, "suffix" : "" }, { "dropping-particle" : "", "family" : "Anic", "given" : "T.", "non-dropping-particle" : "", "parse-names" : false, "suffix" : "" } ], "container-title" : "Inflammopharmacology", "id" : "ITEM-9", "issue" : "5-6", "issued" : { "date-parts" : [ [ "2006", "12" ] ] }, "page" : "214-21", "title" : "Stable gastric pentadecapeptide BPC 157 in trials for inflammatory bowel disease (PL-10, PLD-116, PL 14736, Pliva, Croatia). Full and distended stomach, and vascular response.", "type" : "article-journal", "volume" : "14" }, "uris" : [ "http://www.mendeley.com/documents/?uuid=a21321d3-6201-3777-b54c-60d2c5d4ff9a" ] }, { "id" : "ITEM-10", "itemData" : { "DOI" : "10.1016/0928-4257(93)90038-U", "ISSN" : "0928-4257", "PMID" : "8298609", "abstract" : "The possibility that the stomach, affected by general stress, might initiate a counter-response has not until recently been considered in theories of stress. We suggest that the stomach, as the most sensitive part of the gastrointestinal tract and the largest neuroendocrine organ in the body, is crucial for the initiation of a full stress response against all noxious stress pathology. The end result would be a strong protection of all organs invaded by 'stress'. Consistent with this assumption, this coping response is best explained in terms of 'organoprotection'. Endogenous organoprotectors (eg prostaglandins, somatostatin, dopamine) are proposed as mediators. Such an endogenous counteraction could even be afforded by their suitable application. A new gastric juice peptide, M(r) 40,000, named BPC, was recently isolated. Herein, a 15 amino acid fragment (BPC 157), thought to be essential for its activity, has been fully characterized and investigated. As has been demonstrated for many organoprotective agents using different models of various tissue lesions, despite the poorly understood final mechanism, practically all organ systems appear to benefit from BPC activity. These effects have been achieved in many species using very low dosages (mostly microgram and ng/kg range) after ip, ig, and intramucosal (local) application. The effect was apparent already after one application. Long lasting activity was also demonstrated. BPC was highly effective when applied simultaneously with noxious agents or in already pathological, as well as chronical, conditions. Therefore, it seems that BPC treatment does not share any of the so far known limitations for 'conventional organoprotectors'. No influence on different basal parameters and no toxicity were observed. These findings provide a breakthrough in stress theory. BPC, as a possible endogenous free radical scavenger and organoprotection mediator, could be a useful prototype of a new class of drugs, organoprotective agents.", "author" : [ { "dropping-particle" : "", "family" : "Sikiri\u0107", "given" : "P.", "non-dropping-particle" : "", "parse-names" : false, "suffix" : "" }, { "dropping-particle" : "", "family" : "Petek", "given" : "M.", "non-dropping-particle" : "", "parse-names" : false, "suffix" : "" }, { "dropping-particle" : "", "family" : "Rucman", "given" : "R", "non-dropping-particle" : "", "parse-names" : false, "suffix" : "" }, { "dropping-particle" : "", "family" : "Seiwerth", "given" : "S.", "non-dropping-particle" : "", "parse-names" : false, "suffix" : "" }, { "dropping-particle" : "", "family" : "Grabarevi\u0107", "given" : "Z.", "non-dropping-particle" : "", "parse-names" : false, "suffix" : "" }, { "dropping-particle" : "", "family" : "Rotkvi\u0107", "given" : "I.", "non-dropping-particle" : "", "parse-names" : false, "suffix" : "" }, { "dropping-particle" : "", "family" : "Turkovi\u0107", "given" : "B.", "non-dropping-particle" : "", "parse-names" : false, "suffix" : "" }, { "dropping-particle" : "", "family" : "Jagi\u0107", "given" : "V.", "non-dropping-particle" : "", "parse-names" : false, "suffix" : "" }, { "dropping-particle" : "", "family" : "Mildner", "given" : "B.", "non-dropping-particle" : "", "parse-names" : false, "suffix" : "" }, { "dropping-particle" : "", "family" : "Duvnjak", "given" : "M.", "non-dropping-particle" : "", "parse-names" : false, "suffix" : "" } ], "container-title" : "Journal of physiology, Paris", "id" : "ITEM-10", "issue" : "5", "issued" : { "date-parts" : [ [ "1993" ] ] }, "page" : "313-27", "title" : "A new gastric juice peptide, BPC. An overview of the stomach-stress-organoprotection hypothesis and beneficial effects of BPC.", "type" : "article-journal", "volume" : "87" }, "uris" : [ "http://www.mendeley.com/documents/?uuid=f738bbb1-8d16-31eb-a5d7-6f273100aa96" ] } ], "mendeley" : { "formattedCitation" : "&lt;sup&gt;[1\u201310]&lt;/sup&gt;", "plainTextFormattedCitation" : "[1\u201310]", "previouslyFormattedCitation" : "(Seiwerth et al., 2014; Sikiric et al., 2017, 2016, 2014, 2013, 2012, 2011, 2010, 2006; Sikiri\u0107 et al., 1993)" }, "properties" : {  }, "schema" : "https://github.com/citation-style-language/schema/raw/master/csl-citation.json" }</w:instrText>
      </w:r>
      <w:r w:rsidRPr="00CC34A3">
        <w:rPr>
          <w:rFonts w:ascii="Book Antiqua" w:eastAsia="Calibri" w:hAnsi="Book Antiqua" w:cs="Courier New"/>
          <w:color w:val="000000" w:themeColor="text1"/>
          <w:sz w:val="24"/>
          <w:szCs w:val="24"/>
          <w:lang w:val="en-US"/>
        </w:rPr>
        <w:fldChar w:fldCharType="separate"/>
      </w:r>
      <w:r w:rsidRPr="00CC34A3">
        <w:rPr>
          <w:rFonts w:ascii="Book Antiqua" w:eastAsia="Calibri" w:hAnsi="Book Antiqua" w:cs="Courier New"/>
          <w:color w:val="000000" w:themeColor="text1"/>
          <w:sz w:val="24"/>
          <w:szCs w:val="24"/>
          <w:vertAlign w:val="superscript"/>
          <w:lang w:val="en-US"/>
        </w:rPr>
        <w:t>[1–10]</w:t>
      </w:r>
      <w:r w:rsidRPr="00CC34A3">
        <w:rPr>
          <w:rFonts w:ascii="Book Antiqua" w:eastAsia="Calibri" w:hAnsi="Book Antiqua" w:cs="Courier New"/>
          <w:color w:val="000000" w:themeColor="text1"/>
          <w:sz w:val="24"/>
          <w:szCs w:val="24"/>
          <w:lang w:val="en-US"/>
        </w:rPr>
        <w:fldChar w:fldCharType="end"/>
      </w:r>
      <w:r w:rsidRPr="00CC34A3">
        <w:rPr>
          <w:rFonts w:ascii="Book Antiqua" w:hAnsi="Book Antiqua" w:cs="Courier New"/>
          <w:color w:val="000000" w:themeColor="text1"/>
          <w:sz w:val="24"/>
          <w:szCs w:val="24"/>
          <w:lang w:val="en-US"/>
        </w:rPr>
        <w:t xml:space="preserve">. In duodenal lesion development, the occlusion of the SAPDV </w:t>
      </w:r>
      <w:r w:rsidRPr="00CC34A3">
        <w:rPr>
          <w:rFonts w:ascii="Book Antiqua" w:hAnsi="Book Antiqua" w:cs="Courier New"/>
          <w:color w:val="000000" w:themeColor="text1"/>
          <w:sz w:val="24"/>
          <w:szCs w:val="24"/>
          <w:lang w:val="en-US"/>
        </w:rPr>
        <w:lastRenderedPageBreak/>
        <w:t xml:space="preserve">appears as the key failure (before other vessel occlusions: </w:t>
      </w:r>
      <w:r w:rsidRPr="00CC34A3">
        <w:rPr>
          <w:rFonts w:ascii="Book Antiqua" w:hAnsi="Book Antiqua" w:cs="Courier New"/>
          <w:i/>
          <w:color w:val="000000" w:themeColor="text1"/>
          <w:sz w:val="24"/>
          <w:szCs w:val="24"/>
          <w:lang w:val="en-US"/>
        </w:rPr>
        <w:t>i.e.</w:t>
      </w:r>
      <w:r w:rsidRPr="00CC34A3">
        <w:rPr>
          <w:rFonts w:ascii="Book Antiqua" w:hAnsi="Book Antiqua" w:cs="Courier New"/>
          <w:color w:val="000000" w:themeColor="text1"/>
          <w:sz w:val="24"/>
          <w:szCs w:val="24"/>
          <w:lang w:val="en-US"/>
        </w:rPr>
        <w:t xml:space="preserve">, left colic artery and vein ligation, and inferior </w:t>
      </w:r>
      <w:proofErr w:type="spellStart"/>
      <w:r w:rsidRPr="00CC34A3">
        <w:rPr>
          <w:rFonts w:ascii="Book Antiqua" w:hAnsi="Book Antiqua" w:cs="Courier New"/>
          <w:color w:val="000000" w:themeColor="text1"/>
          <w:sz w:val="24"/>
          <w:szCs w:val="24"/>
          <w:lang w:val="en-US"/>
        </w:rPr>
        <w:t>caval</w:t>
      </w:r>
      <w:proofErr w:type="spellEnd"/>
      <w:r w:rsidRPr="00CC34A3">
        <w:rPr>
          <w:rFonts w:ascii="Book Antiqua" w:hAnsi="Book Antiqua" w:cs="Courier New"/>
          <w:color w:val="000000" w:themeColor="text1"/>
          <w:sz w:val="24"/>
          <w:szCs w:val="24"/>
          <w:lang w:val="en-US"/>
        </w:rPr>
        <w:t xml:space="preserve"> vein ligation)</w:t>
      </w:r>
      <w:r w:rsidRPr="00CC34A3">
        <w:rPr>
          <w:rFonts w:ascii="Book Antiqua" w:eastAsia="Calibri" w:hAnsi="Book Antiqua" w:cs="Courier New"/>
          <w:color w:val="000000" w:themeColor="text1"/>
          <w:sz w:val="24"/>
          <w:szCs w:val="24"/>
          <w:lang w:val="en-US"/>
        </w:rPr>
        <w:fldChar w:fldCharType="begin" w:fldLock="1"/>
      </w:r>
      <w:r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Pr="00CC34A3">
        <w:rPr>
          <w:rFonts w:ascii="Book Antiqua" w:eastAsia="Calibri" w:hAnsi="Book Antiqua" w:cs="Courier New"/>
          <w:color w:val="000000" w:themeColor="text1"/>
          <w:sz w:val="24"/>
          <w:szCs w:val="24"/>
          <w:lang w:val="en-US"/>
        </w:rPr>
        <w:fldChar w:fldCharType="separate"/>
      </w:r>
      <w:r w:rsidRPr="00CC34A3">
        <w:rPr>
          <w:rFonts w:ascii="Book Antiqua" w:eastAsia="Calibri" w:hAnsi="Book Antiqua" w:cs="Courier New"/>
          <w:color w:val="000000" w:themeColor="text1"/>
          <w:sz w:val="24"/>
          <w:szCs w:val="24"/>
          <w:vertAlign w:val="superscript"/>
          <w:lang w:val="en-US"/>
        </w:rPr>
        <w:t>[15,16]</w:t>
      </w:r>
      <w:r w:rsidRPr="00CC34A3">
        <w:rPr>
          <w:rFonts w:ascii="Book Antiqua" w:eastAsia="Calibri" w:hAnsi="Book Antiqua" w:cs="Courier New"/>
          <w:color w:val="000000" w:themeColor="text1"/>
          <w:sz w:val="24"/>
          <w:szCs w:val="24"/>
          <w:lang w:val="en-US"/>
        </w:rPr>
        <w:fldChar w:fldCharType="end"/>
      </w:r>
      <w:r w:rsidRPr="00CC34A3">
        <w:rPr>
          <w:rFonts w:ascii="Book Antiqua" w:eastAsia="Calibri" w:hAnsi="Book Antiqua" w:cs="Courier New"/>
          <w:color w:val="000000" w:themeColor="text1"/>
          <w:sz w:val="24"/>
          <w:szCs w:val="24"/>
          <w:lang w:val="en-US"/>
        </w:rPr>
        <w:t xml:space="preserve"> </w:t>
      </w:r>
      <w:r w:rsidRPr="00CC34A3">
        <w:rPr>
          <w:rFonts w:ascii="Book Antiqua" w:hAnsi="Book Antiqua" w:cs="Courier New"/>
          <w:color w:val="000000" w:themeColor="text1"/>
          <w:sz w:val="24"/>
          <w:szCs w:val="24"/>
          <w:lang w:val="en-US"/>
        </w:rPr>
        <w:t>that could never be spontaneously alleviated, even though well-placed vessels or add</w:t>
      </w:r>
      <w:r w:rsidR="006A3087" w:rsidRPr="00CC34A3">
        <w:rPr>
          <w:rFonts w:ascii="Book Antiqua" w:hAnsi="Book Antiqua" w:cs="Courier New"/>
          <w:color w:val="000000" w:themeColor="text1"/>
          <w:sz w:val="24"/>
          <w:szCs w:val="24"/>
          <w:lang w:val="en-US"/>
        </w:rPr>
        <w:t>itional therapy with NO agents [</w:t>
      </w:r>
      <w:r w:rsidRPr="00CC34A3">
        <w:rPr>
          <w:rFonts w:ascii="Book Antiqua" w:hAnsi="Book Antiqua" w:cs="Courier New"/>
          <w:color w:val="000000" w:themeColor="text1"/>
          <w:sz w:val="24"/>
          <w:szCs w:val="24"/>
          <w:lang w:val="en-US"/>
        </w:rPr>
        <w:t>NOS-over</w:t>
      </w:r>
      <w:r w:rsidR="0025639A" w:rsidRPr="00CC34A3">
        <w:rPr>
          <w:rFonts w:ascii="Book Antiqua" w:hAnsi="Book Antiqua" w:cs="Courier New"/>
          <w:color w:val="000000" w:themeColor="text1"/>
          <w:sz w:val="24"/>
          <w:szCs w:val="24"/>
          <w:lang w:val="en-US"/>
        </w:rPr>
        <w:t>-</w:t>
      </w:r>
      <w:r w:rsidRPr="00CC34A3">
        <w:rPr>
          <w:rFonts w:ascii="Book Antiqua" w:hAnsi="Book Antiqua" w:cs="Courier New"/>
          <w:color w:val="000000" w:themeColor="text1"/>
          <w:sz w:val="24"/>
          <w:szCs w:val="24"/>
          <w:lang w:val="en-US"/>
        </w:rPr>
        <w:t>activation (L-arginin</w:t>
      </w:r>
      <w:r w:rsidR="006A3087" w:rsidRPr="00CC34A3">
        <w:rPr>
          <w:rFonts w:ascii="Book Antiqua" w:hAnsi="Book Antiqua" w:cs="Courier New"/>
          <w:color w:val="000000" w:themeColor="text1"/>
          <w:sz w:val="24"/>
          <w:szCs w:val="24"/>
          <w:lang w:val="en-US"/>
        </w:rPr>
        <w:t>e) and/or NOS-blockade (L-NAME)]</w:t>
      </w:r>
      <w:r w:rsidRPr="00CC34A3">
        <w:rPr>
          <w:rFonts w:ascii="Book Antiqua" w:hAnsi="Book Antiqua" w:cs="Courier New"/>
          <w:color w:val="000000" w:themeColor="text1"/>
          <w:sz w:val="24"/>
          <w:szCs w:val="24"/>
          <w:lang w:val="en-US"/>
        </w:rPr>
        <w:t>. On the other hand, BPC 157 therapy resulted in promptly alleviated vascular presentation and then alleviated a perilous course of duodenal lesions in rats with SAPDV occlusions. We documented again ”running“ toward the bypassing vessel occlusion(s)</w:t>
      </w:r>
      <w:r w:rsidRPr="00CC34A3">
        <w:rPr>
          <w:rFonts w:ascii="Book Antiqua" w:eastAsia="Calibri" w:hAnsi="Book Antiqua" w:cs="Courier New"/>
          <w:color w:val="000000" w:themeColor="text1"/>
          <w:sz w:val="24"/>
          <w:szCs w:val="24"/>
          <w:lang w:val="en-US"/>
        </w:rPr>
        <w:fldChar w:fldCharType="begin" w:fldLock="1"/>
      </w:r>
      <w:r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"mendeley" : { "formattedCitation" : "&lt;sup&gt;[15]&lt;/sup&gt;", "plainTextFormattedCitation" : "[15]", "previouslyFormattedCitation" : "(Duzel et al., 2017)" }, "properties" : {  }, "schema" : "https://github.com/citation-style-language/schema/raw/master/csl-citation.json" }</w:instrText>
      </w:r>
      <w:r w:rsidRPr="00CC34A3">
        <w:rPr>
          <w:rFonts w:ascii="Book Antiqua" w:eastAsia="Calibri" w:hAnsi="Book Antiqua" w:cs="Courier New"/>
          <w:color w:val="000000" w:themeColor="text1"/>
          <w:sz w:val="24"/>
          <w:szCs w:val="24"/>
          <w:lang w:val="en-US"/>
        </w:rPr>
        <w:fldChar w:fldCharType="separate"/>
      </w:r>
      <w:r w:rsidRPr="00CC34A3">
        <w:rPr>
          <w:rFonts w:ascii="Book Antiqua" w:eastAsia="Calibri" w:hAnsi="Book Antiqua" w:cs="Courier New"/>
          <w:color w:val="000000" w:themeColor="text1"/>
          <w:sz w:val="24"/>
          <w:szCs w:val="24"/>
          <w:vertAlign w:val="superscript"/>
          <w:lang w:val="en-US"/>
        </w:rPr>
        <w:t>[15,16]</w:t>
      </w:r>
      <w:r w:rsidRPr="00CC34A3">
        <w:rPr>
          <w:rFonts w:ascii="Book Antiqua" w:eastAsia="Calibri" w:hAnsi="Book Antiqua" w:cs="Courier New"/>
          <w:color w:val="000000" w:themeColor="text1"/>
          <w:sz w:val="24"/>
          <w:szCs w:val="24"/>
          <w:lang w:val="en-US"/>
        </w:rPr>
        <w:fldChar w:fldCharType="end"/>
      </w:r>
      <w:r w:rsidRPr="00CC34A3">
        <w:rPr>
          <w:rFonts w:ascii="Book Antiqua" w:hAnsi="Book Antiqua" w:cs="Courier New"/>
          <w:color w:val="000000" w:themeColor="text1"/>
          <w:sz w:val="24"/>
          <w:szCs w:val="24"/>
          <w:lang w:val="en-US"/>
        </w:rPr>
        <w:t xml:space="preserve"> and that BPC 157 after SAPDV occlusion quickly restores the blood supply to the </w:t>
      </w:r>
      <w:proofErr w:type="spellStart"/>
      <w:r w:rsidRPr="00CC34A3">
        <w:rPr>
          <w:rFonts w:ascii="Book Antiqua" w:hAnsi="Book Antiqua" w:cs="Courier New"/>
          <w:color w:val="000000" w:themeColor="text1"/>
          <w:sz w:val="24"/>
          <w:szCs w:val="24"/>
          <w:lang w:val="en-US"/>
        </w:rPr>
        <w:t>ischemically</w:t>
      </w:r>
      <w:proofErr w:type="spellEnd"/>
      <w:r w:rsidRPr="00CC34A3">
        <w:rPr>
          <w:rFonts w:ascii="Book Antiqua" w:hAnsi="Book Antiqua" w:cs="Courier New"/>
          <w:color w:val="000000" w:themeColor="text1"/>
          <w:sz w:val="24"/>
          <w:szCs w:val="24"/>
          <w:lang w:val="en-US"/>
        </w:rPr>
        <w:t xml:space="preserve"> injured area. BPC 15</w:t>
      </w:r>
      <w:r w:rsidR="00773972" w:rsidRPr="00CC34A3">
        <w:rPr>
          <w:rFonts w:ascii="Book Antiqua" w:hAnsi="Book Antiqua" w:cs="Courier New"/>
          <w:color w:val="000000" w:themeColor="text1"/>
          <w:sz w:val="24"/>
          <w:szCs w:val="24"/>
          <w:lang w:val="en-US"/>
        </w:rPr>
        <w:t>7 rapidly activates collaterals</w:t>
      </w:r>
      <w:r w:rsidRPr="00CC34A3">
        <w:rPr>
          <w:rFonts w:ascii="Book Antiqua" w:hAnsi="Book Antiqua" w:cs="Courier New"/>
          <w:color w:val="000000" w:themeColor="text1"/>
          <w:sz w:val="24"/>
          <w:szCs w:val="24"/>
          <w:lang w:val="en-US"/>
        </w:rPr>
        <w:t xml:space="preserve"> much like a fundamental treatment that counteracted the injurious course (ischemic colitis</w:t>
      </w:r>
      <w:r w:rsidRPr="00CC34A3">
        <w:rPr>
          <w:rFonts w:ascii="Book Antiqua" w:eastAsia="Calibri" w:hAnsi="Book Antiqua" w:cs="Courier New"/>
          <w:color w:val="000000" w:themeColor="text1"/>
          <w:sz w:val="24"/>
          <w:szCs w:val="24"/>
          <w:lang w:val="en-US"/>
        </w:rPr>
        <w:fldChar w:fldCharType="begin" w:fldLock="1"/>
      </w:r>
      <w:r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"mendeley" : { "formattedCitation" : "&lt;sup&gt;[15]&lt;/sup&gt;", "plainTextFormattedCitation" : "[15]", "previouslyFormattedCitation" : "(Duzel et al., 2017)" }, "properties" : {  }, "schema" : "https://github.com/citation-style-language/schema/raw/master/csl-citation.json" }</w:instrText>
      </w:r>
      <w:r w:rsidRPr="00CC34A3">
        <w:rPr>
          <w:rFonts w:ascii="Book Antiqua" w:eastAsia="Calibri" w:hAnsi="Book Antiqua" w:cs="Courier New"/>
          <w:color w:val="000000" w:themeColor="text1"/>
          <w:sz w:val="24"/>
          <w:szCs w:val="24"/>
          <w:lang w:val="en-US"/>
        </w:rPr>
        <w:fldChar w:fldCharType="separate"/>
      </w:r>
      <w:r w:rsidRPr="00CC34A3">
        <w:rPr>
          <w:rFonts w:ascii="Book Antiqua" w:eastAsia="Calibri" w:hAnsi="Book Antiqua" w:cs="Courier New"/>
          <w:color w:val="000000" w:themeColor="text1"/>
          <w:sz w:val="24"/>
          <w:szCs w:val="24"/>
          <w:vertAlign w:val="superscript"/>
          <w:lang w:val="en-US"/>
        </w:rPr>
        <w:t>[15]</w:t>
      </w:r>
      <w:r w:rsidRPr="00CC34A3">
        <w:rPr>
          <w:rFonts w:ascii="Book Antiqua" w:eastAsia="Calibri" w:hAnsi="Book Antiqua" w:cs="Courier New"/>
          <w:color w:val="000000" w:themeColor="text1"/>
          <w:sz w:val="24"/>
          <w:szCs w:val="24"/>
          <w:lang w:val="en-US"/>
        </w:rPr>
        <w:fldChar w:fldCharType="end"/>
      </w:r>
      <w:r w:rsidRPr="00CC34A3">
        <w:rPr>
          <w:rFonts w:ascii="Book Antiqua" w:hAnsi="Book Antiqua" w:cs="Courier New"/>
          <w:color w:val="000000" w:themeColor="text1"/>
          <w:sz w:val="24"/>
          <w:szCs w:val="24"/>
          <w:lang w:val="en-US"/>
        </w:rPr>
        <w:t xml:space="preserve">; the syndrome resulting from inferior </w:t>
      </w:r>
      <w:proofErr w:type="spellStart"/>
      <w:r w:rsidRPr="00CC34A3">
        <w:rPr>
          <w:rFonts w:ascii="Book Antiqua" w:hAnsi="Book Antiqua" w:cs="Courier New"/>
          <w:color w:val="000000" w:themeColor="text1"/>
          <w:sz w:val="24"/>
          <w:szCs w:val="24"/>
          <w:lang w:val="en-US"/>
        </w:rPr>
        <w:t>caval</w:t>
      </w:r>
      <w:proofErr w:type="spellEnd"/>
      <w:r w:rsidRPr="00CC34A3">
        <w:rPr>
          <w:rFonts w:ascii="Book Antiqua" w:hAnsi="Book Antiqua" w:cs="Courier New"/>
          <w:color w:val="000000" w:themeColor="text1"/>
          <w:sz w:val="24"/>
          <w:szCs w:val="24"/>
          <w:lang w:val="en-US"/>
        </w:rPr>
        <w:t xml:space="preserve"> vein infrarenal-ligation</w:t>
      </w:r>
      <w:r w:rsidRPr="00CC34A3">
        <w:rPr>
          <w:rFonts w:ascii="Book Antiqua" w:eastAsia="Calibri" w:hAnsi="Book Antiqua" w:cs="Courier New"/>
          <w:color w:val="000000" w:themeColor="text1"/>
          <w:sz w:val="24"/>
          <w:szCs w:val="24"/>
          <w:lang w:val="en-US"/>
        </w:rPr>
        <w:fldChar w:fldCharType="begin" w:fldLock="1"/>
      </w:r>
      <w:r w:rsidRPr="00CC34A3">
        <w:rPr>
          <w:rFonts w:ascii="Book Antiqua" w:eastAsia="Calibri" w:hAnsi="Book Antiqua" w:cs="Courier New"/>
          <w:color w:val="000000" w:themeColor="text1"/>
          <w:sz w:val="24"/>
          <w:szCs w:val="24"/>
          <w:lang w:val="en-US"/>
        </w:rPr>
        <w:instrText>ADDIN CSL_CITATION { "citationItems" : [ { "id" : "ITEM-1",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"ITEM-1",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"&lt;sup&gt;[16]&lt;/sup&gt;", "plainTextFormattedCitation" : "[16]", "previouslyFormattedCitation" : "(Vukojevi\u0107 et al., 2018)" }, "properties" : {  }, "schema" : "https://github.com/citation-style-language/schema/raw/master/csl-citation.json" }</w:instrText>
      </w:r>
      <w:r w:rsidRPr="00CC34A3">
        <w:rPr>
          <w:rFonts w:ascii="Book Antiqua" w:eastAsia="Calibri" w:hAnsi="Book Antiqua" w:cs="Courier New"/>
          <w:color w:val="000000" w:themeColor="text1"/>
          <w:sz w:val="24"/>
          <w:szCs w:val="24"/>
          <w:lang w:val="en-US"/>
        </w:rPr>
        <w:fldChar w:fldCharType="separate"/>
      </w:r>
      <w:r w:rsidRPr="00CC34A3">
        <w:rPr>
          <w:rFonts w:ascii="Book Antiqua" w:eastAsia="Calibri" w:hAnsi="Book Antiqua" w:cs="Courier New"/>
          <w:color w:val="000000" w:themeColor="text1"/>
          <w:sz w:val="24"/>
          <w:szCs w:val="24"/>
          <w:vertAlign w:val="superscript"/>
          <w:lang w:val="en-US"/>
        </w:rPr>
        <w:t>[16]</w:t>
      </w:r>
      <w:r w:rsidRPr="00CC34A3">
        <w:rPr>
          <w:rFonts w:ascii="Book Antiqua" w:eastAsia="Calibri" w:hAnsi="Book Antiqua" w:cs="Courier New"/>
          <w:color w:val="000000" w:themeColor="text1"/>
          <w:sz w:val="24"/>
          <w:szCs w:val="24"/>
          <w:lang w:val="en-US"/>
        </w:rPr>
        <w:fldChar w:fldCharType="end"/>
      </w:r>
      <w:r w:rsidR="00AB2305" w:rsidRPr="00CC34A3">
        <w:rPr>
          <w:rFonts w:ascii="Book Antiqua" w:hAnsi="Book Antiqua" w:cs="Courier New"/>
          <w:color w:val="000000" w:themeColor="text1"/>
          <w:sz w:val="24"/>
          <w:szCs w:val="24"/>
          <w:lang w:val="en-US"/>
        </w:rPr>
        <w:t>)</w:t>
      </w:r>
      <w:r w:rsidRPr="00CC34A3">
        <w:rPr>
          <w:rFonts w:ascii="Book Antiqua" w:hAnsi="Book Antiqua" w:cs="Courier New"/>
          <w:color w:val="000000" w:themeColor="text1"/>
          <w:sz w:val="24"/>
          <w:szCs w:val="24"/>
          <w:lang w:val="en-US"/>
        </w:rPr>
        <w:t xml:space="preserve"> and this effect involve</w:t>
      </w:r>
      <w:r w:rsidR="009742B2" w:rsidRPr="00CC34A3">
        <w:rPr>
          <w:rFonts w:ascii="Book Antiqua" w:hAnsi="Book Antiqua" w:cs="Courier New"/>
          <w:color w:val="000000" w:themeColor="text1"/>
          <w:sz w:val="24"/>
          <w:szCs w:val="24"/>
          <w:lang w:val="en-US"/>
        </w:rPr>
        <w:t>s</w:t>
      </w:r>
      <w:r w:rsidRPr="00CC34A3">
        <w:rPr>
          <w:rFonts w:ascii="Book Antiqua" w:hAnsi="Book Antiqua" w:cs="Courier New"/>
          <w:color w:val="000000" w:themeColor="text1"/>
          <w:sz w:val="24"/>
          <w:szCs w:val="24"/>
          <w:lang w:val="en-US"/>
        </w:rPr>
        <w:t xml:space="preserve"> the NO system and reduction of free radical formation</w:t>
      </w:r>
      <w:r w:rsidRPr="00CC34A3">
        <w:rPr>
          <w:rFonts w:ascii="Book Antiqua" w:eastAsia="Calibri" w:hAnsi="Book Antiqua" w:cs="Courier New"/>
          <w:color w:val="000000" w:themeColor="text1"/>
          <w:sz w:val="24"/>
          <w:szCs w:val="24"/>
          <w:lang w:val="en-US"/>
        </w:rPr>
        <w:fldChar w:fldCharType="begin" w:fldLock="1"/>
      </w:r>
      <w:r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Pr="00CC34A3">
        <w:rPr>
          <w:rFonts w:ascii="Book Antiqua" w:eastAsia="Calibri" w:hAnsi="Book Antiqua" w:cs="Courier New"/>
          <w:color w:val="000000" w:themeColor="text1"/>
          <w:sz w:val="24"/>
          <w:szCs w:val="24"/>
          <w:lang w:val="en-US"/>
        </w:rPr>
        <w:fldChar w:fldCharType="separate"/>
      </w:r>
      <w:r w:rsidRPr="00CC34A3">
        <w:rPr>
          <w:rFonts w:ascii="Book Antiqua" w:eastAsia="Calibri" w:hAnsi="Book Antiqua" w:cs="Courier New"/>
          <w:color w:val="000000" w:themeColor="text1"/>
          <w:sz w:val="24"/>
          <w:szCs w:val="24"/>
          <w:vertAlign w:val="superscript"/>
          <w:lang w:val="en-US"/>
        </w:rPr>
        <w:t>[15,16]</w:t>
      </w:r>
      <w:r w:rsidRPr="00CC34A3">
        <w:rPr>
          <w:rFonts w:ascii="Book Antiqua" w:eastAsia="Calibri" w:hAnsi="Book Antiqua" w:cs="Courier New"/>
          <w:color w:val="000000" w:themeColor="text1"/>
          <w:sz w:val="24"/>
          <w:szCs w:val="24"/>
          <w:lang w:val="en-US"/>
        </w:rPr>
        <w:fldChar w:fldCharType="end"/>
      </w:r>
      <w:r w:rsidRPr="00CC34A3">
        <w:rPr>
          <w:rFonts w:ascii="Book Antiqua" w:eastAsia="Calibri" w:hAnsi="Book Antiqua" w:cs="Courier New"/>
          <w:color w:val="000000" w:themeColor="text1"/>
          <w:sz w:val="24"/>
          <w:szCs w:val="24"/>
          <w:lang w:val="en-US"/>
        </w:rPr>
        <w:t>.</w:t>
      </w:r>
      <w:r w:rsidRPr="00CC34A3">
        <w:rPr>
          <w:rFonts w:ascii="Book Antiqua" w:hAnsi="Book Antiqua" w:cs="Courier New"/>
          <w:color w:val="000000" w:themeColor="text1"/>
          <w:sz w:val="24"/>
          <w:szCs w:val="24"/>
          <w:lang w:val="en-US"/>
        </w:rPr>
        <w:t xml:space="preserve">  </w:t>
      </w:r>
    </w:p>
    <w:p w14:paraId="0CC66F9B" w14:textId="64FD9202" w:rsidR="00EB7476" w:rsidRPr="00CC34A3" w:rsidRDefault="006A3087" w:rsidP="00CC34A3">
      <w:pPr>
        <w:autoSpaceDE w:val="0"/>
        <w:autoSpaceDN w:val="0"/>
        <w:adjustRightInd w:val="0"/>
        <w:snapToGrid w:val="0"/>
        <w:spacing w:after="0" w:line="360" w:lineRule="auto"/>
        <w:jc w:val="both"/>
        <w:rPr>
          <w:rFonts w:ascii="Book Antiqua" w:hAnsi="Book Antiqua" w:cs="Times New Roman"/>
          <w:color w:val="000000" w:themeColor="text1"/>
          <w:sz w:val="24"/>
          <w:szCs w:val="24"/>
          <w:lang w:val="en-US"/>
        </w:rPr>
      </w:pPr>
      <w:r w:rsidRPr="00CC34A3">
        <w:rPr>
          <w:rFonts w:ascii="Book Antiqua" w:hAnsi="Book Antiqua" w:cs="Times New Roman"/>
          <w:color w:val="000000" w:themeColor="text1"/>
          <w:sz w:val="24"/>
          <w:szCs w:val="24"/>
          <w:lang w:val="en-US"/>
        </w:rPr>
        <w:t xml:space="preserve">  </w:t>
      </w:r>
      <w:r w:rsidR="00CE1849" w:rsidRPr="00CC34A3">
        <w:rPr>
          <w:rFonts w:ascii="Book Antiqua" w:hAnsi="Book Antiqua" w:cs="Times New Roman"/>
          <w:color w:val="000000" w:themeColor="text1"/>
          <w:sz w:val="24"/>
          <w:szCs w:val="24"/>
          <w:lang w:val="en-US"/>
        </w:rPr>
        <w:t>The</w:t>
      </w:r>
      <w:r w:rsidR="00EB7476" w:rsidRPr="00CC34A3">
        <w:rPr>
          <w:rFonts w:ascii="Book Antiqua" w:hAnsi="Book Antiqua" w:cs="Times New Roman"/>
          <w:color w:val="000000" w:themeColor="text1"/>
          <w:sz w:val="24"/>
          <w:szCs w:val="24"/>
          <w:lang w:val="en-US"/>
        </w:rPr>
        <w:t xml:space="preserve"> </w:t>
      </w:r>
      <w:r w:rsidR="00992FA2" w:rsidRPr="00CC34A3">
        <w:rPr>
          <w:rFonts w:ascii="Book Antiqua" w:hAnsi="Book Antiqua" w:cs="Times New Roman"/>
          <w:color w:val="000000" w:themeColor="text1"/>
          <w:sz w:val="24"/>
          <w:szCs w:val="24"/>
          <w:lang w:val="en-US"/>
        </w:rPr>
        <w:t>SAPDV</w:t>
      </w:r>
      <w:r w:rsidR="00EB7476" w:rsidRPr="00CC34A3">
        <w:rPr>
          <w:rFonts w:ascii="Book Antiqua" w:hAnsi="Book Antiqua" w:cs="Times New Roman"/>
          <w:color w:val="000000" w:themeColor="text1"/>
          <w:sz w:val="24"/>
          <w:szCs w:val="24"/>
          <w:lang w:val="en-US"/>
        </w:rPr>
        <w:t xml:space="preserve">-ligated rats </w:t>
      </w:r>
      <w:r w:rsidR="00CE1849" w:rsidRPr="00CC34A3">
        <w:rPr>
          <w:rFonts w:ascii="Book Antiqua" w:hAnsi="Book Antiqua" w:cs="Times New Roman"/>
          <w:color w:val="000000" w:themeColor="text1"/>
          <w:sz w:val="24"/>
          <w:szCs w:val="24"/>
          <w:lang w:val="en-US"/>
        </w:rPr>
        <w:t xml:space="preserve">treated with </w:t>
      </w:r>
      <w:r w:rsidR="00EB7476" w:rsidRPr="00CC34A3">
        <w:rPr>
          <w:rFonts w:ascii="Book Antiqua" w:hAnsi="Book Antiqua" w:cs="Times New Roman"/>
          <w:color w:val="000000" w:themeColor="text1"/>
          <w:sz w:val="24"/>
          <w:szCs w:val="24"/>
          <w:lang w:val="en-US"/>
        </w:rPr>
        <w:t xml:space="preserve">BPC 157 exhibited </w:t>
      </w:r>
      <w:r w:rsidR="00CE1849" w:rsidRPr="00CC34A3">
        <w:rPr>
          <w:rFonts w:ascii="Book Antiqua" w:hAnsi="Book Antiqua" w:cs="Times New Roman"/>
          <w:color w:val="000000" w:themeColor="text1"/>
          <w:sz w:val="24"/>
          <w:szCs w:val="24"/>
          <w:lang w:val="en-US"/>
        </w:rPr>
        <w:t xml:space="preserve">a </w:t>
      </w:r>
      <w:r w:rsidR="00EB7476" w:rsidRPr="00CC34A3">
        <w:rPr>
          <w:rFonts w:ascii="Book Antiqua" w:hAnsi="Book Antiqua" w:cs="Times New Roman"/>
          <w:color w:val="000000" w:themeColor="text1"/>
          <w:sz w:val="24"/>
          <w:szCs w:val="24"/>
          <w:lang w:val="en-US"/>
        </w:rPr>
        <w:t xml:space="preserve">complete </w:t>
      </w:r>
      <w:r w:rsidR="00CE1849" w:rsidRPr="00CC34A3">
        <w:rPr>
          <w:rFonts w:ascii="Book Antiqua" w:hAnsi="Book Antiqua" w:cs="Times New Roman"/>
          <w:color w:val="000000" w:themeColor="text1"/>
          <w:sz w:val="24"/>
          <w:szCs w:val="24"/>
          <w:lang w:val="en-US"/>
        </w:rPr>
        <w:t xml:space="preserve">reduction of the </w:t>
      </w:r>
      <w:r w:rsidR="00EB7476" w:rsidRPr="00CC34A3">
        <w:rPr>
          <w:rFonts w:ascii="Book Antiqua" w:hAnsi="Book Antiqua" w:cs="Times New Roman"/>
          <w:color w:val="000000" w:themeColor="text1"/>
          <w:sz w:val="24"/>
          <w:szCs w:val="24"/>
          <w:lang w:val="en-US"/>
        </w:rPr>
        <w:t>SAPDV-occlusion syndrome</w:t>
      </w:r>
      <w:r w:rsidR="00CE1849" w:rsidRPr="00CC34A3">
        <w:rPr>
          <w:rFonts w:ascii="Book Antiqua" w:hAnsi="Book Antiqua" w:cs="Times New Roman"/>
          <w:color w:val="000000" w:themeColor="text1"/>
          <w:sz w:val="24"/>
          <w:szCs w:val="24"/>
          <w:lang w:val="en-US"/>
        </w:rPr>
        <w:t xml:space="preserve">: </w:t>
      </w:r>
      <w:r w:rsidR="00EB7476" w:rsidRPr="00CC34A3">
        <w:rPr>
          <w:rFonts w:ascii="Book Antiqua" w:hAnsi="Book Antiqua" w:cs="Times New Roman"/>
          <w:color w:val="000000" w:themeColor="text1"/>
          <w:sz w:val="24"/>
          <w:szCs w:val="24"/>
          <w:lang w:val="en-US"/>
        </w:rPr>
        <w:t xml:space="preserve">improved vessel presentation, </w:t>
      </w:r>
      <w:r w:rsidR="00CE1849" w:rsidRPr="00CC34A3">
        <w:rPr>
          <w:rFonts w:ascii="Book Antiqua" w:hAnsi="Book Antiqua" w:cs="Times New Roman"/>
          <w:color w:val="000000" w:themeColor="text1"/>
          <w:sz w:val="24"/>
          <w:szCs w:val="24"/>
          <w:lang w:val="en-US"/>
        </w:rPr>
        <w:t>increased</w:t>
      </w:r>
      <w:r w:rsidR="00EB7476" w:rsidRPr="00CC34A3">
        <w:rPr>
          <w:rFonts w:ascii="Book Antiqua" w:hAnsi="Book Antiqua" w:cs="Times New Roman"/>
          <w:color w:val="000000" w:themeColor="text1"/>
          <w:sz w:val="24"/>
          <w:szCs w:val="24"/>
          <w:lang w:val="en-US"/>
        </w:rPr>
        <w:t xml:space="preserve"> interconnections, duodenal arcade branching </w:t>
      </w:r>
      <w:r w:rsidR="00CE1849" w:rsidRPr="00CC34A3">
        <w:rPr>
          <w:rFonts w:ascii="Book Antiqua" w:hAnsi="Book Antiqua" w:cs="Times New Roman"/>
          <w:color w:val="000000" w:themeColor="text1"/>
          <w:sz w:val="24"/>
          <w:szCs w:val="24"/>
          <w:lang w:val="en-US"/>
        </w:rPr>
        <w:t xml:space="preserve">increased </w:t>
      </w:r>
      <w:r w:rsidR="00EB7476" w:rsidRPr="00CC34A3">
        <w:rPr>
          <w:rFonts w:ascii="Book Antiqua" w:hAnsi="Book Antiqua" w:cs="Times New Roman"/>
          <w:color w:val="000000" w:themeColor="text1"/>
          <w:sz w:val="24"/>
          <w:szCs w:val="24"/>
          <w:lang w:val="en-US"/>
        </w:rPr>
        <w:t>up to 60% from the initial value</w:t>
      </w:r>
      <w:r w:rsidR="00CE1849" w:rsidRPr="00CC34A3">
        <w:rPr>
          <w:rFonts w:ascii="Book Antiqua" w:hAnsi="Book Antiqua" w:cs="Times New Roman"/>
          <w:color w:val="000000" w:themeColor="text1"/>
          <w:sz w:val="24"/>
          <w:szCs w:val="24"/>
          <w:lang w:val="en-US"/>
        </w:rPr>
        <w:t>,</w:t>
      </w:r>
      <w:r w:rsidR="00EB7476" w:rsidRPr="00CC34A3">
        <w:rPr>
          <w:rFonts w:ascii="Book Antiqua" w:hAnsi="Book Antiqua" w:cs="Times New Roman"/>
          <w:color w:val="000000" w:themeColor="text1"/>
          <w:sz w:val="24"/>
          <w:szCs w:val="24"/>
          <w:lang w:val="en-US"/>
        </w:rPr>
        <w:t xml:space="preserve"> </w:t>
      </w:r>
      <w:r w:rsidR="00CE1849" w:rsidRPr="00CC34A3">
        <w:rPr>
          <w:rFonts w:ascii="Book Antiqua" w:hAnsi="Book Antiqua" w:cs="Times New Roman"/>
          <w:color w:val="000000" w:themeColor="text1"/>
          <w:sz w:val="24"/>
          <w:szCs w:val="24"/>
          <w:lang w:val="en-US"/>
        </w:rPr>
        <w:t xml:space="preserve">and uncongested </w:t>
      </w:r>
      <w:r w:rsidR="00EB7476" w:rsidRPr="00CC34A3">
        <w:rPr>
          <w:rFonts w:ascii="Book Antiqua" w:hAnsi="Book Antiqua" w:cs="Times New Roman"/>
          <w:color w:val="000000" w:themeColor="text1"/>
          <w:sz w:val="24"/>
          <w:szCs w:val="24"/>
          <w:lang w:val="en-US"/>
        </w:rPr>
        <w:t>IAPDV and SMV</w:t>
      </w:r>
      <w:r w:rsidR="00CE1849" w:rsidRPr="00CC34A3">
        <w:rPr>
          <w:rFonts w:ascii="Book Antiqua" w:hAnsi="Book Antiqua" w:cs="Times New Roman"/>
          <w:color w:val="000000" w:themeColor="text1"/>
          <w:sz w:val="24"/>
          <w:szCs w:val="24"/>
          <w:lang w:val="en-US"/>
        </w:rPr>
        <w:t>. T</w:t>
      </w:r>
      <w:r w:rsidR="00EB7476" w:rsidRPr="00CC34A3">
        <w:rPr>
          <w:rFonts w:ascii="Book Antiqua" w:hAnsi="Book Antiqua" w:cs="Times New Roman"/>
          <w:color w:val="000000" w:themeColor="text1"/>
          <w:sz w:val="24"/>
          <w:szCs w:val="24"/>
          <w:lang w:val="en-US"/>
        </w:rPr>
        <w:t xml:space="preserve">hereby, </w:t>
      </w:r>
      <w:r w:rsidR="00CE1849" w:rsidRPr="00CC34A3">
        <w:rPr>
          <w:rFonts w:ascii="Book Antiqua" w:hAnsi="Book Antiqua" w:cs="Times New Roman"/>
          <w:color w:val="000000" w:themeColor="text1"/>
          <w:sz w:val="24"/>
          <w:szCs w:val="24"/>
          <w:lang w:val="en-US"/>
        </w:rPr>
        <w:t xml:space="preserve">BCP 157 treatment </w:t>
      </w:r>
      <w:r w:rsidR="00EB7476" w:rsidRPr="00CC34A3">
        <w:rPr>
          <w:rFonts w:ascii="Book Antiqua" w:hAnsi="Book Antiqua" w:cs="Times New Roman"/>
          <w:color w:val="000000" w:themeColor="text1"/>
          <w:sz w:val="24"/>
          <w:szCs w:val="24"/>
          <w:lang w:val="en-US"/>
        </w:rPr>
        <w:t xml:space="preserve">rescued </w:t>
      </w:r>
      <w:r w:rsidR="00CE1849" w:rsidRPr="00CC34A3">
        <w:rPr>
          <w:rFonts w:ascii="Book Antiqua" w:hAnsi="Book Antiqua" w:cs="Times New Roman"/>
          <w:color w:val="000000" w:themeColor="text1"/>
          <w:sz w:val="24"/>
          <w:szCs w:val="24"/>
          <w:lang w:val="en-US"/>
        </w:rPr>
        <w:t xml:space="preserve">the </w:t>
      </w:r>
      <w:r w:rsidR="00EB7476" w:rsidRPr="00CC34A3">
        <w:rPr>
          <w:rFonts w:ascii="Book Antiqua" w:hAnsi="Book Antiqua" w:cs="Times New Roman"/>
          <w:color w:val="000000" w:themeColor="text1"/>
          <w:sz w:val="24"/>
          <w:szCs w:val="24"/>
          <w:lang w:val="en-US"/>
        </w:rPr>
        <w:t>original duodenal flow through IAPDV to SMV flow</w:t>
      </w:r>
      <w:r w:rsidR="00E67AD0" w:rsidRPr="00CC34A3">
        <w:rPr>
          <w:rFonts w:ascii="Book Antiqua" w:hAnsi="Book Antiqua" w:cs="Times New Roman"/>
          <w:color w:val="000000" w:themeColor="text1"/>
          <w:sz w:val="24"/>
          <w:szCs w:val="24"/>
          <w:lang w:val="en-US"/>
        </w:rPr>
        <w:t xml:space="preserve"> and</w:t>
      </w:r>
      <w:r w:rsidR="00EB7476" w:rsidRPr="00CC34A3">
        <w:rPr>
          <w:rFonts w:ascii="Book Antiqua" w:hAnsi="Book Antiqua" w:cs="Times New Roman"/>
          <w:color w:val="000000" w:themeColor="text1"/>
          <w:sz w:val="24"/>
          <w:szCs w:val="24"/>
          <w:lang w:val="en-US"/>
        </w:rPr>
        <w:t xml:space="preserve"> </w:t>
      </w:r>
      <w:r w:rsidR="00E67AD0" w:rsidRPr="00CC34A3">
        <w:rPr>
          <w:rFonts w:ascii="Book Antiqua" w:hAnsi="Book Antiqua" w:cs="Times New Roman"/>
          <w:color w:val="000000" w:themeColor="text1"/>
          <w:sz w:val="24"/>
          <w:szCs w:val="24"/>
          <w:lang w:val="en-US"/>
        </w:rPr>
        <w:t xml:space="preserve">largely mitigated </w:t>
      </w:r>
      <w:r w:rsidRPr="00CC34A3">
        <w:rPr>
          <w:rFonts w:ascii="Book Antiqua" w:hAnsi="Book Antiqua" w:cs="Times New Roman"/>
          <w:color w:val="000000" w:themeColor="text1"/>
          <w:sz w:val="24"/>
          <w:szCs w:val="24"/>
          <w:lang w:val="en-US"/>
        </w:rPr>
        <w:t>the duodenal lesions (Figures</w:t>
      </w:r>
      <w:r w:rsidR="00EB7476" w:rsidRPr="00CC34A3">
        <w:rPr>
          <w:rFonts w:ascii="Book Antiqua" w:hAnsi="Book Antiqua" w:cs="Times New Roman"/>
          <w:color w:val="000000" w:themeColor="text1"/>
          <w:sz w:val="24"/>
          <w:szCs w:val="24"/>
          <w:lang w:val="en-US"/>
        </w:rPr>
        <w:t xml:space="preserve"> </w:t>
      </w:r>
      <w:r w:rsidR="00582230" w:rsidRPr="00CC34A3">
        <w:rPr>
          <w:rFonts w:ascii="Book Antiqua" w:hAnsi="Book Antiqua" w:cs="Times New Roman"/>
          <w:color w:val="000000" w:themeColor="text1"/>
          <w:sz w:val="24"/>
          <w:szCs w:val="24"/>
          <w:lang w:val="en-US"/>
        </w:rPr>
        <w:t>2</w:t>
      </w:r>
      <w:r w:rsidRPr="00CC34A3">
        <w:rPr>
          <w:rFonts w:ascii="Book Antiqua" w:hAnsi="Book Antiqua" w:cs="Times New Roman"/>
          <w:color w:val="000000" w:themeColor="text1"/>
          <w:sz w:val="24"/>
          <w:szCs w:val="24"/>
          <w:lang w:val="en-US"/>
        </w:rPr>
        <w:t>-</w:t>
      </w:r>
      <w:r w:rsidR="00582230" w:rsidRPr="00CC34A3">
        <w:rPr>
          <w:rFonts w:ascii="Book Antiqua" w:hAnsi="Book Antiqua" w:cs="Times New Roman"/>
          <w:color w:val="000000" w:themeColor="text1"/>
          <w:sz w:val="24"/>
          <w:szCs w:val="24"/>
          <w:lang w:val="en-US"/>
        </w:rPr>
        <w:t>6</w:t>
      </w:r>
      <w:r w:rsidR="00EB7476" w:rsidRPr="00CC34A3">
        <w:rPr>
          <w:rFonts w:ascii="Book Antiqua" w:hAnsi="Book Antiqua" w:cs="Times New Roman"/>
          <w:color w:val="000000" w:themeColor="text1"/>
          <w:sz w:val="24"/>
          <w:szCs w:val="24"/>
          <w:lang w:val="en-US"/>
        </w:rPr>
        <w:t>)</w:t>
      </w:r>
      <w:r w:rsidR="00E67AD0" w:rsidRPr="00CC34A3">
        <w:rPr>
          <w:rFonts w:ascii="Book Antiqua" w:hAnsi="Book Antiqua" w:cs="Times New Roman"/>
          <w:color w:val="000000" w:themeColor="text1"/>
          <w:sz w:val="24"/>
          <w:szCs w:val="24"/>
          <w:lang w:val="en-US"/>
        </w:rPr>
        <w:t>. The results</w:t>
      </w:r>
      <w:r w:rsidR="00EB7476" w:rsidRPr="00CC34A3">
        <w:rPr>
          <w:rFonts w:ascii="Book Antiqua" w:hAnsi="Book Antiqua" w:cs="Times New Roman"/>
          <w:color w:val="000000" w:themeColor="text1"/>
          <w:sz w:val="24"/>
          <w:szCs w:val="24"/>
          <w:lang w:val="en-US"/>
        </w:rPr>
        <w:t xml:space="preserve"> provide consistent evidence for</w:t>
      </w:r>
      <w:r w:rsidR="00E67AD0" w:rsidRPr="00CC34A3">
        <w:rPr>
          <w:rFonts w:ascii="Book Antiqua" w:hAnsi="Book Antiqua" w:cs="Times New Roman"/>
          <w:color w:val="000000" w:themeColor="text1"/>
          <w:sz w:val="24"/>
          <w:szCs w:val="24"/>
          <w:lang w:val="en-US"/>
        </w:rPr>
        <w:t xml:space="preserve"> the beneficial effects of</w:t>
      </w:r>
      <w:r w:rsidR="00EB7476" w:rsidRPr="00CC34A3">
        <w:rPr>
          <w:rFonts w:ascii="Book Antiqua" w:hAnsi="Book Antiqua" w:cs="Times New Roman"/>
          <w:color w:val="000000" w:themeColor="text1"/>
          <w:sz w:val="24"/>
          <w:szCs w:val="24"/>
          <w:lang w:val="en-US"/>
        </w:rPr>
        <w:t xml:space="preserve"> </w:t>
      </w:r>
      <w:r w:rsidR="00E67AD0" w:rsidRPr="00CC34A3">
        <w:rPr>
          <w:rFonts w:ascii="Book Antiqua" w:hAnsi="Book Antiqua" w:cs="Times New Roman"/>
          <w:color w:val="000000" w:themeColor="text1"/>
          <w:sz w:val="24"/>
          <w:szCs w:val="24"/>
          <w:lang w:val="en-US"/>
        </w:rPr>
        <w:t xml:space="preserve">a </w:t>
      </w:r>
      <w:r w:rsidR="00EB7476" w:rsidRPr="00CC34A3">
        <w:rPr>
          <w:rFonts w:ascii="Book Antiqua" w:hAnsi="Book Antiqua" w:cs="Times New Roman"/>
          <w:color w:val="000000" w:themeColor="text1"/>
          <w:sz w:val="24"/>
          <w:szCs w:val="24"/>
          <w:lang w:val="en-US"/>
        </w:rPr>
        <w:t xml:space="preserve">rapid and sustained BPC 157 </w:t>
      </w:r>
      <w:r w:rsidR="00582230" w:rsidRPr="00CC34A3">
        <w:rPr>
          <w:rFonts w:ascii="Book Antiqua" w:hAnsi="Book Antiqua" w:cs="Times New Roman"/>
          <w:color w:val="000000" w:themeColor="text1"/>
          <w:sz w:val="24"/>
          <w:szCs w:val="24"/>
          <w:lang w:val="en-US"/>
        </w:rPr>
        <w:t>µ</w:t>
      </w:r>
      <w:r w:rsidR="00EB7476" w:rsidRPr="00CC34A3">
        <w:rPr>
          <w:rFonts w:ascii="Book Antiqua" w:hAnsi="Book Antiqua" w:cs="Times New Roman"/>
          <w:color w:val="000000" w:themeColor="text1"/>
          <w:sz w:val="24"/>
          <w:szCs w:val="24"/>
          <w:lang w:val="en-US"/>
        </w:rPr>
        <w:t>g and ng</w:t>
      </w:r>
      <w:r w:rsidR="00E67AD0" w:rsidRPr="00CC34A3">
        <w:rPr>
          <w:rFonts w:ascii="Book Antiqua" w:hAnsi="Book Antiqua" w:cs="Times New Roman"/>
          <w:color w:val="000000" w:themeColor="text1"/>
          <w:sz w:val="24"/>
          <w:szCs w:val="24"/>
          <w:lang w:val="en-US"/>
        </w:rPr>
        <w:t xml:space="preserve"> </w:t>
      </w:r>
      <w:r w:rsidRPr="00CC34A3">
        <w:rPr>
          <w:rFonts w:ascii="Book Antiqua" w:hAnsi="Book Antiqua" w:cs="Times New Roman"/>
          <w:color w:val="000000" w:themeColor="text1"/>
          <w:sz w:val="24"/>
          <w:szCs w:val="24"/>
          <w:lang w:val="en-US"/>
        </w:rPr>
        <w:t>regimen.</w:t>
      </w:r>
    </w:p>
    <w:p w14:paraId="33B435FF" w14:textId="068F15E2" w:rsidR="00EB7476" w:rsidRPr="00CC34A3" w:rsidRDefault="006A3087" w:rsidP="00CC34A3">
      <w:pPr>
        <w:adjustRightInd w:val="0"/>
        <w:snapToGrid w:val="0"/>
        <w:spacing w:after="0" w:line="360" w:lineRule="auto"/>
        <w:jc w:val="both"/>
        <w:rPr>
          <w:rFonts w:ascii="Book Antiqua" w:hAnsi="Book Antiqua" w:cs="Times New Roman"/>
          <w:color w:val="000000" w:themeColor="text1"/>
          <w:sz w:val="24"/>
          <w:szCs w:val="24"/>
          <w:lang w:val="en-US"/>
        </w:rPr>
      </w:pPr>
      <w:r w:rsidRPr="00CC34A3">
        <w:rPr>
          <w:rFonts w:ascii="Book Antiqua" w:hAnsi="Book Antiqua" w:cs="Times New Roman"/>
          <w:color w:val="000000" w:themeColor="text1"/>
          <w:sz w:val="24"/>
          <w:szCs w:val="24"/>
          <w:lang w:val="en-US"/>
        </w:rPr>
        <w:t xml:space="preserve">  </w:t>
      </w:r>
      <w:r w:rsidR="00EB7476" w:rsidRPr="00CC34A3">
        <w:rPr>
          <w:rFonts w:ascii="Book Antiqua" w:hAnsi="Book Antiqua" w:cs="Times New Roman"/>
          <w:color w:val="000000" w:themeColor="text1"/>
          <w:sz w:val="24"/>
          <w:szCs w:val="24"/>
          <w:lang w:val="en-US"/>
        </w:rPr>
        <w:t xml:space="preserve">In </w:t>
      </w:r>
      <w:r w:rsidR="00E72941" w:rsidRPr="00CC34A3">
        <w:rPr>
          <w:rFonts w:ascii="Book Antiqua" w:hAnsi="Book Antiqua" w:cs="Times New Roman"/>
          <w:color w:val="000000" w:themeColor="text1"/>
          <w:sz w:val="24"/>
          <w:szCs w:val="24"/>
          <w:lang w:val="en-US"/>
        </w:rPr>
        <w:t>addition</w:t>
      </w:r>
      <w:r w:rsidR="00EB7476" w:rsidRPr="00CC34A3">
        <w:rPr>
          <w:rFonts w:ascii="Book Antiqua" w:hAnsi="Book Antiqua" w:cs="Times New Roman"/>
          <w:color w:val="000000" w:themeColor="text1"/>
          <w:sz w:val="24"/>
          <w:szCs w:val="24"/>
          <w:lang w:val="en-US"/>
        </w:rPr>
        <w:t xml:space="preserve">, </w:t>
      </w:r>
      <w:r w:rsidR="00E72941" w:rsidRPr="00CC34A3">
        <w:rPr>
          <w:rFonts w:ascii="Book Antiqua" w:hAnsi="Book Antiqua" w:cs="Times New Roman"/>
          <w:color w:val="000000" w:themeColor="text1"/>
          <w:sz w:val="24"/>
          <w:szCs w:val="24"/>
          <w:lang w:val="en-US"/>
        </w:rPr>
        <w:t>we</w:t>
      </w:r>
      <w:r w:rsidR="00EB7476" w:rsidRPr="00CC34A3">
        <w:rPr>
          <w:rFonts w:ascii="Book Antiqua" w:hAnsi="Book Antiqua" w:cs="Times New Roman"/>
          <w:color w:val="000000" w:themeColor="text1"/>
          <w:sz w:val="24"/>
          <w:szCs w:val="24"/>
          <w:lang w:val="en-US"/>
        </w:rPr>
        <w:t xml:space="preserve"> clarif</w:t>
      </w:r>
      <w:r w:rsidR="00E72941" w:rsidRPr="00CC34A3">
        <w:rPr>
          <w:rFonts w:ascii="Book Antiqua" w:hAnsi="Book Antiqua" w:cs="Times New Roman"/>
          <w:color w:val="000000" w:themeColor="text1"/>
          <w:sz w:val="24"/>
          <w:szCs w:val="24"/>
          <w:lang w:val="en-US"/>
        </w:rPr>
        <w:t>ied</w:t>
      </w:r>
      <w:r w:rsidR="00EB7476" w:rsidRPr="00CC34A3">
        <w:rPr>
          <w:rFonts w:ascii="Book Antiqua" w:hAnsi="Book Antiqua" w:cs="Times New Roman"/>
          <w:color w:val="000000" w:themeColor="text1"/>
          <w:sz w:val="24"/>
          <w:szCs w:val="24"/>
          <w:lang w:val="en-US"/>
        </w:rPr>
        <w:t xml:space="preserve"> of the distinction between BPC 157 and NO-agent activity. We assume</w:t>
      </w:r>
      <w:r w:rsidR="00B64C29" w:rsidRPr="00CC34A3">
        <w:rPr>
          <w:rFonts w:ascii="Book Antiqua" w:hAnsi="Book Antiqua" w:cs="Times New Roman"/>
          <w:color w:val="000000" w:themeColor="text1"/>
          <w:sz w:val="24"/>
          <w:szCs w:val="24"/>
          <w:lang w:val="en-US"/>
        </w:rPr>
        <w:t>d</w:t>
      </w:r>
      <w:r w:rsidR="00EB7476" w:rsidRPr="00CC34A3">
        <w:rPr>
          <w:rFonts w:ascii="Book Antiqua" w:hAnsi="Book Antiqua" w:cs="Times New Roman"/>
          <w:color w:val="000000" w:themeColor="text1"/>
          <w:sz w:val="24"/>
          <w:szCs w:val="24"/>
          <w:lang w:val="en-US"/>
        </w:rPr>
        <w:t xml:space="preserve"> </w:t>
      </w:r>
      <w:r w:rsidR="00347A07" w:rsidRPr="00CC34A3">
        <w:rPr>
          <w:rFonts w:ascii="Book Antiqua" w:hAnsi="Book Antiqua" w:cs="Times New Roman"/>
          <w:color w:val="000000" w:themeColor="text1"/>
          <w:sz w:val="24"/>
          <w:szCs w:val="24"/>
          <w:lang w:val="en-US"/>
        </w:rPr>
        <w:t xml:space="preserve">that </w:t>
      </w:r>
      <w:r w:rsidR="00B64C29" w:rsidRPr="00CC34A3">
        <w:rPr>
          <w:rFonts w:ascii="Book Antiqua" w:hAnsi="Book Antiqua" w:cs="Times New Roman"/>
          <w:color w:val="000000" w:themeColor="text1"/>
          <w:sz w:val="24"/>
          <w:szCs w:val="24"/>
          <w:lang w:val="en-US"/>
        </w:rPr>
        <w:t>a</w:t>
      </w:r>
      <w:r w:rsidR="00EB7476" w:rsidRPr="00CC34A3">
        <w:rPr>
          <w:rFonts w:ascii="Book Antiqua" w:hAnsi="Book Antiqua" w:cs="Times New Roman"/>
          <w:color w:val="000000" w:themeColor="text1"/>
          <w:sz w:val="24"/>
          <w:szCs w:val="24"/>
          <w:lang w:val="en-US"/>
        </w:rPr>
        <w:t xml:space="preserve"> prolonged occlusion</w:t>
      </w:r>
      <w:r w:rsidR="00B64C29" w:rsidRPr="00CC34A3">
        <w:rPr>
          <w:rFonts w:ascii="Book Antiqua" w:hAnsi="Book Antiqua" w:cs="Times New Roman"/>
          <w:color w:val="000000" w:themeColor="text1"/>
          <w:sz w:val="24"/>
          <w:szCs w:val="24"/>
          <w:lang w:val="en-US"/>
        </w:rPr>
        <w:t xml:space="preserve"> would result in a more</w:t>
      </w:r>
      <w:r w:rsidR="00EB7476" w:rsidRPr="00CC34A3">
        <w:rPr>
          <w:rFonts w:ascii="Book Antiqua" w:hAnsi="Book Antiqua" w:cs="Times New Roman"/>
          <w:color w:val="000000" w:themeColor="text1"/>
          <w:sz w:val="24"/>
          <w:szCs w:val="24"/>
          <w:lang w:val="en-US"/>
        </w:rPr>
        <w:t xml:space="preserve"> severe lesion</w:t>
      </w:r>
      <w:r w:rsidR="00B64C29" w:rsidRPr="00CC34A3">
        <w:rPr>
          <w:rFonts w:ascii="Book Antiqua" w:hAnsi="Book Antiqua" w:cs="Times New Roman"/>
          <w:color w:val="000000" w:themeColor="text1"/>
          <w:sz w:val="24"/>
          <w:szCs w:val="24"/>
          <w:lang w:val="en-US"/>
        </w:rPr>
        <w:t xml:space="preserve"> and</w:t>
      </w:r>
      <w:r w:rsidR="00EB7476" w:rsidRPr="00CC34A3">
        <w:rPr>
          <w:rFonts w:ascii="Book Antiqua" w:hAnsi="Book Antiqua" w:cs="Times New Roman"/>
          <w:color w:val="000000" w:themeColor="text1"/>
          <w:sz w:val="24"/>
          <w:szCs w:val="24"/>
          <w:lang w:val="en-US"/>
        </w:rPr>
        <w:t xml:space="preserve"> </w:t>
      </w:r>
      <w:r w:rsidR="00B64C29" w:rsidRPr="00CC34A3">
        <w:rPr>
          <w:rFonts w:ascii="Book Antiqua" w:hAnsi="Book Antiqua" w:cs="Times New Roman"/>
          <w:color w:val="000000" w:themeColor="text1"/>
          <w:sz w:val="24"/>
          <w:szCs w:val="24"/>
          <w:lang w:val="en-US"/>
        </w:rPr>
        <w:t>that a</w:t>
      </w:r>
      <w:r w:rsidR="00EB7476" w:rsidRPr="00CC34A3">
        <w:rPr>
          <w:rFonts w:ascii="Book Antiqua" w:hAnsi="Book Antiqua" w:cs="Times New Roman"/>
          <w:color w:val="000000" w:themeColor="text1"/>
          <w:sz w:val="24"/>
          <w:szCs w:val="24"/>
          <w:lang w:val="en-US"/>
        </w:rPr>
        <w:t xml:space="preserve"> persisting</w:t>
      </w:r>
      <w:r w:rsidR="00B64C29" w:rsidRPr="00CC34A3">
        <w:rPr>
          <w:rFonts w:ascii="Book Antiqua" w:hAnsi="Book Antiqua" w:cs="Times New Roman"/>
          <w:color w:val="000000" w:themeColor="text1"/>
          <w:sz w:val="24"/>
          <w:szCs w:val="24"/>
          <w:lang w:val="en-US"/>
        </w:rPr>
        <w:t xml:space="preserve"> and</w:t>
      </w:r>
      <w:r w:rsidR="00EB7476" w:rsidRPr="00CC34A3">
        <w:rPr>
          <w:rFonts w:ascii="Book Antiqua" w:hAnsi="Book Antiqua" w:cs="Times New Roman"/>
          <w:color w:val="000000" w:themeColor="text1"/>
          <w:sz w:val="24"/>
          <w:szCs w:val="24"/>
          <w:lang w:val="en-US"/>
        </w:rPr>
        <w:t xml:space="preserve"> powerful defensive process </w:t>
      </w:r>
      <w:r w:rsidR="00B64C29" w:rsidRPr="00CC34A3">
        <w:rPr>
          <w:rFonts w:ascii="Book Antiqua" w:hAnsi="Book Antiqua" w:cs="Times New Roman"/>
          <w:color w:val="000000" w:themeColor="text1"/>
          <w:sz w:val="24"/>
          <w:szCs w:val="24"/>
          <w:lang w:val="en-US"/>
        </w:rPr>
        <w:t>would</w:t>
      </w:r>
      <w:r w:rsidR="00EB7476" w:rsidRPr="00CC34A3">
        <w:rPr>
          <w:rFonts w:ascii="Book Antiqua" w:hAnsi="Book Antiqua" w:cs="Times New Roman"/>
          <w:color w:val="000000" w:themeColor="text1"/>
          <w:sz w:val="24"/>
          <w:szCs w:val="24"/>
          <w:lang w:val="en-US"/>
        </w:rPr>
        <w:t xml:space="preserve"> oppo</w:t>
      </w:r>
      <w:r w:rsidR="00B64C29" w:rsidRPr="00CC34A3">
        <w:rPr>
          <w:rFonts w:ascii="Book Antiqua" w:hAnsi="Book Antiqua" w:cs="Times New Roman"/>
          <w:color w:val="000000" w:themeColor="text1"/>
          <w:sz w:val="24"/>
          <w:szCs w:val="24"/>
          <w:lang w:val="en-US"/>
        </w:rPr>
        <w:t>se these</w:t>
      </w:r>
      <w:r w:rsidR="00EB7476" w:rsidRPr="00CC34A3">
        <w:rPr>
          <w:rFonts w:ascii="Book Antiqua" w:hAnsi="Book Antiqua" w:cs="Times New Roman"/>
          <w:color w:val="000000" w:themeColor="text1"/>
          <w:sz w:val="24"/>
          <w:szCs w:val="24"/>
          <w:lang w:val="en-US"/>
        </w:rPr>
        <w:t xml:space="preserve"> injuri</w:t>
      </w:r>
      <w:r w:rsidR="00B64C29" w:rsidRPr="00CC34A3">
        <w:rPr>
          <w:rFonts w:ascii="Book Antiqua" w:hAnsi="Book Antiqua" w:cs="Times New Roman"/>
          <w:color w:val="000000" w:themeColor="text1"/>
          <w:sz w:val="24"/>
          <w:szCs w:val="24"/>
          <w:lang w:val="en-US"/>
        </w:rPr>
        <w:t>es</w:t>
      </w:r>
      <w:r w:rsidR="00EB7476" w:rsidRPr="00CC34A3">
        <w:rPr>
          <w:rFonts w:ascii="Book Antiqua" w:hAnsi="Book Antiqua" w:cs="Times New Roman"/>
          <w:color w:val="000000" w:themeColor="text1"/>
          <w:sz w:val="24"/>
          <w:szCs w:val="24"/>
          <w:lang w:val="en-US"/>
        </w:rPr>
        <w:t xml:space="preserve"> and assur</w:t>
      </w:r>
      <w:r w:rsidR="00B64C29" w:rsidRPr="00CC34A3">
        <w:rPr>
          <w:rFonts w:ascii="Book Antiqua" w:hAnsi="Book Antiqua" w:cs="Times New Roman"/>
          <w:color w:val="000000" w:themeColor="text1"/>
          <w:sz w:val="24"/>
          <w:szCs w:val="24"/>
          <w:lang w:val="en-US"/>
        </w:rPr>
        <w:t>e</w:t>
      </w:r>
      <w:r w:rsidR="00EB7476" w:rsidRPr="00CC34A3">
        <w:rPr>
          <w:rFonts w:ascii="Book Antiqua" w:hAnsi="Book Antiqua" w:cs="Times New Roman"/>
          <w:color w:val="000000" w:themeColor="text1"/>
          <w:sz w:val="24"/>
          <w:szCs w:val="24"/>
          <w:lang w:val="en-US"/>
        </w:rPr>
        <w:t xml:space="preserve"> long</w:t>
      </w:r>
      <w:r w:rsidR="006E6E9D" w:rsidRPr="00CC34A3">
        <w:rPr>
          <w:rFonts w:ascii="Book Antiqua" w:hAnsi="Book Antiqua" w:cs="Times New Roman"/>
          <w:color w:val="000000" w:themeColor="text1"/>
          <w:sz w:val="24"/>
          <w:szCs w:val="24"/>
          <w:lang w:val="en-US"/>
        </w:rPr>
        <w:t>-</w:t>
      </w:r>
      <w:r w:rsidR="00EB7476" w:rsidRPr="00CC34A3">
        <w:rPr>
          <w:rFonts w:ascii="Book Antiqua" w:hAnsi="Book Antiqua" w:cs="Times New Roman"/>
          <w:color w:val="000000" w:themeColor="text1"/>
          <w:sz w:val="24"/>
          <w:szCs w:val="24"/>
          <w:lang w:val="en-US"/>
        </w:rPr>
        <w:t>lasting protection. Thus, BPC 157</w:t>
      </w:r>
      <w:r w:rsidR="00B64C29" w:rsidRPr="00CC34A3">
        <w:rPr>
          <w:rFonts w:ascii="Book Antiqua" w:hAnsi="Book Antiqua" w:cs="Times New Roman"/>
          <w:color w:val="000000" w:themeColor="text1"/>
          <w:sz w:val="24"/>
          <w:szCs w:val="24"/>
          <w:lang w:val="en-US"/>
        </w:rPr>
        <w:t xml:space="preserve"> </w:t>
      </w:r>
      <w:r w:rsidR="00EB7476" w:rsidRPr="00CC34A3">
        <w:rPr>
          <w:rFonts w:ascii="Book Antiqua" w:hAnsi="Book Antiqua" w:cs="Times New Roman"/>
          <w:color w:val="000000" w:themeColor="text1"/>
          <w:sz w:val="24"/>
          <w:szCs w:val="24"/>
          <w:lang w:val="en-US"/>
        </w:rPr>
        <w:t>therap</w:t>
      </w:r>
      <w:r w:rsidR="00B64C29" w:rsidRPr="00CC34A3">
        <w:rPr>
          <w:rFonts w:ascii="Book Antiqua" w:hAnsi="Book Antiqua" w:cs="Times New Roman"/>
          <w:color w:val="000000" w:themeColor="text1"/>
          <w:sz w:val="24"/>
          <w:szCs w:val="24"/>
          <w:lang w:val="en-US"/>
        </w:rPr>
        <w:t>y</w:t>
      </w:r>
      <w:r w:rsidR="00EB7476" w:rsidRPr="00CC34A3">
        <w:rPr>
          <w:rFonts w:ascii="Book Antiqua" w:hAnsi="Book Antiqua" w:cs="Times New Roman"/>
          <w:color w:val="000000" w:themeColor="text1"/>
          <w:sz w:val="24"/>
          <w:szCs w:val="24"/>
          <w:lang w:val="en-US"/>
        </w:rPr>
        <w:t>, along with the findings mentioned before</w:t>
      </w:r>
      <w:r w:rsidR="00A526CA" w:rsidRPr="00CC34A3">
        <w:rPr>
          <w:rFonts w:ascii="Book Antiqua" w:eastAsia="Calibri" w:hAnsi="Book Antiqua" w:cs="Times New Roman"/>
          <w:color w:val="000000" w:themeColor="text1"/>
          <w:sz w:val="24"/>
          <w:szCs w:val="24"/>
          <w:lang w:val="en-US"/>
        </w:rPr>
        <w:fldChar w:fldCharType="begin" w:fldLock="1"/>
      </w:r>
      <w:r w:rsidR="00317D7F" w:rsidRPr="00CC34A3">
        <w:rPr>
          <w:rFonts w:ascii="Book Antiqua" w:eastAsia="Calibri" w:hAnsi="Book Antiqua" w:cs="Times New Roman"/>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A526CA" w:rsidRPr="00CC34A3">
        <w:rPr>
          <w:rFonts w:ascii="Book Antiqua" w:eastAsia="Calibri" w:hAnsi="Book Antiqua" w:cs="Times New Roman"/>
          <w:color w:val="000000" w:themeColor="text1"/>
          <w:sz w:val="24"/>
          <w:szCs w:val="24"/>
          <w:lang w:val="en-US"/>
        </w:rPr>
        <w:fldChar w:fldCharType="separate"/>
      </w:r>
      <w:r w:rsidR="00317D7F" w:rsidRPr="00CC34A3">
        <w:rPr>
          <w:rFonts w:ascii="Book Antiqua" w:eastAsia="Calibri" w:hAnsi="Book Antiqua" w:cs="Times New Roman"/>
          <w:color w:val="000000" w:themeColor="text1"/>
          <w:sz w:val="24"/>
          <w:szCs w:val="24"/>
          <w:vertAlign w:val="superscript"/>
          <w:lang w:val="en-US"/>
        </w:rPr>
        <w:t>[15,16]</w:t>
      </w:r>
      <w:r w:rsidR="00A526CA" w:rsidRPr="00CC34A3">
        <w:rPr>
          <w:rFonts w:ascii="Book Antiqua" w:eastAsia="Calibri" w:hAnsi="Book Antiqua" w:cs="Times New Roman"/>
          <w:color w:val="000000" w:themeColor="text1"/>
          <w:sz w:val="24"/>
          <w:szCs w:val="24"/>
          <w:lang w:val="en-US"/>
        </w:rPr>
        <w:fldChar w:fldCharType="end"/>
      </w:r>
      <w:r w:rsidR="008D5CC8" w:rsidRPr="00CC34A3">
        <w:rPr>
          <w:rFonts w:ascii="Book Antiqua" w:eastAsia="Calibri" w:hAnsi="Book Antiqua" w:cs="Times New Roman"/>
          <w:color w:val="000000" w:themeColor="text1"/>
          <w:sz w:val="24"/>
          <w:szCs w:val="24"/>
          <w:lang w:val="en-US"/>
        </w:rPr>
        <w:t xml:space="preserve">, </w:t>
      </w:r>
      <w:r w:rsidR="00EB7476" w:rsidRPr="00CC34A3">
        <w:rPr>
          <w:rFonts w:ascii="Book Antiqua" w:hAnsi="Book Antiqua" w:cs="Times New Roman"/>
          <w:color w:val="000000" w:themeColor="text1"/>
          <w:sz w:val="24"/>
          <w:szCs w:val="24"/>
          <w:lang w:val="en-US"/>
        </w:rPr>
        <w:t>exhibited a special “bypassing” effect (through arcade vessels and/or minor and major vessels</w:t>
      </w:r>
      <w:r w:rsidR="00A526CA" w:rsidRPr="00CC34A3">
        <w:rPr>
          <w:rFonts w:ascii="Book Antiqua" w:eastAsia="Calibri" w:hAnsi="Book Antiqua" w:cs="Times New Roman"/>
          <w:color w:val="000000" w:themeColor="text1"/>
          <w:sz w:val="24"/>
          <w:szCs w:val="24"/>
          <w:lang w:val="en-US"/>
        </w:rPr>
        <w:fldChar w:fldCharType="begin" w:fldLock="1"/>
      </w:r>
      <w:r w:rsidR="00317D7F" w:rsidRPr="00CC34A3">
        <w:rPr>
          <w:rFonts w:ascii="Book Antiqua" w:eastAsia="Calibri" w:hAnsi="Book Antiqua" w:cs="Times New Roman"/>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A526CA" w:rsidRPr="00CC34A3">
        <w:rPr>
          <w:rFonts w:ascii="Book Antiqua" w:eastAsia="Calibri" w:hAnsi="Book Antiqua" w:cs="Times New Roman"/>
          <w:color w:val="000000" w:themeColor="text1"/>
          <w:sz w:val="24"/>
          <w:szCs w:val="24"/>
          <w:lang w:val="en-US"/>
        </w:rPr>
        <w:fldChar w:fldCharType="separate"/>
      </w:r>
      <w:r w:rsidR="00317D7F" w:rsidRPr="00CC34A3">
        <w:rPr>
          <w:rFonts w:ascii="Book Antiqua" w:eastAsia="Calibri" w:hAnsi="Book Antiqua" w:cs="Times New Roman"/>
          <w:color w:val="000000" w:themeColor="text1"/>
          <w:sz w:val="24"/>
          <w:szCs w:val="24"/>
          <w:vertAlign w:val="superscript"/>
          <w:lang w:val="en-US"/>
        </w:rPr>
        <w:t>[15,16]</w:t>
      </w:r>
      <w:r w:rsidR="00A526CA" w:rsidRPr="00CC34A3">
        <w:rPr>
          <w:rFonts w:ascii="Book Antiqua" w:eastAsia="Calibri" w:hAnsi="Book Antiqua" w:cs="Times New Roman"/>
          <w:color w:val="000000" w:themeColor="text1"/>
          <w:sz w:val="24"/>
          <w:szCs w:val="24"/>
          <w:lang w:val="en-US"/>
        </w:rPr>
        <w:fldChar w:fldCharType="end"/>
      </w:r>
      <w:r w:rsidR="00EB7476" w:rsidRPr="00CC34A3">
        <w:rPr>
          <w:rFonts w:ascii="Book Antiqua" w:hAnsi="Book Antiqua" w:cs="Times New Roman"/>
          <w:color w:val="000000" w:themeColor="text1"/>
          <w:sz w:val="24"/>
          <w:szCs w:val="24"/>
          <w:lang w:val="en-US"/>
        </w:rPr>
        <w:t>) making vascular occlusion harmless</w:t>
      </w:r>
      <w:r w:rsidR="00B64C29" w:rsidRPr="00CC34A3">
        <w:rPr>
          <w:rFonts w:ascii="Book Antiqua" w:hAnsi="Book Antiqua" w:cs="Times New Roman"/>
          <w:color w:val="000000" w:themeColor="text1"/>
          <w:sz w:val="24"/>
          <w:szCs w:val="24"/>
          <w:lang w:val="en-US"/>
        </w:rPr>
        <w:t xml:space="preserve"> and</w:t>
      </w:r>
      <w:r w:rsidR="00EB7476" w:rsidRPr="00CC34A3">
        <w:rPr>
          <w:rFonts w:ascii="Book Antiqua" w:hAnsi="Book Antiqua" w:cs="Times New Roman"/>
          <w:color w:val="000000" w:themeColor="text1"/>
          <w:sz w:val="24"/>
          <w:szCs w:val="24"/>
          <w:lang w:val="en-US"/>
        </w:rPr>
        <w:t xml:space="preserve"> reorganizing </w:t>
      </w:r>
      <w:r w:rsidR="00B64C29" w:rsidRPr="00CC34A3">
        <w:rPr>
          <w:rFonts w:ascii="Book Antiqua" w:hAnsi="Book Antiqua" w:cs="Times New Roman"/>
          <w:color w:val="000000" w:themeColor="text1"/>
          <w:sz w:val="24"/>
          <w:szCs w:val="24"/>
          <w:lang w:val="en-US"/>
        </w:rPr>
        <w:t xml:space="preserve">the </w:t>
      </w:r>
      <w:r w:rsidR="00EB7476" w:rsidRPr="00CC34A3">
        <w:rPr>
          <w:rFonts w:ascii="Book Antiqua" w:hAnsi="Book Antiqua" w:cs="Times New Roman"/>
          <w:color w:val="000000" w:themeColor="text1"/>
          <w:sz w:val="24"/>
          <w:szCs w:val="24"/>
          <w:lang w:val="en-US"/>
        </w:rPr>
        <w:t xml:space="preserve">blood flow to counteract </w:t>
      </w:r>
      <w:r w:rsidR="00B64C29" w:rsidRPr="00CC34A3">
        <w:rPr>
          <w:rFonts w:ascii="Book Antiqua" w:hAnsi="Book Antiqua" w:cs="Times New Roman"/>
          <w:color w:val="000000" w:themeColor="text1"/>
          <w:sz w:val="24"/>
          <w:szCs w:val="24"/>
          <w:lang w:val="en-US"/>
        </w:rPr>
        <w:t xml:space="preserve">the </w:t>
      </w:r>
      <w:r w:rsidR="00EB7476" w:rsidRPr="00CC34A3">
        <w:rPr>
          <w:rFonts w:ascii="Book Antiqua" w:hAnsi="Book Antiqua" w:cs="Times New Roman"/>
          <w:color w:val="000000" w:themeColor="text1"/>
          <w:sz w:val="24"/>
          <w:szCs w:val="24"/>
          <w:lang w:val="en-US"/>
        </w:rPr>
        <w:t xml:space="preserve">duodenal lesions in rats with SAPDV-ligation. </w:t>
      </w:r>
      <w:r w:rsidR="00EE74AD" w:rsidRPr="00CC34A3">
        <w:rPr>
          <w:rFonts w:ascii="Book Antiqua" w:hAnsi="Book Antiqua" w:cs="Times New Roman"/>
          <w:color w:val="000000" w:themeColor="text1"/>
          <w:sz w:val="24"/>
          <w:szCs w:val="24"/>
          <w:lang w:val="en-US"/>
        </w:rPr>
        <w:t>Similar to</w:t>
      </w:r>
      <w:r w:rsidR="00EB7476" w:rsidRPr="00CC34A3">
        <w:rPr>
          <w:rFonts w:ascii="Book Antiqua" w:hAnsi="Book Antiqua" w:cs="Times New Roman"/>
          <w:color w:val="000000" w:themeColor="text1"/>
          <w:sz w:val="24"/>
          <w:szCs w:val="24"/>
          <w:lang w:val="en-US"/>
        </w:rPr>
        <w:t xml:space="preserve"> occlusion of the other vessels</w:t>
      </w:r>
      <w:r w:rsidR="00A526CA" w:rsidRPr="00CC34A3">
        <w:rPr>
          <w:rFonts w:ascii="Book Antiqua" w:eastAsia="Calibri" w:hAnsi="Book Antiqua" w:cs="Times New Roman"/>
          <w:color w:val="000000" w:themeColor="text1"/>
          <w:sz w:val="24"/>
          <w:szCs w:val="24"/>
          <w:lang w:val="en-US"/>
        </w:rPr>
        <w:fldChar w:fldCharType="begin" w:fldLock="1"/>
      </w:r>
      <w:r w:rsidR="00317D7F" w:rsidRPr="00CC34A3">
        <w:rPr>
          <w:rFonts w:ascii="Book Antiqua" w:eastAsia="Calibri" w:hAnsi="Book Antiqua" w:cs="Times New Roman"/>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A526CA" w:rsidRPr="00CC34A3">
        <w:rPr>
          <w:rFonts w:ascii="Book Antiqua" w:eastAsia="Calibri" w:hAnsi="Book Antiqua" w:cs="Times New Roman"/>
          <w:color w:val="000000" w:themeColor="text1"/>
          <w:sz w:val="24"/>
          <w:szCs w:val="24"/>
          <w:lang w:val="en-US"/>
        </w:rPr>
        <w:fldChar w:fldCharType="separate"/>
      </w:r>
      <w:r w:rsidR="00317D7F" w:rsidRPr="00CC34A3">
        <w:rPr>
          <w:rFonts w:ascii="Book Antiqua" w:eastAsia="Calibri" w:hAnsi="Book Antiqua" w:cs="Times New Roman"/>
          <w:color w:val="000000" w:themeColor="text1"/>
          <w:sz w:val="24"/>
          <w:szCs w:val="24"/>
          <w:vertAlign w:val="superscript"/>
          <w:lang w:val="en-US"/>
        </w:rPr>
        <w:t>[15,16]</w:t>
      </w:r>
      <w:r w:rsidR="00A526CA" w:rsidRPr="00CC34A3">
        <w:rPr>
          <w:rFonts w:ascii="Book Antiqua" w:eastAsia="Calibri" w:hAnsi="Book Antiqua" w:cs="Times New Roman"/>
          <w:color w:val="000000" w:themeColor="text1"/>
          <w:sz w:val="24"/>
          <w:szCs w:val="24"/>
          <w:lang w:val="en-US"/>
        </w:rPr>
        <w:fldChar w:fldCharType="end"/>
      </w:r>
      <w:r w:rsidR="00D0578C" w:rsidRPr="00CC34A3">
        <w:rPr>
          <w:rFonts w:ascii="Book Antiqua" w:eastAsia="Calibri" w:hAnsi="Book Antiqua" w:cs="Times New Roman"/>
          <w:color w:val="000000" w:themeColor="text1"/>
          <w:sz w:val="24"/>
          <w:szCs w:val="24"/>
          <w:lang w:val="en-US"/>
        </w:rPr>
        <w:t>,</w:t>
      </w:r>
      <w:r w:rsidR="00EB7476" w:rsidRPr="00CC34A3">
        <w:rPr>
          <w:rFonts w:ascii="Book Antiqua" w:hAnsi="Book Antiqua" w:cs="Times New Roman"/>
          <w:color w:val="000000" w:themeColor="text1"/>
          <w:sz w:val="24"/>
          <w:szCs w:val="24"/>
          <w:lang w:val="en-US"/>
        </w:rPr>
        <w:t xml:space="preserve"> this</w:t>
      </w:r>
      <w:r w:rsidR="00B64C29" w:rsidRPr="00CC34A3">
        <w:rPr>
          <w:rFonts w:ascii="Book Antiqua" w:hAnsi="Book Antiqua" w:cs="Times New Roman"/>
          <w:color w:val="000000" w:themeColor="text1"/>
          <w:sz w:val="24"/>
          <w:szCs w:val="24"/>
          <w:lang w:val="en-US"/>
        </w:rPr>
        <w:t xml:space="preserve"> study</w:t>
      </w:r>
      <w:r w:rsidR="00EB7476" w:rsidRPr="00CC34A3">
        <w:rPr>
          <w:rFonts w:ascii="Book Antiqua" w:hAnsi="Book Antiqua" w:cs="Times New Roman"/>
          <w:color w:val="000000" w:themeColor="text1"/>
          <w:sz w:val="24"/>
          <w:szCs w:val="24"/>
          <w:lang w:val="en-US"/>
        </w:rPr>
        <w:t xml:space="preserve"> indicates the early positive outcome (“bypassing” effect) </w:t>
      </w:r>
      <w:r w:rsidR="00EE74AD" w:rsidRPr="00CC34A3">
        <w:rPr>
          <w:rFonts w:ascii="Book Antiqua" w:hAnsi="Book Antiqua" w:cs="Times New Roman"/>
          <w:color w:val="000000" w:themeColor="text1"/>
          <w:sz w:val="24"/>
          <w:szCs w:val="24"/>
          <w:lang w:val="en-US"/>
        </w:rPr>
        <w:t xml:space="preserve">of BPC 157 </w:t>
      </w:r>
      <w:r w:rsidR="00EB7476" w:rsidRPr="00CC34A3">
        <w:rPr>
          <w:rFonts w:ascii="Book Antiqua" w:hAnsi="Book Antiqua" w:cs="Times New Roman"/>
          <w:color w:val="000000" w:themeColor="text1"/>
          <w:sz w:val="24"/>
          <w:szCs w:val="24"/>
          <w:lang w:val="en-US"/>
        </w:rPr>
        <w:t>that may be crucial for its persisting beneficial effect</w:t>
      </w:r>
      <w:r w:rsidR="00B64C29" w:rsidRPr="00CC34A3">
        <w:rPr>
          <w:rFonts w:ascii="Book Antiqua" w:hAnsi="Book Antiqua" w:cs="Times New Roman"/>
          <w:color w:val="000000" w:themeColor="text1"/>
          <w:sz w:val="24"/>
          <w:szCs w:val="24"/>
          <w:lang w:val="en-US"/>
        </w:rPr>
        <w:t>,</w:t>
      </w:r>
      <w:r w:rsidR="00EB7476" w:rsidRPr="00CC34A3">
        <w:rPr>
          <w:rFonts w:ascii="Book Antiqua" w:hAnsi="Book Antiqua" w:cs="Times New Roman"/>
          <w:color w:val="000000" w:themeColor="text1"/>
          <w:sz w:val="24"/>
          <w:szCs w:val="24"/>
          <w:lang w:val="en-US"/>
        </w:rPr>
        <w:t xml:space="preserve"> even with continuous occlusion</w:t>
      </w:r>
      <w:r w:rsidR="00B64C29" w:rsidRPr="00CC34A3">
        <w:rPr>
          <w:rFonts w:ascii="Book Antiqua" w:hAnsi="Book Antiqua" w:cs="Times New Roman"/>
          <w:color w:val="000000" w:themeColor="text1"/>
          <w:sz w:val="24"/>
          <w:szCs w:val="24"/>
          <w:lang w:val="en-US"/>
        </w:rPr>
        <w:t>s</w:t>
      </w:r>
      <w:r w:rsidR="00EB7476" w:rsidRPr="00CC34A3">
        <w:rPr>
          <w:rFonts w:ascii="Book Antiqua" w:hAnsi="Book Antiqua" w:cs="Times New Roman"/>
          <w:color w:val="000000" w:themeColor="text1"/>
          <w:sz w:val="24"/>
          <w:szCs w:val="24"/>
          <w:lang w:val="en-US"/>
        </w:rPr>
        <w:t xml:space="preserve">. </w:t>
      </w:r>
      <w:r w:rsidR="00B64C29" w:rsidRPr="00CC34A3">
        <w:rPr>
          <w:rFonts w:ascii="Book Antiqua" w:hAnsi="Book Antiqua" w:cs="Times New Roman"/>
          <w:color w:val="000000" w:themeColor="text1"/>
          <w:sz w:val="24"/>
          <w:szCs w:val="24"/>
          <w:lang w:val="en-US"/>
        </w:rPr>
        <w:t>The</w:t>
      </w:r>
      <w:r w:rsidR="00EB7476" w:rsidRPr="00CC34A3">
        <w:rPr>
          <w:rFonts w:ascii="Book Antiqua" w:hAnsi="Book Antiqua" w:cs="Times New Roman"/>
          <w:color w:val="000000" w:themeColor="text1"/>
          <w:sz w:val="24"/>
          <w:szCs w:val="24"/>
          <w:lang w:val="en-US"/>
        </w:rPr>
        <w:t xml:space="preserve"> effect </w:t>
      </w:r>
      <w:r w:rsidR="00B64C29" w:rsidRPr="00CC34A3">
        <w:rPr>
          <w:rFonts w:ascii="Book Antiqua" w:hAnsi="Book Antiqua" w:cs="Times New Roman"/>
          <w:color w:val="000000" w:themeColor="text1"/>
          <w:sz w:val="24"/>
          <w:szCs w:val="24"/>
          <w:lang w:val="en-US"/>
        </w:rPr>
        <w:t xml:space="preserve">of BCP 157 </w:t>
      </w:r>
      <w:r w:rsidR="00EB7476" w:rsidRPr="00CC34A3">
        <w:rPr>
          <w:rFonts w:ascii="Book Antiqua" w:hAnsi="Book Antiqua" w:cs="Times New Roman"/>
          <w:color w:val="000000" w:themeColor="text1"/>
          <w:sz w:val="24"/>
          <w:szCs w:val="24"/>
          <w:lang w:val="en-US"/>
        </w:rPr>
        <w:t xml:space="preserve">in rats with SAPDV-ligation and rats with left colic artery and vein ligations may indicate that </w:t>
      </w:r>
      <w:r w:rsidR="00EE74AD" w:rsidRPr="00CC34A3">
        <w:rPr>
          <w:rFonts w:ascii="Book Antiqua" w:hAnsi="Book Antiqua" w:cs="Times New Roman"/>
          <w:color w:val="000000" w:themeColor="text1"/>
          <w:sz w:val="24"/>
          <w:szCs w:val="24"/>
          <w:lang w:val="en-US"/>
        </w:rPr>
        <w:t xml:space="preserve">the action of </w:t>
      </w:r>
      <w:r w:rsidR="00EB7476" w:rsidRPr="00CC34A3">
        <w:rPr>
          <w:rFonts w:ascii="Book Antiqua" w:hAnsi="Book Antiqua" w:cs="Times New Roman"/>
          <w:color w:val="000000" w:themeColor="text1"/>
          <w:sz w:val="24"/>
          <w:szCs w:val="24"/>
          <w:lang w:val="en-US"/>
        </w:rPr>
        <w:t xml:space="preserve">BPC 157 </w:t>
      </w:r>
      <w:r w:rsidR="00E56388" w:rsidRPr="00CC34A3">
        <w:rPr>
          <w:rFonts w:ascii="Book Antiqua" w:hAnsi="Book Antiqua" w:cs="Times New Roman"/>
          <w:color w:val="000000" w:themeColor="text1"/>
          <w:sz w:val="24"/>
          <w:szCs w:val="24"/>
          <w:lang w:val="en-US"/>
        </w:rPr>
        <w:t xml:space="preserve">overlaps in the </w:t>
      </w:r>
      <w:r w:rsidR="00EB7476" w:rsidRPr="00CC34A3">
        <w:rPr>
          <w:rFonts w:ascii="Book Antiqua" w:hAnsi="Book Antiqua" w:cs="Times New Roman"/>
          <w:color w:val="000000" w:themeColor="text1"/>
          <w:sz w:val="24"/>
          <w:szCs w:val="24"/>
          <w:lang w:val="en-US"/>
        </w:rPr>
        <w:t>duodenum</w:t>
      </w:r>
      <w:r w:rsidR="00E56388" w:rsidRPr="00CC34A3">
        <w:rPr>
          <w:rFonts w:ascii="Book Antiqua" w:hAnsi="Book Antiqua" w:cs="Times New Roman"/>
          <w:color w:val="000000" w:themeColor="text1"/>
          <w:sz w:val="24"/>
          <w:szCs w:val="24"/>
          <w:lang w:val="en-US"/>
        </w:rPr>
        <w:t xml:space="preserve"> and </w:t>
      </w:r>
      <w:r w:rsidR="00EB7476" w:rsidRPr="00CC34A3">
        <w:rPr>
          <w:rFonts w:ascii="Book Antiqua" w:hAnsi="Book Antiqua" w:cs="Times New Roman"/>
          <w:color w:val="000000" w:themeColor="text1"/>
          <w:sz w:val="24"/>
          <w:szCs w:val="24"/>
          <w:lang w:val="en-US"/>
        </w:rPr>
        <w:t>colon</w:t>
      </w:r>
      <w:r w:rsidR="00A526CA" w:rsidRPr="00CC34A3">
        <w:rPr>
          <w:rFonts w:ascii="Book Antiqua" w:eastAsia="Calibri" w:hAnsi="Book Antiqua" w:cs="Times New Roman"/>
          <w:color w:val="000000" w:themeColor="text1"/>
          <w:sz w:val="24"/>
          <w:szCs w:val="24"/>
          <w:lang w:val="en-US"/>
        </w:rPr>
        <w:fldChar w:fldCharType="begin" w:fldLock="1"/>
      </w:r>
      <w:r w:rsidR="00317D7F" w:rsidRPr="00CC34A3">
        <w:rPr>
          <w:rFonts w:ascii="Book Antiqua" w:eastAsia="Calibri" w:hAnsi="Book Antiqua" w:cs="Times New Roman"/>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A526CA" w:rsidRPr="00CC34A3">
        <w:rPr>
          <w:rFonts w:ascii="Book Antiqua" w:eastAsia="Calibri" w:hAnsi="Book Antiqua" w:cs="Times New Roman"/>
          <w:color w:val="000000" w:themeColor="text1"/>
          <w:sz w:val="24"/>
          <w:szCs w:val="24"/>
          <w:lang w:val="en-US"/>
        </w:rPr>
        <w:fldChar w:fldCharType="separate"/>
      </w:r>
      <w:r w:rsidR="00317D7F" w:rsidRPr="00CC34A3">
        <w:rPr>
          <w:rFonts w:ascii="Book Antiqua" w:eastAsia="Calibri" w:hAnsi="Book Antiqua" w:cs="Times New Roman"/>
          <w:color w:val="000000" w:themeColor="text1"/>
          <w:sz w:val="24"/>
          <w:szCs w:val="24"/>
          <w:vertAlign w:val="superscript"/>
          <w:lang w:val="en-US"/>
        </w:rPr>
        <w:t>[15,16]</w:t>
      </w:r>
      <w:r w:rsidR="00A526CA" w:rsidRPr="00CC34A3">
        <w:rPr>
          <w:rFonts w:ascii="Book Antiqua" w:eastAsia="Calibri" w:hAnsi="Book Antiqua" w:cs="Times New Roman"/>
          <w:color w:val="000000" w:themeColor="text1"/>
          <w:sz w:val="24"/>
          <w:szCs w:val="24"/>
          <w:lang w:val="en-US"/>
        </w:rPr>
        <w:fldChar w:fldCharType="end"/>
      </w:r>
      <w:r w:rsidR="00D0578C" w:rsidRPr="00CC34A3">
        <w:rPr>
          <w:rFonts w:ascii="Book Antiqua" w:eastAsia="Calibri" w:hAnsi="Book Antiqua" w:cs="Times New Roman"/>
          <w:color w:val="000000" w:themeColor="text1"/>
          <w:sz w:val="24"/>
          <w:szCs w:val="24"/>
          <w:lang w:val="en-US"/>
        </w:rPr>
        <w:t>.</w:t>
      </w:r>
      <w:r w:rsidR="00EB7476" w:rsidRPr="00CC34A3">
        <w:rPr>
          <w:rFonts w:ascii="Book Antiqua" w:hAnsi="Book Antiqua" w:cs="Times New Roman"/>
          <w:color w:val="000000" w:themeColor="text1"/>
          <w:sz w:val="24"/>
          <w:szCs w:val="24"/>
          <w:lang w:val="en-US"/>
        </w:rPr>
        <w:t xml:space="preserve"> BPC </w:t>
      </w:r>
      <w:r w:rsidR="00EB7476" w:rsidRPr="00CC34A3">
        <w:rPr>
          <w:rFonts w:ascii="Book Antiqua" w:hAnsi="Book Antiqua" w:cs="Times New Roman"/>
          <w:color w:val="000000" w:themeColor="text1"/>
          <w:sz w:val="24"/>
          <w:szCs w:val="24"/>
          <w:lang w:val="en-US"/>
        </w:rPr>
        <w:lastRenderedPageBreak/>
        <w:t xml:space="preserve">157 </w:t>
      </w:r>
      <w:r w:rsidR="00E56388" w:rsidRPr="00CC34A3">
        <w:rPr>
          <w:rFonts w:ascii="Book Antiqua" w:hAnsi="Book Antiqua" w:cs="Times New Roman"/>
          <w:color w:val="000000" w:themeColor="text1"/>
          <w:sz w:val="24"/>
          <w:szCs w:val="24"/>
          <w:lang w:val="en-US"/>
        </w:rPr>
        <w:t>plays an</w:t>
      </w:r>
      <w:r w:rsidR="00EB7476" w:rsidRPr="00CC34A3">
        <w:rPr>
          <w:rFonts w:ascii="Book Antiqua" w:hAnsi="Book Antiqua" w:cs="Times New Roman"/>
          <w:color w:val="000000" w:themeColor="text1"/>
          <w:sz w:val="24"/>
          <w:szCs w:val="24"/>
          <w:lang w:val="en-US"/>
        </w:rPr>
        <w:t xml:space="preserve"> important </w:t>
      </w:r>
      <w:r w:rsidR="00E56388" w:rsidRPr="00CC34A3">
        <w:rPr>
          <w:rFonts w:ascii="Book Antiqua" w:hAnsi="Book Antiqua" w:cs="Times New Roman"/>
          <w:color w:val="000000" w:themeColor="text1"/>
          <w:sz w:val="24"/>
          <w:szCs w:val="24"/>
          <w:lang w:val="en-US"/>
        </w:rPr>
        <w:t xml:space="preserve">role </w:t>
      </w:r>
      <w:r w:rsidR="003C72AE" w:rsidRPr="00CC34A3">
        <w:rPr>
          <w:rFonts w:ascii="Book Antiqua" w:hAnsi="Book Antiqua" w:cs="Times New Roman"/>
          <w:color w:val="000000" w:themeColor="text1"/>
          <w:sz w:val="24"/>
          <w:szCs w:val="24"/>
          <w:lang w:val="en-US"/>
        </w:rPr>
        <w:t xml:space="preserve">in </w:t>
      </w:r>
      <w:r w:rsidR="00EB7476" w:rsidRPr="00CC34A3">
        <w:rPr>
          <w:rFonts w:ascii="Book Antiqua" w:hAnsi="Book Antiqua" w:cs="Times New Roman"/>
          <w:color w:val="000000" w:themeColor="text1"/>
          <w:sz w:val="24"/>
          <w:szCs w:val="24"/>
          <w:lang w:val="en-US"/>
        </w:rPr>
        <w:t xml:space="preserve">with respect to </w:t>
      </w:r>
      <w:r w:rsidR="00EE74AD" w:rsidRPr="00CC34A3">
        <w:rPr>
          <w:rFonts w:ascii="Book Antiqua" w:hAnsi="Book Antiqua" w:cs="Times New Roman"/>
          <w:color w:val="000000" w:themeColor="text1"/>
          <w:sz w:val="24"/>
          <w:szCs w:val="24"/>
          <w:lang w:val="en-US"/>
        </w:rPr>
        <w:t xml:space="preserve">the </w:t>
      </w:r>
      <w:r w:rsidR="00EB7476" w:rsidRPr="00CC34A3">
        <w:rPr>
          <w:rFonts w:ascii="Book Antiqua" w:hAnsi="Book Antiqua" w:cs="Times New Roman"/>
          <w:color w:val="000000" w:themeColor="text1"/>
          <w:sz w:val="24"/>
          <w:szCs w:val="24"/>
          <w:lang w:val="en-US"/>
        </w:rPr>
        <w:t xml:space="preserve">“bypassing” effect </w:t>
      </w:r>
      <w:r w:rsidR="00E56388" w:rsidRPr="00CC34A3">
        <w:rPr>
          <w:rFonts w:ascii="Book Antiqua" w:hAnsi="Book Antiqua" w:cs="Times New Roman"/>
          <w:color w:val="000000" w:themeColor="text1"/>
          <w:sz w:val="24"/>
          <w:szCs w:val="24"/>
          <w:lang w:val="en-US"/>
        </w:rPr>
        <w:t>that maintains</w:t>
      </w:r>
      <w:r w:rsidR="00EB7476" w:rsidRPr="00CC34A3">
        <w:rPr>
          <w:rFonts w:ascii="Book Antiqua" w:hAnsi="Book Antiqua" w:cs="Times New Roman"/>
          <w:color w:val="000000" w:themeColor="text1"/>
          <w:sz w:val="24"/>
          <w:szCs w:val="24"/>
          <w:lang w:val="en-US"/>
        </w:rPr>
        <w:t xml:space="preserve"> duodenum and colon mucosal integrity</w:t>
      </w:r>
      <w:r w:rsidR="00A526CA" w:rsidRPr="00CC34A3">
        <w:rPr>
          <w:rFonts w:ascii="Book Antiqua" w:eastAsia="Calibri" w:hAnsi="Book Antiqua" w:cs="Times New Roman"/>
          <w:color w:val="000000" w:themeColor="text1"/>
          <w:sz w:val="24"/>
          <w:szCs w:val="24"/>
          <w:lang w:val="en-US"/>
        </w:rPr>
        <w:fldChar w:fldCharType="begin" w:fldLock="1"/>
      </w:r>
      <w:r w:rsidR="00317D7F" w:rsidRPr="00CC34A3">
        <w:rPr>
          <w:rFonts w:ascii="Book Antiqua" w:eastAsia="Calibri" w:hAnsi="Book Antiqua" w:cs="Times New Roman"/>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A526CA" w:rsidRPr="00CC34A3">
        <w:rPr>
          <w:rFonts w:ascii="Book Antiqua" w:eastAsia="Calibri" w:hAnsi="Book Antiqua" w:cs="Times New Roman"/>
          <w:color w:val="000000" w:themeColor="text1"/>
          <w:sz w:val="24"/>
          <w:szCs w:val="24"/>
          <w:lang w:val="en-US"/>
        </w:rPr>
        <w:fldChar w:fldCharType="separate"/>
      </w:r>
      <w:r w:rsidR="00317D7F" w:rsidRPr="00CC34A3">
        <w:rPr>
          <w:rFonts w:ascii="Book Antiqua" w:eastAsia="Calibri" w:hAnsi="Book Antiqua" w:cs="Times New Roman"/>
          <w:color w:val="000000" w:themeColor="text1"/>
          <w:sz w:val="24"/>
          <w:szCs w:val="24"/>
          <w:vertAlign w:val="superscript"/>
          <w:lang w:val="en-US"/>
        </w:rPr>
        <w:t>[15,16]</w:t>
      </w:r>
      <w:r w:rsidR="00A526CA" w:rsidRPr="00CC34A3">
        <w:rPr>
          <w:rFonts w:ascii="Book Antiqua" w:eastAsia="Calibri" w:hAnsi="Book Antiqua" w:cs="Times New Roman"/>
          <w:color w:val="000000" w:themeColor="text1"/>
          <w:sz w:val="24"/>
          <w:szCs w:val="24"/>
          <w:lang w:val="en-US"/>
        </w:rPr>
        <w:fldChar w:fldCharType="end"/>
      </w:r>
      <w:r w:rsidR="00456E13" w:rsidRPr="00CC34A3">
        <w:rPr>
          <w:rFonts w:ascii="Book Antiqua" w:hAnsi="Book Antiqua" w:cs="Times New Roman"/>
          <w:color w:val="000000" w:themeColor="text1"/>
          <w:sz w:val="24"/>
          <w:szCs w:val="24"/>
          <w:lang w:val="en-US"/>
        </w:rPr>
        <w:t xml:space="preserve"> </w:t>
      </w:r>
      <w:r w:rsidR="00EE74AD" w:rsidRPr="00CC34A3">
        <w:rPr>
          <w:rFonts w:ascii="Book Antiqua" w:hAnsi="Book Antiqua" w:cs="Times New Roman"/>
          <w:color w:val="000000" w:themeColor="text1"/>
          <w:sz w:val="24"/>
          <w:szCs w:val="24"/>
          <w:lang w:val="en-US"/>
        </w:rPr>
        <w:t xml:space="preserve">and </w:t>
      </w:r>
      <w:r w:rsidR="00EB7476" w:rsidRPr="00CC34A3">
        <w:rPr>
          <w:rFonts w:ascii="Book Antiqua" w:hAnsi="Book Antiqua" w:cs="Times New Roman"/>
          <w:color w:val="000000" w:themeColor="text1"/>
          <w:sz w:val="24"/>
          <w:szCs w:val="24"/>
          <w:lang w:val="en-US"/>
        </w:rPr>
        <w:t>interact</w:t>
      </w:r>
      <w:r w:rsidR="00E56388" w:rsidRPr="00CC34A3">
        <w:rPr>
          <w:rFonts w:ascii="Book Antiqua" w:hAnsi="Book Antiqua" w:cs="Times New Roman"/>
          <w:color w:val="000000" w:themeColor="text1"/>
          <w:sz w:val="24"/>
          <w:szCs w:val="24"/>
          <w:lang w:val="en-US"/>
        </w:rPr>
        <w:t>s</w:t>
      </w:r>
      <w:r w:rsidR="00EB7476" w:rsidRPr="00CC34A3">
        <w:rPr>
          <w:rFonts w:ascii="Book Antiqua" w:hAnsi="Book Antiqua" w:cs="Times New Roman"/>
          <w:color w:val="000000" w:themeColor="text1"/>
          <w:sz w:val="24"/>
          <w:szCs w:val="24"/>
          <w:lang w:val="en-US"/>
        </w:rPr>
        <w:t xml:space="preserve"> with </w:t>
      </w:r>
      <w:r w:rsidR="00E56388" w:rsidRPr="00CC34A3">
        <w:rPr>
          <w:rFonts w:ascii="Book Antiqua" w:hAnsi="Book Antiqua" w:cs="Times New Roman"/>
          <w:color w:val="000000" w:themeColor="text1"/>
          <w:sz w:val="24"/>
          <w:szCs w:val="24"/>
          <w:lang w:val="en-US"/>
        </w:rPr>
        <w:t xml:space="preserve">the </w:t>
      </w:r>
      <w:r w:rsidR="00EB7476" w:rsidRPr="00CC34A3">
        <w:rPr>
          <w:rFonts w:ascii="Book Antiqua" w:hAnsi="Book Antiqua" w:cs="Times New Roman"/>
          <w:color w:val="000000" w:themeColor="text1"/>
          <w:sz w:val="24"/>
          <w:szCs w:val="24"/>
          <w:lang w:val="en-US"/>
        </w:rPr>
        <w:t>NO</w:t>
      </w:r>
      <w:r w:rsidR="000A5B0D" w:rsidRPr="00CC34A3">
        <w:rPr>
          <w:rFonts w:ascii="Book Antiqua" w:hAnsi="Book Antiqua" w:cs="Times New Roman"/>
          <w:color w:val="000000" w:themeColor="text1"/>
          <w:sz w:val="24"/>
          <w:szCs w:val="24"/>
          <w:lang w:val="en-US"/>
        </w:rPr>
        <w:t xml:space="preserve"> </w:t>
      </w:r>
      <w:r w:rsidR="00EB7476" w:rsidRPr="00CC34A3">
        <w:rPr>
          <w:rFonts w:ascii="Book Antiqua" w:hAnsi="Book Antiqua" w:cs="Times New Roman"/>
          <w:color w:val="000000" w:themeColor="text1"/>
          <w:sz w:val="24"/>
          <w:szCs w:val="24"/>
          <w:lang w:val="en-US"/>
        </w:rPr>
        <w:t>system (L-NAME and L-arginine exhibited parallel effects (lesion worsening)</w:t>
      </w:r>
      <w:r w:rsidR="00E56388" w:rsidRPr="00CC34A3">
        <w:rPr>
          <w:rFonts w:ascii="Book Antiqua" w:hAnsi="Book Antiqua" w:cs="Times New Roman"/>
          <w:color w:val="000000" w:themeColor="text1"/>
          <w:sz w:val="24"/>
          <w:szCs w:val="24"/>
          <w:lang w:val="en-US"/>
        </w:rPr>
        <w:t xml:space="preserve">, </w:t>
      </w:r>
      <w:r w:rsidR="00EB7476" w:rsidRPr="00CC34A3">
        <w:rPr>
          <w:rFonts w:ascii="Book Antiqua" w:hAnsi="Book Antiqua" w:cs="Times New Roman"/>
          <w:color w:val="000000" w:themeColor="text1"/>
          <w:sz w:val="24"/>
          <w:szCs w:val="24"/>
          <w:lang w:val="en-US"/>
        </w:rPr>
        <w:t>which mitigate</w:t>
      </w:r>
      <w:r w:rsidR="00E56388" w:rsidRPr="00CC34A3">
        <w:rPr>
          <w:rFonts w:ascii="Book Antiqua" w:hAnsi="Book Antiqua" w:cs="Times New Roman"/>
          <w:color w:val="000000" w:themeColor="text1"/>
          <w:sz w:val="24"/>
          <w:szCs w:val="24"/>
          <w:lang w:val="en-US"/>
        </w:rPr>
        <w:t>d</w:t>
      </w:r>
      <w:r w:rsidR="00EB7476" w:rsidRPr="00CC34A3">
        <w:rPr>
          <w:rFonts w:ascii="Book Antiqua" w:hAnsi="Book Antiqua" w:cs="Times New Roman"/>
          <w:color w:val="000000" w:themeColor="text1"/>
          <w:sz w:val="24"/>
          <w:szCs w:val="24"/>
          <w:lang w:val="en-US"/>
        </w:rPr>
        <w:t xml:space="preserve"> each other)</w:t>
      </w:r>
      <w:r w:rsidR="00E56388" w:rsidRPr="00CC34A3">
        <w:rPr>
          <w:rFonts w:ascii="Book Antiqua" w:hAnsi="Book Antiqua" w:cs="Times New Roman"/>
          <w:color w:val="000000" w:themeColor="text1"/>
          <w:sz w:val="24"/>
          <w:szCs w:val="24"/>
          <w:lang w:val="en-US"/>
        </w:rPr>
        <w:t xml:space="preserve"> in</w:t>
      </w:r>
      <w:r w:rsidR="00EB7476" w:rsidRPr="00CC34A3">
        <w:rPr>
          <w:rFonts w:ascii="Book Antiqua" w:hAnsi="Book Antiqua" w:cs="Times New Roman"/>
          <w:color w:val="000000" w:themeColor="text1"/>
          <w:sz w:val="24"/>
          <w:szCs w:val="24"/>
          <w:lang w:val="en-US"/>
        </w:rPr>
        <w:t xml:space="preserve"> </w:t>
      </w:r>
      <w:r w:rsidR="00992FA2" w:rsidRPr="00CC34A3">
        <w:rPr>
          <w:rFonts w:ascii="Book Antiqua" w:hAnsi="Book Antiqua" w:cs="Times New Roman"/>
          <w:color w:val="000000" w:themeColor="text1"/>
          <w:sz w:val="24"/>
          <w:szCs w:val="24"/>
          <w:lang w:val="en-US"/>
        </w:rPr>
        <w:t>SAPDV</w:t>
      </w:r>
      <w:r w:rsidR="00DC6DE8" w:rsidRPr="00CC34A3">
        <w:rPr>
          <w:rFonts w:ascii="Book Antiqua" w:hAnsi="Book Antiqua" w:cs="Times New Roman"/>
          <w:color w:val="000000" w:themeColor="text1"/>
          <w:sz w:val="24"/>
          <w:szCs w:val="24"/>
          <w:lang w:val="en-US"/>
        </w:rPr>
        <w:t xml:space="preserve">, </w:t>
      </w:r>
      <w:r w:rsidR="00EB7476" w:rsidRPr="00CC34A3">
        <w:rPr>
          <w:rFonts w:ascii="Book Antiqua" w:hAnsi="Book Antiqua" w:cs="Times New Roman"/>
          <w:color w:val="000000" w:themeColor="text1"/>
          <w:sz w:val="24"/>
          <w:szCs w:val="24"/>
          <w:lang w:val="en-US"/>
        </w:rPr>
        <w:t>left colic artery and vein circulation</w:t>
      </w:r>
      <w:r w:rsidR="00DC6DE8" w:rsidRPr="00CC34A3">
        <w:rPr>
          <w:rFonts w:ascii="Book Antiqua" w:hAnsi="Book Antiqua" w:cs="Times New Roman"/>
          <w:color w:val="000000" w:themeColor="text1"/>
          <w:sz w:val="24"/>
          <w:szCs w:val="24"/>
          <w:lang w:val="en-US"/>
        </w:rPr>
        <w:t xml:space="preserve">, and </w:t>
      </w:r>
      <w:r w:rsidR="00EB7476" w:rsidRPr="00CC34A3">
        <w:rPr>
          <w:rFonts w:ascii="Book Antiqua" w:hAnsi="Book Antiqua" w:cs="Times New Roman"/>
          <w:color w:val="000000" w:themeColor="text1"/>
          <w:sz w:val="24"/>
          <w:szCs w:val="24"/>
          <w:lang w:val="en-US"/>
        </w:rPr>
        <w:t>duodenal and colon lesion</w:t>
      </w:r>
      <w:r w:rsidR="00DC6DE8" w:rsidRPr="00CC34A3">
        <w:rPr>
          <w:rFonts w:ascii="Book Antiqua" w:hAnsi="Book Antiqua" w:cs="Times New Roman"/>
          <w:color w:val="000000" w:themeColor="text1"/>
          <w:sz w:val="24"/>
          <w:szCs w:val="24"/>
          <w:lang w:val="en-US"/>
        </w:rPr>
        <w:t>s</w:t>
      </w:r>
      <w:r w:rsidR="00A526CA" w:rsidRPr="00CC34A3">
        <w:rPr>
          <w:rFonts w:ascii="Book Antiqua" w:eastAsia="Calibri" w:hAnsi="Book Antiqua" w:cs="Times New Roman"/>
          <w:color w:val="000000" w:themeColor="text1"/>
          <w:sz w:val="24"/>
          <w:szCs w:val="24"/>
          <w:lang w:val="en-US"/>
        </w:rPr>
        <w:fldChar w:fldCharType="begin" w:fldLock="1"/>
      </w:r>
      <w:r w:rsidR="00317D7F" w:rsidRPr="00CC34A3">
        <w:rPr>
          <w:rFonts w:ascii="Book Antiqua" w:eastAsia="Calibri" w:hAnsi="Book Antiqua" w:cs="Times New Roman"/>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A526CA" w:rsidRPr="00CC34A3">
        <w:rPr>
          <w:rFonts w:ascii="Book Antiqua" w:eastAsia="Calibri" w:hAnsi="Book Antiqua" w:cs="Times New Roman"/>
          <w:color w:val="000000" w:themeColor="text1"/>
          <w:sz w:val="24"/>
          <w:szCs w:val="24"/>
          <w:lang w:val="en-US"/>
        </w:rPr>
        <w:fldChar w:fldCharType="separate"/>
      </w:r>
      <w:r w:rsidR="00317D7F" w:rsidRPr="00CC34A3">
        <w:rPr>
          <w:rFonts w:ascii="Book Antiqua" w:eastAsia="Calibri" w:hAnsi="Book Antiqua" w:cs="Times New Roman"/>
          <w:color w:val="000000" w:themeColor="text1"/>
          <w:sz w:val="24"/>
          <w:szCs w:val="24"/>
          <w:vertAlign w:val="superscript"/>
          <w:lang w:val="en-US"/>
        </w:rPr>
        <w:t>[15,16]</w:t>
      </w:r>
      <w:r w:rsidR="00A526CA" w:rsidRPr="00CC34A3">
        <w:rPr>
          <w:rFonts w:ascii="Book Antiqua" w:eastAsia="Calibri" w:hAnsi="Book Antiqua" w:cs="Times New Roman"/>
          <w:color w:val="000000" w:themeColor="text1"/>
          <w:sz w:val="24"/>
          <w:szCs w:val="24"/>
          <w:lang w:val="en-US"/>
        </w:rPr>
        <w:fldChar w:fldCharType="end"/>
      </w:r>
      <w:r w:rsidR="00D0578C" w:rsidRPr="00CC34A3">
        <w:rPr>
          <w:rFonts w:ascii="Book Antiqua" w:eastAsia="Calibri" w:hAnsi="Book Antiqua" w:cs="Times New Roman"/>
          <w:color w:val="000000" w:themeColor="text1"/>
          <w:sz w:val="24"/>
          <w:szCs w:val="24"/>
          <w:lang w:val="en-US"/>
        </w:rPr>
        <w:t>.</w:t>
      </w:r>
      <w:r w:rsidR="00EB7476" w:rsidRPr="00CC34A3">
        <w:rPr>
          <w:rFonts w:ascii="Book Antiqua" w:hAnsi="Book Antiqua" w:cs="Times New Roman"/>
          <w:color w:val="000000" w:themeColor="text1"/>
          <w:sz w:val="24"/>
          <w:szCs w:val="24"/>
          <w:lang w:val="en-US"/>
        </w:rPr>
        <w:t xml:space="preserve"> Together, </w:t>
      </w:r>
      <w:r w:rsidR="00EE74AD" w:rsidRPr="00CC34A3">
        <w:rPr>
          <w:rFonts w:ascii="Book Antiqua" w:hAnsi="Book Antiqua" w:cs="Times New Roman"/>
          <w:color w:val="000000" w:themeColor="text1"/>
          <w:sz w:val="24"/>
          <w:szCs w:val="24"/>
          <w:lang w:val="en-US"/>
        </w:rPr>
        <w:t xml:space="preserve">the </w:t>
      </w:r>
      <w:r w:rsidR="00EB7476" w:rsidRPr="00CC34A3">
        <w:rPr>
          <w:rFonts w:ascii="Book Antiqua" w:hAnsi="Book Antiqua" w:cs="Times New Roman"/>
          <w:color w:val="000000" w:themeColor="text1"/>
          <w:sz w:val="24"/>
          <w:szCs w:val="24"/>
          <w:lang w:val="en-US"/>
        </w:rPr>
        <w:t>“bypassing” effect combined with duodenum (and colon) mucosal integrity as the revealed phenomenon could be quite complex</w:t>
      </w:r>
      <w:r w:rsidR="00A526CA" w:rsidRPr="00CC34A3">
        <w:rPr>
          <w:rFonts w:ascii="Book Antiqua" w:eastAsia="Calibri" w:hAnsi="Book Antiqua" w:cs="Times New Roman"/>
          <w:color w:val="000000" w:themeColor="text1"/>
          <w:sz w:val="24"/>
          <w:szCs w:val="24"/>
          <w:lang w:val="en-US"/>
        </w:rPr>
        <w:fldChar w:fldCharType="begin" w:fldLock="1"/>
      </w:r>
      <w:r w:rsidR="00317D7F" w:rsidRPr="00CC34A3">
        <w:rPr>
          <w:rFonts w:ascii="Book Antiqua" w:eastAsia="Calibri" w:hAnsi="Book Antiqua" w:cs="Times New Roman"/>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A526CA" w:rsidRPr="00CC34A3">
        <w:rPr>
          <w:rFonts w:ascii="Book Antiqua" w:eastAsia="Calibri" w:hAnsi="Book Antiqua" w:cs="Times New Roman"/>
          <w:color w:val="000000" w:themeColor="text1"/>
          <w:sz w:val="24"/>
          <w:szCs w:val="24"/>
          <w:lang w:val="en-US"/>
        </w:rPr>
        <w:fldChar w:fldCharType="separate"/>
      </w:r>
      <w:r w:rsidR="00317D7F" w:rsidRPr="00CC34A3">
        <w:rPr>
          <w:rFonts w:ascii="Book Antiqua" w:eastAsia="Calibri" w:hAnsi="Book Antiqua" w:cs="Times New Roman"/>
          <w:color w:val="000000" w:themeColor="text1"/>
          <w:sz w:val="24"/>
          <w:szCs w:val="24"/>
          <w:vertAlign w:val="superscript"/>
          <w:lang w:val="en-US"/>
        </w:rPr>
        <w:t>[15,16]</w:t>
      </w:r>
      <w:r w:rsidR="00A526CA" w:rsidRPr="00CC34A3">
        <w:rPr>
          <w:rFonts w:ascii="Book Antiqua" w:eastAsia="Calibri" w:hAnsi="Book Antiqua" w:cs="Times New Roman"/>
          <w:color w:val="000000" w:themeColor="text1"/>
          <w:sz w:val="24"/>
          <w:szCs w:val="24"/>
          <w:lang w:val="en-US"/>
        </w:rPr>
        <w:fldChar w:fldCharType="end"/>
      </w:r>
      <w:r w:rsidR="00EB7476" w:rsidRPr="00CC34A3">
        <w:rPr>
          <w:rFonts w:ascii="Book Antiqua" w:hAnsi="Book Antiqua" w:cs="Times New Roman"/>
          <w:color w:val="000000" w:themeColor="text1"/>
          <w:sz w:val="24"/>
          <w:szCs w:val="24"/>
          <w:lang w:val="en-US"/>
        </w:rPr>
        <w:t xml:space="preserve"> as it was seen with respect to </w:t>
      </w:r>
      <w:r w:rsidR="00DC6DE8" w:rsidRPr="00CC34A3">
        <w:rPr>
          <w:rFonts w:ascii="Book Antiqua" w:hAnsi="Book Antiqua" w:cs="Times New Roman"/>
          <w:color w:val="000000" w:themeColor="text1"/>
          <w:sz w:val="24"/>
          <w:szCs w:val="24"/>
          <w:lang w:val="en-US"/>
        </w:rPr>
        <w:t xml:space="preserve">the </w:t>
      </w:r>
      <w:r w:rsidR="00EB7476" w:rsidRPr="00CC34A3">
        <w:rPr>
          <w:rFonts w:ascii="Book Antiqua" w:hAnsi="Book Antiqua" w:cs="Times New Roman"/>
          <w:color w:val="000000" w:themeColor="text1"/>
          <w:sz w:val="24"/>
          <w:szCs w:val="24"/>
          <w:lang w:val="en-US"/>
        </w:rPr>
        <w:t>L-NAME (NOS</w:t>
      </w:r>
      <w:r w:rsidR="00DC6DE8" w:rsidRPr="00CC34A3">
        <w:rPr>
          <w:rFonts w:ascii="Book Antiqua" w:hAnsi="Book Antiqua" w:cs="Times New Roman"/>
          <w:color w:val="000000" w:themeColor="text1"/>
          <w:sz w:val="24"/>
          <w:szCs w:val="24"/>
          <w:lang w:val="en-US"/>
        </w:rPr>
        <w:t xml:space="preserve"> </w:t>
      </w:r>
      <w:r w:rsidR="00EB7476" w:rsidRPr="00CC34A3">
        <w:rPr>
          <w:rFonts w:ascii="Book Antiqua" w:hAnsi="Book Antiqua" w:cs="Times New Roman"/>
          <w:color w:val="000000" w:themeColor="text1"/>
          <w:sz w:val="24"/>
          <w:szCs w:val="24"/>
          <w:lang w:val="en-US"/>
        </w:rPr>
        <w:t>blockade) and L-arginine</w:t>
      </w:r>
      <w:r w:rsidR="00DC6DE8" w:rsidRPr="00CC34A3">
        <w:rPr>
          <w:rFonts w:ascii="Book Antiqua" w:hAnsi="Book Antiqua" w:cs="Times New Roman"/>
          <w:color w:val="000000" w:themeColor="text1"/>
          <w:sz w:val="24"/>
          <w:szCs w:val="24"/>
          <w:lang w:val="en-US"/>
        </w:rPr>
        <w:t xml:space="preserve"> </w:t>
      </w:r>
      <w:r w:rsidR="00EB7476" w:rsidRPr="00CC34A3">
        <w:rPr>
          <w:rFonts w:ascii="Book Antiqua" w:hAnsi="Book Antiqua" w:cs="Times New Roman"/>
          <w:color w:val="000000" w:themeColor="text1"/>
          <w:sz w:val="24"/>
          <w:szCs w:val="24"/>
          <w:lang w:val="en-US"/>
        </w:rPr>
        <w:t>(NOS</w:t>
      </w:r>
      <w:r w:rsidR="00DC6DE8" w:rsidRPr="00CC34A3">
        <w:rPr>
          <w:rFonts w:ascii="Book Antiqua" w:hAnsi="Book Antiqua" w:cs="Times New Roman"/>
          <w:color w:val="000000" w:themeColor="text1"/>
          <w:sz w:val="24"/>
          <w:szCs w:val="24"/>
          <w:lang w:val="en-US"/>
        </w:rPr>
        <w:t xml:space="preserve"> </w:t>
      </w:r>
      <w:r w:rsidR="00EB7476" w:rsidRPr="00CC34A3">
        <w:rPr>
          <w:rFonts w:ascii="Book Antiqua" w:hAnsi="Book Antiqua" w:cs="Times New Roman"/>
          <w:color w:val="000000" w:themeColor="text1"/>
          <w:sz w:val="24"/>
          <w:szCs w:val="24"/>
          <w:lang w:val="en-US"/>
        </w:rPr>
        <w:t>over</w:t>
      </w:r>
      <w:r w:rsidR="0025639A" w:rsidRPr="00CC34A3">
        <w:rPr>
          <w:rFonts w:ascii="Book Antiqua" w:hAnsi="Book Antiqua" w:cs="Times New Roman"/>
          <w:color w:val="000000" w:themeColor="text1"/>
          <w:sz w:val="24"/>
          <w:szCs w:val="24"/>
          <w:lang w:val="en-US"/>
        </w:rPr>
        <w:t>-</w:t>
      </w:r>
      <w:r w:rsidR="00EB7476" w:rsidRPr="00CC34A3">
        <w:rPr>
          <w:rFonts w:ascii="Book Antiqua" w:hAnsi="Book Antiqua" w:cs="Times New Roman"/>
          <w:color w:val="000000" w:themeColor="text1"/>
          <w:sz w:val="24"/>
          <w:szCs w:val="24"/>
          <w:lang w:val="en-US"/>
        </w:rPr>
        <w:t>activity)</w:t>
      </w:r>
      <w:r w:rsidR="00DC6DE8" w:rsidRPr="00CC34A3">
        <w:rPr>
          <w:rFonts w:ascii="Book Antiqua" w:hAnsi="Book Antiqua" w:cs="Times New Roman"/>
          <w:color w:val="000000" w:themeColor="text1"/>
          <w:sz w:val="24"/>
          <w:szCs w:val="24"/>
          <w:lang w:val="en-US"/>
        </w:rPr>
        <w:t xml:space="preserve"> treatments,</w:t>
      </w:r>
      <w:r w:rsidR="00EB7476" w:rsidRPr="00CC34A3">
        <w:rPr>
          <w:rFonts w:ascii="Book Antiqua" w:hAnsi="Book Antiqua" w:cs="Times New Roman"/>
          <w:color w:val="000000" w:themeColor="text1"/>
          <w:sz w:val="24"/>
          <w:szCs w:val="24"/>
          <w:lang w:val="en-US"/>
        </w:rPr>
        <w:t xml:space="preserve"> which given alone and/or together (NO-system immobilized) never exhibited </w:t>
      </w:r>
      <w:r w:rsidR="00DC6DE8" w:rsidRPr="00CC34A3">
        <w:rPr>
          <w:rFonts w:ascii="Book Antiqua" w:hAnsi="Book Antiqua" w:cs="Times New Roman"/>
          <w:color w:val="000000" w:themeColor="text1"/>
          <w:sz w:val="24"/>
          <w:szCs w:val="24"/>
          <w:lang w:val="en-US"/>
        </w:rPr>
        <w:t xml:space="preserve">the </w:t>
      </w:r>
      <w:r w:rsidR="00EB7476" w:rsidRPr="00CC34A3">
        <w:rPr>
          <w:rFonts w:ascii="Book Antiqua" w:hAnsi="Book Antiqua" w:cs="Times New Roman"/>
          <w:color w:val="000000" w:themeColor="text1"/>
          <w:sz w:val="24"/>
          <w:szCs w:val="24"/>
          <w:lang w:val="en-US"/>
        </w:rPr>
        <w:t xml:space="preserve">“bypassing” effect </w:t>
      </w:r>
      <w:r w:rsidR="00DC6DE8" w:rsidRPr="00CC34A3">
        <w:rPr>
          <w:rFonts w:ascii="Book Antiqua" w:hAnsi="Book Antiqua" w:cs="Times New Roman"/>
          <w:color w:val="000000" w:themeColor="text1"/>
          <w:sz w:val="24"/>
          <w:szCs w:val="24"/>
          <w:lang w:val="en-US"/>
        </w:rPr>
        <w:t>and did not provide</w:t>
      </w:r>
      <w:r w:rsidR="00EB7476" w:rsidRPr="00CC34A3">
        <w:rPr>
          <w:rFonts w:ascii="Book Antiqua" w:hAnsi="Book Antiqua" w:cs="Times New Roman"/>
          <w:color w:val="000000" w:themeColor="text1"/>
          <w:sz w:val="24"/>
          <w:szCs w:val="24"/>
          <w:lang w:val="en-US"/>
        </w:rPr>
        <w:t xml:space="preserve"> any mucosa</w:t>
      </w:r>
      <w:r w:rsidR="00DC6DE8" w:rsidRPr="00CC34A3">
        <w:rPr>
          <w:rFonts w:ascii="Book Antiqua" w:hAnsi="Book Antiqua" w:cs="Times New Roman"/>
          <w:color w:val="000000" w:themeColor="text1"/>
          <w:sz w:val="24"/>
          <w:szCs w:val="24"/>
          <w:lang w:val="en-US"/>
        </w:rPr>
        <w:t>l</w:t>
      </w:r>
      <w:r w:rsidR="00EB7476" w:rsidRPr="00CC34A3">
        <w:rPr>
          <w:rFonts w:ascii="Book Antiqua" w:hAnsi="Book Antiqua" w:cs="Times New Roman"/>
          <w:color w:val="000000" w:themeColor="text1"/>
          <w:sz w:val="24"/>
          <w:szCs w:val="24"/>
          <w:lang w:val="en-US"/>
        </w:rPr>
        <w:t xml:space="preserve"> protection</w:t>
      </w:r>
      <w:r w:rsidR="00A526CA" w:rsidRPr="00CC34A3">
        <w:rPr>
          <w:rFonts w:ascii="Book Antiqua" w:eastAsia="Calibri" w:hAnsi="Book Antiqua" w:cs="Times New Roman"/>
          <w:color w:val="000000" w:themeColor="text1"/>
          <w:sz w:val="24"/>
          <w:szCs w:val="24"/>
          <w:lang w:val="en-US"/>
        </w:rPr>
        <w:fldChar w:fldCharType="begin" w:fldLock="1"/>
      </w:r>
      <w:r w:rsidR="00317D7F" w:rsidRPr="00CC34A3">
        <w:rPr>
          <w:rFonts w:ascii="Book Antiqua" w:eastAsia="Calibri" w:hAnsi="Book Antiqua" w:cs="Times New Roman"/>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A526CA" w:rsidRPr="00CC34A3">
        <w:rPr>
          <w:rFonts w:ascii="Book Antiqua" w:eastAsia="Calibri" w:hAnsi="Book Antiqua" w:cs="Times New Roman"/>
          <w:color w:val="000000" w:themeColor="text1"/>
          <w:sz w:val="24"/>
          <w:szCs w:val="24"/>
          <w:lang w:val="en-US"/>
        </w:rPr>
        <w:fldChar w:fldCharType="separate"/>
      </w:r>
      <w:r w:rsidR="00317D7F" w:rsidRPr="00CC34A3">
        <w:rPr>
          <w:rFonts w:ascii="Book Antiqua" w:eastAsia="Calibri" w:hAnsi="Book Antiqua" w:cs="Times New Roman"/>
          <w:color w:val="000000" w:themeColor="text1"/>
          <w:sz w:val="24"/>
          <w:szCs w:val="24"/>
          <w:vertAlign w:val="superscript"/>
          <w:lang w:val="en-US"/>
        </w:rPr>
        <w:t>[15,16]</w:t>
      </w:r>
      <w:r w:rsidR="00A526CA" w:rsidRPr="00CC34A3">
        <w:rPr>
          <w:rFonts w:ascii="Book Antiqua" w:eastAsia="Calibri" w:hAnsi="Book Antiqua" w:cs="Times New Roman"/>
          <w:color w:val="000000" w:themeColor="text1"/>
          <w:sz w:val="24"/>
          <w:szCs w:val="24"/>
          <w:lang w:val="en-US"/>
        </w:rPr>
        <w:fldChar w:fldCharType="end"/>
      </w:r>
      <w:r w:rsidR="00D0578C" w:rsidRPr="00CC34A3">
        <w:rPr>
          <w:rFonts w:ascii="Book Antiqua" w:eastAsia="Calibri" w:hAnsi="Book Antiqua" w:cs="Times New Roman"/>
          <w:color w:val="000000" w:themeColor="text1"/>
          <w:sz w:val="24"/>
          <w:szCs w:val="24"/>
          <w:lang w:val="en-US"/>
        </w:rPr>
        <w:t>.</w:t>
      </w:r>
      <w:r w:rsidR="00EB7476" w:rsidRPr="00CC34A3">
        <w:rPr>
          <w:rFonts w:ascii="Book Antiqua" w:hAnsi="Book Antiqua" w:cs="Times New Roman"/>
          <w:color w:val="000000" w:themeColor="text1"/>
          <w:sz w:val="24"/>
          <w:szCs w:val="24"/>
          <w:lang w:val="en-US"/>
        </w:rPr>
        <w:t xml:space="preserve"> </w:t>
      </w:r>
      <w:r w:rsidR="00DC6DE8" w:rsidRPr="00CC34A3">
        <w:rPr>
          <w:rFonts w:ascii="Book Antiqua" w:hAnsi="Book Antiqua" w:cs="Times New Roman"/>
          <w:color w:val="000000" w:themeColor="text1"/>
          <w:sz w:val="24"/>
          <w:szCs w:val="24"/>
          <w:lang w:val="en-US"/>
        </w:rPr>
        <w:t>However</w:t>
      </w:r>
      <w:r w:rsidR="00EB7476" w:rsidRPr="00CC34A3">
        <w:rPr>
          <w:rFonts w:ascii="Book Antiqua" w:hAnsi="Book Antiqua" w:cs="Times New Roman"/>
          <w:color w:val="000000" w:themeColor="text1"/>
          <w:sz w:val="24"/>
          <w:szCs w:val="24"/>
          <w:lang w:val="en-US"/>
        </w:rPr>
        <w:t>, when given together with BPC 157</w:t>
      </w:r>
      <w:r w:rsidR="00DC6DE8" w:rsidRPr="00CC34A3">
        <w:rPr>
          <w:rFonts w:ascii="Book Antiqua" w:hAnsi="Book Antiqua" w:cs="Times New Roman"/>
          <w:color w:val="000000" w:themeColor="text1"/>
          <w:sz w:val="24"/>
          <w:szCs w:val="24"/>
          <w:lang w:val="en-US"/>
        </w:rPr>
        <w:t xml:space="preserve"> </w:t>
      </w:r>
      <w:r w:rsidR="00EB7476" w:rsidRPr="00CC34A3">
        <w:rPr>
          <w:rFonts w:ascii="Book Antiqua" w:hAnsi="Book Antiqua" w:cs="Times New Roman"/>
          <w:color w:val="000000" w:themeColor="text1"/>
          <w:sz w:val="24"/>
          <w:szCs w:val="24"/>
          <w:lang w:val="en-US"/>
        </w:rPr>
        <w:t xml:space="preserve">(L-NAME+BC 157; </w:t>
      </w:r>
      <w:proofErr w:type="spellStart"/>
      <w:r w:rsidR="00EB7476" w:rsidRPr="00CC34A3">
        <w:rPr>
          <w:rFonts w:ascii="Book Antiqua" w:hAnsi="Book Antiqua" w:cs="Times New Roman"/>
          <w:color w:val="000000" w:themeColor="text1"/>
          <w:sz w:val="24"/>
          <w:szCs w:val="24"/>
          <w:lang w:val="en-US"/>
        </w:rPr>
        <w:t>L-arginine+BPC</w:t>
      </w:r>
      <w:proofErr w:type="spellEnd"/>
      <w:r w:rsidR="00EB7476" w:rsidRPr="00CC34A3">
        <w:rPr>
          <w:rFonts w:ascii="Book Antiqua" w:hAnsi="Book Antiqua" w:cs="Times New Roman"/>
          <w:color w:val="000000" w:themeColor="text1"/>
          <w:sz w:val="24"/>
          <w:szCs w:val="24"/>
          <w:lang w:val="en-US"/>
        </w:rPr>
        <w:t xml:space="preserve"> 157; </w:t>
      </w:r>
      <w:proofErr w:type="spellStart"/>
      <w:r w:rsidR="00EB7476" w:rsidRPr="00CC34A3">
        <w:rPr>
          <w:rFonts w:ascii="Book Antiqua" w:hAnsi="Book Antiqua" w:cs="Times New Roman"/>
          <w:color w:val="000000" w:themeColor="text1"/>
          <w:sz w:val="24"/>
          <w:szCs w:val="24"/>
          <w:lang w:val="en-US"/>
        </w:rPr>
        <w:t>L-NAME+L-arginine+BPC</w:t>
      </w:r>
      <w:proofErr w:type="spellEnd"/>
      <w:r w:rsidR="00EB7476" w:rsidRPr="00CC34A3">
        <w:rPr>
          <w:rFonts w:ascii="Book Antiqua" w:hAnsi="Book Antiqua" w:cs="Times New Roman"/>
          <w:color w:val="000000" w:themeColor="text1"/>
          <w:sz w:val="24"/>
          <w:szCs w:val="24"/>
          <w:lang w:val="en-US"/>
        </w:rPr>
        <w:t xml:space="preserve"> 157), with either </w:t>
      </w:r>
      <w:r w:rsidR="00992FA2" w:rsidRPr="00CC34A3">
        <w:rPr>
          <w:rFonts w:ascii="Book Antiqua" w:hAnsi="Book Antiqua" w:cs="Times New Roman"/>
          <w:color w:val="000000" w:themeColor="text1"/>
          <w:sz w:val="24"/>
          <w:szCs w:val="24"/>
          <w:lang w:val="en-US"/>
        </w:rPr>
        <w:t>SAPDV</w:t>
      </w:r>
      <w:r w:rsidR="00EB7476" w:rsidRPr="00CC34A3">
        <w:rPr>
          <w:rFonts w:ascii="Book Antiqua" w:hAnsi="Book Antiqua" w:cs="Times New Roman"/>
          <w:color w:val="000000" w:themeColor="text1"/>
          <w:sz w:val="24"/>
          <w:szCs w:val="24"/>
          <w:lang w:val="en-US"/>
        </w:rPr>
        <w:t>-ligation or left colic artery and vein</w:t>
      </w:r>
      <w:r w:rsidR="00DC6DE8" w:rsidRPr="00CC34A3">
        <w:rPr>
          <w:rFonts w:ascii="Book Antiqua" w:hAnsi="Book Antiqua" w:cs="Times New Roman"/>
          <w:color w:val="000000" w:themeColor="text1"/>
          <w:sz w:val="24"/>
          <w:szCs w:val="24"/>
          <w:lang w:val="en-US"/>
        </w:rPr>
        <w:t xml:space="preserve"> </w:t>
      </w:r>
      <w:r w:rsidR="00EB7476" w:rsidRPr="00CC34A3">
        <w:rPr>
          <w:rFonts w:ascii="Book Antiqua" w:hAnsi="Book Antiqua" w:cs="Times New Roman"/>
          <w:color w:val="000000" w:themeColor="text1"/>
          <w:sz w:val="24"/>
          <w:szCs w:val="24"/>
          <w:lang w:val="en-US"/>
        </w:rPr>
        <w:t xml:space="preserve">ligation, </w:t>
      </w:r>
      <w:r w:rsidR="00DC6DE8" w:rsidRPr="00CC34A3">
        <w:rPr>
          <w:rFonts w:ascii="Book Antiqua" w:hAnsi="Book Antiqua" w:cs="Times New Roman"/>
          <w:color w:val="000000" w:themeColor="text1"/>
          <w:sz w:val="24"/>
          <w:szCs w:val="24"/>
          <w:lang w:val="en-US"/>
        </w:rPr>
        <w:t xml:space="preserve">the </w:t>
      </w:r>
      <w:r w:rsidR="00EB7476" w:rsidRPr="00CC34A3">
        <w:rPr>
          <w:rFonts w:ascii="Book Antiqua" w:hAnsi="Book Antiqua" w:cs="Times New Roman"/>
          <w:color w:val="000000" w:themeColor="text1"/>
          <w:sz w:val="24"/>
          <w:szCs w:val="24"/>
          <w:lang w:val="en-US"/>
        </w:rPr>
        <w:t xml:space="preserve">BPC 157 beneficial effect </w:t>
      </w:r>
      <w:r w:rsidR="00DC6DE8" w:rsidRPr="00CC34A3">
        <w:rPr>
          <w:rFonts w:ascii="Book Antiqua" w:hAnsi="Book Antiqua" w:cs="Times New Roman"/>
          <w:color w:val="000000" w:themeColor="text1"/>
          <w:sz w:val="24"/>
          <w:szCs w:val="24"/>
          <w:lang w:val="en-US"/>
        </w:rPr>
        <w:t>was observed</w:t>
      </w:r>
      <w:r w:rsidR="00EB7476" w:rsidRPr="00CC34A3">
        <w:rPr>
          <w:rFonts w:ascii="Book Antiqua" w:hAnsi="Book Antiqua" w:cs="Times New Roman"/>
          <w:color w:val="000000" w:themeColor="text1"/>
          <w:sz w:val="24"/>
          <w:szCs w:val="24"/>
          <w:lang w:val="en-US"/>
        </w:rPr>
        <w:t>, compensat</w:t>
      </w:r>
      <w:r w:rsidR="00DC6DE8" w:rsidRPr="00CC34A3">
        <w:rPr>
          <w:rFonts w:ascii="Book Antiqua" w:hAnsi="Book Antiqua" w:cs="Times New Roman"/>
          <w:color w:val="000000" w:themeColor="text1"/>
          <w:sz w:val="24"/>
          <w:szCs w:val="24"/>
          <w:lang w:val="en-US"/>
        </w:rPr>
        <w:t>ing</w:t>
      </w:r>
      <w:r w:rsidR="00EB7476" w:rsidRPr="00CC34A3">
        <w:rPr>
          <w:rFonts w:ascii="Book Antiqua" w:hAnsi="Book Antiqua" w:cs="Times New Roman"/>
          <w:color w:val="000000" w:themeColor="text1"/>
          <w:sz w:val="24"/>
          <w:szCs w:val="24"/>
          <w:lang w:val="en-US"/>
        </w:rPr>
        <w:t xml:space="preserve"> either </w:t>
      </w:r>
      <w:r w:rsidR="00DC6DE8" w:rsidRPr="00CC34A3">
        <w:rPr>
          <w:rFonts w:ascii="Book Antiqua" w:hAnsi="Book Antiqua" w:cs="Times New Roman"/>
          <w:color w:val="000000" w:themeColor="text1"/>
          <w:sz w:val="24"/>
          <w:szCs w:val="24"/>
          <w:lang w:val="en-US"/>
        </w:rPr>
        <w:t xml:space="preserve">the </w:t>
      </w:r>
      <w:r w:rsidR="00EB7476" w:rsidRPr="00CC34A3">
        <w:rPr>
          <w:rFonts w:ascii="Book Antiqua" w:hAnsi="Book Antiqua" w:cs="Times New Roman"/>
          <w:color w:val="000000" w:themeColor="text1"/>
          <w:sz w:val="24"/>
          <w:szCs w:val="24"/>
          <w:lang w:val="en-US"/>
        </w:rPr>
        <w:t xml:space="preserve">L-NAME and L-arginine effects, </w:t>
      </w:r>
      <w:r w:rsidR="00DC6DE8" w:rsidRPr="00CC34A3">
        <w:rPr>
          <w:rFonts w:ascii="Book Antiqua" w:hAnsi="Book Antiqua" w:cs="Times New Roman"/>
          <w:color w:val="000000" w:themeColor="text1"/>
          <w:sz w:val="24"/>
          <w:szCs w:val="24"/>
          <w:lang w:val="en-US"/>
        </w:rPr>
        <w:t xml:space="preserve">while </w:t>
      </w:r>
      <w:r w:rsidR="00EB7476" w:rsidRPr="00CC34A3">
        <w:rPr>
          <w:rFonts w:ascii="Book Antiqua" w:hAnsi="Book Antiqua" w:cs="Times New Roman"/>
          <w:color w:val="000000" w:themeColor="text1"/>
          <w:sz w:val="24"/>
          <w:szCs w:val="24"/>
          <w:lang w:val="en-US"/>
        </w:rPr>
        <w:t xml:space="preserve">mucosal protection </w:t>
      </w:r>
      <w:r w:rsidR="00DC6DE8" w:rsidRPr="00CC34A3">
        <w:rPr>
          <w:rFonts w:ascii="Book Antiqua" w:hAnsi="Book Antiqua" w:cs="Times New Roman"/>
          <w:color w:val="000000" w:themeColor="text1"/>
          <w:sz w:val="24"/>
          <w:szCs w:val="24"/>
          <w:lang w:val="en-US"/>
        </w:rPr>
        <w:t xml:space="preserve">was seen at a </w:t>
      </w:r>
      <w:r w:rsidR="00EB7476" w:rsidRPr="00CC34A3">
        <w:rPr>
          <w:rFonts w:ascii="Book Antiqua" w:hAnsi="Book Antiqua" w:cs="Times New Roman"/>
          <w:color w:val="000000" w:themeColor="text1"/>
          <w:sz w:val="24"/>
          <w:szCs w:val="24"/>
          <w:lang w:val="en-US"/>
        </w:rPr>
        <w:t>higher level.</w:t>
      </w:r>
    </w:p>
    <w:p w14:paraId="0B86BA93" w14:textId="5467249D" w:rsidR="00B073A6" w:rsidRPr="00CC34A3" w:rsidRDefault="006A3087" w:rsidP="00CC34A3">
      <w:pPr>
        <w:pStyle w:val="Title3"/>
        <w:adjustRightInd w:val="0"/>
        <w:snapToGrid w:val="0"/>
        <w:spacing w:before="0" w:beforeAutospacing="0" w:after="0" w:afterAutospacing="0" w:line="360" w:lineRule="auto"/>
        <w:jc w:val="both"/>
        <w:rPr>
          <w:rFonts w:ascii="Book Antiqua" w:hAnsi="Book Antiqua" w:cs="Courier New"/>
          <w:color w:val="000000" w:themeColor="text1"/>
          <w:lang w:val="en-US"/>
        </w:rPr>
      </w:pPr>
      <w:r w:rsidRPr="00CC34A3">
        <w:rPr>
          <w:rFonts w:ascii="Book Antiqua" w:hAnsi="Book Antiqua" w:cs="Courier New"/>
          <w:color w:val="000000" w:themeColor="text1"/>
          <w:lang w:val="en-US"/>
        </w:rPr>
        <w:t xml:space="preserve">  </w:t>
      </w:r>
      <w:r w:rsidR="00B073A6" w:rsidRPr="00CC34A3">
        <w:rPr>
          <w:rFonts w:ascii="Book Antiqua" w:hAnsi="Book Antiqua" w:cs="Courier New"/>
          <w:color w:val="000000" w:themeColor="text1"/>
          <w:lang w:val="en-US"/>
        </w:rPr>
        <w:t>It is possible that the environment created by vessel(s) occlusion is responsible for the “bypassing” effect (</w:t>
      </w:r>
      <w:r w:rsidR="00992FA2" w:rsidRPr="00CC34A3">
        <w:rPr>
          <w:rFonts w:ascii="Book Antiqua" w:hAnsi="Book Antiqua" w:cs="Courier New"/>
          <w:color w:val="000000" w:themeColor="text1"/>
          <w:lang w:val="en-US"/>
        </w:rPr>
        <w:t>SAPDV</w:t>
      </w:r>
      <w:r w:rsidR="00B073A6" w:rsidRPr="00CC34A3">
        <w:rPr>
          <w:rFonts w:ascii="Book Antiqua" w:hAnsi="Book Antiqua" w:cs="Courier New"/>
          <w:color w:val="000000" w:themeColor="text1"/>
          <w:lang w:val="en-US"/>
        </w:rPr>
        <w:t>-duodenal arcade vessel interconnections-IAPDV-SMV required for adequate compensation and duodenal mucosal protection consistently obtained by BPC 157 administration) and remains outside the regular L-NAME or L-arginine influence on blood vessels but inside BPC 157 influence on NO-agent effects. L-NAME and L-arginine were given in doses necessary to instantly induce hypertension or hypotension</w:t>
      </w:r>
      <w:r w:rsidR="00B073A6" w:rsidRPr="00CC34A3">
        <w:rPr>
          <w:rFonts w:ascii="Book Antiqua" w:eastAsia="Calibri" w:hAnsi="Book Antiqua" w:cs="Courier New"/>
          <w:color w:val="000000" w:themeColor="text1"/>
          <w:lang w:val="en-US" w:eastAsia="en-US"/>
        </w:rPr>
        <w:fldChar w:fldCharType="begin" w:fldLock="1"/>
      </w:r>
      <w:r w:rsidR="00B073A6" w:rsidRPr="00CC34A3">
        <w:rPr>
          <w:rFonts w:ascii="Book Antiqua" w:eastAsia="Calibri" w:hAnsi="Book Antiqua" w:cs="Courier New"/>
          <w:color w:val="000000" w:themeColor="text1"/>
          <w:lang w:val="en-US" w:eastAsia="en-US"/>
        </w:rPr>
        <w:instrText>ADDIN CSL_CITATION { "citationItems" : [ { "id" : "ITEM-1", "itemData" : { "ISSN" : "0014-2999", "PMID" : "9298922", "abstract" : "The known effects of a novel stomach pentadecapeptide BPC157 (10 microg or 10 ng/kg), namely its salutary activity against ethanol (96%, i.g.)-induced gastric lesions (simultaneously applied i.p.) and in blood pressure maintenance (given i.v.), were investigated in rats challenged with a combination of N(G)-nitro-L-arginine methylester (L-NAME) (5 mg/kg i.v.), a competitive inhibitor of endothelium nitric oxide (NO)-generation and NO precursor, L-arginine (200 mg/kg i.v.) (D-arginine was ineffective). In the gastric lesions assay, NO agents were given 5 min before ethanol injury and BPC 157 medication. Given alone, BPC157 had an antiulcer effect, as did L-arginine, but L-NAME had no effect. L-NAME completely abolished the effect of L-arginine, whereas it only attenuated the effect of BPC 157. After application of the combination of L-NAME + L-arginine, the BPC157 effect was additionally impaired. In blood pressure studies, compared with L-arginine, pentadecapeptide BPC 157 (without effect on basal normal values) had both a mimicking effect (impaired L-NAME-blood pressure increase, when applied prophylactically and decreased already raised L-NAME values, given at the time of the maximal L-NAME-blood pressure increase (i.e., 10 min after L-NAME)) and preventive activity (L-arginine-induced moderate blood pressure decrease was prevented by BPC 157 pretreatment). When BPC 157 was given 10 min after L-NAME + L-arginine combination, which still led to a blood pressure increase, its previously clear effect (noted in L-NAME treated rats) disappeared. In vitro, in gastric mucosa from rat stomach tissue homogenates, BPC 157, given in the same dose (100 microM) as L-arginine, induced a comparable generation of NO. But, BPC 157 effect could not be inhibited by L-NAME, even when L-NAME was given in a tenfold (100 versus 1000 microM) higher dose than that needed for inhibition of the L-arginine effect. NO synthesis was blunted when the pentadecapeptide BPC 157 and L-arginine were combined. In summary, BPC 157 could interfere with the effects of NO on both gastric mucosal integrity and blood pressure maintenance in a specific way, especially with L-arginine, having a more prominent and/or particularly different effect from that of NO.", "author" : [ { "dropping-particle" : "", "family" : "Sikiri\u0107", "given" : "P", "non-dropping-particle" : "", "parse-names" : false, "suffix" : "" }, { "dropping-particle" : "", "family" : "Seiwerth", "given" : "S", "non-dropping-particle" : "", "parse-names" : false, "suffix" : "" }, { "dropping-particle" : "", "family" : "Grabarevi\u0107", "given" : "Z", "non-dropping-particle" : "", "parse-names" : false, "suffix" : "" }, { "dropping-particle" : "", "family" : "Rucman", "given" : "R", "non-dropping-particle" : "", "parse-names" : false, "suffix" : "" }, { "dropping-particle" : "", "family" : "Petek", "given" : "M", "non-dropping-particle" : "", "parse-names" : false, "suffix" : "" }, { "dropping-particle" : "", "family" : "Jagi\u0107", "given" : "V", "non-dropping-particle" : "", "parse-names" : false, "suffix" : "" }, { "dropping-particle" : "", "family" : "Turkovi\u0107", "given" : "B", "non-dropping-particle" : "", "parse-names" : false, "suffix" : "" }, { "dropping-particle" : "", "family" : "Rotkvi\u0107", "given" : "I", "non-dropping-particle" : "", "parse-names" : false, "suffix" : "" }, { "dropping-particle" : "", "family" : "Mise", "given" : "S", "non-dropping-particle" : "", "parse-names" : false, "suffix" : "" }, { "dropping-particle" : "", "family" : "Zorici\u0107", "given" : "I", "non-dropping-particle" : "", "parse-names" : false, "suffix" : "" }, { "dropping-particle" : "", "family" : "Konjevoda", "given" : "P", "non-dropping-particle" : "", "parse-names" : false, "suffix" : "" }, { "dropping-particle" : "", "family" : "Perovi\u0107", "given" : "D", "non-dropping-particle" : "", "parse-names" : false, "suffix" : "" }, { "dropping-particle" : "", "family" : "Jurina", "given" : "L", "non-dropping-particle" : "", "parse-names" : false, "suffix" : "" }, { "dropping-particle" : "", "family" : "Separovi\u0107", "given" : "J", "non-dropping-particle" : "", "parse-names" : false, "suffix" : "" }, { "dropping-particle" : "", "family" : "Hanzevacki", "given" : "M", "non-dropping-particle" : "", "parse-names" : false, "suffix" : "" }, { "dropping-particle" : "", "family" : "Artukovi\u0107", "given" : "B", "non-dropping-particle" : "", "parse-names" : false, "suffix" : "" }, { "dropping-particle" : "", "family" : "Bratuli\u0107", "given" : "M", "non-dropping-particle" : "", "parse-names" : false, "suffix" : "" }, { "dropping-particle" : "", "family" : "Tisljar", "given" : "M", "non-dropping-particle" : "", "parse-names" : false, "suffix" : "" }, { "dropping-particle" : "", "family" : "Gjurasin", "given" : "M", "non-dropping-particle" : "", "parse-names" : false, "suffix" : "" }, { "dropping-particle" : "", "family" : "Mikli\u0107", "given" : "P", "non-dropping-particle" : "", "parse-names" : false, "suffix" : "" }, { "dropping-particle" : "", "family" : "Stanci\u0107-Rokotov", "given" : "D", "non-dropping-particle" : "", "parse-names" : false, "suffix" : "" }, { "dropping-particle" : "", "family" : "Slobodnjak", "given" : "Z", "non-dropping-particle" : "", "parse-names" : false, "suffix" : "" }, { "dropping-particle" : "", "family" : "Jelovac", "given" : "N", "non-dropping-particle" : "", "parse-names" : false, "suffix" : "" }, { "dropping-particle" : "", "family" : "Marovi\u0107", "given" : "A", "non-dropping-particle" : "", "parse-names" : false, "suffix" : "" } ], "container-title" : "European journal of pharmacology", "id" : "ITEM-1", "issue" : "1", "issued" : { "date-parts" : [ [ "1997", "7", "30" ] ] }, "page" : "23-33", "title" : "The influence of a novel pentadecapeptide, BPC 157, on N(G)-nitro-L-arginine methylester and L-arginine effects on stomach mucosa integrity and blood pressure.", "type" : "article-journal", "volume" : "332" }, "uris" : [ "http://www.mendeley.com/documents/?uuid=555beef4-1b75-473e-a239-632ad5e86111" ] } ], "mendeley" : { "formattedCitation" : "&lt;sup&gt;[33]&lt;/sup&gt;", "plainTextFormattedCitation" : "[33]", "previouslyFormattedCitation" : "(Sikiri\u0107 et al., 1997)" }, "properties" : {  }, "schema" : "https://github.com/citation-style-language/schema/raw/master/csl-citation.json" }</w:instrText>
      </w:r>
      <w:r w:rsidR="00B073A6" w:rsidRPr="00CC34A3">
        <w:rPr>
          <w:rFonts w:ascii="Book Antiqua" w:eastAsia="Calibri" w:hAnsi="Book Antiqua" w:cs="Courier New"/>
          <w:color w:val="000000" w:themeColor="text1"/>
          <w:lang w:val="en-US" w:eastAsia="en-US"/>
        </w:rPr>
        <w:fldChar w:fldCharType="separate"/>
      </w:r>
      <w:r w:rsidR="00B073A6" w:rsidRPr="00CC34A3">
        <w:rPr>
          <w:rFonts w:ascii="Book Antiqua" w:eastAsia="Calibri" w:hAnsi="Book Antiqua" w:cs="Courier New"/>
          <w:color w:val="000000" w:themeColor="text1"/>
          <w:vertAlign w:val="superscript"/>
          <w:lang w:val="en-US" w:eastAsia="en-US"/>
        </w:rPr>
        <w:t>[33]</w:t>
      </w:r>
      <w:r w:rsidR="00B073A6" w:rsidRPr="00CC34A3">
        <w:rPr>
          <w:rFonts w:ascii="Book Antiqua" w:eastAsia="Calibri" w:hAnsi="Book Antiqua" w:cs="Courier New"/>
          <w:color w:val="000000" w:themeColor="text1"/>
          <w:lang w:val="en-US" w:eastAsia="en-US"/>
        </w:rPr>
        <w:fldChar w:fldCharType="end"/>
      </w:r>
      <w:r w:rsidR="00B073A6" w:rsidRPr="00CC34A3">
        <w:rPr>
          <w:rFonts w:ascii="Book Antiqua" w:eastAsia="Calibri" w:hAnsi="Book Antiqua" w:cs="Courier New"/>
          <w:color w:val="000000" w:themeColor="text1"/>
          <w:lang w:val="en-US" w:eastAsia="en-US"/>
        </w:rPr>
        <w:t>,</w:t>
      </w:r>
      <w:r w:rsidR="00B073A6" w:rsidRPr="00CC34A3">
        <w:rPr>
          <w:rFonts w:ascii="Book Antiqua" w:hAnsi="Book Antiqua" w:cs="Courier New"/>
          <w:color w:val="000000" w:themeColor="text1"/>
          <w:lang w:val="en-US"/>
        </w:rPr>
        <w:t xml:space="preserve"> while both effects were counteracted by BPC 157 administration</w:t>
      </w:r>
      <w:r w:rsidR="00B073A6" w:rsidRPr="00CC34A3">
        <w:rPr>
          <w:rFonts w:ascii="Book Antiqua" w:eastAsia="Calibri" w:hAnsi="Book Antiqua" w:cs="Courier New"/>
          <w:color w:val="000000" w:themeColor="text1"/>
          <w:lang w:val="en-US" w:eastAsia="en-US"/>
        </w:rPr>
        <w:fldChar w:fldCharType="begin" w:fldLock="1"/>
      </w:r>
      <w:r w:rsidR="00B073A6" w:rsidRPr="00CC34A3">
        <w:rPr>
          <w:rFonts w:ascii="Book Antiqua" w:eastAsia="Calibri" w:hAnsi="Book Antiqua" w:cs="Courier New"/>
          <w:color w:val="000000" w:themeColor="text1"/>
          <w:lang w:val="en-US" w:eastAsia="en-US"/>
        </w:rPr>
        <w:instrText>ADDIN CSL_CITATION { "citationItems" : [ { "id" : "ITEM-1", "itemData" : { "ISSN" : "0014-2999", "PMID" : "9298922", "abstract" : "The known effects of a novel stomach pentadecapeptide BPC157 (10 microg or 10 ng/kg), namely its salutary activity against ethanol (96%, i.g.)-induced gastric lesions (simultaneously applied i.p.) and in blood pressure maintenance (given i.v.), were investigated in rats challenged with a combination of N(G)-nitro-L-arginine methylester (L-NAME) (5 mg/kg i.v.), a competitive inhibitor of endothelium nitric oxide (NO)-generation and NO precursor, L-arginine (200 mg/kg i.v.) (D-arginine was ineffective). In the gastric lesions assay, NO agents were given 5 min before ethanol injury and BPC 157 medication. Given alone, BPC157 had an antiulcer effect, as did L-arginine, but L-NAME had no effect. L-NAME completely abolished the effect of L-arginine, whereas it only attenuated the effect of BPC 157. After application of the combination of L-NAME + L-arginine, the BPC157 effect was additionally impaired. In blood pressure studies, compared with L-arginine, pentadecapeptide BPC 157 (without effect on basal normal values) had both a mimicking effect (impaired L-NAME-blood pressure increase, when applied prophylactically and decreased already raised L-NAME values, given at the time of the maximal L-NAME-blood pressure increase (i.e., 10 min after L-NAME)) and preventive activity (L-arginine-induced moderate blood pressure decrease was prevented by BPC 157 pretreatment). When BPC 157 was given 10 min after L-NAME + L-arginine combination, which still led to a blood pressure increase, its previously clear effect (noted in L-NAME treated rats) disappeared. In vitro, in gastric mucosa from rat stomach tissue homogenates, BPC 157, given in the same dose (100 microM) as L-arginine, induced a comparable generation of NO. But, BPC 157 effect could not be inhibited by L-NAME, even when L-NAME was given in a tenfold (100 versus 1000 microM) higher dose than that needed for inhibition of the L-arginine effect. NO synthesis was blunted when the pentadecapeptide BPC 157 and L-arginine were combined. In summary, BPC 157 could interfere with the effects of NO on both gastric mucosal integrity and blood pressure maintenance in a specific way, especially with L-arginine, having a more prominent and/or particularly different effect from that of NO.", "author" : [ { "dropping-particle" : "", "family" : "Sikiri\u0107", "given" : "P", "non-dropping-particle" : "", "parse-names" : false, "suffix" : "" }, { "dropping-particle" : "", "family" : "Seiwerth", "given" : "S", "non-dropping-particle" : "", "parse-names" : false, "suffix" : "" }, { "dropping-particle" : "", "family" : "Grabarevi\u0107", "given" : "Z", "non-dropping-particle" : "", "parse-names" : false, "suffix" : "" }, { "dropping-particle" : "", "family" : "Rucman", "given" : "R", "non-dropping-particle" : "", "parse-names" : false, "suffix" : "" }, { "dropping-particle" : "", "family" : "Petek", "given" : "M", "non-dropping-particle" : "", "parse-names" : false, "suffix" : "" }, { "dropping-particle" : "", "family" : "Jagi\u0107", "given" : "V", "non-dropping-particle" : "", "parse-names" : false, "suffix" : "" }, { "dropping-particle" : "", "family" : "Turkovi\u0107", "given" : "B", "non-dropping-particle" : "", "parse-names" : false, "suffix" : "" }, { "dropping-particle" : "", "family" : "Rotkvi\u0107", "given" : "I", "non-dropping-particle" : "", "parse-names" : false, "suffix" : "" }, { "dropping-particle" : "", "family" : "Mise", "given" : "S", "non-dropping-particle" : "", "parse-names" : false, "suffix" : "" }, { "dropping-particle" : "", "family" : "Zorici\u0107", "given" : "I", "non-dropping-particle" : "", "parse-names" : false, "suffix" : "" }, { "dropping-particle" : "", "family" : "Konjevoda", "given" : "P", "non-dropping-particle" : "", "parse-names" : false, "suffix" : "" }, { "dropping-particle" : "", "family" : "Perovi\u0107", "given" : "D", "non-dropping-particle" : "", "parse-names" : false, "suffix" : "" }, { "dropping-particle" : "", "family" : "Jurina", "given" : "L", "non-dropping-particle" : "", "parse-names" : false, "suffix" : "" }, { "dropping-particle" : "", "family" : "Separovi\u0107", "given" : "J", "non-dropping-particle" : "", "parse-names" : false, "suffix" : "" }, { "dropping-particle" : "", "family" : "Hanzevacki", "given" : "M", "non-dropping-particle" : "", "parse-names" : false, "suffix" : "" }, { "dropping-particle" : "", "family" : "Artukovi\u0107", "given" : "B", "non-dropping-particle" : "", "parse-names" : false, "suffix" : "" }, { "dropping-particle" : "", "family" : "Bratuli\u0107", "given" : "M", "non-dropping-particle" : "", "parse-names" : false, "suffix" : "" }, { "dropping-particle" : "", "family" : "Tisljar", "given" : "M", "non-dropping-particle" : "", "parse-names" : false, "suffix" : "" }, { "dropping-particle" : "", "family" : "Gjurasin", "given" : "M", "non-dropping-particle" : "", "parse-names" : false, "suffix" : "" }, { "dropping-particle" : "", "family" : "Mikli\u0107", "given" : "P", "non-dropping-particle" : "", "parse-names" : false, "suffix" : "" }, { "dropping-particle" : "", "family" : "Stanci\u0107-Rokotov", "given" : "D", "non-dropping-particle" : "", "parse-names" : false, "suffix" : "" }, { "dropping-particle" : "", "family" : "Slobodnjak", "given" : "Z", "non-dropping-particle" : "", "parse-names" : false, "suffix" : "" }, { "dropping-particle" : "", "family" : "Jelovac", "given" : "N", "non-dropping-particle" : "", "parse-names" : false, "suffix" : "" }, { "dropping-particle" : "", "family" : "Marovi\u0107", "given" : "A", "non-dropping-particle" : "", "parse-names" : false, "suffix" : "" } ], "container-title" : "European journal of pharmacology", "id" : "ITEM-1", "issue" : "1", "issued" : { "date-parts" : [ [ "1997", "7", "30" ] ] }, "page" : "23-33", "title" : "The influence of a novel pentadecapeptide, BPC 157, on N(G)-nitro-L-arginine methylester and L-arginine effects on stomach mucosa integrity and blood pressure.", "type" : "article-journal", "volume" : "332" }, "uris" : [ "http://www.mendeley.com/documents/?uuid=555beef4-1b75-473e-a239-632ad5e86111" ] } ], "mendeley" : { "formattedCitation" : "&lt;sup&gt;[33]&lt;/sup&gt;", "plainTextFormattedCitation" : "[33]", "previouslyFormattedCitation" : "(Sikiri\u0107 et al., 1997)" }, "properties" : {  }, "schema" : "https://github.com/citation-style-language/schema/raw/master/csl-citation.json" }</w:instrText>
      </w:r>
      <w:r w:rsidR="00B073A6" w:rsidRPr="00CC34A3">
        <w:rPr>
          <w:rFonts w:ascii="Book Antiqua" w:eastAsia="Calibri" w:hAnsi="Book Antiqua" w:cs="Courier New"/>
          <w:color w:val="000000" w:themeColor="text1"/>
          <w:lang w:val="en-US" w:eastAsia="en-US"/>
        </w:rPr>
        <w:fldChar w:fldCharType="separate"/>
      </w:r>
      <w:r w:rsidR="00B073A6" w:rsidRPr="00CC34A3">
        <w:rPr>
          <w:rFonts w:ascii="Book Antiqua" w:eastAsia="Calibri" w:hAnsi="Book Antiqua" w:cs="Courier New"/>
          <w:color w:val="000000" w:themeColor="text1"/>
          <w:vertAlign w:val="superscript"/>
          <w:lang w:val="en-US" w:eastAsia="en-US"/>
        </w:rPr>
        <w:t>[33]</w:t>
      </w:r>
      <w:r w:rsidR="00B073A6" w:rsidRPr="00CC34A3">
        <w:rPr>
          <w:rFonts w:ascii="Book Antiqua" w:eastAsia="Calibri" w:hAnsi="Book Antiqua" w:cs="Courier New"/>
          <w:color w:val="000000" w:themeColor="text1"/>
          <w:lang w:val="en-US" w:eastAsia="en-US"/>
        </w:rPr>
        <w:fldChar w:fldCharType="end"/>
      </w:r>
      <w:r w:rsidR="00B073A6" w:rsidRPr="00CC34A3">
        <w:rPr>
          <w:rFonts w:ascii="Book Antiqua" w:hAnsi="Book Antiqua" w:cs="Courier New"/>
          <w:color w:val="000000" w:themeColor="text1"/>
          <w:lang w:val="en-US"/>
        </w:rPr>
        <w:t>. Providing a complex beneficial effect, BPC 157 did not affect normal blood pressure</w:t>
      </w:r>
      <w:r w:rsidR="00B073A6" w:rsidRPr="00CC34A3">
        <w:rPr>
          <w:rFonts w:ascii="Book Antiqua" w:eastAsia="Calibri" w:hAnsi="Book Antiqua" w:cs="Courier New"/>
          <w:color w:val="000000" w:themeColor="text1"/>
          <w:lang w:val="en-US" w:eastAsia="en-US"/>
        </w:rPr>
        <w:fldChar w:fldCharType="begin" w:fldLock="1"/>
      </w:r>
      <w:r w:rsidR="00B073A6" w:rsidRPr="00CC34A3">
        <w:rPr>
          <w:rFonts w:ascii="Book Antiqua" w:eastAsia="Calibri" w:hAnsi="Book Antiqua" w:cs="Courier New"/>
          <w:color w:val="000000" w:themeColor="text1"/>
          <w:lang w:val="en-US" w:eastAsia="en-US"/>
        </w:rPr>
        <w:instrText>ADDIN CSL_CITATION { "citationItems" : [ { "id" : "ITEM-1", "itemData" : { "ISSN" : "0014-2999", "PMID" : "9298922", "abstract" : "The known effects of a novel stomach pentadecapeptide BPC157 (10 microg or 10 ng/kg), namely its salutary activity against ethanol (96%, i.g.)-induced gastric lesions (simultaneously applied i.p.) and in blood pressure maintenance (given i.v.), were investigated in rats challenged with a combination of N(G)-nitro-L-arginine methylester (L-NAME) (5 mg/kg i.v.), a competitive inhibitor of endothelium nitric oxide (NO)-generation and NO precursor, L-arginine (200 mg/kg i.v.) (D-arginine was ineffective). In the gastric lesions assay, NO agents were given 5 min before ethanol injury and BPC 157 medication. Given alone, BPC157 had an antiulcer effect, as did L-arginine, but L-NAME had no effect. L-NAME completely abolished the effect of L-arginine, whereas it only attenuated the effect of BPC 157. After application of the combination of L-NAME + L-arginine, the BPC157 effect was additionally impaired. In blood pressure studies, compared with L-arginine, pentadecapeptide BPC 157 (without effect on basal normal values) had both a mimicking effect (impaired L-NAME-blood pressure increase, when applied prophylactically and decreased already raised L-NAME values, given at the time of the maximal L-NAME-blood pressure increase (i.e., 10 min after L-NAME)) and preventive activity (L-arginine-induced moderate blood pressure decrease was prevented by BPC 157 pretreatment). When BPC 157 was given 10 min after L-NAME + L-arginine combination, which still led to a blood pressure increase, its previously clear effect (noted in L-NAME treated rats) disappeared. In vitro, in gastric mucosa from rat stomach tissue homogenates, BPC 157, given in the same dose (100 microM) as L-arginine, induced a comparable generation of NO. But, BPC 157 effect could not be inhibited by L-NAME, even when L-NAME was given in a tenfold (100 versus 1000 microM) higher dose than that needed for inhibition of the L-arginine effect. NO synthesis was blunted when the pentadecapeptide BPC 157 and L-arginine were combined. In summary, BPC 157 could interfere with the effects of NO on both gastric mucosal integrity and blood pressure maintenance in a specific way, especially with L-arginine, having a more prominent and/or particularly different effect from that of NO.", "author" : [ { "dropping-particle" : "", "family" : "Sikiri\u0107", "given" : "P", "non-dropping-particle" : "", "parse-names" : false, "suffix" : "" }, { "dropping-particle" : "", "family" : "Seiwerth", "given" : "S", "non-dropping-particle" : "", "parse-names" : false, "suffix" : "" }, { "dropping-particle" : "", "family" : "Grabarevi\u0107", "given" : "Z", "non-dropping-particle" : "", "parse-names" : false, "suffix" : "" }, { "dropping-particle" : "", "family" : "Rucman", "given" : "R", "non-dropping-particle" : "", "parse-names" : false, "suffix" : "" }, { "dropping-particle" : "", "family" : "Petek", "given" : "M", "non-dropping-particle" : "", "parse-names" : false, "suffix" : "" }, { "dropping-particle" : "", "family" : "Jagi\u0107", "given" : "V", "non-dropping-particle" : "", "parse-names" : false, "suffix" : "" }, { "dropping-particle" : "", "family" : "Turkovi\u0107", "given" : "B", "non-dropping-particle" : "", "parse-names" : false, "suffix" : "" }, { "dropping-particle" : "", "family" : "Rotkvi\u0107", "given" : "I", "non-dropping-particle" : "", "parse-names" : false, "suffix" : "" }, { "dropping-particle" : "", "family" : "Mise", "given" : "S", "non-dropping-particle" : "", "parse-names" : false, "suffix" : "" }, { "dropping-particle" : "", "family" : "Zorici\u0107", "given" : "I", "non-dropping-particle" : "", "parse-names" : false, "suffix" : "" }, { "dropping-particle" : "", "family" : "Konjevoda", "given" : "P", "non-dropping-particle" : "", "parse-names" : false, "suffix" : "" }, { "dropping-particle" : "", "family" : "Perovi\u0107", "given" : "D", "non-dropping-particle" : "", "parse-names" : false, "suffix" : "" }, { "dropping-particle" : "", "family" : "Jurina", "given" : "L", "non-dropping-particle" : "", "parse-names" : false, "suffix" : "" }, { "dropping-particle" : "", "family" : "Separovi\u0107", "given" : "J", "non-dropping-particle" : "", "parse-names" : false, "suffix" : "" }, { "dropping-particle" : "", "family" : "Hanzevacki", "given" : "M", "non-dropping-particle" : "", "parse-names" : false, "suffix" : "" }, { "dropping-particle" : "", "family" : "Artukovi\u0107", "given" : "B", "non-dropping-particle" : "", "parse-names" : false, "suffix" : "" }, { "dropping-particle" : "", "family" : "Bratuli\u0107", "given" : "M", "non-dropping-particle" : "", "parse-names" : false, "suffix" : "" }, { "dropping-particle" : "", "family" : "Tisljar", "given" : "M", "non-dropping-particle" : "", "parse-names" : false, "suffix" : "" }, { "dropping-particle" : "", "family" : "Gjurasin", "given" : "M", "non-dropping-particle" : "", "parse-names" : false, "suffix" : "" }, { "dropping-particle" : "", "family" : "Mikli\u0107", "given" : "P", "non-dropping-particle" : "", "parse-names" : false, "suffix" : "" }, { "dropping-particle" : "", "family" : "Stanci\u0107-Rokotov", "given" : "D", "non-dropping-particle" : "", "parse-names" : false, "suffix" : "" }, { "dropping-particle" : "", "family" : "Slobodnjak", "given" : "Z", "non-dropping-particle" : "", "parse-names" : false, "suffix" : "" }, { "dropping-particle" : "", "family" : "Jelovac", "given" : "N", "non-dropping-particle" : "", "parse-names" : false, "suffix" : "" }, { "dropping-particle" : "", "family" : "Marovi\u0107", "given" : "A", "non-dropping-particle" : "", "parse-names" : false, "suffix" : "" } ], "container-title" : "European journal of pharmacology", "id" : "ITEM-1", "issue" : "1", "issued" : { "date-parts" : [ [ "1997", "7", "30" ] ] }, "page" : "23-33", "title" : "The influence of a novel pentadecapeptide, BPC 157, on N(G)-nitro-L-arginine methylester and L-arginine effects on stomach mucosa integrity and blood pressure.", "type" : "article-journal", "volume" : "332" }, "uris" : [ "http://www.mendeley.com/documents/?uuid=555beef4-1b75-473e-a239-632ad5e86111" ] } ], "mendeley" : { "formattedCitation" : "&lt;sup&gt;[33]&lt;/sup&gt;", "plainTextFormattedCitation" : "[33]", "previouslyFormattedCitation" : "(Sikiri\u0107 et al., 1997)" }, "properties" : {  }, "schema" : "https://github.com/citation-style-language/schema/raw/master/csl-citation.json" }</w:instrText>
      </w:r>
      <w:r w:rsidR="00B073A6" w:rsidRPr="00CC34A3">
        <w:rPr>
          <w:rFonts w:ascii="Book Antiqua" w:eastAsia="Calibri" w:hAnsi="Book Antiqua" w:cs="Courier New"/>
          <w:color w:val="000000" w:themeColor="text1"/>
          <w:lang w:val="en-US" w:eastAsia="en-US"/>
        </w:rPr>
        <w:fldChar w:fldCharType="separate"/>
      </w:r>
      <w:r w:rsidR="00B073A6" w:rsidRPr="00CC34A3">
        <w:rPr>
          <w:rFonts w:ascii="Book Antiqua" w:eastAsia="Calibri" w:hAnsi="Book Antiqua" w:cs="Courier New"/>
          <w:color w:val="000000" w:themeColor="text1"/>
          <w:vertAlign w:val="superscript"/>
          <w:lang w:val="en-US" w:eastAsia="en-US"/>
        </w:rPr>
        <w:t>[33]</w:t>
      </w:r>
      <w:r w:rsidR="00B073A6" w:rsidRPr="00CC34A3">
        <w:rPr>
          <w:rFonts w:ascii="Book Antiqua" w:eastAsia="Calibri" w:hAnsi="Book Antiqua" w:cs="Courier New"/>
          <w:color w:val="000000" w:themeColor="text1"/>
          <w:lang w:val="en-US" w:eastAsia="en-US"/>
        </w:rPr>
        <w:fldChar w:fldCharType="end"/>
      </w:r>
      <w:r w:rsidR="00B073A6" w:rsidRPr="00CC34A3">
        <w:rPr>
          <w:rFonts w:ascii="Book Antiqua" w:hAnsi="Book Antiqua" w:cs="Courier New"/>
          <w:color w:val="000000" w:themeColor="text1"/>
          <w:lang w:val="en-US"/>
        </w:rPr>
        <w:t>; in addition to counteracting L-NAME induced hypertension and L-arginine induced hypotension</w:t>
      </w:r>
      <w:r w:rsidR="00B073A6" w:rsidRPr="00CC34A3">
        <w:rPr>
          <w:rFonts w:ascii="Book Antiqua" w:eastAsia="Calibri" w:hAnsi="Book Antiqua" w:cs="Courier New"/>
          <w:color w:val="000000" w:themeColor="text1"/>
          <w:lang w:val="en-US" w:eastAsia="en-US"/>
        </w:rPr>
        <w:fldChar w:fldCharType="begin" w:fldLock="1"/>
      </w:r>
      <w:r w:rsidR="00B073A6" w:rsidRPr="00CC34A3">
        <w:rPr>
          <w:rFonts w:ascii="Book Antiqua" w:eastAsia="Calibri" w:hAnsi="Book Antiqua" w:cs="Courier New"/>
          <w:color w:val="000000" w:themeColor="text1"/>
          <w:lang w:val="en-US" w:eastAsia="en-US"/>
        </w:rPr>
        <w:instrText>ADDIN CSL_CITATION { "citationItems" : [ { "id" : "ITEM-1", "itemData" : { "ISSN" : "0014-2999", "PMID" : "9298922", "abstract" : "The known effects of a novel stomach pentadecapeptide BPC157 (10 microg or 10 ng/kg), namely its salutary activity against ethanol (96%, i.g.)-induced gastric lesions (simultaneously applied i.p.) and in blood pressure maintenance (given i.v.), were investigated in rats challenged with a combination of N(G)-nitro-L-arginine methylester (L-NAME) (5 mg/kg i.v.), a competitive inhibitor of endothelium nitric oxide (NO)-generation and NO precursor, L-arginine (200 mg/kg i.v.) (D-arginine was ineffective). In the gastric lesions assay, NO agents were given 5 min before ethanol injury and BPC 157 medication. Given alone, BPC157 had an antiulcer effect, as did L-arginine, but L-NAME had no effect. L-NAME completely abolished the effect of L-arginine, whereas it only attenuated the effect of BPC 157. After application of the combination of L-NAME + L-arginine, the BPC157 effect was additionally impaired. In blood pressure studies, compared with L-arginine, pentadecapeptide BPC 157 (without effect on basal normal values) had both a mimicking effect (impaired L-NAME-blood pressure increase, when applied prophylactically and decreased already raised L-NAME values, given at the time of the maximal L-NAME-blood pressure increase (i.e., 10 min after L-NAME)) and preventive activity (L-arginine-induced moderate blood pressure decrease was prevented by BPC 157 pretreatment). When BPC 157 was given 10 min after L-NAME + L-arginine combination, which still led to a blood pressure increase, its previously clear effect (noted in L-NAME treated rats) disappeared. In vitro, in gastric mucosa from rat stomach tissue homogenates, BPC 157, given in the same dose (100 microM) as L-arginine, induced a comparable generation of NO. But, BPC 157 effect could not be inhibited by L-NAME, even when L-NAME was given in a tenfold (100 versus 1000 microM) higher dose than that needed for inhibition of the L-arginine effect. NO synthesis was blunted when the pentadecapeptide BPC 157 and L-arginine were combined. In summary, BPC 157 could interfere with the effects of NO on both gastric mucosal integrity and blood pressure maintenance in a specific way, especially with L-arginine, having a more prominent and/or particularly different effect from that of NO.", "author" : [ { "dropping-particle" : "", "family" : "Sikiri\u0107", "given" : "P", "non-dropping-particle" : "", "parse-names" : false, "suffix" : "" }, { "dropping-particle" : "", "family" : "Seiwerth", "given" : "S", "non-dropping-particle" : "", "parse-names" : false, "suffix" : "" }, { "dropping-particle" : "", "family" : "Grabarevi\u0107", "given" : "Z", "non-dropping-particle" : "", "parse-names" : false, "suffix" : "" }, { "dropping-particle" : "", "family" : "Rucman", "given" : "R", "non-dropping-particle" : "", "parse-names" : false, "suffix" : "" }, { "dropping-particle" : "", "family" : "Petek", "given" : "M", "non-dropping-particle" : "", "parse-names" : false, "suffix" : "" }, { "dropping-particle" : "", "family" : "Jagi\u0107", "given" : "V", "non-dropping-particle" : "", "parse-names" : false, "suffix" : "" }, { "dropping-particle" : "", "family" : "Turkovi\u0107", "given" : "B", "non-dropping-particle" : "", "parse-names" : false, "suffix" : "" }, { "dropping-particle" : "", "family" : "Rotkvi\u0107", "given" : "I", "non-dropping-particle" : "", "parse-names" : false, "suffix" : "" }, { "dropping-particle" : "", "family" : "Mise", "given" : "S", "non-dropping-particle" : "", "parse-names" : false, "suffix" : "" }, { "dropping-particle" : "", "family" : "Zorici\u0107", "given" : "I", "non-dropping-particle" : "", "parse-names" : false, "suffix" : "" }, { "dropping-particle" : "", "family" : "Konjevoda", "given" : "P", "non-dropping-particle" : "", "parse-names" : false, "suffix" : "" }, { "dropping-particle" : "", "family" : "Perovi\u0107", "given" : "D", "non-dropping-particle" : "", "parse-names" : false, "suffix" : "" }, { "dropping-particle" : "", "family" : "Jurina", "given" : "L", "non-dropping-particle" : "", "parse-names" : false, "suffix" : "" }, { "dropping-particle" : "", "family" : "Separovi\u0107", "given" : "J", "non-dropping-particle" : "", "parse-names" : false, "suffix" : "" }, { "dropping-particle" : "", "family" : "Hanzevacki", "given" : "M", "non-dropping-particle" : "", "parse-names" : false, "suffix" : "" }, { "dropping-particle" : "", "family" : "Artukovi\u0107", "given" : "B", "non-dropping-particle" : "", "parse-names" : false, "suffix" : "" }, { "dropping-particle" : "", "family" : "Bratuli\u0107", "given" : "M", "non-dropping-particle" : "", "parse-names" : false, "suffix" : "" }, { "dropping-particle" : "", "family" : "Tisljar", "given" : "M", "non-dropping-particle" : "", "parse-names" : false, "suffix" : "" }, { "dropping-particle" : "", "family" : "Gjurasin", "given" : "M", "non-dropping-particle" : "", "parse-names" : false, "suffix" : "" }, { "dropping-particle" : "", "family" : "Mikli\u0107", "given" : "P", "non-dropping-particle" : "", "parse-names" : false, "suffix" : "" }, { "dropping-particle" : "", "family" : "Stanci\u0107-Rokotov", "given" : "D", "non-dropping-particle" : "", "parse-names" : false, "suffix" : "" }, { "dropping-particle" : "", "family" : "Slobodnjak", "given" : "Z", "non-dropping-particle" : "", "parse-names" : false, "suffix" : "" }, { "dropping-particle" : "", "family" : "Jelovac", "given" : "N", "non-dropping-particle" : "", "parse-names" : false, "suffix" : "" }, { "dropping-particle" : "", "family" : "Marovi\u0107", "given" : "A", "non-dropping-particle" : "", "parse-names" : false, "suffix" : "" } ], "container-title" : "European journal of pharmacology", "id" : "ITEM-1", "issue" : "1", "issued" : { "date-parts" : [ [ "1997", "7", "30" ] ] }, "page" : "23-33", "title" : "The influence of a novel pentadecapeptide, BPC 157, on N(G)-nitro-L-arginine methylester and L-arginine effects on stomach mucosa integrity and blood pressure.", "type" : "article-journal", "volume" : "332" }, "uris" : [ "http://www.mendeley.com/documents/?uuid=555beef4-1b75-473e-a239-632ad5e86111" ] } ], "mendeley" : { "formattedCitation" : "&lt;sup&gt;[33]&lt;/sup&gt;", "plainTextFormattedCitation" : "[33]", "previouslyFormattedCitation" : "(Sikiri\u0107 et al., 1997)" }, "properties" : {  }, "schema" : "https://github.com/citation-style-language/schema/raw/master/csl-citation.json" }</w:instrText>
      </w:r>
      <w:r w:rsidR="00B073A6" w:rsidRPr="00CC34A3">
        <w:rPr>
          <w:rFonts w:ascii="Book Antiqua" w:eastAsia="Calibri" w:hAnsi="Book Antiqua" w:cs="Courier New"/>
          <w:color w:val="000000" w:themeColor="text1"/>
          <w:lang w:val="en-US" w:eastAsia="en-US"/>
        </w:rPr>
        <w:fldChar w:fldCharType="separate"/>
      </w:r>
      <w:r w:rsidR="00B073A6" w:rsidRPr="00CC34A3">
        <w:rPr>
          <w:rFonts w:ascii="Book Antiqua" w:eastAsia="Calibri" w:hAnsi="Book Antiqua" w:cs="Courier New"/>
          <w:color w:val="000000" w:themeColor="text1"/>
          <w:vertAlign w:val="superscript"/>
          <w:lang w:val="en-US" w:eastAsia="en-US"/>
        </w:rPr>
        <w:t>[33]</w:t>
      </w:r>
      <w:r w:rsidR="00B073A6" w:rsidRPr="00CC34A3">
        <w:rPr>
          <w:rFonts w:ascii="Book Antiqua" w:eastAsia="Calibri" w:hAnsi="Book Antiqua" w:cs="Courier New"/>
          <w:color w:val="000000" w:themeColor="text1"/>
          <w:lang w:val="en-US" w:eastAsia="en-US"/>
        </w:rPr>
        <w:fldChar w:fldCharType="end"/>
      </w:r>
      <w:r w:rsidR="00B073A6" w:rsidRPr="00CC34A3">
        <w:rPr>
          <w:rFonts w:ascii="Book Antiqua" w:hAnsi="Book Antiqua" w:cs="Courier New"/>
          <w:color w:val="000000" w:themeColor="text1"/>
          <w:lang w:val="en-US"/>
        </w:rPr>
        <w:t>, when BPC 157 counteracted arterial</w:t>
      </w:r>
      <w:r w:rsidR="00B073A6" w:rsidRPr="00CC34A3">
        <w:rPr>
          <w:rFonts w:ascii="Book Antiqua" w:eastAsia="Calibri" w:hAnsi="Book Antiqua" w:cs="Courier New"/>
          <w:color w:val="000000" w:themeColor="text1"/>
          <w:lang w:val="en-US" w:eastAsia="en-US"/>
        </w:rPr>
        <w:fldChar w:fldCharType="begin" w:fldLock="1"/>
      </w:r>
      <w:r w:rsidR="00B073A6" w:rsidRPr="00CC34A3">
        <w:rPr>
          <w:rFonts w:ascii="Book Antiqua" w:eastAsia="Calibri" w:hAnsi="Book Antiqua" w:cs="Courier New"/>
          <w:color w:val="000000" w:themeColor="text1"/>
          <w:lang w:val="en-US" w:eastAsia="en-US"/>
        </w:rPr>
        <w:instrText>ADDIN CSL_CITATION { "citationItems" : [ { "id" : "ITEM-1", "itemData" : { "DOI" : "10.1016/j.regpep.2012.12.007", "ISBN" : "1873-1686 (Electronic)\\r0167-0115 (Linking)", "ISSN" : "01670115", "PMID" : "23327997", "abstract" : "We demonstrate the full counteracting ability of stable gastric pentadecapeptide BPC 157 against KCl-overdose (intraperitoneal (i), intragastric (ii), in vitro (iii)), NO-system related. (i) We demonstrated potential (/kg) of: BPC 157 (10 ng, 10 ??g ip, complete counteraction), l-arginine (100 mg ip, attenuation) vs. L-NAME (5 mg ip, deadly aggravation), given alone and/or combined, before or after intraperitoneal KCl-solution application (9 mEq/kg). Therapy was confronted with promptly unrelenting hyperkalemia (&gt; 12 mmol/L), arrhythmias (and muscular weakness, hypertension, low pressure in lower esophageal and pyloric sphincter) with an ultimate and a regularly inevitable lethal outcome within 30 min. Previously, we established BPC 157-NO-system interaction; now, a huge life-saving potential. Given 30 min before KCl, all BPC 157 regimens regained sinus rhythm, had less prolongation of QRS, and had no asystolic pause. BPC 157 therapy, given 10 min after KCl-application, starts the rescue within 5-10 min, completely restoring normal sinus rhythm at 1 h. Likewise, other hyperkalemia-disturbances (muscular weakness, hypertension, low sphincteric pressure) were also counteracted. Accordingly with NO-system relation, deadly aggravation by L-NAME: l-arginine brings the values to the control levels while BPC 157 always completely nullified lesions, markedly below those of controls. Combined with l-arginine, BPC 157 exhibited no additive effect. (ii) Intragastric KCl-solution application (27 mEq/kg) - (hyperkalemia 7 mmol/L): severe stomach mucosal lesions, sphincter failure and peaked T waves were fully counteracted by intragastric BPC 157 (10 ng, 10. ??g) application, given 30 min before or 10 min after KCl. (iii). In HEK293 cells, hyperkalemic conditions (18.6. mM potassium concentrations), BPC 157 directly affects potassium conductance, counteracting the effect on membrane potential and depolarizations caused by hyperkalemic conditions. ?? 2013 Elsevier B.V.", "author" : [ { "dropping-particle" : "", "family" : "Barisic", "given" : "Ivan", "non-dropping-particle" : "", "parse-names" : false, "suffix" : "" }, { "dropping-particle" : "", "family" : "Balenovic", "given" : "Diana", "non-dropping-particle" : "", "parse-names" : false, "suffix" : "" }, { "dropping-particle" : "", "family" : "Klicek", "given" : "Robert", "non-dropping-particle" : "", "parse-names" : false, "suffix" : "" }, { "dropping-particle" : "", "family" : "Radic", "given" : "Bozo", "non-dropping-particle" : "", "parse-names" : false, "suffix" : "" }, { "dropping-particle" : "", "family" : "Nikitovic", "given" : "Bojana", "non-dropping-particle" : "", "parse-names" : false, "suffix" : "" }, { "dropping-particle" : "", "family" : "Drmic", "given" : "Domagoj", "non-dropping-particle" : "", "parse-names" : false, "suffix" : "" }, { "dropping-particle" : "", "family" : "Udovicic", "given" : "Mario", "non-dropping-particle" : "", "parse-names" : false, "suffix" : "" }, { "dropping-particle" : "", "family" : "Strinic", "given" : "Dean", "non-dropping-particle" : "", "parse-names" : false, "suffix" : "" }, { "dropping-particle" : "", "family" : "Bardak", "given" : "Darija", "non-dropping-particle" : "", "parse-names" : false, "suffix" : "" }, { "dropping-particle" : "", "family" : "Berkopic", "given" : "Lidija", "non-dropping-particle" : "", "parse-names" : false, "suffix" : "" }, { "dropping-particle" : "", "family" : "Djuzel", "given" : "Viktor", "non-dropping-particle" : "", "parse-names" : false, "suffix" : "" }, { "dropping-particle" : "", "family" : "Sever", "given" : "Marko", "non-dropping-particle" : "", "parse-names" : false, "suffix" : "" }, { "dropping-particle" : "", "family" : "Cvjetko", "given" : "Ivan", "non-dropping-particle" : "", "parse-names" : false, "suffix" : "" }, { "dropping-particle" : "", "family" : "Romic", "given" : "Zeljko", "non-dropping-particle" : "", "parse-names" : false, "suffix" : "" }, { "dropping-particle" : "", "family" : "Sindic", "given" : "Aleksandra", "non-dropping-particle" : "", "parse-names" : false, "suffix" : "" }, { "dropping-particle" : "", "family" : "Bencic", "given" : "Martina Lovric", "non-dropping-particle" : "", "parse-names" : false, "suffix" : "" }, { "dropping-particle" : "", "family" : "Seiwerth", "given" : "Sven", "non-dropping-particle" : "", "parse-names" : false, "suffix" : "" }, { "dropping-particle" : "", "family" : "Sikiric", "given" : "Predrag", "non-dropping-particle" : "", "parse-names" : false, "suffix" : "" } ], "container-title" : "Regulatory Peptides", "id" : "ITEM-1", "issue" : "1", "issued" : { "date-parts" : [ [ "2013" ] ] }, "page" : "50-66", "publisher" : "Elsevier B.V.", "title" : "Mortal hyperkalemia disturbances in rats are NO-system related. The life saving effect of pentadecapeptide BPC 157", "type" : "article-journal", "volume" : "181" }, "uris" : [ "http://www.mendeley.com/documents/?uuid=7aa3408f-dfcd-43e4-a5b5-c5e0297faa41" ] } ], "mendeley" : { "formattedCitation" : "&lt;sup&gt;[34]&lt;/sup&gt;", "plainTextFormattedCitation" : "[34]", "previouslyFormattedCitation" : "(Barisic et al., 2013)" }, "properties" : {  }, "schema" : "https://github.com/citation-style-language/schema/raw/master/csl-citation.json" }</w:instrText>
      </w:r>
      <w:r w:rsidR="00B073A6" w:rsidRPr="00CC34A3">
        <w:rPr>
          <w:rFonts w:ascii="Book Antiqua" w:eastAsia="Calibri" w:hAnsi="Book Antiqua" w:cs="Courier New"/>
          <w:color w:val="000000" w:themeColor="text1"/>
          <w:lang w:val="en-US" w:eastAsia="en-US"/>
        </w:rPr>
        <w:fldChar w:fldCharType="separate"/>
      </w:r>
      <w:r w:rsidR="00B073A6" w:rsidRPr="00CC34A3">
        <w:rPr>
          <w:rFonts w:ascii="Book Antiqua" w:eastAsia="Calibri" w:hAnsi="Book Antiqua" w:cs="Courier New"/>
          <w:color w:val="000000" w:themeColor="text1"/>
          <w:vertAlign w:val="superscript"/>
          <w:lang w:val="en-US" w:eastAsia="en-US"/>
        </w:rPr>
        <w:t>[34]</w:t>
      </w:r>
      <w:r w:rsidR="00B073A6" w:rsidRPr="00CC34A3">
        <w:rPr>
          <w:rFonts w:ascii="Book Antiqua" w:eastAsia="Calibri" w:hAnsi="Book Antiqua" w:cs="Courier New"/>
          <w:color w:val="000000" w:themeColor="text1"/>
          <w:lang w:val="en-US" w:eastAsia="en-US"/>
        </w:rPr>
        <w:fldChar w:fldCharType="end"/>
      </w:r>
      <w:r w:rsidR="00B073A6" w:rsidRPr="00CC34A3">
        <w:rPr>
          <w:rFonts w:ascii="Book Antiqua" w:hAnsi="Book Antiqua" w:cs="Courier New"/>
          <w:color w:val="000000" w:themeColor="text1"/>
          <w:lang w:val="en-US"/>
        </w:rPr>
        <w:t xml:space="preserve"> or venous hypertension</w:t>
      </w:r>
      <w:r w:rsidR="00B073A6" w:rsidRPr="00CC34A3">
        <w:rPr>
          <w:rFonts w:ascii="Book Antiqua" w:eastAsia="Calibri" w:hAnsi="Book Antiqua" w:cs="Courier New"/>
          <w:color w:val="000000" w:themeColor="text1"/>
          <w:lang w:val="en-US" w:eastAsia="en-US"/>
        </w:rPr>
        <w:fldChar w:fldCharType="begin" w:fldLock="1"/>
      </w:r>
      <w:r w:rsidR="00B073A6" w:rsidRPr="00CC34A3">
        <w:rPr>
          <w:rFonts w:ascii="Book Antiqua" w:eastAsia="Calibri" w:hAnsi="Book Antiqua" w:cs="Courier New"/>
          <w:color w:val="000000" w:themeColor="text1"/>
          <w:lang w:val="en-US" w:eastAsia="en-US"/>
        </w:rPr>
        <w:instrText>ADDIN CSL_CITATION { "citationItems" : [ { "id" : "ITEM-1",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"ITEM-1",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"&lt;sup&gt;[16]&lt;/sup&gt;", "plainTextFormattedCitation" : "[16]", "previouslyFormattedCitation" : "(Vukojevi\u0107 et al., 2018)" }, "properties" : {  }, "schema" : "https://github.com/citation-style-language/schema/raw/master/csl-citation.json" }</w:instrText>
      </w:r>
      <w:r w:rsidR="00B073A6" w:rsidRPr="00CC34A3">
        <w:rPr>
          <w:rFonts w:ascii="Book Antiqua" w:eastAsia="Calibri" w:hAnsi="Book Antiqua" w:cs="Courier New"/>
          <w:color w:val="000000" w:themeColor="text1"/>
          <w:lang w:val="en-US" w:eastAsia="en-US"/>
        </w:rPr>
        <w:fldChar w:fldCharType="separate"/>
      </w:r>
      <w:r w:rsidR="00B073A6" w:rsidRPr="00CC34A3">
        <w:rPr>
          <w:rFonts w:ascii="Book Antiqua" w:eastAsia="Calibri" w:hAnsi="Book Antiqua" w:cs="Courier New"/>
          <w:color w:val="000000" w:themeColor="text1"/>
          <w:vertAlign w:val="superscript"/>
          <w:lang w:val="en-US" w:eastAsia="en-US"/>
        </w:rPr>
        <w:t>[16]</w:t>
      </w:r>
      <w:r w:rsidR="00B073A6" w:rsidRPr="00CC34A3">
        <w:rPr>
          <w:rFonts w:ascii="Book Antiqua" w:eastAsia="Calibri" w:hAnsi="Book Antiqua" w:cs="Courier New"/>
          <w:color w:val="000000" w:themeColor="text1"/>
          <w:lang w:val="en-US" w:eastAsia="en-US"/>
        </w:rPr>
        <w:fldChar w:fldCharType="end"/>
      </w:r>
      <w:r w:rsidR="00B073A6" w:rsidRPr="00CC34A3">
        <w:rPr>
          <w:rFonts w:ascii="Book Antiqua" w:hAnsi="Book Antiqua" w:cs="Courier New"/>
          <w:color w:val="000000" w:themeColor="text1"/>
          <w:lang w:val="en-US"/>
        </w:rPr>
        <w:t xml:space="preserve"> or systemic hypotension</w:t>
      </w:r>
      <w:r w:rsidR="00B073A6" w:rsidRPr="00CC34A3">
        <w:rPr>
          <w:rFonts w:ascii="Book Antiqua" w:eastAsia="Calibri" w:hAnsi="Book Antiqua" w:cs="Courier New"/>
          <w:color w:val="000000" w:themeColor="text1"/>
          <w:lang w:val="en-US" w:eastAsia="en-US"/>
        </w:rPr>
        <w:fldChar w:fldCharType="begin" w:fldLock="1"/>
      </w:r>
      <w:r w:rsidR="00B073A6" w:rsidRPr="00CC34A3">
        <w:rPr>
          <w:rFonts w:ascii="Book Antiqua" w:eastAsia="Calibri" w:hAnsi="Book Antiqua" w:cs="Courier New"/>
          <w:color w:val="000000" w:themeColor="text1"/>
          <w:lang w:val="en-US" w:eastAsia="en-US"/>
        </w:rPr>
        <w:instrText>ADDIN CSL_CITATION { "citationItems" : [ { "id" : "ITEM-1",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"ITEM-1",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"&lt;sup&gt;[16]&lt;/sup&gt;", "plainTextFormattedCitation" : "[16]", "previouslyFormattedCitation" : "(Vukojevi\u0107 et al., 2018)" }, "properties" : {  }, "schema" : "https://github.com/citation-style-language/schema/raw/master/csl-citation.json" }</w:instrText>
      </w:r>
      <w:r w:rsidR="00B073A6" w:rsidRPr="00CC34A3">
        <w:rPr>
          <w:rFonts w:ascii="Book Antiqua" w:eastAsia="Calibri" w:hAnsi="Book Antiqua" w:cs="Courier New"/>
          <w:color w:val="000000" w:themeColor="text1"/>
          <w:lang w:val="en-US" w:eastAsia="en-US"/>
        </w:rPr>
        <w:fldChar w:fldCharType="separate"/>
      </w:r>
      <w:r w:rsidR="00B073A6" w:rsidRPr="00CC34A3">
        <w:rPr>
          <w:rFonts w:ascii="Book Antiqua" w:eastAsia="Calibri" w:hAnsi="Book Antiqua" w:cs="Courier New"/>
          <w:color w:val="000000" w:themeColor="text1"/>
          <w:vertAlign w:val="superscript"/>
          <w:lang w:val="en-US" w:eastAsia="en-US"/>
        </w:rPr>
        <w:t>[16]</w:t>
      </w:r>
      <w:r w:rsidR="00B073A6" w:rsidRPr="00CC34A3">
        <w:rPr>
          <w:rFonts w:ascii="Book Antiqua" w:eastAsia="Calibri" w:hAnsi="Book Antiqua" w:cs="Courier New"/>
          <w:color w:val="000000" w:themeColor="text1"/>
          <w:lang w:val="en-US" w:eastAsia="en-US"/>
        </w:rPr>
        <w:fldChar w:fldCharType="end"/>
      </w:r>
      <w:r w:rsidR="00B073A6" w:rsidRPr="00CC34A3">
        <w:rPr>
          <w:rFonts w:ascii="Book Antiqua" w:hAnsi="Book Antiqua" w:cs="Courier New"/>
          <w:color w:val="000000" w:themeColor="text1"/>
          <w:lang w:val="en-US"/>
        </w:rPr>
        <w:t>, it also counteracted other disturbances, which may be related to blood pressure disturbances (</w:t>
      </w:r>
      <w:r w:rsidR="00B073A6" w:rsidRPr="00CC34A3">
        <w:rPr>
          <w:rFonts w:ascii="Book Antiqua" w:hAnsi="Book Antiqua" w:cs="Courier New"/>
          <w:i/>
          <w:color w:val="000000" w:themeColor="text1"/>
          <w:lang w:val="en-US"/>
        </w:rPr>
        <w:t>i.e.</w:t>
      </w:r>
      <w:r w:rsidR="00B073A6" w:rsidRPr="00CC34A3">
        <w:rPr>
          <w:rFonts w:ascii="Book Antiqua" w:hAnsi="Book Antiqua" w:cs="Courier New"/>
          <w:color w:val="000000" w:themeColor="text1"/>
          <w:lang w:val="en-US"/>
        </w:rPr>
        <w:t>, potassium-overload induced arrhythmias</w:t>
      </w:r>
      <w:r w:rsidR="00B073A6" w:rsidRPr="00CC34A3">
        <w:rPr>
          <w:rFonts w:ascii="Book Antiqua" w:eastAsia="Calibri" w:hAnsi="Book Antiqua" w:cs="Courier New"/>
          <w:color w:val="000000" w:themeColor="text1"/>
          <w:lang w:val="en-US" w:eastAsia="en-US"/>
        </w:rPr>
        <w:fldChar w:fldCharType="begin" w:fldLock="1"/>
      </w:r>
      <w:r w:rsidR="00B073A6" w:rsidRPr="00CC34A3">
        <w:rPr>
          <w:rFonts w:ascii="Book Antiqua" w:eastAsia="Calibri" w:hAnsi="Book Antiqua" w:cs="Courier New"/>
          <w:color w:val="000000" w:themeColor="text1"/>
          <w:lang w:val="en-US" w:eastAsia="en-US"/>
        </w:rPr>
        <w:instrText>ADDIN CSL_CITATION { "citationItems" : [ { "id" : "ITEM-1", "itemData" : { "DOI" : "10.1016/j.regpep.2012.12.007", "ISBN" : "1873-1686 (Electronic)\\r0167-0115 (Linking)", "ISSN" : "01670115", "PMID" : "23327997", "abstract" : "We demonstrate the full counteracting ability of stable gastric pentadecapeptide BPC 157 against KCl-overdose (intraperitoneal (i), intragastric (ii), in vitro (iii)), NO-system related. (i) We demonstrated potential (/kg) of: BPC 157 (10 ng, 10 ??g ip, complete counteraction), l-arginine (100 mg ip, attenuation) vs. L-NAME (5 mg ip, deadly aggravation), given alone and/or combined, before or after intraperitoneal KCl-solution application (9 mEq/kg). Therapy was confronted with promptly unrelenting hyperkalemia (&gt; 12 mmol/L), arrhythmias (and muscular weakness, hypertension, low pressure in lower esophageal and pyloric sphincter) with an ultimate and a regularly inevitable lethal outcome within 30 min. Previously, we established BPC 157-NO-system interaction; now, a huge life-saving potential. Given 30 min before KCl, all BPC 157 regimens regained sinus rhythm, had less prolongation of QRS, and had no asystolic pause. BPC 157 therapy, given 10 min after KCl-application, starts the rescue within 5-10 min, completely restoring normal sinus rhythm at 1 h. Likewise, other hyperkalemia-disturbances (muscular weakness, hypertension, low sphincteric pressure) were also counteracted. Accordingly with NO-system relation, deadly aggravation by L-NAME: l-arginine brings the values to the control levels while BPC 157 always completely nullified lesions, markedly below those of controls. Combined with l-arginine, BPC 157 exhibited no additive effect. (ii) Intragastric KCl-solution application (27 mEq/kg) - (hyperkalemia 7 mmol/L): severe stomach mucosal lesions, sphincter failure and peaked T waves were fully counteracted by intragastric BPC 157 (10 ng, 10. ??g) application, given 30 min before or 10 min after KCl. (iii). In HEK293 cells, hyperkalemic conditions (18.6. mM potassium concentrations), BPC 157 directly affects potassium conductance, counteracting the effect on membrane potential and depolarizations caused by hyperkalemic conditions. ?? 2013 Elsevier B.V.", "author" : [ { "dropping-particle" : "", "family" : "Barisic", "given" : "Ivan", "non-dropping-particle" : "", "parse-names" : false, "suffix" : "" }, { "dropping-particle" : "", "family" : "Balenovic", "given" : "Diana", "non-dropping-particle" : "", "parse-names" : false, "suffix" : "" }, { "dropping-particle" : "", "family" : "Klicek", "given" : "Robert", "non-dropping-particle" : "", "parse-names" : false, "suffix" : "" }, { "dropping-particle" : "", "family" : "Radic", "given" : "Bozo", "non-dropping-particle" : "", "parse-names" : false, "suffix" : "" }, { "dropping-particle" : "", "family" : "Nikitovic", "given" : "Bojana", "non-dropping-particle" : "", "parse-names" : false, "suffix" : "" }, { "dropping-particle" : "", "family" : "Drmic", "given" : "Domagoj", "non-dropping-particle" : "", "parse-names" : false, "suffix" : "" }, { "dropping-particle" : "", "family" : "Udovicic", "given" : "Mario", "non-dropping-particle" : "", "parse-names" : false, "suffix" : "" }, { "dropping-particle" : "", "family" : "Strinic", "given" : "Dean", "non-dropping-particle" : "", "parse-names" : false, "suffix" : "" }, { "dropping-particle" : "", "family" : "Bardak", "given" : "Darija", "non-dropping-particle" : "", "parse-names" : false, "suffix" : "" }, { "dropping-particle" : "", "family" : "Berkopic", "given" : "Lidija", "non-dropping-particle" : "", "parse-names" : false, "suffix" : "" }, { "dropping-particle" : "", "family" : "Djuzel", "given" : "Viktor", "non-dropping-particle" : "", "parse-names" : false, "suffix" : "" }, { "dropping-particle" : "", "family" : "Sever", "given" : "Marko", "non-dropping-particle" : "", "parse-names" : false, "suffix" : "" }, { "dropping-particle" : "", "family" : "Cvjetko", "given" : "Ivan", "non-dropping-particle" : "", "parse-names" : false, "suffix" : "" }, { "dropping-particle" : "", "family" : "Romic", "given" : "Zeljko", "non-dropping-particle" : "", "parse-names" : false, "suffix" : "" }, { "dropping-particle" : "", "family" : "Sindic", "given" : "Aleksandra", "non-dropping-particle" : "", "parse-names" : false, "suffix" : "" }, { "dropping-particle" : "", "family" : "Bencic", "given" : "Martina Lovric", "non-dropping-particle" : "", "parse-names" : false, "suffix" : "" }, { "dropping-particle" : "", "family" : "Seiwerth", "given" : "Sven", "non-dropping-particle" : "", "parse-names" : false, "suffix" : "" }, { "dropping-particle" : "", "family" : "Sikiric", "given" : "Predrag", "non-dropping-particle" : "", "parse-names" : false, "suffix" : "" } ], "container-title" : "Regulatory Peptides", "id" : "ITEM-1", "issue" : "1", "issued" : { "date-parts" : [ [ "2013" ] ] }, "page" : "50-66", "publisher" : "Elsevier B.V.", "title" : "Mortal hyperkalemia disturbances in rats are NO-system related. The life saving effect of pentadecapeptide BPC 157", "type" : "article-journal", "volume" : "181" }, "uris" : [ "http://www.mendeley.com/documents/?uuid=7aa3408f-dfcd-43e4-a5b5-c5e0297faa41" ] } ], "mendeley" : { "formattedCitation" : "&lt;sup&gt;[34]&lt;/sup&gt;", "plainTextFormattedCitation" : "[34]", "previouslyFormattedCitation" : "(Barisic et al., 2013)" }, "properties" : {  }, "schema" : "https://github.com/citation-style-language/schema/raw/master/csl-citation.json" }</w:instrText>
      </w:r>
      <w:r w:rsidR="00B073A6" w:rsidRPr="00CC34A3">
        <w:rPr>
          <w:rFonts w:ascii="Book Antiqua" w:eastAsia="Calibri" w:hAnsi="Book Antiqua" w:cs="Courier New"/>
          <w:color w:val="000000" w:themeColor="text1"/>
          <w:lang w:val="en-US" w:eastAsia="en-US"/>
        </w:rPr>
        <w:fldChar w:fldCharType="separate"/>
      </w:r>
      <w:r w:rsidR="00B073A6" w:rsidRPr="00CC34A3">
        <w:rPr>
          <w:rFonts w:ascii="Book Antiqua" w:eastAsia="Calibri" w:hAnsi="Book Antiqua" w:cs="Courier New"/>
          <w:color w:val="000000" w:themeColor="text1"/>
          <w:vertAlign w:val="superscript"/>
          <w:lang w:val="en-US" w:eastAsia="en-US"/>
        </w:rPr>
        <w:t>[34]</w:t>
      </w:r>
      <w:r w:rsidR="00B073A6" w:rsidRPr="00CC34A3">
        <w:rPr>
          <w:rFonts w:ascii="Book Antiqua" w:eastAsia="Calibri" w:hAnsi="Book Antiqua" w:cs="Courier New"/>
          <w:color w:val="000000" w:themeColor="text1"/>
          <w:lang w:val="en-US" w:eastAsia="en-US"/>
        </w:rPr>
        <w:fldChar w:fldCharType="end"/>
      </w:r>
      <w:r w:rsidR="00B073A6" w:rsidRPr="00CC34A3">
        <w:rPr>
          <w:rFonts w:ascii="Book Antiqua" w:hAnsi="Book Antiqua" w:cs="Courier New"/>
          <w:color w:val="000000" w:themeColor="text1"/>
          <w:lang w:val="en-US"/>
        </w:rPr>
        <w:t>; Virchow’s triad</w:t>
      </w:r>
      <w:r w:rsidR="00B073A6" w:rsidRPr="00CC34A3">
        <w:rPr>
          <w:rFonts w:ascii="Book Antiqua" w:eastAsia="Calibri" w:hAnsi="Book Antiqua" w:cs="Courier New"/>
          <w:color w:val="000000" w:themeColor="text1"/>
          <w:lang w:val="en-US" w:eastAsia="en-US"/>
        </w:rPr>
        <w:fldChar w:fldCharType="begin" w:fldLock="1"/>
      </w:r>
      <w:r w:rsidR="00B073A6" w:rsidRPr="00CC34A3">
        <w:rPr>
          <w:rFonts w:ascii="Book Antiqua" w:eastAsia="Calibri" w:hAnsi="Book Antiqua" w:cs="Courier New"/>
          <w:color w:val="000000" w:themeColor="text1"/>
          <w:lang w:val="en-US" w:eastAsia="en-US"/>
        </w:rPr>
        <w:instrText>ADDIN CSL_CITATION { "citationItems" : [ { "id" : "ITEM-1",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"ITEM-1",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"&lt;sup&gt;[16]&lt;/sup&gt;", "plainTextFormattedCitation" : "[16]", "previouslyFormattedCitation" : "(Vukojevi\u0107 et al., 2018)" }, "properties" : {  }, "schema" : "https://github.com/citation-style-language/schema/raw/master/csl-citation.json" }</w:instrText>
      </w:r>
      <w:r w:rsidR="00B073A6" w:rsidRPr="00CC34A3">
        <w:rPr>
          <w:rFonts w:ascii="Book Antiqua" w:eastAsia="Calibri" w:hAnsi="Book Antiqua" w:cs="Courier New"/>
          <w:color w:val="000000" w:themeColor="text1"/>
          <w:lang w:val="en-US" w:eastAsia="en-US"/>
        </w:rPr>
        <w:fldChar w:fldCharType="separate"/>
      </w:r>
      <w:r w:rsidR="00B073A6" w:rsidRPr="00CC34A3">
        <w:rPr>
          <w:rFonts w:ascii="Book Antiqua" w:eastAsia="Calibri" w:hAnsi="Book Antiqua" w:cs="Courier New"/>
          <w:color w:val="000000" w:themeColor="text1"/>
          <w:vertAlign w:val="superscript"/>
          <w:lang w:val="en-US" w:eastAsia="en-US"/>
        </w:rPr>
        <w:t>[16]</w:t>
      </w:r>
      <w:r w:rsidR="00B073A6" w:rsidRPr="00CC34A3">
        <w:rPr>
          <w:rFonts w:ascii="Book Antiqua" w:eastAsia="Calibri" w:hAnsi="Book Antiqua" w:cs="Courier New"/>
          <w:color w:val="000000" w:themeColor="text1"/>
          <w:lang w:val="en-US" w:eastAsia="en-US"/>
        </w:rPr>
        <w:fldChar w:fldCharType="end"/>
      </w:r>
      <w:r w:rsidR="00B073A6" w:rsidRPr="00CC34A3">
        <w:rPr>
          <w:rFonts w:ascii="Book Antiqua" w:hAnsi="Book Antiqua" w:cs="Courier New"/>
          <w:color w:val="000000" w:themeColor="text1"/>
          <w:lang w:val="en-US"/>
        </w:rPr>
        <w:t>; chronic heart failure induced by doxorubicin in hypotensive rats and mice</w:t>
      </w:r>
      <w:r w:rsidR="00B073A6" w:rsidRPr="00CC34A3">
        <w:rPr>
          <w:rFonts w:ascii="Book Antiqua" w:eastAsia="Calibri" w:hAnsi="Book Antiqua" w:cs="Courier New"/>
          <w:color w:val="000000" w:themeColor="text1"/>
          <w:lang w:val="en-US" w:eastAsia="en-US"/>
        </w:rPr>
        <w:fldChar w:fldCharType="begin" w:fldLock="1"/>
      </w:r>
      <w:r w:rsidR="00B073A6" w:rsidRPr="00CC34A3">
        <w:rPr>
          <w:rFonts w:ascii="Book Antiqua" w:eastAsia="Calibri" w:hAnsi="Book Antiqua" w:cs="Courier New"/>
          <w:color w:val="000000" w:themeColor="text1"/>
          <w:lang w:val="en-US" w:eastAsia="en-US"/>
        </w:rPr>
        <w:instrText>ADDIN CSL_CITATION { "citationItems" : [ { "id" : "ITEM-1", "itemData" : { "ISSN" : "1347-8613", "PMID" : "15153646", "abstract" : "Overall, doxorubicine-congestive heart failure (CHF) (male Wistar rats and NMRI mice; 6 challenges with doxorubicine (2.5 mg/kg, i.p.) throughout 15 days and then a 4-week-rest period) is consistently deteriorating throughout next 14 days, if not reversed or ameliorated by therapy (/kg per day): a stable gastric pentadecapeptide BPC157 (GEPPPGKPADDAGLV, MW 1419, promisingly studied for inflammatory bowel disease (Pliva; PL 10, PLD-116, PL 14736)) (10 microg, 10 ng), losartan (0.7 mg), amlodipine (0.07 mg), given intragastrically (i.g.) (once daily, rats) or in drinking water (mice). Assessed were big endothelin-1 (BET-1) and plasma enzyme levels (CK, MBCK, LDH, AST, ALT) before and after 14 days of therapy and clinical status (hypotension, increased heart rate and respiratory rate, and ascites) every 2 days. Controls (distilled water (5 ml/kg, i.g., once daily) or drinking water (2 ml/mouse per day) given throughout 14 days) exhibited additionally increased BET-1 and aggravated clinical status, while enzyme values maintained their initial increase. BPC157 (10 microg/kg) and amlodipine treatment reversed the increased BET-1 (rats, mice), AST, ALT, CK (rats, mice), and LDH (mice) values. BPC157 (10 ng/kg) and losartan opposed further increase of BET-1 (rats, mice). Losartan reduces AST, ALT, CK, and LDH serum values. BPC157 (10 ng/kg) reduces AST and ALT serum values. Clinical status of CHF-rats and -mice is accordingly improved by the BPC157 regimens and amlodipine.", "author" : [ { "dropping-particle" : "", "family" : "Lovric-Bencic", "given" : "Martina", "non-dropping-particle" : "", "parse-names" : false, "suffix" : "" }, { "dropping-particle" : "", "family" : "Sikiric", "given" : "Predrag", "non-dropping-particle" : "", "parse-names" : false, "suffix" : "" }, { "dropping-particle" : "", "family" : "Hanzevacki", "given" : "Jadranka S", "non-dropping-particle" : "", "parse-names" : false, "suffix" : "" }, { "dropping-particle" : "", "family" : "Seiwerth", "given" : "Sven", "non-dropping-particle" : "", "parse-names" : false, "suffix" : "" }, { "dropping-particle" : "", "family" : "Rogic", "given" : "Dunja", "non-dropping-particle" : "", "parse-names" : false, "suffix" : "" }, { "dropping-particle" : "", "family" : "Kusec", "given" : "Vesna", "non-dropping-particle" : "", "parse-names" : false, "suffix" : "" }, { "dropping-particle" : "", "family" : "Aralica", "given" : "Gorana", "non-dropping-particle" : "", "parse-names" : false, "suffix" : "" }, { "dropping-particle" : "", "family" : "Konjevoda", "given" : "Pasko", "non-dropping-particle" : "", "parse-names" : false, "suffix" : "" }, { "dropping-particle" : "", "family" : "Batelja", "given" : "Lovorka", "non-dropping-particle" : "", "parse-names" : false, "suffix" : "" }, { "dropping-particle" : "", "family" : "Blagaic", "given" : "Alenka B", "non-dropping-particle" : "", "parse-names" : false, "suffix" : "" } ], "container-title" : "Journal of pharmacological sciences", "id" : "ITEM-1", "issue" : "1", "issued" : { "date-parts" : [ [ "2004", "5" ] ] }, "page" : "19-26", "title" : "Doxorubicine-congestive heart failure-increased big endothelin-1 plasma concentration: reversal by amlodipine, losartan, and gastric pentadecapeptide BPC157 in rat and mouse.", "type" : "article-journal", "volume" : "95" }, "uris" : [ "http://www.mendeley.com/documents/?uuid=b741d5eb-3aad-4841-ab74-f2e266dab8dc" ] } ], "mendeley" : { "formattedCitation" : "&lt;sup&gt;[35]&lt;/sup&gt;", "plainTextFormattedCitation" : "[35]", "previouslyFormattedCitation" : "(Lovric-Bencic et al., 2004)" }, "properties" : {  }, "schema" : "https://github.com/citation-style-language/schema/raw/master/csl-citation.json" }</w:instrText>
      </w:r>
      <w:r w:rsidR="00B073A6" w:rsidRPr="00CC34A3">
        <w:rPr>
          <w:rFonts w:ascii="Book Antiqua" w:eastAsia="Calibri" w:hAnsi="Book Antiqua" w:cs="Courier New"/>
          <w:color w:val="000000" w:themeColor="text1"/>
          <w:lang w:val="en-US" w:eastAsia="en-US"/>
        </w:rPr>
        <w:fldChar w:fldCharType="separate"/>
      </w:r>
      <w:r w:rsidR="00B073A6" w:rsidRPr="00CC34A3">
        <w:rPr>
          <w:rFonts w:ascii="Book Antiqua" w:eastAsia="Calibri" w:hAnsi="Book Antiqua" w:cs="Courier New"/>
          <w:color w:val="000000" w:themeColor="text1"/>
          <w:vertAlign w:val="superscript"/>
          <w:lang w:val="en-US" w:eastAsia="en-US"/>
        </w:rPr>
        <w:t>[35]</w:t>
      </w:r>
      <w:r w:rsidR="00B073A6" w:rsidRPr="00CC34A3">
        <w:rPr>
          <w:rFonts w:ascii="Book Antiqua" w:eastAsia="Calibri" w:hAnsi="Book Antiqua" w:cs="Courier New"/>
          <w:color w:val="000000" w:themeColor="text1"/>
          <w:lang w:val="en-US" w:eastAsia="en-US"/>
        </w:rPr>
        <w:fldChar w:fldCharType="end"/>
      </w:r>
      <w:r w:rsidR="00B073A6" w:rsidRPr="00CC34A3">
        <w:rPr>
          <w:rFonts w:ascii="Book Antiqua" w:hAnsi="Book Antiqua" w:cs="Courier New"/>
          <w:color w:val="000000" w:themeColor="text1"/>
          <w:lang w:val="en-US"/>
        </w:rPr>
        <w:t xml:space="preserve">; venous hypertension in systemically hypotensive rats with inferior </w:t>
      </w:r>
      <w:proofErr w:type="spellStart"/>
      <w:r w:rsidR="00B073A6" w:rsidRPr="00CC34A3">
        <w:rPr>
          <w:rFonts w:ascii="Book Antiqua" w:hAnsi="Book Antiqua" w:cs="Courier New"/>
          <w:color w:val="000000" w:themeColor="text1"/>
          <w:lang w:val="en-US"/>
        </w:rPr>
        <w:t>caval</w:t>
      </w:r>
      <w:proofErr w:type="spellEnd"/>
      <w:r w:rsidR="00B073A6" w:rsidRPr="00CC34A3">
        <w:rPr>
          <w:rFonts w:ascii="Book Antiqua" w:hAnsi="Book Antiqua" w:cs="Courier New"/>
          <w:color w:val="000000" w:themeColor="text1"/>
          <w:lang w:val="en-US"/>
        </w:rPr>
        <w:t xml:space="preserve"> vein occlusion</w:t>
      </w:r>
      <w:r w:rsidR="00B073A6" w:rsidRPr="00CC34A3">
        <w:rPr>
          <w:rFonts w:ascii="Book Antiqua" w:eastAsia="Calibri" w:hAnsi="Book Antiqua" w:cs="Courier New"/>
          <w:color w:val="000000" w:themeColor="text1"/>
          <w:lang w:val="en-US"/>
        </w:rPr>
        <w:fldChar w:fldCharType="begin" w:fldLock="1"/>
      </w:r>
      <w:r w:rsidR="00B073A6" w:rsidRPr="00CC34A3">
        <w:rPr>
          <w:rFonts w:ascii="Book Antiqua" w:eastAsia="Calibri" w:hAnsi="Book Antiqua" w:cs="Courier New"/>
          <w:color w:val="000000" w:themeColor="text1"/>
          <w:lang w:val="en-US"/>
        </w:rPr>
        <w:instrText>ADDIN CSL_CITATION { "citationItems" : [ { "id" : "ITEM-1",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"ITEM-1",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"&lt;sup&gt;[16]&lt;/sup&gt;", "plainTextFormattedCitation" : "[16]", "previouslyFormattedCitation" : "(Vukojevi\u0107 et al., 2018)" }, "properties" : {  }, "schema" : "https://github.com/citation-style-language/schema/raw/master/csl-citation.json" }</w:instrText>
      </w:r>
      <w:r w:rsidR="00B073A6" w:rsidRPr="00CC34A3">
        <w:rPr>
          <w:rFonts w:ascii="Book Antiqua" w:eastAsia="Calibri" w:hAnsi="Book Antiqua" w:cs="Courier New"/>
          <w:color w:val="000000" w:themeColor="text1"/>
          <w:lang w:val="en-US"/>
        </w:rPr>
        <w:fldChar w:fldCharType="separate"/>
      </w:r>
      <w:r w:rsidR="00B073A6" w:rsidRPr="00CC34A3">
        <w:rPr>
          <w:rFonts w:ascii="Book Antiqua" w:eastAsia="Calibri" w:hAnsi="Book Antiqua" w:cs="Courier New"/>
          <w:color w:val="000000" w:themeColor="text1"/>
          <w:vertAlign w:val="superscript"/>
          <w:lang w:val="en-US"/>
        </w:rPr>
        <w:t>[16]</w:t>
      </w:r>
      <w:r w:rsidR="00B073A6" w:rsidRPr="00CC34A3">
        <w:rPr>
          <w:rFonts w:ascii="Book Antiqua" w:eastAsia="Calibri" w:hAnsi="Book Antiqua" w:cs="Courier New"/>
          <w:color w:val="000000" w:themeColor="text1"/>
          <w:lang w:val="en-US"/>
        </w:rPr>
        <w:fldChar w:fldCharType="end"/>
      </w:r>
      <w:r w:rsidR="00B073A6" w:rsidRPr="00CC34A3">
        <w:rPr>
          <w:rFonts w:ascii="Book Antiqua" w:hAnsi="Book Antiqua" w:cs="Courier New"/>
          <w:color w:val="000000" w:themeColor="text1"/>
          <w:lang w:val="en-US"/>
        </w:rPr>
        <w:t xml:space="preserve">). Therefore, in </w:t>
      </w:r>
      <w:r w:rsidR="00992FA2" w:rsidRPr="00CC34A3">
        <w:rPr>
          <w:rFonts w:ascii="Book Antiqua" w:hAnsi="Book Antiqua" w:cs="Courier New"/>
          <w:color w:val="000000" w:themeColor="text1"/>
          <w:lang w:val="en-US"/>
        </w:rPr>
        <w:t>SAPDV</w:t>
      </w:r>
      <w:r w:rsidR="00B073A6" w:rsidRPr="00CC34A3">
        <w:rPr>
          <w:rFonts w:ascii="Book Antiqua" w:hAnsi="Book Antiqua" w:cs="Courier New"/>
          <w:color w:val="000000" w:themeColor="text1"/>
          <w:lang w:val="en-US"/>
        </w:rPr>
        <w:t>-ligated rats, venous occlusion alone causes severe congestion and increased intravascular pressure</w:t>
      </w:r>
      <w:r w:rsidR="00B073A6" w:rsidRPr="00CC34A3">
        <w:rPr>
          <w:rFonts w:ascii="Book Antiqua" w:eastAsia="Calibri" w:hAnsi="Book Antiqua" w:cs="Courier New"/>
          <w:color w:val="000000" w:themeColor="text1"/>
          <w:lang w:val="en-US" w:eastAsia="en-US"/>
        </w:rPr>
        <w:fldChar w:fldCharType="begin" w:fldLock="1"/>
      </w:r>
      <w:r w:rsidR="00B073A6" w:rsidRPr="00CC34A3">
        <w:rPr>
          <w:rFonts w:ascii="Book Antiqua" w:eastAsia="Calibri" w:hAnsi="Book Antiqua" w:cs="Courier New"/>
          <w:color w:val="000000" w:themeColor="text1"/>
          <w:lang w:val="en-US" w:eastAsia="en-US"/>
        </w:rPr>
        <w:instrText>ADDIN CSL_CITATION { "citationItems" : [ { "id" : "ITEM-1", "itemData" : { "ISSN" : "2219-2840", "PMID" : "19701970", "abstract" : "AIM To investigate the differences in injury patterns caused by arterial, venous or arteriovenous mesenteric occlusion. METHODS Male Wistar rats were separated equally into four groups. Occlusion was performed by clamping the superior mesenteric artery (A), the mesenteric vein (V) or both (AV) for 30 min, followed by 60 min of reperfusion. A control group received sham surgery only. Intestinal sections were examined for histological damage and serum tumor necrosis factor-alpha (TNF-alpha), endothelin-1 (ET-1), P-selectin, antithrombin III (ATIII) and soluble intracellular adhesion molecule-1 (ICAM-1) concentrations were measured. RESULTS All groups showed significant mucosal injury compared to controls. Furthermore, mucosal injury was significantly more severe in the V and AV groups compared to the A group (3.6 +/- 0.55, 3.4 +/- 0.55 and 2 +/- 0.71, respectively P = 0.01). ICAM-1 was similarly elevated in all groups, with no significant differences between the groups. P-selectin levels were significantly elevated in the V and AV groups but not the A group (1.4 +/- 0.5 ng/mL, 2.52 +/- 0.9 ng/mL and 0.02 +/- 0.01 ng/mL, respectively, P = 0.01) and ET-1 was significantly elevated in the A and V groups but not the AV group (0.32 +/- 0.04 pg/mL, 0.36 +/- 0.05 pg/mL and 0.29 +/- 0.03 pg/mL, respectively, P = 0.01) compared to sham controls. ATIII levels were markedly depleted in the V and AV groups, but not in the A group (29.1 +/- 5.2 pg/mL, 31.4 +/- 21.8 pg/mL and 55.8 +/- 35.6 pg/mL, respectively, P = 0.01), compared to controls. Serum TNF-alpha was significantly increased in all groups compared to sham controls (1.32 +/- 0.87 ng/mL, 1.79 +/- 0.20 ng/mL and 4.4 +/- 0.69 ng/mL, for groups A, V and AV, respectively, P = 0.01), with higher values in the AV group. CONCLUSION Different patterns of response to ischemia/reperfusion are associated with venous, arterial or arteriovenous occlusion. Venous and arteriovenous occlusion was associated with the most severe alterations.", "author" : [ { "dropping-particle" : "", "family" : "Guzm\u00e1n-de la Garza", "given" : "Francisco Javier", "non-dropping-particle" : "", "parse-names" : false, "suffix" : "" }, { "dropping-particle" : "", "family" : "C\u00e1mara-Lemarroy", "given" : "Carlos Rodrigo", "non-dropping-particle" : "", "parse-names" : false, "suffix" : "" }, { "dropping-particle" : "", "family" : "Alarc\u00f3n-Galv\u00e1n", "given" : "Gabriela", "non-dropping-particle" : "", "parse-names" : false, "suffix" : "" }, { "dropping-particle" : "", "family" : "Cordero-P\u00e9rez", "given" : "Paula", "non-dropping-particle" : "", "parse-names" : false, "suffix" : "" }, { "dropping-particle" : "", "family" : "Mu\u00f1oz-Espinosa", "given" : "Linda Elsa", "non-dropping-particle" : "", "parse-names" : false, "suffix" : "" }, { "dropping-particle" : "", "family" : "Fern\u00e1ndez-Garza", "given" : "Nancy Esthela", "non-dropping-particle" : "", "parse-names" : false, "suffix" : "" } ], "container-title" : "World journal of gastroenterology", "id" : "ITEM-1", "issue" : "31", "issued" : { "date-parts" : [ [ "2009", "8", "21" ] ] }, "page" : "3901-3907", "title" : "Different patterns of intestinal response to injury after arterial, venous or arteriovenous occlusion in rats.", "type" : "article-journal", "volume" : "15" }, "uris" : [ "http://www.mendeley.com/documents/?uuid=6d91dc79-71d1-4187-9646-4358c75978c5" ] } ], "mendeley" : { "formattedCitation" : "&lt;sup&gt;[26]&lt;/sup&gt;", "plainTextFormattedCitation" : "[26]", "previouslyFormattedCitation" : "(Guzm\u00e1n-de la Garza et al., 2009)" }, "properties" : {  }, "schema" : "https://github.com/citation-style-language/schema/raw/master/csl-citation.json" }</w:instrText>
      </w:r>
      <w:r w:rsidR="00B073A6" w:rsidRPr="00CC34A3">
        <w:rPr>
          <w:rFonts w:ascii="Book Antiqua" w:eastAsia="Calibri" w:hAnsi="Book Antiqua" w:cs="Courier New"/>
          <w:color w:val="000000" w:themeColor="text1"/>
          <w:lang w:val="en-US" w:eastAsia="en-US"/>
        </w:rPr>
        <w:fldChar w:fldCharType="separate"/>
      </w:r>
      <w:r w:rsidR="00B073A6" w:rsidRPr="00CC34A3">
        <w:rPr>
          <w:rFonts w:ascii="Book Antiqua" w:eastAsia="Calibri" w:hAnsi="Book Antiqua" w:cs="Courier New"/>
          <w:color w:val="000000" w:themeColor="text1"/>
          <w:vertAlign w:val="superscript"/>
          <w:lang w:val="en-US" w:eastAsia="en-US"/>
        </w:rPr>
        <w:t>[26]</w:t>
      </w:r>
      <w:r w:rsidR="00B073A6" w:rsidRPr="00CC34A3">
        <w:rPr>
          <w:rFonts w:ascii="Book Antiqua" w:eastAsia="Calibri" w:hAnsi="Book Antiqua" w:cs="Courier New"/>
          <w:color w:val="000000" w:themeColor="text1"/>
          <w:lang w:val="en-US" w:eastAsia="en-US"/>
        </w:rPr>
        <w:fldChar w:fldCharType="end"/>
      </w:r>
      <w:r w:rsidR="00B073A6" w:rsidRPr="00CC34A3">
        <w:rPr>
          <w:rFonts w:ascii="Book Antiqua" w:hAnsi="Book Antiqua" w:cs="Courier New"/>
          <w:color w:val="000000" w:themeColor="text1"/>
          <w:lang w:val="en-US"/>
        </w:rPr>
        <w:t xml:space="preserve">; the vessels hampered with occlusions would fail to </w:t>
      </w:r>
      <w:r w:rsidR="00B073A6" w:rsidRPr="00CC34A3">
        <w:rPr>
          <w:rFonts w:ascii="Book Antiqua" w:hAnsi="Book Antiqua" w:cs="Courier New"/>
          <w:color w:val="000000" w:themeColor="text1"/>
          <w:lang w:val="en-US"/>
        </w:rPr>
        <w:lastRenderedPageBreak/>
        <w:t>respond to either NO agent. On the other hand, this complete failure is not present in left colic artery and vein ligated rats</w:t>
      </w:r>
      <w:r w:rsidR="00B073A6" w:rsidRPr="00CC34A3">
        <w:rPr>
          <w:rFonts w:ascii="Book Antiqua" w:eastAsia="Calibri" w:hAnsi="Book Antiqua" w:cs="Courier New"/>
          <w:color w:val="000000" w:themeColor="text1"/>
          <w:lang w:val="en-US" w:eastAsia="en-US"/>
        </w:rPr>
        <w:fldChar w:fldCharType="begin" w:fldLock="1"/>
      </w:r>
      <w:r w:rsidR="00B073A6" w:rsidRPr="00CC34A3">
        <w:rPr>
          <w:rFonts w:ascii="Book Antiqua" w:eastAsia="Calibri" w:hAnsi="Book Antiqua" w:cs="Courier New"/>
          <w:color w:val="000000" w:themeColor="text1"/>
          <w:lang w:val="en-US" w:eastAsia="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"mendeley" : { "formattedCitation" : "&lt;sup&gt;[15]&lt;/sup&gt;", "plainTextFormattedCitation" : "[15]", "previouslyFormattedCitation" : "(Duzel et al., 2017)" }, "properties" : {  }, "schema" : "https://github.com/citation-style-language/schema/raw/master/csl-citation.json" }</w:instrText>
      </w:r>
      <w:r w:rsidR="00B073A6" w:rsidRPr="00CC34A3">
        <w:rPr>
          <w:rFonts w:ascii="Book Antiqua" w:eastAsia="Calibri" w:hAnsi="Book Antiqua" w:cs="Courier New"/>
          <w:color w:val="000000" w:themeColor="text1"/>
          <w:lang w:val="en-US" w:eastAsia="en-US"/>
        </w:rPr>
        <w:fldChar w:fldCharType="separate"/>
      </w:r>
      <w:r w:rsidR="00B073A6" w:rsidRPr="00CC34A3">
        <w:rPr>
          <w:rFonts w:ascii="Book Antiqua" w:eastAsia="Calibri" w:hAnsi="Book Antiqua" w:cs="Courier New"/>
          <w:color w:val="000000" w:themeColor="text1"/>
          <w:vertAlign w:val="superscript"/>
          <w:lang w:val="en-US" w:eastAsia="en-US"/>
        </w:rPr>
        <w:t>[15]</w:t>
      </w:r>
      <w:r w:rsidR="00B073A6" w:rsidRPr="00CC34A3">
        <w:rPr>
          <w:rFonts w:ascii="Book Antiqua" w:eastAsia="Calibri" w:hAnsi="Book Antiqua" w:cs="Courier New"/>
          <w:color w:val="000000" w:themeColor="text1"/>
          <w:lang w:val="en-US" w:eastAsia="en-US"/>
        </w:rPr>
        <w:fldChar w:fldCharType="end"/>
      </w:r>
      <w:r w:rsidR="00B073A6" w:rsidRPr="00CC34A3">
        <w:rPr>
          <w:rFonts w:ascii="Book Antiqua" w:eastAsia="Calibri" w:hAnsi="Book Antiqua" w:cs="Courier New"/>
          <w:color w:val="000000" w:themeColor="text1"/>
          <w:lang w:val="en-US" w:eastAsia="en-US"/>
        </w:rPr>
        <w:t xml:space="preserve"> (</w:t>
      </w:r>
      <w:r w:rsidR="00773972" w:rsidRPr="00CC34A3">
        <w:rPr>
          <w:rFonts w:ascii="Book Antiqua" w:hAnsi="Book Antiqua" w:cs="Courier New"/>
          <w:color w:val="000000" w:themeColor="text1"/>
          <w:lang w:val="en-US"/>
        </w:rPr>
        <w:t>arterial occlusion results</w:t>
      </w:r>
      <w:r w:rsidR="00B073A6" w:rsidRPr="00CC34A3">
        <w:rPr>
          <w:rFonts w:ascii="Book Antiqua" w:hAnsi="Book Antiqua" w:cs="Courier New"/>
          <w:color w:val="000000" w:themeColor="text1"/>
          <w:lang w:val="en-US"/>
        </w:rPr>
        <w:t xml:space="preserve"> only in reduced inflow perfusion with normal outflow</w:t>
      </w:r>
      <w:r w:rsidR="00B073A6" w:rsidRPr="00CC34A3">
        <w:rPr>
          <w:rFonts w:ascii="Book Antiqua" w:eastAsia="Calibri" w:hAnsi="Book Antiqua" w:cs="Courier New"/>
          <w:color w:val="000000" w:themeColor="text1"/>
          <w:lang w:val="en-US" w:eastAsia="en-US"/>
        </w:rPr>
        <w:fldChar w:fldCharType="begin" w:fldLock="1"/>
      </w:r>
      <w:r w:rsidR="00B073A6" w:rsidRPr="00CC34A3">
        <w:rPr>
          <w:rFonts w:ascii="Book Antiqua" w:eastAsia="Calibri" w:hAnsi="Book Antiqua" w:cs="Courier New"/>
          <w:color w:val="000000" w:themeColor="text1"/>
          <w:lang w:val="en-US" w:eastAsia="en-US"/>
        </w:rPr>
        <w:instrText>ADDIN CSL_CITATION { "citationItems" : [ { "id" : "ITEM-1", "itemData" : { "ISSN" : "2219-2840", "PMID" : "19701970", "abstract" : "AIM To investigate the differences in injury patterns caused by arterial, venous or arteriovenous mesenteric occlusion. METHODS Male Wistar rats were separated equally into four groups. Occlusion was performed by clamping the superior mesenteric artery (A), the mesenteric vein (V) or both (AV) for 30 min, followed by 60 min of reperfusion. A control group received sham surgery only. Intestinal sections were examined for histological damage and serum tumor necrosis factor-alpha (TNF-alpha), endothelin-1 (ET-1), P-selectin, antithrombin III (ATIII) and soluble intracellular adhesion molecule-1 (ICAM-1) concentrations were measured. RESULTS All groups showed significant mucosal injury compared to controls. Furthermore, mucosal injury was significantly more severe in the V and AV groups compared to the A group (3.6 +/- 0.55, 3.4 +/- 0.55 and 2 +/- 0.71, respectively P = 0.01). ICAM-1 was similarly elevated in all groups, with no significant differences between the groups. P-selectin levels were significantly elevated in the V and AV groups but not the A group (1.4 +/- 0.5 ng/mL, 2.52 +/- 0.9 ng/mL and 0.02 +/- 0.01 ng/mL, respectively, P = 0.01) and ET-1 was significantly elevated in the A and V groups but not the AV group (0.32 +/- 0.04 pg/mL, 0.36 +/- 0.05 pg/mL and 0.29 +/- 0.03 pg/mL, respectively, P = 0.01) compared to sham controls. ATIII levels were markedly depleted in the V and AV groups, but not in the A group (29.1 +/- 5.2 pg/mL, 31.4 +/- 21.8 pg/mL and 55.8 +/- 35.6 pg/mL, respectively, P = 0.01), compared to controls. Serum TNF-alpha was significantly increased in all groups compared to sham controls (1.32 +/- 0.87 ng/mL, 1.79 +/- 0.20 ng/mL and 4.4 +/- 0.69 ng/mL, for groups A, V and AV, respectively, P = 0.01), with higher values in the AV group. CONCLUSION Different patterns of response to ischemia/reperfusion are associated with venous, arterial or arteriovenous occlusion. Venous and arteriovenous occlusion was associated with the most severe alterations.", "author" : [ { "dropping-particle" : "", "family" : "Guzm\u00e1n-de la Garza", "given" : "Francisco Javier", "non-dropping-particle" : "", "parse-names" : false, "suffix" : "" }, { "dropping-particle" : "", "family" : "C\u00e1mara-Lemarroy", "given" : "Carlos Rodrigo", "non-dropping-particle" : "", "parse-names" : false, "suffix" : "" }, { "dropping-particle" : "", "family" : "Alarc\u00f3n-Galv\u00e1n", "given" : "Gabriela", "non-dropping-particle" : "", "parse-names" : false, "suffix" : "" }, { "dropping-particle" : "", "family" : "Cordero-P\u00e9rez", "given" : "Paula", "non-dropping-particle" : "", "parse-names" : false, "suffix" : "" }, { "dropping-particle" : "", "family" : "Mu\u00f1oz-Espinosa", "given" : "Linda Elsa", "non-dropping-particle" : "", "parse-names" : false, "suffix" : "" }, { "dropping-particle" : "", "family" : "Fern\u00e1ndez-Garza", "given" : "Nancy Esthela", "non-dropping-particle" : "", "parse-names" : false, "suffix" : "" } ], "container-title" : "World journal of gastroenterology", "id" : "ITEM-1", "issue" : "31", "issued" : { "date-parts" : [ [ "2009", "8", "21" ] ] }, "page" : "3901-3907", "title" : "Different patterns of intestinal response to injury after arterial, venous or arteriovenous occlusion in rats.", "type" : "article-journal", "volume" : "15" }, "uris" : [ "http://www.mendeley.com/documents/?uuid=6d91dc79-71d1-4187-9646-4358c75978c5" ] } ], "mendeley" : { "formattedCitation" : "&lt;sup&gt;[26]&lt;/sup&gt;", "plainTextFormattedCitation" : "[26]", "previouslyFormattedCitation" : "(Guzm\u00e1n-de la Garza et al., 2009)" }, "properties" : {  }, "schema" : "https://github.com/citation-style-language/schema/raw/master/csl-citation.json" }</w:instrText>
      </w:r>
      <w:r w:rsidR="00B073A6" w:rsidRPr="00CC34A3">
        <w:rPr>
          <w:rFonts w:ascii="Book Antiqua" w:eastAsia="Calibri" w:hAnsi="Book Antiqua" w:cs="Courier New"/>
          <w:color w:val="000000" w:themeColor="text1"/>
          <w:lang w:val="en-US" w:eastAsia="en-US"/>
        </w:rPr>
        <w:fldChar w:fldCharType="separate"/>
      </w:r>
      <w:r w:rsidR="00B073A6" w:rsidRPr="00CC34A3">
        <w:rPr>
          <w:rFonts w:ascii="Book Antiqua" w:eastAsia="Calibri" w:hAnsi="Book Antiqua" w:cs="Courier New"/>
          <w:color w:val="000000" w:themeColor="text1"/>
          <w:vertAlign w:val="superscript"/>
          <w:lang w:val="en-US" w:eastAsia="en-US"/>
        </w:rPr>
        <w:t>[26]</w:t>
      </w:r>
      <w:r w:rsidR="00B073A6" w:rsidRPr="00CC34A3">
        <w:rPr>
          <w:rFonts w:ascii="Book Antiqua" w:eastAsia="Calibri" w:hAnsi="Book Antiqua" w:cs="Courier New"/>
          <w:color w:val="000000" w:themeColor="text1"/>
          <w:lang w:val="en-US" w:eastAsia="en-US"/>
        </w:rPr>
        <w:fldChar w:fldCharType="end"/>
      </w:r>
      <w:r w:rsidR="00B073A6" w:rsidRPr="00CC34A3">
        <w:rPr>
          <w:rFonts w:ascii="Book Antiqua" w:hAnsi="Book Antiqua" w:cs="Courier New"/>
          <w:color w:val="000000" w:themeColor="text1"/>
          <w:lang w:val="en-US"/>
        </w:rPr>
        <w:t>, arteriovenous occlusion balances inflow and outflow alteration</w:t>
      </w:r>
      <w:r w:rsidR="00B073A6" w:rsidRPr="00CC34A3">
        <w:rPr>
          <w:rFonts w:ascii="Book Antiqua" w:eastAsia="Calibri" w:hAnsi="Book Antiqua" w:cs="Courier New"/>
          <w:color w:val="000000" w:themeColor="text1"/>
          <w:lang w:val="en-US" w:eastAsia="en-US"/>
        </w:rPr>
        <w:t>)</w:t>
      </w:r>
      <w:r w:rsidR="00B073A6" w:rsidRPr="00CC34A3">
        <w:rPr>
          <w:rFonts w:ascii="Book Antiqua" w:hAnsi="Book Antiqua" w:cs="Courier New"/>
          <w:color w:val="000000" w:themeColor="text1"/>
          <w:lang w:val="en-US"/>
        </w:rPr>
        <w:t xml:space="preserve">. Thus, </w:t>
      </w:r>
      <w:r w:rsidR="008E72C3" w:rsidRPr="00CC34A3">
        <w:rPr>
          <w:rFonts w:ascii="Book Antiqua" w:hAnsi="Book Antiqua" w:cs="Courier New"/>
          <w:color w:val="000000" w:themeColor="text1"/>
          <w:lang w:val="en-US"/>
        </w:rPr>
        <w:t xml:space="preserve">the </w:t>
      </w:r>
      <w:r w:rsidR="00B073A6" w:rsidRPr="00CC34A3">
        <w:rPr>
          <w:rFonts w:ascii="Book Antiqua" w:hAnsi="Book Antiqua" w:cs="Courier New"/>
          <w:color w:val="000000" w:themeColor="text1"/>
          <w:lang w:val="en-US"/>
        </w:rPr>
        <w:t>arteriovenous occlusion, intravascular pressure and tone equilibrium</w:t>
      </w:r>
      <w:r w:rsidR="00B073A6" w:rsidRPr="00CC34A3">
        <w:rPr>
          <w:rFonts w:ascii="Book Antiqua" w:eastAsia="Calibri" w:hAnsi="Book Antiqua" w:cs="Courier New"/>
          <w:color w:val="000000" w:themeColor="text1"/>
          <w:lang w:val="en-US" w:eastAsia="en-US"/>
        </w:rPr>
        <w:fldChar w:fldCharType="begin" w:fldLock="1"/>
      </w:r>
      <w:r w:rsidR="00B073A6" w:rsidRPr="00CC34A3">
        <w:rPr>
          <w:rFonts w:ascii="Book Antiqua" w:eastAsia="Calibri" w:hAnsi="Book Antiqua" w:cs="Courier New"/>
          <w:color w:val="000000" w:themeColor="text1"/>
          <w:lang w:val="en-US" w:eastAsia="en-US"/>
        </w:rPr>
        <w:instrText>ADDIN CSL_CITATION { "citationItems" : [ { "id" : "ITEM-1", "itemData" : { "ISSN" : "2219-2840", "PMID" : "19701970", "abstract" : "AIM To investigate the differences in injury patterns caused by arterial, venous or arteriovenous mesenteric occlusion. METHODS Male Wistar rats were separated equally into four groups. Occlusion was performed by clamping the superior mesenteric artery (A), the mesenteric vein (V) or both (AV) for 30 min, followed by 60 min of reperfusion. A control group received sham surgery only. Intestinal sections were examined for histological damage and serum tumor necrosis factor-alpha (TNF-alpha), endothelin-1 (ET-1), P-selectin, antithrombin III (ATIII) and soluble intracellular adhesion molecule-1 (ICAM-1) concentrations were measured. RESULTS All groups showed significant mucosal injury compared to controls. Furthermore, mucosal injury was significantly more severe in the V and AV groups compared to the A group (3.6 +/- 0.55, 3.4 +/- 0.55 and 2 +/- 0.71, respectively P = 0.01). ICAM-1 was similarly elevated in all groups, with no significant differences between the groups. P-selectin levels were significantly elevated in the V and AV groups but not the A group (1.4 +/- 0.5 ng/mL, 2.52 +/- 0.9 ng/mL and 0.02 +/- 0.01 ng/mL, respectively, P = 0.01) and ET-1 was significantly elevated in the A and V groups but not the AV group (0.32 +/- 0.04 pg/mL, 0.36 +/- 0.05 pg/mL and 0.29 +/- 0.03 pg/mL, respectively, P = 0.01) compared to sham controls. ATIII levels were markedly depleted in the V and AV groups, but not in the A group (29.1 +/- 5.2 pg/mL, 31.4 +/- 21.8 pg/mL and 55.8 +/- 35.6 pg/mL, respectively, P = 0.01), compared to controls. Serum TNF-alpha was significantly increased in all groups compared to sham controls (1.32 +/- 0.87 ng/mL, 1.79 +/- 0.20 ng/mL and 4.4 +/- 0.69 ng/mL, for groups A, V and AV, respectively, P = 0.01), with higher values in the AV group. CONCLUSION Different patterns of response to ischemia/reperfusion are associated with venous, arterial or arteriovenous occlusion. Venous and arteriovenous occlusion was associated with the most severe alterations.", "author" : [ { "dropping-particle" : "", "family" : "Guzm\u00e1n-de la Garza", "given" : "Francisco Javier", "non-dropping-particle" : "", "parse-names" : false, "suffix" : "" }, { "dropping-particle" : "", "family" : "C\u00e1mara-Lemarroy", "given" : "Carlos Rodrigo", "non-dropping-particle" : "", "parse-names" : false, "suffix" : "" }, { "dropping-particle" : "", "family" : "Alarc\u00f3n-Galv\u00e1n", "given" : "Gabriela", "non-dropping-particle" : "", "parse-names" : false, "suffix" : "" }, { "dropping-particle" : "", "family" : "Cordero-P\u00e9rez", "given" : "Paula", "non-dropping-particle" : "", "parse-names" : false, "suffix" : "" }, { "dropping-particle" : "", "family" : "Mu\u00f1oz-Espinosa", "given" : "Linda Elsa", "non-dropping-particle" : "", "parse-names" : false, "suffix" : "" }, { "dropping-particle" : "", "family" : "Fern\u00e1ndez-Garza", "given" : "Nancy Esthela", "non-dropping-particle" : "", "parse-names" : false, "suffix" : "" } ], "container-title" : "World journal of gastroenterology", "id" : "ITEM-1", "issue" : "31", "issued" : { "date-parts" : [ [ "2009", "8", "21" ] ] }, "page" : "3901-3907", "title" : "Different patterns of intestinal response to injury after arterial, venous or arteriovenous occlusion in rats.", "type" : "article-journal", "volume" : "15" }, "uris" : [ "http://www.mendeley.com/documents/?uuid=6d91dc79-71d1-4187-9646-4358c75978c5" ] } ], "mendeley" : { "formattedCitation" : "&lt;sup&gt;[26]&lt;/sup&gt;", "plainTextFormattedCitation" : "[26]", "previouslyFormattedCitation" : "(Guzm\u00e1n-de la Garza et al., 2009)" }, "properties" : {  }, "schema" : "https://github.com/citation-style-language/schema/raw/master/csl-citation.json" }</w:instrText>
      </w:r>
      <w:r w:rsidR="00B073A6" w:rsidRPr="00CC34A3">
        <w:rPr>
          <w:rFonts w:ascii="Book Antiqua" w:eastAsia="Calibri" w:hAnsi="Book Antiqua" w:cs="Courier New"/>
          <w:color w:val="000000" w:themeColor="text1"/>
          <w:lang w:val="en-US" w:eastAsia="en-US"/>
        </w:rPr>
        <w:fldChar w:fldCharType="separate"/>
      </w:r>
      <w:r w:rsidR="00B073A6" w:rsidRPr="00CC34A3">
        <w:rPr>
          <w:rFonts w:ascii="Book Antiqua" w:eastAsia="Calibri" w:hAnsi="Book Antiqua" w:cs="Courier New"/>
          <w:color w:val="000000" w:themeColor="text1"/>
          <w:vertAlign w:val="superscript"/>
          <w:lang w:val="en-US" w:eastAsia="en-US"/>
        </w:rPr>
        <w:t>[26]</w:t>
      </w:r>
      <w:r w:rsidR="00B073A6" w:rsidRPr="00CC34A3">
        <w:rPr>
          <w:rFonts w:ascii="Book Antiqua" w:eastAsia="Calibri" w:hAnsi="Book Antiqua" w:cs="Courier New"/>
          <w:color w:val="000000" w:themeColor="text1"/>
          <w:lang w:val="en-US" w:eastAsia="en-US"/>
        </w:rPr>
        <w:fldChar w:fldCharType="end"/>
      </w:r>
      <w:r w:rsidR="00B073A6" w:rsidRPr="00CC34A3">
        <w:rPr>
          <w:rFonts w:ascii="Book Antiqua" w:eastAsia="Calibri" w:hAnsi="Book Antiqua" w:cs="Courier New"/>
          <w:color w:val="000000" w:themeColor="text1"/>
          <w:lang w:val="en-US" w:eastAsia="en-US"/>
        </w:rPr>
        <w:t xml:space="preserve"> (</w:t>
      </w:r>
      <w:r w:rsidR="00B073A6" w:rsidRPr="00CC34A3">
        <w:rPr>
          <w:rFonts w:ascii="Book Antiqua" w:hAnsi="Book Antiqua" w:cs="Courier New"/>
          <w:color w:val="000000" w:themeColor="text1"/>
          <w:lang w:val="en-US"/>
        </w:rPr>
        <w:t>left colic artery and vein ligated rats</w:t>
      </w:r>
      <w:r w:rsidR="00B073A6" w:rsidRPr="00CC34A3">
        <w:rPr>
          <w:rFonts w:ascii="Book Antiqua" w:eastAsia="Calibri" w:hAnsi="Book Antiqua" w:cs="Courier New"/>
          <w:color w:val="000000" w:themeColor="text1"/>
          <w:lang w:val="en-US" w:eastAsia="en-US"/>
        </w:rPr>
        <w:fldChar w:fldCharType="begin" w:fldLock="1"/>
      </w:r>
      <w:r w:rsidR="00B073A6" w:rsidRPr="00CC34A3">
        <w:rPr>
          <w:rFonts w:ascii="Book Antiqua" w:eastAsia="Calibri" w:hAnsi="Book Antiqua" w:cs="Courier New"/>
          <w:color w:val="000000" w:themeColor="text1"/>
          <w:lang w:val="en-US" w:eastAsia="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"mendeley" : { "formattedCitation" : "&lt;sup&gt;[15]&lt;/sup&gt;", "plainTextFormattedCitation" : "[15]", "previouslyFormattedCitation" : "(Duzel et al., 2017)" }, "properties" : {  }, "schema" : "https://github.com/citation-style-language/schema/raw/master/csl-citation.json" }</w:instrText>
      </w:r>
      <w:r w:rsidR="00B073A6" w:rsidRPr="00CC34A3">
        <w:rPr>
          <w:rFonts w:ascii="Book Antiqua" w:eastAsia="Calibri" w:hAnsi="Book Antiqua" w:cs="Courier New"/>
          <w:color w:val="000000" w:themeColor="text1"/>
          <w:lang w:val="en-US" w:eastAsia="en-US"/>
        </w:rPr>
        <w:fldChar w:fldCharType="separate"/>
      </w:r>
      <w:r w:rsidR="00B073A6" w:rsidRPr="00CC34A3">
        <w:rPr>
          <w:rFonts w:ascii="Book Antiqua" w:eastAsia="Calibri" w:hAnsi="Book Antiqua" w:cs="Courier New"/>
          <w:color w:val="000000" w:themeColor="text1"/>
          <w:vertAlign w:val="superscript"/>
          <w:lang w:val="en-US" w:eastAsia="en-US"/>
        </w:rPr>
        <w:t>[15]</w:t>
      </w:r>
      <w:r w:rsidR="00B073A6" w:rsidRPr="00CC34A3">
        <w:rPr>
          <w:rFonts w:ascii="Book Antiqua" w:eastAsia="Calibri" w:hAnsi="Book Antiqua" w:cs="Courier New"/>
          <w:color w:val="000000" w:themeColor="text1"/>
          <w:lang w:val="en-US" w:eastAsia="en-US"/>
        </w:rPr>
        <w:fldChar w:fldCharType="end"/>
      </w:r>
      <w:r w:rsidR="00B073A6" w:rsidRPr="00CC34A3">
        <w:rPr>
          <w:rFonts w:ascii="Book Antiqua" w:eastAsia="Calibri" w:hAnsi="Book Antiqua" w:cs="Courier New"/>
          <w:color w:val="000000" w:themeColor="text1"/>
          <w:lang w:val="en-US" w:eastAsia="en-US"/>
        </w:rPr>
        <w:t xml:space="preserve">) still permits NO-agents activity, unlike </w:t>
      </w:r>
      <w:r w:rsidR="008E72C3" w:rsidRPr="00CC34A3">
        <w:rPr>
          <w:rFonts w:ascii="Book Antiqua" w:eastAsia="Calibri" w:hAnsi="Book Antiqua" w:cs="Courier New"/>
          <w:color w:val="000000" w:themeColor="text1"/>
          <w:lang w:val="en-US" w:eastAsia="en-US"/>
        </w:rPr>
        <w:t xml:space="preserve">the </w:t>
      </w:r>
      <w:r w:rsidR="00B073A6" w:rsidRPr="00CC34A3">
        <w:rPr>
          <w:rFonts w:ascii="Book Antiqua" w:eastAsia="Calibri" w:hAnsi="Book Antiqua" w:cs="Courier New"/>
          <w:color w:val="000000" w:themeColor="text1"/>
          <w:lang w:val="en-US" w:eastAsia="en-US"/>
        </w:rPr>
        <w:t>venous occlusion,</w:t>
      </w:r>
      <w:r w:rsidR="00B073A6" w:rsidRPr="00CC34A3">
        <w:rPr>
          <w:rFonts w:ascii="Book Antiqua" w:hAnsi="Book Antiqua" w:cs="Courier New"/>
          <w:color w:val="000000" w:themeColor="text1"/>
          <w:lang w:val="en-US"/>
        </w:rPr>
        <w:t xml:space="preserve"> severe congestion and increased intravascular pressure</w:t>
      </w:r>
      <w:r w:rsidR="00B073A6" w:rsidRPr="00CC34A3">
        <w:rPr>
          <w:rFonts w:ascii="Book Antiqua" w:eastAsia="Calibri" w:hAnsi="Book Antiqua" w:cs="Courier New"/>
          <w:color w:val="000000" w:themeColor="text1"/>
          <w:lang w:val="en-US" w:eastAsia="en-US"/>
        </w:rPr>
        <w:fldChar w:fldCharType="begin" w:fldLock="1"/>
      </w:r>
      <w:r w:rsidR="00B073A6" w:rsidRPr="00CC34A3">
        <w:rPr>
          <w:rFonts w:ascii="Book Antiqua" w:eastAsia="Calibri" w:hAnsi="Book Antiqua" w:cs="Courier New"/>
          <w:color w:val="000000" w:themeColor="text1"/>
          <w:lang w:val="en-US" w:eastAsia="en-US"/>
        </w:rPr>
        <w:instrText>ADDIN CSL_CITATION { "citationItems" : [ { "id" : "ITEM-1", "itemData" : { "ISSN" : "2219-2840", "PMID" : "19701970", "abstract" : "AIM To investigate the differences in injury patterns caused by arterial, venous or arteriovenous mesenteric occlusion. METHODS Male Wistar rats were separated equally into four groups. Occlusion was performed by clamping the superior mesenteric artery (A), the mesenteric vein (V) or both (AV) for 30 min, followed by 60 min of reperfusion. A control group received sham surgery only. Intestinal sections were examined for histological damage and serum tumor necrosis factor-alpha (TNF-alpha), endothelin-1 (ET-1), P-selectin, antithrombin III (ATIII) and soluble intracellular adhesion molecule-1 (ICAM-1) concentrations were measured. RESULTS All groups showed significant mucosal injury compared to controls. Furthermore, mucosal injury was significantly more severe in the V and AV groups compared to the A group (3.6 +/- 0.55, 3.4 +/- 0.55 and 2 +/- 0.71, respectively P = 0.01). ICAM-1 was similarly elevated in all groups, with no significant differences between the groups. P-selectin levels were significantly elevated in the V and AV groups but not the A group (1.4 +/- 0.5 ng/mL, 2.52 +/- 0.9 ng/mL and 0.02 +/- 0.01 ng/mL, respectively, P = 0.01) and ET-1 was significantly elevated in the A and V groups but not the AV group (0.32 +/- 0.04 pg/mL, 0.36 +/- 0.05 pg/mL and 0.29 +/- 0.03 pg/mL, respectively, P = 0.01) compared to sham controls. ATIII levels were markedly depleted in the V and AV groups, but not in the A group (29.1 +/- 5.2 pg/mL, 31.4 +/- 21.8 pg/mL and 55.8 +/- 35.6 pg/mL, respectively, P = 0.01), compared to controls. Serum TNF-alpha was significantly increased in all groups compared to sham controls (1.32 +/- 0.87 ng/mL, 1.79 +/- 0.20 ng/mL and 4.4 +/- 0.69 ng/mL, for groups A, V and AV, respectively, P = 0.01), with higher values in the AV group. CONCLUSION Different patterns of response to ischemia/reperfusion are associated with venous, arterial or arteriovenous occlusion. Venous and arteriovenous occlusion was associated with the most severe alterations.", "author" : [ { "dropping-particle" : "", "family" : "Guzm\u00e1n-de la Garza", "given" : "Francisco Javier", "non-dropping-particle" : "", "parse-names" : false, "suffix" : "" }, { "dropping-particle" : "", "family" : "C\u00e1mara-Lemarroy", "given" : "Carlos Rodrigo", "non-dropping-particle" : "", "parse-names" : false, "suffix" : "" }, { "dropping-particle" : "", "family" : "Alarc\u00f3n-Galv\u00e1n", "given" : "Gabriela", "non-dropping-particle" : "", "parse-names" : false, "suffix" : "" }, { "dropping-particle" : "", "family" : "Cordero-P\u00e9rez", "given" : "Paula", "non-dropping-particle" : "", "parse-names" : false, "suffix" : "" }, { "dropping-particle" : "", "family" : "Mu\u00f1oz-Espinosa", "given" : "Linda Elsa", "non-dropping-particle" : "", "parse-names" : false, "suffix" : "" }, { "dropping-particle" : "", "family" : "Fern\u00e1ndez-Garza", "given" : "Nancy Esthela", "non-dropping-particle" : "", "parse-names" : false, "suffix" : "" } ], "container-title" : "World journal of gastroenterology", "id" : "ITEM-1", "issue" : "31", "issued" : { "date-parts" : [ [ "2009", "8", "21" ] ] }, "page" : "3901-3907", "title" : "Different patterns of intestinal response to injury after arterial, venous or arteriovenous occlusion in rats.", "type" : "article-journal", "volume" : "15" }, "uris" : [ "http://www.mendeley.com/documents/?uuid=6d91dc79-71d1-4187-9646-4358c75978c5" ] } ], "mendeley" : { "formattedCitation" : "&lt;sup&gt;[26]&lt;/sup&gt;", "plainTextFormattedCitation" : "[26]", "previouslyFormattedCitation" : "(Guzm\u00e1n-de la Garza et al., 2009)" }, "properties" : {  }, "schema" : "https://github.com/citation-style-language/schema/raw/master/csl-citation.json" }</w:instrText>
      </w:r>
      <w:r w:rsidR="00B073A6" w:rsidRPr="00CC34A3">
        <w:rPr>
          <w:rFonts w:ascii="Book Antiqua" w:eastAsia="Calibri" w:hAnsi="Book Antiqua" w:cs="Courier New"/>
          <w:color w:val="000000" w:themeColor="text1"/>
          <w:lang w:val="en-US" w:eastAsia="en-US"/>
        </w:rPr>
        <w:fldChar w:fldCharType="separate"/>
      </w:r>
      <w:r w:rsidR="00B073A6" w:rsidRPr="00CC34A3">
        <w:rPr>
          <w:rFonts w:ascii="Book Antiqua" w:eastAsia="Calibri" w:hAnsi="Book Antiqua" w:cs="Courier New"/>
          <w:color w:val="000000" w:themeColor="text1"/>
          <w:vertAlign w:val="superscript"/>
          <w:lang w:val="en-US" w:eastAsia="en-US"/>
        </w:rPr>
        <w:t>[26]</w:t>
      </w:r>
      <w:r w:rsidR="00B073A6" w:rsidRPr="00CC34A3">
        <w:rPr>
          <w:rFonts w:ascii="Book Antiqua" w:eastAsia="Calibri" w:hAnsi="Book Antiqua" w:cs="Courier New"/>
          <w:color w:val="000000" w:themeColor="text1"/>
          <w:lang w:val="en-US" w:eastAsia="en-US"/>
        </w:rPr>
        <w:fldChar w:fldCharType="end"/>
      </w:r>
      <w:r w:rsidR="00B073A6" w:rsidRPr="00CC34A3">
        <w:rPr>
          <w:rFonts w:ascii="Book Antiqua" w:eastAsia="Calibri" w:hAnsi="Book Antiqua" w:cs="Courier New"/>
          <w:color w:val="000000" w:themeColor="text1"/>
          <w:lang w:val="en-US" w:eastAsia="en-US"/>
        </w:rPr>
        <w:t xml:space="preserve"> (</w:t>
      </w:r>
      <w:r w:rsidR="00992FA2" w:rsidRPr="00CC34A3">
        <w:rPr>
          <w:rFonts w:ascii="Book Antiqua" w:hAnsi="Book Antiqua" w:cs="Courier New"/>
          <w:color w:val="000000" w:themeColor="text1"/>
          <w:lang w:val="en-US"/>
        </w:rPr>
        <w:t>SAPDV</w:t>
      </w:r>
      <w:r w:rsidR="00B073A6" w:rsidRPr="00CC34A3">
        <w:rPr>
          <w:rFonts w:ascii="Book Antiqua" w:hAnsi="Book Antiqua" w:cs="Courier New"/>
          <w:color w:val="000000" w:themeColor="text1"/>
          <w:lang w:val="en-US"/>
        </w:rPr>
        <w:t>-ligated rats).</w:t>
      </w:r>
      <w:r w:rsidR="00B073A6" w:rsidRPr="00CC34A3">
        <w:rPr>
          <w:rFonts w:ascii="Book Antiqua" w:eastAsia="Calibri" w:hAnsi="Book Antiqua" w:cs="Courier New"/>
          <w:color w:val="000000" w:themeColor="text1"/>
          <w:lang w:val="en-US" w:eastAsia="en-US"/>
        </w:rPr>
        <w:t xml:space="preserve"> </w:t>
      </w:r>
      <w:r w:rsidR="00B073A6" w:rsidRPr="00CC34A3">
        <w:rPr>
          <w:rFonts w:ascii="Book Antiqua" w:hAnsi="Book Antiqua" w:cs="Courier New"/>
          <w:color w:val="000000" w:themeColor="text1"/>
          <w:lang w:val="en-US"/>
        </w:rPr>
        <w:t>Syndrome in left colic artery and vein ligated rats</w:t>
      </w:r>
      <w:r w:rsidR="00B073A6" w:rsidRPr="00CC34A3">
        <w:rPr>
          <w:rFonts w:ascii="Book Antiqua" w:eastAsia="Calibri" w:hAnsi="Book Antiqua" w:cs="Courier New"/>
          <w:color w:val="000000" w:themeColor="text1"/>
          <w:lang w:val="en-US" w:eastAsia="en-US"/>
        </w:rPr>
        <w:fldChar w:fldCharType="begin" w:fldLock="1"/>
      </w:r>
      <w:r w:rsidR="00B073A6" w:rsidRPr="00CC34A3">
        <w:rPr>
          <w:rFonts w:ascii="Book Antiqua" w:eastAsia="Calibri" w:hAnsi="Book Antiqua" w:cs="Courier New"/>
          <w:color w:val="000000" w:themeColor="text1"/>
          <w:lang w:val="en-US" w:eastAsia="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"mendeley" : { "formattedCitation" : "&lt;sup&gt;[15]&lt;/sup&gt;", "plainTextFormattedCitation" : "[15]", "previouslyFormattedCitation" : "(Duzel et al., 2017)" }, "properties" : {  }, "schema" : "https://github.com/citation-style-language/schema/raw/master/csl-citation.json" }</w:instrText>
      </w:r>
      <w:r w:rsidR="00B073A6" w:rsidRPr="00CC34A3">
        <w:rPr>
          <w:rFonts w:ascii="Book Antiqua" w:eastAsia="Calibri" w:hAnsi="Book Antiqua" w:cs="Courier New"/>
          <w:color w:val="000000" w:themeColor="text1"/>
          <w:lang w:val="en-US" w:eastAsia="en-US"/>
        </w:rPr>
        <w:fldChar w:fldCharType="separate"/>
      </w:r>
      <w:r w:rsidR="00B073A6" w:rsidRPr="00CC34A3">
        <w:rPr>
          <w:rFonts w:ascii="Book Antiqua" w:eastAsia="Calibri" w:hAnsi="Book Antiqua" w:cs="Courier New"/>
          <w:color w:val="000000" w:themeColor="text1"/>
          <w:vertAlign w:val="superscript"/>
          <w:lang w:val="en-US" w:eastAsia="en-US"/>
        </w:rPr>
        <w:t>[15]</w:t>
      </w:r>
      <w:r w:rsidR="00B073A6" w:rsidRPr="00CC34A3">
        <w:rPr>
          <w:rFonts w:ascii="Book Antiqua" w:eastAsia="Calibri" w:hAnsi="Book Antiqua" w:cs="Courier New"/>
          <w:color w:val="000000" w:themeColor="text1"/>
          <w:lang w:val="en-US" w:eastAsia="en-US"/>
        </w:rPr>
        <w:fldChar w:fldCharType="end"/>
      </w:r>
      <w:r w:rsidR="00D24A5A" w:rsidRPr="00CC34A3">
        <w:rPr>
          <w:rFonts w:ascii="Book Antiqua" w:eastAsia="Calibri" w:hAnsi="Book Antiqua" w:cs="Courier New"/>
          <w:color w:val="000000" w:themeColor="text1"/>
          <w:lang w:val="en-US" w:eastAsia="en-US"/>
        </w:rPr>
        <w:t xml:space="preserve"> [</w:t>
      </w:r>
      <w:r w:rsidR="00B073A6" w:rsidRPr="00CC34A3">
        <w:rPr>
          <w:rFonts w:ascii="Book Antiqua" w:eastAsia="Calibri" w:hAnsi="Book Antiqua" w:cs="Courier New"/>
          <w:color w:val="000000" w:themeColor="text1"/>
          <w:lang w:val="en-US" w:eastAsia="en-US"/>
        </w:rPr>
        <w:t>t</w:t>
      </w:r>
      <w:r w:rsidR="00B073A6" w:rsidRPr="00CC34A3">
        <w:rPr>
          <w:rFonts w:ascii="Book Antiqua" w:hAnsi="Book Antiqua" w:cs="Courier New"/>
          <w:color w:val="000000" w:themeColor="text1"/>
          <w:lang w:val="en-US"/>
        </w:rPr>
        <w:t>he decrease (L-NAME) or increase (L-arginine) in vessels</w:t>
      </w:r>
      <w:r w:rsidR="00D24A5A" w:rsidRPr="00CC34A3">
        <w:rPr>
          <w:rFonts w:ascii="Book Antiqua" w:hAnsi="Book Antiqua" w:cs="Courier New"/>
          <w:color w:val="000000" w:themeColor="text1"/>
          <w:lang w:val="en-US"/>
        </w:rPr>
        <w:t>]</w:t>
      </w:r>
      <w:r w:rsidR="00B073A6" w:rsidRPr="00CC34A3">
        <w:rPr>
          <w:rFonts w:ascii="Book Antiqua" w:hAnsi="Book Antiqua" w:cs="Courier New"/>
          <w:color w:val="000000" w:themeColor="text1"/>
          <w:lang w:val="en-US"/>
        </w:rPr>
        <w:t xml:space="preserve">, but without the vessel interconnection and bypassing effect, worsening the mucosal lesions (even after the initial short-lasting protective effect) accords with the more severe syndrome in </w:t>
      </w:r>
      <w:r w:rsidR="00992FA2" w:rsidRPr="00CC34A3">
        <w:rPr>
          <w:rFonts w:ascii="Book Antiqua" w:hAnsi="Book Antiqua" w:cs="Courier New"/>
          <w:color w:val="000000" w:themeColor="text1"/>
          <w:lang w:val="en-US"/>
        </w:rPr>
        <w:t>SAPDV</w:t>
      </w:r>
      <w:r w:rsidR="00B073A6" w:rsidRPr="00CC34A3">
        <w:rPr>
          <w:rFonts w:ascii="Book Antiqua" w:hAnsi="Book Antiqua" w:cs="Courier New"/>
          <w:color w:val="000000" w:themeColor="text1"/>
          <w:lang w:val="en-US"/>
        </w:rPr>
        <w:t xml:space="preserve">-ligated rats (vessels </w:t>
      </w:r>
      <w:r w:rsidR="00D24A5A" w:rsidRPr="00CC34A3">
        <w:rPr>
          <w:rFonts w:ascii="Book Antiqua" w:hAnsi="Book Antiqua" w:cs="Courier New"/>
          <w:color w:val="000000" w:themeColor="text1"/>
          <w:lang w:val="en-US"/>
        </w:rPr>
        <w:t>unresponsive to NO-agents) (Figure</w:t>
      </w:r>
      <w:r w:rsidR="00B073A6" w:rsidRPr="00CC34A3">
        <w:rPr>
          <w:rFonts w:ascii="Book Antiqua" w:hAnsi="Book Antiqua" w:cs="Courier New"/>
          <w:color w:val="000000" w:themeColor="text1"/>
          <w:lang w:val="en-US"/>
        </w:rPr>
        <w:t xml:space="preserve"> 5). </w:t>
      </w:r>
    </w:p>
    <w:p w14:paraId="19D56DD4" w14:textId="1239B318" w:rsidR="009F63A3" w:rsidRPr="00CC34A3" w:rsidRDefault="00D24A5A" w:rsidP="00CC34A3">
      <w:pPr>
        <w:pStyle w:val="Title3"/>
        <w:adjustRightInd w:val="0"/>
        <w:snapToGrid w:val="0"/>
        <w:spacing w:before="0" w:beforeAutospacing="0" w:after="0" w:afterAutospacing="0" w:line="360" w:lineRule="auto"/>
        <w:jc w:val="both"/>
        <w:rPr>
          <w:rFonts w:ascii="Book Antiqua" w:hAnsi="Book Antiqua" w:cs="Courier New"/>
          <w:color w:val="000000" w:themeColor="text1"/>
          <w:lang w:val="en-US"/>
        </w:rPr>
      </w:pPr>
      <w:r w:rsidRPr="00CC34A3">
        <w:rPr>
          <w:rFonts w:ascii="Book Antiqua" w:hAnsi="Book Antiqua"/>
          <w:color w:val="000000" w:themeColor="text1"/>
          <w:lang w:val="en-US"/>
        </w:rPr>
        <w:t xml:space="preserve">  </w:t>
      </w:r>
      <w:r w:rsidR="009F63A3" w:rsidRPr="00CC34A3">
        <w:rPr>
          <w:rFonts w:ascii="Book Antiqua" w:hAnsi="Book Antiqua" w:cs="Courier New"/>
          <w:color w:val="000000" w:themeColor="text1"/>
          <w:lang w:val="en-US"/>
        </w:rPr>
        <w:t xml:space="preserve">The common failure to heal </w:t>
      </w:r>
      <w:r w:rsidR="00992FA2" w:rsidRPr="00CC34A3">
        <w:rPr>
          <w:rFonts w:ascii="Book Antiqua" w:hAnsi="Book Antiqua" w:cs="Courier New"/>
          <w:color w:val="000000" w:themeColor="text1"/>
          <w:lang w:val="en-US"/>
        </w:rPr>
        <w:t>SAPDV</w:t>
      </w:r>
      <w:r w:rsidR="009F63A3" w:rsidRPr="00CC34A3">
        <w:rPr>
          <w:rFonts w:ascii="Book Antiqua" w:hAnsi="Book Antiqua" w:cs="Courier New"/>
          <w:color w:val="000000" w:themeColor="text1"/>
          <w:lang w:val="en-US"/>
        </w:rPr>
        <w:t xml:space="preserve"> or left colic artery and vein occlusions</w:t>
      </w:r>
      <w:r w:rsidR="009F63A3" w:rsidRPr="00CC34A3">
        <w:rPr>
          <w:rFonts w:ascii="Book Antiqua" w:eastAsia="Calibri" w:hAnsi="Book Antiqua" w:cs="Courier New"/>
          <w:color w:val="000000" w:themeColor="text1"/>
          <w:lang w:val="en-US" w:eastAsia="en-US"/>
        </w:rPr>
        <w:fldChar w:fldCharType="begin" w:fldLock="1"/>
      </w:r>
      <w:r w:rsidR="009F63A3" w:rsidRPr="00CC34A3">
        <w:rPr>
          <w:rFonts w:ascii="Book Antiqua" w:eastAsia="Calibri" w:hAnsi="Book Antiqua" w:cs="Courier New"/>
          <w:color w:val="000000" w:themeColor="text1"/>
          <w:lang w:val="en-US" w:eastAsia="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"mendeley" : { "formattedCitation" : "&lt;sup&gt;[15]&lt;/sup&gt;", "plainTextFormattedCitation" : "[15]", "previouslyFormattedCitation" : "(Duzel et al., 2017)" }, "properties" : {  }, "schema" : "https://github.com/citation-style-language/schema/raw/master/csl-citation.json" }</w:instrText>
      </w:r>
      <w:r w:rsidR="009F63A3" w:rsidRPr="00CC34A3">
        <w:rPr>
          <w:rFonts w:ascii="Book Antiqua" w:eastAsia="Calibri" w:hAnsi="Book Antiqua" w:cs="Courier New"/>
          <w:color w:val="000000" w:themeColor="text1"/>
          <w:lang w:val="en-US" w:eastAsia="en-US"/>
        </w:rPr>
        <w:fldChar w:fldCharType="separate"/>
      </w:r>
      <w:r w:rsidR="009F63A3" w:rsidRPr="00CC34A3">
        <w:rPr>
          <w:rFonts w:ascii="Book Antiqua" w:eastAsia="Calibri" w:hAnsi="Book Antiqua" w:cs="Courier New"/>
          <w:color w:val="000000" w:themeColor="text1"/>
          <w:vertAlign w:val="superscript"/>
          <w:lang w:val="en-US" w:eastAsia="en-US"/>
        </w:rPr>
        <w:t>[15]</w:t>
      </w:r>
      <w:r w:rsidR="009F63A3" w:rsidRPr="00CC34A3">
        <w:rPr>
          <w:rFonts w:ascii="Book Antiqua" w:eastAsia="Calibri" w:hAnsi="Book Antiqua" w:cs="Courier New"/>
          <w:color w:val="000000" w:themeColor="text1"/>
          <w:lang w:val="en-US" w:eastAsia="en-US"/>
        </w:rPr>
        <w:fldChar w:fldCharType="end"/>
      </w:r>
      <w:r w:rsidR="009F63A3" w:rsidRPr="00CC34A3">
        <w:rPr>
          <w:rFonts w:ascii="Book Antiqua" w:eastAsia="Calibri" w:hAnsi="Book Antiqua" w:cs="Courier New"/>
          <w:color w:val="000000" w:themeColor="text1"/>
          <w:lang w:val="en-US" w:eastAsia="en-US"/>
        </w:rPr>
        <w:t xml:space="preserve">, </w:t>
      </w:r>
      <w:r w:rsidR="009F63A3" w:rsidRPr="00CC34A3">
        <w:rPr>
          <w:rFonts w:ascii="Book Antiqua" w:hAnsi="Book Antiqua" w:cs="Courier New"/>
          <w:color w:val="000000" w:themeColor="text1"/>
          <w:lang w:val="en-US"/>
        </w:rPr>
        <w:t>parallelism</w:t>
      </w:r>
      <w:r w:rsidR="009F63A3" w:rsidRPr="00CC34A3">
        <w:rPr>
          <w:rFonts w:ascii="Book Antiqua" w:eastAsia="Calibri" w:hAnsi="Book Antiqua" w:cs="Courier New"/>
          <w:color w:val="000000" w:themeColor="text1"/>
          <w:lang w:val="en-US" w:eastAsia="en-US"/>
        </w:rPr>
        <w:t xml:space="preserve"> much like </w:t>
      </w:r>
      <w:r w:rsidR="009F63A3" w:rsidRPr="00CC34A3">
        <w:rPr>
          <w:rFonts w:ascii="Book Antiqua" w:hAnsi="Book Antiqua" w:cs="Courier New"/>
          <w:color w:val="000000" w:themeColor="text1"/>
          <w:lang w:val="en-US"/>
        </w:rPr>
        <w:t>in other models</w:t>
      </w:r>
      <w:r w:rsidR="009F63A3" w:rsidRPr="00CC34A3">
        <w:rPr>
          <w:rFonts w:ascii="Book Antiqua" w:eastAsia="Calibri" w:hAnsi="Book Antiqua" w:cs="Courier New"/>
          <w:color w:val="000000" w:themeColor="text1"/>
          <w:lang w:val="en-US" w:eastAsia="en-US"/>
        </w:rPr>
        <w:fldChar w:fldCharType="begin" w:fldLock="1"/>
      </w:r>
      <w:r w:rsidR="009F63A3" w:rsidRPr="00CC34A3">
        <w:rPr>
          <w:rFonts w:ascii="Book Antiqua" w:eastAsia="Calibri" w:hAnsi="Book Antiqua" w:cs="Courier New"/>
          <w:color w:val="000000" w:themeColor="text1"/>
          <w:lang w:val="en-US" w:eastAsia="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"ISSN" : "1347-8613", "PMID" : "15153646", "abstract" : "Overall, doxorubicine-congestive heart failure (CHF) (male Wistar rats and NMRI mice; 6 challenges with doxorubicine (2.5 mg/kg, i.p.) throughout 15 days and then a 4-week-rest period) is consistently deteriorating throughout next 14 days, if not reversed or ameliorated by therapy (/kg per day): a stable gastric pentadecapeptide BPC157 (GEPPPGKPADDAGLV, MW 1419, promisingly studied for inflammatory bowel disease (Pliva; PL 10, PLD-116, PL 14736)) (10 microg, 10 ng), losartan (0.7 mg), amlodipine (0.07 mg), given intragastrically (i.g.) (once daily, rats) or in drinking water (mice). Assessed were big endothelin-1 (BET-1) and plasma enzyme levels (CK, MBCK, LDH, AST, ALT) before and after 14 days of therapy and clinical status (hypotension, increased heart rate and respiratory rate, and ascites) every 2 days. Controls (distilled water (5 ml/kg, i.g., once daily) or drinking water (2 ml/mouse per day) given throughout 14 days) exhibited additionally increased BET-1 and aggravated clinical status, while enzyme values maintained their initial increase. BPC157 (10 microg/kg) and amlodipine treatment reversed the increased BET-1 (rats, mice), AST, ALT, CK (rats, mice), and LDH (mice) values. BPC157 (10 ng/kg) and losartan opposed further increase of BET-1 (rats, mice). Losartan reduces AST, ALT, CK, and LDH serum values. BPC157 (10 ng/kg) reduces AST and ALT serum values. Clinical status of CHF-rats and -mice is accordingly improved by the BPC157 regimens and amlodipine.", "author" : [ { "dropping-particle" : "", "family" : "Lovric-Bencic", "given" : "Martina", "non-dropping-particle" : "", "parse-names" : false, "suffix" : "" }, { "dropping-particle" : "", "family" : "Sikiric", "given" : "Predrag", "non-dropping-particle" : "", "parse-names" : false, "suffix" : "" }, { "dropping-particle" : "", "family" : "Hanzevacki", "given" : "Jadranka S", "non-dropping-particle" : "", "parse-names" : false, "suffix" : "" }, { "dropping-particle" : "", "family" : "Seiwerth", "given" : "Sven", "non-dropping-particle" : "", "parse-names" : false, "suffix" : "" }, { "dropping-particle" : "", "family" : "Rogic", "given" : "Dunja", "non-dropping-particle" : "", "parse-names" : false, "suffix" : "" }, { "dropping-particle" : "", "family" : "Kusec", "given" : "Vesna", "non-dropping-particle" : "", "parse-names" : false, "suffix" : "" }, { "dropping-particle" : "", "family" : "Aralica", "given" : "Gorana", "non-dropping-particle" : "", "parse-names" : false, "suffix" : "" }, { "dropping-particle" : "", "family" : "Konjevoda", "given" : "Pasko", "non-dropping-particle" : "", "parse-names" : false, "suffix" : "" }, { "dropping-particle" : "", "family" : "Batelja", "given" : "Lovorka", "non-dropping-particle" : "", "parse-names" : false, "suffix" : "" }, { "dropping-particle" : "", "family" : "Blagaic", "given" : "Alenka B", "non-dropping-particle" : "", "parse-names" : false, "suffix" : "" } ], "container-title" : "Journal of pharmacological sciences", "id" : "ITEM-2", "issue" : "1", "issued" : { "date-parts" : [ [ "2004", "5" ] ] }, "page" : "19-26", "title" : "Doxorubicine-congestive heart failure-increased big endothelin-1 plasma concentration: reversal by amlodipine, losartan, and gastric pentadecapeptide BPC157 in rat and mouse.", "type" : "article-journal", "volume" : "95" }, "uris" : [ "http://www.mendeley.com/documents/?uuid=b741d5eb-3aad-4841-ab74-f2e266dab8dc" ] }, { "id" : "ITEM-3", "itemData" : { "DOI" : "10.1007/s10787-017-0323-6", "ISSN" : "15685608", "author" : [ { "dropping-particle" : "", "family" : "Medvidovic-Grubisic", "given" : "Maria", "non-dropping-particle" : "", "parse-names" : false, "suffix" : "" }, { "dropping-particle" : "", "family" : "Stambolija", "given" : "Vasilije", "non-dropping-particle" : "", "parse-names" : false, "suffix" : "" }, { "dropping-particle" : "", "family" : "Kolenc", "given" : "Danijela", "non-dropping-particle" : "", "parse-names" : false, "suffix" : "" }, { "dropping-particle" : "", "family" : "Katancic", "given" : "Jadranka", "non-dropping-particle" : "", "parse-names" : false, "suffix" : "" }, { "dropping-particle" : "", "family" : "Murselovic", "given" : "Tamara", "non-dropping-particle" : "", "parse-names" : false, "suffix" : "" }, { "dropping-particle" : "", "family" : "Plestina-Borjan", "given" : "Ivna", "non-dropping-particle" : "", "parse-names" : false, "suffix" : "" }, { "dropping-particle" : "", "family" : "Strbe", "given" : "Sanja", "non-dropping-particle" : "", "parse-names" : false, "suffix" : "" }, { "dropping-particle" : "", "family" : "Drmic", "given" : "Domagoj", "non-dropping-particle" : "", "parse-names" : false, "suffix" : "" }, { "dropping-particle" : "", "family" : "Barisic", "given" : "Ivan", "non-dropping-particle" : "", "parse-names" : false, "suffix" : "" }, { "dropping-particle" : "", "family" : "Sindic", "given" : "Aleksandra", "non-dropping-particle" : "", "parse-names" : false, "suffix" : "" }, { "dropping-particle" : "", "family" : "Seiwerth", "given" : "Sven", "non-dropping-particle" : "", "parse-names" : false, "suffix" : "" }, { "dropping-particle" : "", "family" : "Sikiric", "given" : "Predrag", "non-dropping-particle" : "", "parse-names" : false, "suffix" : "" } ], "container-title" : "Inflammopharmacology", "id" : "ITEM-3", "issue" : "4", "issued" : { "date-parts" : [ [ "2017" ] ] }, "page" : "439-449", "title" : "Hypermagnesemia disturbances in rats, NO-related: pentadecapeptide BPC 157 abrogates, l-NAME and l-arginine worsen", "type" : "article-journal", "volume" : "25" }, "uris" : [ "http://www.mendeley.com/documents/?uuid=9c442fd2-ee8d-4d31-b944-58801c2a5675" ] } ], "mendeley" : { "formattedCitation" : "&lt;sup&gt;[15,35,36]&lt;/sup&gt;", "plainTextFormattedCitation" : "[15,35,36]", "previouslyFormattedCitation" : "(Duzel et al., 2017; Lovric-Bencic et al., 2004; Medvidovic-Grubisic et al., 2017)" }, "properties" : {  }, "schema" : "https://github.com/citation-style-language/schema/raw/master/csl-citation.json" }</w:instrText>
      </w:r>
      <w:r w:rsidR="009F63A3" w:rsidRPr="00CC34A3">
        <w:rPr>
          <w:rFonts w:ascii="Book Antiqua" w:eastAsia="Calibri" w:hAnsi="Book Antiqua" w:cs="Courier New"/>
          <w:color w:val="000000" w:themeColor="text1"/>
          <w:lang w:val="en-US" w:eastAsia="en-US"/>
        </w:rPr>
        <w:fldChar w:fldCharType="separate"/>
      </w:r>
      <w:r w:rsidR="009F63A3" w:rsidRPr="00CC34A3">
        <w:rPr>
          <w:rFonts w:ascii="Book Antiqua" w:eastAsia="Calibri" w:hAnsi="Book Antiqua" w:cs="Courier New"/>
          <w:color w:val="000000" w:themeColor="text1"/>
          <w:vertAlign w:val="superscript"/>
          <w:lang w:val="en-US" w:eastAsia="en-US"/>
        </w:rPr>
        <w:t>[15,35,36]</w:t>
      </w:r>
      <w:r w:rsidR="009F63A3" w:rsidRPr="00CC34A3">
        <w:rPr>
          <w:rFonts w:ascii="Book Antiqua" w:eastAsia="Calibri" w:hAnsi="Book Antiqua" w:cs="Courier New"/>
          <w:color w:val="000000" w:themeColor="text1"/>
          <w:lang w:val="en-US" w:eastAsia="en-US"/>
        </w:rPr>
        <w:fldChar w:fldCharType="end"/>
      </w:r>
      <w:r w:rsidR="009F63A3" w:rsidRPr="00CC34A3">
        <w:rPr>
          <w:rFonts w:ascii="Book Antiqua" w:hAnsi="Book Antiqua" w:cs="Courier New"/>
          <w:color w:val="000000" w:themeColor="text1"/>
          <w:lang w:val="en-US"/>
        </w:rPr>
        <w:t xml:space="preserve">, substantiates </w:t>
      </w:r>
      <w:r w:rsidR="009F63A3" w:rsidRPr="00CC34A3">
        <w:rPr>
          <w:rFonts w:ascii="Book Antiqua" w:eastAsia="Calibri" w:hAnsi="Book Antiqua" w:cs="Courier New"/>
          <w:color w:val="000000" w:themeColor="text1"/>
          <w:lang w:val="en-US" w:eastAsia="en-US"/>
        </w:rPr>
        <w:t>p</w:t>
      </w:r>
      <w:r w:rsidR="009F63A3" w:rsidRPr="00CC34A3">
        <w:rPr>
          <w:rFonts w:ascii="Book Antiqua" w:hAnsi="Book Antiqua" w:cs="Courier New"/>
          <w:color w:val="000000" w:themeColor="text1"/>
          <w:lang w:val="en-US"/>
        </w:rPr>
        <w:t>articular aspect</w:t>
      </w:r>
      <w:r w:rsidRPr="00CC34A3">
        <w:rPr>
          <w:rFonts w:ascii="Book Antiqua" w:hAnsi="Book Antiqua" w:cs="Courier New"/>
          <w:color w:val="000000" w:themeColor="text1"/>
          <w:lang w:val="en-US"/>
        </w:rPr>
        <w:t xml:space="preserve"> of a NO system dual (L-NAME </w:t>
      </w:r>
      <w:r w:rsidRPr="00CC34A3">
        <w:rPr>
          <w:rFonts w:ascii="Book Antiqua" w:hAnsi="Book Antiqua" w:cs="Courier New"/>
          <w:i/>
          <w:color w:val="000000" w:themeColor="text1"/>
          <w:lang w:val="en-US"/>
        </w:rPr>
        <w:t>vs</w:t>
      </w:r>
      <w:r w:rsidRPr="00CC34A3">
        <w:rPr>
          <w:rFonts w:ascii="Book Antiqua" w:hAnsi="Book Antiqua" w:cs="Courier New"/>
          <w:color w:val="000000" w:themeColor="text1"/>
          <w:lang w:val="en-US"/>
        </w:rPr>
        <w:t xml:space="preserve"> L-arginine) role (</w:t>
      </w:r>
      <w:r w:rsidRPr="00CC34A3">
        <w:rPr>
          <w:rFonts w:ascii="Book Antiqua" w:hAnsi="Book Antiqua" w:cs="Courier New"/>
          <w:i/>
          <w:color w:val="000000" w:themeColor="text1"/>
          <w:lang w:val="en-US"/>
        </w:rPr>
        <w:t>vs</w:t>
      </w:r>
      <w:r w:rsidR="009F63A3" w:rsidRPr="00CC34A3">
        <w:rPr>
          <w:rFonts w:ascii="Book Antiqua" w:hAnsi="Book Antiqua" w:cs="Courier New"/>
          <w:color w:val="000000" w:themeColor="text1"/>
          <w:lang w:val="en-US"/>
        </w:rPr>
        <w:t xml:space="preserve"> combination) (for review, see</w:t>
      </w:r>
      <w:r w:rsidR="009F63A3" w:rsidRPr="00CC34A3">
        <w:rPr>
          <w:rFonts w:ascii="Book Antiqua" w:eastAsia="Calibri" w:hAnsi="Book Antiqua" w:cs="Courier New"/>
          <w:color w:val="000000" w:themeColor="text1"/>
          <w:lang w:val="en-US" w:eastAsia="en-US"/>
        </w:rPr>
        <w:fldChar w:fldCharType="begin" w:fldLock="1"/>
      </w:r>
      <w:r w:rsidR="009F63A3" w:rsidRPr="00CC34A3">
        <w:rPr>
          <w:rFonts w:ascii="Book Antiqua" w:eastAsia="Calibri" w:hAnsi="Book Antiqua" w:cs="Courier New"/>
          <w:color w:val="000000" w:themeColor="text1"/>
          <w:lang w:val="en-US" w:eastAsia="en-US"/>
        </w:rPr>
        <w:instrText>ADDIN CSL_CITATION { "citationItems" : [ { "id" : "ITEM-1", "itemData" : { "DOI" : "10.2174/1381612823666170220163219", "ISSN" : "13816128", "PMID" : "28228068", "abstract" : "Selye's syndrome produced by diverse nocuous agents and ``response to damage as such{''} means Selye's stress triad in stress coping response to reestablish homeostasis. Logically, from the gastrointestinal tract viewpoint, such organoprotective/healing response implies the angiogenic growth factors that commonly signify the healing. Thereby, the gastric pentadecapeptide BPC 157-organoprotection (huge range of beneficial effects) signifies the Selye's stress concept/stress coping response implemented in and from gastrointestinal tract, and BPC 157 as an integrative mediator that integrates the adaptive bodily response to stress. In clinical trials without side effects, LD1 not achieved, BPC 157 healing in gastrointestinal tract, and particularly the healing of the extra-gastrointestinal tissues (i.e., skin/tendon/ligament/muscle/bone; nerve; cornea/brain) were referred throughout its integrative capabilities (i.e., ulcerative colitis/multiple sclerosis model equally counteracted), native in gastrointestinal tract, stability in human gastric juice (and thereby, strong efficacy and applicability), its relevance for dopamine-system function (and thereby, counteracting effects of dopamine-system dysfunction and over-function, centrally and peripherally (mucosa maintenance); interaction with serotonin- and GABA-system)), afforded cytoprotection/adaptive cytoprotection/organoprotection (and thereby, beneficial effects on gastric and whole intestinal tract lesions and adaptation, wounds and fistulas healing, blood vessels, somatosensory neurons, NSAIDs-side effects (including also pancreas, liver, brain lesions, and blood disturbances, prolonged bleeding, thrombocytopenia, thrombosis)). Further, we combine such gut-brain axis and the NO-system where BPC 157 counteracts complications of either L-NAME application (i.e., various lesions aggravation, hypertension) or L-arginine application (i.e., hypotension, prolonged bleeding, thrombocytopenia). Also, BPC 157 particularly affects genes functions (i.e., Fos, c-Jun, Egr-1), all together suggestive for an indicative generalization. Thus, we could suggest gastric pentadecapeptide BPC 157 and BPC 157 induced-organoprotection as integrative mediator that integrates the adaptive bodily response to stress, and thereby practically applied in further therapy and in effective realization of Selye's stress response.",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"Drmic", "given" : "Domagoj", "non-dropping-particle" : "", "parse-names" : false, "suffix" : "" }, { "dropping-particle" : "", "family" : "Stupnisek", "given" : "Mirjana", "non-dropping-particle" : "", "parse-names" : false, "suffix" : "" }, { "dropping-particle" : "", "family" : "Kokot", "given" : "Antonio", "non-dropping-particle" : "", "parse-names" : false, "suffix" : "" }, { "dropping-particle" : "", "family" : "Sever", "given" : "Marko", "non-dropping-particle" : "", "parse-names" : false, "suffix" : "" }, { "dropping-particle" : "", "family" : "Zoricic", "given" : "Ivan", "non-dropping-particle" : "", "parse-names" : false, "suffix" : "" }, { "dropping-particle" : "", "family" : "Zoricic", "given" : "Zoran", "non-dropping-particle" : "", "parse-names" : false, "suffix" : "" }, { "dropping-particle" : "", "family" : "Batelja", "given" : "Lovorka", "non-dropping-particle" : "", "parse-names" : false, "suffix" : "" }, { "dropping-particle" : "", "family" : "Ziger", "given" : "Tihomil", "non-dropping-particle" : "", "parse-names" : false, "suffix" : "" }, { "dropping-particle" : "", "family" : "Luetic", "given" : "Kresimir", "non-dropping-particle" : "", "parse-names" : false, "suffix" : "" }, { "dropping-particle" : "", "family" : "Vlainic", "given" : "Josipa", "non-dropping-particle" : "", "parse-names" : false, "suffix" : "" }, { "dropping-particle" : "", "family" : "Rasic", "given" : "Zarko", "non-dropping-particle" : "", "parse-names" : false, "suffix" : "" }, { "dropping-particle" : "", "family" : "Bencic", "given" : "Martina Lovric", "non-dropping-particle" : "", "parse-names" : false, "suffix" : "" } ], "container-title" : "Current Pharmaceutical Design", "id" : "ITEM-1", "issue" : "27", "issued" : { "date-parts" : [ [ "2017" ] ] }, "page" : "4012-4028", "title" : "Stress in Gastrointestinal Tract and Stable Gastric Pentadecapeptide BPC 157. Finally, do we have a Solution?", "type" : "article-journal", "volume" : "23" }, "uris" : [ "http://www.mendeley.com/documents/?uuid=15899097-6542-32aa-acf2-ef932af08516" ] }, { "id" : "ITEM-2", "itemData" : { "ISSN" : "1875-6190", "PMID" : "27138887", "abstract" : "BACKGROUND Brain-gut interaction involves, among others, peptidergic growth factors which are native in GI tract and have strong antiulcer potency and thus could from periphery beneficially affect CNS-disorders. We focused on the stable gastric pentadecapeptide BPC 157, an antiulcer peptidergic agent, safe in inflammatory bowel disease trials and now in multiple sclerosis trial, native and stable in human gastric juice. METHODS Review of our research on BPC 157 in terms of brain-gut axis. RESULTS BPC 157 may serve as a novel mediator of Robert's cytoprotection, involved in maintaining of GI mucosa integrity, with no toxic effect. BPC 157 was successful in the therapy of GI tract, periodontitis, liver and pancreas lesions, and in the healing of various tissues and wounds. Stimulated Egr-1 gene, NAB2, FAK-paxillin and JAK-2 pathways are hitherto implicated. Initially corresponding beneficial central influence was seen when BPC 157 was given peripherally and a serotonin release in particular brain areas, mostly nigrostriatal, was changed. BPC 157 modulates serotonergic and dopaminergic systems, beneficially affects various behavioral disturbances that otherwise appeared due to specifically (over)stimulated/damaged neurotransmitters systems. Besides, BPC 157 has neuroprotective effects: protects somatosensory neurons; peripheral nerve regeneration appearent after transection; after traumatic brain injury counteracts the otherwise progressing course, in rat spinal cord compression with tail paralysis, axonal and neuronal necrosis, demyelination, cyst formation and rescues tail function in both short-terms and long-terms; after NSAIDs or insulin overdose or cuprizone encephalopathies were attenuated along with GI, liver and vascular injuries. CONCLUSION BPC 157, a gastric peptide, may serve as remedy in various CNS-disorders.",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"Kolenc", "given" : "Danijela", "non-dropping-particle" : "", "parse-names" : false, "suffix" : "" }, { "dropping-particle" : "", "family" : "Vuletic", "given" : "Lovorka Batelja", "non-dropping-particle" : "", "parse-names" : false, "suffix" : "" }, { "dropping-particle" : "", "family" : "Drmic", "given" : "Domagoj", "non-dropping-particle" : "", "parse-names" : false, "suffix" : "" }, { "dropping-particle" : "", "family" : "Grgic", "given" : "Tihomir", "non-dropping-particle" : "", "parse-names" : false, "suffix" : "" }, { "dropping-particle" : "", "family" : "Strbe", "given" : "Sanja", "non-dropping-particle" : "", "parse-names" : false, "suffix" : "" }, { "dropping-particle" : "", "family" : "Zukanovic", "given" : "Goran", "non-dropping-particle" : "", "parse-names" : false, "suffix" : "" }, { "dropping-particle" : "", "family" : "Crvenkovic", "given" : "Dalibor", "non-dropping-particle" : "", "parse-names" : false, "suffix" : "" }, { "dropping-particle" : "", "family" : "Madzarac", "given" : "Goran", "non-dropping-particle" : "", "parse-names" : false, "suffix" : "" }, { "dropping-particle" : "", "family" : "Rukavina", "given" : "Iva", "non-dropping-particle" : "", "parse-names" : false, "suffix" : "" }, { "dropping-particle" : "", "family" : "Sucic", "given" : "Mario", "non-dropping-particle" : "", "parse-names" : false, "suffix" : "" }, { "dropping-particle" : "", "family" : "Baric", "given" : "Marko", "non-dropping-particle" : "", "parse-names" : false, "suffix" : "" }, { "dropping-particle" : "", "family" : "Starcevic", "given" : "Neven", "non-dropping-particle" : "", "parse-names" : false, "suffix" : "" }, { "dropping-particle" : "", "family" : "Krstonijevic", "given" : "Zoran", "non-dropping-particle" : "", "parse-names" : false, "suffix" : "" }, { "dropping-particle" : "", "family" : "Bencic", "given" : "Martina Lovric", "non-dropping-particle" : "", "parse-names" : false, "suffix" : "" }, { "dropping-particle" : "", "family" : "Filipcic", "given" : "Igor", "non-dropping-particle" : "", "parse-names" : false, "suffix" : "" }, { "dropping-particle" : "", "family" : "Rokotov", "given" : "Dinko Stancic", "non-dropping-particle" : "", "parse-names" : false, "suffix" : "" }, { "dropping-particle" : "", "family" : "Vlainic", "given" : "Josipa", "non-dropping-particle" : "", "parse-names" : false, "suffix" : "" } ], "container-title" : "Current neuropharmacology", "id" : "ITEM-2", "issue" : "8", "issued" : { "date-parts" : [ [ "2016" ] ] }, "page" : "857-865", "title" : "Brain-gut Axis and Pentadecapeptide BPC 157: Theoretical and Practical Implications.", "type" : "article-journal", "volume" : "14" }, "uris" : [ "http://www.mendeley.com/documents/?uuid=9b2831b1-d3dd-4080-846d-5f4f7ead3113" ] }, { "id" : "ITEM-3", "itemData" : { "ISSN" : "1873-4286", "PMID" : "23782145", "abstract" : "This review focuses on the described effects of BPC 157 on blood vessels after different types of damage, and elucidate by investigating different aspects of vascular response to injury (endothelium damage, clotting, thrombosis, vasoconstriction, vasodilatation, vasculoneogenesis and edema formation) especially in connection to the healing processes. In this respect, BPC 157 was concluded to be the most potent angiomodulatory agent, acting through different vasoactive pathways and systems (e.g. NO, VEGF, FAK) and leading to optimization of the vascular response followed, as it has to be expected, by optimization of the healing process. Formation of new blood vessels involves two main, partly overlapping mechanisms, angiogenesis and vasculogenesis. The additional mechanism of arteriogenesis is involved in the formation of collaterals. In conjunction with blood vessel function, we at least have to consider leakage of fluid/proteins/plasma, resulting in edema/exudate formation as well as thrombogenesis. Blood vessels are also strongly involved in tumor biology. In this aspect, we have neoangiogenesis resulting in pathological vascularization, vascular invasion resulting in release of metastatic cells and the phenomenon of homing resulting in formation of secondary tumors--metastases.", "author" : [ { "dropping-particle" : "", "family" : "Seiwerth", "given" : "Sven", "non-dropping-particle" : "", "parse-names" : false, "suffix" : "" }, { "dropping-particle" : "", "family" : "Brcic", "given" : "Luka", "non-dropping-particle" : "", "parse-names" : false, "suffix" : "" }, { "dropping-particle" : "", "family" : "Vuletic", "given" : "Lovorka Batelja",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"Misic", "given" : "Marija", "non-dropping-particle" : "", "parse-names" : false, "suffix" : "" }, { "dropping-particle" : "", "family" : "Zenko", "given" : "Anita", "non-dropping-particle" : "", "parse-names" : false, "suffix" : "" }, { "dropping-particle" : "", "family" : "Drmic", "given" : "Domagoj", "non-dropping-particle" : "", "parse-names" : false, "suffix" : "" }, { "dropping-particle" : "", "family" : "Rucman", "given" : "Rudolf", "non-dropping-particle" : "", "parse-names" : false, "suffix" : "" }, { "dropping-particle" : "", "family" : "Sikiric", "given" : "Predrag", "non-dropping-particle" : "", "parse-names" : false, "suffix" : "" } ], "container-title" : "Current pharmaceutical design", "id" : "ITEM-3", "issue" : "7", "issued" : { "date-parts" : [ [ "2014" ] ] }, "page" : "1121-5", "title" : "BPC 157 and blood vessels.", "type" : "article-journal", "volume" : "20" }, "uris" : [ "http://www.mendeley.com/documents/?uuid=5f0ff73a-1c13-4e9f-9921-366eef3ba469" ] }, { "id" : "ITEM-4", "itemData" : { "ISSN" : "1873-4286", "PMID" : "23755725", "abstract" : "We reviewed stable gastric pentadecapeptide BPC 157-NO-system-relation, its close participation in Moncada's (maintained vascular integrity, platelets control) homeostatic healing response of NO-system to injury. Namely, BPC 157's particular healing effect also affects all events after vascular integrity loss (dependent on circumstances, it reduces either thrombosis (abdominal aorta anastomosis) or bleeding/thrombocytopenia (amputation, heparin, warfarin, aspirin)) and in a series of different injurious models, acute and chronic, BPC 157 consistently advances healing after severe injuries in various tissues spontaneously unable to heal; stimulates egr-1 and naB2 genes; exhibits high safety (LD1 not achieved)). Hypothesis, that BPC 157 (since formed constitutively in the gastric mucosa, stable in human gastric juice, along with significance of NO-synthase and the basal formation of NO in stomach mucosa, greater than that seen in other tissues) exhibits a general, effective competing both with L-arginine analogues (i. e., L-NAME) and L-arginine, and that this has some physiologic importance (NO-generation), later, practically supports its beneficial effects illustrating BPC 157 and NOsystem mutual (with L-NAME/L-arginine; alone and together) relations in (i) gastric mucosa and mucosal protection, following alcohol lesions, in cytoprotection course, NO-generation, and blood pressure regulation; (ii) alcohol acute/chronic intoxication, and withdrawal; (iii) cardiovascular disturbances, chronic heart failure, pulmonary hypertension, and arrhythmias; (iv) disturbances after hypokalemia and hyperkalemia, and potassium-cell membrane dysfunction; and finally, in (v) complex healing failure, proved by the fistulas healing, colocutaneous and esophagocutaneous. However, how this advantage of modulating NO-system (i. e., particular effect on eNOS gene), may be practically translated into an enhanced clinical performance remains to be determined.",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"Stupnisek", "given" : "Mirjana", "non-dropping-particle" : "", "parse-names" : false, "suffix" : "" }, { "dropping-particle" : "", "family" : "Suran", "given" : "Jelena", "non-dropping-particle" : "", "parse-names" : false, "suffix" : "" }, { "dropping-particle" : "", "family" : "Barisic", "given" : "Ivan",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"ITEM-4", "issue" : "7", "issued" : { "date-parts" : [ [ "2014" ] ] }, "page" : "1126-35", "title" : "Stable gastric pentadecapeptide BPC 157-NO-system relation.", "type" : "article-journal", "volume" : "20" }, "uris" : [ "http://www.mendeley.com/documents/?uuid=74ead48f-0c75-446a-a19b-49bb02b31992" ] }, { "id" : "ITEM-5", "itemData" : { "ISSN" : "1873-4286", "PMID" : "22950504", "abstract" : "Stable gastric pentadecapeptide BPC 157 is an anti-ulcer peptidergic agent, proven in clinical trials to be both safe in inflammatory bowel disease (PL-10, PLD-116, PL 14736) and wound healing, stable in human gastric juice, with no toxicity being reported. Recently, we claim that BPC 157 may be used as an antidote against NSAIDs. We focused on BPC 157 beneficial effects on stomach, duodenum, intestine, liver and brain injuries, adjuvant arthritis, pain, hyper/hypothermia, obstructive thrombus formation and thrombolysis, blood vessel function, counteraction of prolonged bleeding and thrombocytopenia after application of various anticoagulants and antiplatelet agents and wound healing improvement. The arguments for BPC 157 antidote activity (i.e., the role of BPC 157 in cytoprotection, being a novel mediator of Robert's cytoprotection and BPC 157 beneficial effects on NSAIDs mediated lesions in the gastrointestinal tract, liver and brain and finally, counteraction of aspirin-induced prolonged bleeding and thrombocytopenia) obviously have a counteracting effect on several established side-effects of NSAIDs use. The mentioned variety of the beneficial effects portrayed by BPC 157 may well be a foundation for establishing BPC 157 as a NSAIDs antidote since no other single agent has portrayed a similar array of effects. Unlike NSAIDs, a very high safety (no reported toxicity (LD1 could be not achieved)) profile is reported for BPC 157. Also, unlike the different dosage levels of aspirin, as a NSAIDs prototype, which differ by a factor of about ten, all these beneficial and counteracting effects of BPC 157 were obtained using the equipotent dosage (\u03bcg, ng/kg) in parenteral or peroral regimens.",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"Safic", "given" : "Hana", "non-dropping-particle" : "", "parse-names" : false, "suffix" : "" }, { "dropping-particle" : "", "family" : "Suran", "given" : "Jelena", "non-dropping-particle" : "", "parse-names" : false, "suffix" : "" }, { "dropping-particle" : "", "family" : "Rak", "given" : "Davor",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"ITEM-5", "issue" : "1", "issued" : { "date-parts" : [ [ "2013" ] ] }, "page" : "76-83", "title" : "Toxicity by NSAIDs. Counteraction by stable gastric pentadecapeptide BPC 157.", "type" : "article-journal", "volume" : "19" }, "uris" : [ "http://www.mendeley.com/documents/?uuid=b4d81bb8-a391-4622-abb3-23195e4a65ff" ] } ], "mendeley" : { "formattedCitation" : "&lt;sup&gt;[1\u20135]&lt;/sup&gt;", "plainTextFormattedCitation" : "[1\u20135]", "previouslyFormattedCitation" : "(Seiwerth et al., 2014; Sikiric et al., 2017, 2016, 2014, 2013)" }, "properties" : {  }, "schema" : "https://github.com/citation-style-language/schema/raw/master/csl-citation.json" }</w:instrText>
      </w:r>
      <w:r w:rsidR="009F63A3" w:rsidRPr="00CC34A3">
        <w:rPr>
          <w:rFonts w:ascii="Book Antiqua" w:eastAsia="Calibri" w:hAnsi="Book Antiqua" w:cs="Courier New"/>
          <w:color w:val="000000" w:themeColor="text1"/>
          <w:lang w:val="en-US" w:eastAsia="en-US"/>
        </w:rPr>
        <w:fldChar w:fldCharType="separate"/>
      </w:r>
      <w:r w:rsidR="009F63A3" w:rsidRPr="00CC34A3">
        <w:rPr>
          <w:rFonts w:ascii="Book Antiqua" w:eastAsia="Calibri" w:hAnsi="Book Antiqua" w:cs="Courier New"/>
          <w:color w:val="000000" w:themeColor="text1"/>
          <w:vertAlign w:val="superscript"/>
          <w:lang w:val="en-US" w:eastAsia="en-US"/>
        </w:rPr>
        <w:t>[1–5]</w:t>
      </w:r>
      <w:r w:rsidR="009F63A3" w:rsidRPr="00CC34A3">
        <w:rPr>
          <w:rFonts w:ascii="Book Antiqua" w:eastAsia="Calibri" w:hAnsi="Book Antiqua" w:cs="Courier New"/>
          <w:color w:val="000000" w:themeColor="text1"/>
          <w:lang w:val="en-US" w:eastAsia="en-US"/>
        </w:rPr>
        <w:fldChar w:fldCharType="end"/>
      </w:r>
      <w:r w:rsidR="009F63A3" w:rsidRPr="00CC34A3">
        <w:rPr>
          <w:rFonts w:ascii="Book Antiqua" w:hAnsi="Book Antiqua" w:cs="Courier New"/>
          <w:color w:val="000000" w:themeColor="text1"/>
          <w:lang w:val="en-US"/>
        </w:rPr>
        <w:t>). Parallel L-NAME/L-arginine activity, which was noted as parallel outcomes, as a specific point (much like before</w:t>
      </w:r>
      <w:r w:rsidR="009F63A3" w:rsidRPr="00CC34A3">
        <w:rPr>
          <w:rFonts w:ascii="Book Antiqua" w:eastAsia="Calibri" w:hAnsi="Book Antiqua" w:cs="Courier New"/>
          <w:color w:val="000000" w:themeColor="text1"/>
          <w:lang w:val="en-US" w:eastAsia="en-US"/>
        </w:rPr>
        <w:fldChar w:fldCharType="begin" w:fldLock="1"/>
      </w:r>
      <w:r w:rsidR="009F63A3" w:rsidRPr="00CC34A3">
        <w:rPr>
          <w:rFonts w:ascii="Book Antiqua" w:eastAsia="Calibri" w:hAnsi="Book Antiqua" w:cs="Courier New"/>
          <w:color w:val="000000" w:themeColor="text1"/>
          <w:lang w:val="en-US" w:eastAsia="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"ISSN" : "1347-8613", "PMID" : "15153646", "abstract" : "Overall, doxorubicine-congestive heart failure (CHF) (male Wistar rats and NMRI mice; 6 challenges with doxorubicine (2.5 mg/kg, i.p.) throughout 15 days and then a 4-week-rest period) is consistently deteriorating throughout next 14 days, if not reversed or ameliorated by therapy (/kg per day): a stable gastric pentadecapeptide BPC157 (GEPPPGKPADDAGLV, MW 1419, promisingly studied for inflammatory bowel disease (Pliva; PL 10, PLD-116, PL 14736)) (10 microg, 10 ng), losartan (0.7 mg), amlodipine (0.07 mg), given intragastrically (i.g.) (once daily, rats) or in drinking water (mice). Assessed were big endothelin-1 (BET-1) and plasma enzyme levels (CK, MBCK, LDH, AST, ALT) before and after 14 days of therapy and clinical status (hypotension, increased heart rate and respiratory rate, and ascites) every 2 days. Controls (distilled water (5 ml/kg, i.g., once daily) or drinking water (2 ml/mouse per day) given throughout 14 days) exhibited additionally increased BET-1 and aggravated clinical status, while enzyme values maintained their initial increase. BPC157 (10 microg/kg) and amlodipine treatment reversed the increased BET-1 (rats, mice), AST, ALT, CK (rats, mice), and LDH (mice) values. BPC157 (10 ng/kg) and losartan opposed further increase of BET-1 (rats, mice). Losartan reduces AST, ALT, CK, and LDH serum values. BPC157 (10 ng/kg) reduces AST and ALT serum values. Clinical status of CHF-rats and -mice is accordingly improved by the BPC157 regimens and amlodipine.", "author" : [ { "dropping-particle" : "", "family" : "Lovric-Bencic", "given" : "Martina", "non-dropping-particle" : "", "parse-names" : false, "suffix" : "" }, { "dropping-particle" : "", "family" : "Sikiric", "given" : "Predrag", "non-dropping-particle" : "", "parse-names" : false, "suffix" : "" }, { "dropping-particle" : "", "family" : "Hanzevacki", "given" : "Jadranka S", "non-dropping-particle" : "", "parse-names" : false, "suffix" : "" }, { "dropping-particle" : "", "family" : "Seiwerth", "given" : "Sven", "non-dropping-particle" : "", "parse-names" : false, "suffix" : "" }, { "dropping-particle" : "", "family" : "Rogic", "given" : "Dunja", "non-dropping-particle" : "", "parse-names" : false, "suffix" : "" }, { "dropping-particle" : "", "family" : "Kusec", "given" : "Vesna", "non-dropping-particle" : "", "parse-names" : false, "suffix" : "" }, { "dropping-particle" : "", "family" : "Aralica", "given" : "Gorana", "non-dropping-particle" : "", "parse-names" : false, "suffix" : "" }, { "dropping-particle" : "", "family" : "Konjevoda", "given" : "Pasko", "non-dropping-particle" : "", "parse-names" : false, "suffix" : "" }, { "dropping-particle" : "", "family" : "Batelja", "given" : "Lovorka", "non-dropping-particle" : "", "parse-names" : false, "suffix" : "" }, { "dropping-particle" : "", "family" : "Blagaic", "given" : "Alenka B", "non-dropping-particle" : "", "parse-names" : false, "suffix" : "" } ], "container-title" : "Journal of pharmacological sciences", "id" : "ITEM-2", "issue" : "1", "issued" : { "date-parts" : [ [ "2004", "5" ] ] }, "page" : "19-26", "title" : "Doxorubicine-congestive heart failure-increased big endothelin-1 plasma concentration: reversal by amlodipine, losartan, and gastric pentadecapeptide BPC157 in rat and mouse.", "type" : "article-journal", "volume" : "95" }, "uris" : [ "http://www.mendeley.com/documents/?uuid=b741d5eb-3aad-4841-ab74-f2e266dab8dc" ] }, { "id" : "ITEM-3", "itemData" : { "DOI" : "10.1007/s10787-017-0323-6", "ISSN" : "15685608", "author" : [ { "dropping-particle" : "", "family" : "Medvidovic-Grubisic", "given" : "Maria", "non-dropping-particle" : "", "parse-names" : false, "suffix" : "" }, { "dropping-particle" : "", "family" : "Stambolija", "given" : "Vasilije", "non-dropping-particle" : "", "parse-names" : false, "suffix" : "" }, { "dropping-particle" : "", "family" : "Kolenc", "given" : "Danijela", "non-dropping-particle" : "", "parse-names" : false, "suffix" : "" }, { "dropping-particle" : "", "family" : "Katancic", "given" : "Jadranka", "non-dropping-particle" : "", "parse-names" : false, "suffix" : "" }, { "dropping-particle" : "", "family" : "Murselovic", "given" : "Tamara", "non-dropping-particle" : "", "parse-names" : false, "suffix" : "" }, { "dropping-particle" : "", "family" : "Plestina-Borjan", "given" : "Ivna", "non-dropping-particle" : "", "parse-names" : false, "suffix" : "" }, { "dropping-particle" : "", "family" : "Strbe", "given" : "Sanja", "non-dropping-particle" : "", "parse-names" : false, "suffix" : "" }, { "dropping-particle" : "", "family" : "Drmic", "given" : "Domagoj", "non-dropping-particle" : "", "parse-names" : false, "suffix" : "" }, { "dropping-particle" : "", "family" : "Barisic", "given" : "Ivan", "non-dropping-particle" : "", "parse-names" : false, "suffix" : "" }, { "dropping-particle" : "", "family" : "Sindic", "given" : "Aleksandra", "non-dropping-particle" : "", "parse-names" : false, "suffix" : "" }, { "dropping-particle" : "", "family" : "Seiwerth", "given" : "Sven", "non-dropping-particle" : "", "parse-names" : false, "suffix" : "" }, { "dropping-particle" : "", "family" : "Sikiric", "given" : "Predrag", "non-dropping-particle" : "", "parse-names" : false, "suffix" : "" } ], "container-title" : "Inflammopharmacology", "id" : "ITEM-3", "issue" : "4", "issued" : { "date-parts" : [ [ "2017" ] ] }, "page" : "439-449", "title" : "Hypermagnesemia disturbances in rats, NO-related: pentadecapeptide BPC 157 abrogates, l-NAME and l-arginine worsen", "type" : "article-journal", "volume" : "25" }, "uris" : [ "http://www.mendeley.com/documents/?uuid=9c442fd2-ee8d-4d31-b944-58801c2a5675" ] } ], "mendeley" : { "formattedCitation" : "&lt;sup&gt;[15,35,36]&lt;/sup&gt;", "plainTextFormattedCitation" : "[15,35,36]", "previouslyFormattedCitation" : "(Duzel et al., 2017; Lovric-Bencic et al., 2004; Medvidovic-Grubisic et al., 2017)" }, "properties" : {  }, "schema" : "https://github.com/citation-style-language/schema/raw/master/csl-citation.json" }</w:instrText>
      </w:r>
      <w:r w:rsidR="009F63A3" w:rsidRPr="00CC34A3">
        <w:rPr>
          <w:rFonts w:ascii="Book Antiqua" w:eastAsia="Calibri" w:hAnsi="Book Antiqua" w:cs="Courier New"/>
          <w:color w:val="000000" w:themeColor="text1"/>
          <w:lang w:val="en-US" w:eastAsia="en-US"/>
        </w:rPr>
        <w:fldChar w:fldCharType="separate"/>
      </w:r>
      <w:r w:rsidR="009F63A3" w:rsidRPr="00CC34A3">
        <w:rPr>
          <w:rFonts w:ascii="Book Antiqua" w:eastAsia="Calibri" w:hAnsi="Book Antiqua" w:cs="Courier New"/>
          <w:color w:val="000000" w:themeColor="text1"/>
          <w:vertAlign w:val="superscript"/>
          <w:lang w:val="en-US" w:eastAsia="en-US"/>
        </w:rPr>
        <w:t>[15,35,36]</w:t>
      </w:r>
      <w:r w:rsidR="009F63A3" w:rsidRPr="00CC34A3">
        <w:rPr>
          <w:rFonts w:ascii="Book Antiqua" w:eastAsia="Calibri" w:hAnsi="Book Antiqua" w:cs="Courier New"/>
          <w:color w:val="000000" w:themeColor="text1"/>
          <w:lang w:val="en-US" w:eastAsia="en-US"/>
        </w:rPr>
        <w:fldChar w:fldCharType="end"/>
      </w:r>
      <w:r w:rsidR="009F63A3" w:rsidRPr="00CC34A3">
        <w:rPr>
          <w:rFonts w:ascii="Book Antiqua" w:hAnsi="Book Antiqua" w:cs="Courier New"/>
          <w:color w:val="000000" w:themeColor="text1"/>
          <w:lang w:val="en-US"/>
        </w:rPr>
        <w:t>, L-NAME and L-arginine regularly attenuated or antagonized each other's responses, presenting values comparable to the control), also appeared with two pharmacologically distinct mechanisms with opposing effects on the same signaling pathway</w:t>
      </w:r>
      <w:r w:rsidR="006F5E3D" w:rsidRPr="00CC34A3">
        <w:rPr>
          <w:rFonts w:ascii="Book Antiqua" w:hAnsi="Book Antiqua" w:cs="Courier New"/>
          <w:color w:val="000000" w:themeColor="text1"/>
          <w:lang w:val="en-US"/>
        </w:rPr>
        <w:t xml:space="preserve"> (for review, see</w:t>
      </w:r>
      <w:r w:rsidR="006F5E3D" w:rsidRPr="00CC34A3">
        <w:rPr>
          <w:rFonts w:ascii="Book Antiqua" w:eastAsia="Calibri" w:hAnsi="Book Antiqua" w:cs="Courier New"/>
          <w:color w:val="000000" w:themeColor="text1"/>
          <w:lang w:val="en-US" w:eastAsia="en-US"/>
        </w:rPr>
        <w:fldChar w:fldCharType="begin" w:fldLock="1"/>
      </w:r>
      <w:r w:rsidR="006F5E3D" w:rsidRPr="00CC34A3">
        <w:rPr>
          <w:rFonts w:ascii="Book Antiqua" w:eastAsia="Calibri" w:hAnsi="Book Antiqua" w:cs="Courier New"/>
          <w:color w:val="000000" w:themeColor="text1"/>
          <w:lang w:val="en-US" w:eastAsia="en-US"/>
        </w:rPr>
        <w:instrText>ADDIN CSL_CITATION { "citationItems" : [ { "id" : "ITEM-1", "itemData" : { "DOI" : "10.2174/1381612823666170220163219", "ISSN" : "13816128", "PMID" : "28228068", "abstract" : "Selye's syndrome produced by diverse nocuous agents and ``response to damage as such{''} means Selye's stress triad in stress coping response to reestablish homeostasis. Logically, from the gastrointestinal tract viewpoint, such organoprotective/healing response implies the angiogenic growth factors that commonly signify the healing. Thereby, the gastric pentadecapeptide BPC 157-organoprotection (huge range of beneficial effects) signifies the Selye's stress concept/stress coping response implemented in and from gastrointestinal tract, and BPC 157 as an integrative mediator that integrates the adaptive bodily response to stress. In clinical trials without side effects, LD1 not achieved, BPC 157 healing in gastrointestinal tract, and particularly the healing of the extra-gastrointestinal tissues (i.e., skin/tendon/ligament/muscle/bone; nerve; cornea/brain) were referred throughout its integrative capabilities (i.e., ulcerative colitis/multiple sclerosis model equally counteracted), native in gastrointestinal tract, stability in human gastric juice (and thereby, strong efficacy and applicability), its relevance for dopamine-system function (and thereby, counteracting effects of dopamine-system dysfunction and over-function, centrally and peripherally (mucosa maintenance); interaction with serotonin- and GABA-system)), afforded cytoprotection/adaptive cytoprotection/organoprotection (and thereby, beneficial effects on gastric and whole intestinal tract lesions and adaptation, wounds and fistulas healing, blood vessels, somatosensory neurons, NSAIDs-side effects (including also pancreas, liver, brain lesions, and blood disturbances, prolonged bleeding, thrombocytopenia, thrombosis)). Further, we combine such gut-brain axis and the NO-system where BPC 157 counteracts complications of either L-NAME application (i.e., various lesions aggravation, hypertension) or L-arginine application (i.e., hypotension, prolonged bleeding, thrombocytopenia). Also, BPC 157 particularly affects genes functions (i.e., Fos, c-Jun, Egr-1), all together suggestive for an indicative generalization. Thus, we could suggest gastric pentadecapeptide BPC 157 and BPC 157 induced-organoprotection as integrative mediator that integrates the adaptive bodily response to stress, and thereby practically applied in further therapy and in effective realization of Selye's stress response.",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"Drmic", "given" : "Domagoj", "non-dropping-particle" : "", "parse-names" : false, "suffix" : "" }, { "dropping-particle" : "", "family" : "Stupnisek", "given" : "Mirjana", "non-dropping-particle" : "", "parse-names" : false, "suffix" : "" }, { "dropping-particle" : "", "family" : "Kokot", "given" : "Antonio", "non-dropping-particle" : "", "parse-names" : false, "suffix" : "" }, { "dropping-particle" : "", "family" : "Sever", "given" : "Marko", "non-dropping-particle" : "", "parse-names" : false, "suffix" : "" }, { "dropping-particle" : "", "family" : "Zoricic", "given" : "Ivan", "non-dropping-particle" : "", "parse-names" : false, "suffix" : "" }, { "dropping-particle" : "", "family" : "Zoricic", "given" : "Zoran", "non-dropping-particle" : "", "parse-names" : false, "suffix" : "" }, { "dropping-particle" : "", "family" : "Batelja", "given" : "Lovorka", "non-dropping-particle" : "", "parse-names" : false, "suffix" : "" }, { "dropping-particle" : "", "family" : "Ziger", "given" : "Tihomil", "non-dropping-particle" : "", "parse-names" : false, "suffix" : "" }, { "dropping-particle" : "", "family" : "Luetic", "given" : "Kresimir", "non-dropping-particle" : "", "parse-names" : false, "suffix" : "" }, { "dropping-particle" : "", "family" : "Vlainic", "given" : "Josipa", "non-dropping-particle" : "", "parse-names" : false, "suffix" : "" }, { "dropping-particle" : "", "family" : "Rasic", "given" : "Zarko", "non-dropping-particle" : "", "parse-names" : false, "suffix" : "" }, { "dropping-particle" : "", "family" : "Bencic", "given" : "Martina Lovric", "non-dropping-particle" : "", "parse-names" : false, "suffix" : "" } ], "container-title" : "Current Pharmaceutical Design", "id" : "ITEM-1", "issue" : "27", "issued" : { "date-parts" : [ [ "2017" ] ] }, "page" : "4012-4028", "title" : "Stress in Gastrointestinal Tract and Stable Gastric Pentadecapeptide BPC 157. Finally, do we have a Solution?", "type" : "article-journal", "volume" : "23" }, "uris" : [ "http://www.mendeley.com/documents/?uuid=15899097-6542-32aa-acf2-ef932af08516" ] }, { "id" : "ITEM-2", "itemData" : { "ISSN" : "1875-6190", "PMID" : "27138887", "abstract" : "BACKGROUND Brain-gut interaction involves, among others, peptidergic growth factors which are native in GI tract and have strong antiulcer potency and thus could from periphery beneficially affect CNS-disorders. We focused on the stable gastric pentadecapeptide BPC 157, an antiulcer peptidergic agent, safe in inflammatory bowel disease trials and now in multiple sclerosis trial, native and stable in human gastric juice. METHODS Review of our research on BPC 157 in terms of brain-gut axis. RESULTS BPC 157 may serve as a novel mediator of Robert's cytoprotection, involved in maintaining of GI mucosa integrity, with no toxic effect. BPC 157 was successful in the therapy of GI tract, periodontitis, liver and pancreas lesions, and in the healing of various tissues and wounds. Stimulated Egr-1 gene, NAB2, FAK-paxillin and JAK-2 pathways are hitherto implicated. Initially corresponding beneficial central influence was seen when BPC 157 was given peripherally and a serotonin release in particular brain areas, mostly nigrostriatal, was changed. BPC 157 modulates serotonergic and dopaminergic systems, beneficially affects various behavioral disturbances that otherwise appeared due to specifically (over)stimulated/damaged neurotransmitters systems. Besides, BPC 157 has neuroprotective effects: protects somatosensory neurons; peripheral nerve regeneration appearent after transection; after traumatic brain injury counteracts the otherwise progressing course, in rat spinal cord compression with tail paralysis, axonal and neuronal necrosis, demyelination, cyst formation and rescues tail function in both short-terms and long-terms; after NSAIDs or insulin overdose or cuprizone encephalopathies were attenuated along with GI, liver and vascular injuries. CONCLUSION BPC 157, a gastric peptide, may serve as remedy in various CNS-disorders.",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"Kolenc", "given" : "Danijela", "non-dropping-particle" : "", "parse-names" : false, "suffix" : "" }, { "dropping-particle" : "", "family" : "Vuletic", "given" : "Lovorka Batelja", "non-dropping-particle" : "", "parse-names" : false, "suffix" : "" }, { "dropping-particle" : "", "family" : "Drmic", "given" : "Domagoj", "non-dropping-particle" : "", "parse-names" : false, "suffix" : "" }, { "dropping-particle" : "", "family" : "Grgic", "given" : "Tihomir", "non-dropping-particle" : "", "parse-names" : false, "suffix" : "" }, { "dropping-particle" : "", "family" : "Strbe", "given" : "Sanja", "non-dropping-particle" : "", "parse-names" : false, "suffix" : "" }, { "dropping-particle" : "", "family" : "Zukanovic", "given" : "Goran", "non-dropping-particle" : "", "parse-names" : false, "suffix" : "" }, { "dropping-particle" : "", "family" : "Crvenkovic", "given" : "Dalibor", "non-dropping-particle" : "", "parse-names" : false, "suffix" : "" }, { "dropping-particle" : "", "family" : "Madzarac", "given" : "Goran", "non-dropping-particle" : "", "parse-names" : false, "suffix" : "" }, { "dropping-particle" : "", "family" : "Rukavina", "given" : "Iva", "non-dropping-particle" : "", "parse-names" : false, "suffix" : "" }, { "dropping-particle" : "", "family" : "Sucic", "given" : "Mario", "non-dropping-particle" : "", "parse-names" : false, "suffix" : "" }, { "dropping-particle" : "", "family" : "Baric", "given" : "Marko", "non-dropping-particle" : "", "parse-names" : false, "suffix" : "" }, { "dropping-particle" : "", "family" : "Starcevic", "given" : "Neven", "non-dropping-particle" : "", "parse-names" : false, "suffix" : "" }, { "dropping-particle" : "", "family" : "Krstonijevic", "given" : "Zoran", "non-dropping-particle" : "", "parse-names" : false, "suffix" : "" }, { "dropping-particle" : "", "family" : "Bencic", "given" : "Martina Lovric", "non-dropping-particle" : "", "parse-names" : false, "suffix" : "" }, { "dropping-particle" : "", "family" : "Filipcic", "given" : "Igor", "non-dropping-particle" : "", "parse-names" : false, "suffix" : "" }, { "dropping-particle" : "", "family" : "Rokotov", "given" : "Dinko Stancic", "non-dropping-particle" : "", "parse-names" : false, "suffix" : "" }, { "dropping-particle" : "", "family" : "Vlainic", "given" : "Josipa", "non-dropping-particle" : "", "parse-names" : false, "suffix" : "" } ], "container-title" : "Current neuropharmacology", "id" : "ITEM-2", "issue" : "8", "issued" : { "date-parts" : [ [ "2016" ] ] }, "page" : "857-865", "title" : "Brain-gut Axis and Pentadecapeptide BPC 157: Theoretical and Practical Implications.", "type" : "article-journal", "volume" : "14" }, "uris" : [ "http://www.mendeley.com/documents/?uuid=9b2831b1-d3dd-4080-846d-5f4f7ead3113" ] }, { "id" : "ITEM-3", "itemData" : { "ISSN" : "1873-4286", "PMID" : "23782145", "abstract" : "This review focuses on the described effects of BPC 157 on blood vessels after different types of damage, and elucidate by investigating different aspects of vascular response to injury (endothelium damage, clotting, thrombosis, vasoconstriction, vasodilatation, vasculoneogenesis and edema formation) especially in connection to the healing processes. In this respect, BPC 157 was concluded to be the most potent angiomodulatory agent, acting through different vasoactive pathways and systems (e.g. NO, VEGF, FAK) and leading to optimization of the vascular response followed, as it has to be expected, by optimization of the healing process. Formation of new blood vessels involves two main, partly overlapping mechanisms, angiogenesis and vasculogenesis. The additional mechanism of arteriogenesis is involved in the formation of collaterals. In conjunction with blood vessel function, we at least have to consider leakage of fluid/proteins/plasma, resulting in edema/exudate formation as well as thrombogenesis. Blood vessels are also strongly involved in tumor biology. In this aspect, we have neoangiogenesis resulting in pathological vascularization, vascular invasion resulting in release of metastatic cells and the phenomenon of homing resulting in formation of secondary tumors--metastases.", "author" : [ { "dropping-particle" : "", "family" : "Seiwerth", "given" : "Sven", "non-dropping-particle" : "", "parse-names" : false, "suffix" : "" }, { "dropping-particle" : "", "family" : "Brcic", "given" : "Luka", "non-dropping-particle" : "", "parse-names" : false, "suffix" : "" }, { "dropping-particle" : "", "family" : "Vuletic", "given" : "Lovorka Batelja",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"Misic", "given" : "Marija", "non-dropping-particle" : "", "parse-names" : false, "suffix" : "" }, { "dropping-particle" : "", "family" : "Zenko", "given" : "Anita", "non-dropping-particle" : "", "parse-names" : false, "suffix" : "" }, { "dropping-particle" : "", "family" : "Drmic", "given" : "Domagoj", "non-dropping-particle" : "", "parse-names" : false, "suffix" : "" }, { "dropping-particle" : "", "family" : "Rucman", "given" : "Rudolf", "non-dropping-particle" : "", "parse-names" : false, "suffix" : "" }, { "dropping-particle" : "", "family" : "Sikiric", "given" : "Predrag", "non-dropping-particle" : "", "parse-names" : false, "suffix" : "" } ], "container-title" : "Current pharmaceutical design", "id" : "ITEM-3", "issue" : "7", "issued" : { "date-parts" : [ [ "2014" ] ] }, "page" : "1121-5", "title" : "BPC 157 and blood vessels.", "type" : "article-journal", "volume" : "20" }, "uris" : [ "http://www.mendeley.com/documents/?uuid=5f0ff73a-1c13-4e9f-9921-366eef3ba469" ] }, { "id" : "ITEM-4", "itemData" : { "ISSN" : "1873-4286", "PMID" : "23755725", "abstract" : "We reviewed stable gastric pentadecapeptide BPC 157-NO-system-relation, its close participation in Moncada's (maintained vascular integrity, platelets control) homeostatic healing response of NO-system to injury. Namely, BPC 157's particular healing effect also affects all events after vascular integrity loss (dependent on circumstances, it reduces either thrombosis (abdominal aorta anastomosis) or bleeding/thrombocytopenia (amputation, heparin, warfarin, aspirin)) and in a series of different injurious models, acute and chronic, BPC 157 consistently advances healing after severe injuries in various tissues spontaneously unable to heal; stimulates egr-1 and naB2 genes; exhibits high safety (LD1 not achieved)). Hypothesis, that BPC 157 (since formed constitutively in the gastric mucosa, stable in human gastric juice, along with significance of NO-synthase and the basal formation of NO in stomach mucosa, greater than that seen in other tissues) exhibits a general, effective competing both with L-arginine analogues (i. e., L-NAME) and L-arginine, and that this has some physiologic importance (NO-generation), later, practically supports its beneficial effects illustrating BPC 157 and NOsystem mutual (with L-NAME/L-arginine; alone and together) relations in (i) gastric mucosa and mucosal protection, following alcohol lesions, in cytoprotection course, NO-generation, and blood pressure regulation; (ii) alcohol acute/chronic intoxication, and withdrawal; (iii) cardiovascular disturbances, chronic heart failure, pulmonary hypertension, and arrhythmias; (iv) disturbances after hypokalemia and hyperkalemia, and potassium-cell membrane dysfunction; and finally, in (v) complex healing failure, proved by the fistulas healing, colocutaneous and esophagocutaneous. However, how this advantage of modulating NO-system (i. e., particular effect on eNOS gene), may be practically translated into an enhanced clinical performance remains to be determined.",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"Stupnisek", "given" : "Mirjana", "non-dropping-particle" : "", "parse-names" : false, "suffix" : "" }, { "dropping-particle" : "", "family" : "Suran", "given" : "Jelena", "non-dropping-particle" : "", "parse-names" : false, "suffix" : "" }, { "dropping-particle" : "", "family" : "Barisic", "given" : "Ivan",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"ITEM-4", "issue" : "7", "issued" : { "date-parts" : [ [ "2014" ] ] }, "page" : "1126-35", "title" : "Stable gastric pentadecapeptide BPC 157-NO-system relation.", "type" : "article-journal", "volume" : "20" }, "uris" : [ "http://www.mendeley.com/documents/?uuid=74ead48f-0c75-446a-a19b-49bb02b31992" ] }, { "id" : "ITEM-5", "itemData" : { "ISSN" : "1873-4286", "PMID" : "22950504", "abstract" : "Stable gastric pentadecapeptide BPC 157 is an anti-ulcer peptidergic agent, proven in clinical trials to be both safe in inflammatory bowel disease (PL-10, PLD-116, PL 14736) and wound healing, stable in human gastric juice, with no toxicity being reported. Recently, we claim that BPC 157 may be used as an antidote against NSAIDs. We focused on BPC 157 beneficial effects on stomach, duodenum, intestine, liver and brain injuries, adjuvant arthritis, pain, hyper/hypothermia, obstructive thrombus formation and thrombolysis, blood vessel function, counteraction of prolonged bleeding and thrombocytopenia after application of various anticoagulants and antiplatelet agents and wound healing improvement. The arguments for BPC 157 antidote activity (i.e., the role of BPC 157 in cytoprotection, being a novel mediator of Robert's cytoprotection and BPC 157 beneficial effects on NSAIDs mediated lesions in the gastrointestinal tract, liver and brain and finally, counteraction of aspirin-induced prolonged bleeding and thrombocytopenia) obviously have a counteracting effect on several established side-effects of NSAIDs use. The mentioned variety of the beneficial effects portrayed by BPC 157 may well be a foundation for establishing BPC 157 as a NSAIDs antidote since no other single agent has portrayed a similar array of effects. Unlike NSAIDs, a very high safety (no reported toxicity (LD1 could be not achieved)) profile is reported for BPC 157. Also, unlike the different dosage levels of aspirin, as a NSAIDs prototype, which differ by a factor of about ten, all these beneficial and counteracting effects of BPC 157 were obtained using the equipotent dosage (\u03bcg, ng/kg) in parenteral or peroral regimens.",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"Safic", "given" : "Hana", "non-dropping-particle" : "", "parse-names" : false, "suffix" : "" }, { "dropping-particle" : "", "family" : "Suran", "given" : "Jelena", "non-dropping-particle" : "", "parse-names" : false, "suffix" : "" }, { "dropping-particle" : "", "family" : "Rak", "given" : "Davor",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"ITEM-5", "issue" : "1", "issued" : { "date-parts" : [ [ "2013" ] ] }, "page" : "76-83", "title" : "Toxicity by NSAIDs. Counteraction by stable gastric pentadecapeptide BPC 157.", "type" : "article-journal", "volume" : "19" }, "uris" : [ "http://www.mendeley.com/documents/?uuid=b4d81bb8-a391-4622-abb3-23195e4a65ff" ] } ], "mendeley" : { "formattedCitation" : "&lt;sup&gt;[1\u20135]&lt;/sup&gt;", "plainTextFormattedCitation" : "[1\u20135]", "previouslyFormattedCitation" : "(Seiwerth et al., 2014; Sikiric et al., 2017, 2016, 2014, 2013)" }, "properties" : {  }, "schema" : "https://github.com/citation-style-language/schema/raw/master/csl-citation.json" }</w:instrText>
      </w:r>
      <w:r w:rsidR="006F5E3D" w:rsidRPr="00CC34A3">
        <w:rPr>
          <w:rFonts w:ascii="Book Antiqua" w:eastAsia="Calibri" w:hAnsi="Book Antiqua" w:cs="Courier New"/>
          <w:color w:val="000000" w:themeColor="text1"/>
          <w:lang w:val="en-US" w:eastAsia="en-US"/>
        </w:rPr>
        <w:fldChar w:fldCharType="separate"/>
      </w:r>
      <w:r w:rsidR="006F5E3D" w:rsidRPr="00CC34A3">
        <w:rPr>
          <w:rFonts w:ascii="Book Antiqua" w:eastAsia="Calibri" w:hAnsi="Book Antiqua" w:cs="Courier New"/>
          <w:color w:val="000000" w:themeColor="text1"/>
          <w:vertAlign w:val="superscript"/>
          <w:lang w:val="en-US" w:eastAsia="en-US"/>
        </w:rPr>
        <w:t>[1–5]</w:t>
      </w:r>
      <w:r w:rsidR="006F5E3D" w:rsidRPr="00CC34A3">
        <w:rPr>
          <w:rFonts w:ascii="Book Antiqua" w:eastAsia="Calibri" w:hAnsi="Book Antiqua" w:cs="Courier New"/>
          <w:color w:val="000000" w:themeColor="text1"/>
          <w:lang w:val="en-US" w:eastAsia="en-US"/>
        </w:rPr>
        <w:fldChar w:fldCharType="end"/>
      </w:r>
      <w:r w:rsidR="006F5E3D" w:rsidRPr="00CC34A3">
        <w:rPr>
          <w:rFonts w:ascii="Book Antiqua" w:hAnsi="Book Antiqua" w:cs="Courier New"/>
          <w:color w:val="000000" w:themeColor="text1"/>
          <w:lang w:val="en-US"/>
        </w:rPr>
        <w:t>)</w:t>
      </w:r>
      <w:r w:rsidR="009F63A3" w:rsidRPr="00CC34A3">
        <w:rPr>
          <w:rFonts w:ascii="Book Antiqua" w:hAnsi="Book Antiqua" w:cs="Courier New"/>
          <w:color w:val="000000" w:themeColor="text1"/>
          <w:lang w:val="en-US"/>
        </w:rPr>
        <w:t xml:space="preserve">. In </w:t>
      </w:r>
      <w:r w:rsidR="00992FA2" w:rsidRPr="00CC34A3">
        <w:rPr>
          <w:rFonts w:ascii="Book Antiqua" w:hAnsi="Book Antiqua" w:cs="Courier New"/>
          <w:color w:val="000000" w:themeColor="text1"/>
          <w:lang w:val="en-US"/>
        </w:rPr>
        <w:t>SAPDV</w:t>
      </w:r>
      <w:r w:rsidR="009F63A3" w:rsidRPr="00CC34A3">
        <w:rPr>
          <w:rFonts w:ascii="Book Antiqua" w:hAnsi="Book Antiqua" w:cs="Courier New"/>
          <w:color w:val="000000" w:themeColor="text1"/>
          <w:lang w:val="en-US"/>
        </w:rPr>
        <w:t>-ligated rats, this parallelism is constant with also distinctive effects, lesion a</w:t>
      </w:r>
      <w:r w:rsidRPr="00CC34A3">
        <w:rPr>
          <w:rFonts w:ascii="Book Antiqua" w:hAnsi="Book Antiqua" w:cs="Courier New"/>
          <w:color w:val="000000" w:themeColor="text1"/>
          <w:lang w:val="en-US"/>
        </w:rPr>
        <w:t xml:space="preserve">ttenuation (early intervals) </w:t>
      </w:r>
      <w:r w:rsidRPr="00CC34A3">
        <w:rPr>
          <w:rFonts w:ascii="Book Antiqua" w:hAnsi="Book Antiqua" w:cs="Courier New"/>
          <w:i/>
          <w:color w:val="000000" w:themeColor="text1"/>
          <w:lang w:val="en-US"/>
        </w:rPr>
        <w:t>vs</w:t>
      </w:r>
      <w:r w:rsidR="009F63A3" w:rsidRPr="00CC34A3">
        <w:rPr>
          <w:rFonts w:ascii="Book Antiqua" w:hAnsi="Book Antiqua" w:cs="Courier New"/>
          <w:i/>
          <w:color w:val="000000" w:themeColor="text1"/>
          <w:lang w:val="en-US"/>
        </w:rPr>
        <w:t xml:space="preserve"> </w:t>
      </w:r>
      <w:r w:rsidR="009F63A3" w:rsidRPr="00CC34A3">
        <w:rPr>
          <w:rFonts w:ascii="Book Antiqua" w:hAnsi="Book Antiqua" w:cs="Courier New"/>
          <w:color w:val="000000" w:themeColor="text1"/>
          <w:lang w:val="en-US"/>
        </w:rPr>
        <w:t>lesion worsening (late interval), unless BPC 157 had been administered and the beneficial effect always attenuated the lesion</w:t>
      </w:r>
      <w:r w:rsidR="009F63A3" w:rsidRPr="00CC34A3">
        <w:rPr>
          <w:rFonts w:ascii="Book Antiqua" w:eastAsia="Calibri" w:hAnsi="Book Antiqua" w:cs="Courier New"/>
          <w:color w:val="000000" w:themeColor="text1"/>
          <w:lang w:val="en-US" w:eastAsia="en-US"/>
        </w:rPr>
        <w:fldChar w:fldCharType="begin" w:fldLock="1"/>
      </w:r>
      <w:r w:rsidR="009F63A3" w:rsidRPr="00CC34A3">
        <w:rPr>
          <w:rFonts w:ascii="Book Antiqua" w:eastAsia="Calibri" w:hAnsi="Book Antiqua" w:cs="Courier New"/>
          <w:color w:val="000000" w:themeColor="text1"/>
          <w:lang w:val="en-US" w:eastAsia="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"ISSN" : "1347-8613", "PMID" : "15153646", "abstract" : "Overall, doxorubicine-congestive heart failure (CHF) (male Wistar rats and NMRI mice; 6 challenges with doxorubicine (2.5 mg/kg, i.p.) throughout 15 days and then a 4-week-rest period) is consistently deteriorating throughout next 14 days, if not reversed or ameliorated by therapy (/kg per day): a stable gastric pentadecapeptide BPC157 (GEPPPGKPADDAGLV, MW 1419, promisingly studied for inflammatory bowel disease (Pliva; PL 10, PLD-116, PL 14736)) (10 microg, 10 ng), losartan (0.7 mg), amlodipine (0.07 mg), given intragastrically (i.g.) (once daily, rats) or in drinking water (mice). Assessed were big endothelin-1 (BET-1) and plasma enzyme levels (CK, MBCK, LDH, AST, ALT) before and after 14 days of therapy and clinical status (hypotension, increased heart rate and respiratory rate, and ascites) every 2 days. Controls (distilled water (5 ml/kg, i.g., once daily) or drinking water (2 ml/mouse per day) given throughout 14 days) exhibited additionally increased BET-1 and aggravated clinical status, while enzyme values maintained their initial increase. BPC157 (10 microg/kg) and amlodipine treatment reversed the increased BET-1 (rats, mice), AST, ALT, CK (rats, mice), and LDH (mice) values. BPC157 (10 ng/kg) and losartan opposed further increase of BET-1 (rats, mice). Losartan reduces AST, ALT, CK, and LDH serum values. BPC157 (10 ng/kg) reduces AST and ALT serum values. Clinical status of CHF-rats and -mice is accordingly improved by the BPC157 regimens and amlodipine.", "author" : [ { "dropping-particle" : "", "family" : "Lovric-Bencic", "given" : "Martina", "non-dropping-particle" : "", "parse-names" : false, "suffix" : "" }, { "dropping-particle" : "", "family" : "Sikiric", "given" : "Predrag", "non-dropping-particle" : "", "parse-names" : false, "suffix" : "" }, { "dropping-particle" : "", "family" : "Hanzevacki", "given" : "Jadranka S", "non-dropping-particle" : "", "parse-names" : false, "suffix" : "" }, { "dropping-particle" : "", "family" : "Seiwerth", "given" : "Sven", "non-dropping-particle" : "", "parse-names" : false, "suffix" : "" }, { "dropping-particle" : "", "family" : "Rogic", "given" : "Dunja", "non-dropping-particle" : "", "parse-names" : false, "suffix" : "" }, { "dropping-particle" : "", "family" : "Kusec", "given" : "Vesna", "non-dropping-particle" : "", "parse-names" : false, "suffix" : "" }, { "dropping-particle" : "", "family" : "Aralica", "given" : "Gorana", "non-dropping-particle" : "", "parse-names" : false, "suffix" : "" }, { "dropping-particle" : "", "family" : "Konjevoda", "given" : "Pasko", "non-dropping-particle" : "", "parse-names" : false, "suffix" : "" }, { "dropping-particle" : "", "family" : "Batelja", "given" : "Lovorka", "non-dropping-particle" : "", "parse-names" : false, "suffix" : "" }, { "dropping-particle" : "", "family" : "Blagaic", "given" : "Alenka B", "non-dropping-particle" : "", "parse-names" : false, "suffix" : "" } ], "container-title" : "Journal of pharmacological sciences", "id" : "ITEM-2", "issue" : "1", "issued" : { "date-parts" : [ [ "2004", "5" ] ] }, "page" : "19-26", "title" : "Doxorubicine-congestive heart failure-increased big endothelin-1 plasma concentration: reversal by amlodipine, losartan, and gastric pentadecapeptide BPC157 in rat and mouse.", "type" : "article-journal", "volume" : "95" }, "uris" : [ "http://www.mendeley.com/documents/?uuid=b741d5eb-3aad-4841-ab74-f2e266dab8dc" ] }, { "id" : "ITEM-3", "itemData" : { "DOI" : "10.1007/s10787-017-0323-6", "ISSN" : "15685608", "author" : [ { "dropping-particle" : "", "family" : "Medvidovic-Grubisic", "given" : "Maria", "non-dropping-particle" : "", "parse-names" : false, "suffix" : "" }, { "dropping-particle" : "", "family" : "Stambolija", "given" : "Vasilije", "non-dropping-particle" : "", "parse-names" : false, "suffix" : "" }, { "dropping-particle" : "", "family" : "Kolenc", "given" : "Danijela", "non-dropping-particle" : "", "parse-names" : false, "suffix" : "" }, { "dropping-particle" : "", "family" : "Katancic", "given" : "Jadranka", "non-dropping-particle" : "", "parse-names" : false, "suffix" : "" }, { "dropping-particle" : "", "family" : "Murselovic", "given" : "Tamara", "non-dropping-particle" : "", "parse-names" : false, "suffix" : "" }, { "dropping-particle" : "", "family" : "Plestina-Borjan", "given" : "Ivna", "non-dropping-particle" : "", "parse-names" : false, "suffix" : "" }, { "dropping-particle" : "", "family" : "Strbe", "given" : "Sanja", "non-dropping-particle" : "", "parse-names" : false, "suffix" : "" }, { "dropping-particle" : "", "family" : "Drmic", "given" : "Domagoj", "non-dropping-particle" : "", "parse-names" : false, "suffix" : "" }, { "dropping-particle" : "", "family" : "Barisic", "given" : "Ivan", "non-dropping-particle" : "", "parse-names" : false, "suffix" : "" }, { "dropping-particle" : "", "family" : "Sindic", "given" : "Aleksandra", "non-dropping-particle" : "", "parse-names" : false, "suffix" : "" }, { "dropping-particle" : "", "family" : "Seiwerth", "given" : "Sven", "non-dropping-particle" : "", "parse-names" : false, "suffix" : "" }, { "dropping-particle" : "", "family" : "Sikiric", "given" : "Predrag", "non-dropping-particle" : "", "parse-names" : false, "suffix" : "" } ], "container-title" : "Inflammopharmacology", "id" : "ITEM-3", "issue" : "4", "issued" : { "date-parts" : [ [ "2017" ] ] }, "page" : "439-449", "title" : "Hypermagnesemia disturbances in rats, NO-related: pentadecapeptide BPC 157 abrogates, l-NAME and l-arginine worsen", "type" : "article-journal", "volume" : "25" }, "uris" : [ "http://www.mendeley.com/documents/?uuid=9c442fd2-ee8d-4d31-b944-58801c2a5675" ] } ], "mendeley" : { "formattedCitation" : "&lt;sup&gt;[15,35,36]&lt;/sup&gt;", "plainTextFormattedCitation" : "[15,35,36]", "previouslyFormattedCitation" : "(Duzel et al., 2017; Lovric-Bencic et al., 2004; Medvidovic-Grubisic et al., 2017)" }, "properties" : {  }, "schema" : "https://github.com/citation-style-language/schema/raw/master/csl-citation.json" }</w:instrText>
      </w:r>
      <w:r w:rsidR="009F63A3" w:rsidRPr="00CC34A3">
        <w:rPr>
          <w:rFonts w:ascii="Book Antiqua" w:eastAsia="Calibri" w:hAnsi="Book Antiqua" w:cs="Courier New"/>
          <w:color w:val="000000" w:themeColor="text1"/>
          <w:lang w:val="en-US" w:eastAsia="en-US"/>
        </w:rPr>
        <w:fldChar w:fldCharType="separate"/>
      </w:r>
      <w:r w:rsidR="009F63A3" w:rsidRPr="00CC34A3">
        <w:rPr>
          <w:rFonts w:ascii="Book Antiqua" w:eastAsia="Calibri" w:hAnsi="Book Antiqua" w:cs="Courier New"/>
          <w:color w:val="000000" w:themeColor="text1"/>
          <w:vertAlign w:val="superscript"/>
          <w:lang w:val="en-US" w:eastAsia="en-US"/>
        </w:rPr>
        <w:t>[15,35,36]</w:t>
      </w:r>
      <w:r w:rsidR="009F63A3" w:rsidRPr="00CC34A3">
        <w:rPr>
          <w:rFonts w:ascii="Book Antiqua" w:eastAsia="Calibri" w:hAnsi="Book Antiqua" w:cs="Courier New"/>
          <w:color w:val="000000" w:themeColor="text1"/>
          <w:lang w:val="en-US" w:eastAsia="en-US"/>
        </w:rPr>
        <w:fldChar w:fldCharType="end"/>
      </w:r>
      <w:r w:rsidR="009F63A3" w:rsidRPr="00CC34A3">
        <w:rPr>
          <w:rFonts w:ascii="Book Antiqua" w:hAnsi="Book Antiqua" w:cs="Courier New"/>
          <w:color w:val="000000" w:themeColor="text1"/>
          <w:lang w:val="en-US"/>
        </w:rPr>
        <w:t>. Likewise, if the NO system immobilized (mutual actions of the combined L-NAME and L-arginine),</w:t>
      </w:r>
      <w:r w:rsidR="006F5E3D" w:rsidRPr="00CC34A3">
        <w:rPr>
          <w:rFonts w:ascii="Book Antiqua" w:hAnsi="Book Antiqua" w:cs="Courier New"/>
          <w:color w:val="000000" w:themeColor="text1"/>
          <w:lang w:val="en-US"/>
        </w:rPr>
        <w:t xml:space="preserve"> it</w:t>
      </w:r>
      <w:r w:rsidR="009F63A3" w:rsidRPr="00CC34A3">
        <w:rPr>
          <w:rFonts w:ascii="Book Antiqua" w:hAnsi="Book Antiqua" w:cs="Courier New"/>
          <w:color w:val="000000" w:themeColor="text1"/>
          <w:lang w:val="en-US"/>
        </w:rPr>
        <w:t xml:space="preserve"> still produces the severe pathology in the L-NAME+L-arginine animals. If </w:t>
      </w:r>
      <w:r w:rsidR="006F5E3D" w:rsidRPr="00CC34A3">
        <w:rPr>
          <w:rFonts w:ascii="Book Antiqua" w:hAnsi="Book Antiqua" w:cs="Courier New"/>
          <w:color w:val="000000" w:themeColor="text1"/>
          <w:lang w:val="en-US"/>
        </w:rPr>
        <w:t>this remained severe pathology</w:t>
      </w:r>
      <w:r w:rsidR="009F63A3" w:rsidRPr="00CC34A3">
        <w:rPr>
          <w:rFonts w:ascii="Book Antiqua" w:hAnsi="Book Antiqua" w:cs="Courier New"/>
          <w:color w:val="000000" w:themeColor="text1"/>
          <w:lang w:val="en-US"/>
        </w:rPr>
        <w:t xml:space="preserve"> is further attenuated, it means that the other system(s) (likely cholinergic and BPC 157) functioned along with. In this view, the particular role of BPC 157 reestablished effectiveness (</w:t>
      </w:r>
      <w:proofErr w:type="spellStart"/>
      <w:r w:rsidR="009F63A3" w:rsidRPr="00CC34A3">
        <w:rPr>
          <w:rFonts w:ascii="Book Antiqua" w:hAnsi="Book Antiqua" w:cs="Courier New"/>
          <w:color w:val="000000" w:themeColor="text1"/>
          <w:lang w:val="en-US"/>
        </w:rPr>
        <w:t>L-NAME+L-arginine</w:t>
      </w:r>
      <w:r w:rsidR="009F63A3" w:rsidRPr="00CC34A3">
        <w:rPr>
          <w:rFonts w:ascii="Book Antiqua" w:hAnsi="Book Antiqua" w:cs="Calibri"/>
          <w:color w:val="000000" w:themeColor="text1"/>
          <w:lang w:val="en-US"/>
        </w:rPr>
        <w:t>→</w:t>
      </w:r>
      <w:r w:rsidR="009F63A3" w:rsidRPr="00CC34A3">
        <w:rPr>
          <w:rFonts w:ascii="Book Antiqua" w:hAnsi="Book Antiqua" w:cs="Courier New"/>
          <w:color w:val="000000" w:themeColor="text1"/>
          <w:lang w:val="en-US"/>
        </w:rPr>
        <w:t>L-NAME+L-arginine+BPC</w:t>
      </w:r>
      <w:proofErr w:type="spellEnd"/>
      <w:r w:rsidR="009F63A3" w:rsidRPr="00CC34A3">
        <w:rPr>
          <w:rFonts w:ascii="Book Antiqua" w:hAnsi="Book Antiqua" w:cs="Courier New"/>
          <w:color w:val="000000" w:themeColor="text1"/>
          <w:lang w:val="en-US"/>
        </w:rPr>
        <w:t xml:space="preserve"> 157). It means that BPC 157 is effective (</w:t>
      </w:r>
      <w:proofErr w:type="spellStart"/>
      <w:r w:rsidR="009F63A3" w:rsidRPr="00CC34A3">
        <w:rPr>
          <w:rFonts w:ascii="Book Antiqua" w:hAnsi="Book Antiqua" w:cs="Courier New"/>
          <w:color w:val="000000" w:themeColor="text1"/>
          <w:lang w:val="en-US"/>
        </w:rPr>
        <w:t>L-NAME+L-arginine+BPC</w:t>
      </w:r>
      <w:proofErr w:type="spellEnd"/>
      <w:r w:rsidR="009F63A3" w:rsidRPr="00CC34A3">
        <w:rPr>
          <w:rFonts w:ascii="Book Antiqua" w:hAnsi="Book Antiqua" w:cs="Courier New"/>
          <w:color w:val="000000" w:themeColor="text1"/>
          <w:lang w:val="en-US"/>
        </w:rPr>
        <w:t xml:space="preserve"> 157; </w:t>
      </w:r>
      <w:proofErr w:type="spellStart"/>
      <w:r w:rsidR="009F63A3" w:rsidRPr="00CC34A3">
        <w:rPr>
          <w:rFonts w:ascii="Book Antiqua" w:hAnsi="Book Antiqua" w:cs="Courier New"/>
          <w:color w:val="000000" w:themeColor="text1"/>
          <w:lang w:val="en-US"/>
        </w:rPr>
        <w:t>L-arginine+BPC</w:t>
      </w:r>
      <w:proofErr w:type="spellEnd"/>
      <w:r w:rsidR="009F63A3" w:rsidRPr="00CC34A3">
        <w:rPr>
          <w:rFonts w:ascii="Book Antiqua" w:hAnsi="Book Antiqua" w:cs="Courier New"/>
          <w:color w:val="000000" w:themeColor="text1"/>
          <w:lang w:val="en-US"/>
        </w:rPr>
        <w:t xml:space="preserve"> 157</w:t>
      </w:r>
      <w:r w:rsidR="00773972" w:rsidRPr="00CC34A3">
        <w:rPr>
          <w:rFonts w:ascii="Book Antiqua" w:hAnsi="Book Antiqua" w:cs="Courier New"/>
          <w:color w:val="000000" w:themeColor="text1"/>
          <w:lang w:val="en-US"/>
        </w:rPr>
        <w:t xml:space="preserve">; L-NAME+ BPC 157) with all of </w:t>
      </w:r>
      <w:r w:rsidR="009F63A3" w:rsidRPr="00CC34A3">
        <w:rPr>
          <w:rFonts w:ascii="Book Antiqua" w:hAnsi="Book Antiqua" w:cs="Courier New"/>
          <w:color w:val="000000" w:themeColor="text1"/>
          <w:lang w:val="en-US"/>
        </w:rPr>
        <w:t>the NO</w:t>
      </w:r>
      <w:r w:rsidR="006F5E3D" w:rsidRPr="00CC34A3">
        <w:rPr>
          <w:rFonts w:ascii="Book Antiqua" w:hAnsi="Book Antiqua" w:cs="Courier New"/>
          <w:color w:val="000000" w:themeColor="text1"/>
          <w:lang w:val="en-US"/>
        </w:rPr>
        <w:t>-</w:t>
      </w:r>
      <w:r w:rsidRPr="00CC34A3">
        <w:rPr>
          <w:rFonts w:ascii="Book Antiqua" w:hAnsi="Book Antiqua" w:cs="Courier New"/>
          <w:color w:val="000000" w:themeColor="text1"/>
          <w:lang w:val="en-US"/>
        </w:rPr>
        <w:t>system presentations [</w:t>
      </w:r>
      <w:r w:rsidR="009F63A3" w:rsidRPr="00CC34A3">
        <w:rPr>
          <w:rFonts w:ascii="Book Antiqua" w:hAnsi="Book Antiqua" w:cs="Courier New"/>
          <w:color w:val="000000" w:themeColor="text1"/>
          <w:lang w:val="en-US"/>
        </w:rPr>
        <w:t xml:space="preserve">inactivated (L-NAME + L-arginine); overstimulated (L-arginine); or </w:t>
      </w:r>
      <w:r w:rsidR="009F63A3" w:rsidRPr="00CC34A3">
        <w:rPr>
          <w:rFonts w:ascii="Book Antiqua" w:hAnsi="Book Antiqua" w:cs="Courier New"/>
          <w:color w:val="000000" w:themeColor="text1"/>
          <w:lang w:val="en-US"/>
        </w:rPr>
        <w:lastRenderedPageBreak/>
        <w:t>blocked (L-NAME)</w:t>
      </w:r>
      <w:r w:rsidRPr="00CC34A3">
        <w:rPr>
          <w:rFonts w:ascii="Book Antiqua" w:hAnsi="Book Antiqua" w:cs="Courier New"/>
          <w:color w:val="000000" w:themeColor="text1"/>
          <w:lang w:val="en-US"/>
        </w:rPr>
        <w:t>]</w:t>
      </w:r>
      <w:r w:rsidR="009F63A3" w:rsidRPr="00CC34A3">
        <w:rPr>
          <w:rFonts w:ascii="Book Antiqua" w:eastAsia="Calibri" w:hAnsi="Book Antiqua" w:cs="Courier New"/>
          <w:color w:val="000000" w:themeColor="text1"/>
          <w:lang w:val="en-US" w:eastAsia="en-US"/>
        </w:rPr>
        <w:fldChar w:fldCharType="begin" w:fldLock="1"/>
      </w:r>
      <w:r w:rsidR="009F63A3" w:rsidRPr="00CC34A3">
        <w:rPr>
          <w:rFonts w:ascii="Book Antiqua" w:eastAsia="Calibri" w:hAnsi="Book Antiqua" w:cs="Courier New"/>
          <w:color w:val="000000" w:themeColor="text1"/>
          <w:lang w:val="en-US" w:eastAsia="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"ISSN" : "1347-8613", "PMID" : "15153646", "abstract" : "Overall, doxorubicine-congestive heart failure (CHF) (male Wistar rats and NMRI mice; 6 challenges with doxorubicine (2.5 mg/kg, i.p.) throughout 15 days and then a 4-week-rest period) is consistently deteriorating throughout next 14 days, if not reversed or ameliorated by therapy (/kg per day): a stable gastric pentadecapeptide BPC157 (GEPPPGKPADDAGLV, MW 1419, promisingly studied for inflammatory bowel disease (Pliva; PL 10, PLD-116, PL 14736)) (10 microg, 10 ng), losartan (0.7 mg), amlodipine (0.07 mg), given intragastrically (i.g.) (once daily, rats) or in drinking water (mice). Assessed were big endothelin-1 (BET-1) and plasma enzyme levels (CK, MBCK, LDH, AST, ALT) before and after 14 days of therapy and clinical status (hypotension, increased heart rate and respiratory rate, and ascites) every 2 days. Controls (distilled water (5 ml/kg, i.g., once daily) or drinking water (2 ml/mouse per day) given throughout 14 days) exhibited additionally increased BET-1 and aggravated clinical status, while enzyme values maintained their initial increase. BPC157 (10 microg/kg) and amlodipine treatment reversed the increased BET-1 (rats, mice), AST, ALT, CK (rats, mice), and LDH (mice) values. BPC157 (10 ng/kg) and losartan opposed further increase of BET-1 (rats, mice). Losartan reduces AST, ALT, CK, and LDH serum values. BPC157 (10 ng/kg) reduces AST and ALT serum values. Clinical status of CHF-rats and -mice is accordingly improved by the BPC157 regimens and amlodipine.", "author" : [ { "dropping-particle" : "", "family" : "Lovric-Bencic", "given" : "Martina", "non-dropping-particle" : "", "parse-names" : false, "suffix" : "" }, { "dropping-particle" : "", "family" : "Sikiric", "given" : "Predrag", "non-dropping-particle" : "", "parse-names" : false, "suffix" : "" }, { "dropping-particle" : "", "family" : "Hanzevacki", "given" : "Jadranka S", "non-dropping-particle" : "", "parse-names" : false, "suffix" : "" }, { "dropping-particle" : "", "family" : "Seiwerth", "given" : "Sven", "non-dropping-particle" : "", "parse-names" : false, "suffix" : "" }, { "dropping-particle" : "", "family" : "Rogic", "given" : "Dunja", "non-dropping-particle" : "", "parse-names" : false, "suffix" : "" }, { "dropping-particle" : "", "family" : "Kusec", "given" : "Vesna", "non-dropping-particle" : "", "parse-names" : false, "suffix" : "" }, { "dropping-particle" : "", "family" : "Aralica", "given" : "Gorana", "non-dropping-particle" : "", "parse-names" : false, "suffix" : "" }, { "dropping-particle" : "", "family" : "Konjevoda", "given" : "Pasko", "non-dropping-particle" : "", "parse-names" : false, "suffix" : "" }, { "dropping-particle" : "", "family" : "Batelja", "given" : "Lovorka", "non-dropping-particle" : "", "parse-names" : false, "suffix" : "" }, { "dropping-particle" : "", "family" : "Blagaic", "given" : "Alenka B", "non-dropping-particle" : "", "parse-names" : false, "suffix" : "" } ], "container-title" : "Journal of pharmacological sciences", "id" : "ITEM-2", "issue" : "1", "issued" : { "date-parts" : [ [ "2004", "5" ] ] }, "page" : "19-26", "title" : "Doxorubicine-congestive heart failure-increased big endothelin-1 plasma concentration: reversal by amlodipine, losartan, and gastric pentadecapeptide BPC157 in rat and mouse.", "type" : "article-journal", "volume" : "95" }, "uris" : [ "http://www.mendeley.com/documents/?uuid=b741d5eb-3aad-4841-ab74-f2e266dab8dc" ] }, { "id" : "ITEM-3", "itemData" : { "DOI" : "10.1007/s10787-017-0323-6", "ISSN" : "15685608", "author" : [ { "dropping-particle" : "", "family" : "Medvidovic-Grubisic", "given" : "Maria", "non-dropping-particle" : "", "parse-names" : false, "suffix" : "" }, { "dropping-particle" : "", "family" : "Stambolija", "given" : "Vasilije", "non-dropping-particle" : "", "parse-names" : false, "suffix" : "" }, { "dropping-particle" : "", "family" : "Kolenc", "given" : "Danijela", "non-dropping-particle" : "", "parse-names" : false, "suffix" : "" }, { "dropping-particle" : "", "family" : "Katancic", "given" : "Jadranka", "non-dropping-particle" : "", "parse-names" : false, "suffix" : "" }, { "dropping-particle" : "", "family" : "Murselovic", "given" : "Tamara", "non-dropping-particle" : "", "parse-names" : false, "suffix" : "" }, { "dropping-particle" : "", "family" : "Plestina-Borjan", "given" : "Ivna", "non-dropping-particle" : "", "parse-names" : false, "suffix" : "" }, { "dropping-particle" : "", "family" : "Strbe", "given" : "Sanja", "non-dropping-particle" : "", "parse-names" : false, "suffix" : "" }, { "dropping-particle" : "", "family" : "Drmic", "given" : "Domagoj", "non-dropping-particle" : "", "parse-names" : false, "suffix" : "" }, { "dropping-particle" : "", "family" : "Barisic", "given" : "Ivan", "non-dropping-particle" : "", "parse-names" : false, "suffix" : "" }, { "dropping-particle" : "", "family" : "Sindic", "given" : "Aleksandra", "non-dropping-particle" : "", "parse-names" : false, "suffix" : "" }, { "dropping-particle" : "", "family" : "Seiwerth", "given" : "Sven", "non-dropping-particle" : "", "parse-names" : false, "suffix" : "" }, { "dropping-particle" : "", "family" : "Sikiric", "given" : "Predrag", "non-dropping-particle" : "", "parse-names" : false, "suffix" : "" } ], "container-title" : "Inflammopharmacology", "id" : "ITEM-3", "issue" : "4", "issued" : { "date-parts" : [ [ "2017" ] ] }, "page" : "439-449", "title" : "Hypermagnesemia disturbances in rats, NO-related: pentadecapeptide BPC 157 abrogates, l-NAME and l-arginine worsen", "type" : "article-journal", "volume" : "25" }, "uris" : [ "http://www.mendeley.com/documents/?uuid=9c442fd2-ee8d-4d31-b944-58801c2a5675" ] } ], "mendeley" : { "formattedCitation" : "&lt;sup&gt;[15,35,36]&lt;/sup&gt;", "plainTextFormattedCitation" : "[15,35,36]", "previouslyFormattedCitation" : "(Duzel et al., 2017; Lovric-Bencic et al., 2004; Medvidovic-Grubisic et al., 2017)" }, "properties" : {  }, "schema" : "https://github.com/citation-style-language/schema/raw/master/csl-citation.json" }</w:instrText>
      </w:r>
      <w:r w:rsidR="009F63A3" w:rsidRPr="00CC34A3">
        <w:rPr>
          <w:rFonts w:ascii="Book Antiqua" w:eastAsia="Calibri" w:hAnsi="Book Antiqua" w:cs="Courier New"/>
          <w:color w:val="000000" w:themeColor="text1"/>
          <w:lang w:val="en-US" w:eastAsia="en-US"/>
        </w:rPr>
        <w:fldChar w:fldCharType="separate"/>
      </w:r>
      <w:r w:rsidR="009F63A3" w:rsidRPr="00CC34A3">
        <w:rPr>
          <w:rFonts w:ascii="Book Antiqua" w:eastAsia="Calibri" w:hAnsi="Book Antiqua" w:cs="Courier New"/>
          <w:color w:val="000000" w:themeColor="text1"/>
          <w:vertAlign w:val="superscript"/>
          <w:lang w:val="en-US" w:eastAsia="en-US"/>
        </w:rPr>
        <w:t>[15,35,36]</w:t>
      </w:r>
      <w:r w:rsidR="009F63A3" w:rsidRPr="00CC34A3">
        <w:rPr>
          <w:rFonts w:ascii="Book Antiqua" w:eastAsia="Calibri" w:hAnsi="Book Antiqua" w:cs="Courier New"/>
          <w:color w:val="000000" w:themeColor="text1"/>
          <w:lang w:val="en-US" w:eastAsia="en-US"/>
        </w:rPr>
        <w:fldChar w:fldCharType="end"/>
      </w:r>
      <w:r w:rsidR="009F63A3" w:rsidRPr="00CC34A3">
        <w:rPr>
          <w:rFonts w:ascii="Book Antiqua" w:hAnsi="Book Antiqua" w:cs="Courier New"/>
          <w:color w:val="000000" w:themeColor="text1"/>
          <w:lang w:val="en-US"/>
        </w:rPr>
        <w:t>. Thus, the three distinct</w:t>
      </w:r>
      <w:r w:rsidR="006F5E3D" w:rsidRPr="00CC34A3">
        <w:rPr>
          <w:rFonts w:ascii="Book Antiqua" w:hAnsi="Book Antiqua" w:cs="Courier New"/>
          <w:color w:val="000000" w:themeColor="text1"/>
          <w:lang w:val="en-US"/>
        </w:rPr>
        <w:t xml:space="preserve"> NO-</w:t>
      </w:r>
      <w:r w:rsidR="009F63A3" w:rsidRPr="00CC34A3">
        <w:rPr>
          <w:rFonts w:ascii="Book Antiqua" w:hAnsi="Book Antiqua" w:cs="Courier New"/>
          <w:color w:val="000000" w:themeColor="text1"/>
          <w:lang w:val="en-US"/>
        </w:rPr>
        <w:t>endpoints</w:t>
      </w:r>
      <w:r w:rsidRPr="00CC34A3">
        <w:rPr>
          <w:rFonts w:ascii="Book Antiqua" w:hAnsi="Book Antiqua" w:cs="Courier New"/>
          <w:color w:val="000000" w:themeColor="text1"/>
          <w:lang w:val="en-US"/>
        </w:rPr>
        <w:t xml:space="preserve"> </w:t>
      </w:r>
      <w:r w:rsidR="006F5E3D" w:rsidRPr="00CC34A3">
        <w:rPr>
          <w:rFonts w:ascii="Book Antiqua" w:hAnsi="Book Antiqua" w:cs="Courier New"/>
          <w:color w:val="000000" w:themeColor="text1"/>
          <w:lang w:val="en-US"/>
        </w:rPr>
        <w:t>(NO-immobilization; -over</w:t>
      </w:r>
      <w:r w:rsidR="0025639A" w:rsidRPr="00CC34A3">
        <w:rPr>
          <w:rFonts w:ascii="Book Antiqua" w:hAnsi="Book Antiqua" w:cs="Courier New"/>
          <w:color w:val="000000" w:themeColor="text1"/>
          <w:lang w:val="en-US"/>
        </w:rPr>
        <w:t>-activity</w:t>
      </w:r>
      <w:r w:rsidRPr="00CC34A3">
        <w:rPr>
          <w:rFonts w:ascii="Book Antiqua" w:hAnsi="Book Antiqua" w:cs="Courier New"/>
          <w:color w:val="000000" w:themeColor="text1"/>
          <w:lang w:val="en-US"/>
        </w:rPr>
        <w:t xml:space="preserve">; </w:t>
      </w:r>
      <w:r w:rsidR="006F5E3D" w:rsidRPr="00CC34A3">
        <w:rPr>
          <w:rFonts w:ascii="Book Antiqua" w:hAnsi="Book Antiqua" w:cs="Courier New"/>
          <w:color w:val="000000" w:themeColor="text1"/>
          <w:lang w:val="en-US"/>
        </w:rPr>
        <w:t>-blockade)</w:t>
      </w:r>
      <w:r w:rsidR="009F63A3" w:rsidRPr="00CC34A3">
        <w:rPr>
          <w:rFonts w:ascii="Book Antiqua" w:hAnsi="Book Antiqua" w:cs="Courier New"/>
          <w:color w:val="000000" w:themeColor="text1"/>
          <w:lang w:val="en-US"/>
        </w:rPr>
        <w:t xml:space="preserve"> should be overwhelmed to achieve vessel presentation seen in rats that underwent BPC 157 treatment</w:t>
      </w:r>
      <w:r w:rsidR="009F63A3" w:rsidRPr="00CC34A3">
        <w:rPr>
          <w:rFonts w:ascii="Book Antiqua" w:eastAsia="Calibri" w:hAnsi="Book Antiqua" w:cs="Courier New"/>
          <w:color w:val="000000" w:themeColor="text1"/>
          <w:lang w:val="en-US" w:eastAsia="en-US"/>
        </w:rPr>
        <w:fldChar w:fldCharType="begin" w:fldLock="1"/>
      </w:r>
      <w:r w:rsidR="009F63A3" w:rsidRPr="00CC34A3">
        <w:rPr>
          <w:rFonts w:ascii="Book Antiqua" w:eastAsia="Calibri" w:hAnsi="Book Antiqua" w:cs="Courier New"/>
          <w:color w:val="000000" w:themeColor="text1"/>
          <w:lang w:val="en-US" w:eastAsia="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"ISSN" : "1347-8613", "PMID" : "15153646", "abstract" : "Overall, doxorubicine-congestive heart failure (CHF) (male Wistar rats and NMRI mice; 6 challenges with doxorubicine (2.5 mg/kg, i.p.) throughout 15 days and then a 4-week-rest period) is consistently deteriorating throughout next 14 days, if not reversed or ameliorated by therapy (/kg per day): a stable gastric pentadecapeptide BPC157 (GEPPPGKPADDAGLV, MW 1419, promisingly studied for inflammatory bowel disease (Pliva; PL 10, PLD-116, PL 14736)) (10 microg, 10 ng), losartan (0.7 mg), amlodipine (0.07 mg), given intragastrically (i.g.) (once daily, rats) or in drinking water (mice). Assessed were big endothelin-1 (BET-1) and plasma enzyme levels (CK, MBCK, LDH, AST, ALT) before and after 14 days of therapy and clinical status (hypotension, increased heart rate and respiratory rate, and ascites) every 2 days. Controls (distilled water (5 ml/kg, i.g., once daily) or drinking water (2 ml/mouse per day) given throughout 14 days) exhibited additionally increased BET-1 and aggravated clinical status, while enzyme values maintained their initial increase. BPC157 (10 microg/kg) and amlodipine treatment reversed the increased BET-1 (rats, mice), AST, ALT, CK (rats, mice), and LDH (mice) values. BPC157 (10 ng/kg) and losartan opposed further increase of BET-1 (rats, mice). Losartan reduces AST, ALT, CK, and LDH serum values. BPC157 (10 ng/kg) reduces AST and ALT serum values. Clinical status of CHF-rats and -mice is accordingly improved by the BPC157 regimens and amlodipine.", "author" : [ { "dropping-particle" : "", "family" : "Lovric-Bencic", "given" : "Martina", "non-dropping-particle" : "", "parse-names" : false, "suffix" : "" }, { "dropping-particle" : "", "family" : "Sikiric", "given" : "Predrag", "non-dropping-particle" : "", "parse-names" : false, "suffix" : "" }, { "dropping-particle" : "", "family" : "Hanzevacki", "given" : "Jadranka S", "non-dropping-particle" : "", "parse-names" : false, "suffix" : "" }, { "dropping-particle" : "", "family" : "Seiwerth", "given" : "Sven", "non-dropping-particle" : "", "parse-names" : false, "suffix" : "" }, { "dropping-particle" : "", "family" : "Rogic", "given" : "Dunja", "non-dropping-particle" : "", "parse-names" : false, "suffix" : "" }, { "dropping-particle" : "", "family" : "Kusec", "given" : "Vesna", "non-dropping-particle" : "", "parse-names" : false, "suffix" : "" }, { "dropping-particle" : "", "family" : "Aralica", "given" : "Gorana", "non-dropping-particle" : "", "parse-names" : false, "suffix" : "" }, { "dropping-particle" : "", "family" : "Konjevoda", "given" : "Pasko", "non-dropping-particle" : "", "parse-names" : false, "suffix" : "" }, { "dropping-particle" : "", "family" : "Batelja", "given" : "Lovorka", "non-dropping-particle" : "", "parse-names" : false, "suffix" : "" }, { "dropping-particle" : "", "family" : "Blagaic", "given" : "Alenka B", "non-dropping-particle" : "", "parse-names" : false, "suffix" : "" } ], "container-title" : "Journal of pharmacological sciences", "id" : "ITEM-2", "issue" : "1", "issued" : { "date-parts" : [ [ "2004", "5" ] ] }, "page" : "19-26", "title" : "Doxorubicine-congestive heart failure-increased big endothelin-1 plasma concentration: reversal by amlodipine, losartan, and gastric pentadecapeptide BPC157 in rat and mouse.", "type" : "article-journal", "volume" : "95" }, "uris" : [ "http://www.mendeley.com/documents/?uuid=b741d5eb-3aad-4841-ab74-f2e266dab8dc" ] }, { "id" : "ITEM-3", "itemData" : { "DOI" : "10.1007/s10787-017-0323-6", "ISSN" : "15685608", "author" : [ { "dropping-particle" : "", "family" : "Medvidovic-Grubisic", "given" : "Maria", "non-dropping-particle" : "", "parse-names" : false, "suffix" : "" }, { "dropping-particle" : "", "family" : "Stambolija", "given" : "Vasilije", "non-dropping-particle" : "", "parse-names" : false, "suffix" : "" }, { "dropping-particle" : "", "family" : "Kolenc", "given" : "Danijela", "non-dropping-particle" : "", "parse-names" : false, "suffix" : "" }, { "dropping-particle" : "", "family" : "Katancic", "given" : "Jadranka", "non-dropping-particle" : "", "parse-names" : false, "suffix" : "" }, { "dropping-particle" : "", "family" : "Murselovic", "given" : "Tamara", "non-dropping-particle" : "", "parse-names" : false, "suffix" : "" }, { "dropping-particle" : "", "family" : "Plestina-Borjan", "given" : "Ivna", "non-dropping-particle" : "", "parse-names" : false, "suffix" : "" }, { "dropping-particle" : "", "family" : "Strbe", "given" : "Sanja", "non-dropping-particle" : "", "parse-names" : false, "suffix" : "" }, { "dropping-particle" : "", "family" : "Drmic", "given" : "Domagoj", "non-dropping-particle" : "", "parse-names" : false, "suffix" : "" }, { "dropping-particle" : "", "family" : "Barisic", "given" : "Ivan", "non-dropping-particle" : "", "parse-names" : false, "suffix" : "" }, { "dropping-particle" : "", "family" : "Sindic", "given" : "Aleksandra", "non-dropping-particle" : "", "parse-names" : false, "suffix" : "" }, { "dropping-particle" : "", "family" : "Seiwerth", "given" : "Sven", "non-dropping-particle" : "", "parse-names" : false, "suffix" : "" }, { "dropping-particle" : "", "family" : "Sikiric", "given" : "Predrag", "non-dropping-particle" : "", "parse-names" : false, "suffix" : "" } ], "container-title" : "Inflammopharmacology", "id" : "ITEM-3", "issue" : "4", "issued" : { "date-parts" : [ [ "2017" ] ] }, "page" : "439-449", "title" : "Hypermagnesemia disturbances in rats, NO-related: pentadecapeptide BPC 157 abrogates, l-NAME and l-arginine worsen", "type" : "article-journal", "volume" : "25" }, "uris" : [ "http://www.mendeley.com/documents/?uuid=9c442fd2-ee8d-4d31-b944-58801c2a5675" ] } ], "mendeley" : { "formattedCitation" : "&lt;sup&gt;[15,35,36]&lt;/sup&gt;", "plainTextFormattedCitation" : "[15,35,36]", "previouslyFormattedCitation" : "(Duzel et al., 2017; Lovric-Bencic et al., 2004; Medvidovic-Grubisic et al., 2017)" }, "properties" : {  }, "schema" : "https://github.com/citation-style-language/schema/raw/master/csl-citation.json" }</w:instrText>
      </w:r>
      <w:r w:rsidR="009F63A3" w:rsidRPr="00CC34A3">
        <w:rPr>
          <w:rFonts w:ascii="Book Antiqua" w:eastAsia="Calibri" w:hAnsi="Book Antiqua" w:cs="Courier New"/>
          <w:color w:val="000000" w:themeColor="text1"/>
          <w:lang w:val="en-US" w:eastAsia="en-US"/>
        </w:rPr>
        <w:fldChar w:fldCharType="separate"/>
      </w:r>
      <w:r w:rsidR="009F63A3" w:rsidRPr="00CC34A3">
        <w:rPr>
          <w:rFonts w:ascii="Book Antiqua" w:eastAsia="Calibri" w:hAnsi="Book Antiqua" w:cs="Courier New"/>
          <w:color w:val="000000" w:themeColor="text1"/>
          <w:vertAlign w:val="superscript"/>
          <w:lang w:val="en-US" w:eastAsia="en-US"/>
        </w:rPr>
        <w:t>[15,35,36]</w:t>
      </w:r>
      <w:r w:rsidR="009F63A3" w:rsidRPr="00CC34A3">
        <w:rPr>
          <w:rFonts w:ascii="Book Antiqua" w:eastAsia="Calibri" w:hAnsi="Book Antiqua" w:cs="Courier New"/>
          <w:color w:val="000000" w:themeColor="text1"/>
          <w:lang w:val="en-US" w:eastAsia="en-US"/>
        </w:rPr>
        <w:fldChar w:fldCharType="end"/>
      </w:r>
      <w:r w:rsidR="009F63A3" w:rsidRPr="00CC34A3">
        <w:rPr>
          <w:rFonts w:ascii="Book Antiqua" w:hAnsi="Book Antiqua" w:cs="Courier New"/>
          <w:color w:val="000000" w:themeColor="text1"/>
          <w:lang w:val="en-US"/>
        </w:rPr>
        <w:t>. BPC 157 may consolidate the NO system to produce more effective healing (</w:t>
      </w:r>
      <w:r w:rsidR="009F63A3" w:rsidRPr="00CC34A3">
        <w:rPr>
          <w:rFonts w:ascii="Book Antiqua" w:hAnsi="Book Antiqua" w:cs="Courier New"/>
          <w:i/>
          <w:color w:val="000000" w:themeColor="text1"/>
          <w:lang w:val="en-US"/>
        </w:rPr>
        <w:t>i.e.</w:t>
      </w:r>
      <w:r w:rsidR="009F63A3" w:rsidRPr="00CC34A3">
        <w:rPr>
          <w:rFonts w:ascii="Book Antiqua" w:hAnsi="Book Antiqua" w:cs="Courier New"/>
          <w:color w:val="000000" w:themeColor="text1"/>
          <w:lang w:val="en-US"/>
        </w:rPr>
        <w:t>, the stimulatory and inhibitory effects of the NO system promoted the interconnection of arcade vessels to bypass major obstructions) (a result not observed with L-NAME or L-arginine treatment)</w:t>
      </w:r>
      <w:r w:rsidR="009F63A3" w:rsidRPr="00CC34A3">
        <w:rPr>
          <w:rFonts w:ascii="Book Antiqua" w:eastAsia="Calibri" w:hAnsi="Book Antiqua" w:cs="Courier New"/>
          <w:color w:val="000000" w:themeColor="text1"/>
          <w:lang w:val="en-US" w:eastAsia="en-US"/>
        </w:rPr>
        <w:fldChar w:fldCharType="begin" w:fldLock="1"/>
      </w:r>
      <w:r w:rsidR="009F63A3" w:rsidRPr="00CC34A3">
        <w:rPr>
          <w:rFonts w:ascii="Book Antiqua" w:eastAsia="Calibri" w:hAnsi="Book Antiqua" w:cs="Courier New"/>
          <w:color w:val="000000" w:themeColor="text1"/>
          <w:lang w:val="en-US" w:eastAsia="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"mendeley" : { "formattedCitation" : "&lt;sup&gt;[15]&lt;/sup&gt;", "plainTextFormattedCitation" : "[15]", "previouslyFormattedCitation" : "(Duzel et al., 2017)" }, "properties" : {  }, "schema" : "https://github.com/citation-style-language/schema/raw/master/csl-citation.json" }</w:instrText>
      </w:r>
      <w:r w:rsidR="009F63A3" w:rsidRPr="00CC34A3">
        <w:rPr>
          <w:rFonts w:ascii="Book Antiqua" w:eastAsia="Calibri" w:hAnsi="Book Antiqua" w:cs="Courier New"/>
          <w:color w:val="000000" w:themeColor="text1"/>
          <w:lang w:val="en-US" w:eastAsia="en-US"/>
        </w:rPr>
        <w:fldChar w:fldCharType="separate"/>
      </w:r>
      <w:r w:rsidR="009F63A3" w:rsidRPr="00CC34A3">
        <w:rPr>
          <w:rFonts w:ascii="Book Antiqua" w:eastAsia="Calibri" w:hAnsi="Book Antiqua" w:cs="Courier New"/>
          <w:color w:val="000000" w:themeColor="text1"/>
          <w:vertAlign w:val="superscript"/>
          <w:lang w:val="en-US" w:eastAsia="en-US"/>
        </w:rPr>
        <w:t>[15]</w:t>
      </w:r>
      <w:r w:rsidR="009F63A3" w:rsidRPr="00CC34A3">
        <w:rPr>
          <w:rFonts w:ascii="Book Antiqua" w:eastAsia="Calibri" w:hAnsi="Book Antiqua" w:cs="Courier New"/>
          <w:color w:val="000000" w:themeColor="text1"/>
          <w:lang w:val="en-US" w:eastAsia="en-US"/>
        </w:rPr>
        <w:fldChar w:fldCharType="end"/>
      </w:r>
      <w:r w:rsidR="009F63A3" w:rsidRPr="00CC34A3">
        <w:rPr>
          <w:rFonts w:ascii="Book Antiqua" w:hAnsi="Book Antiqua" w:cs="Courier New"/>
          <w:color w:val="000000" w:themeColor="text1"/>
          <w:lang w:val="en-US"/>
        </w:rPr>
        <w:t>.</w:t>
      </w:r>
    </w:p>
    <w:p w14:paraId="5BCC14FB" w14:textId="7A393506" w:rsidR="009742B2" w:rsidRPr="00CC34A3" w:rsidRDefault="00D24A5A" w:rsidP="00CC34A3">
      <w:pPr>
        <w:pStyle w:val="ListParagraph"/>
        <w:adjustRightInd w:val="0"/>
        <w:snapToGrid w:val="0"/>
        <w:spacing w:after="0" w:line="360" w:lineRule="auto"/>
        <w:ind w:left="0"/>
        <w:contextualSpacing w:val="0"/>
        <w:jc w:val="both"/>
        <w:rPr>
          <w:rFonts w:ascii="Book Antiqua" w:eastAsia="Times New Roman" w:hAnsi="Book Antiqua" w:cs="Courier New"/>
          <w:color w:val="000000" w:themeColor="text1"/>
          <w:sz w:val="24"/>
          <w:szCs w:val="24"/>
          <w:lang w:val="en-US" w:eastAsia="hr-HR"/>
        </w:rPr>
      </w:pPr>
      <w:r w:rsidRPr="00CC34A3">
        <w:rPr>
          <w:rFonts w:ascii="Book Antiqua" w:eastAsia="Times New Roman" w:hAnsi="Book Antiqua" w:cs="Times New Roman"/>
          <w:color w:val="000000" w:themeColor="text1"/>
          <w:sz w:val="24"/>
          <w:szCs w:val="24"/>
          <w:lang w:val="en-US" w:eastAsia="hr-HR"/>
        </w:rPr>
        <w:t xml:space="preserve">  </w:t>
      </w:r>
      <w:r w:rsidR="009742B2" w:rsidRPr="00CC34A3">
        <w:rPr>
          <w:rFonts w:ascii="Book Antiqua" w:hAnsi="Book Antiqua" w:cs="Courier New"/>
          <w:color w:val="000000" w:themeColor="text1"/>
          <w:sz w:val="24"/>
          <w:szCs w:val="24"/>
          <w:lang w:val="en-US"/>
        </w:rPr>
        <w:t xml:space="preserve">This special BPC 157 role seems to be supported by the NO and MDA values seen in the duodenal tissues. The beneficial effects promptly counteract the full negative syndrome. Otherwise, after </w:t>
      </w:r>
      <w:r w:rsidR="00992FA2" w:rsidRPr="00CC34A3">
        <w:rPr>
          <w:rFonts w:ascii="Book Antiqua" w:hAnsi="Book Antiqua" w:cs="Courier New"/>
          <w:color w:val="000000" w:themeColor="text1"/>
          <w:sz w:val="24"/>
          <w:szCs w:val="24"/>
          <w:lang w:val="en-US"/>
        </w:rPr>
        <w:t>SAPDV</w:t>
      </w:r>
      <w:r w:rsidR="009742B2" w:rsidRPr="00CC34A3">
        <w:rPr>
          <w:rFonts w:ascii="Book Antiqua" w:hAnsi="Book Antiqua" w:cs="Courier New"/>
          <w:color w:val="000000" w:themeColor="text1"/>
          <w:sz w:val="24"/>
          <w:szCs w:val="24"/>
          <w:lang w:val="en-US"/>
        </w:rPr>
        <w:t xml:space="preserve">-ligation, sudden decrease of blood supply appears. </w:t>
      </w:r>
      <w:r w:rsidR="009742B2" w:rsidRPr="00CC34A3">
        <w:rPr>
          <w:rFonts w:ascii="Book Antiqua" w:hAnsi="Book Antiqua" w:cs="Courier New"/>
          <w:iCs/>
          <w:color w:val="000000" w:themeColor="text1"/>
          <w:sz w:val="24"/>
          <w:szCs w:val="24"/>
          <w:lang w:val="en-US"/>
        </w:rPr>
        <w:t xml:space="preserve">NO-levels decrease in the duodenum tissue. </w:t>
      </w:r>
      <w:r w:rsidR="009742B2" w:rsidRPr="00CC34A3">
        <w:rPr>
          <w:rFonts w:ascii="Book Antiqua" w:hAnsi="Book Antiqua" w:cs="Courier New"/>
          <w:color w:val="000000" w:themeColor="text1"/>
          <w:sz w:val="24"/>
          <w:szCs w:val="24"/>
          <w:lang w:val="en-US"/>
        </w:rPr>
        <w:t xml:space="preserve">Heavy loss of endothelial cells occurs immediately from the vascular </w:t>
      </w:r>
      <w:proofErr w:type="gramStart"/>
      <w:r w:rsidR="009742B2" w:rsidRPr="00CC34A3">
        <w:rPr>
          <w:rFonts w:ascii="Book Antiqua" w:hAnsi="Book Antiqua" w:cs="Courier New"/>
          <w:color w:val="000000" w:themeColor="text1"/>
          <w:sz w:val="24"/>
          <w:szCs w:val="24"/>
          <w:lang w:val="en-US"/>
        </w:rPr>
        <w:t>wall</w:t>
      </w:r>
      <w:r w:rsidR="009742B2" w:rsidRPr="00CC34A3">
        <w:rPr>
          <w:rFonts w:ascii="Book Antiqua" w:eastAsia="Calibri" w:hAnsi="Book Antiqua" w:cs="Courier New"/>
          <w:color w:val="000000" w:themeColor="text1"/>
          <w:sz w:val="24"/>
          <w:szCs w:val="24"/>
          <w:vertAlign w:val="superscript"/>
          <w:lang w:val="en-US"/>
        </w:rPr>
        <w:t>[</w:t>
      </w:r>
      <w:proofErr w:type="gramEnd"/>
      <w:r w:rsidR="009742B2" w:rsidRPr="00CC34A3">
        <w:rPr>
          <w:rFonts w:ascii="Book Antiqua" w:eastAsia="Calibri" w:hAnsi="Book Antiqua" w:cs="Courier New"/>
          <w:color w:val="000000" w:themeColor="text1"/>
          <w:sz w:val="24"/>
          <w:szCs w:val="24"/>
          <w:vertAlign w:val="superscript"/>
          <w:lang w:val="en-US"/>
        </w:rPr>
        <w:t>37</w:t>
      </w:r>
      <w:r w:rsidR="0093519D" w:rsidRPr="00CC34A3">
        <w:rPr>
          <w:rFonts w:ascii="Book Antiqua" w:eastAsia="Calibri" w:hAnsi="Book Antiqua" w:cs="Courier New"/>
          <w:iCs/>
          <w:color w:val="000000" w:themeColor="text1"/>
          <w:sz w:val="24"/>
          <w:szCs w:val="24"/>
          <w:vertAlign w:val="superscript"/>
          <w:lang w:val="en-US"/>
        </w:rPr>
        <w:t>]</w:t>
      </w:r>
      <w:r w:rsidR="009742B2" w:rsidRPr="00CC34A3">
        <w:rPr>
          <w:rFonts w:ascii="Book Antiqua" w:hAnsi="Book Antiqua" w:cs="Courier New"/>
          <w:color w:val="000000" w:themeColor="text1"/>
          <w:sz w:val="24"/>
          <w:szCs w:val="24"/>
          <w:lang w:val="en-US"/>
        </w:rPr>
        <w:t xml:space="preserve">. A lower </w:t>
      </w:r>
      <w:proofErr w:type="spellStart"/>
      <w:r w:rsidR="009742B2" w:rsidRPr="00CC34A3">
        <w:rPr>
          <w:rFonts w:ascii="Book Antiqua" w:hAnsi="Book Antiqua" w:cs="Courier New"/>
          <w:color w:val="000000" w:themeColor="text1"/>
          <w:sz w:val="24"/>
          <w:szCs w:val="24"/>
          <w:lang w:val="en-US"/>
        </w:rPr>
        <w:t>eNOS</w:t>
      </w:r>
      <w:proofErr w:type="spellEnd"/>
      <w:r w:rsidR="009742B2" w:rsidRPr="00CC34A3">
        <w:rPr>
          <w:rFonts w:ascii="Book Antiqua" w:hAnsi="Book Antiqua" w:cs="Courier New"/>
          <w:color w:val="000000" w:themeColor="text1"/>
          <w:sz w:val="24"/>
          <w:szCs w:val="24"/>
          <w:lang w:val="en-US"/>
        </w:rPr>
        <w:t xml:space="preserve"> production ability</w:t>
      </w:r>
      <w:r w:rsidR="009742B2" w:rsidRPr="00CC34A3">
        <w:rPr>
          <w:rFonts w:ascii="Book Antiqua" w:eastAsia="Calibri" w:hAnsi="Book Antiqua" w:cs="Courier New"/>
          <w:color w:val="000000" w:themeColor="text1"/>
          <w:sz w:val="24"/>
          <w:szCs w:val="24"/>
          <w:lang w:val="en-US"/>
        </w:rPr>
        <w:fldChar w:fldCharType="begin" w:fldLock="1"/>
      </w:r>
      <w:r w:rsidR="009742B2" w:rsidRPr="00CC34A3">
        <w:rPr>
          <w:rFonts w:ascii="Book Antiqua" w:eastAsia="Calibri" w:hAnsi="Book Antiqua" w:cs="Courier New"/>
          <w:color w:val="000000" w:themeColor="text1"/>
          <w:sz w:val="24"/>
          <w:szCs w:val="24"/>
          <w:lang w:val="en-US"/>
        </w:rPr>
        <w:instrText>ADDIN CSL_CITATION { "citationItems" : [ { "id" : "ITEM-1", "itemData" : { "DOI" : "10.1186/1471-2482-13-S2-S40", "ISSN" : "1471-2482", "PMID" : "24266895", "abstract" : "BACKGROUND Nitric oxide is key to endothelial regeneration, but it is still unknown whether endothelial cell (EC) loss results in an increase in NO levels at the wound edge. We have already shown that endothelial damage induces a long-lasting Ca\u00b2\u207a entry into surviving cells though connexin hemichannels (CxHcs) uncoupled from their counterparts on ruptured cells. The physiological outcome of injury-induced Ca\u00b2\u207a inflow is, however, unknown. METHODS In this study, we sought to determine whether and how endothelial scraping induces NO production (NOP) in the endothelium of excised rat aorta by exploiting the NO-sensitive fluorochrome, DAF-FM diacetate and the Ca\u00b2\u207a-sensitive fluorescent dye, Fura-2/AM. RESULTS We demonstrated that injury-induced NOP at the lesion site is prevented in presence of the endothelial NO synthase inhibitor, L-NAME, and in absence of extracellular Ca\u00b2\u207a. Unlike ATP-dependent NO liberation, the NO response to injury is insensitive to BTP-2, which selectively blocks store-operated Ca\u00b2\u207a inflow. However, injury-induced NOP is significantly reduced by classic gap junction blockers, and by connexin mimetic peptides specifically targeting Cx37Hcs, Cx40HCs, and Cx43Hcs. Moreover, disruption of caveolar integrity prevents injury-elicited NO signaling, but not the accompanying Ca\u00b2\u207a response. CONCLUSIONS The data presented provide the first evidence that endothelial scraping stimulates NO synthesis at the wound edge, which might both exert an immediate anti-thrombotic and anti-inflammatory action and promote the subsequent re-endothelialization.", "author" : [ { "dropping-particle" : "", "family" : "Berra-Romani", "given" : "Roberto", "non-dropping-particle" : "", "parse-names" : false, "suffix" : "" }, { "dropping-particle" : "", "family" : "Avelino-Cruz", "given" : "Jos\u00e9 Everardo", "non-dropping-particle" : "", "parse-names" : false, "suffix" : "" }, { "dropping-particle" : "", "family" : "Raqeeb", "given" : "Abdul", "non-dropping-particle" : "", "parse-names" : false, "suffix" : "" }, { "dropping-particle" : "", "family" : "Corte", "given" : "Alessandro", "non-dropping-particle" : "Della", "parse-names" : false, "suffix" : "" }, { "dropping-particle" : "", "family" : "Cinelli", "given" : "Mariapia", "non-dropping-particle" : "", "parse-names" : false, "suffix" : "" }, { "dropping-particle" : "", "family" : "Montagnani", "given" : "Stefania", "non-dropping-particle" : "", "parse-names" : false, "suffix" : "" }, { "dropping-particle" : "", "family" : "Guerra", "given" : "Germano", "non-dropping-particle" : "", "parse-names" : false, "suffix" : "" }, { "dropping-particle" : "", "family" : "Moccia", "given" : "Francesco", "non-dropping-particle" : "", "parse-names" : false, "suffix" : "" }, { "dropping-particle" : "", "family" : "Tanzi", "given" : "Franco", "non-dropping-particle" : "", "parse-names" : false, "suffix" : "" } ], "container-title" : "BMC Surgery", "id" : "ITEM-1", "issue" : "Suppl 2", "issued" : { "date-parts" : [ [ "2013" ] ] }, "page" : "S40", "title" : "Ca2+-dependent nitric oxide release in the injured endothelium of excised rat aorta: a promising mechanism applying in vascular prosthetic devices in aging patients", "type" : "article-journal", "volume" : "13" }, "uris" : [ "http://www.mendeley.com/documents/?uuid=65032624-a7e4-4dba-a6be-2c1566965646" ] } ], "mendeley" : { "formattedCitation" : "&lt;sup&gt;[37]&lt;/sup&gt;", "plainTextFormattedCitation" : "[37]", "previouslyFormattedCitation" : "(Berra-Romani et al., 2013)" }, "properties" : {  }, "schema" : "https://github.com/citation-style-language/schema/raw/master/csl-citation.json" }</w:instrText>
      </w:r>
      <w:r w:rsidR="009742B2" w:rsidRPr="00CC34A3">
        <w:rPr>
          <w:rFonts w:ascii="Book Antiqua" w:eastAsia="Calibri" w:hAnsi="Book Antiqua" w:cs="Courier New"/>
          <w:color w:val="000000" w:themeColor="text1"/>
          <w:sz w:val="24"/>
          <w:szCs w:val="24"/>
          <w:lang w:val="en-US"/>
        </w:rPr>
        <w:fldChar w:fldCharType="separate"/>
      </w:r>
      <w:r w:rsidR="009742B2" w:rsidRPr="00CC34A3">
        <w:rPr>
          <w:rFonts w:ascii="Book Antiqua" w:eastAsia="Calibri" w:hAnsi="Book Antiqua" w:cs="Courier New"/>
          <w:color w:val="000000" w:themeColor="text1"/>
          <w:sz w:val="24"/>
          <w:szCs w:val="24"/>
          <w:vertAlign w:val="superscript"/>
          <w:lang w:val="en-US"/>
        </w:rPr>
        <w:t>[37]</w:t>
      </w:r>
      <w:r w:rsidR="009742B2" w:rsidRPr="00CC34A3">
        <w:rPr>
          <w:rFonts w:ascii="Book Antiqua" w:eastAsia="Calibri" w:hAnsi="Book Antiqua" w:cs="Courier New"/>
          <w:color w:val="000000" w:themeColor="text1"/>
          <w:sz w:val="24"/>
          <w:szCs w:val="24"/>
          <w:lang w:val="en-US"/>
        </w:rPr>
        <w:fldChar w:fldCharType="end"/>
      </w:r>
      <w:r w:rsidR="009742B2" w:rsidRPr="00CC34A3">
        <w:rPr>
          <w:rFonts w:ascii="Book Antiqua" w:hAnsi="Book Antiqua" w:cs="Courier New"/>
          <w:color w:val="000000" w:themeColor="text1"/>
          <w:sz w:val="24"/>
          <w:szCs w:val="24"/>
          <w:lang w:val="en-US"/>
        </w:rPr>
        <w:t>,</w:t>
      </w:r>
      <w:r w:rsidR="009742B2" w:rsidRPr="00CC34A3">
        <w:rPr>
          <w:rFonts w:ascii="Book Antiqua" w:hAnsi="Book Antiqua" w:cs="Courier New"/>
          <w:iCs/>
          <w:color w:val="000000" w:themeColor="text1"/>
          <w:sz w:val="24"/>
          <w:szCs w:val="24"/>
          <w:lang w:val="en-US"/>
        </w:rPr>
        <w:t xml:space="preserve"> oxidative stress appears as a result of the lysis of endothelial cells</w:t>
      </w:r>
      <w:r w:rsidR="009742B2" w:rsidRPr="00CC34A3">
        <w:rPr>
          <w:rFonts w:ascii="Book Antiqua" w:eastAsia="Calibri" w:hAnsi="Book Antiqua" w:cs="Courier New"/>
          <w:iCs/>
          <w:color w:val="000000" w:themeColor="text1"/>
          <w:sz w:val="24"/>
          <w:szCs w:val="24"/>
          <w:lang w:val="en-US"/>
        </w:rPr>
        <w:fldChar w:fldCharType="begin" w:fldLock="1"/>
      </w:r>
      <w:r w:rsidR="009742B2" w:rsidRPr="00CC34A3">
        <w:rPr>
          <w:rFonts w:ascii="Book Antiqua" w:eastAsia="Calibri" w:hAnsi="Book Antiqua" w:cs="Courier New"/>
          <w:iCs/>
          <w:color w:val="000000" w:themeColor="text1"/>
          <w:sz w:val="24"/>
          <w:szCs w:val="24"/>
          <w:lang w:val="en-US"/>
        </w:rPr>
        <w:instrText>ADDIN CSL_CITATION { "citationItems" : [ { "id" : "ITEM-1", "itemData" : { "ISSN" : "0090-3493", "PMID" : "8428505", "abstract" : "OBJECTIVES To provide an overview of the mechanisms of free radical-mediated reperfusion injury and to review the available antioxidant agents and strategies available to prevent or ameliorate this injury. DATA SOURCES Previous studies performed in our own laboratory, as well as a computer-assisted search of the English language literature (MEDLINE, 1966 to 1991), followed by a selective review of pertinent articles. STUDY SELECTION Articles representing the mechanisms of free-radical generation, free-radical-mediated tissue injury, and antioxidant function. DATA EXTRACTION Pertinent data were abstracted from the cited articles. RESULTS OF DATA SYNTHESIS The small intestine is disproportionately susceptible to ischemia during circulatory shock. Ischemia activates xanthine oxidase, which then generates a massive burst of superoxide free radicals when oxygen is reintroduced at reperfusion. These radicals and their toxic oxygen metabolites, both by direct action and by the secondary activation of circulating neutrophils, then generate much of the mucosal injury that had been previously attributed to anoxia itself. CONCLUSIONS Recent evidence indicates that although the mucosal epithelial cell is rich in xanthine oxidase, it is probably endothelial cell xanthine oxidase that triggers this mucosal reperfusion injury, not only in the intestine, but in other organs as well. Antioxidant therapies directed toward the ablation of free-radical generation at reperfusion offer a potential therapy for these injuries and their sequelae.", "author" : [ { "dropping-particle" : "", "family" : "Schiller", "given" : "H J", "non-dropping-particle" : "", "parse-names" : false, "suffix" : "" }, { "dropping-particle" : "", "family" : "Reilly", "given" : "P M", "non-dropping-particle" : "", "parse-names" : false, "suffix" : "" }, { "dropping-particle" : "", "family" : "Bulkley", "given" : "G B", "non-dropping-particle" : "", "parse-names" : false, "suffix" : "" } ], "container-title" : "Critical care medicine", "id" : "ITEM-1", "issue" : "2 Suppl", "issued" : { "date-parts" : [ [ "1993", "2" ] ] }, "page" : "S92-102", "title" : "Tissue perfusion in critical illnesses. Antioxidant therapy.", "type" : "article-journal", "volume" : "21" }, "uris" : [ "http://www.mendeley.com/documents/?uuid=8f48becb-a44a-47eb-aa01-4e97252b35ff" ] }, { "id" : "ITEM-2", "itemData" : { "ISSN" : "0007-1420", "PMID" : "8221033", "abstract" : "Toxic metabolites of oxygen are generated normally by aerobic metabolism in cells and this generation can significantly increase in certain pathologic conditions. When endogenous antioxidant defense capabilities are exceeded by this oxidant flux, tissue injury occurs. This process can be intercepted pharmacologically at different levels with agents that scavenge reactive oxygen metabolites, block their generation, or enhance endogenous antioxidant capabilities. In many situations, such as the treatment of post-ischaemic reperfusion injury, efficacy of antioxidant is related primarily to the proportionate magnitude of the total injury sustained that is due to an antioxidant mechanism. This approach has shown great promise in animal models of clinical problems and has been tested successfully in early, controlled clinical trials.", "author" : [ { "dropping-particle" : "", "family" : "Rangan", "given" : "U", "non-dropping-particle" : "", "parse-names" : false, "suffix" : "" }, { "dropping-particle" : "", "family" : "Bulkley", "given" : "G B", "non-dropping-particle" : "", "parse-names" : false, "suffix" : "" } ], "container-title" : "British medical bulletin", "id" : "ITEM-2", "issue" : "3", "issued" : { "date-parts" : [ [ "1993", "7" ] ] }, "page" : "700-718", "title" : "Prospects for treatment of free radical-mediated tissue injury.", "type" : "article-journal", "volume" : "49" }, "uris" : [ "http://www.mendeley.com/documents/?uuid=ca0910d5-bb1e-49ad-a451-cd466286836b" ] } ], "mendeley" : { "formattedCitation" : "&lt;sup&gt;[38,39]&lt;/sup&gt;", "plainTextFormattedCitation" : "[38,39]", "previouslyFormattedCitation" : "(Rangan and Bulkley, 1993; Schiller et al., 1993)" }, "properties" : {  }, "schema" : "https://github.com/citation-style-language/schema/raw/master/csl-citation.json" }</w:instrText>
      </w:r>
      <w:r w:rsidR="009742B2" w:rsidRPr="00CC34A3">
        <w:rPr>
          <w:rFonts w:ascii="Book Antiqua" w:eastAsia="Calibri" w:hAnsi="Book Antiqua" w:cs="Courier New"/>
          <w:iCs/>
          <w:color w:val="000000" w:themeColor="text1"/>
          <w:sz w:val="24"/>
          <w:szCs w:val="24"/>
          <w:lang w:val="en-US"/>
        </w:rPr>
        <w:fldChar w:fldCharType="separate"/>
      </w:r>
      <w:r w:rsidR="009742B2" w:rsidRPr="00CC34A3">
        <w:rPr>
          <w:rFonts w:ascii="Book Antiqua" w:eastAsia="Calibri" w:hAnsi="Book Antiqua" w:cs="Courier New"/>
          <w:iCs/>
          <w:color w:val="000000" w:themeColor="text1"/>
          <w:sz w:val="24"/>
          <w:szCs w:val="24"/>
          <w:vertAlign w:val="superscript"/>
          <w:lang w:val="en-US"/>
        </w:rPr>
        <w:t>[38,39]</w:t>
      </w:r>
      <w:r w:rsidR="009742B2" w:rsidRPr="00CC34A3">
        <w:rPr>
          <w:rFonts w:ascii="Book Antiqua" w:eastAsia="Calibri" w:hAnsi="Book Antiqua" w:cs="Courier New"/>
          <w:iCs/>
          <w:color w:val="000000" w:themeColor="text1"/>
          <w:sz w:val="24"/>
          <w:szCs w:val="24"/>
          <w:lang w:val="en-US"/>
        </w:rPr>
        <w:fldChar w:fldCharType="end"/>
      </w:r>
      <w:r w:rsidR="009742B2" w:rsidRPr="00CC34A3">
        <w:rPr>
          <w:rFonts w:ascii="Book Antiqua" w:hAnsi="Book Antiqua" w:cs="Courier New"/>
          <w:color w:val="000000" w:themeColor="text1"/>
          <w:sz w:val="24"/>
          <w:szCs w:val="24"/>
          <w:lang w:val="en-US"/>
        </w:rPr>
        <w:t>; and excessive NO release generated by the inducible isozyme damaging the vascular wall and other tissues cells, especially in combination with reactive oxygen intermediates, and failing endothelial production</w:t>
      </w:r>
      <w:r w:rsidR="009742B2" w:rsidRPr="00CC34A3">
        <w:rPr>
          <w:rFonts w:ascii="Book Antiqua" w:eastAsia="Calibri" w:hAnsi="Book Antiqua" w:cs="Courier New"/>
          <w:color w:val="000000" w:themeColor="text1"/>
          <w:sz w:val="24"/>
          <w:szCs w:val="24"/>
          <w:lang w:val="en-US"/>
        </w:rPr>
        <w:fldChar w:fldCharType="begin" w:fldLock="1"/>
      </w:r>
      <w:r w:rsidR="009742B2" w:rsidRPr="00CC34A3">
        <w:rPr>
          <w:rFonts w:ascii="Book Antiqua" w:eastAsia="Calibri" w:hAnsi="Book Antiqua" w:cs="Courier New"/>
          <w:color w:val="000000" w:themeColor="text1"/>
          <w:sz w:val="24"/>
          <w:szCs w:val="24"/>
          <w:lang w:val="en-US"/>
        </w:rPr>
        <w:instrText>ADDIN CSL_CITATION { "citationItems" : [ { "id" : "ITEM-1", "itemData" : { "DOI" : "10.1007/s10787-017-0330-7", "ISSN" : "0925-4692", "author" : [ { "dropping-particle" : "", "family" : "Luetic", "given" : "Kre\u0161imir", "non-dropping-particle" : "", "parse-names" : false, "suffix" : "" }, { "dropping-particle" : "", "family" : "Sucic", "given" : "Mario", "non-dropping-particle" : "", "parse-names" : false, "suffix" : "" }, { "dropping-particle" : "", "family" : "Vlainic", "given" : "Josipa", "non-dropping-particle" : "", "parse-names" : false, "suffix" : "" }, { "dropping-particle" : "", "family" : "Halle", "given" : "Zeljka Belosic", "non-dropping-particle" : "", "parse-names" : false, "suffix" : "" }, { "dropping-particle" : "", "family" : "Strinic", "given" : "Dean", "non-dropping-particle" : "", "parse-names" : false, "suffix" : "" }, { "dropping-particle" : "", "family" : "Vidovic", "given" : "Tinka", "non-dropping-particle" : "", "parse-names" : false, "suffix" : "" }, { "dropping-particle" : "", "family" : "Luetic", "given" : "Franka", "non-dropping-particle" : "", "parse-names" : false, "suffix" : "" }, { "dropping-particle" : "", "family" : "Marusic", "given" : "Marinko", "non-dropping-particle" : "", "parse-names" : false, "suffix" : "" }, { "dropping-particle" : "", "family" : "Gulic", "given" : "Sasa", "non-dropping-particle" : "", "parse-names" : false, "suffix" : "" }, { "dropping-particle" : "", "family" : "Pavelic", "given" : "Tatjana Turudic", "non-dropping-particle" : "", "parse-names" : false, "suffix" : "" }, { "dropping-particle" : "", "family" : "Kokot", "given" : "Antonio", "non-dropping-particle" : "", "parse-names" : false, "suffix" : "" }, { "dropping-particle" : "", "family" : "Seiwerth", "given" : "Ranka Serventi", "non-dropping-particle" : "", "parse-names" : false, "suffix" : "" }, { "dropping-particle" : "", "family" : "Drmic", "given" : "Domagoj", "non-dropping-particle" : "", "parse-names" : false, "suffix" : "" }, { "dropping-particle" : "", "family" : "Batelja", "given" : "Lovorka", "non-dropping-particle" : "", "parse-names" : false, "suffix" : "" }, { "dropping-particle" : "", "family" : "Seiwerth", "given" : "Sven", "non-dropping-particle" : "", "parse-names" : false, "suffix" : "" }, { "dropping-particle" : "", "family" : "Sikiric", "given" : "Predrag", "non-dropping-particle" : "", "parse-names" : false, "suffix" : "" } ], "container-title" : "Inflammopharmacology", "id" : "ITEM-1", "issue" : "2", "issued" : { "date-parts" : [ [ "2017", "4", "2" ] ] }, "page" : "255-264", "title" : "Cyclophosphamide induced stomach and duodenal lesions as a NO-system disturbance in rats: l-NAME, l-arginine, stable gastric pentadecapeptide BPC 157", "type" : "article-journal", "volume" : "25" }, "uris" : [ "http://www.mendeley.com/documents/?uuid=f2cde618-4ef1-4c10-9d3c-c738d709d854" ] }, { "id" : "ITEM-2", "itemData" : { "DOI" : "10.1080/09629359791875", "ISSN" : "0962-9351", "PMID" : "18472828", "abstract" : "Atherosclerosis is a chronic inflammatory process in the intima of conduit arteries, which disturbs the endothelium-dependent regulation of the vascular tone by the labile liposoluble radical nitric oxide (NO) formed by the constitutive endothelial nitric oxide synthase (eNOS). This defect predisposes to coronary vasospasm and cardiac ischaemia, with anginal pain as the typical clinical manifestation. It is now appreciated that endothelial dysfunction is an early event in atherogenesis and that it may also involve the microcirculation, in which atherosclerotic lesions do not develop. On the other hand, the inflammatory environment in atherosclerotic plaques may result in the expression of the inducible NO synthase (iNOS) isozyme. Whether the dysfunction in endothelial NO production is causal to, or the result of, atherosclerotic lesion formation is still highly debated. Most evidence supports the hypothesis that constitutive endothelial NO release protects against atherogenesis e.g. by preventing smooth muscle cell proliferation and leukocyte adhesion. Nitric oxide generated by the inducible isozyme may be beneficial by replacing the failing endothelial production but excessive release may damage the vascular wall cells, especially in combination with reactive oxygen intermediates.", "author" : [ { "dropping-particle" : "", "family" : "Matthys", "given" : "K E", "non-dropping-particle" : "", "parse-names" : false, "suffix" : "" }, { "dropping-particle" : "", "family" : "Bult", "given" : "H", "non-dropping-particle" : "", "parse-names" : false, "suffix" : "" } ], "container-title" : "Mediators of Inflammation", "id" : "ITEM-2", "issue" : "1", "issued" : { "date-parts" : [ [ "1997" ] ] }, "page" : "3-21", "title" : "Nitric oxide function in atherosclerosis", "type" : "article-journal", "volume" : "6" }, "uris" : [ "http://www.mendeley.com/documents/?uuid=2162954d-6555-4add-8a4e-781f7c359929" ] }, { "id" : "ITEM-3", "itemData" : { "ISSN" : "0867-5910", "PMID" : "16204758", "abstract" : "Acrolein, an environmental pollutant and a lipid peroxidation product, is implicated in vascular pathogenesis. Although evidence indicates a link between vascular pathogenesis and acrolein, no direct studies relating to effects of acrolein on vascular function and responses are known. This study investigated the effects of acrolein on vascular function to understand the underlying mechanism of acrolein-induced vascular responses. Male Sprague-Dawley rats were treated with acrolein (2 or 4 mg/kg; i.p.) for 3 or 7 days. Urine and blood samples were collected. Changes in systolic blood pressure (SBP) and responses to acetylcholine and phenylephrine were determined. Acrolein (4 mg/kg, 7 days) significantly increased SBP by 25%, phenylephrine vasoconstriction by 2-fold, but decreased urinary excretion of nitrite by 25%. Acrolein inhibited generation of cyclic guanosine 3'5'-monophosphate (cGMP) by 98%, and did not alter expression of nitric oxide synthase (eNOS). Acrolein increased the generation of lipid hydroperoxide in plasma and aortic tissue by 21% and 124% respectively, increased glutathione-S-transferase (GST) and glutathione peroxidase (GSH-Px) activities. Acrolein up-regulated the expression of GST by 2 fold. These data suggest that induced SBP and altered vasoconstriction/vasodilatation in acrolein treated rats may be due to reduced availability of NO via increased free radical generation and reduced antioxidant defense.", "author" : [ { "dropping-particle" : "", "family" : "Yousefipour", "given" : "Z", "non-dropping-particle" : "", "parse-names" : false, "suffix" : "" }, { "dropping-particle" : "", "family" : "Ranganna", "given" : "K", "non-dropping-particle" : "", "parse-names" : false, "suffix" : "" }, { "dropping-particle" : "", "family" : "Newaz", "given" : "M A", "non-dropping-particle" : "", "parse-names" : false, "suffix" : "" }, { "dropping-particle" : "", "family" : "Milton", "given" : "S G", "non-dropping-particle" : "", "parse-names" : false, "suffix" : "" } ], "container-title" : "Journal of physiology and pharmacology : an official journal of the Polish Physiological Society", "id" : "ITEM-3", "issue" : "3", "issued" : { "date-parts" : [ [ "2005", "9" ] ] }, "page" : "337-353", "title" : "Mechanism of acrolein-induced vascular toxicity.", "type" : "article-journal", "volume" : "56" }, "uris" : [ "http://www.mendeley.com/documents/?uuid=da3b00e8-91d6-4356-b8fa-0e52f9e43fbd" ] } ], "mendeley" : { "formattedCitation" : "&lt;sup&gt;[32,40,41]&lt;/sup&gt;", "plainTextFormattedCitation" : "[32,40,41]", "previouslyFormattedCitation" : "(Luetic et al., 2017; Matthys and Bult, 1997; Yousefipour et al., 2005)" }, "properties" : {  }, "schema" : "https://github.com/citation-style-language/schema/raw/master/csl-citation.json" }</w:instrText>
      </w:r>
      <w:r w:rsidR="009742B2" w:rsidRPr="00CC34A3">
        <w:rPr>
          <w:rFonts w:ascii="Book Antiqua" w:eastAsia="Calibri" w:hAnsi="Book Antiqua" w:cs="Courier New"/>
          <w:color w:val="000000" w:themeColor="text1"/>
          <w:sz w:val="24"/>
          <w:szCs w:val="24"/>
          <w:lang w:val="en-US"/>
        </w:rPr>
        <w:fldChar w:fldCharType="separate"/>
      </w:r>
      <w:r w:rsidR="009742B2" w:rsidRPr="00CC34A3">
        <w:rPr>
          <w:rFonts w:ascii="Book Antiqua" w:eastAsia="Calibri" w:hAnsi="Book Antiqua" w:cs="Courier New"/>
          <w:color w:val="000000" w:themeColor="text1"/>
          <w:sz w:val="24"/>
          <w:szCs w:val="24"/>
          <w:vertAlign w:val="superscript"/>
          <w:lang w:val="en-US"/>
        </w:rPr>
        <w:t>[32,40,41]</w:t>
      </w:r>
      <w:r w:rsidR="009742B2" w:rsidRPr="00CC34A3">
        <w:rPr>
          <w:rFonts w:ascii="Book Antiqua" w:eastAsia="Calibri" w:hAnsi="Book Antiqua" w:cs="Courier New"/>
          <w:color w:val="000000" w:themeColor="text1"/>
          <w:sz w:val="24"/>
          <w:szCs w:val="24"/>
          <w:lang w:val="en-US"/>
        </w:rPr>
        <w:fldChar w:fldCharType="end"/>
      </w:r>
      <w:r w:rsidR="00773972" w:rsidRPr="00CC34A3">
        <w:rPr>
          <w:rFonts w:ascii="Book Antiqua" w:hAnsi="Book Antiqua" w:cs="Courier New"/>
          <w:color w:val="000000" w:themeColor="text1"/>
          <w:sz w:val="24"/>
          <w:szCs w:val="24"/>
          <w:lang w:val="en-US"/>
        </w:rPr>
        <w:t xml:space="preserve">. The positive </w:t>
      </w:r>
      <w:r w:rsidR="009742B2" w:rsidRPr="00CC34A3">
        <w:rPr>
          <w:rFonts w:ascii="Book Antiqua" w:hAnsi="Book Antiqua" w:cs="Courier New"/>
          <w:color w:val="000000" w:themeColor="text1"/>
          <w:sz w:val="24"/>
          <w:szCs w:val="24"/>
          <w:lang w:val="en-US"/>
        </w:rPr>
        <w:t xml:space="preserve">chain of events includes a BPC 157 treatment </w:t>
      </w:r>
      <w:r w:rsidR="009742B2" w:rsidRPr="00CC34A3">
        <w:rPr>
          <w:rFonts w:ascii="Book Antiqua" w:hAnsi="Book Antiqua" w:cs="Courier New"/>
          <w:bCs/>
          <w:color w:val="000000" w:themeColor="text1"/>
          <w:sz w:val="24"/>
          <w:szCs w:val="24"/>
          <w:lang w:val="en-US"/>
        </w:rPr>
        <w:t>restored endothelial integrity and reversed most of the oxidative damage</w:t>
      </w:r>
      <w:r w:rsidR="009742B2" w:rsidRPr="00CC34A3">
        <w:rPr>
          <w:rFonts w:ascii="Book Antiqua" w:eastAsia="Calibri" w:hAnsi="Book Antiqua" w:cs="Courier New"/>
          <w:color w:val="000000" w:themeColor="text1"/>
          <w:sz w:val="24"/>
          <w:szCs w:val="24"/>
          <w:lang w:val="en-US"/>
        </w:rPr>
        <w:fldChar w:fldCharType="begin" w:fldLock="1"/>
      </w:r>
      <w:r w:rsidR="009742B2"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"id" : "ITEM-3", "itemData" : { "DOI" : "10.1007/s10787-017-0358-8", "ISSN" : "15685608", "abstract" : "\u00a9 2017, Springer International Publishing. The ulcerogenic potential of dopamine antagonists and l-NAME in rats provides unresolved issues of anti-emetic neuroleptic application in both patients and experimental studies. Therefore, in a 1-week study, we examined the pressures within the lower oesophageal and the pyloric sphincters in rats [assessed manometrically (cm H 2 O)] after dopamine neuroleptics/prokinetics, l-NAME, l-arginine and stable gastric pentadecapeptide BPC 157 were administered alone and/or in combination. Medication (/kg) was given once daily intraperitoneally throughout the 7\u00a0days, with the last dose at 24\u00a0h before pressure assessment. Given as individual agents to healthy rats, all dopamine antagonists (central [haloperidol (6.25\u00a0mg, 16\u00a0mg, 25\u00a0mg), fluphenazine (5\u00a0mg), levomepromazine (50\u00a0mg), chlorpromazine (10\u00a0mg), quetiapine (10\u00a0mg), olanzapine (5\u00a0mg), clozapine (100\u00a0mg), sulpiride (160\u00a0mg), metoclopramide (25\u00a0mg)) and peripheral(domperidone (10\u00a0mg)] , l-NAME (5\u00a0mg) and l-arginine (100\u00a0mg) decreased the pressure within both sphincters. As a common effect, this decreased pressure was rescued, dose-dependently, by BPC 157 (10\u00a0\u00b5g, 10\u00a0ng) (also note that l-arginine and l-NAME given together antagonized each other\u2019s responses). With haloperidol, l-NAME worsened both the lower oesophageal and the pyloric sphincter pressure, while l-arginine ameliorated lower oesophageal sphincter but not pyloric sphincter pressure, and antagonized l-NAME effect. With domperidone, l-arginine originally had no effect, while l-NAME worsened pyloric sphincter pressure. This effect was opposed by l-arginine. All these effects were further reversed towards a stronger beneficial effect, close to normal pressure values, by the addition of BPC 157. In addition, NO level was determined in plasma, sphincters and brain tissue. Thiobarbituric acid reactive substances (TBARS) were also assessed. Haloperidol increased NO levels (in both sphincters, the plasma and brain), consistently producing increased TBARS levels in the plasma, sphincters and brain tissues. These effects were all counteracted by BPC 157 administration. In conclusion, we revealed that BPC 157 counteracts the anti-emetic neuroleptic class side effect of decreased pressure in sphincters and the dopamine/NO-system/BPC 157 relationship.", "author" : [ { "dropping-particle" : "", "family" : "Belosic Halle", "given" : "Z.", "non-dropping-particle" : "", "parse-names" : false, "suffix" : "" }, { "dropping-particle" : "", "family" : "Vlainic", "given" : "J.", "non-dropping-particle" : "", "parse-names" : false, "suffix" : "" }, { "dropping-particle" : "", "family" : "Drmic", "given" : "D.", "non-dropping-particle" : "", "parse-names" : false, "suffix" : "" }, { "dropping-particle" : "", "family" : "Strinic", "given" : "D.", "non-dropping-particle" : "", "parse-names" : false, "suffix" : "" }, { "dropping-particle" : "", "family" : "Luetic", "given" : "K.", "non-dropping-particle" : "", "parse-names" : false, "suffix" : "" }, { "dropping-particle" : "", "family" : "Sucic", "given" : "M.", "non-dropping-particle" : "", "parse-names" : false, "suffix" : "" }, { "dropping-particle" : "", "family" : "Medvidovic-Grubisic", "given" : "M.", "non-dropping-particle" : "", "parse-names" : false, "suffix" : "" }, { "dropping-particle" : "", "family" : "Pavelic Turudic", "given" : "T.", "non-dropping-particle" : "", "parse-names" : false, "suffix" : "" }, { "dropping-particle" : "", "family" : "Petrovic", "given" : "I.", "non-dropping-particle" : "", "parse-names" : false, "suffix" : "" }, { "dropping-particle" : "", "family" : "Seiwerth", "given" : "S.", "non-dropping-particle" : "", "parse-names" : false, "suffix" : "" }, { "dropping-particle" : "", "family" : "Sikiric", "given" : "P.", "non-dropping-particle" : "", "parse-names" : false, "suffix" : "" } ], "container-title" : "Inflammopharmacology", "id" : "ITEM-3", "issue" : "5", "issued" : { "date-parts" : [ [ "2017" ] ] }, "title" : "Class side effects: decreased pressure in the lower oesophageal and the pyloric sphincters after the administration of dopamine antagonists, neuroleptics, anti-emetics, l-NAME, pentadecapeptide BPC 157 and l-arginine", "type" : "article-journal", "volume" : "25" }, "uris" : [ "http://www.mendeley.com/documents/?uuid=5e612fde-7bf0-31cb-a989-d591b593deeb" ] }, { "id" : "ITEM-4", "itemData" : { "DOI" : "10.1007/s10787-017-0330-7", "ISSN" : "0925-4692", "author" : [ { "dropping-particle" : "", "family" : "Luetic", "given" : "Kre\u0161imir", "non-dropping-particle" : "", "parse-names" : false, "suffix" : "" }, { "dropping-particle" : "", "family" : "Sucic", "given" : "Mario", "non-dropping-particle" : "", "parse-names" : false, "suffix" : "" }, { "dropping-particle" : "", "family" : "Vlainic", "given" : "Josipa", "non-dropping-particle" : "", "parse-names" : false, "suffix" : "" }, { "dropping-particle" : "", "family" : "Halle", "given" : "Zeljka Belosic", "non-dropping-particle" : "", "parse-names" : false, "suffix" : "" }, { "dropping-particle" : "", "family" : "Strinic", "given" : "Dean", "non-dropping-particle" : "", "parse-names" : false, "suffix" : "" }, { "dropping-particle" : "", "family" : "Vidovic", "given" : "Tinka", "non-dropping-particle" : "", "parse-names" : false, "suffix" : "" }, { "dropping-particle" : "", "family" : "Luetic", "given" : "Franka", "non-dropping-particle" : "", "parse-names" : false, "suffix" : "" }, { "dropping-particle" : "", "family" : "Marusic", "given" : "Marinko", "non-dropping-particle" : "", "parse-names" : false, "suffix" : "" }, { "dropping-particle" : "", "family" : "Gulic", "given" : "Sasa", "non-dropping-particle" : "", "parse-names" : false, "suffix" : "" }, { "dropping-particle" : "", "family" : "Pavelic", "given" : "Tatjana Turudic", "non-dropping-particle" : "", "parse-names" : false, "suffix" : "" }, { "dropping-particle" : "", "family" : "Kokot", "given" : "Antonio", "non-dropping-particle" : "", "parse-names" : false, "suffix" : "" }, { "dropping-particle" : "", "family" : "Seiwerth", "given" : "Ranka Serventi", "non-dropping-particle" : "", "parse-names" : false, "suffix" : "" }, { "dropping-particle" : "", "family" : "Drmic", "given" : "Domagoj", "non-dropping-particle" : "", "parse-names" : false, "suffix" : "" }, { "dropping-particle" : "", "family" : "Batelja", "given" : "Lovorka", "non-dropping-particle" : "", "parse-names" : false, "suffix" : "" }, { "dropping-particle" : "", "family" : "Seiwerth", "given" : "Sven", "non-dropping-particle" : "", "parse-names" : false, "suffix" : "" }, { "dropping-particle" : "", "family" : "Sikiric", "given" : "Predrag", "non-dropping-particle" : "", "parse-names" : false, "suffix" : "" } ], "container-title" : "Inflammopharmacology", "id" : "ITEM-4", "issue" : "2", "issued" : { "date-parts" : [ [ "2017", "4", "2" ] ] }, "page" : "255-264", "title" : "Cyclophosphamide induced stomach and duodenal lesions as a NO-system disturbance in rats: l-NAME, l-arginine, stable gastric pentadecapeptide BPC 157", "type" : "article-journal", "volume" : "25" }, "uris" : [ "http://www.mendeley.com/documents/?uuid=f2cde618-4ef1-4c10-9d3c-c738d709d854" ] } ], "mendeley" : { "formattedCitation" : "&lt;sup&gt;[15,16,31,32]&lt;/sup&gt;", "plainTextFormattedCitation" : "[15,16,31,32]", "previouslyFormattedCitation" : "(Belosic Halle et al., 2017; Duzel et al., 2017; Luetic et al., 2017; Vukojevi\u0107 et al., 2018)" }, "properties" : {  }, "schema" : "https://github.com/citation-style-language/schema/raw/master/csl-citation.json" }</w:instrText>
      </w:r>
      <w:r w:rsidR="009742B2" w:rsidRPr="00CC34A3">
        <w:rPr>
          <w:rFonts w:ascii="Book Antiqua" w:eastAsia="Calibri" w:hAnsi="Book Antiqua" w:cs="Courier New"/>
          <w:color w:val="000000" w:themeColor="text1"/>
          <w:sz w:val="24"/>
          <w:szCs w:val="24"/>
          <w:lang w:val="en-US"/>
        </w:rPr>
        <w:fldChar w:fldCharType="separate"/>
      </w:r>
      <w:r w:rsidR="009742B2" w:rsidRPr="00CC34A3">
        <w:rPr>
          <w:rFonts w:ascii="Book Antiqua" w:eastAsia="Calibri" w:hAnsi="Book Antiqua" w:cs="Courier New"/>
          <w:color w:val="000000" w:themeColor="text1"/>
          <w:sz w:val="24"/>
          <w:szCs w:val="24"/>
          <w:vertAlign w:val="superscript"/>
          <w:lang w:val="en-US"/>
        </w:rPr>
        <w:t>[15,16,31,32]</w:t>
      </w:r>
      <w:r w:rsidR="009742B2" w:rsidRPr="00CC34A3">
        <w:rPr>
          <w:rFonts w:ascii="Book Antiqua" w:eastAsia="Calibri" w:hAnsi="Book Antiqua" w:cs="Courier New"/>
          <w:color w:val="000000" w:themeColor="text1"/>
          <w:sz w:val="24"/>
          <w:szCs w:val="24"/>
          <w:lang w:val="en-US"/>
        </w:rPr>
        <w:fldChar w:fldCharType="end"/>
      </w:r>
      <w:r w:rsidR="009742B2" w:rsidRPr="00CC34A3">
        <w:rPr>
          <w:rFonts w:ascii="Book Antiqua" w:eastAsia="Times New Roman" w:hAnsi="Book Antiqua" w:cs="Courier New"/>
          <w:color w:val="000000" w:themeColor="text1"/>
          <w:sz w:val="24"/>
          <w:szCs w:val="24"/>
          <w:lang w:val="en-US" w:eastAsia="hr-HR"/>
        </w:rPr>
        <w:t xml:space="preserve"> </w:t>
      </w:r>
      <w:r w:rsidR="009742B2" w:rsidRPr="00CC34A3">
        <w:rPr>
          <w:rFonts w:ascii="Book Antiqua" w:hAnsi="Book Antiqua" w:cs="Courier New"/>
          <w:bCs/>
          <w:color w:val="000000" w:themeColor="text1"/>
          <w:sz w:val="24"/>
          <w:szCs w:val="24"/>
          <w:lang w:val="en-US"/>
        </w:rPr>
        <w:t>while interacting with the NO system</w:t>
      </w:r>
      <w:r w:rsidR="009742B2" w:rsidRPr="00CC34A3">
        <w:rPr>
          <w:rFonts w:ascii="Book Antiqua" w:eastAsia="Calibri" w:hAnsi="Book Antiqua" w:cs="Courier New"/>
          <w:color w:val="000000" w:themeColor="text1"/>
          <w:sz w:val="24"/>
          <w:szCs w:val="24"/>
          <w:lang w:val="en-US"/>
        </w:rPr>
        <w:fldChar w:fldCharType="begin" w:fldLock="1"/>
      </w:r>
      <w:r w:rsidR="009742B2" w:rsidRPr="00CC34A3">
        <w:rPr>
          <w:rFonts w:ascii="Book Antiqua" w:eastAsia="Calibri" w:hAnsi="Book Antiqua" w:cs="Courier New"/>
          <w:color w:val="000000" w:themeColor="text1"/>
          <w:sz w:val="24"/>
          <w:szCs w:val="24"/>
          <w:lang w:val="en-US"/>
        </w:rPr>
        <w:instrText>ADDIN CSL_CITATION { "citationItems" : [ { "id" : "ITEM-1", "itemData" : { "DOI" : "10.2174/1381612823666170220163219", "ISSN" : "13816128", "PMID" : "28228068", "abstract" : "Selye's syndrome produced by diverse nocuous agents and ``response to damage as such{''} means Selye's stress triad in stress coping response to reestablish homeostasis. Logically, from the gastrointestinal tract viewpoint, such organoprotective/healing response implies the angiogenic growth factors that commonly signify the healing. Thereby, the gastric pentadecapeptide BPC 157-organoprotection (huge range of beneficial effects) signifies the Selye's stress concept/stress coping response implemented in and from gastrointestinal tract, and BPC 157 as an integrative mediator that integrates the adaptive bodily response to stress. In clinical trials without side effects, LD1 not achieved, BPC 157 healing in gastrointestinal tract, and particularly the healing of the extra-gastrointestinal tissues (i.e., skin/tendon/ligament/muscle/bone; nerve; cornea/brain) were referred throughout its integrative capabilities (i.e., ulcerative colitis/multiple sclerosis model equally counteracted), native in gastrointestinal tract, stability in human gastric juice (and thereby, strong efficacy and applicability), its relevance for dopamine-system function (and thereby, counteracting effects of dopamine-system dysfunction and over-function, centrally and peripherally (mucosa maintenance); interaction with serotonin- and GABA-system)), afforded cytoprotection/adaptive cytoprotection/organoprotection (and thereby, beneficial effects on gastric and whole intestinal tract lesions and adaptation, wounds and fistulas healing, blood vessels, somatosensory neurons, NSAIDs-side effects (including also pancreas, liver, brain lesions, and blood disturbances, prolonged bleeding, thrombocytopenia, thrombosis)). Further, we combine such gut-brain axis and the NO-system where BPC 157 counteracts complications of either L-NAME application (i.e., various lesions aggravation, hypertension) or L-arginine application (i.e., hypotension, prolonged bleeding, thrombocytopenia). Also, BPC 157 particularly affects genes functions (i.e., Fos, c-Jun, Egr-1), all together suggestive for an indicative generalization. Thus, we could suggest gastric pentadecapeptide BPC 157 and BPC 157 induced-organoprotection as integrative mediator that integrates the adaptive bodily response to stress, and thereby practically applied in further therapy and in effective realization of Selye's stress response.",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"Drmic", "given" : "Domagoj", "non-dropping-particle" : "", "parse-names" : false, "suffix" : "" }, { "dropping-particle" : "", "family" : "Stupnisek", "given" : "Mirjana", "non-dropping-particle" : "", "parse-names" : false, "suffix" : "" }, { "dropping-particle" : "", "family" : "Kokot", "given" : "Antonio", "non-dropping-particle" : "", "parse-names" : false, "suffix" : "" }, { "dropping-particle" : "", "family" : "Sever", "given" : "Marko", "non-dropping-particle" : "", "parse-names" : false, "suffix" : "" }, { "dropping-particle" : "", "family" : "Zoricic", "given" : "Ivan", "non-dropping-particle" : "", "parse-names" : false, "suffix" : "" }, { "dropping-particle" : "", "family" : "Zoricic", "given" : "Zoran", "non-dropping-particle" : "", "parse-names" : false, "suffix" : "" }, { "dropping-particle" : "", "family" : "Batelja", "given" : "Lovorka", "non-dropping-particle" : "", "parse-names" : false, "suffix" : "" }, { "dropping-particle" : "", "family" : "Ziger", "given" : "Tihomil", "non-dropping-particle" : "", "parse-names" : false, "suffix" : "" }, { "dropping-particle" : "", "family" : "Luetic", "given" : "Kresimir", "non-dropping-particle" : "", "parse-names" : false, "suffix" : "" }, { "dropping-particle" : "", "family" : "Vlainic", "given" : "Josipa", "non-dropping-particle" : "", "parse-names" : false, "suffix" : "" }, { "dropping-particle" : "", "family" : "Rasic", "given" : "Zarko", "non-dropping-particle" : "", "parse-names" : false, "suffix" : "" }, { "dropping-particle" : "", "family" : "Bencic", "given" : "Martina Lovric", "non-dropping-particle" : "", "parse-names" : false, "suffix" : "" } ], "container-title" : "Current Pharmaceutical Design", "id" : "ITEM-1", "issue" : "27", "issued" : { "date-parts" : [ [ "2017" ] ] }, "page" : "4012-4028", "title" : "Stress in Gastrointestinal Tract and Stable Gastric Pentadecapeptide BPC 157. Finally, do we have a Solution?", "type" : "article-journal", "volume" : "23" }, "uris" : [ "http://www.mendeley.com/documents/?uuid=15899097-6542-32aa-acf2-ef932af08516" ] }, { "id" : "ITEM-2", "itemData" : { "ISSN" : "1875-6190", "PMID" : "27138887", "abstract" : "BACKGROUND Brain-gut interaction involves, among others, peptidergic growth factors which are native in GI tract and have strong antiulcer potency and thus could from periphery beneficially affect CNS-disorders. We focused on the stable gastric pentadecapeptide BPC 157, an antiulcer peptidergic agent, safe in inflammatory bowel disease trials and now in multiple sclerosis trial, native and stable in human gastric juice. METHODS Review of our research on BPC 157 in terms of brain-gut axis. RESULTS BPC 157 may serve as a novel mediator of Robert's cytoprotection, involved in maintaining of GI mucosa integrity, with no toxic effect. BPC 157 was successful in the therapy of GI tract, periodontitis, liver and pancreas lesions, and in the healing of various tissues and wounds. Stimulated Egr-1 gene, NAB2, FAK-paxillin and JAK-2 pathways are hitherto implicated. Initially corresponding beneficial central influence was seen when BPC 157 was given peripherally and a serotonin release in particular brain areas, mostly nigrostriatal, was changed. BPC 157 modulates serotonergic and dopaminergic systems, beneficially affects various behavioral disturbances that otherwise appeared due to specifically (over)stimulated/damaged neurotransmitters systems. Besides, BPC 157 has neuroprotective effects: protects somatosensory neurons; peripheral nerve regeneration appearent after transection; after traumatic brain injury counteracts the otherwise progressing course, in rat spinal cord compression with tail paralysis, axonal and neuronal necrosis, demyelination, cyst formation and rescues tail function in both short-terms and long-terms; after NSAIDs or insulin overdose or cuprizone encephalopathies were attenuated along with GI, liver and vascular injuries. CONCLUSION BPC 157, a gastric peptide, may serve as remedy in various CNS-disorders.",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"Kolenc", "given" : "Danijela", "non-dropping-particle" : "", "parse-names" : false, "suffix" : "" }, { "dropping-particle" : "", "family" : "Vuletic", "given" : "Lovorka Batelja", "non-dropping-particle" : "", "parse-names" : false, "suffix" : "" }, { "dropping-particle" : "", "family" : "Drmic", "given" : "Domagoj", "non-dropping-particle" : "", "parse-names" : false, "suffix" : "" }, { "dropping-particle" : "", "family" : "Grgic", "given" : "Tihomir", "non-dropping-particle" : "", "parse-names" : false, "suffix" : "" }, { "dropping-particle" : "", "family" : "Strbe", "given" : "Sanja", "non-dropping-particle" : "", "parse-names" : false, "suffix" : "" }, { "dropping-particle" : "", "family" : "Zukanovic", "given" : "Goran", "non-dropping-particle" : "", "parse-names" : false, "suffix" : "" }, { "dropping-particle" : "", "family" : "Crvenkovic", "given" : "Dalibor", "non-dropping-particle" : "", "parse-names" : false, "suffix" : "" }, { "dropping-particle" : "", "family" : "Madzarac", "given" : "Goran", "non-dropping-particle" : "", "parse-names" : false, "suffix" : "" }, { "dropping-particle" : "", "family" : "Rukavina", "given" : "Iva", "non-dropping-particle" : "", "parse-names" : false, "suffix" : "" }, { "dropping-particle" : "", "family" : "Sucic", "given" : "Mario", "non-dropping-particle" : "", "parse-names" : false, "suffix" : "" }, { "dropping-particle" : "", "family" : "Baric", "given" : "Marko", "non-dropping-particle" : "", "parse-names" : false, "suffix" : "" }, { "dropping-particle" : "", "family" : "Starcevic", "given" : "Neven", "non-dropping-particle" : "", "parse-names" : false, "suffix" : "" }, { "dropping-particle" : "", "family" : "Krstonijevic", "given" : "Zoran", "non-dropping-particle" : "", "parse-names" : false, "suffix" : "" }, { "dropping-particle" : "", "family" : "Bencic", "given" : "Martina Lovric", "non-dropping-particle" : "", "parse-names" : false, "suffix" : "" }, { "dropping-particle" : "", "family" : "Filipcic", "given" : "Igor", "non-dropping-particle" : "", "parse-names" : false, "suffix" : "" }, { "dropping-particle" : "", "family" : "Rokotov", "given" : "Dinko Stancic", "non-dropping-particle" : "", "parse-names" : false, "suffix" : "" }, { "dropping-particle" : "", "family" : "Vlainic", "given" : "Josipa", "non-dropping-particle" : "", "parse-names" : false, "suffix" : "" } ], "container-title" : "Current neuropharmacology", "id" : "ITEM-2", "issue" : "8", "issued" : { "date-parts" : [ [ "2016" ] ] }, "page" : "857-865", "title" : "Brain-gut Axis and Pentadecapeptide BPC 157: Theoretical and Practical Implications.", "type" : "article-journal", "volume" : "14" }, "uris" : [ "http://www.mendeley.com/documents/?uuid=9b2831b1-d3dd-4080-846d-5f4f7ead3113" ] }, { "id" : "ITEM-3", "itemData" : { "ISSN" : "1873-4286", "PMID" : "23782145", "abstract" : "This review focuses on the described effects of BPC 157 on blood vessels after different types of damage, and elucidate by investigating different aspects of vascular response to injury (endothelium damage, clotting, thrombosis, vasoconstriction, vasodilatation, vasculoneogenesis and edema formation) especially in connection to the healing processes. In this respect, BPC 157 was concluded to be the most potent angiomodulatory agent, acting through different vasoactive pathways and systems (e.g. NO, VEGF, FAK) and leading to optimization of the vascular response followed, as it has to be expected, by optimization of the healing process. Formation of new blood vessels involves two main, partly overlapping mechanisms, angiogenesis and vasculogenesis. The additional mechanism of arteriogenesis is involved in the formation of collaterals. In conjunction with blood vessel function, we at least have to consider leakage of fluid/proteins/plasma, resulting in edema/exudate formation as well as thrombogenesis. Blood vessels are also strongly involved in tumor biology. In this aspect, we have neoangiogenesis resulting in pathological vascularization, vascular invasion resulting in release of metastatic cells and the phenomenon of homing resulting in formation of secondary tumors--metastases.", "author" : [ { "dropping-particle" : "", "family" : "Seiwerth", "given" : "Sven", "non-dropping-particle" : "", "parse-names" : false, "suffix" : "" }, { "dropping-particle" : "", "family" : "Brcic", "given" : "Luka", "non-dropping-particle" : "", "parse-names" : false, "suffix" : "" }, { "dropping-particle" : "", "family" : "Vuletic", "given" : "Lovorka Batelja",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"Misic", "given" : "Marija", "non-dropping-particle" : "", "parse-names" : false, "suffix" : "" }, { "dropping-particle" : "", "family" : "Zenko", "given" : "Anita", "non-dropping-particle" : "", "parse-names" : false, "suffix" : "" }, { "dropping-particle" : "", "family" : "Drmic", "given" : "Domagoj", "non-dropping-particle" : "", "parse-names" : false, "suffix" : "" }, { "dropping-particle" : "", "family" : "Rucman", "given" : "Rudolf", "non-dropping-particle" : "", "parse-names" : false, "suffix" : "" }, { "dropping-particle" : "", "family" : "Sikiric", "given" : "Predrag", "non-dropping-particle" : "", "parse-names" : false, "suffix" : "" } ], "container-title" : "Current pharmaceutical design", "id" : "ITEM-3", "issue" : "7", "issued" : { "date-parts" : [ [ "2014" ] ] }, "page" : "1121-5", "title" : "BPC 157 and blood vessels.", "type" : "article-journal", "volume" : "20" }, "uris" : [ "http://www.mendeley.com/documents/?uuid=5f0ff73a-1c13-4e9f-9921-366eef3ba469" ] }, { "id" : "ITEM-4", "itemData" : { "ISSN" : "1873-4286", "PMID" : "23755725", "abstract" : "We reviewed stable gastric pentadecapeptide BPC 157-NO-system-relation, its close participation in Moncada's (maintained vascular integrity, platelets control) homeostatic healing response of NO-system to injury. Namely, BPC 157's particular healing effect also affects all events after vascular integrity loss (dependent on circumstances, it reduces either thrombosis (abdominal aorta anastomosis) or bleeding/thrombocytopenia (amputation, heparin, warfarin, aspirin)) and in a series of different injurious models, acute and chronic, BPC 157 consistently advances healing after severe injuries in various tissues spontaneously unable to heal; stimulates egr-1 and naB2 genes; exhibits high safety (LD1 not achieved)). Hypothesis, that BPC 157 (since formed constitutively in the gastric mucosa, stable in human gastric juice, along with significance of NO-synthase and the basal formation of NO in stomach mucosa, greater than that seen in other tissues) exhibits a general, effective competing both with L-arginine analogues (i. e., L-NAME) and L-arginine, and that this has some physiologic importance (NO-generation), later, practically supports its beneficial effects illustrating BPC 157 and NOsystem mutual (with L-NAME/L-arginine; alone and together) relations in (i) gastric mucosa and mucosal protection, following alcohol lesions, in cytoprotection course, NO-generation, and blood pressure regulation; (ii) alcohol acute/chronic intoxication, and withdrawal; (iii) cardiovascular disturbances, chronic heart failure, pulmonary hypertension, and arrhythmias; (iv) disturbances after hypokalemia and hyperkalemia, and potassium-cell membrane dysfunction; and finally, in (v) complex healing failure, proved by the fistulas healing, colocutaneous and esophagocutaneous. However, how this advantage of modulating NO-system (i. e., particular effect on eNOS gene), may be practically translated into an enhanced clinical performance remains to be determined.",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"Stupnisek", "given" : "Mirjana", "non-dropping-particle" : "", "parse-names" : false, "suffix" : "" }, { "dropping-particle" : "", "family" : "Suran", "given" : "Jelena", "non-dropping-particle" : "", "parse-names" : false, "suffix" : "" }, { "dropping-particle" : "", "family" : "Barisic", "given" : "Ivan",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"ITEM-4", "issue" : "7", "issued" : { "date-parts" : [ [ "2014" ] ] }, "page" : "1126-35", "title" : "Stable gastric pentadecapeptide BPC 157-NO-system relation.", "type" : "article-journal", "volume" : "20" }, "uris" : [ "http://www.mendeley.com/documents/?uuid=74ead48f-0c75-446a-a19b-49bb02b31992" ] }, { "id" : "ITEM-5", "itemData" : { "ISSN" : "1873-4286", "PMID" : "22950504", "abstract" : "Stable gastric pentadecapeptide BPC 157 is an anti-ulcer peptidergic agent, proven in clinical trials to be both safe in inflammatory bowel disease (PL-10, PLD-116, PL 14736) and wound healing, stable in human gastric juice, with no toxicity being reported. Recently, we claim that BPC 157 may be used as an antidote against NSAIDs. We focused on BPC 157 beneficial effects on stomach, duodenum, intestine, liver and brain injuries, adjuvant arthritis, pain, hyper/hypothermia, obstructive thrombus formation and thrombolysis, blood vessel function, counteraction of prolonged bleeding and thrombocytopenia after application of various anticoagulants and antiplatelet agents and wound healing improvement. The arguments for BPC 157 antidote activity (i.e., the role of BPC 157 in cytoprotection, being a novel mediator of Robert's cytoprotection and BPC 157 beneficial effects on NSAIDs mediated lesions in the gastrointestinal tract, liver and brain and finally, counteraction of aspirin-induced prolonged bleeding and thrombocytopenia) obviously have a counteracting effect on several established side-effects of NSAIDs use. The mentioned variety of the beneficial effects portrayed by BPC 157 may well be a foundation for establishing BPC 157 as a NSAIDs antidote since no other single agent has portrayed a similar array of effects. Unlike NSAIDs, a very high safety (no reported toxicity (LD1 could be not achieved)) profile is reported for BPC 157. Also, unlike the different dosage levels of aspirin, as a NSAIDs prototype, which differ by a factor of about ten, all these beneficial and counteracting effects of BPC 157 were obtained using the equipotent dosage (\u03bcg, ng/kg) in parenteral or peroral regimens.",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"Safic", "given" : "Hana", "non-dropping-particle" : "", "parse-names" : false, "suffix" : "" }, { "dropping-particle" : "", "family" : "Suran", "given" : "Jelena", "non-dropping-particle" : "", "parse-names" : false, "suffix" : "" }, { "dropping-particle" : "", "family" : "Rak", "given" : "Davor",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"ITEM-5", "issue" : "1", "issued" : { "date-parts" : [ [ "2013" ] ] }, "page" : "76-83", "title" : "Toxicity by NSAIDs. Counteraction by stable gastric pentadecapeptide BPC 157.", "type" : "article-journal", "volume" : "19" }, "uris" : [ "http://www.mendeley.com/documents/?uuid=b4d81bb8-a391-4622-abb3-23195e4a65ff" ] } ], "mendeley" : { "formattedCitation" : "&lt;sup&gt;[1\u20135]&lt;/sup&gt;", "plainTextFormattedCitation" : "[1\u20135]", "previouslyFormattedCitation" : "(Seiwerth et al., 2014; Sikiric et al., 2017, 2016, 2014, 2013)" }, "properties" : {  }, "schema" : "https://github.com/citation-style-language/schema/raw/master/csl-citation.json" }</w:instrText>
      </w:r>
      <w:r w:rsidR="009742B2" w:rsidRPr="00CC34A3">
        <w:rPr>
          <w:rFonts w:ascii="Book Antiqua" w:eastAsia="Calibri" w:hAnsi="Book Antiqua" w:cs="Courier New"/>
          <w:color w:val="000000" w:themeColor="text1"/>
          <w:sz w:val="24"/>
          <w:szCs w:val="24"/>
          <w:lang w:val="en-US"/>
        </w:rPr>
        <w:fldChar w:fldCharType="separate"/>
      </w:r>
      <w:r w:rsidR="009742B2" w:rsidRPr="00CC34A3">
        <w:rPr>
          <w:rFonts w:ascii="Book Antiqua" w:eastAsia="Calibri" w:hAnsi="Book Antiqua" w:cs="Courier New"/>
          <w:color w:val="000000" w:themeColor="text1"/>
          <w:sz w:val="24"/>
          <w:szCs w:val="24"/>
          <w:vertAlign w:val="superscript"/>
          <w:lang w:val="en-US"/>
        </w:rPr>
        <w:t>[1–5]</w:t>
      </w:r>
      <w:r w:rsidR="009742B2" w:rsidRPr="00CC34A3">
        <w:rPr>
          <w:rFonts w:ascii="Book Antiqua" w:eastAsia="Calibri" w:hAnsi="Book Antiqua" w:cs="Courier New"/>
          <w:color w:val="000000" w:themeColor="text1"/>
          <w:sz w:val="24"/>
          <w:szCs w:val="24"/>
          <w:lang w:val="en-US"/>
        </w:rPr>
        <w:fldChar w:fldCharType="end"/>
      </w:r>
      <w:r w:rsidR="009742B2" w:rsidRPr="00CC34A3">
        <w:rPr>
          <w:rFonts w:ascii="Book Antiqua" w:hAnsi="Book Antiqua" w:cs="Courier New"/>
          <w:bCs/>
          <w:color w:val="000000" w:themeColor="text1"/>
          <w:sz w:val="24"/>
          <w:szCs w:val="24"/>
          <w:lang w:val="en-US"/>
        </w:rPr>
        <w:t xml:space="preserve">. </w:t>
      </w:r>
      <w:r w:rsidR="009742B2" w:rsidRPr="00CC34A3">
        <w:rPr>
          <w:rFonts w:ascii="Book Antiqua" w:hAnsi="Book Antiqua" w:cs="Courier New"/>
          <w:color w:val="000000" w:themeColor="text1"/>
          <w:sz w:val="24"/>
          <w:szCs w:val="24"/>
          <w:lang w:val="en-US"/>
        </w:rPr>
        <w:t>T</w:t>
      </w:r>
      <w:r w:rsidR="009742B2" w:rsidRPr="00CC34A3">
        <w:rPr>
          <w:rFonts w:ascii="Book Antiqua" w:hAnsi="Book Antiqua" w:cs="Courier New"/>
          <w:iCs/>
          <w:color w:val="000000" w:themeColor="text1"/>
          <w:sz w:val="24"/>
          <w:szCs w:val="24"/>
          <w:lang w:val="en-US"/>
        </w:rPr>
        <w:t xml:space="preserve">he positive </w:t>
      </w:r>
      <w:r w:rsidR="009742B2" w:rsidRPr="00CC34A3">
        <w:rPr>
          <w:rFonts w:ascii="Book Antiqua" w:hAnsi="Book Antiqua" w:cs="Courier New"/>
          <w:color w:val="000000" w:themeColor="text1"/>
          <w:sz w:val="24"/>
          <w:szCs w:val="24"/>
          <w:lang w:val="en-US"/>
        </w:rPr>
        <w:t>endothelium syndrome (</w:t>
      </w:r>
      <w:r w:rsidR="009742B2" w:rsidRPr="00CC34A3">
        <w:rPr>
          <w:rFonts w:ascii="Book Antiqua" w:hAnsi="Book Antiqua" w:cs="Courier New"/>
          <w:i/>
          <w:color w:val="000000" w:themeColor="text1"/>
          <w:sz w:val="24"/>
          <w:szCs w:val="24"/>
          <w:lang w:val="en-US"/>
        </w:rPr>
        <w:t>i.e.</w:t>
      </w:r>
      <w:r w:rsidR="009742B2" w:rsidRPr="00CC34A3">
        <w:rPr>
          <w:rFonts w:ascii="Book Antiqua" w:hAnsi="Book Antiqua" w:cs="Courier New"/>
          <w:color w:val="000000" w:themeColor="text1"/>
          <w:sz w:val="24"/>
          <w:szCs w:val="24"/>
          <w:lang w:val="en-US"/>
        </w:rPr>
        <w:t xml:space="preserve">, </w:t>
      </w:r>
      <w:r w:rsidR="009742B2" w:rsidRPr="00CC34A3">
        <w:rPr>
          <w:rFonts w:ascii="Book Antiqua" w:hAnsi="Book Antiqua" w:cs="Courier New"/>
          <w:iCs/>
          <w:color w:val="000000" w:themeColor="text1"/>
          <w:sz w:val="24"/>
          <w:szCs w:val="24"/>
          <w:lang w:val="en-US"/>
        </w:rPr>
        <w:t>increased duodenal NO</w:t>
      </w:r>
      <w:r w:rsidR="0093519D" w:rsidRPr="00CC34A3">
        <w:rPr>
          <w:rFonts w:ascii="Book Antiqua" w:hAnsi="Book Antiqua" w:cs="Courier New"/>
          <w:iCs/>
          <w:color w:val="000000" w:themeColor="text1"/>
          <w:sz w:val="24"/>
          <w:szCs w:val="24"/>
          <w:lang w:val="en-US"/>
        </w:rPr>
        <w:t>-</w:t>
      </w:r>
      <w:r w:rsidR="009742B2" w:rsidRPr="00CC34A3">
        <w:rPr>
          <w:rFonts w:ascii="Book Antiqua" w:hAnsi="Book Antiqua" w:cs="Courier New"/>
          <w:iCs/>
          <w:color w:val="000000" w:themeColor="text1"/>
          <w:sz w:val="24"/>
          <w:szCs w:val="24"/>
          <w:lang w:val="en-US"/>
        </w:rPr>
        <w:t>values, but normal MDA</w:t>
      </w:r>
      <w:r w:rsidR="0093519D" w:rsidRPr="00CC34A3">
        <w:rPr>
          <w:rFonts w:ascii="Book Antiqua" w:hAnsi="Book Antiqua" w:cs="Courier New"/>
          <w:iCs/>
          <w:color w:val="000000" w:themeColor="text1"/>
          <w:sz w:val="24"/>
          <w:szCs w:val="24"/>
          <w:lang w:val="en-US"/>
        </w:rPr>
        <w:t>-</w:t>
      </w:r>
      <w:r w:rsidR="009742B2" w:rsidRPr="00CC34A3">
        <w:rPr>
          <w:rFonts w:ascii="Book Antiqua" w:hAnsi="Book Antiqua" w:cs="Courier New"/>
          <w:iCs/>
          <w:color w:val="000000" w:themeColor="text1"/>
          <w:sz w:val="24"/>
          <w:szCs w:val="24"/>
          <w:lang w:val="en-US"/>
        </w:rPr>
        <w:t xml:space="preserve">values, indicative of adequate </w:t>
      </w:r>
      <w:proofErr w:type="spellStart"/>
      <w:r w:rsidR="009742B2" w:rsidRPr="00CC34A3">
        <w:rPr>
          <w:rFonts w:ascii="Book Antiqua" w:hAnsi="Book Antiqua" w:cs="Courier New"/>
          <w:iCs/>
          <w:color w:val="000000" w:themeColor="text1"/>
          <w:sz w:val="24"/>
          <w:szCs w:val="24"/>
          <w:lang w:val="en-US"/>
        </w:rPr>
        <w:t>eNOS</w:t>
      </w:r>
      <w:proofErr w:type="spellEnd"/>
      <w:r w:rsidR="009742B2" w:rsidRPr="00CC34A3">
        <w:rPr>
          <w:rFonts w:ascii="Book Antiqua" w:hAnsi="Book Antiqua" w:cs="Courier New"/>
          <w:iCs/>
          <w:color w:val="000000" w:themeColor="text1"/>
          <w:sz w:val="24"/>
          <w:szCs w:val="24"/>
          <w:lang w:val="en-US"/>
        </w:rPr>
        <w:t xml:space="preserve"> system function</w:t>
      </w:r>
      <w:r w:rsidR="009742B2" w:rsidRPr="00CC34A3">
        <w:rPr>
          <w:rFonts w:ascii="Book Antiqua" w:eastAsia="Calibri" w:hAnsi="Book Antiqua" w:cs="Courier New"/>
          <w:color w:val="000000" w:themeColor="text1"/>
          <w:sz w:val="24"/>
          <w:szCs w:val="24"/>
          <w:lang w:val="en-US"/>
        </w:rPr>
        <w:fldChar w:fldCharType="begin" w:fldLock="1"/>
      </w:r>
      <w:r w:rsidR="009742B2" w:rsidRPr="00CC34A3">
        <w:rPr>
          <w:rFonts w:ascii="Book Antiqua" w:eastAsia="Calibri" w:hAnsi="Book Antiqua" w:cs="Courier New"/>
          <w:color w:val="000000" w:themeColor="text1"/>
          <w:sz w:val="24"/>
          <w:szCs w:val="24"/>
          <w:lang w:val="en-US"/>
        </w:rPr>
        <w:instrText>ADDIN CSL_CITATION { "citationItems" : [ { "id" : "ITEM-1", "itemData" : { "DOI" : "10.2174/1381612823666170220163219", "ISSN" : "13816128", "PMID" : "28228068", "abstract" : "Selye's syndrome produced by diverse nocuous agents and ``response to damage as such{''} means Selye's stress triad in stress coping response to reestablish homeostasis. Logically, from the gastrointestinal tract viewpoint, such organoprotective/healing response implies the angiogenic growth factors that commonly signify the healing. Thereby, the gastric pentadecapeptide BPC 157-organoprotection (huge range of beneficial effects) signifies the Selye's stress concept/stress coping response implemented in and from gastrointestinal tract, and BPC 157 as an integrative mediator that integrates the adaptive bodily response to stress. In clinical trials without side effects, LD1 not achieved, BPC 157 healing in gastrointestinal tract, and particularly the healing of the extra-gastrointestinal tissues (i.e., skin/tendon/ligament/muscle/bone; nerve; cornea/brain) were referred throughout its integrative capabilities (i.e., ulcerative colitis/multiple sclerosis model equally counteracted), native in gastrointestinal tract, stability in human gastric juice (and thereby, strong efficacy and applicability), its relevance for dopamine-system function (and thereby, counteracting effects of dopamine-system dysfunction and over-function, centrally and peripherally (mucosa maintenance); interaction with serotonin- and GABA-system)), afforded cytoprotection/adaptive cytoprotection/organoprotection (and thereby, beneficial effects on gastric and whole intestinal tract lesions and adaptation, wounds and fistulas healing, blood vessels, somatosensory neurons, NSAIDs-side effects (including also pancreas, liver, brain lesions, and blood disturbances, prolonged bleeding, thrombocytopenia, thrombosis)). Further, we combine such gut-brain axis and the NO-system where BPC 157 counteracts complications of either L-NAME application (i.e., various lesions aggravation, hypertension) or L-arginine application (i.e., hypotension, prolonged bleeding, thrombocytopenia). Also, BPC 157 particularly affects genes functions (i.e., Fos, c-Jun, Egr-1), all together suggestive for an indicative generalization. Thus, we could suggest gastric pentadecapeptide BPC 157 and BPC 157 induced-organoprotection as integrative mediator that integrates the adaptive bodily response to stress, and thereby practically applied in further therapy and in effective realization of Selye's stress response.",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"Drmic", "given" : "Domagoj", "non-dropping-particle" : "", "parse-names" : false, "suffix" : "" }, { "dropping-particle" : "", "family" : "Stupnisek", "given" : "Mirjana", "non-dropping-particle" : "", "parse-names" : false, "suffix" : "" }, { "dropping-particle" : "", "family" : "Kokot", "given" : "Antonio", "non-dropping-particle" : "", "parse-names" : false, "suffix" : "" }, { "dropping-particle" : "", "family" : "Sever", "given" : "Marko", "non-dropping-particle" : "", "parse-names" : false, "suffix" : "" }, { "dropping-particle" : "", "family" : "Zoricic", "given" : "Ivan", "non-dropping-particle" : "", "parse-names" : false, "suffix" : "" }, { "dropping-particle" : "", "family" : "Zoricic", "given" : "Zoran", "non-dropping-particle" : "", "parse-names" : false, "suffix" : "" }, { "dropping-particle" : "", "family" : "Batelja", "given" : "Lovorka", "non-dropping-particle" : "", "parse-names" : false, "suffix" : "" }, { "dropping-particle" : "", "family" : "Ziger", "given" : "Tihomil", "non-dropping-particle" : "", "parse-names" : false, "suffix" : "" }, { "dropping-particle" : "", "family" : "Luetic", "given" : "Kresimir", "non-dropping-particle" : "", "parse-names" : false, "suffix" : "" }, { "dropping-particle" : "", "family" : "Vlainic", "given" : "Josipa", "non-dropping-particle" : "", "parse-names" : false, "suffix" : "" }, { "dropping-particle" : "", "family" : "Rasic", "given" : "Zarko", "non-dropping-particle" : "", "parse-names" : false, "suffix" : "" }, { "dropping-particle" : "", "family" : "Bencic", "given" : "Martina Lovric", "non-dropping-particle" : "", "parse-names" : false, "suffix" : "" } ], "container-title" : "Current Pharmaceutical Design", "id" : "ITEM-1", "issue" : "27", "issued" : { "date-parts" : [ [ "2017" ] ] }, "page" : "4012-4028", "title" : "Stress in Gastrointestinal Tract and Stable Gastric Pentadecapeptide BPC 157. Finally, do we have a Solution?", "type" : "article-journal", "volume" : "23" }, "uris" : [ "http://www.mendeley.com/documents/?uuid=15899097-6542-32aa-acf2-ef932af08516" ] }, { "id" : "ITEM-2", "itemData" : { "ISSN" : "1875-6190", "PMID" : "27138887", "abstract" : "BACKGROUND Brain-gut interaction involves, among others, peptidergic growth factors which are native in GI tract and have strong antiulcer potency and thus could from periphery beneficially affect CNS-disorders. We focused on the stable gastric pentadecapeptide BPC 157, an antiulcer peptidergic agent, safe in inflammatory bowel disease trials and now in multiple sclerosis trial, native and stable in human gastric juice. METHODS Review of our research on BPC 157 in terms of brain-gut axis. RESULTS BPC 157 may serve as a novel mediator of Robert's cytoprotection, involved in maintaining of GI mucosa integrity, with no toxic effect. BPC 157 was successful in the therapy of GI tract, periodontitis, liver and pancreas lesions, and in the healing of various tissues and wounds. Stimulated Egr-1 gene, NAB2, FAK-paxillin and JAK-2 pathways are hitherto implicated. Initially corresponding beneficial central influence was seen when BPC 157 was given peripherally and a serotonin release in particular brain areas, mostly nigrostriatal, was changed. BPC 157 modulates serotonergic and dopaminergic systems, beneficially affects various behavioral disturbances that otherwise appeared due to specifically (over)stimulated/damaged neurotransmitters systems. Besides, BPC 157 has neuroprotective effects: protects somatosensory neurons; peripheral nerve regeneration appearent after transection; after traumatic brain injury counteracts the otherwise progressing course, in rat spinal cord compression with tail paralysis, axonal and neuronal necrosis, demyelination, cyst formation and rescues tail function in both short-terms and long-terms; after NSAIDs or insulin overdose or cuprizone encephalopathies were attenuated along with GI, liver and vascular injuries. CONCLUSION BPC 157, a gastric peptide, may serve as remedy in various CNS-disorders.",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"Kolenc", "given" : "Danijela", "non-dropping-particle" : "", "parse-names" : false, "suffix" : "" }, { "dropping-particle" : "", "family" : "Vuletic", "given" : "Lovorka Batelja", "non-dropping-particle" : "", "parse-names" : false, "suffix" : "" }, { "dropping-particle" : "", "family" : "Drmic", "given" : "Domagoj", "non-dropping-particle" : "", "parse-names" : false, "suffix" : "" }, { "dropping-particle" : "", "family" : "Grgic", "given" : "Tihomir", "non-dropping-particle" : "", "parse-names" : false, "suffix" : "" }, { "dropping-particle" : "", "family" : "Strbe", "given" : "Sanja", "non-dropping-particle" : "", "parse-names" : false, "suffix" : "" }, { "dropping-particle" : "", "family" : "Zukanovic", "given" : "Goran", "non-dropping-particle" : "", "parse-names" : false, "suffix" : "" }, { "dropping-particle" : "", "family" : "Crvenkovic", "given" : "Dalibor", "non-dropping-particle" : "", "parse-names" : false, "suffix" : "" }, { "dropping-particle" : "", "family" : "Madzarac", "given" : "Goran", "non-dropping-particle" : "", "parse-names" : false, "suffix" : "" }, { "dropping-particle" : "", "family" : "Rukavina", "given" : "Iva", "non-dropping-particle" : "", "parse-names" : false, "suffix" : "" }, { "dropping-particle" : "", "family" : "Sucic", "given" : "Mario", "non-dropping-particle" : "", "parse-names" : false, "suffix" : "" }, { "dropping-particle" : "", "family" : "Baric", "given" : "Marko", "non-dropping-particle" : "", "parse-names" : false, "suffix" : "" }, { "dropping-particle" : "", "family" : "Starcevic", "given" : "Neven", "non-dropping-particle" : "", "parse-names" : false, "suffix" : "" }, { "dropping-particle" : "", "family" : "Krstonijevic", "given" : "Zoran", "non-dropping-particle" : "", "parse-names" : false, "suffix" : "" }, { "dropping-particle" : "", "family" : "Bencic", "given" : "Martina Lovric", "non-dropping-particle" : "", "parse-names" : false, "suffix" : "" }, { "dropping-particle" : "", "family" : "Filipcic", "given" : "Igor", "non-dropping-particle" : "", "parse-names" : false, "suffix" : "" }, { "dropping-particle" : "", "family" : "Rokotov", "given" : "Dinko Stancic", "non-dropping-particle" : "", "parse-names" : false, "suffix" : "" }, { "dropping-particle" : "", "family" : "Vlainic", "given" : "Josipa", "non-dropping-particle" : "", "parse-names" : false, "suffix" : "" } ], "container-title" : "Current neuropharmacology", "id" : "ITEM-2", "issue" : "8", "issued" : { "date-parts" : [ [ "2016" ] ] }, "page" : "857-865", "title" : "Brain-gut Axis and Pentadecapeptide BPC 157: Theoretical and Practical Implications.", "type" : "article-journal", "volume" : "14" }, "uris" : [ "http://www.mendeley.com/documents/?uuid=9b2831b1-d3dd-4080-846d-5f4f7ead3113" ] }, { "id" : "ITEM-3", "itemData" : { "ISSN" : "1873-4286", "PMID" : "23782145", "abstract" : "This review focuses on the described effects of BPC 157 on blood vessels after different types of damage, and elucidate by investigating different aspects of vascular response to injury (endothelium damage, clotting, thrombosis, vasoconstriction, vasodilatation, vasculoneogenesis and edema formation) especially in connection to the healing processes. In this respect, BPC 157 was concluded to be the most potent angiomodulatory agent, acting through different vasoactive pathways and systems (e.g. NO, VEGF, FAK) and leading to optimization of the vascular response followed, as it has to be expected, by optimization of the healing process. Formation of new blood vessels involves two main, partly overlapping mechanisms, angiogenesis and vasculogenesis. The additional mechanism of arteriogenesis is involved in the formation of collaterals. In conjunction with blood vessel function, we at least have to consider leakage of fluid/proteins/plasma, resulting in edema/exudate formation as well as thrombogenesis. Blood vessels are also strongly involved in tumor biology. In this aspect, we have neoangiogenesis resulting in pathological vascularization, vascular invasion resulting in release of metastatic cells and the phenomenon of homing resulting in formation of secondary tumors--metastases.", "author" : [ { "dropping-particle" : "", "family" : "Seiwerth", "given" : "Sven", "non-dropping-particle" : "", "parse-names" : false, "suffix" : "" }, { "dropping-particle" : "", "family" : "Brcic", "given" : "Luka", "non-dropping-particle" : "", "parse-names" : false, "suffix" : "" }, { "dropping-particle" : "", "family" : "Vuletic", "given" : "Lovorka Batelja",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"Misic", "given" : "Marija", "non-dropping-particle" : "", "parse-names" : false, "suffix" : "" }, { "dropping-particle" : "", "family" : "Zenko", "given" : "Anita", "non-dropping-particle" : "", "parse-names" : false, "suffix" : "" }, { "dropping-particle" : "", "family" : "Drmic", "given" : "Domagoj", "non-dropping-particle" : "", "parse-names" : false, "suffix" : "" }, { "dropping-particle" : "", "family" : "Rucman", "given" : "Rudolf", "non-dropping-particle" : "", "parse-names" : false, "suffix" : "" }, { "dropping-particle" : "", "family" : "Sikiric", "given" : "Predrag", "non-dropping-particle" : "", "parse-names" : false, "suffix" : "" } ], "container-title" : "Current pharmaceutical design", "id" : "ITEM-3", "issue" : "7", "issued" : { "date-parts" : [ [ "2014" ] ] }, "page" : "1121-5", "title" : "BPC 157 and blood vessels.", "type" : "article-journal", "volume" : "20" }, "uris" : [ "http://www.mendeley.com/documents/?uuid=5f0ff73a-1c13-4e9f-9921-366eef3ba469" ] }, { "id" : "ITEM-4", "itemData" : { "ISSN" : "1873-4286", "PMID" : "23755725", "abstract" : "We reviewed stable gastric pentadecapeptide BPC 157-NO-system-relation, its close participation in Moncada's (maintained vascular integrity, platelets control) homeostatic healing response of NO-system to injury. Namely, BPC 157's particular healing effect also affects all events after vascular integrity loss (dependent on circumstances, it reduces either thrombosis (abdominal aorta anastomosis) or bleeding/thrombocytopenia (amputation, heparin, warfarin, aspirin)) and in a series of different injurious models, acute and chronic, BPC 157 consistently advances healing after severe injuries in various tissues spontaneously unable to heal; stimulates egr-1 and naB2 genes; exhibits high safety (LD1 not achieved)). Hypothesis, that BPC 157 (since formed constitutively in the gastric mucosa, stable in human gastric juice, along with significance of NO-synthase and the basal formation of NO in stomach mucosa, greater than that seen in other tissues) exhibits a general, effective competing both with L-arginine analogues (i. e., L-NAME) and L-arginine, and that this has some physiologic importance (NO-generation), later, practically supports its beneficial effects illustrating BPC 157 and NOsystem mutual (with L-NAME/L-arginine; alone and together) relations in (i) gastric mucosa and mucosal protection, following alcohol lesions, in cytoprotection course, NO-generation, and blood pressure regulation; (ii) alcohol acute/chronic intoxication, and withdrawal; (iii) cardiovascular disturbances, chronic heart failure, pulmonary hypertension, and arrhythmias; (iv) disturbances after hypokalemia and hyperkalemia, and potassium-cell membrane dysfunction; and finally, in (v) complex healing failure, proved by the fistulas healing, colocutaneous and esophagocutaneous. However, how this advantage of modulating NO-system (i. e., particular effect on eNOS gene), may be practically translated into an enhanced clinical performance remains to be determined.",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"Stupnisek", "given" : "Mirjana", "non-dropping-particle" : "", "parse-names" : false, "suffix" : "" }, { "dropping-particle" : "", "family" : "Suran", "given" : "Jelena", "non-dropping-particle" : "", "parse-names" : false, "suffix" : "" }, { "dropping-particle" : "", "family" : "Barisic", "given" : "Ivan",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"ITEM-4", "issue" : "7", "issued" : { "date-parts" : [ [ "2014" ] ] }, "page" : "1126-35", "title" : "Stable gastric pentadecapeptide BPC 157-NO-system relation.", "type" : "article-journal", "volume" : "20" }, "uris" : [ "http://www.mendeley.com/documents/?uuid=74ead48f-0c75-446a-a19b-49bb02b31992" ] }, { "id" : "ITEM-5", "itemData" : { "ISSN" : "1873-4286", "PMID" : "22950504", "abstract" : "Stable gastric pentadecapeptide BPC 157 is an anti-ulcer peptidergic agent, proven in clinical trials to be both safe in inflammatory bowel disease (PL-10, PLD-116, PL 14736) and wound healing, stable in human gastric juice, with no toxicity being reported. Recently, we claim that BPC 157 may be used as an antidote against NSAIDs. We focused on BPC 157 beneficial effects on stomach, duodenum, intestine, liver and brain injuries, adjuvant arthritis, pain, hyper/hypothermia, obstructive thrombus formation and thrombolysis, blood vessel function, counteraction of prolonged bleeding and thrombocytopenia after application of various anticoagulants and antiplatelet agents and wound healing improvement. The arguments for BPC 157 antidote activity (i.e., the role of BPC 157 in cytoprotection, being a novel mediator of Robert's cytoprotection and BPC 157 beneficial effects on NSAIDs mediated lesions in the gastrointestinal tract, liver and brain and finally, counteraction of aspirin-induced prolonged bleeding and thrombocytopenia) obviously have a counteracting effect on several established side-effects of NSAIDs use. The mentioned variety of the beneficial effects portrayed by BPC 157 may well be a foundation for establishing BPC 157 as a NSAIDs antidote since no other single agent has portrayed a similar array of effects. Unlike NSAIDs, a very high safety (no reported toxicity (LD1 could be not achieved)) profile is reported for BPC 157. Also, unlike the different dosage levels of aspirin, as a NSAIDs prototype, which differ by a factor of about ten, all these beneficial and counteracting effects of BPC 157 were obtained using the equipotent dosage (\u03bcg, ng/kg) in parenteral or peroral regimens.",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"Safic", "given" : "Hana", "non-dropping-particle" : "", "parse-names" : false, "suffix" : "" }, { "dropping-particle" : "", "family" : "Suran", "given" : "Jelena", "non-dropping-particle" : "", "parse-names" : false, "suffix" : "" }, { "dropping-particle" : "", "family" : "Rak", "given" : "Davor",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"ITEM-5", "issue" : "1", "issued" : { "date-parts" : [ [ "2013" ] ] }, "page" : "76-83", "title" : "Toxicity by NSAIDs. Counteraction by stable gastric pentadecapeptide BPC 157.", "type" : "article-journal", "volume" : "19" }, "uris" : [ "http://www.mendeley.com/documents/?uuid=b4d81bb8-a391-4622-abb3-23195e4a65ff" ] } ], "mendeley" : { "formattedCitation" : "&lt;sup&gt;[1\u20135]&lt;/sup&gt;", "plainTextFormattedCitation" : "[1\u20135]", "previouslyFormattedCitation" : "(Seiwerth et al., 2014; Sikiric et al., 2017, 2016, 2014, 2013)" }, "properties" : {  }, "schema" : "https://github.com/citation-style-language/schema/raw/master/csl-citation.json" }</w:instrText>
      </w:r>
      <w:r w:rsidR="009742B2" w:rsidRPr="00CC34A3">
        <w:rPr>
          <w:rFonts w:ascii="Book Antiqua" w:eastAsia="Calibri" w:hAnsi="Book Antiqua" w:cs="Courier New"/>
          <w:color w:val="000000" w:themeColor="text1"/>
          <w:sz w:val="24"/>
          <w:szCs w:val="24"/>
          <w:lang w:val="en-US"/>
        </w:rPr>
        <w:fldChar w:fldCharType="separate"/>
      </w:r>
      <w:r w:rsidR="009742B2" w:rsidRPr="00CC34A3">
        <w:rPr>
          <w:rFonts w:ascii="Book Antiqua" w:eastAsia="Calibri" w:hAnsi="Book Antiqua" w:cs="Courier New"/>
          <w:color w:val="000000" w:themeColor="text1"/>
          <w:sz w:val="24"/>
          <w:szCs w:val="24"/>
          <w:vertAlign w:val="superscript"/>
          <w:lang w:val="en-US"/>
        </w:rPr>
        <w:t>[1–5]</w:t>
      </w:r>
      <w:r w:rsidR="009742B2" w:rsidRPr="00CC34A3">
        <w:rPr>
          <w:rFonts w:ascii="Book Antiqua" w:eastAsia="Calibri" w:hAnsi="Book Antiqua" w:cs="Courier New"/>
          <w:color w:val="000000" w:themeColor="text1"/>
          <w:sz w:val="24"/>
          <w:szCs w:val="24"/>
          <w:lang w:val="en-US"/>
        </w:rPr>
        <w:fldChar w:fldCharType="end"/>
      </w:r>
      <w:r w:rsidR="009742B2" w:rsidRPr="00CC34A3">
        <w:rPr>
          <w:rFonts w:ascii="Book Antiqua" w:eastAsia="Calibri" w:hAnsi="Book Antiqua" w:cs="Courier New"/>
          <w:color w:val="000000" w:themeColor="text1"/>
          <w:sz w:val="24"/>
          <w:szCs w:val="24"/>
          <w:lang w:val="en-US"/>
        </w:rPr>
        <w:t>)</w:t>
      </w:r>
      <w:r w:rsidR="00773972" w:rsidRPr="00CC34A3">
        <w:rPr>
          <w:rFonts w:ascii="Book Antiqua" w:eastAsia="Calibri" w:hAnsi="Book Antiqua" w:cs="Courier New"/>
          <w:color w:val="000000" w:themeColor="text1"/>
          <w:sz w:val="24"/>
          <w:szCs w:val="24"/>
          <w:lang w:val="en-US"/>
        </w:rPr>
        <w:t xml:space="preserve"> </w:t>
      </w:r>
      <w:r w:rsidR="009742B2" w:rsidRPr="00CC34A3">
        <w:rPr>
          <w:rFonts w:ascii="Book Antiqua" w:hAnsi="Book Antiqua" w:cs="Courier New"/>
          <w:color w:val="000000" w:themeColor="text1"/>
          <w:sz w:val="24"/>
          <w:szCs w:val="24"/>
          <w:lang w:val="en-US"/>
        </w:rPr>
        <w:t>appears with general significance, and thereby, restored endothelial integrity and reversed most of the oxidative damage. With BPC 157, this recovery appears even during reperfusion (occurring while vessel occlusion is still present) much like during exaggerated reperfusion (occurring when vessel occlusion is removed)</w:t>
      </w:r>
      <w:r w:rsidR="009742B2" w:rsidRPr="00CC34A3">
        <w:rPr>
          <w:rFonts w:ascii="Book Antiqua" w:eastAsia="Calibri" w:hAnsi="Book Antiqua" w:cs="Courier New"/>
          <w:color w:val="000000" w:themeColor="text1"/>
          <w:sz w:val="24"/>
          <w:szCs w:val="24"/>
          <w:lang w:val="en-US"/>
        </w:rPr>
        <w:fldChar w:fldCharType="begin" w:fldLock="1"/>
      </w:r>
      <w:r w:rsidR="009742B2"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"mendeley" : { "formattedCitation" : "&lt;sup&gt;[15]&lt;/sup&gt;", "plainTextFormattedCitation" : "[15]", "previouslyFormattedCitation" : "(Duzel et al., 2017)" }, "properties" : {  }, "schema" : "https://github.com/citation-style-language/schema/raw/master/csl-citation.json" }</w:instrText>
      </w:r>
      <w:r w:rsidR="009742B2" w:rsidRPr="00CC34A3">
        <w:rPr>
          <w:rFonts w:ascii="Book Antiqua" w:eastAsia="Calibri" w:hAnsi="Book Antiqua" w:cs="Courier New"/>
          <w:color w:val="000000" w:themeColor="text1"/>
          <w:sz w:val="24"/>
          <w:szCs w:val="24"/>
          <w:lang w:val="en-US"/>
        </w:rPr>
        <w:fldChar w:fldCharType="separate"/>
      </w:r>
      <w:r w:rsidR="009742B2" w:rsidRPr="00CC34A3">
        <w:rPr>
          <w:rFonts w:ascii="Book Antiqua" w:eastAsia="Calibri" w:hAnsi="Book Antiqua" w:cs="Courier New"/>
          <w:color w:val="000000" w:themeColor="text1"/>
          <w:sz w:val="24"/>
          <w:szCs w:val="24"/>
          <w:vertAlign w:val="superscript"/>
          <w:lang w:val="en-US"/>
        </w:rPr>
        <w:t>[15]</w:t>
      </w:r>
      <w:r w:rsidR="009742B2" w:rsidRPr="00CC34A3">
        <w:rPr>
          <w:rFonts w:ascii="Book Antiqua" w:eastAsia="Calibri" w:hAnsi="Book Antiqua" w:cs="Courier New"/>
          <w:color w:val="000000" w:themeColor="text1"/>
          <w:sz w:val="24"/>
          <w:szCs w:val="24"/>
          <w:lang w:val="en-US"/>
        </w:rPr>
        <w:fldChar w:fldCharType="end"/>
      </w:r>
      <w:r w:rsidR="009742B2" w:rsidRPr="00CC34A3">
        <w:rPr>
          <w:rFonts w:ascii="Book Antiqua" w:hAnsi="Book Antiqua" w:cs="Courier New"/>
          <w:color w:val="000000" w:themeColor="text1"/>
          <w:sz w:val="24"/>
          <w:szCs w:val="24"/>
          <w:lang w:val="en-US"/>
        </w:rPr>
        <w:t>.</w:t>
      </w:r>
    </w:p>
    <w:p w14:paraId="6EEA2E10" w14:textId="091407D1" w:rsidR="000D4D1A" w:rsidRPr="00CC34A3" w:rsidRDefault="00E446C3" w:rsidP="00CC34A3">
      <w:pPr>
        <w:autoSpaceDE w:val="0"/>
        <w:autoSpaceDN w:val="0"/>
        <w:adjustRightInd w:val="0"/>
        <w:snapToGrid w:val="0"/>
        <w:spacing w:after="0" w:line="360" w:lineRule="auto"/>
        <w:jc w:val="both"/>
        <w:rPr>
          <w:rFonts w:ascii="Book Antiqua" w:hAnsi="Book Antiqua" w:cs="Courier New"/>
          <w:color w:val="000000" w:themeColor="text1"/>
          <w:sz w:val="24"/>
          <w:szCs w:val="24"/>
          <w:lang w:val="en-US"/>
        </w:rPr>
      </w:pPr>
      <w:r w:rsidRPr="00CC34A3">
        <w:rPr>
          <w:rFonts w:ascii="Book Antiqua" w:eastAsia="Times New Roman" w:hAnsi="Book Antiqua" w:cs="Times New Roman"/>
          <w:color w:val="000000" w:themeColor="text1"/>
          <w:sz w:val="24"/>
          <w:szCs w:val="24"/>
          <w:lang w:val="en-US" w:eastAsia="hr-HR"/>
        </w:rPr>
        <w:t xml:space="preserve">  </w:t>
      </w:r>
      <w:r w:rsidR="00773972" w:rsidRPr="00CC34A3">
        <w:rPr>
          <w:rFonts w:ascii="Book Antiqua" w:hAnsi="Book Antiqua" w:cs="Courier New"/>
          <w:color w:val="000000" w:themeColor="text1"/>
          <w:sz w:val="24"/>
          <w:szCs w:val="24"/>
          <w:lang w:val="en-US"/>
        </w:rPr>
        <w:t xml:space="preserve">There is </w:t>
      </w:r>
      <w:r w:rsidR="000D4D1A" w:rsidRPr="00CC34A3">
        <w:rPr>
          <w:rFonts w:ascii="Book Antiqua" w:hAnsi="Book Antiqua" w:cs="Courier New"/>
          <w:color w:val="000000" w:themeColor="text1"/>
          <w:sz w:val="24"/>
          <w:szCs w:val="24"/>
          <w:lang w:val="en-US"/>
        </w:rPr>
        <w:t>evidence that BPC 157 also affects several other molecular pathways</w:t>
      </w:r>
      <w:r w:rsidR="000D4D1A" w:rsidRPr="00CC34A3">
        <w:rPr>
          <w:rFonts w:ascii="Book Antiqua" w:eastAsia="Calibri" w:hAnsi="Book Antiqua" w:cs="Courier New"/>
          <w:color w:val="000000" w:themeColor="text1"/>
          <w:sz w:val="24"/>
          <w:szCs w:val="24"/>
          <w:lang w:val="en-US"/>
        </w:rPr>
        <w:fldChar w:fldCharType="begin" w:fldLock="1"/>
      </w:r>
      <w:r w:rsidR="000D4D1A" w:rsidRPr="00CC34A3">
        <w:rPr>
          <w:rFonts w:ascii="Book Antiqua" w:eastAsia="Calibri" w:hAnsi="Book Antiqua" w:cs="Courier New"/>
          <w:color w:val="000000" w:themeColor="text1"/>
          <w:sz w:val="24"/>
          <w:szCs w:val="24"/>
          <w:lang w:val="en-US"/>
        </w:rPr>
        <w:instrText>ADDIN CSL_CITATION { "citationItems" : [ { "id" : "ITEM-1",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"ITEM-1", "issued" : { "date-parts" : [ [ "2018" ] ] }, "page" : "54-66", "title" : "Rat inferior caval vein (ICV) ligature and particular new insights with the stable gastric pentadecapeptide BPC 157", "type" : "article-journal", "volume" : "106" }, "uris" : [ "http://www.mendeley.com/documents/?uuid=0d4e894c-6fc1-3bed-bb8f-4b56e696ff06" ] }, { "id" : "ITEM-2", "itemData" : { "DOI" : "10.1016/j.ejphar.2012.11.055", "ISSN" : "00142999", "author" : [ { "dropping-particle" : "", "family" : "Cesarec", "given" : "Vedran", "non-dropping-particle" : "", "parse-names" : false, "suffix" : "" }, { "dropping-particle" : "", "family" : "Becejac", "given" : "Tomislav", "non-dropping-particle" : "", "parse-names" : false, "suffix" : "" }, { "dropping-particle" : "", "family" : "Misic", "given" : "Marija", "non-dropping-particle" : "", "parse-names" : false, "suffix" : "" }, { "dropping-particle" : "", "family" : "Djakovic", "given" : "Zeljko", "non-dropping-particle" : "", "parse-names" : false, "suffix" : "" }, { "dropping-particle" : "", "family" : "Olujic", "given" : "Danijela", "non-dropping-particle" : "", "parse-names" : false, "suffix" : "" }, { "dropping-particle" : "", "family" : "Drmic", "given" : "Domagoj", "non-dropping-particle" : "", "parse-names" : false, "suffix" : "" }, { "dropping-particle" : "", "family" : "Brcic", "given" : "Luka", "non-dropping-particle" : "", "parse-names" : false, "suffix" : "" }, { "dropping-particle" : "", "family" : "Rokotov", "given" : "Dinko Stancic", "non-dropping-particle" : "", "parse-names" : false, "suffix" : "" }, { "dropping-particle" : "", "family" : "Seiwerth", "given" : "Sven", "non-dropping-particle" : "", "parse-names" : false, "suffix" : "" }, { "dropping-particle" : "", "family" : "Sikiric", "given" : "Predrag", "non-dropping-particle" : "", "parse-names" : false, "suffix" : "" } ], "container-title" : "European Journal of Pharmacology", "id" : "ITEM-2", "issue" : "1-3", "issued" : { "date-parts" : [ [ "2013", "2" ] ] }, "page" : "203-212", "title" : "Pentadecapeptide BPC 157 and the esophagocutaneous fistula healing therapy", "type" : "article-journal", "volume" : "701" }, "uris" : [ "http://www.mendeley.com/documents/?uuid=873dd1ae-6482-4883-962f-3fea363d3164" ] }, { "id" : "ITEM-3", "itemData" : { "DOI" : "10.1007/s00109-016-1488-y", "ISSN" : "0946-2716", "author" : [ { "dropping-particle" : "", "family" : "Hsieh", "given" : "Ming-Jer", "non-dropping-particle" : "", "parse-names" : false, "suffix" : "" }, { "dropping-particle" : "", "family" : "Liu", "given" : "Hsien-Ta", "non-dropping-particle" : "", "parse-names" : false, "suffix" : "" }, { "dropping-particle" : "", "family" : "Wang", "given" : "Chao-Nin", "non-dropping-particle" : "", "parse-names" : false, "suffix" : "" }, { "dropping-particle" : "", "family" : "Huang", "given" : "Hsiu-Yun", "non-dropping-particle" : "", "parse-names" : false, "suffix" : "" }, { "dropping-particle" : "", "family" : "Lin", "given" : "Yuling", "non-dropping-particle" : "", "parse-names" : false, "suffix" : "" }, { "dropping-particle" : "", "family" : "Ko", "given" : "Yu-Shien", "non-dropping-particle" : "", "parse-names" : false, "suffix" : "" }, { "dropping-particle" : "", "family" : "Wang", "given" : "Jong-Shyan", "non-dropping-particle" : "", "parse-names" : false, "suffix" : "" }, { "dropping-particle" : "", "family" : "Chang", "given" : "Vincent Hung-Shu", "non-dropping-particle" : "", "parse-names" : false, "suffix" : "" }, { "dropping-particle" : "", "family" : "Pang", "given" : "Jong-Hwei S.", "non-dropping-particle" : "", "parse-names" : false, "suffix" : "" } ], "container-title" : "Journal of Molecular Medicine", "id" : "ITEM-3", "issue" : "3", "issued" : { "date-parts" : [ [ "2017", "3", "15" ] ] }, "page" : "323-333", "title" : "Therapeutic potential of pro-angiogenic BPC157 is associated with VEGFR2 activation and up-regulation", "type" : "article-journal", "volume" : "95" }, "uris" : [ "http://www.mendeley.com/documents/?uuid=a40b4135-8310-40c1-b83e-dce5a6cf8d4e" ] }, { "id" : "ITEM-4", "itemData" : { "DOI" : "10.2147/DDDT.S82030", "ISBN" : "1177-8881 (Electronic)\\r1177-8881 (Linking)", "ISSN" : "11778881", "PMID" : "25995620", "abstract" : "Chemical burns take up a high proportion of burns admissions and can penetrate deep into tissues. Various reagents have been applied in the treatment of skin chemical burns; however, no optimal reagent for skin chemical burns currently exists. The present study investigated the effect of topical body protective compound (BPC)-157 treatment on skin wound healing, using an alkali burn rat model. Topical treatment with BPC-157 was shown to accelerate wound closure following an alkali burn. Histological examination of skin sections with hematoxylin\u2013eosin and Masson staining showed better granulation tissue formation, reepithelialization, dermal remodeling, and a higher extent of collagen deposition when compared to the model control group on the 18th day postwounding. BPC-157 could promote vascular endothelial growth factor expression in wounded skin tissues. Furthermore, 3-(4,5-dimethylthiazol-2-yl)-2,5-diphenyltetrazolium bromide and cell cycle analysis demonstrated that BPC-157 enhanced the proliferation of human umbilical vein endothelial cells (HUVECs). Transwell assay and wound healing assay showed that BPC-157 significantly promoted migration of HUVECs. We also observed that BPC-157 upregulated the expression of VEGF-a and accelerated vascular tube formation in vitro. Moreover, further studies suggested that BPC-157 regulated the phosphorylation level of extracellular signal-regulated kinases 1 and 2 (ERK1/2) as well as its downstream targets, including c-Fos, c-Jun, and Egr-1, which are key molecules involved in cell growth, migration, and angiogenesis. Altogether, our results indicated that BPC-157 treatment may accelerate wound healing in a model of alkali burn-induced skin injury. The therapeutic mechanism may be associated with accelerated granulation tissue formation, reepithelialization, dermal remodeling, and collagen deposition through ERK1/2 signaling pathway.", "author" : [ { "dropping-particle" : "", "family" : "Huang", "given" : "Tonglie", "non-dropping-particle" : "", "parse-names" : false, "suffix" : "" }, { "dropping-particle" : "", "family" : "Zhang", "given" : "Kuo", "non-dropping-particle" : "", "parse-names" : false, "suffix" : "" }, { "dropping-particle" : "", "family" : "Sun", "given" : "Lijuan", "non-dropping-particle" : "", "parse-names" : false, "suffix" : "" }, { "dropping-particle" : "", "family" : "Xue", "given" : "Xiaochang", "non-dropping-particle" : "", "parse-names" : false, "suffix" : "" }, { "dropping-particle" : "", "family" : "Zhang", "given" : "Cun", "non-dropping-particle" : "", "parse-names" : false, "suffix" : "" }, { "dropping-particle" : "", "family" : "Shu", "given" : "Zhen", "non-dropping-particle" : "", "parse-names" : false, "suffix" : "" }, { "dropping-particle" : "", "family" : "Mu", "given" : "Nan", "non-dropping-particle" : "", "parse-names" : false, "suffix" : "" }, { "dropping-particle" : "", "family" : "Gu", "given" : "Jintao", "non-dropping-particle" : "", "parse-names" : false, "suffix" : "" }, { "dropping-particle" : "", "family" : "Zhang", "given" : "Wangqian", "non-dropping-particle" : "", "parse-names" : false, "suffix" : "" }, { "dropping-particle" : "", "family" : "Wang", "given" : "Yukun", "non-dropping-particle" : "", "parse-names" : false, "suffix" : "" }, { "dropping-particle" : "", "family" : "Zhang", "given" : "Yingqi", "non-dropping-particle" : "", "parse-names" : false, "suffix" : "" }, { "dropping-particle" : "", "family" : "Zhang", "given" : "Wei", "non-dropping-particle" : "", "parse-names" : false, "suffix" : "" } ], "container-title" : "Drug Design, Development and Therapy", "id" : "ITEM-4", "issued" : { "date-parts" : [ [ "2015" ] ] }, "page" : "2485-2499", "title" : "Body protective compound-157 enhances alkali-burn wound healing in vivo and promotes proliferation, migration, and angiogenesis in vitro", "type" : "article-journal", "volume" : "9" }, "uris" : [ "http://www.mendeley.com/documents/?uuid=26d2fbb4-3df9-4f39-9e6c-53a37fe7bcce" ] }, { "id" : "ITEM-5", "itemData" : { "DOI" : "10.3390/molecules191119066", "ISSN" : "1420-3049", "PMID" : "25415472", "abstract" : "BPC 157, a pentadecapeptide derived from human gastric juice, has been demonstrated to promote the healing of different tissues, including skin, muscle, bone, ligament and tendon in many animal studies. However, the underlying mechanism has not been fully clarified. The present study aimed to explore the effect of BPC 157 on tendon fibroblasts isolated from Achilles tendon of male Sprague-Dawley rat. From the result of cDNA microarray analysis, growth hormone receptor was revealed as one of the most abundantly up-regulated genes in tendon fibroblasts by BPC 157. BPC 157 dose- and time-dependently increased the expression of growth hormone receptor in tendon fibroblasts at both the mRNA and protein levels as measured by RT/real-time PCR and Western blot, respectively. The addition of growth hormone to BPC 157-treated tendon fibroblasts dose- and time-dependently increased the cell proliferation as determined by MTT assay and PCNA expression by RT/real-time PCR. Janus kinase 2, the downstream signal pathway of growth hormone receptor, was activated time-dependently by stimulating the BPC 157-treated tendon fibroblasts with growth hormone. In conclusion, the BPC 157-induced increase of growth hormone receptor in tendon fibroblasts may potentiate the proliferation-promoting effect of growth hormone and contribute to the healing of tendon.", "author" : [ { "dropping-particle" : "", "family" : "Chang", "given" : "Chung-Hsun", "non-dropping-particle" : "", "parse-names" : false, "suffix" : "" }, { "dropping-particle" : "", "family" : "Tsai", "given" : "Wen-Chung", "non-dropping-particle" : "", "parse-names" : false, "suffix" : "" }, { "dropping-particle" : "", "family" : "Hsu", "given" : "Ya-Hui", "non-dropping-particle" : "", "parse-names" : false, "suffix" : "" }, { "dropping-particle" : "", "family" : "Pang", "given" : "Jong-Hwei Su", "non-dropping-particle" : "", "parse-names" : false, "suffix" : "" } ], "container-title" : "Molecules (Basel, Switzerland)", "id" : "ITEM-5", "issue" : "11", "issued" : { "date-parts" : [ [ "2014", "11", "19" ] ] }, "page" : "19066-77", "title" : "Pentadecapeptide BPC 157 enhances the growth hormone receptor expression in tendon fibroblasts.", "type" : "article-journal", "volume" : "19" }, "uris" : [ "http://www.mendeley.com/documents/?uuid=f3f7100e-ea85-4e6c-a171-398e2a6cd3e4" ] }, { "id" : "ITEM-6", "itemData" : { "DOI" : "10.1152/japplphysiol.00945.2010", "ISSN" : "1522-1601", "PMID" : "21030672", "abstract" : "Pentadecapeptide BPC 157, composed of 15 amino acids, is a partial sequence of body protection compound (BPC) that is discovered in and isolated from human gastric juice. Experimentally it has been demonstrated to accelerate the healing of many different wounds, including transected rat Achilles tendon. This study was designed to investigate the potential mechanism of BPC 157 to enhance healing of injured tendon. The outgrowth of tendon fibroblasts from tendon explants cultured with or without BPC 157 was examined. Results showed that BPC 157 significantly accelerated the outgrowth of tendon explants. Cell proliferation of cultured tendon fibroblasts derived from rat Achilles tendon was not directly affected by BPC 157 as evaluated by MTT assay. However, the survival of BPC 157-treated cells was significantly increased under the H(2)O(2) stress. BPC 157 markedly increased the in vitro migration of tendon fibroblasts in a dose-dependent manner as revealed by transwell filter migration assay. BPC 157 also dose dependently accelerated the spreading of tendon fibroblasts on culture dishes. The F-actin formation as detected by FITC-phalloidin staining was induced in BPC 157-treated fibroblasts. The protein expression and activation of FAK and paxillin were determined by Western blot analysis, and the phosphorylation levels of both FAK and paxillin were dose dependently increased by BPC 157 while the total amounts of protein was unaltered. In conclusion, BPC 157 promotes the ex vivo outgrowth of tendon fibroblasts from tendon explants, cell survival under stress, and the in vitro migration of tendon fibroblasts, which is likely mediated by the activation of the FAK-paxillin pathway.", "author" : [ { "dropping-particle" : "", "family" : "Chang", "given" : "Chung-Hsun", "non-dropping-particle" : "", "parse-names" : false, "suffix" : "" }, { "dropping-particle" : "", "family" : "Tsai", "given" : "Wen-Chung", "non-dropping-particle" : "", "parse-names" : false, "suffix" : "" }, { "dropping-particle" : "", "family" : "Lin", "given" : "Miao-Sui", "non-dropping-particle" : "", "parse-names" : false, "suffix" : "" }, { "dropping-particle" : "", "family" : "Hsu", "given" : "Ya-Hui", "non-dropping-particle" : "", "parse-names" : false, "suffix" : "" }, { "dropping-particle" : "", "family" : "Pang", "given" : "Jong-Hwei Su", "non-dropping-particle" : "", "parse-names" : false, "suffix" : "" } ], "container-title" : "Journal of applied physiology (Bethesda, Md. : 1985)", "id" : "ITEM-6", "issue" : "3", "issued" : { "date-parts" : [ [ "2011", "3" ] ] }, "page" : "774-80", "title" : "The promoting effect of pentadecapeptide BPC 157 on tendon healing involves tendon outgrowth, cell survival, and cell migration.", "type" : "article-journal", "volume" : "110" }, "uris" : [ "http://www.mendeley.com/documents/?uuid=6729f5a4-ea79-4adb-aac1-570591ef479a" ] }, { "id" : "ITEM-7", "itemData" : { "DOI" : "10.1016/j.ejphar.2007.05.072", "ISSN" : "00142999", "author" : [ { "dropping-particle" : "", "family" : "Tkal\u010devi\u0107", "given" : "Vanesa Iveti\u0107", "non-dropping-particle" : "", "parse-names" : false, "suffix" : "" }, { "dropping-particle" : "", "family" : "\u010cu\u017ei\u0107", "given" : "Snje\u017eana", "non-dropping-particle" : "", "parse-names" : false, "suffix" : "" }, { "dropping-particle" : "", "family" : "Braj\u0161a", "given" : "Karmen", "non-dropping-particle" : "", "parse-names" : false, "suffix" : "" }, { "dropping-particle" : "", "family" : "Mildner", "given" : "Boris", "non-dropping-particle" : "", "parse-names" : false, "suffix" : "" }, { "dropping-particle" : "", "family" : "Bokuli\u0107", "given" : "Ana", "non-dropping-particle" : "", "parse-names" : false, "suffix" : "" }, { "dropping-particle" : "", "family" : "\u0160itum", "given" : "Kristina", "non-dropping-particle" : "", "parse-names" : false, "suffix" : "" }, { "dropping-particle" : "", "family" : "Perovi\u0107", "given" : "Daniela", "non-dropping-particle" : "", "parse-names" : false, "suffix" : "" }, { "dropping-particle" : "", "family" : "Glojnari\u0107", "given" : "Ines", "non-dropping-particle" : "", "parse-names" : false, "suffix" : "" }, { "dropping-particle" : "", "family" : "Parnham", "given" : "Michael J.", "non-dropping-particle" : "", "parse-names" : false, "suffix" : "" } ], "container-title" : "European Journal of Pharmacology", "id" : "ITEM-7", "issue" : "1-3", "issued" : { "date-parts" : [ [ "2007", "9" ] ] }, "page" : "212-221", "title" : "Enhancement by PL 14736 of granulation and collagen organization in healing wounds and the potential role of egr-1 expression", "type" : "article-journal", "volume" : "570" }, "uris" : [ "http://www.mendeley.com/documents/?uuid=f86c942b-fa1b-4bfc-ab68-9f1313fc8537" ] } ], "mendeley" : { "formattedCitation" : "&lt;sup&gt;[16,42\u201347]&lt;/sup&gt;", "plainTextFormattedCitation" : "[16,42\u201347]", "previouslyFormattedCitation" : "(Cesarec et al., 2013; Chang et al., 2014, 2011; Hsieh et al., 2017; Huang et al., 2015; Tkal\u010devi\u0107 et al., 2007; Vukojevi\u0107 et al., 2018)" }, "properties" : {  }, "schema" : "https://github.com/citation-style-language/schema/raw/master/csl-citation.json" }</w:instrText>
      </w:r>
      <w:r w:rsidR="000D4D1A" w:rsidRPr="00CC34A3">
        <w:rPr>
          <w:rFonts w:ascii="Book Antiqua" w:eastAsia="Calibri" w:hAnsi="Book Antiqua" w:cs="Courier New"/>
          <w:color w:val="000000" w:themeColor="text1"/>
          <w:sz w:val="24"/>
          <w:szCs w:val="24"/>
          <w:lang w:val="en-US"/>
        </w:rPr>
        <w:fldChar w:fldCharType="separate"/>
      </w:r>
      <w:r w:rsidR="000D4D1A" w:rsidRPr="00CC34A3">
        <w:rPr>
          <w:rFonts w:ascii="Book Antiqua" w:eastAsia="Calibri" w:hAnsi="Book Antiqua" w:cs="Courier New"/>
          <w:color w:val="000000" w:themeColor="text1"/>
          <w:sz w:val="24"/>
          <w:szCs w:val="24"/>
          <w:vertAlign w:val="superscript"/>
          <w:lang w:val="en-US"/>
        </w:rPr>
        <w:t>[16,42–47]</w:t>
      </w:r>
      <w:r w:rsidR="000D4D1A" w:rsidRPr="00CC34A3">
        <w:rPr>
          <w:rFonts w:ascii="Book Antiqua" w:eastAsia="Calibri" w:hAnsi="Book Antiqua" w:cs="Courier New"/>
          <w:color w:val="000000" w:themeColor="text1"/>
          <w:sz w:val="24"/>
          <w:szCs w:val="24"/>
          <w:lang w:val="en-US"/>
        </w:rPr>
        <w:fldChar w:fldCharType="end"/>
      </w:r>
      <w:r w:rsidR="000D4D1A" w:rsidRPr="00CC34A3">
        <w:rPr>
          <w:rFonts w:ascii="Book Antiqua" w:eastAsia="Calibri" w:hAnsi="Book Antiqua" w:cs="Courier New"/>
          <w:color w:val="000000" w:themeColor="text1"/>
          <w:sz w:val="24"/>
          <w:szCs w:val="24"/>
          <w:lang w:val="en-US"/>
        </w:rPr>
        <w:t>, and thereby,</w:t>
      </w:r>
      <w:r w:rsidR="000D4D1A" w:rsidRPr="00CC34A3">
        <w:rPr>
          <w:rFonts w:ascii="Book Antiqua" w:hAnsi="Book Antiqua" w:cs="Courier New"/>
          <w:color w:val="000000" w:themeColor="text1"/>
          <w:sz w:val="24"/>
          <w:szCs w:val="24"/>
          <w:lang w:val="en-US"/>
        </w:rPr>
        <w:t xml:space="preserve"> the rapid recruitment of existing blood vessels following ongoing harmful events instead otherwise poor </w:t>
      </w:r>
      <w:r w:rsidR="00773972" w:rsidRPr="00CC34A3">
        <w:rPr>
          <w:rFonts w:ascii="Book Antiqua" w:hAnsi="Book Antiqua" w:cs="Courier New"/>
          <w:color w:val="000000" w:themeColor="text1"/>
          <w:sz w:val="24"/>
          <w:szCs w:val="24"/>
          <w:lang w:val="en-US"/>
        </w:rPr>
        <w:t xml:space="preserve">response to increased demands. </w:t>
      </w:r>
      <w:r w:rsidR="000D4D1A" w:rsidRPr="00CC34A3">
        <w:rPr>
          <w:rFonts w:ascii="Book Antiqua" w:hAnsi="Book Antiqua" w:cs="Courier New"/>
          <w:color w:val="000000" w:themeColor="text1"/>
          <w:sz w:val="24"/>
          <w:szCs w:val="24"/>
          <w:lang w:val="en-US"/>
        </w:rPr>
        <w:t xml:space="preserve">Combined, these findings may substantiate the effects of which were seen at the later time point. In addition, this may accentuate the original </w:t>
      </w:r>
      <w:proofErr w:type="spellStart"/>
      <w:r w:rsidR="000D4D1A" w:rsidRPr="00CC34A3">
        <w:rPr>
          <w:rFonts w:ascii="Book Antiqua" w:hAnsi="Book Antiqua" w:cs="Courier New"/>
          <w:color w:val="000000" w:themeColor="text1"/>
          <w:sz w:val="24"/>
          <w:szCs w:val="24"/>
          <w:lang w:val="en-US"/>
        </w:rPr>
        <w:t>cytoprotection</w:t>
      </w:r>
      <w:proofErr w:type="spellEnd"/>
      <w:r w:rsidR="000D4D1A" w:rsidRPr="00CC34A3">
        <w:rPr>
          <w:rFonts w:ascii="Book Antiqua" w:hAnsi="Book Antiqua" w:cs="Courier New"/>
          <w:color w:val="000000" w:themeColor="text1"/>
          <w:sz w:val="24"/>
          <w:szCs w:val="24"/>
          <w:lang w:val="en-US"/>
        </w:rPr>
        <w:t xml:space="preserve"> understanding (endothelium maintenance → epithelium maintenance)</w:t>
      </w:r>
      <w:r w:rsidR="000D4D1A" w:rsidRPr="00CC34A3">
        <w:rPr>
          <w:rFonts w:ascii="Book Antiqua" w:eastAsia="Calibri" w:hAnsi="Book Antiqua" w:cs="Courier New"/>
          <w:color w:val="000000" w:themeColor="text1"/>
          <w:sz w:val="24"/>
          <w:szCs w:val="24"/>
          <w:lang w:val="en-US"/>
        </w:rPr>
        <w:fldChar w:fldCharType="begin" w:fldLock="1"/>
      </w:r>
      <w:r w:rsidR="000D4D1A" w:rsidRPr="00CC34A3">
        <w:rPr>
          <w:rFonts w:ascii="Book Antiqua" w:eastAsia="Calibri" w:hAnsi="Book Antiqua" w:cs="Courier New"/>
          <w:color w:val="000000" w:themeColor="text1"/>
          <w:sz w:val="24"/>
          <w:szCs w:val="24"/>
          <w:lang w:val="en-US"/>
        </w:rPr>
        <w:instrText>ADDIN CSL_CITATION { "citationItems" : [ { "id" : "ITEM-1", "itemData" : { "DOI" : "10.1007/978-1-4684-5697-4_4", "author" : [ { "dropping-particle" : "", "family" : "Szabo", "given" : "Sandor", "non-dropping-particle" : "", "parse-names" : false, "suffix" : "" } ], "container-title" : "Gastric Cytoprotection", "id" : "ITEM-1", "issued" : { "date-parts" : [ [ "1989" ] ] }, "page" : "49-73", "publisher" : "Springer US", "publisher-place" : "Boston, MA", "title" : "Mechanisms of Mucosal Protection", "type" : "chapter" }, "uris" : [ "http://www.mendeley.com/documents/?uuid=d88f8e6b-1a39-4b24-96bf-cfb05f28ef11" ] }, { "id" : "ITEM-2", "itemData" : { "author" : [ { "dropping-particle" : "", "family" : "Szabo", "given" : "Sandor", "non-dropping-particle" : "", "parse-names" : false, "suffix" : "" }, { "dropping-particle" : "", "family" : "Trier", "given" : "JS", "non-dropping-particle" : "", "parse-names" : false, "suffix" : "" } ], "container-title" : "Mechanism of mucosal protection in the upper gastrointestinal tract", "editor" : [ { "dropping-particle" : "", "family" : "Allen", "given" : "A", "non-dropping-particle" : "", "parse-names" : false, "suffix" : "" }, { "dropping-particle" : "", "family" : "Flemstrom", "given" : "G", "non-dropping-particle" : "", "parse-names" : false, "suffix" : "" }, { "dropping-particle" : "", "family" : "Garner", "given" : "A", "non-dropping-particle" : "", "parse-names" : false, "suffix" : "" }, { "dropping-particle" : "", "family" : "Silen", "given" : "W", "non-dropping-particle" : "", "parse-names" : false, "suffix" : "" }, { "dropping-particle" : "", "family" : "Turnberg", "given" : "LA", "non-dropping-particle" : "", "parse-names" : false, "suffix" : "" } ], "id" : "ITEM-2", "issued" : { "date-parts" : [ [ "1984" ] ] }, "page" : "387-393", "publisher" : "Raven", "publisher-place" : "New York", "title" : "Pathogenesis of acute gastric mucosal injury: Sulfhydrils as a protector, adrenal cortex as a modulator, and vascular endothelium as a target", "type" : "chapter" }, "uris" : [ "http://www.mendeley.com/documents/?uuid=21df94ec-a5e2-4420-85db-5334a540ef21" ] }, { "id" : "ITEM-3", "itemData" : { "ISSN" : "0016-5085", "PMID" : "3781180", "abstract" : "Impairment of the mucosal microcirculation may contribute to ethanol-induced gastric mucosal damage. In this report, we describe diffuse and severe ultrastructural damage to the capillaries of the gastric glandular mucosa of the rat that occurred within 1 min after intragastric instillation of 100% ethanol. There was a gradient of damage in that endothelial cell structure was most severely disrupted in profiles of capillaries located close to the luminal surface but some morphologic evidence of damage was evident in the wall of capillary profiles to a mean depth of 256 micron. Capillary structure was generally normal in the deeper regions of the mucosa. Pretreatment with intragastric cysteamine, 30 mg/100 g, or intragastric prostaglandin F2 beta, 0.5 mg/100 g, significantly reduced the depth in the mucosa to which damage to capillaries extended. Pretreatment with intragastric prostaglandin F2 beta, 0.2 mg/100 g, afforded no significant protection. We conclude that a 1-min exposure to 100% ethanol induces striking damage to the microcirculation of glandular mucosa of the rat stomach with severe damage to capillary profiles near the lumen and sparing of capillary profiles near the muscularis mucosa, and pretreatment with the sulfhydryl agent, cysteamine, or with a large dose of prostaglandin F2 beta reduces the extent of but does not abolish ethanol-induced damage to gastric mucosal capillaries.", "author" : [ { "dropping-particle" : "", "family" : "Trier", "given" : "JS", "non-dropping-particle" : "", "parse-names" : false, "suffix" : "" }, { "dropping-particle" : "", "family" : "Szabo", "given" : "S", "non-dropping-particle" : "", "parse-names" : false, "suffix" : "" }, { "dropping-particle" : "", "family" : "Allan", "given" : "CH", "non-dropping-particle" : "", "parse-names" : false, "suffix" : "" } ], "container-title" : "Gastroenterology", "id" : "ITEM-3", "issue" : "1", "issued" : { "date-parts" : [ [ "1987", "1" ] ] }, "page" : "13-22", "title" : "Ethanol-induced damage to mucosal capillaries of rat stomach. Ultrastructural features and effects of prostaglandin F2 beta and cysteamine.", "type" : "article-journal", "volume" : "92" }, "uris" : [ "http://www.mendeley.com/documents/?uuid=c3f098f1-f060-4c67-9911-5ab2b4c90217" ] }, { "id" : "ITEM-4", "itemData" : { "ISSN" : "0016-5085", "PMID" : "3871087", "abstract" : "The hypothesis that vascular injury contributes to the development of hemorrhagic erosions after intragastric administration of ethanol has been examined in the rat using vascular tracers. Extravasation of intravenously injected Evans blue into the gastric wall and into gastric contents was used as an indicator of vascular permeability. India ink and monastral blue, which label damaged blood vessels, were used to demonstrate vascular injury morphologically. Intragastric instillation of 75% and 100% ethanol induced increased vascular permeability within 1-3 min and resulted in monastral blue labeling of vessels in 13% and 17%, respectively, of the glandular mucosa within 1 min. After 1 h of 100% ethanol exposure, the areal density of monastral blue-stained blood vessels did not increase compared with that seen at 1 min, but the areal density of grossly visible hemorrhagic lesions increased strikingly and approximated that of vessel staining. The hemorrhagic erosions consistently occurred in regions of glandular mucosa where vessels were stained with monastral blue. Pretreatment with prostaglandin F2 beta or cysteamine reduced ethanol-induced Evans blue extravasation and monastral blue staining of mucosal blood vessels but did not reduce histologic evidence of gastric surface cell damage in the glandular mucosa. As increased vascular permeability and morphologically detectable vascular lesions consistently preceded the development of grossly visible hemorrhagic erosions in the glandular mucosa, we suggest that vascular injury is an early pathogenetic factor in the development of ethanol-induced gastric hemorrhagic erosions. The data also indicate that the degree of vascular damage, unlike the injury to surface epithelial cells, is reduced by pretreatment with prostaglandin F2 beta or the sulfhydryl cysteamine.", "author" : [ { "dropping-particle" : "", "family" : "Szabo", "given" : "S", "non-dropping-particle" : "", "parse-names" : false, "suffix" : "" }, { "dropping-particle" : "", "family" : "Trier", "given" : "J S", "non-dropping-particle" : "", "parse-names" : false, "suffix" : "" }, { "dropping-particle" : "", "family" : "Brown", "given" : "A", "non-dropping-particle" : "", "parse-names" : false, "suffix" : "" }, { "dropping-particle" : "", "family" : "Schnoor", "given" : "J", "non-dropping-particle" : "", "parse-names" : false, "suffix" : "" } ], "container-title" : "Gastroenterology", "id" : "ITEM-4", "issue" : "1 Pt 2", "issued" : { "date-parts" : [ [ "1985", "1" ] ] }, "page" : "228-36", "title" : "Early vascular injury and increased vascular permeability in gastric mucosal injury caused by ethanol in the rat.", "type" : "article-journal", "volume" : "88" }, "uris" : [ "http://www.mendeley.com/documents/?uuid=a3272911-ef25-495c-85d1-1b71d1d7f12e" ] }, { "id" : "ITEM-5", "itemData" : { "ISSN" : "0024-3205", "PMID" : "7904712", "abstract" : "The protection of stomach and duodenum in conjecture with anti-inflammatory effect was demonstrated for a novel 15 amino acid peptide, coded BPC 157, a fragment of the recently discovered gastric juice peptide BPC. BPC 157 (i.p./i.g.) was investigated in rats in comparison with several reference standards in three experimental ulcer models (48 h-restraint stress, subcutaneous cysteamine, intragastrical 96% ethanol ulcer tests) (pre-/co-/post-treatment). Only BPC 157 regimens were consistently effective in all of the tested models. On the other hand, bromocriptine, amantadine, famotidine, cimetidine and somatostatin were ineffective (restraint stress). A dose-dependent protection (cysteamine) and/or partial positive effect (related to treatment conditions) (ethanol), was obtained with glucagon, NPY and secretin whereas CCK/26-30/was not effective. Based on Monastral blue studies BPC 157 beneficial effect appears to be related to a strong endothelial protection.", "author" : [ { "dropping-particle" : "", "family" : "Sikiric", "given" : "P", "non-dropping-particle" : "", "parse-names" : false, "suffix" : "" }, { "dropping-particle" : "", "family" : "Seiwerth", "given" : "S", "non-dropping-particle" : "", "parse-names" : false, "suffix" : "" }, { "dropping-particle" : "", "family" : "Grabarevic", "given" : "Z", "non-dropping-particle" : "", "parse-names" : false, "suffix" : "" }, { "dropping-particle" : "", "family" : "Petek", "given" : "M", "non-dropping-particle" : "", "parse-names" : false, "suffix" : "" }, { "dropping-particle" : "", "family" : "Rucman", "given" : "R", "non-dropping-particle" : "", "parse-names" : false, "suffix" : "" }, { "dropping-particle" : "", "family" : "Turkovic", "given" : "B", "non-dropping-particle" : "", "parse-names" : false, "suffix" : "" }, { "dropping-particle" : "", "family" : "Rotkvic", "given" : "I", "non-dropping-particle" : "", "parse-names" : false, "suffix" : "" }, { "dropping-particle" : "", "family" : "Jagic", "given" : "V", "non-dropping-particle" : "", "parse-names" : false, "suffix" : "" }, { "dropping-particle" : "", "family" : "Duvnjak", "given" : "M", "non-dropping-particle" : "", "parse-names" : false, "suffix" : "" }, { "dropping-particle" : "", "family" : "Mise", "given" : "S", "non-dropping-particle" : "", "parse-names" : false, "suffix" : "" } ], "container-title" : "Life sciences", "id" : "ITEM-5", "issue" : "5", "issued" : { "date-parts" : [ [ "1994" ] ] }, "page" : "PL63-8", "title" : "The beneficial effect of BPC 157, a 15 amino acid peptide BPC fragment, on gastric and duodenal lesions induced by restraint stress, cysteamine and 96% ethanol in rats. A comparative study with H2 receptor antagonists, dopamine promotors and gut peptides.", "type" : "article-journal", "volume" : "54" }, "uris" : [ "http://www.mendeley.com/documents/?uuid=2aa4e8e1-46ae-4739-88c5-de4cb0e272b1" ] } ], "mendeley" : { "formattedCitation" : "&lt;sup&gt;[17\u201321]&lt;/sup&gt;", "plainTextFormattedCitation" : "[17\u201321]", "previouslyFormattedCitation" : "(Sikiric et al., 1994; Szabo, 1989; Szabo et al., 1985; Szabo and Trier, 1984; Trier et al., 1987)" }, "properties" : {  }, "schema" : "https://github.com/citation-style-language/schema/raw/master/csl-citation.json" }</w:instrText>
      </w:r>
      <w:r w:rsidR="000D4D1A" w:rsidRPr="00CC34A3">
        <w:rPr>
          <w:rFonts w:ascii="Book Antiqua" w:eastAsia="Calibri" w:hAnsi="Book Antiqua" w:cs="Courier New"/>
          <w:color w:val="000000" w:themeColor="text1"/>
          <w:sz w:val="24"/>
          <w:szCs w:val="24"/>
          <w:lang w:val="en-US"/>
        </w:rPr>
        <w:fldChar w:fldCharType="separate"/>
      </w:r>
      <w:r w:rsidR="000D4D1A" w:rsidRPr="00CC34A3">
        <w:rPr>
          <w:rFonts w:ascii="Book Antiqua" w:eastAsia="Calibri" w:hAnsi="Book Antiqua" w:cs="Courier New"/>
          <w:color w:val="000000" w:themeColor="text1"/>
          <w:sz w:val="24"/>
          <w:szCs w:val="24"/>
          <w:vertAlign w:val="superscript"/>
          <w:lang w:val="en-US"/>
        </w:rPr>
        <w:t>[17–21]</w:t>
      </w:r>
      <w:r w:rsidR="000D4D1A" w:rsidRPr="00CC34A3">
        <w:rPr>
          <w:rFonts w:ascii="Book Antiqua" w:eastAsia="Calibri" w:hAnsi="Book Antiqua" w:cs="Courier New"/>
          <w:color w:val="000000" w:themeColor="text1"/>
          <w:sz w:val="24"/>
          <w:szCs w:val="24"/>
          <w:lang w:val="en-US"/>
        </w:rPr>
        <w:fldChar w:fldCharType="end"/>
      </w:r>
      <w:r w:rsidR="000D4D1A" w:rsidRPr="00CC34A3">
        <w:rPr>
          <w:rFonts w:ascii="Book Antiqua" w:hAnsi="Book Antiqua" w:cs="Courier New"/>
          <w:color w:val="000000" w:themeColor="text1"/>
          <w:sz w:val="24"/>
          <w:szCs w:val="24"/>
          <w:lang w:val="en-US"/>
        </w:rPr>
        <w:t xml:space="preserve"> to the complexity of reestablishing original flow by bypassing occlusion</w:t>
      </w:r>
      <w:r w:rsidR="000D4D1A" w:rsidRPr="00CC34A3">
        <w:rPr>
          <w:rFonts w:ascii="Book Antiqua" w:eastAsia="Calibri" w:hAnsi="Book Antiqua" w:cs="Courier New"/>
          <w:color w:val="000000" w:themeColor="text1"/>
          <w:sz w:val="24"/>
          <w:szCs w:val="24"/>
          <w:lang w:val="en-US"/>
        </w:rPr>
        <w:fldChar w:fldCharType="begin" w:fldLock="1"/>
      </w:r>
      <w:r w:rsidR="000D4D1A"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0D4D1A" w:rsidRPr="00CC34A3">
        <w:rPr>
          <w:rFonts w:ascii="Book Antiqua" w:eastAsia="Calibri" w:hAnsi="Book Antiqua" w:cs="Courier New"/>
          <w:color w:val="000000" w:themeColor="text1"/>
          <w:sz w:val="24"/>
          <w:szCs w:val="24"/>
          <w:lang w:val="en-US"/>
        </w:rPr>
        <w:fldChar w:fldCharType="separate"/>
      </w:r>
      <w:r w:rsidR="000D4D1A" w:rsidRPr="00CC34A3">
        <w:rPr>
          <w:rFonts w:ascii="Book Antiqua" w:eastAsia="Calibri" w:hAnsi="Book Antiqua" w:cs="Courier New"/>
          <w:color w:val="000000" w:themeColor="text1"/>
          <w:sz w:val="24"/>
          <w:szCs w:val="24"/>
          <w:vertAlign w:val="superscript"/>
          <w:lang w:val="en-US"/>
        </w:rPr>
        <w:t>[15,16]</w:t>
      </w:r>
      <w:r w:rsidR="000D4D1A" w:rsidRPr="00CC34A3">
        <w:rPr>
          <w:rFonts w:ascii="Book Antiqua" w:eastAsia="Calibri" w:hAnsi="Book Antiqua" w:cs="Courier New"/>
          <w:color w:val="000000" w:themeColor="text1"/>
          <w:sz w:val="24"/>
          <w:szCs w:val="24"/>
          <w:lang w:val="en-US"/>
        </w:rPr>
        <w:fldChar w:fldCharType="end"/>
      </w:r>
      <w:r w:rsidR="000D4D1A" w:rsidRPr="00CC34A3">
        <w:rPr>
          <w:rFonts w:ascii="Book Antiqua" w:hAnsi="Book Antiqua" w:cs="Courier New"/>
          <w:color w:val="000000" w:themeColor="text1"/>
          <w:sz w:val="24"/>
          <w:szCs w:val="24"/>
          <w:lang w:val="en-US"/>
        </w:rPr>
        <w:t xml:space="preserve">. And thereby, we </w:t>
      </w:r>
      <w:r w:rsidR="000D4D1A" w:rsidRPr="00CC34A3">
        <w:rPr>
          <w:rFonts w:ascii="Book Antiqua" w:hAnsi="Book Antiqua" w:cs="Courier New"/>
          <w:color w:val="000000" w:themeColor="text1"/>
          <w:sz w:val="24"/>
          <w:szCs w:val="24"/>
          <w:lang w:val="en-US"/>
        </w:rPr>
        <w:lastRenderedPageBreak/>
        <w:t xml:space="preserve">documented recovery of SAPDV-occlusion by AIPDV </w:t>
      </w:r>
      <w:r w:rsidR="000D4D1A" w:rsidRPr="00CC34A3">
        <w:rPr>
          <w:rFonts w:ascii="Book Antiqua" w:hAnsi="Book Antiqua" w:cs="Calibri"/>
          <w:color w:val="000000" w:themeColor="text1"/>
          <w:sz w:val="24"/>
          <w:szCs w:val="24"/>
          <w:lang w:val="en-US"/>
        </w:rPr>
        <w:t>→</w:t>
      </w:r>
      <w:r w:rsidR="000D4D1A" w:rsidRPr="00CC34A3">
        <w:rPr>
          <w:rFonts w:ascii="Book Antiqua" w:hAnsi="Book Antiqua" w:cs="Courier New"/>
          <w:color w:val="000000" w:themeColor="text1"/>
          <w:sz w:val="24"/>
          <w:szCs w:val="24"/>
          <w:lang w:val="en-US"/>
        </w:rPr>
        <w:t xml:space="preserve"> SMV, or ICV-occlusion by LOV and other veins</w:t>
      </w:r>
      <w:r w:rsidR="000D4D1A" w:rsidRPr="00CC34A3">
        <w:rPr>
          <w:rFonts w:ascii="Book Antiqua" w:eastAsia="Calibri" w:hAnsi="Book Antiqua" w:cs="Courier New"/>
          <w:color w:val="000000" w:themeColor="text1"/>
          <w:sz w:val="24"/>
          <w:szCs w:val="24"/>
          <w:lang w:val="en-US"/>
        </w:rPr>
        <w:fldChar w:fldCharType="begin" w:fldLock="1"/>
      </w:r>
      <w:r w:rsidR="000D4D1A" w:rsidRPr="00CC34A3">
        <w:rPr>
          <w:rFonts w:ascii="Book Antiqua" w:eastAsia="Calibri" w:hAnsi="Book Antiqua" w:cs="Courier New"/>
          <w:color w:val="000000" w:themeColor="text1"/>
          <w:sz w:val="24"/>
          <w:szCs w:val="24"/>
          <w:lang w:val="en-US"/>
        </w:rPr>
        <w:instrText>ADDIN CSL_CITATION { "citationItems" : [ { "id" : "ITEM-1",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"ITEM-1",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"&lt;sup&gt;[16]&lt;/sup&gt;", "plainTextFormattedCitation" : "[16]", "previouslyFormattedCitation" : "(Vukojevi\u0107 et al., 2018)" }, "properties" : {  }, "schema" : "https://github.com/citation-style-language/schema/raw/master/csl-citation.json" }</w:instrText>
      </w:r>
      <w:r w:rsidR="000D4D1A" w:rsidRPr="00CC34A3">
        <w:rPr>
          <w:rFonts w:ascii="Book Antiqua" w:eastAsia="Calibri" w:hAnsi="Book Antiqua" w:cs="Courier New"/>
          <w:color w:val="000000" w:themeColor="text1"/>
          <w:sz w:val="24"/>
          <w:szCs w:val="24"/>
          <w:lang w:val="en-US"/>
        </w:rPr>
        <w:fldChar w:fldCharType="separate"/>
      </w:r>
      <w:r w:rsidR="000D4D1A" w:rsidRPr="00CC34A3">
        <w:rPr>
          <w:rFonts w:ascii="Book Antiqua" w:eastAsia="Calibri" w:hAnsi="Book Antiqua" w:cs="Courier New"/>
          <w:color w:val="000000" w:themeColor="text1"/>
          <w:sz w:val="24"/>
          <w:szCs w:val="24"/>
          <w:vertAlign w:val="superscript"/>
          <w:lang w:val="en-US"/>
        </w:rPr>
        <w:t>[16]</w:t>
      </w:r>
      <w:r w:rsidR="000D4D1A" w:rsidRPr="00CC34A3">
        <w:rPr>
          <w:rFonts w:ascii="Book Antiqua" w:eastAsia="Calibri" w:hAnsi="Book Antiqua" w:cs="Courier New"/>
          <w:color w:val="000000" w:themeColor="text1"/>
          <w:sz w:val="24"/>
          <w:szCs w:val="24"/>
          <w:lang w:val="en-US"/>
        </w:rPr>
        <w:fldChar w:fldCharType="end"/>
      </w:r>
      <w:r w:rsidR="000D4D1A" w:rsidRPr="00CC34A3">
        <w:rPr>
          <w:rFonts w:ascii="Book Antiqua" w:hAnsi="Book Antiqua" w:cs="Courier New"/>
          <w:color w:val="000000" w:themeColor="text1"/>
          <w:sz w:val="24"/>
          <w:szCs w:val="24"/>
          <w:lang w:val="en-US"/>
        </w:rPr>
        <w:t>, or even two obstructions, the proximal and distal ligations in the left colic artery and vein through arcades within the ligations in rats with colitis</w:t>
      </w:r>
      <w:r w:rsidR="000D4D1A" w:rsidRPr="00CC34A3">
        <w:rPr>
          <w:rFonts w:ascii="Book Antiqua" w:eastAsia="Calibri" w:hAnsi="Book Antiqua" w:cs="Courier New"/>
          <w:color w:val="000000" w:themeColor="text1"/>
          <w:sz w:val="24"/>
          <w:szCs w:val="24"/>
          <w:lang w:val="en-US"/>
        </w:rPr>
        <w:fldChar w:fldCharType="begin" w:fldLock="1"/>
      </w:r>
      <w:r w:rsidR="000D4D1A"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"mendeley" : { "formattedCitation" : "&lt;sup&gt;[15]&lt;/sup&gt;", "plainTextFormattedCitation" : "[15]", "previouslyFormattedCitation" : "(Duzel et al., 2017)" }, "properties" : {  }, "schema" : "https://github.com/citation-style-language/schema/raw/master/csl-citation.json" }</w:instrText>
      </w:r>
      <w:r w:rsidR="000D4D1A" w:rsidRPr="00CC34A3">
        <w:rPr>
          <w:rFonts w:ascii="Book Antiqua" w:eastAsia="Calibri" w:hAnsi="Book Antiqua" w:cs="Courier New"/>
          <w:color w:val="000000" w:themeColor="text1"/>
          <w:sz w:val="24"/>
          <w:szCs w:val="24"/>
          <w:lang w:val="en-US"/>
        </w:rPr>
        <w:fldChar w:fldCharType="separate"/>
      </w:r>
      <w:r w:rsidR="000D4D1A" w:rsidRPr="00CC34A3">
        <w:rPr>
          <w:rFonts w:ascii="Book Antiqua" w:eastAsia="Calibri" w:hAnsi="Book Antiqua" w:cs="Courier New"/>
          <w:color w:val="000000" w:themeColor="text1"/>
          <w:sz w:val="24"/>
          <w:szCs w:val="24"/>
          <w:vertAlign w:val="superscript"/>
          <w:lang w:val="en-US"/>
        </w:rPr>
        <w:t>[15]</w:t>
      </w:r>
      <w:r w:rsidR="000D4D1A" w:rsidRPr="00CC34A3">
        <w:rPr>
          <w:rFonts w:ascii="Book Antiqua" w:eastAsia="Calibri" w:hAnsi="Book Antiqua" w:cs="Courier New"/>
          <w:color w:val="000000" w:themeColor="text1"/>
          <w:sz w:val="24"/>
          <w:szCs w:val="24"/>
          <w:lang w:val="en-US"/>
        </w:rPr>
        <w:fldChar w:fldCharType="end"/>
      </w:r>
      <w:r w:rsidR="000D4D1A" w:rsidRPr="00CC34A3">
        <w:rPr>
          <w:rFonts w:ascii="Book Antiqua" w:hAnsi="Book Antiqua" w:cs="Courier New"/>
          <w:color w:val="000000" w:themeColor="text1"/>
          <w:sz w:val="24"/>
          <w:szCs w:val="24"/>
          <w:lang w:val="en-US"/>
        </w:rPr>
        <w:t>. Furthermore, its subsequent strong angiogenic effect and its healing effects</w:t>
      </w:r>
      <w:r w:rsidR="000D4D1A" w:rsidRPr="00CC34A3">
        <w:rPr>
          <w:rFonts w:ascii="Book Antiqua" w:eastAsia="Calibri" w:hAnsi="Book Antiqua" w:cs="Courier New"/>
          <w:color w:val="000000" w:themeColor="text1"/>
          <w:sz w:val="24"/>
          <w:szCs w:val="24"/>
          <w:lang w:val="en-US"/>
        </w:rPr>
        <w:fldChar w:fldCharType="begin" w:fldLock="1"/>
      </w:r>
      <w:r w:rsidR="000D4D1A" w:rsidRPr="00CC34A3">
        <w:rPr>
          <w:rFonts w:ascii="Book Antiqua" w:eastAsia="Calibri" w:hAnsi="Book Antiqua" w:cs="Courier New"/>
          <w:color w:val="000000" w:themeColor="text1"/>
          <w:sz w:val="24"/>
          <w:szCs w:val="24"/>
          <w:lang w:val="en-US"/>
        </w:rPr>
        <w:instrText>ADDIN CSL_CITATION { "citationItems" : [ { "id" : "ITEM-1", "itemData" : { "DOI" : "10.1007/s10787-006-1531-7", "ISSN" : "0925-4692", "PMID" : "17186181", "abstract" : "Gastric pentadecapeptide BPC 157 (GEPPPGKPADDAGLV, M.W. 1419, safe in clinical trials for inflammatory bowel disease (PL 10, PLD 116, PLD 14736, Pliva, Croatia)) has a particular cytoprotective/adaptive cytoprotective activity. The cytoprotective/adaptive cytoprotection researches largely neglect that stomach distension could per se jeopardize the mucosal integrity, with constantly stretched mucosa and blood vessels, and sphincters more prone for reflux induction. After absolute alcohol instillation in fully distended rat stomach, gastric, esophageal and duodenal lesions occur. Throughout next 3 min, left gastric artery blood vessels clearly disappear at the serosal site, indicative for loss of vessels both integrity and function. Contrary, constant vessels presentation could predict the beneficial effect of applied agent. After pentadecapeptide BPC 157 instillation into the stomach the vessels presentation remains constant, and lesions of stomach, esophagus, and duodenum are inhibited. Standards (atropine, ranitidine, omeprazole) could only slightly improve the vessels presentation compared to control values, and they have only a partial effect on the lesions. In this review we emphasize BPC 157 unusual stability, and some of its important effects: effectiveness against various lesions in gastrointestinal tract, on nitric oxide (NO)-system, and NO-agents effects, on somatosensory neurons, salivary glands function, recovery of AMP-ADP-ATP system, endothelium protection, effect on endothelin, and on angiogenesis promotion. It also antagonizes other alcohol effects, including acute and chronic intoxication. Given peripherally, it counteracts the consequence of central dopamine system disturbances (receptor blockade), and induces serotonin release in substantia nigra. Therapeutic potential of BPC 157 as a cytoprotective agent is also seen in its capability to heal various wounds. Given directly into the stomach, BPC 157 instantly recovers disturbed lower esophageal and pyloric sphincter pressure in rats after 12-20 months of untreated esophagitis. All these could be suggestive for its role as a natural protectant in gastric juice with particular function throughout stomach distension.", "author" : [ { "dropping-particle" : "", "family" : "Sikiric", "given" : "P.", "non-dropping-particle" : "", "parse-names" : false, "suffix" : "" }, { "dropping-particle" : "", "family" : "Seiwerth", "given" : "S.", "non-dropping-particle" : "", "parse-names" : false, "suffix" : "" }, { "dropping-particle" : "", "family" : "Brcic", "given" : "L.", "non-dropping-particle" : "", "parse-names" : false, "suffix" : "" }, { "dropping-particle" : "", "family" : "Blagaic", "given" : "A B", "non-dropping-particle" : "", "parse-names" : false, "suffix" : "" }, { "dropping-particle" : "", "family" : "Zoricic", "given" : "I.", "non-dropping-particle" : "", "parse-names" : false, "suffix" : "" }, { "dropping-particle" : "", "family" : "Sever", "given" : "M.", "non-dropping-particle" : "", "parse-names" : false, "suffix" : "" }, { "dropping-particle" : "", "family" : "Klicek", "given" : "R.", "non-dropping-particle" : "", "parse-names" : false, "suffix" : "" }, { "dropping-particle" : "", "family" : "Radic", "given" : "B.", "non-dropping-particle" : "", "parse-names" : false, "suffix" : "" }, { "dropping-particle" : "", "family" : "Keller", "given" : "N.", "non-dropping-particle" : "", "parse-names" : false, "suffix" : "" }, { "dropping-particle" : "", "family" : "Sipos", "given" : "K.", "non-dropping-particle" : "", "parse-names" : false, "suffix" : "" }, { "dropping-particle" : "", "family" : "Jakir", "given" : "A.", "non-dropping-particle" : "", "parse-names" : false, "suffix" : "" }, { "dropping-particle" : "", "family" : "Udovicic", "given" : "M.", "non-dropping-particle" : "", "parse-names" : false, "suffix" : "" }, { "dropping-particle" : "", "family" : "Tonkic", "given" : "A.", "non-dropping-particle" : "", "parse-names" : false, "suffix" : "" }, { "dropping-particle" : "", "family" : "Kokic", "given" : "N.", "non-dropping-particle" : "", "parse-names" : false, "suffix" : "" }, { "dropping-particle" : "", "family" : "Turkovic", "given" : "B.", "non-dropping-particle" : "", "parse-names" : false, "suffix" : "" }, { "dropping-particle" : "", "family" : "Mise", "given" : "S.", "non-dropping-particle" : "", "parse-names" : false, "suffix" : "" }, { "dropping-particle" : "", "family" : "Anic", "given" : "T.", "non-dropping-particle" : "", "parse-names" : false, "suffix" : "" } ], "container-title" : "Inflammopharmacology", "id" : "ITEM-1", "issue" : "5-6", "issued" : { "date-parts" : [ [ "2006", "12" ] ] }, "page" : "214-21", "title" : "Stable gastric pentadecapeptide BPC 157 in trials for inflammatory bowel disease (PL-10, PLD-116, PL 14736, Pliva, Croatia). Full and distended stomach, and vascular response.", "type" : "article-journal", "volume" : "14" }, "uris" : [ "http://www.mendeley.com/documents/?uuid=a21321d3-6201-3777-b54c-60d2c5d4ff9a" ] }, { "id" : "ITEM-2", "itemData" : { "DOI" : "10.1007/s00109-016-1488-y", "ISSN" : "0946-2716", "author" : [ { "dropping-particle" : "", "family" : "Hsieh", "given" : "Ming-Jer", "non-dropping-particle" : "", "parse-names" : false, "suffix" : "" }, { "dropping-particle" : "", "family" : "Liu", "given" : "Hsien-Ta", "non-dropping-particle" : "", "parse-names" : false, "suffix" : "" }, { "dropping-particle" : "", "family" : "Wang", "given" : "Chao-Nin", "non-dropping-particle" : "", "parse-names" : false, "suffix" : "" }, { "dropping-particle" : "", "family" : "Huang", "given" : "Hsiu-Yun", "non-dropping-particle" : "", "parse-names" : false, "suffix" : "" }, { "dropping-particle" : "", "family" : "Lin", "given" : "Yuling", "non-dropping-particle" : "", "parse-names" : false, "suffix" : "" }, { "dropping-particle" : "", "family" : "Ko", "given" : "Yu-Shien", "non-dropping-particle" : "", "parse-names" : false, "suffix" : "" }, { "dropping-particle" : "", "family" : "Wang", "given" : "Jong-Shyan", "non-dropping-particle" : "", "parse-names" : false, "suffix" : "" }, { "dropping-particle" : "", "family" : "Chang", "given" : "Vincent Hung-Shu", "non-dropping-particle" : "", "parse-names" : false, "suffix" : "" }, { "dropping-particle" : "", "family" : "Pang", "given" : "Jong-Hwei S.", "non-dropping-particle" : "", "parse-names" : false, "suffix" : "" } ], "container-title" : "Journal of Molecular Medicine", "id" : "ITEM-2", "issue" : "3", "issued" : { "date-parts" : [ [ "2017", "3", "15" ] ] }, "page" : "323-333", "title" : "Therapeutic potential of pro-angiogenic BPC157 is associated with VEGFR2 activation and up-regulation", "type" : "article-journal", "volume" : "95" }, "uris" : [ "http://www.mendeley.com/documents/?uuid=a40b4135-8310-40c1-b83e-dce5a6cf8d4e" ] }, { "id" : "ITEM-3", "itemData" : { "DOI" : "10.2147/DDDT.S82030", "ISBN" : "1177-8881 (Electronic)\\r1177-8881 (Linking)", "ISSN" : "11778881", "PMID" : "25995620", "abstract" : "Chemical burns take up a high proportion of burns admissions and can penetrate deep into tissues. Various reagents have been applied in the treatment of skin chemical burns; however, no optimal reagent for skin chemical burns currently exists. The present study investigated the effect of topical body protective compound (BPC)-157 treatment on skin wound healing, using an alkali burn rat model. Topical treatment with BPC-157 was shown to accelerate wound closure following an alkali burn. Histological examination of skin sections with hematoxylin\u2013eosin and Masson staining showed better granulation tissue formation, reepithelialization, dermal remodeling, and a higher extent of collagen deposition when compared to the model control group on the 18th day postwounding. BPC-157 could promote vascular endothelial growth factor expression in wounded skin tissues. Furthermore, 3-(4,5-dimethylthiazol-2-yl)-2,5-diphenyltetrazolium bromide and cell cycle analysis demonstrated that BPC-157 enhanced the proliferation of human umbilical vein endothelial cells (HUVECs). Transwell assay and wound healing assay showed that BPC-157 significantly promoted migration of HUVECs. We also observed that BPC-157 upregulated the expression of VEGF-a and accelerated vascular tube formation in vitro. Moreover, further studies suggested that BPC-157 regulated the phosphorylation level of extracellular signal-regulated kinases 1 and 2 (ERK1/2) as well as its downstream targets, including c-Fos, c-Jun, and Egr-1, which are key molecules involved in cell growth, migration, and angiogenesis. Altogether, our results indicated that BPC-157 treatment may accelerate wound healing in a model of alkali burn-induced skin injury. The therapeutic mechanism may be associated with accelerated granulation tissue formation, reepithelialization, dermal remodeling, and collagen deposition through ERK1/2 signaling pathway.", "author" : [ { "dropping-particle" : "", "family" : "Huang", "given" : "Tonglie", "non-dropping-particle" : "", "parse-names" : false, "suffix" : "" }, { "dropping-particle" : "", "family" : "Zhang", "given" : "Kuo", "non-dropping-particle" : "", "parse-names" : false, "suffix" : "" }, { "dropping-particle" : "", "family" : "Sun", "given" : "Lijuan", "non-dropping-particle" : "", "parse-names" : false, "suffix" : "" }, { "dropping-particle" : "", "family" : "Xue", "given" : "Xiaochang", "non-dropping-particle" : "", "parse-names" : false, "suffix" : "" }, { "dropping-particle" : "", "family" : "Zhang", "given" : "Cun", "non-dropping-particle" : "", "parse-names" : false, "suffix" : "" }, { "dropping-particle" : "", "family" : "Shu", "given" : "Zhen", "non-dropping-particle" : "", "parse-names" : false, "suffix" : "" }, { "dropping-particle" : "", "family" : "Mu", "given" : "Nan", "non-dropping-particle" : "", "parse-names" : false, "suffix" : "" }, { "dropping-particle" : "", "family" : "Gu", "given" : "Jintao", "non-dropping-particle" : "", "parse-names" : false, "suffix" : "" }, { "dropping-particle" : "", "family" : "Zhang", "given" : "Wangqian", "non-dropping-particle" : "", "parse-names" : false, "suffix" : "" }, { "dropping-particle" : "", "family" : "Wang", "given" : "Yukun", "non-dropping-particle" : "", "parse-names" : false, "suffix" : "" }, { "dropping-particle" : "", "family" : "Zhang", "given" : "Yingqi", "non-dropping-particle" : "", "parse-names" : false, "suffix" : "" }, { "dropping-particle" : "", "family" : "Zhang", "given" : "Wei", "non-dropping-particle" : "", "parse-names" : false, "suffix" : "" } ], "container-title" : "Drug Design, Development and Therapy", "id" : "ITEM-3", "issued" : { "date-parts" : [ [ "2015" ] ] }, "page" : "2485-2499", "title" : "Body protective compound-157 enhances alkali-burn wound healing in vivo and promotes proliferation, migration, and angiogenesis in vitro", "type" : "article-journal", "volume" : "9" }, "uris" : [ "http://www.mendeley.com/documents/?uuid=26d2fbb4-3df9-4f39-9e6c-53a37fe7bcce" ] }, { "id" : "ITEM-4", "itemData" : { "DOI" : "10.3390/molecules191119066", "ISSN" : "1420-3049", "PMID" : "25415472", "abstract" : "BPC 157, a pentadecapeptide derived from human gastric juice, has been demonstrated to promote the healing of different tissues, including skin, muscle, bone, ligament and tendon in many animal studies. However, the underlying mechanism has not been fully clarified. The present study aimed to explore the effect of BPC 157 on tendon fibroblasts isolated from Achilles tendon of male Sprague-Dawley rat. From the result of cDNA microarray analysis, growth hormone receptor was revealed as one of the most abundantly up-regulated genes in tendon fibroblasts by BPC 157. BPC 157 dose- and time-dependently increased the expression of growth hormone receptor in tendon fibroblasts at both the mRNA and protein levels as measured by RT/real-time PCR and Western blot, respectively. The addition of growth hormone to BPC 157-treated tendon fibroblasts dose- and time-dependently increased the cell proliferation as determined by MTT assay and PCNA expression by RT/real-time PCR. Janus kinase 2, the downstream signal pathway of growth hormone receptor, was activated time-dependently by stimulating the BPC 157-treated tendon fibroblasts with growth hormone. In conclusion, the BPC 157-induced increase of growth hormone receptor in tendon fibroblasts may potentiate the proliferation-promoting effect of growth hormone and contribute to the healing of tendon.", "author" : [ { "dropping-particle" : "", "family" : "Chang", "given" : "Chung-Hsun", "non-dropping-particle" : "", "parse-names" : false, "suffix" : "" }, { "dropping-particle" : "", "family" : "Tsai", "given" : "Wen-Chung", "non-dropping-particle" : "", "parse-names" : false, "suffix" : "" }, { "dropping-particle" : "", "family" : "Hsu", "given" : "Ya-Hui", "non-dropping-particle" : "", "parse-names" : false, "suffix" : "" }, { "dropping-particle" : "", "family" : "Pang", "given" : "Jong-Hwei Su", "non-dropping-particle" : "", "parse-names" : false, "suffix" : "" } ], "container-title" : "Molecules (Basel, Switzerland)", "id" : "ITEM-4", "issue" : "11", "issued" : { "date-parts" : [ [ "2014", "11", "19" ] ] }, "page" : "19066-77", "title" : "Pentadecapeptide BPC 157 enhances the growth hormone receptor expression in tendon fibroblasts.", "type" : "article-journal", "volume" : "19" }, "uris" : [ "http://www.mendeley.com/documents/?uuid=f3f7100e-ea85-4e6c-a171-398e2a6cd3e4" ] }, { "id" : "ITEM-5", "itemData" : { "DOI" : "10.1152/japplphysiol.00945.2010", "ISSN" : "1522-1601", "PMID" : "21030672", "abstract" : "Pentadecapeptide BPC 157, composed of 15 amino acids, is a partial sequence of body protection compound (BPC) that is discovered in and isolated from human gastric juice. Experimentally it has been demonstrated to accelerate the healing of many different wounds, including transected rat Achilles tendon. This study was designed to investigate the potential mechanism of BPC 157 to enhance healing of injured tendon. The outgrowth of tendon fibroblasts from tendon explants cultured with or without BPC 157 was examined. Results showed that BPC 157 significantly accelerated the outgrowth of tendon explants. Cell proliferation of cultured tendon fibroblasts derived from rat Achilles tendon was not directly affected by BPC 157 as evaluated by MTT assay. However, the survival of BPC 157-treated cells was significantly increased under the H(2)O(2) stress. BPC 157 markedly increased the in vitro migration of tendon fibroblasts in a dose-dependent manner as revealed by transwell filter migration assay. BPC 157 also dose dependently accelerated the spreading of tendon fibroblasts on culture dishes. The F-actin formation as detected by FITC-phalloidin staining was induced in BPC 157-treated fibroblasts. The protein expression and activation of FAK and paxillin were determined by Western blot analysis, and the phosphorylation levels of both FAK and paxillin were dose dependently increased by BPC 157 while the total amounts of protein was unaltered. In conclusion, BPC 157 promotes the ex vivo outgrowth of tendon fibroblasts from tendon explants, cell survival under stress, and the in vitro migration of tendon fibroblasts, which is likely mediated by the activation of the FAK-paxillin pathway.", "author" : [ { "dropping-particle" : "", "family" : "Chang", "given" : "Chung-Hsun", "non-dropping-particle" : "", "parse-names" : false, "suffix" : "" }, { "dropping-particle" : "", "family" : "Tsai", "given" : "Wen-Chung", "non-dropping-particle" : "", "parse-names" : false, "suffix" : "" }, { "dropping-particle" : "", "family" : "Lin", "given" : "Miao-Sui", "non-dropping-particle" : "", "parse-names" : false, "suffix" : "" }, { "dropping-particle" : "", "family" : "Hsu", "given" : "Ya-Hui", "non-dropping-particle" : "", "parse-names" : false, "suffix" : "" }, { "dropping-particle" : "", "family" : "Pang", "given" : "Jong-Hwei Su", "non-dropping-particle" : "", "parse-names" : false, "suffix" : "" } ], "container-title" : "Journal of applied physiology (Bethesda, Md. : 1985)", "id" : "ITEM-5", "issue" : "3", "issued" : { "date-parts" : [ [ "2011", "3" ] ] }, "page" : "774-80", "title" : "The promoting effect of pentadecapeptide BPC 157 on tendon healing involves tendon outgrowth, cell survival, and cell migration.", "type" : "article-journal", "volume" : "110" }, "uris" : [ "http://www.mendeley.com/documents/?uuid=6729f5a4-ea79-4adb-aac1-570591ef479a" ] }, { "id" : "ITEM-6", "itemData" : { "DOI" : "10.1016/j.ejphar.2007.05.072", "ISSN" : "00142999", "author" : [ { "dropping-particle" : "", "family" : "Tkal\u010devi\u0107", "given" : "Vanesa Iveti\u0107", "non-dropping-particle" : "", "parse-names" : false, "suffix" : "" }, { "dropping-particle" : "", "family" : "\u010cu\u017ei\u0107", "given" : "Snje\u017eana", "non-dropping-particle" : "", "parse-names" : false, "suffix" : "" }, { "dropping-particle" : "", "family" : "Braj\u0161a", "given" : "Karmen", "non-dropping-particle" : "", "parse-names" : false, "suffix" : "" }, { "dropping-particle" : "", "family" : "Mildner", "given" : "Boris", "non-dropping-particle" : "", "parse-names" : false, "suffix" : "" }, { "dropping-particle" : "", "family" : "Bokuli\u0107", "given" : "Ana", "non-dropping-particle" : "", "parse-names" : false, "suffix" : "" }, { "dropping-particle" : "", "family" : "\u0160itum", "given" : "Kristina", "non-dropping-particle" : "", "parse-names" : false, "suffix" : "" }, { "dropping-particle" : "", "family" : "Perovi\u0107", "given" : "Daniela", "non-dropping-particle" : "", "parse-names" : false, "suffix" : "" }, { "dropping-particle" : "", "family" : "Glojnari\u0107", "given" : "Ines", "non-dropping-particle" : "", "parse-names" : false, "suffix" : "" }, { "dropping-particle" : "", "family" : "Parnham", "given" : "Michael J.", "non-dropping-particle" : "", "parse-names" : false, "suffix" : "" } ], "container-title" : "European Journal of Pharmacology", "id" : "ITEM-6", "issue" : "1-3", "issued" : { "date-parts" : [ [ "2007", "9" ] ] }, "page" : "212-221", "title" : "Enhancement by PL 14736 of granulation and collagen organization in healing wounds and the potential role of egr-1 expression", "type" : "article-journal", "volume" : "570" }, "uris" : [ "http://www.mendeley.com/documents/?uuid=f86c942b-fa1b-4bfc-ab68-9f1313fc8537" ] }, { "id" : "ITEM-7", "itemData" : { "DOI" : "10.1016/S0928-4257(99)00123-0", "ISSN" : "09284257", "abstract" : "A clear protection of the gastrointestinal tract and an evident anti- inflammatory effect were shown for a novel stomach pentadecapeptide BPC 157 (i.p./i.g.) in comparison with several reference standards in various ulcer models along with a protection of endothelium and particular interaction with the NO-system. Thus, we evaluated whether this pentadecapeptide along with other gastroprotective agents could affect angiogenesis and the healing process in vivo using a procedure initially described by Szabo and co- workers. In each rat, two sterile sponges (1 x 1 x 0.25 cm; V =0.25 mL) with the same quantities of BPC 157 (10 ng \u00b7 mL -1 , 10 \u03bcg \u00b7 mL -1 , 50 \u03bcg \u00b7 kg -1 ) or reference agents (cimetidine: 10, 100, 500 mg \u00b7 mL -1 ; ranitidine: 2.5, 25,250 mg \u00b7 mL -1 ; famotidine: 10, 50, 100 mg \u00b7 mL -1 ; omeprazole: 10, 50, 100 mg \u00b7 mL -1 ; sucralfate: 1, 5, 10 mg \u00b7 mL -1 were implanted subcutaneously in the lumbar region. The sponges were removed after 3 or 7 d, fixed in formalin, and processed for histologic and histochemical evaluation and morphometry assessment. Compared with the control values, the number of newly formed endothelial spaces inside newly formed granulation tissue was markedly increased in all animals treated with BPC 157, cimetidine, ranitidine, famotidine, sucralfate and omeprazole, a consistent finding noted after either 3 or 7 d. Compared with control values, markedly more granulation tissue was noted in the rats in the groups of animals treated with BPC 157 (50 \u03bcg) and in the rats treated with sucralfate in all dosages used, euthanized after 3 d. In all groups treated with H 2 -blockers however, similar values to those of controls were noted. Thus, it could be concluded that an evident angiogenic property was consistently noted for the novel pentadecapeptide BPC 157, H 2 -blockers (cimetidine, famotidine and ranitidine) and omeprazole, besides the well known angiogenic effect of sucralfate. Furthermore, unlike H 2 -blockers and omeprazole, BPC 157 stimulates the formation of granulation tissue, suggesting a particular activity, similar to that previously noted for sucralfate.", "author" : [ { "dropping-particle" : "", "family" : "Sikiric", "given" : "P.", "non-dropping-particle" : "", "parse-names" : false, "suffix" : "" }, { "dropping-particle" : "", "family" : "\u0160eparovic", "given" : "J.", "non-dropping-particle" : "", "parse-names" : false, "suffix" : "" }, { "dropping-particle" : "", "family" : "Anic", "given" : "T.", "non-dropping-particle" : "", "parse-names" : false, "suffix" : "" }, { "dropping-particle" : "", "family" : "Buljat", "given" : "G.", "non-dropping-particle" : "", "parse-names" : false, "suffix" : "" }, { "dropping-particle" : "", "family" : "Mikus", "given" : "D.", "non-dropping-particle" : "", "parse-names" : false, "suffix" : "" }, { "dropping-particle" : "", "family" : "Seiwerth", "given" : "S.", "non-dropping-particle" : "", "parse-names" : false, "suffix" : "" }, { "dropping-particle" : "", "family" : "Grabarevic", "given" : "Z.", "non-dropping-particle" : "", "parse-names" : false, "suffix" : "" }, { "dropping-particle" : "", "family" : "Stancic-Rokotov", "given" : "D.", "non-dropping-particle" : "", "parse-names" : false, "suffix" : "" }, { "dropping-particle" : "", "family" : "Pigac", "given" : "B.", "non-dropping-particle" : "", "parse-names" : false, "suffix" : "" }, { "dropping-particle" : "", "family" : "Hanzevacki", "given" : "M.", "non-dropping-particle" : "", "parse-names" : false, "suffix" : "" }, { "dropping-particle" : "", "family" : "Marovic", "given" : "A.", "non-dropping-particle" : "", "parse-names" : false, "suffix" : "" }, { "dropping-particle" : "", "family" : "Rucman", "given" : "R.", "non-dropping-particle" : "", "parse-names" : false, "suffix" : "" }, { "dropping-particle" : "", "family" : "Petek", "given" : "M.", "non-dropping-particle" : "", "parse-names" : false, "suffix" : "" }, { "dropping-particle" : "", "family" : "Zoricic", "given" : "I.", "non-dropping-particle" : "", "parse-names" : false, "suffix" : "" }, { "dropping-particle" : "", "family" : "Ziger", "given" : "T.", "non-dropping-particle" : "", "parse-names" : false, "suffix" : "" }, { "dropping-particle" : "", "family" : "Aralica", "given" : "G.", "non-dropping-particle" : "", "parse-names" : false, "suffix" : "" }, { "dropping-particle" : "", "family" : "Konjevoda", "given" : "P.", "non-dropping-particle" : "", "parse-names" : false, "suffix" : "" }, { "dropping-particle" : "", "family" : "Prkacin", "given" : "I.", "non-dropping-particle" : "", "parse-names" : false, "suffix" : "" }, { "dropping-particle" : "", "family" : "Gjura\u0161in", "given" : "M.", "non-dropping-particle" : "", "parse-names" : false, "suffix" : "" }, { "dropping-particle" : "", "family" : "Miklic", "given" : "P.", "non-dropping-particle" : "", "parse-names" : false, "suffix" : "" }, { "dropping-particle" : "", "family" : "Artukovic", "given" : "B.", "non-dropping-particle" : "", "parse-names" : false, "suffix" : "" }, { "dropping-particle" : "", "family" : "Ti\u0161ljar", "given" : "M.", "non-dropping-particle" : "", "parse-names" : false, "suffix" : "" }, { "dropping-particle" : "", "family" : "Bratulic", "given" : "M.", "non-dropping-particle" : "", "parse-names" : false, "suffix" : "" }, { "dropping-particle" : "", "family" : "Mise", "given" : "S.", "non-dropping-particle" : "", "parse-names" : false, "suffix" : "" }, { "dropping-particle" : "", "family" : "Rotkvic", "given" : "I.", "non-dropping-particle" : "", "parse-names" : false, "suffix" : "" } ], "container-title" : "Journal of Physiology Paris", "id" : "ITEM-7", "issue" : "6", "issued" : { "date-parts" : [ [ "1999" ] ] }, "title" : "The effect of pentadecapeptide BPC 157, H&lt;inf&gt;2&lt;/inf&gt;-blockers, omeprazole and sucralfate on new vessels and new granulation tissue formation", "type" : "article-journal", "volume" : "93" }, "uris" : [ "http://www.mendeley.com/documents/?uuid=506d807a-6ed1-31d4-b4f0-0aa99e375a8f" ] }, { "id" : "ITEM-8", "itemData" : { "ISSN" : "1899-1505", "PMID" : "20388964", "abstract" : "Angiogenesis is a natural and complex process controlled by angiogenic and angiostatic molecules, with a central role in healing process. One of the most important modulating factors in angiogenesis is the vascular endothelial growth factor (VEGF). Pentadecapeptide BPC 157 promotes healing demonstrating particular angiogenic/angiomodulatory potential. We correlated the angiogenic effect of BPC 157 with VEGF expression using in vitro (cell culture) and in vivo (crushed muscle and transected muscle and tendon) models. Results revealed that there is no direct angiogenic effect of BPC 157 on cell cultures. On the other hand, immunohistochemical analysis of muscle and tendon healing using VEGF, CD34 and FVIII antibodies showed adequately modulated angiogenesis in BPC 157 treated animals, resulting in a more adequate healing. Therefore the angiogenic potential of BPC 157 seems to be closely related to the healing process in vivo with BPC 157 stimulating angiogenesis by up-regulating VEGF expression.", "author" : [ { "dropping-particle" : "", "family" : "Brcic", "given" : "L", "non-dropping-particle" : "", "parse-names" : false, "suffix" : "" }, { "dropping-particle" : "", "family" : "Brcic", "given" : "I", "non-dropping-particle" : "", "parse-names" : false, "suffix" : "" }, { "dropping-particle" : "", "family" : "Staresinic", "given" : "M", "non-dropping-particle" : "", "parse-names" : false, "suffix" : "" }, { "dropping-particle" : "", "family" : "Novinscak", "given" : "T", "non-dropping-particle" : "", "parse-names" : false, "suffix" : "" }, { "dropping-particle" : "", "family" : "Sikiric", "given" : "P", "non-dropping-particle" : "", "parse-names" : false, "suffix" : "" }, { "dropping-particle" : "", "family" : "Seiwerth", "given" : "S", "non-dropping-particle" : "", "parse-names" : false, "suffix" : "" } ], "container-title" : "Journal of physiology and pharmacology : an official journal of the Polish Physiological Society", "id" : "ITEM-8", "issued" : { "date-parts" : [ [ "2009", "12" ] ] }, "page" : "191-6", "title" : "Modulatory effect of gastric pentadecapeptide BPC 157 on angiogenesis in muscle and tendon healing.", "type" : "article-journal", "volume" : "60 Suppl 7" }, "uris" : [ "http://www.mendeley.com/documents/?uuid=ff536d43-5510-4cb6-8b5b-f5050078ecb2" ] } ], "mendeley" : { "formattedCitation" : "&lt;sup&gt;[9,43\u201349]&lt;/sup&gt;", "plainTextFormattedCitation" : "[9,43\u201349]", "previouslyFormattedCitation" : "(Brcic et al., 2009; Chang et al., 2014, 2011; Hsieh et al., 2017; Huang et al., 2015; Sikiric et al., 2006, 1999; Tkal\u010devi\u0107 et al., 2007)" }, "properties" : {  }, "schema" : "https://github.com/citation-style-language/schema/raw/master/csl-citation.json" }</w:instrText>
      </w:r>
      <w:r w:rsidR="000D4D1A" w:rsidRPr="00CC34A3">
        <w:rPr>
          <w:rFonts w:ascii="Book Antiqua" w:eastAsia="Calibri" w:hAnsi="Book Antiqua" w:cs="Courier New"/>
          <w:color w:val="000000" w:themeColor="text1"/>
          <w:sz w:val="24"/>
          <w:szCs w:val="24"/>
          <w:lang w:val="en-US"/>
        </w:rPr>
        <w:fldChar w:fldCharType="separate"/>
      </w:r>
      <w:r w:rsidR="000D4D1A" w:rsidRPr="00CC34A3">
        <w:rPr>
          <w:rFonts w:ascii="Book Antiqua" w:eastAsia="Calibri" w:hAnsi="Book Antiqua" w:cs="Courier New"/>
          <w:color w:val="000000" w:themeColor="text1"/>
          <w:sz w:val="24"/>
          <w:szCs w:val="24"/>
          <w:vertAlign w:val="superscript"/>
          <w:lang w:val="en-US"/>
        </w:rPr>
        <w:t>[9,43–49]</w:t>
      </w:r>
      <w:r w:rsidR="000D4D1A" w:rsidRPr="00CC34A3">
        <w:rPr>
          <w:rFonts w:ascii="Book Antiqua" w:eastAsia="Calibri" w:hAnsi="Book Antiqua" w:cs="Courier New"/>
          <w:color w:val="000000" w:themeColor="text1"/>
          <w:sz w:val="24"/>
          <w:szCs w:val="24"/>
          <w:lang w:val="en-US"/>
        </w:rPr>
        <w:fldChar w:fldCharType="end"/>
      </w:r>
      <w:r w:rsidR="000D4D1A" w:rsidRPr="00CC34A3">
        <w:rPr>
          <w:rFonts w:ascii="Book Antiqua" w:eastAsia="Calibri" w:hAnsi="Book Antiqua" w:cs="Courier New"/>
          <w:color w:val="000000" w:themeColor="text1"/>
          <w:sz w:val="24"/>
          <w:szCs w:val="24"/>
          <w:lang w:val="en-US"/>
        </w:rPr>
        <w:t xml:space="preserve">may be consequence of </w:t>
      </w:r>
      <w:r w:rsidR="000D4D1A" w:rsidRPr="00CC34A3">
        <w:rPr>
          <w:rFonts w:ascii="Book Antiqua" w:hAnsi="Book Antiqua" w:cs="Courier New"/>
          <w:color w:val="000000" w:themeColor="text1"/>
          <w:sz w:val="24"/>
          <w:szCs w:val="24"/>
          <w:lang w:val="en-US"/>
        </w:rPr>
        <w:t>the specific activation of the collateral circulation that can circumvent obstructions and reestablish the continuity of blood flow</w:t>
      </w:r>
      <w:r w:rsidR="000D4D1A" w:rsidRPr="00CC34A3">
        <w:rPr>
          <w:rFonts w:ascii="Book Antiqua" w:eastAsia="Calibri" w:hAnsi="Book Antiqua" w:cs="Courier New"/>
          <w:color w:val="000000" w:themeColor="text1"/>
          <w:sz w:val="24"/>
          <w:szCs w:val="24"/>
          <w:lang w:val="en-US"/>
        </w:rPr>
        <w:fldChar w:fldCharType="begin" w:fldLock="1"/>
      </w:r>
      <w:r w:rsidR="000D4D1A" w:rsidRPr="00CC34A3">
        <w:rPr>
          <w:rFonts w:ascii="Book Antiqua" w:eastAsia="Calibri" w:hAnsi="Book Antiqua" w:cs="Courier New"/>
          <w:color w:val="000000" w:themeColor="text1"/>
          <w:sz w:val="24"/>
          <w:szCs w:val="24"/>
          <w:lang w:val="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0D4D1A" w:rsidRPr="00CC34A3">
        <w:rPr>
          <w:rFonts w:ascii="Book Antiqua" w:eastAsia="Calibri" w:hAnsi="Book Antiqua" w:cs="Courier New"/>
          <w:color w:val="000000" w:themeColor="text1"/>
          <w:sz w:val="24"/>
          <w:szCs w:val="24"/>
          <w:lang w:val="en-US"/>
        </w:rPr>
        <w:fldChar w:fldCharType="separate"/>
      </w:r>
      <w:r w:rsidR="000D4D1A" w:rsidRPr="00CC34A3">
        <w:rPr>
          <w:rFonts w:ascii="Book Antiqua" w:eastAsia="Calibri" w:hAnsi="Book Antiqua" w:cs="Courier New"/>
          <w:color w:val="000000" w:themeColor="text1"/>
          <w:sz w:val="24"/>
          <w:szCs w:val="24"/>
          <w:vertAlign w:val="superscript"/>
          <w:lang w:val="en-US"/>
        </w:rPr>
        <w:t>[15,16]</w:t>
      </w:r>
      <w:r w:rsidR="000D4D1A" w:rsidRPr="00CC34A3">
        <w:rPr>
          <w:rFonts w:ascii="Book Antiqua" w:eastAsia="Calibri" w:hAnsi="Book Antiqua" w:cs="Courier New"/>
          <w:color w:val="000000" w:themeColor="text1"/>
          <w:sz w:val="24"/>
          <w:szCs w:val="24"/>
          <w:lang w:val="en-US"/>
        </w:rPr>
        <w:fldChar w:fldCharType="end"/>
      </w:r>
      <w:r w:rsidR="00270FB7" w:rsidRPr="00CC34A3">
        <w:rPr>
          <w:rFonts w:ascii="Book Antiqua" w:eastAsia="Calibri" w:hAnsi="Book Antiqua" w:cs="Courier New"/>
          <w:color w:val="000000" w:themeColor="text1"/>
          <w:sz w:val="24"/>
          <w:szCs w:val="24"/>
          <w:lang w:val="en-US"/>
        </w:rPr>
        <w:t>.</w:t>
      </w:r>
      <w:r w:rsidR="000D4D1A" w:rsidRPr="00CC34A3">
        <w:rPr>
          <w:rFonts w:ascii="Book Antiqua" w:eastAsia="Times New Roman" w:hAnsi="Book Antiqua" w:cs="Courier New"/>
          <w:color w:val="000000" w:themeColor="text1"/>
          <w:sz w:val="24"/>
          <w:szCs w:val="24"/>
          <w:lang w:val="en-US" w:eastAsia="hr-HR"/>
        </w:rPr>
        <w:t xml:space="preserve"> </w:t>
      </w:r>
      <w:r w:rsidR="000D4D1A" w:rsidRPr="00CC34A3">
        <w:rPr>
          <w:rFonts w:ascii="Book Antiqua" w:hAnsi="Book Antiqua" w:cs="Courier New"/>
          <w:color w:val="000000" w:themeColor="text1"/>
          <w:sz w:val="24"/>
          <w:szCs w:val="24"/>
          <w:lang w:val="en-US"/>
        </w:rPr>
        <w:t>And thereby, its angiogenic effect and its healing effects</w:t>
      </w:r>
      <w:r w:rsidR="000D4D1A" w:rsidRPr="00CC34A3">
        <w:rPr>
          <w:rFonts w:ascii="Book Antiqua" w:eastAsia="Calibri" w:hAnsi="Book Antiqua" w:cs="Courier New"/>
          <w:color w:val="000000" w:themeColor="text1"/>
          <w:sz w:val="24"/>
          <w:szCs w:val="24"/>
          <w:lang w:val="en-US"/>
        </w:rPr>
        <w:fldChar w:fldCharType="begin" w:fldLock="1"/>
      </w:r>
      <w:r w:rsidR="000D4D1A" w:rsidRPr="00CC34A3">
        <w:rPr>
          <w:rFonts w:ascii="Book Antiqua" w:eastAsia="Calibri" w:hAnsi="Book Antiqua" w:cs="Courier New"/>
          <w:color w:val="000000" w:themeColor="text1"/>
          <w:sz w:val="24"/>
          <w:szCs w:val="24"/>
          <w:lang w:val="en-US"/>
        </w:rPr>
        <w:instrText>ADDIN CSL_CITATION { "citationItems" : [ { "id" : "ITEM-1", "itemData" : { "DOI" : "10.1007/s10787-006-1531-7", "ISSN" : "0925-4692", "PMID" : "17186181", "abstract" : "Gastric pentadecapeptide BPC 157 (GEPPPGKPADDAGLV, M.W. 1419, safe in clinical trials for inflammatory bowel disease (PL 10, PLD 116, PLD 14736, Pliva, Croatia)) has a particular cytoprotective/adaptive cytoprotective activity. The cytoprotective/adaptive cytoprotection researches largely neglect that stomach distension could per se jeopardize the mucosal integrity, with constantly stretched mucosa and blood vessels, and sphincters more prone for reflux induction. After absolute alcohol instillation in fully distended rat stomach, gastric, esophageal and duodenal lesions occur. Throughout next 3 min, left gastric artery blood vessels clearly disappear at the serosal site, indicative for loss of vessels both integrity and function. Contrary, constant vessels presentation could predict the beneficial effect of applied agent. After pentadecapeptide BPC 157 instillation into the stomach the vessels presentation remains constant, and lesions of stomach, esophagus, and duodenum are inhibited. Standards (atropine, ranitidine, omeprazole) could only slightly improve the vessels presentation compared to control values, and they have only a partial effect on the lesions. In this review we emphasize BPC 157 unusual stability, and some of its important effects: effectiveness against various lesions in gastrointestinal tract, on nitric oxide (NO)-system, and NO-agents effects, on somatosensory neurons, salivary glands function, recovery of AMP-ADP-ATP system, endothelium protection, effect on endothelin, and on angiogenesis promotion. It also antagonizes other alcohol effects, including acute and chronic intoxication. Given peripherally, it counteracts the consequence of central dopamine system disturbances (receptor blockade), and induces serotonin release in substantia nigra. Therapeutic potential of BPC 157 as a cytoprotective agent is also seen in its capability to heal various wounds. Given directly into the stomach, BPC 157 instantly recovers disturbed lower esophageal and pyloric sphincter pressure in rats after 12-20 months of untreated esophagitis. All these could be suggestive for its role as a natural protectant in gastric juice with particular function throughout stomach distension.", "author" : [ { "dropping-particle" : "", "family" : "Sikiric", "given" : "P.", "non-dropping-particle" : "", "parse-names" : false, "suffix" : "" }, { "dropping-particle" : "", "family" : "Seiwerth", "given" : "S.", "non-dropping-particle" : "", "parse-names" : false, "suffix" : "" }, { "dropping-particle" : "", "family" : "Brcic", "given" : "L.", "non-dropping-particle" : "", "parse-names" : false, "suffix" : "" }, { "dropping-particle" : "", "family" : "Blagaic", "given" : "A B", "non-dropping-particle" : "", "parse-names" : false, "suffix" : "" }, { "dropping-particle" : "", "family" : "Zoricic", "given" : "I.", "non-dropping-particle" : "", "parse-names" : false, "suffix" : "" }, { "dropping-particle" : "", "family" : "Sever", "given" : "M.", "non-dropping-particle" : "", "parse-names" : false, "suffix" : "" }, { "dropping-particle" : "", "family" : "Klicek", "given" : "R.", "non-dropping-particle" : "", "parse-names" : false, "suffix" : "" }, { "dropping-particle" : "", "family" : "Radic", "given" : "B.", "non-dropping-particle" : "", "parse-names" : false, "suffix" : "" }, { "dropping-particle" : "", "family" : "Keller", "given" : "N.", "non-dropping-particle" : "", "parse-names" : false, "suffix" : "" }, { "dropping-particle" : "", "family" : "Sipos", "given" : "K.", "non-dropping-particle" : "", "parse-names" : false, "suffix" : "" }, { "dropping-particle" : "", "family" : "Jakir", "given" : "A.", "non-dropping-particle" : "", "parse-names" : false, "suffix" : "" }, { "dropping-particle" : "", "family" : "Udovicic", "given" : "M.", "non-dropping-particle" : "", "parse-names" : false, "suffix" : "" }, { "dropping-particle" : "", "family" : "Tonkic", "given" : "A.", "non-dropping-particle" : "", "parse-names" : false, "suffix" : "" }, { "dropping-particle" : "", "family" : "Kokic", "given" : "N.", "non-dropping-particle" : "", "parse-names" : false, "suffix" : "" }, { "dropping-particle" : "", "family" : "Turkovic", "given" : "B.", "non-dropping-particle" : "", "parse-names" : false, "suffix" : "" }, { "dropping-particle" : "", "family" : "Mise", "given" : "S.", "non-dropping-particle" : "", "parse-names" : false, "suffix" : "" }, { "dropping-particle" : "", "family" : "Anic", "given" : "T.", "non-dropping-particle" : "", "parse-names" : false, "suffix" : "" } ], "container-title" : "Inflammopharmacology", "id" : "ITEM-1", "issue" : "5-6", "issued" : { "date-parts" : [ [ "2006", "12" ] ] }, "page" : "214-21", "title" : "Stable gastric pentadecapeptide BPC 157 in trials for inflammatory bowel disease (PL-10, PLD-116, PL 14736, Pliva, Croatia). Full and distended stomach, and vascular response.", "type" : "article-journal", "volume" : "14" }, "uris" : [ "http://www.mendeley.com/documents/?uuid=a21321d3-6201-3777-b54c-60d2c5d4ff9a" ] }, { "id" : "ITEM-2", "itemData" : { "DOI" : "10.1007/s00109-016-1488-y", "ISSN" : "0946-2716", "author" : [ { "dropping-particle" : "", "family" : "Hsieh", "given" : "Ming-Jer", "non-dropping-particle" : "", "parse-names" : false, "suffix" : "" }, { "dropping-particle" : "", "family" : "Liu", "given" : "Hsien-Ta", "non-dropping-particle" : "", "parse-names" : false, "suffix" : "" }, { "dropping-particle" : "", "family" : "Wang", "given" : "Chao-Nin", "non-dropping-particle" : "", "parse-names" : false, "suffix" : "" }, { "dropping-particle" : "", "family" : "Huang", "given" : "Hsiu-Yun", "non-dropping-particle" : "", "parse-names" : false, "suffix" : "" }, { "dropping-particle" : "", "family" : "Lin", "given" : "Yuling", "non-dropping-particle" : "", "parse-names" : false, "suffix" : "" }, { "dropping-particle" : "", "family" : "Ko", "given" : "Yu-Shien", "non-dropping-particle" : "", "parse-names" : false, "suffix" : "" }, { "dropping-particle" : "", "family" : "Wang", "given" : "Jong-Shyan", "non-dropping-particle" : "", "parse-names" : false, "suffix" : "" }, { "dropping-particle" : "", "family" : "Chang", "given" : "Vincent Hung-Shu", "non-dropping-particle" : "", "parse-names" : false, "suffix" : "" }, { "dropping-particle" : "", "family" : "Pang", "given" : "Jong-Hwei S.", "non-dropping-particle" : "", "parse-names" : false, "suffix" : "" } ], "container-title" : "Journal of Molecular Medicine", "id" : "ITEM-2", "issue" : "3", "issued" : { "date-parts" : [ [ "2017", "3", "15" ] ] }, "page" : "323-333", "title" : "Therapeutic potential of pro-angiogenic BPC157 is associated with VEGFR2 activation and up-regulation", "type" : "article-journal", "volume" : "95" }, "uris" : [ "http://www.mendeley.com/documents/?uuid=a40b4135-8310-40c1-b83e-dce5a6cf8d4e" ] }, { "id" : "ITEM-3", "itemData" : { "DOI" : "10.2147/DDDT.S82030", "ISBN" : "1177-8881 (Electronic)\\r1177-8881 (Linking)", "ISSN" : "11778881", "PMID" : "25995620", "abstract" : "Chemical burns take up a high proportion of burns admissions and can penetrate deep into tissues. Various reagents have been applied in the treatment of skin chemical burns; however, no optimal reagent for skin chemical burns currently exists. The present study investigated the effect of topical body protective compound (BPC)-157 treatment on skin wound healing, using an alkali burn rat model. Topical treatment with BPC-157 was shown to accelerate wound closure following an alkali burn. Histological examination of skin sections with hematoxylin\u2013eosin and Masson staining showed better granulation tissue formation, reepithelialization, dermal remodeling, and a higher extent of collagen deposition when compared to the model control group on the 18th day postwounding. BPC-157 could promote vascular endothelial growth factor expression in wounded skin tissues. Furthermore, 3-(4,5-dimethylthiazol-2-yl)-2,5-diphenyltetrazolium bromide and cell cycle analysis demonstrated that BPC-157 enhanced the proliferation of human umbilical vein endothelial cells (HUVECs). Transwell assay and wound healing assay showed that BPC-157 significantly promoted migration of HUVECs. We also observed that BPC-157 upregulated the expression of VEGF-a and accelerated vascular tube formation in vitro. Moreover, further studies suggested that BPC-157 regulated the phosphorylation level of extracellular signal-regulated kinases 1 and 2 (ERK1/2) as well as its downstream targets, including c-Fos, c-Jun, and Egr-1, which are key molecules involved in cell growth, migration, and angiogenesis. Altogether, our results indicated that BPC-157 treatment may accelerate wound healing in a model of alkali burn-induced skin injury. The therapeutic mechanism may be associated with accelerated granulation tissue formation, reepithelialization, dermal remodeling, and collagen deposition through ERK1/2 signaling pathway.", "author" : [ { "dropping-particle" : "", "family" : "Huang", "given" : "Tonglie", "non-dropping-particle" : "", "parse-names" : false, "suffix" : "" }, { "dropping-particle" : "", "family" : "Zhang", "given" : "Kuo", "non-dropping-particle" : "", "parse-names" : false, "suffix" : "" }, { "dropping-particle" : "", "family" : "Sun", "given" : "Lijuan", "non-dropping-particle" : "", "parse-names" : false, "suffix" : "" }, { "dropping-particle" : "", "family" : "Xue", "given" : "Xiaochang", "non-dropping-particle" : "", "parse-names" : false, "suffix" : "" }, { "dropping-particle" : "", "family" : "Zhang", "given" : "Cun", "non-dropping-particle" : "", "parse-names" : false, "suffix" : "" }, { "dropping-particle" : "", "family" : "Shu", "given" : "Zhen", "non-dropping-particle" : "", "parse-names" : false, "suffix" : "" }, { "dropping-particle" : "", "family" : "Mu", "given" : "Nan", "non-dropping-particle" : "", "parse-names" : false, "suffix" : "" }, { "dropping-particle" : "", "family" : "Gu", "given" : "Jintao", "non-dropping-particle" : "", "parse-names" : false, "suffix" : "" }, { "dropping-particle" : "", "family" : "Zhang", "given" : "Wangqian", "non-dropping-particle" : "", "parse-names" : false, "suffix" : "" }, { "dropping-particle" : "", "family" : "Wang", "given" : "Yukun", "non-dropping-particle" : "", "parse-names" : false, "suffix" : "" }, { "dropping-particle" : "", "family" : "Zhang", "given" : "Yingqi", "non-dropping-particle" : "", "parse-names" : false, "suffix" : "" }, { "dropping-particle" : "", "family" : "Zhang", "given" : "Wei", "non-dropping-particle" : "", "parse-names" : false, "suffix" : "" } ], "container-title" : "Drug Design, Development and Therapy", "id" : "ITEM-3", "issued" : { "date-parts" : [ [ "2015" ] ] }, "page" : "2485-2499", "title" : "Body protective compound-157 enhances alkali-burn wound healing in vivo and promotes proliferation, migration, and angiogenesis in vitro", "type" : "article-journal", "volume" : "9" }, "uris" : [ "http://www.mendeley.com/documents/?uuid=26d2fbb4-3df9-4f39-9e6c-53a37fe7bcce" ] }, { "id" : "ITEM-4", "itemData" : { "DOI" : "10.3390/molecules191119066", "ISSN" : "1420-3049", "PMID" : "25415472", "abstract" : "BPC 157, a pentadecapeptide derived from human gastric juice, has been demonstrated to promote the healing of different tissues, including skin, muscle, bone, ligament and tendon in many animal studies. However, the underlying mechanism has not been fully clarified. The present study aimed to explore the effect of BPC 157 on tendon fibroblasts isolated from Achilles tendon of male Sprague-Dawley rat. From the result of cDNA microarray analysis, growth hormone receptor was revealed as one of the most abundantly up-regulated genes in tendon fibroblasts by BPC 157. BPC 157 dose- and time-dependently increased the expression of growth hormone receptor in tendon fibroblasts at both the mRNA and protein levels as measured by RT/real-time PCR and Western blot, respectively. The addition of growth hormone to BPC 157-treated tendon fibroblasts dose- and time-dependently increased the cell proliferation as determined by MTT assay and PCNA expression by RT/real-time PCR. Janus kinase 2, the downstream signal pathway of growth hormone receptor, was activated time-dependently by stimulating the BPC 157-treated tendon fibroblasts with growth hormone. In conclusion, the BPC 157-induced increase of growth hormone receptor in tendon fibroblasts may potentiate the proliferation-promoting effect of growth hormone and contribute to the healing of tendon.", "author" : [ { "dropping-particle" : "", "family" : "Chang", "given" : "Chung-Hsun", "non-dropping-particle" : "", "parse-names" : false, "suffix" : "" }, { "dropping-particle" : "", "family" : "Tsai", "given" : "Wen-Chung", "non-dropping-particle" : "", "parse-names" : false, "suffix" : "" }, { "dropping-particle" : "", "family" : "Hsu", "given" : "Ya-Hui", "non-dropping-particle" : "", "parse-names" : false, "suffix" : "" }, { "dropping-particle" : "", "family" : "Pang", "given" : "Jong-Hwei Su", "non-dropping-particle" : "", "parse-names" : false, "suffix" : "" } ], "container-title" : "Molecules (Basel, Switzerland)", "id" : "ITEM-4", "issue" : "11", "issued" : { "date-parts" : [ [ "2014", "11", "19" ] ] }, "page" : "19066-77", "title" : "Pentadecapeptide BPC 157 enhances the growth hormone receptor expression in tendon fibroblasts.", "type" : "article-journal", "volume" : "19" }, "uris" : [ "http://www.mendeley.com/documents/?uuid=f3f7100e-ea85-4e6c-a171-398e2a6cd3e4" ] }, { "id" : "ITEM-5", "itemData" : { "DOI" : "10.1152/japplphysiol.00945.2010", "ISSN" : "1522-1601", "PMID" : "21030672", "abstract" : "Pentadecapeptide BPC 157, composed of 15 amino acids, is a partial sequence of body protection compound (BPC) that is discovered in and isolated from human gastric juice. Experimentally it has been demonstrated to accelerate the healing of many different wounds, including transected rat Achilles tendon. This study was designed to investigate the potential mechanism of BPC 157 to enhance healing of injured tendon. The outgrowth of tendon fibroblasts from tendon explants cultured with or without BPC 157 was examined. Results showed that BPC 157 significantly accelerated the outgrowth of tendon explants. Cell proliferation of cultured tendon fibroblasts derived from rat Achilles tendon was not directly affected by BPC 157 as evaluated by MTT assay. However, the survival of BPC 157-treated cells was significantly increased under the H(2)O(2) stress. BPC 157 markedly increased the in vitro migration of tendon fibroblasts in a dose-dependent manner as revealed by transwell filter migration assay. BPC 157 also dose dependently accelerated the spreading of tendon fibroblasts on culture dishes. The F-actin formation as detected by FITC-phalloidin staining was induced in BPC 157-treated fibroblasts. The protein expression and activation of FAK and paxillin were determined by Western blot analysis, and the phosphorylation levels of both FAK and paxillin were dose dependently increased by BPC 157 while the total amounts of protein was unaltered. In conclusion, BPC 157 promotes the ex vivo outgrowth of tendon fibroblasts from tendon explants, cell survival under stress, and the in vitro migration of tendon fibroblasts, which is likely mediated by the activation of the FAK-paxillin pathway.", "author" : [ { "dropping-particle" : "", "family" : "Chang", "given" : "Chung-Hsun", "non-dropping-particle" : "", "parse-names" : false, "suffix" : "" }, { "dropping-particle" : "", "family" : "Tsai", "given" : "Wen-Chung", "non-dropping-particle" : "", "parse-names" : false, "suffix" : "" }, { "dropping-particle" : "", "family" : "Lin", "given" : "Miao-Sui", "non-dropping-particle" : "", "parse-names" : false, "suffix" : "" }, { "dropping-particle" : "", "family" : "Hsu", "given" : "Ya-Hui", "non-dropping-particle" : "", "parse-names" : false, "suffix" : "" }, { "dropping-particle" : "", "family" : "Pang", "given" : "Jong-Hwei Su", "non-dropping-particle" : "", "parse-names" : false, "suffix" : "" } ], "container-title" : "Journal of applied physiology (Bethesda, Md. : 1985)", "id" : "ITEM-5", "issue" : "3", "issued" : { "date-parts" : [ [ "2011", "3" ] ] }, "page" : "774-80", "title" : "The promoting effect of pentadecapeptide BPC 157 on tendon healing involves tendon outgrowth, cell survival, and cell migration.", "type" : "article-journal", "volume" : "110" }, "uris" : [ "http://www.mendeley.com/documents/?uuid=6729f5a4-ea79-4adb-aac1-570591ef479a" ] }, { "id" : "ITEM-6", "itemData" : { "DOI" : "10.1016/j.ejphar.2007.05.072", "ISSN" : "00142999", "author" : [ { "dropping-particle" : "", "family" : "Tkal\u010devi\u0107", "given" : "Vanesa Iveti\u0107", "non-dropping-particle" : "", "parse-names" : false, "suffix" : "" }, { "dropping-particle" : "", "family" : "\u010cu\u017ei\u0107", "given" : "Snje\u017eana", "non-dropping-particle" : "", "parse-names" : false, "suffix" : "" }, { "dropping-particle" : "", "family" : "Braj\u0161a", "given" : "Karmen", "non-dropping-particle" : "", "parse-names" : false, "suffix" : "" }, { "dropping-particle" : "", "family" : "Mildner", "given" : "Boris", "non-dropping-particle" : "", "parse-names" : false, "suffix" : "" }, { "dropping-particle" : "", "family" : "Bokuli\u0107", "given" : "Ana", "non-dropping-particle" : "", "parse-names" : false, "suffix" : "" }, { "dropping-particle" : "", "family" : "\u0160itum", "given" : "Kristina", "non-dropping-particle" : "", "parse-names" : false, "suffix" : "" }, { "dropping-particle" : "", "family" : "Perovi\u0107", "given" : "Daniela", "non-dropping-particle" : "", "parse-names" : false, "suffix" : "" }, { "dropping-particle" : "", "family" : "Glojnari\u0107", "given" : "Ines", "non-dropping-particle" : "", "parse-names" : false, "suffix" : "" }, { "dropping-particle" : "", "family" : "Parnham", "given" : "Michael J.", "non-dropping-particle" : "", "parse-names" : false, "suffix" : "" } ], "container-title" : "European Journal of Pharmacology", "id" : "ITEM-6", "issue" : "1-3", "issued" : { "date-parts" : [ [ "2007", "9" ] ] }, "page" : "212-221", "title" : "Enhancement by PL 14736 of granulation and collagen organization in healing wounds and the potential role of egr-1 expression", "type" : "article-journal", "volume" : "570" }, "uris" : [ "http://www.mendeley.com/documents/?uuid=f86c942b-fa1b-4bfc-ab68-9f1313fc8537" ] }, { "id" : "ITEM-7", "itemData" : { "DOI" : "10.1016/S0928-4257(99)00123-0", "ISSN" : "09284257", "abstract" : "A clear protection of the gastrointestinal tract and an evident anti- inflammatory effect were shown for a novel stomach pentadecapeptide BPC 157 (i.p./i.g.) in comparison with several reference standards in various ulcer models along with a protection of endothelium and particular interaction with the NO-system. Thus, we evaluated whether this pentadecapeptide along with other gastroprotective agents could affect angiogenesis and the healing process in vivo using a procedure initially described by Szabo and co- workers. In each rat, two sterile sponges (1 x 1 x 0.25 cm; V =0.25 mL) with the same quantities of BPC 157 (10 ng \u00b7 mL -1 , 10 \u03bcg \u00b7 mL -1 , 50 \u03bcg \u00b7 kg -1 ) or reference agents (cimetidine: 10, 100, 500 mg \u00b7 mL -1 ; ranitidine: 2.5, 25,250 mg \u00b7 mL -1 ; famotidine: 10, 50, 100 mg \u00b7 mL -1 ; omeprazole: 10, 50, 100 mg \u00b7 mL -1 ; sucralfate: 1, 5, 10 mg \u00b7 mL -1 were implanted subcutaneously in the lumbar region. The sponges were removed after 3 or 7 d, fixed in formalin, and processed for histologic and histochemical evaluation and morphometry assessment. Compared with the control values, the number of newly formed endothelial spaces inside newly formed granulation tissue was markedly increased in all animals treated with BPC 157, cimetidine, ranitidine, famotidine, sucralfate and omeprazole, a consistent finding noted after either 3 or 7 d. Compared with control values, markedly more granulation tissue was noted in the rats in the groups of animals treated with BPC 157 (50 \u03bcg) and in the rats treated with sucralfate in all dosages used, euthanized after 3 d. In all groups treated with H 2 -blockers however, similar values to those of controls were noted. Thus, it could be concluded that an evident angiogenic property was consistently noted for the novel pentadecapeptide BPC 157, H 2 -blockers (cimetidine, famotidine and ranitidine) and omeprazole, besides the well known angiogenic effect of sucralfate. Furthermore, unlike H 2 -blockers and omeprazole, BPC 157 stimulates the formation of granulation tissue, suggesting a particular activity, similar to that previously noted for sucralfate.", "author" : [ { "dropping-particle" : "", "family" : "Sikiric", "given" : "P.", "non-dropping-particle" : "", "parse-names" : false, "suffix" : "" }, { "dropping-particle" : "", "family" : "\u0160eparovic", "given" : "J.", "non-dropping-particle" : "", "parse-names" : false, "suffix" : "" }, { "dropping-particle" : "", "family" : "Anic", "given" : "T.", "non-dropping-particle" : "", "parse-names" : false, "suffix" : "" }, { "dropping-particle" : "", "family" : "Buljat", "given" : "G.", "non-dropping-particle" : "", "parse-names" : false, "suffix" : "" }, { "dropping-particle" : "", "family" : "Mikus", "given" : "D.", "non-dropping-particle" : "", "parse-names" : false, "suffix" : "" }, { "dropping-particle" : "", "family" : "Seiwerth", "given" : "S.", "non-dropping-particle" : "", "parse-names" : false, "suffix" : "" }, { "dropping-particle" : "", "family" : "Grabarevic", "given" : "Z.", "non-dropping-particle" : "", "parse-names" : false, "suffix" : "" }, { "dropping-particle" : "", "family" : "Stancic-Rokotov", "given" : "D.", "non-dropping-particle" : "", "parse-names" : false, "suffix" : "" }, { "dropping-particle" : "", "family" : "Pigac", "given" : "B.", "non-dropping-particle" : "", "parse-names" : false, "suffix" : "" }, { "dropping-particle" : "", "family" : "Hanzevacki", "given" : "M.", "non-dropping-particle" : "", "parse-names" : false, "suffix" : "" }, { "dropping-particle" : "", "family" : "Marovic", "given" : "A.", "non-dropping-particle" : "", "parse-names" : false, "suffix" : "" }, { "dropping-particle" : "", "family" : "Rucman", "given" : "R.", "non-dropping-particle" : "", "parse-names" : false, "suffix" : "" }, { "dropping-particle" : "", "family" : "Petek", "given" : "M.", "non-dropping-particle" : "", "parse-names" : false, "suffix" : "" }, { "dropping-particle" : "", "family" : "Zoricic", "given" : "I.", "non-dropping-particle" : "", "parse-names" : false, "suffix" : "" }, { "dropping-particle" : "", "family" : "Ziger", "given" : "T.", "non-dropping-particle" : "", "parse-names" : false, "suffix" : "" }, { "dropping-particle" : "", "family" : "Aralica", "given" : "G.", "non-dropping-particle" : "", "parse-names" : false, "suffix" : "" }, { "dropping-particle" : "", "family" : "Konjevoda", "given" : "P.", "non-dropping-particle" : "", "parse-names" : false, "suffix" : "" }, { "dropping-particle" : "", "family" : "Prkacin", "given" : "I.", "non-dropping-particle" : "", "parse-names" : false, "suffix" : "" }, { "dropping-particle" : "", "family" : "Gjura\u0161in", "given" : "M.", "non-dropping-particle" : "", "parse-names" : false, "suffix" : "" }, { "dropping-particle" : "", "family" : "Miklic", "given" : "P.", "non-dropping-particle" : "", "parse-names" : false, "suffix" : "" }, { "dropping-particle" : "", "family" : "Artukovic", "given" : "B.", "non-dropping-particle" : "", "parse-names" : false, "suffix" : "" }, { "dropping-particle" : "", "family" : "Ti\u0161ljar", "given" : "M.", "non-dropping-particle" : "", "parse-names" : false, "suffix" : "" }, { "dropping-particle" : "", "family" : "Bratulic", "given" : "M.", "non-dropping-particle" : "", "parse-names" : false, "suffix" : "" }, { "dropping-particle" : "", "family" : "Mise", "given" : "S.", "non-dropping-particle" : "", "parse-names" : false, "suffix" : "" }, { "dropping-particle" : "", "family" : "Rotkvic", "given" : "I.", "non-dropping-particle" : "", "parse-names" : false, "suffix" : "" } ], "container-title" : "Journal of Physiology Paris", "id" : "ITEM-7", "issue" : "6", "issued" : { "date-parts" : [ [ "1999" ] ] }, "title" : "The effect of pentadecapeptide BPC 157, H&lt;inf&gt;2&lt;/inf&gt;-blockers, omeprazole and sucralfate on new vessels and new granulation tissue formation", "type" : "article-journal", "volume" : "93" }, "uris" : [ "http://www.mendeley.com/documents/?uuid=506d807a-6ed1-31d4-b4f0-0aa99e375a8f" ] }, { "id" : "ITEM-8", "itemData" : { "ISSN" : "1899-1505", "PMID" : "20388964", "abstract" : "Angiogenesis is a natural and complex process controlled by angiogenic and angiostatic molecules, with a central role in healing process. One of the most important modulating factors in angiogenesis is the vascular endothelial growth factor (VEGF). Pentadecapeptide BPC 157 promotes healing demonstrating particular angiogenic/angiomodulatory potential. We correlated the angiogenic effect of BPC 157 with VEGF expression using in vitro (cell culture) and in vivo (crushed muscle and transected muscle and tendon) models. Results revealed that there is no direct angiogenic effect of BPC 157 on cell cultures. On the other hand, immunohistochemical analysis of muscle and tendon healing using VEGF, CD34 and FVIII antibodies showed adequately modulated angiogenesis in BPC 157 treated animals, resulting in a more adequate healing. Therefore the angiogenic potential of BPC 157 seems to be closely related to the healing process in vivo with BPC 157 stimulating angiogenesis by up-regulating VEGF expression.", "author" : [ { "dropping-particle" : "", "family" : "Brcic", "given" : "L", "non-dropping-particle" : "", "parse-names" : false, "suffix" : "" }, { "dropping-particle" : "", "family" : "Brcic", "given" : "I", "non-dropping-particle" : "", "parse-names" : false, "suffix" : "" }, { "dropping-particle" : "", "family" : "Staresinic", "given" : "M", "non-dropping-particle" : "", "parse-names" : false, "suffix" : "" }, { "dropping-particle" : "", "family" : "Novinscak", "given" : "T", "non-dropping-particle" : "", "parse-names" : false, "suffix" : "" }, { "dropping-particle" : "", "family" : "Sikiric", "given" : "P", "non-dropping-particle" : "", "parse-names" : false, "suffix" : "" }, { "dropping-particle" : "", "family" : "Seiwerth", "given" : "S", "non-dropping-particle" : "", "parse-names" : false, "suffix" : "" } ], "container-title" : "Journal of physiology and pharmacology : an official journal of the Polish Physiological Society", "id" : "ITEM-8", "issued" : { "date-parts" : [ [ "2009", "12" ] ] }, "page" : "191-6", "title" : "Modulatory effect of gastric pentadecapeptide BPC 157 on angiogenesis in muscle and tendon healing.", "type" : "article-journal", "volume" : "60 Suppl 7" }, "uris" : [ "http://www.mendeley.com/documents/?uuid=ff536d43-5510-4cb6-8b5b-f5050078ecb2" ] } ], "mendeley" : { "formattedCitation" : "&lt;sup&gt;[9,43\u201349]&lt;/sup&gt;", "plainTextFormattedCitation" : "[9,43\u201349]", "previouslyFormattedCitation" : "(Brcic et al., 2009; Chang et al., 2014, 2011; Hsieh et al., 2017; Huang et al., 2015; Sikiric et al., 2006, 1999; Tkal\u010devi\u0107 et al., 2007)" }, "properties" : {  }, "schema" : "https://github.com/citation-style-language/schema/raw/master/csl-citation.json" }</w:instrText>
      </w:r>
      <w:r w:rsidR="000D4D1A" w:rsidRPr="00CC34A3">
        <w:rPr>
          <w:rFonts w:ascii="Book Antiqua" w:eastAsia="Calibri" w:hAnsi="Book Antiqua" w:cs="Courier New"/>
          <w:color w:val="000000" w:themeColor="text1"/>
          <w:sz w:val="24"/>
          <w:szCs w:val="24"/>
          <w:lang w:val="en-US"/>
        </w:rPr>
        <w:fldChar w:fldCharType="separate"/>
      </w:r>
      <w:r w:rsidR="000D4D1A" w:rsidRPr="00CC34A3">
        <w:rPr>
          <w:rFonts w:ascii="Book Antiqua" w:eastAsia="Calibri" w:hAnsi="Book Antiqua" w:cs="Courier New"/>
          <w:color w:val="000000" w:themeColor="text1"/>
          <w:sz w:val="24"/>
          <w:szCs w:val="24"/>
          <w:vertAlign w:val="superscript"/>
          <w:lang w:val="en-US"/>
        </w:rPr>
        <w:t>[9,43–49]</w:t>
      </w:r>
      <w:r w:rsidR="000D4D1A" w:rsidRPr="00CC34A3">
        <w:rPr>
          <w:rFonts w:ascii="Book Antiqua" w:eastAsia="Calibri" w:hAnsi="Book Antiqua" w:cs="Courier New"/>
          <w:color w:val="000000" w:themeColor="text1"/>
          <w:sz w:val="24"/>
          <w:szCs w:val="24"/>
          <w:lang w:val="en-US"/>
        </w:rPr>
        <w:fldChar w:fldCharType="end"/>
      </w:r>
      <w:r w:rsidR="000D4D1A" w:rsidRPr="00CC34A3">
        <w:rPr>
          <w:rFonts w:ascii="Book Antiqua" w:hAnsi="Book Antiqua" w:cs="Courier New"/>
          <w:color w:val="000000" w:themeColor="text1"/>
          <w:sz w:val="24"/>
          <w:szCs w:val="24"/>
          <w:lang w:val="en-US"/>
        </w:rPr>
        <w:t xml:space="preserve"> may overcome those of standard anti-ulcer agents</w:t>
      </w:r>
      <w:r w:rsidR="000D4D1A" w:rsidRPr="00CC34A3">
        <w:rPr>
          <w:rFonts w:ascii="Book Antiqua" w:eastAsia="Calibri" w:hAnsi="Book Antiqua" w:cs="Courier New"/>
          <w:color w:val="000000" w:themeColor="text1"/>
          <w:sz w:val="24"/>
          <w:szCs w:val="24"/>
          <w:lang w:val="en-US"/>
        </w:rPr>
        <w:fldChar w:fldCharType="begin" w:fldLock="1"/>
      </w:r>
      <w:r w:rsidR="000D4D1A" w:rsidRPr="00CC34A3">
        <w:rPr>
          <w:rFonts w:ascii="Book Antiqua" w:eastAsia="Calibri" w:hAnsi="Book Antiqua" w:cs="Courier New"/>
          <w:color w:val="000000" w:themeColor="text1"/>
          <w:sz w:val="24"/>
          <w:szCs w:val="24"/>
          <w:lang w:val="en-US"/>
        </w:rPr>
        <w:instrText>ADDIN CSL_CITATION { "citationItems" : [ { "id" : "ITEM-1", "itemData" : { "DOI" : "10.1016/S0928-4257(99)00123-0", "ISSN" : "09284257", "abstract" : "A clear protection of the gastrointestinal tract and an evident anti- inflammatory effect were shown for a novel stomach pentadecapeptide BPC 157 (i.p./i.g.) in comparison with several reference standards in various ulcer models along with a protection of endothelium and particular interaction with the NO-system. Thus, we evaluated whether this pentadecapeptide along with other gastroprotective agents could affect angiogenesis and the healing process in vivo using a procedure initially described by Szabo and co- workers. In each rat, two sterile sponges (1 x 1 x 0.25 cm; V =0.25 mL) with the same quantities of BPC 157 (10 ng \u00b7 mL -1 , 10 \u03bcg \u00b7 mL -1 , 50 \u03bcg \u00b7 kg -1 ) or reference agents (cimetidine: 10, 100, 500 mg \u00b7 mL -1 ; ranitidine: 2.5, 25,250 mg \u00b7 mL -1 ; famotidine: 10, 50, 100 mg \u00b7 mL -1 ; omeprazole: 10, 50, 100 mg \u00b7 mL -1 ; sucralfate: 1, 5, 10 mg \u00b7 mL -1 were implanted subcutaneously in the lumbar region. The sponges were removed after 3 or 7 d, fixed in formalin, and processed for histologic and histochemical evaluation and morphometry assessment. Compared with the control values, the number of newly formed endothelial spaces inside newly formed granulation tissue was markedly increased in all animals treated with BPC 157, cimetidine, ranitidine, famotidine, sucralfate and omeprazole, a consistent finding noted after either 3 or 7 d. Compared with control values, markedly more granulation tissue was noted in the rats in the groups of animals treated with BPC 157 (50 \u03bcg) and in the rats treated with sucralfate in all dosages used, euthanized after 3 d. In all groups treated with H 2 -blockers however, similar values to those of controls were noted. Thus, it could be concluded that an evident angiogenic property was consistently noted for the novel pentadecapeptide BPC 157, H 2 -blockers (cimetidine, famotidine and ranitidine) and omeprazole, besides the well known angiogenic effect of sucralfate. Furthermore, unlike H 2 -blockers and omeprazole, BPC 157 stimulates the formation of granulation tissue, suggesting a particular activity, similar to that previously noted for sucralfate.", "author" : [ { "dropping-particle" : "", "family" : "Sikiric", "given" : "P.", "non-dropping-particle" : "", "parse-names" : false, "suffix" : "" }, { "dropping-particle" : "", "family" : "\u0160eparovic", "given" : "J.", "non-dropping-particle" : "", "parse-names" : false, "suffix" : "" }, { "dropping-particle" : "", "family" : "Anic", "given" : "T.", "non-dropping-particle" : "", "parse-names" : false, "suffix" : "" }, { "dropping-particle" : "", "family" : "Buljat", "given" : "G.", "non-dropping-particle" : "", "parse-names" : false, "suffix" : "" }, { "dropping-particle" : "", "family" : "Mikus", "given" : "D.", "non-dropping-particle" : "", "parse-names" : false, "suffix" : "" }, { "dropping-particle" : "", "family" : "Seiwerth", "given" : "S.", "non-dropping-particle" : "", "parse-names" : false, "suffix" : "" }, { "dropping-particle" : "", "family" : "Grabarevic", "given" : "Z.", "non-dropping-particle" : "", "parse-names" : false, "suffix" : "" }, { "dropping-particle" : "", "family" : "Stancic-Rokotov", "given" : "D.", "non-dropping-particle" : "", "parse-names" : false, "suffix" : "" }, { "dropping-particle" : "", "family" : "Pigac", "given" : "B.", "non-dropping-particle" : "", "parse-names" : false, "suffix" : "" }, { "dropping-particle" : "", "family" : "Hanzevacki", "given" : "M.", "non-dropping-particle" : "", "parse-names" : false, "suffix" : "" }, { "dropping-particle" : "", "family" : "Marovic", "given" : "A.", "non-dropping-particle" : "", "parse-names" : false, "suffix" : "" }, { "dropping-particle" : "", "family" : "Rucman", "given" : "R.", "non-dropping-particle" : "", "parse-names" : false, "suffix" : "" }, { "dropping-particle" : "", "family" : "Petek", "given" : "M.", "non-dropping-particle" : "", "parse-names" : false, "suffix" : "" }, { "dropping-particle" : "", "family" : "Zoricic", "given" : "I.", "non-dropping-particle" : "", "parse-names" : false, "suffix" : "" }, { "dropping-particle" : "", "family" : "Ziger", "given" : "T.", "non-dropping-particle" : "", "parse-names" : false, "suffix" : "" }, { "dropping-particle" : "", "family" : "Aralica", "given" : "G.", "non-dropping-particle" : "", "parse-names" : false, "suffix" : "" }, { "dropping-particle" : "", "family" : "Konjevoda", "given" : "P.", "non-dropping-particle" : "", "parse-names" : false, "suffix" : "" }, { "dropping-particle" : "", "family" : "Prkacin", "given" : "I.", "non-dropping-particle" : "", "parse-names" : false, "suffix" : "" }, { "dropping-particle" : "", "family" : "Gjura\u0161in", "given" : "M.", "non-dropping-particle" : "", "parse-names" : false, "suffix" : "" }, { "dropping-particle" : "", "family" : "Miklic", "given" : "P.", "non-dropping-particle" : "", "parse-names" : false, "suffix" : "" }, { "dropping-particle" : "", "family" : "Artukovic", "given" : "B.", "non-dropping-particle" : "", "parse-names" : false, "suffix" : "" }, { "dropping-particle" : "", "family" : "Ti\u0161ljar", "given" : "M.", "non-dropping-particle" : "", "parse-names" : false, "suffix" : "" }, { "dropping-particle" : "", "family" : "Bratulic", "given" : "M.", "non-dropping-particle" : "", "parse-names" : false, "suffix" : "" }, { "dropping-particle" : "", "family" : "Mise", "given" : "S.", "non-dropping-particle" : "", "parse-names" : false, "suffix" : "" }, { "dropping-particle" : "", "family" : "Rotkvic", "given" : "I.", "non-dropping-particle" : "", "parse-names" : false, "suffix" : "" } ], "container-title" : "Journal of Physiology Paris", "id" : "ITEM-1", "issue" : "6", "issued" : { "date-parts" : [ [ "1999" ] ] }, "title" : "The effect of pentadecapeptide BPC 157, H&lt;inf&gt;2&lt;/inf&gt;-blockers, omeprazole and sucralfate on new vessels and new granulation tissue formation", "type" : "article-journal", "volume" : "93" }, "uris" : [ "http://www.mendeley.com/documents/?uuid=506d807a-6ed1-31d4-b4f0-0aa99e375a8f" ] } ], "mendeley" : { "formattedCitation" : "&lt;sup&gt;[48]&lt;/sup&gt;", "plainTextFormattedCitation" : "[48]", "previouslyFormattedCitation" : "(Sikiric et al., 1999)" }, "properties" : {  }, "schema" : "https://github.com/citation-style-language/schema/raw/master/csl-citation.json" }</w:instrText>
      </w:r>
      <w:r w:rsidR="000D4D1A" w:rsidRPr="00CC34A3">
        <w:rPr>
          <w:rFonts w:ascii="Book Antiqua" w:eastAsia="Calibri" w:hAnsi="Book Antiqua" w:cs="Courier New"/>
          <w:color w:val="000000" w:themeColor="text1"/>
          <w:sz w:val="24"/>
          <w:szCs w:val="24"/>
          <w:lang w:val="en-US"/>
        </w:rPr>
        <w:fldChar w:fldCharType="separate"/>
      </w:r>
      <w:r w:rsidR="000D4D1A" w:rsidRPr="00CC34A3">
        <w:rPr>
          <w:rFonts w:ascii="Book Antiqua" w:eastAsia="Calibri" w:hAnsi="Book Antiqua" w:cs="Courier New"/>
          <w:color w:val="000000" w:themeColor="text1"/>
          <w:sz w:val="24"/>
          <w:szCs w:val="24"/>
          <w:vertAlign w:val="superscript"/>
          <w:lang w:val="en-US"/>
        </w:rPr>
        <w:t>[48]</w:t>
      </w:r>
      <w:r w:rsidR="000D4D1A" w:rsidRPr="00CC34A3">
        <w:rPr>
          <w:rFonts w:ascii="Book Antiqua" w:eastAsia="Calibri" w:hAnsi="Book Antiqua" w:cs="Courier New"/>
          <w:color w:val="000000" w:themeColor="text1"/>
          <w:sz w:val="24"/>
          <w:szCs w:val="24"/>
          <w:lang w:val="en-US"/>
        </w:rPr>
        <w:fldChar w:fldCharType="end"/>
      </w:r>
      <w:r w:rsidR="000D4D1A" w:rsidRPr="00CC34A3">
        <w:rPr>
          <w:rFonts w:ascii="Book Antiqua" w:eastAsia="Calibri" w:hAnsi="Book Antiqua" w:cs="Courier New"/>
          <w:color w:val="000000" w:themeColor="text1"/>
          <w:sz w:val="24"/>
          <w:szCs w:val="24"/>
          <w:lang w:val="en-US"/>
        </w:rPr>
        <w:t>.</w:t>
      </w:r>
      <w:r w:rsidR="002C5BAF" w:rsidRPr="00CC34A3">
        <w:rPr>
          <w:rFonts w:ascii="Book Antiqua" w:eastAsia="Calibri" w:hAnsi="Book Antiqua" w:cs="Courier New"/>
          <w:color w:val="000000" w:themeColor="text1"/>
          <w:sz w:val="24"/>
          <w:szCs w:val="24"/>
          <w:lang w:val="en-US"/>
        </w:rPr>
        <w:t xml:space="preserve"> </w:t>
      </w:r>
      <w:r w:rsidR="000D4D1A" w:rsidRPr="00CC34A3">
        <w:rPr>
          <w:rFonts w:ascii="Book Antiqua" w:hAnsi="Book Antiqua" w:cs="Courier New"/>
          <w:color w:val="000000" w:themeColor="text1"/>
          <w:sz w:val="24"/>
          <w:szCs w:val="24"/>
          <w:lang w:val="en-US"/>
        </w:rPr>
        <w:t xml:space="preserve">Also, these effects are likely to be further extended. </w:t>
      </w:r>
      <w:r w:rsidR="000D4D1A" w:rsidRPr="00CC34A3">
        <w:rPr>
          <w:rStyle w:val="highlight2"/>
          <w:rFonts w:ascii="Book Antiqua" w:hAnsi="Book Antiqua" w:cs="Courier New"/>
          <w:color w:val="000000" w:themeColor="text1"/>
          <w:sz w:val="24"/>
          <w:szCs w:val="24"/>
          <w:lang w:val="en-US"/>
        </w:rPr>
        <w:t>BPC 157</w:t>
      </w:r>
      <w:r w:rsidR="000D4D1A" w:rsidRPr="00CC34A3">
        <w:rPr>
          <w:rFonts w:ascii="Book Antiqua" w:hAnsi="Book Antiqua" w:cs="Courier New"/>
          <w:color w:val="000000" w:themeColor="text1"/>
          <w:sz w:val="24"/>
          <w:szCs w:val="24"/>
          <w:lang w:val="en-US"/>
        </w:rPr>
        <w:t xml:space="preserve"> accelerates the blood flow recovery and vessel number in rats with hindlimb ischemia</w:t>
      </w:r>
      <w:r w:rsidR="002D53DD" w:rsidRPr="00CC34A3">
        <w:rPr>
          <w:rFonts w:ascii="Book Antiqua" w:eastAsia="Calibri" w:hAnsi="Book Antiqua" w:cs="Courier New"/>
          <w:color w:val="000000" w:themeColor="text1"/>
          <w:sz w:val="24"/>
          <w:szCs w:val="24"/>
          <w:lang w:val="en-US"/>
        </w:rPr>
        <w:fldChar w:fldCharType="begin" w:fldLock="1"/>
      </w:r>
      <w:r w:rsidR="002D53DD" w:rsidRPr="00CC34A3">
        <w:rPr>
          <w:rFonts w:ascii="Book Antiqua" w:eastAsia="Calibri" w:hAnsi="Book Antiqua" w:cs="Courier New"/>
          <w:color w:val="000000" w:themeColor="text1"/>
          <w:sz w:val="24"/>
          <w:szCs w:val="24"/>
          <w:lang w:val="en-US"/>
        </w:rPr>
        <w:instrText>ADDIN CSL_CITATION { "citationItems" : [ { "id" : "ITEM-1", "itemData" : { "DOI" : "10.1007/s00109-016-1488-y", "ISSN" : "0946-2716", "author" : [ { "dropping-particle" : "", "family" : "Hsieh", "given" : "Ming-Jer", "non-dropping-particle" : "", "parse-names" : false, "suffix" : "" }, { "dropping-particle" : "", "family" : "Liu", "given" : "Hsien-Ta", "non-dropping-particle" : "", "parse-names" : false, "suffix" : "" }, { "dropping-particle" : "", "family" : "Wang", "given" : "Chao-Nin", "non-dropping-particle" : "", "parse-names" : false, "suffix" : "" }, { "dropping-particle" : "", "family" : "Huang", "given" : "Hsiu-Yun", "non-dropping-particle" : "", "parse-names" : false, "suffix" : "" }, { "dropping-particle" : "", "family" : "Lin", "given" : "Yuling", "non-dropping-particle" : "", "parse-names" : false, "suffix" : "" }, { "dropping-particle" : "", "family" : "Ko", "given" : "Yu-Shien", "non-dropping-particle" : "", "parse-names" : false, "suffix" : "" }, { "dropping-particle" : "", "family" : "Wang", "given" : "Jong-Shyan", "non-dropping-particle" : "", "parse-names" : false, "suffix" : "" }, { "dropping-particle" : "", "family" : "Chang", "given" : "Vincent Hung-Shu", "non-dropping-particle" : "", "parse-names" : false, "suffix" : "" }, { "dropping-particle" : "", "family" : "Pang", "given" : "Jong-Hwei S.", "non-dropping-particle" : "", "parse-names" : false, "suffix" : "" } ], "container-title" : "Journal of Molecular Medicine", "id" : "ITEM-1", "issue" : "3", "issued" : { "date-parts" : [ [ "2017", "3", "15" ] ] }, "page" : "323-333", "title" : "Therapeutic potential of pro-angiogenic BPC157 is associated with VEGFR2 activation and up-regulation", "type" : "article-journal", "volume" : "95" }, "uris" : [ "http://www.mendeley.com/documents/?uuid=a40b4135-8310-40c1-b83e-dce5a6cf8d4e" ] } ], "mendeley" : { "formattedCitation" : "&lt;sup&gt;[43]&lt;/sup&gt;", "plainTextFormattedCitation" : "[43]", "previouslyFormattedCitation" : "(Hsieh et al., 2017)" }, "properties" : {  }, "schema" : "https://github.com/citation-style-language/schema/raw/master/csl-citation.json" }</w:instrText>
      </w:r>
      <w:r w:rsidR="002D53DD" w:rsidRPr="00CC34A3">
        <w:rPr>
          <w:rFonts w:ascii="Book Antiqua" w:eastAsia="Calibri" w:hAnsi="Book Antiqua" w:cs="Courier New"/>
          <w:color w:val="000000" w:themeColor="text1"/>
          <w:sz w:val="24"/>
          <w:szCs w:val="24"/>
          <w:lang w:val="en-US"/>
        </w:rPr>
        <w:fldChar w:fldCharType="separate"/>
      </w:r>
      <w:r w:rsidR="002D53DD" w:rsidRPr="00CC34A3">
        <w:rPr>
          <w:rFonts w:ascii="Book Antiqua" w:eastAsia="Calibri" w:hAnsi="Book Antiqua" w:cs="Courier New"/>
          <w:color w:val="000000" w:themeColor="text1"/>
          <w:sz w:val="24"/>
          <w:szCs w:val="24"/>
          <w:vertAlign w:val="superscript"/>
          <w:lang w:val="en-US"/>
        </w:rPr>
        <w:t>[43]</w:t>
      </w:r>
      <w:r w:rsidR="002D53DD" w:rsidRPr="00CC34A3">
        <w:rPr>
          <w:rFonts w:ascii="Book Antiqua" w:eastAsia="Calibri" w:hAnsi="Book Antiqua" w:cs="Courier New"/>
          <w:color w:val="000000" w:themeColor="text1"/>
          <w:sz w:val="24"/>
          <w:szCs w:val="24"/>
          <w:lang w:val="en-US"/>
        </w:rPr>
        <w:fldChar w:fldCharType="end"/>
      </w:r>
      <w:r w:rsidR="000D4D1A" w:rsidRPr="00CC34A3">
        <w:rPr>
          <w:rFonts w:ascii="Book Antiqua" w:hAnsi="Book Antiqua" w:cs="Courier New"/>
          <w:color w:val="000000" w:themeColor="text1"/>
          <w:sz w:val="24"/>
          <w:szCs w:val="24"/>
          <w:lang w:val="en-US"/>
        </w:rPr>
        <w:t xml:space="preserve">. </w:t>
      </w:r>
      <w:r w:rsidR="000D4D1A" w:rsidRPr="00CC34A3">
        <w:rPr>
          <w:rStyle w:val="highlight2"/>
          <w:rFonts w:ascii="Book Antiqua" w:hAnsi="Book Antiqua" w:cs="Courier New"/>
          <w:color w:val="000000" w:themeColor="text1"/>
          <w:sz w:val="24"/>
          <w:szCs w:val="24"/>
          <w:lang w:val="en-US"/>
        </w:rPr>
        <w:t>BPC 157</w:t>
      </w:r>
      <w:r w:rsidR="000D4D1A" w:rsidRPr="00CC34A3">
        <w:rPr>
          <w:rFonts w:ascii="Book Antiqua" w:hAnsi="Book Antiqua" w:cs="Courier New"/>
          <w:color w:val="000000" w:themeColor="text1"/>
          <w:sz w:val="24"/>
          <w:szCs w:val="24"/>
          <w:lang w:val="en-US"/>
        </w:rPr>
        <w:t xml:space="preserve"> upregulates VEGFR2 expression in rats with hindlimb ischemia and endothelial cell cultures and promotes VEGFR2 internalization in association with VEGFR2-Akt-eNOS activation</w:t>
      </w:r>
      <w:r w:rsidR="000D4D1A" w:rsidRPr="00CC34A3">
        <w:rPr>
          <w:rFonts w:ascii="Book Antiqua" w:eastAsia="Calibri" w:hAnsi="Book Antiqua" w:cs="Courier New"/>
          <w:color w:val="000000" w:themeColor="text1"/>
          <w:sz w:val="24"/>
          <w:szCs w:val="24"/>
          <w:lang w:val="en-US"/>
        </w:rPr>
        <w:fldChar w:fldCharType="begin" w:fldLock="1"/>
      </w:r>
      <w:r w:rsidR="000D4D1A" w:rsidRPr="00CC34A3">
        <w:rPr>
          <w:rFonts w:ascii="Book Antiqua" w:eastAsia="Calibri" w:hAnsi="Book Antiqua" w:cs="Courier New"/>
          <w:color w:val="000000" w:themeColor="text1"/>
          <w:sz w:val="24"/>
          <w:szCs w:val="24"/>
          <w:lang w:val="en-US"/>
        </w:rPr>
        <w:instrText>ADDIN CSL_CITATION { "citationItems" : [ { "id" : "ITEM-1", "itemData" : { "DOI" : "10.1007/s00109-016-1488-y", "ISSN" : "0946-2716", "author" : [ { "dropping-particle" : "", "family" : "Hsieh", "given" : "Ming-Jer", "non-dropping-particle" : "", "parse-names" : false, "suffix" : "" }, { "dropping-particle" : "", "family" : "Liu", "given" : "Hsien-Ta", "non-dropping-particle" : "", "parse-names" : false, "suffix" : "" }, { "dropping-particle" : "", "family" : "Wang", "given" : "Chao-Nin", "non-dropping-particle" : "", "parse-names" : false, "suffix" : "" }, { "dropping-particle" : "", "family" : "Huang", "given" : "Hsiu-Yun", "non-dropping-particle" : "", "parse-names" : false, "suffix" : "" }, { "dropping-particle" : "", "family" : "Lin", "given" : "Yuling", "non-dropping-particle" : "", "parse-names" : false, "suffix" : "" }, { "dropping-particle" : "", "family" : "Ko", "given" : "Yu-Shien", "non-dropping-particle" : "", "parse-names" : false, "suffix" : "" }, { "dropping-particle" : "", "family" : "Wang", "given" : "Jong-Shyan", "non-dropping-particle" : "", "parse-names" : false, "suffix" : "" }, { "dropping-particle" : "", "family" : "Chang", "given" : "Vincent Hung-Shu", "non-dropping-particle" : "", "parse-names" : false, "suffix" : "" }, { "dropping-particle" : "", "family" : "Pang", "given" : "Jong-Hwei S.", "non-dropping-particle" : "", "parse-names" : false, "suffix" : "" } ], "container-title" : "Journal of Molecular Medicine", "id" : "ITEM-1", "issue" : "3", "issued" : { "date-parts" : [ [ "2017", "3", "15" ] ] }, "page" : "323-333", "title" : "Therapeutic potential of pro-angiogenic BPC157 is associated with VEGFR2 activation and up-regulation", "type" : "article-journal", "volume" : "95" }, "uris" : [ "http://www.mendeley.com/documents/?uuid=a40b4135-8310-40c1-b83e-dce5a6cf8d4e" ] } ], "mendeley" : { "formattedCitation" : "&lt;sup&gt;[43]&lt;/sup&gt;", "plainTextFormattedCitation" : "[43]", "previouslyFormattedCitation" : "(Hsieh et al., 2017)" }, "properties" : {  }, "schema" : "https://github.com/citation-style-language/schema/raw/master/csl-citation.json" }</w:instrText>
      </w:r>
      <w:r w:rsidR="000D4D1A" w:rsidRPr="00CC34A3">
        <w:rPr>
          <w:rFonts w:ascii="Book Antiqua" w:eastAsia="Calibri" w:hAnsi="Book Antiqua" w:cs="Courier New"/>
          <w:color w:val="000000" w:themeColor="text1"/>
          <w:sz w:val="24"/>
          <w:szCs w:val="24"/>
          <w:lang w:val="en-US"/>
        </w:rPr>
        <w:fldChar w:fldCharType="separate"/>
      </w:r>
      <w:r w:rsidR="000D4D1A" w:rsidRPr="00CC34A3">
        <w:rPr>
          <w:rFonts w:ascii="Book Antiqua" w:eastAsia="Calibri" w:hAnsi="Book Antiqua" w:cs="Courier New"/>
          <w:color w:val="000000" w:themeColor="text1"/>
          <w:sz w:val="24"/>
          <w:szCs w:val="24"/>
          <w:vertAlign w:val="superscript"/>
          <w:lang w:val="en-US"/>
        </w:rPr>
        <w:t>[43]</w:t>
      </w:r>
      <w:r w:rsidR="000D4D1A" w:rsidRPr="00CC34A3">
        <w:rPr>
          <w:rFonts w:ascii="Book Antiqua" w:eastAsia="Calibri" w:hAnsi="Book Antiqua" w:cs="Courier New"/>
          <w:color w:val="000000" w:themeColor="text1"/>
          <w:sz w:val="24"/>
          <w:szCs w:val="24"/>
          <w:lang w:val="en-US"/>
        </w:rPr>
        <w:fldChar w:fldCharType="end"/>
      </w:r>
      <w:r w:rsidR="000D4D1A" w:rsidRPr="00CC34A3">
        <w:rPr>
          <w:rFonts w:ascii="Book Antiqua" w:hAnsi="Book Antiqua" w:cs="Courier New"/>
          <w:color w:val="000000" w:themeColor="text1"/>
          <w:sz w:val="24"/>
          <w:szCs w:val="24"/>
          <w:lang w:val="en-US"/>
        </w:rPr>
        <w:t>. As mentioned, shared limitation of activity</w:t>
      </w:r>
      <w:r w:rsidR="000D4D1A" w:rsidRPr="00CC34A3">
        <w:rPr>
          <w:rFonts w:ascii="Book Antiqua" w:eastAsia="Calibri" w:hAnsi="Book Antiqua" w:cs="Courier New"/>
          <w:color w:val="000000" w:themeColor="text1"/>
          <w:sz w:val="24"/>
          <w:szCs w:val="24"/>
          <w:lang w:val="en-US"/>
        </w:rPr>
        <w:fldChar w:fldCharType="begin" w:fldLock="1"/>
      </w:r>
      <w:r w:rsidR="000D4D1A" w:rsidRPr="00CC34A3">
        <w:rPr>
          <w:rFonts w:ascii="Book Antiqua" w:eastAsia="Calibri" w:hAnsi="Book Antiqua" w:cs="Courier New"/>
          <w:color w:val="000000" w:themeColor="text1"/>
          <w:sz w:val="24"/>
          <w:szCs w:val="24"/>
          <w:lang w:val="en-US"/>
        </w:rPr>
        <w:instrText>ADDIN CSL_CITATION { "citationItems" : [ { "id" : "ITEM-1", "itemData" : { "DOI" : "10.1007/978-1-4684-5697-4_4", "author" : [ { "dropping-particle" : "", "family" : "Szabo", "given" : "Sandor", "non-dropping-particle" : "", "parse-names" : false, "suffix" : "" } ], "container-title" : "Gastric Cytoprotection", "id" : "ITEM-1", "issued" : { "date-parts" : [ [ "1989" ] ] }, "page" : "49-73", "publisher" : "Springer US", "publisher-place" : "Boston, MA", "title" : "Mechanisms of Mucosal Protection", "type" : "chapter" }, "uris" : [ "http://www.mendeley.com/documents/?uuid=d88f8e6b-1a39-4b24-96bf-cfb05f28ef11" ] }, { "id" : "ITEM-2", "itemData" : { "author" : [ { "dropping-particle" : "", "family" : "Szabo", "given" : "Sandor", "non-dropping-particle" : "", "parse-names" : false, "suffix" : "" }, { "dropping-particle" : "", "family" : "Trier", "given" : "JS", "non-dropping-particle" : "", "parse-names" : false, "suffix" : "" } ], "container-title" : "Mechanism of mucosal protection in the upper gastrointestinal tract", "editor" : [ { "dropping-particle" : "", "family" : "Allen", "given" : "A", "non-dropping-particle" : "", "parse-names" : false, "suffix" : "" }, { "dropping-particle" : "", "family" : "Flemstrom", "given" : "G", "non-dropping-particle" : "", "parse-names" : false, "suffix" : "" }, { "dropping-particle" : "", "family" : "Garner", "given" : "A", "non-dropping-particle" : "", "parse-names" : false, "suffix" : "" }, { "dropping-particle" : "", "family" : "Silen", "given" : "W", "non-dropping-particle" : "", "parse-names" : false, "suffix" : "" }, { "dropping-particle" : "", "family" : "Turnberg", "given" : "LA", "non-dropping-particle" : "", "parse-names" : false, "suffix" : "" } ], "id" : "ITEM-2", "issued" : { "date-parts" : [ [ "1984" ] ] }, "page" : "387-393", "publisher" : "Raven", "publisher-place" : "New York", "title" : "Pathogenesis of acute gastric mucosal injury: Sulfhydrils as a protector, adrenal cortex as a modulator, and vascular endothelium as a target", "type" : "chapter" }, "uris" : [ "http://www.mendeley.com/documents/?uuid=21df94ec-a5e2-4420-85db-5334a540ef21" ] }, { "id" : "ITEM-3", "itemData" : { "ISSN" : "0016-5085", "PMID" : "3781180", "abstract" : "Impairment of the mucosal microcirculation may contribute to ethanol-induced gastric mucosal damage. In this report, we describe diffuse and severe ultrastructural damage to the capillaries of the gastric glandular mucosa of the rat that occurred within 1 min after intragastric instillation of 100% ethanol. There was a gradient of damage in that endothelial cell structure was most severely disrupted in profiles of capillaries located close to the luminal surface but some morphologic evidence of damage was evident in the wall of capillary profiles to a mean depth of 256 micron. Capillary structure was generally normal in the deeper regions of the mucosa. Pretreatment with intragastric cysteamine, 30 mg/100 g, or intragastric prostaglandin F2 beta, 0.5 mg/100 g, significantly reduced the depth in the mucosa to which damage to capillaries extended. Pretreatment with intragastric prostaglandin F2 beta, 0.2 mg/100 g, afforded no significant protection. We conclude that a 1-min exposure to 100% ethanol induces striking damage to the microcirculation of glandular mucosa of the rat stomach with severe damage to capillary profiles near the lumen and sparing of capillary profiles near the muscularis mucosa, and pretreatment with the sulfhydryl agent, cysteamine, or with a large dose of prostaglandin F2 beta reduces the extent of but does not abolish ethanol-induced damage to gastric mucosal capillaries.", "author" : [ { "dropping-particle" : "", "family" : "Trier", "given" : "JS", "non-dropping-particle" : "", "parse-names" : false, "suffix" : "" }, { "dropping-particle" : "", "family" : "Szabo", "given" : "S", "non-dropping-particle" : "", "parse-names" : false, "suffix" : "" }, { "dropping-particle" : "", "family" : "Allan", "given" : "CH", "non-dropping-particle" : "", "parse-names" : false, "suffix" : "" } ], "container-title" : "Gastroenterology", "id" : "ITEM-3", "issue" : "1", "issued" : { "date-parts" : [ [ "1987", "1" ] ] }, "page" : "13-22", "title" : "Ethanol-induced damage to mucosal capillaries of rat stomach. Ultrastructural features and effects of prostaglandin F2 beta and cysteamine.", "type" : "article-journal", "volume" : "92" }, "uris" : [ "http://www.mendeley.com/documents/?uuid=c3f098f1-f060-4c67-9911-5ab2b4c90217" ] }, { "id" : "ITEM-4", "itemData" : { "ISSN" : "0016-5085", "PMID" : "3871087", "abstract" : "The hypothesis that vascular injury contributes to the development of hemorrhagic erosions after intragastric administration of ethanol has been examined in the rat using vascular tracers. Extravasation of intravenously injected Evans blue into the gastric wall and into gastric contents was used as an indicator of vascular permeability. India ink and monastral blue, which label damaged blood vessels, were used to demonstrate vascular injury morphologically. Intragastric instillation of 75% and 100% ethanol induced increased vascular permeability within 1-3 min and resulted in monastral blue labeling of vessels in 13% and 17%, respectively, of the glandular mucosa within 1 min. After 1 h of 100% ethanol exposure, the areal density of monastral blue-stained blood vessels did not increase compared with that seen at 1 min, but the areal density of grossly visible hemorrhagic lesions increased strikingly and approximated that of vessel staining. The hemorrhagic erosions consistently occurred in regions of glandular mucosa where vessels were stained with monastral blue. Pretreatment with prostaglandin F2 beta or cysteamine reduced ethanol-induced Evans blue extravasation and monastral blue staining of mucosal blood vessels but did not reduce histologic evidence of gastric surface cell damage in the glandular mucosa. As increased vascular permeability and morphologically detectable vascular lesions consistently preceded the development of grossly visible hemorrhagic erosions in the glandular mucosa, we suggest that vascular injury is an early pathogenetic factor in the development of ethanol-induced gastric hemorrhagic erosions. The data also indicate that the degree of vascular damage, unlike the injury to surface epithelial cells, is reduced by pretreatment with prostaglandin F2 beta or the sulfhydryl cysteamine.", "author" : [ { "dropping-particle" : "", "family" : "Szabo", "given" : "S", "non-dropping-particle" : "", "parse-names" : false, "suffix" : "" }, { "dropping-particle" : "", "family" : "Trier", "given" : "J S", "non-dropping-particle" : "", "parse-names" : false, "suffix" : "" }, { "dropping-particle" : "", "family" : "Brown", "given" : "A", "non-dropping-particle" : "", "parse-names" : false, "suffix" : "" }, { "dropping-particle" : "", "family" : "Schnoor", "given" : "J", "non-dropping-particle" : "", "parse-names" : false, "suffix" : "" } ], "container-title" : "Gastroenterology", "id" : "ITEM-4", "issue" : "1 Pt 2", "issued" : { "date-parts" : [ [ "1985", "1" ] ] }, "page" : "228-36", "title" : "Early vascular injury and increased vascular permeability in gastric mucosal injury caused by ethanol in the rat.", "type" : "article-journal", "volume" : "88" }, "uris" : [ "http://www.mendeley.com/documents/?uuid=a3272911-ef25-495c-85d1-1b71d1d7f12e" ] }, { "id" : "ITEM-5", "itemData" : { "ISSN" : "0024-3205", "PMID" : "7904712", "abstract" : "The protection of stomach and duodenum in conjecture with anti-inflammatory effect was demonstrated for a novel 15 amino acid peptide, coded BPC 157, a fragment of the recently discovered gastric juice peptide BPC. BPC 157 (i.p./i.g.) was investigated in rats in comparison with several reference standards in three experimental ulcer models (48 h-restraint stress, subcutaneous cysteamine, intragastrical 96% ethanol ulcer tests) (pre-/co-/post-treatment). Only BPC 157 regimens were consistently effective in all of the tested models. On the other hand, bromocriptine, amantadine, famotidine, cimetidine and somatostatin were ineffective (restraint stress). A dose-dependent protection (cysteamine) and/or partial positive effect (related to treatment conditions) (ethanol), was obtained with glucagon, NPY and secretin whereas CCK/26-30/was not effective. Based on Monastral blue studies BPC 157 beneficial effect appears to be related to a strong endothelial protection.", "author" : [ { "dropping-particle" : "", "family" : "Sikiric", "given" : "P", "non-dropping-particle" : "", "parse-names" : false, "suffix" : "" }, { "dropping-particle" : "", "family" : "Seiwerth", "given" : "S", "non-dropping-particle" : "", "parse-names" : false, "suffix" : "" }, { "dropping-particle" : "", "family" : "Grabarevic", "given" : "Z", "non-dropping-particle" : "", "parse-names" : false, "suffix" : "" }, { "dropping-particle" : "", "family" : "Petek", "given" : "M", "non-dropping-particle" : "", "parse-names" : false, "suffix" : "" }, { "dropping-particle" : "", "family" : "Rucman", "given" : "R", "non-dropping-particle" : "", "parse-names" : false, "suffix" : "" }, { "dropping-particle" : "", "family" : "Turkovic", "given" : "B", "non-dropping-particle" : "", "parse-names" : false, "suffix" : "" }, { "dropping-particle" : "", "family" : "Rotkvic", "given" : "I", "non-dropping-particle" : "", "parse-names" : false, "suffix" : "" }, { "dropping-particle" : "", "family" : "Jagic", "given" : "V", "non-dropping-particle" : "", "parse-names" : false, "suffix" : "" }, { "dropping-particle" : "", "family" : "Duvnjak", "given" : "M", "non-dropping-particle" : "", "parse-names" : false, "suffix" : "" }, { "dropping-particle" : "", "family" : "Mise", "given" : "S", "non-dropping-particle" : "", "parse-names" : false, "suffix" : "" } ], "container-title" : "Life sciences", "id" : "ITEM-5", "issue" : "5", "issued" : { "date-parts" : [ [ "1994" ] ] }, "page" : "PL63-8", "title" : "The beneficial effect of BPC 157, a 15 amino acid peptide BPC fragment, on gastric and duodenal lesions induced by restraint stress, cysteamine and 96% ethanol in rats. A comparative study with H2 receptor antagonists, dopamine promotors and gut peptides.", "type" : "article-journal", "volume" : "54" }, "uris" : [ "http://www.mendeley.com/documents/?uuid=2aa4e8e1-46ae-4739-88c5-de4cb0e272b1" ] }, { "id" : "ITEM-6", "itemData" : { "ISSN" : "0016-5085", "PMID" : "38173", "author" : [ { "dropping-particle" : "", "family" : "Robert", "given" : "A", "non-dropping-particle" : "", "parse-names" : false, "suffix" : "" } ], "container-title" : "Gastroenterology", "id" : "ITEM-6", "issue" : "4 Pt 1", "issued" : { "date-parts" : [ [ "1979", "10" ] ] }, "page" : "761-7", "title" : "Cytoprotection by prostaglandins.", "type" : "article-journal", "volume" : "77" }, "uris" : [ "http://www.mendeley.com/documents/?uuid=49342c62-22fb-4e9e-8e1d-0c66f6f8fd98" ] } ], "mendeley" : { "formattedCitation" : "&lt;sup&gt;[17\u201321,50]&lt;/sup&gt;", "plainTextFormattedCitation" : "[17\u201321,50]", "previouslyFormattedCitation" : "(Robert, 1979; Sikiric et al., 1994; Szabo, 1989; Szabo et al., 1985; Szabo and Trier, 1984; Trier et al., 1987)" }, "properties" : {  }, "schema" : "https://github.com/citation-style-language/schema/raw/master/csl-citation.json" }</w:instrText>
      </w:r>
      <w:r w:rsidR="000D4D1A" w:rsidRPr="00CC34A3">
        <w:rPr>
          <w:rFonts w:ascii="Book Antiqua" w:eastAsia="Calibri" w:hAnsi="Book Antiqua" w:cs="Courier New"/>
          <w:color w:val="000000" w:themeColor="text1"/>
          <w:sz w:val="24"/>
          <w:szCs w:val="24"/>
          <w:lang w:val="en-US"/>
        </w:rPr>
        <w:fldChar w:fldCharType="separate"/>
      </w:r>
      <w:r w:rsidR="000D4D1A" w:rsidRPr="00CC34A3">
        <w:rPr>
          <w:rFonts w:ascii="Book Antiqua" w:eastAsia="Calibri" w:hAnsi="Book Antiqua" w:cs="Courier New"/>
          <w:color w:val="000000" w:themeColor="text1"/>
          <w:sz w:val="24"/>
          <w:szCs w:val="24"/>
          <w:vertAlign w:val="superscript"/>
          <w:lang w:val="en-US"/>
        </w:rPr>
        <w:t>[17–21,50]</w:t>
      </w:r>
      <w:r w:rsidR="000D4D1A" w:rsidRPr="00CC34A3">
        <w:rPr>
          <w:rFonts w:ascii="Book Antiqua" w:eastAsia="Calibri" w:hAnsi="Book Antiqua" w:cs="Courier New"/>
          <w:color w:val="000000" w:themeColor="text1"/>
          <w:sz w:val="24"/>
          <w:szCs w:val="24"/>
          <w:lang w:val="en-US"/>
        </w:rPr>
        <w:fldChar w:fldCharType="end"/>
      </w:r>
      <w:r w:rsidR="000D4D1A" w:rsidRPr="00CC34A3">
        <w:rPr>
          <w:rFonts w:ascii="Book Antiqua" w:hAnsi="Book Antiqua" w:cs="Courier New"/>
          <w:color w:val="000000" w:themeColor="text1"/>
          <w:sz w:val="24"/>
          <w:szCs w:val="24"/>
          <w:lang w:val="en-US"/>
        </w:rPr>
        <w:t>, only prophylactic effectiveness of standard cytoprotective agents, is avoided.  With both prophylactic and therapeutic abilities</w:t>
      </w:r>
      <w:r w:rsidR="000D4D1A" w:rsidRPr="00CC34A3">
        <w:rPr>
          <w:rFonts w:ascii="Book Antiqua" w:eastAsia="Calibri" w:hAnsi="Book Antiqua" w:cs="Courier New"/>
          <w:color w:val="000000" w:themeColor="text1"/>
          <w:sz w:val="24"/>
          <w:szCs w:val="24"/>
          <w:lang w:val="en-US"/>
        </w:rPr>
        <w:fldChar w:fldCharType="begin" w:fldLock="1"/>
      </w:r>
      <w:r w:rsidR="000D4D1A" w:rsidRPr="00CC34A3">
        <w:rPr>
          <w:rFonts w:ascii="Book Antiqua" w:eastAsia="Calibri" w:hAnsi="Book Antiqua" w:cs="Courier New"/>
          <w:color w:val="000000" w:themeColor="text1"/>
          <w:sz w:val="24"/>
          <w:szCs w:val="24"/>
          <w:lang w:val="en-US"/>
        </w:rPr>
        <w:instrText>ADDIN CSL_CITATION { "citationItems" : [ { "id" : "ITEM-1", "itemData" : { "DOI" : "10.2174/1381612823666170220163219", "ISSN" : "13816128", "PMID" : "28228068", "abstract" : "Selye's syndrome produced by diverse nocuous agents and ``response to damage as such{''} means Selye's stress triad in stress coping response to reestablish homeostasis. Logically, from the gastrointestinal tract viewpoint, such organoprotective/healing response implies the angiogenic growth factors that commonly signify the healing. Thereby, the gastric pentadecapeptide BPC 157-organoprotection (huge range of beneficial effects) signifies the Selye's stress concept/stress coping response implemented in and from gastrointestinal tract, and BPC 157 as an integrative mediator that integrates the adaptive bodily response to stress. In clinical trials without side effects, LD1 not achieved, BPC 157 healing in gastrointestinal tract, and particularly the healing of the extra-gastrointestinal tissues (i.e., skin/tendon/ligament/muscle/bone; nerve; cornea/brain) were referred throughout its integrative capabilities (i.e., ulcerative colitis/multiple sclerosis model equally counteracted), native in gastrointestinal tract, stability in human gastric juice (and thereby, strong efficacy and applicability), its relevance for dopamine-system function (and thereby, counteracting effects of dopamine-system dysfunction and over-function, centrally and peripherally (mucosa maintenance); interaction with serotonin- and GABA-system)), afforded cytoprotection/adaptive cytoprotection/organoprotection (and thereby, beneficial effects on gastric and whole intestinal tract lesions and adaptation, wounds and fistulas healing, blood vessels, somatosensory neurons, NSAIDs-side effects (including also pancreas, liver, brain lesions, and blood disturbances, prolonged bleeding, thrombocytopenia, thrombosis)). Further, we combine such gut-brain axis and the NO-system where BPC 157 counteracts complications of either L-NAME application (i.e., various lesions aggravation, hypertension) or L-arginine application (i.e., hypotension, prolonged bleeding, thrombocytopenia). Also, BPC 157 particularly affects genes functions (i.e., Fos, c-Jun, Egr-1), all together suggestive for an indicative generalization. Thus, we could suggest gastric pentadecapeptide BPC 157 and BPC 157 induced-organoprotection as integrative mediator that integrates the adaptive bodily response to stress, and thereby practically applied in further therapy and in effective realization of Selye's stress response.",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"Drmic", "given" : "Domagoj", "non-dropping-particle" : "", "parse-names" : false, "suffix" : "" }, { "dropping-particle" : "", "family" : "Stupnisek", "given" : "Mirjana", "non-dropping-particle" : "", "parse-names" : false, "suffix" : "" }, { "dropping-particle" : "", "family" : "Kokot", "given" : "Antonio", "non-dropping-particle" : "", "parse-names" : false, "suffix" : "" }, { "dropping-particle" : "", "family" : "Sever", "given" : "Marko", "non-dropping-particle" : "", "parse-names" : false, "suffix" : "" }, { "dropping-particle" : "", "family" : "Zoricic", "given" : "Ivan", "non-dropping-particle" : "", "parse-names" : false, "suffix" : "" }, { "dropping-particle" : "", "family" : "Zoricic", "given" : "Zoran", "non-dropping-particle" : "", "parse-names" : false, "suffix" : "" }, { "dropping-particle" : "", "family" : "Batelja", "given" : "Lovorka", "non-dropping-particle" : "", "parse-names" : false, "suffix" : "" }, { "dropping-particle" : "", "family" : "Ziger", "given" : "Tihomil", "non-dropping-particle" : "", "parse-names" : false, "suffix" : "" }, { "dropping-particle" : "", "family" : "Luetic", "given" : "Kresimir", "non-dropping-particle" : "", "parse-names" : false, "suffix" : "" }, { "dropping-particle" : "", "family" : "Vlainic", "given" : "Josipa", "non-dropping-particle" : "", "parse-names" : false, "suffix" : "" }, { "dropping-particle" : "", "family" : "Rasic", "given" : "Zarko", "non-dropping-particle" : "", "parse-names" : false, "suffix" : "" }, { "dropping-particle" : "", "family" : "Bencic", "given" : "Martina Lovric", "non-dropping-particle" : "", "parse-names" : false, "suffix" : "" } ], "container-title" : "Current Pharmaceutical Design", "id" : "ITEM-1", "issue" : "27", "issued" : { "date-parts" : [ [ "2017" ] ] }, "page" : "4012-4028", "title" : "Stress in Gastrointestinal Tract and Stable Gastric Pentadecapeptide BPC 157. Finally, do we have a Solution?", "type" : "article-journal", "volume" : "23" }, "uris" : [ "http://www.mendeley.com/documents/?uuid=15899097-6542-32aa-acf2-ef932af08516" ] }, { "id" : "ITEM-2", "itemData" : { "ISSN" : "1875-6190", "PMID" : "27138887", "abstract" : "BACKGROUND Brain-gut interaction involves, among others, peptidergic growth factors which are native in GI tract and have strong antiulcer potency and thus could from periphery beneficially affect CNS-disorders. We focused on the stable gastric pentadecapeptide BPC 157, an antiulcer peptidergic agent, safe in inflammatory bowel disease trials and now in multiple sclerosis trial, native and stable in human gastric juice. METHODS Review of our research on BPC 157 in terms of brain-gut axis. RESULTS BPC 157 may serve as a novel mediator of Robert's cytoprotection, involved in maintaining of GI mucosa integrity, with no toxic effect. BPC 157 was successful in the therapy of GI tract, periodontitis, liver and pancreas lesions, and in the healing of various tissues and wounds. Stimulated Egr-1 gene, NAB2, FAK-paxillin and JAK-2 pathways are hitherto implicated. Initially corresponding beneficial central influence was seen when BPC 157 was given peripherally and a serotonin release in particular brain areas, mostly nigrostriatal, was changed. BPC 157 modulates serotonergic and dopaminergic systems, beneficially affects various behavioral disturbances that otherwise appeared due to specifically (over)stimulated/damaged neurotransmitters systems. Besides, BPC 157 has neuroprotective effects: protects somatosensory neurons; peripheral nerve regeneration appearent after transection; after traumatic brain injury counteracts the otherwise progressing course, in rat spinal cord compression with tail paralysis, axonal and neuronal necrosis, demyelination, cyst formation and rescues tail function in both short-terms and long-terms; after NSAIDs or insulin overdose or cuprizone encephalopathies were attenuated along with GI, liver and vascular injuries. CONCLUSION BPC 157, a gastric peptide, may serve as remedy in various CNS-disorders.",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"Kolenc", "given" : "Danijela", "non-dropping-particle" : "", "parse-names" : false, "suffix" : "" }, { "dropping-particle" : "", "family" : "Vuletic", "given" : "Lovorka Batelja", "non-dropping-particle" : "", "parse-names" : false, "suffix" : "" }, { "dropping-particle" : "", "family" : "Drmic", "given" : "Domagoj", "non-dropping-particle" : "", "parse-names" : false, "suffix" : "" }, { "dropping-particle" : "", "family" : "Grgic", "given" : "Tihomir", "non-dropping-particle" : "", "parse-names" : false, "suffix" : "" }, { "dropping-particle" : "", "family" : "Strbe", "given" : "Sanja", "non-dropping-particle" : "", "parse-names" : false, "suffix" : "" }, { "dropping-particle" : "", "family" : "Zukanovic", "given" : "Goran", "non-dropping-particle" : "", "parse-names" : false, "suffix" : "" }, { "dropping-particle" : "", "family" : "Crvenkovic", "given" : "Dalibor", "non-dropping-particle" : "", "parse-names" : false, "suffix" : "" }, { "dropping-particle" : "", "family" : "Madzarac", "given" : "Goran", "non-dropping-particle" : "", "parse-names" : false, "suffix" : "" }, { "dropping-particle" : "", "family" : "Rukavina", "given" : "Iva", "non-dropping-particle" : "", "parse-names" : false, "suffix" : "" }, { "dropping-particle" : "", "family" : "Sucic", "given" : "Mario", "non-dropping-particle" : "", "parse-names" : false, "suffix" : "" }, { "dropping-particle" : "", "family" : "Baric", "given" : "Marko", "non-dropping-particle" : "", "parse-names" : false, "suffix" : "" }, { "dropping-particle" : "", "family" : "Starcevic", "given" : "Neven", "non-dropping-particle" : "", "parse-names" : false, "suffix" : "" }, { "dropping-particle" : "", "family" : "Krstonijevic", "given" : "Zoran", "non-dropping-particle" : "", "parse-names" : false, "suffix" : "" }, { "dropping-particle" : "", "family" : "Bencic", "given" : "Martina Lovric", "non-dropping-particle" : "", "parse-names" : false, "suffix" : "" }, { "dropping-particle" : "", "family" : "Filipcic", "given" : "Igor", "non-dropping-particle" : "", "parse-names" : false, "suffix" : "" }, { "dropping-particle" : "", "family" : "Rokotov", "given" : "Dinko Stancic", "non-dropping-particle" : "", "parse-names" : false, "suffix" : "" }, { "dropping-particle" : "", "family" : "Vlainic", "given" : "Josipa", "non-dropping-particle" : "", "parse-names" : false, "suffix" : "" } ], "container-title" : "Current neuropharmacology", "id" : "ITEM-2", "issue" : "8", "issued" : { "date-parts" : [ [ "2016" ] ] }, "page" : "857-865", "title" : "Brain-gut Axis and Pentadecapeptide BPC 157: Theoretical and Practical Implications.", "type" : "article-journal", "volume" : "14" }, "uris" : [ "http://www.mendeley.com/documents/?uuid=9b2831b1-d3dd-4080-846d-5f4f7ead3113" ] }, { "id" : "ITEM-3", "itemData" : { "ISSN" : "1873-4286", "PMID" : "23782145", "abstract" : "This review focuses on the described effects of BPC 157 on blood vessels after different types of damage, and elucidate by investigating different aspects of vascular response to injury (endothelium damage, clotting, thrombosis, vasoconstriction, vasodilatation, vasculoneogenesis and edema formation) especially in connection to the healing processes. In this respect, BPC 157 was concluded to be the most potent angiomodulatory agent, acting through different vasoactive pathways and systems (e.g. NO, VEGF, FAK) and leading to optimization of the vascular response followed, as it has to be expected, by optimization of the healing process. Formation of new blood vessels involves two main, partly overlapping mechanisms, angiogenesis and vasculogenesis. The additional mechanism of arteriogenesis is involved in the formation of collaterals. In conjunction with blood vessel function, we at least have to consider leakage of fluid/proteins/plasma, resulting in edema/exudate formation as well as thrombogenesis. Blood vessels are also strongly involved in tumor biology. In this aspect, we have neoangiogenesis resulting in pathological vascularization, vascular invasion resulting in release of metastatic cells and the phenomenon of homing resulting in formation of secondary tumors--metastases.", "author" : [ { "dropping-particle" : "", "family" : "Seiwerth", "given" : "Sven", "non-dropping-particle" : "", "parse-names" : false, "suffix" : "" }, { "dropping-particle" : "", "family" : "Brcic", "given" : "Luka", "non-dropping-particle" : "", "parse-names" : false, "suffix" : "" }, { "dropping-particle" : "", "family" : "Vuletic", "given" : "Lovorka Batelja",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"Misic", "given" : "Marija", "non-dropping-particle" : "", "parse-names" : false, "suffix" : "" }, { "dropping-particle" : "", "family" : "Zenko", "given" : "Anita", "non-dropping-particle" : "", "parse-names" : false, "suffix" : "" }, { "dropping-particle" : "", "family" : "Drmic", "given" : "Domagoj", "non-dropping-particle" : "", "parse-names" : false, "suffix" : "" }, { "dropping-particle" : "", "family" : "Rucman", "given" : "Rudolf", "non-dropping-particle" : "", "parse-names" : false, "suffix" : "" }, { "dropping-particle" : "", "family" : "Sikiric", "given" : "Predrag", "non-dropping-particle" : "", "parse-names" : false, "suffix" : "" } ], "container-title" : "Current pharmaceutical design", "id" : "ITEM-3", "issue" : "7", "issued" : { "date-parts" : [ [ "2014" ] ] }, "page" : "1121-5", "title" : "BPC 157 and blood vessels.", "type" : "article-journal", "volume" : "20" }, "uris" : [ "http://www.mendeley.com/documents/?uuid=5f0ff73a-1c13-4e9f-9921-366eef3ba469" ] }, { "id" : "ITEM-4", "itemData" : { "ISSN" : "1873-4286", "PMID" : "23755725", "abstract" : "We reviewed stable gastric pentadecapeptide BPC 157-NO-system-relation, its close participation in Moncada's (maintained vascular integrity, platelets control) homeostatic healing response of NO-system to injury. Namely, BPC 157's particular healing effect also affects all events after vascular integrity loss (dependent on circumstances, it reduces either thrombosis (abdominal aorta anastomosis) or bleeding/thrombocytopenia (amputation, heparin, warfarin, aspirin)) and in a series of different injurious models, acute and chronic, BPC 157 consistently advances healing after severe injuries in various tissues spontaneously unable to heal; stimulates egr-1 and naB2 genes; exhibits high safety (LD1 not achieved)). Hypothesis, that BPC 157 (since formed constitutively in the gastric mucosa, stable in human gastric juice, along with significance of NO-synthase and the basal formation of NO in stomach mucosa, greater than that seen in other tissues) exhibits a general, effective competing both with L-arginine analogues (i. e., L-NAME) and L-arginine, and that this has some physiologic importance (NO-generation), later, practically supports its beneficial effects illustrating BPC 157 and NOsystem mutual (with L-NAME/L-arginine; alone and together) relations in (i) gastric mucosa and mucosal protection, following alcohol lesions, in cytoprotection course, NO-generation, and blood pressure regulation; (ii) alcohol acute/chronic intoxication, and withdrawal; (iii) cardiovascular disturbances, chronic heart failure, pulmonary hypertension, and arrhythmias; (iv) disturbances after hypokalemia and hyperkalemia, and potassium-cell membrane dysfunction; and finally, in (v) complex healing failure, proved by the fistulas healing, colocutaneous and esophagocutaneous. However, how this advantage of modulating NO-system (i. e., particular effect on eNOS gene), may be practically translated into an enhanced clinical performance remains to be determined.",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"Stupnisek", "given" : "Mirjana", "non-dropping-particle" : "", "parse-names" : false, "suffix" : "" }, { "dropping-particle" : "", "family" : "Suran", "given" : "Jelena", "non-dropping-particle" : "", "parse-names" : false, "suffix" : "" }, { "dropping-particle" : "", "family" : "Barisic", "given" : "Ivan",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"ITEM-4", "issue" : "7", "issued" : { "date-parts" : [ [ "2014" ] ] }, "page" : "1126-35", "title" : "Stable gastric pentadecapeptide BPC 157-NO-system relation.", "type" : "article-journal", "volume" : "20" }, "uris" : [ "http://www.mendeley.com/documents/?uuid=74ead48f-0c75-446a-a19b-49bb02b31992" ] }, { "id" : "ITEM-5", "itemData" : { "ISSN" : "1873-4286", "PMID" : "22950504", "abstract" : "Stable gastric pentadecapeptide BPC 157 is an anti-ulcer peptidergic agent, proven in clinical trials to be both safe in inflammatory bowel disease (PL-10, PLD-116, PL 14736) and wound healing, stable in human gastric juice, with no toxicity being reported. Recently, we claim that BPC 157 may be used as an antidote against NSAIDs. We focused on BPC 157 beneficial effects on stomach, duodenum, intestine, liver and brain injuries, adjuvant arthritis, pain, hyper/hypothermia, obstructive thrombus formation and thrombolysis, blood vessel function, counteraction of prolonged bleeding and thrombocytopenia after application of various anticoagulants and antiplatelet agents and wound healing improvement. The arguments for BPC 157 antidote activity (i.e., the role of BPC 157 in cytoprotection, being a novel mediator of Robert's cytoprotection and BPC 157 beneficial effects on NSAIDs mediated lesions in the gastrointestinal tract, liver and brain and finally, counteraction of aspirin-induced prolonged bleeding and thrombocytopenia) obviously have a counteracting effect on several established side-effects of NSAIDs use. The mentioned variety of the beneficial effects portrayed by BPC 157 may well be a foundation for establishing BPC 157 as a NSAIDs antidote since no other single agent has portrayed a similar array of effects. Unlike NSAIDs, a very high safety (no reported toxicity (LD1 could be not achieved)) profile is reported for BPC 157. Also, unlike the different dosage levels of aspirin, as a NSAIDs prototype, which differ by a factor of about ten, all these beneficial and counteracting effects of BPC 157 were obtained using the equipotent dosage (\u03bcg, ng/kg) in parenteral or peroral regimens.",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"Safic", "given" : "Hana", "non-dropping-particle" : "", "parse-names" : false, "suffix" : "" }, { "dropping-particle" : "", "family" : "Suran", "given" : "Jelena", "non-dropping-particle" : "", "parse-names" : false, "suffix" : "" }, { "dropping-particle" : "", "family" : "Rak", "given" : "Davor",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"ITEM-5", "issue" : "1", "issued" : { "date-parts" : [ [ "2013" ] ] }, "page" : "76-83", "title" : "Toxicity by NSAIDs. Counteraction by stable gastric pentadecapeptide BPC 157.", "type" : "article-journal", "volume" : "19" }, "uris" : [ "http://www.mendeley.com/documents/?uuid=b4d81bb8-a391-4622-abb3-23195e4a65ff" ] }, { "id" : "ITEM-6", "itemData" : { "ISSN" : "1875-533X", "PMID" : "22300085", "abstract" : "Stable gastric pentadecapeptide BPC 157 (GEPPPGKPADDAGLV, M.W. 1419) may be the new drug stable in human gastric juice, effective both in the upper and lower GI tract, and free of side effects. BPC 157, in addition to an antiulcer effect efficient in therapy of inflammatory bowel disease (IBD) (PL 14736) so far only tested in clinical phase II, has a very safe profile, and exhibited a particular wound healing effect. It also has shown to interact with the NO-system, providing endothelium protection and angiogenic effect, even in severely impaired conditions (i.e., it stimulated expression of early growth response 1 gene responsible for cytokine and growth factor generation and early extracellular matrix (collagen) formation (but also its repressor nerve growth factor 1-A binding protein-2)), important to counteract severe complications of advanced and poorly controlled IBD. Hopefully, the lessons from animal studies, particularly advanced intestinal anastomosis healing, reversed short bowel syndrome and fistula healing indicate BPC 157's high significance in further IBD therapy. Also, this supportive evidence (i.e., no toxic effect, limit test negative, LD1 not achieved, no side effect in trials) may counteract the problems commonly exercised in the use of peptidergic agents, particularly those used on a long-term basis.", "author" : [ { "dropping-particle" : "", "family" : "Sikiric", "given" : "P", "non-dropping-particle" : "", "parse-names" : false, "suffix" : "" }, { "dropping-particle" : "", "family" : "Seiwerth", "given" : "S", "non-dropping-particle" : "", "parse-names" : false, "suffix" : "" }, { "dropping-particle" : "", "family" : "Rucman", "given" : "R", "non-dropping-particle" : "", "parse-names" : false, "suffix" : "" }, { "dropping-particle" : "", "family" : "Turkovic", "given" : "B", "non-dropping-particle" : "", "parse-names" : false, "suffix" : "" }, { "dropping-particle" : "", "family" : "Rokotov", "given" : "D S", "non-dropping-particle" : "", "parse-names" : false, "suffix" : "" }, { "dropping-particle" : "", "family" : "Brcic", "given" : "L", "non-dropping-particle" : "", "parse-names" : false, "suffix" : "" }, { "dropping-particle" : "", "family" : "Sever", "given" : "M", "non-dropping-particle" : "", "parse-names" : false, "suffix" : "" }, { "dropping-particle" : "", "family" : "Klicek", "given" : "R", "non-dropping-particle" : "", "parse-names" : false, "suffix" : "" }, { "dropping-particle" : "", "family" : "Radic", "given" : "B", "non-dropping-particle" : "", "parse-names" : false, "suffix" : "" }, { "dropping-particle" : "", "family" : "Drmic", "given" : "D", "non-dropping-particle" : "", "parse-names" : false, "suffix" : "" }, { "dropping-particle" : "", "family" : "Ilic", "given" : "S", "non-dropping-particle" : "", "parse-names" : false, "suffix" : "" }, { "dropping-particle" : "", "family" : "Kolenc", "given" : "D", "non-dropping-particle" : "", "parse-names" : false, "suffix" : "" }, { "dropping-particle" : "", "family" : "Stambolija", "given" : "V", "non-dropping-particle" : "", "parse-names" : false, "suffix" : "" }, { "dropping-particle" : "", "family" : "Zoricic", "given" : "Z", "non-dropping-particle" : "", "parse-names" : false, "suffix" : "" }, { "dropping-particle" : "", "family" : "Vrcic", "given" : "H", "non-dropping-particle" : "", "parse-names" : false, "suffix" : "" }, { "dropping-particle" : "", "family" : "Sebecic", "given" : "B", "non-dropping-particle" : "", "parse-names" : false, "suffix" : "" } ], "container-title" : "Current medicinal chemistry", "id" : "ITEM-6", "issue" : "1", "issued" : { "date-parts" : [ [ "2012" ] ] }, "page" : "126-32", "title" : "Focus on ulcerative colitis: stable gastric pentadecapeptide BPC 157.", "type" : "article-journal", "volume" : "19" }, "uris" : [ "http://www.mendeley.com/documents/?uuid=82217b0f-1a75-4f5f-99de-cbbc916f534e" ] }, { "id" : "ITEM-7", "itemData" : { "DOI" : "10.2174/138161211796196954", "ISBN" : "1873-4286 (Electronic)\\n1381-6128 (Linking)", "ISSN" : "1873-4286", "PMID" : "21548867", "abstract" : "Stable gastric pentadecapeptide BPC 157 is an anti-ulcer peptidergic agent, safe in inflammatory bowel disease clinical trials (GEPPPGKPADDAGLV, M.W. 1419, PL 14736) and wound healing, stable in human gastric juice and has no reported toxicity. We focused on BPC 157 as a therapy in peridontitis, esophagus, stomach, duodenum, intestine, liver and pancreas lesions. Particularly, it has a prominent effect on alcohol-lesions (i.e., acute, chronic) and NSAIDs-lesions (interestingly, BPC 157 both prevents and reverses adjuvant arthritis). In rat esophagitis and failed function of both lower esophageal sphincter (LES) and pyloric sphincters (PS), BPC 157 increased pressure in both sphincters till normal and reduced esophagitis. However, in healthy rats, it may decrease (PS) or increase (LES) the pressure in sphincters. It has strong angiogenic potential, it acts protectively on endothelium, prevents and reverses thrombus formation after abdominal aorta anastomosis, affects many central disturbances (i.e., dopamine and 5-HT system), the NO-system (either L-arginine and L-NAME effects), endothelin, acts as a free radical scavenger (counteracting CCl4-, paracetamol-, diclofenac-injuries) and exhibits neuroprotective properties. BPC 157 successfully heals the intestinal anastomosis, gastrocutaneous, duodenocutaneous and colocutaneous fistulas in rats, as well as interacting with the NO-system. Interestingly, the fistula closure was achieved even when the BPC 157 therapy was postponed for one month. In short-bowel syndrome escalating throughout 4 weeks, the constant weight gain above preoperative values started immediately with peroral and parental BPC 157 therapy and the villus height, crypth depth and muscle thickness (inner (circular) muscular layer) additionally increased. Thus, BPC 157 may improve gastrointestinal tract therapy.",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"ITEM-7", "issue" : "16", "issued" : { "date-parts" : [ [ "2011" ] ] }, "page" : "1612-32", "title" : "Stable gastric pentadecapeptide BPC 157: novel therapy in gastrointestinal tract.", "type" : "article-journal", "volume" : "17" }, "uris" : [ "http://www.mendeley.com/documents/?uuid=0c326320-ddc2-4da8-939a-b8cfc65cd61b" ] }, { "id" : "ITEM-8", "itemData" : { "DOI" : "10.2174/138161210790945977", "ISBN" : "1873-4286 (Electronic)\\r1381-6128 (Linking)", "ISSN" : "13816128", "PMID" : "20166993", "abstract" : "The significance of cytoprotection and adaptive cytoprotection and the peptides importance remained to be not completely determined. BPC 157 is an anti-ulcer peptidergic agent, proven in clinical trials to be both safe in inflammatory bowel disease (PL-10, PLD-116, PL 14736) and wound healing, and stable in human gastric juice, with no toxicity being reported. It has a prominent effect on alcohol- lesions (i.e., induced acutely and chronically) and non-steroidal anti-inflammatory drugs-lesions (while interestingly BPC 157 may both prevent and reverse adjuvant arthritis). To review the importance of BPC 157, this review focused on Robert's cytoprotection concept described in rat stomach, reviewing our evidence that may resolve whether the cytoprotection and adaptive cytoprotection is an uniform phenomenon or not; whether the phenomenon or phenomena are endogenous or not, depending on nature of the irritants (mild or strong); whether this may contribute to stomach mucosa defense either when threaten by various ulcerogens or afforded by various antiulcer agents; whether these phenomena are uniform in whole gastrointestinal tract or not; whether they are interrelated or not. Finally, the importance of the cytoprotection phenomena and cytoprotection activity for skin wound healing, and wound healing in general was challenged. Thereby, this review focused on BPC 157 role in cytoprotection and adaptative cytoprotection suggesting that it may be the essential endogenous mediator able to mediate both cytoprotective and adaptive cytoprotective response in stomach and the whole gastrointestinal tract with significant importance in wound healing as well.", "author" : [ { "dropping-particle" : "", "family" : "Sikiric", "given" : "Predrag", "non-dropping-particle" : "", "parse-names" : false, "suffix" : "" }, { "dropping-particle" : "", "family" : "Seiwerth", "given" : "Sven",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"container-title" : "Current pharmaceutical design", "id" : "ITEM-8", "issue" : "10", "issued" : { "date-parts" : [ [ "2010" ] ] }, "page" : "1224-1234", "title" : "Revised Robert's cytoprotection and adaptive cytoprotection and stable gastric pentadecapeptide BPC 157. Possible significance and implications for novel mediator.", "type" : "article-journal", "volume" : "16" }, "uris" : [ "http://www.mendeley.com/documents/?uuid=e3cf6c8b-0484-4890-9aee-cda6592874b2" ] }, { "id" : "ITEM-9", "itemData" : { "DOI" : "10.1007/s10787-006-1531-7", "ISSN" : "0925-4692", "PMID" : "17186181", "abstract" : "Gastric pentadecapeptide BPC 157 (GEPPPGKPADDAGLV, M.W. 1419, safe in clinical trials for inflammatory bowel disease (PL 10, PLD 116, PLD 14736, Pliva, Croatia)) has a particular cytoprotective/adaptive cytoprotective activity. The cytoprotective/adaptive cytoprotection researches largely neglect that stomach distension could per se jeopardize the mucosal integrity, with constantly stretched mucosa and blood vessels, and sphincters more prone for reflux induction. After absolute alcohol instillation in fully distended rat stomach, gastric, esophageal and duodenal lesions occur. Throughout next 3 min, left gastric artery blood vessels clearly disappear at the serosal site, indicative for loss of vessels both integrity and function. Contrary, constant vessels presentation could predict the beneficial effect of applied agent. After pentadecapeptide BPC 157 instillation into the stomach the vessels presentation remains constant, and lesions of stomach, esophagus, and duodenum are inhibited. Standards (atropine, ranitidine, omeprazole) could only slightly improve the vessels presentation compared to control values, and they have only a partial effect on the lesions. In this review we emphasize BPC 157 unusual stability, and some of its important effects: effectiveness against various lesions in gastrointestinal tract, on nitric oxide (NO)-system, and NO-agents effects, on somatosensory neurons, salivary glands function, recovery of AMP-ADP-ATP system, endothelium protection, effect on endothelin, and on angiogenesis promotion. It also antagonizes other alcohol effects, including acute and chronic intoxication. Given peripherally, it counteracts the consequence of central dopamine system disturbances (receptor blockade), and induces serotonin release in substantia nigra. Therapeutic potential of BPC 157 as a cytoprotective agent is also seen in its capability to heal various wounds. Given directly into the stomach, BPC 157 instantly recovers disturbed lower esophageal and pyloric sphincter pressure in rats after 12-20 months of untreated esophagitis. All these could be suggestive for its role as a natural protectant in gastric juice with particular function throughout stomach distension.", "author" : [ { "dropping-particle" : "", "family" : "Sikiric", "given" : "P.", "non-dropping-particle" : "", "parse-names" : false, "suffix" : "" }, { "dropping-particle" : "", "family" : "Seiwerth", "given" : "S.", "non-dropping-particle" : "", "parse-names" : false, "suffix" : "" }, { "dropping-particle" : "", "family" : "Brcic", "given" : "L.", "non-dropping-particle" : "", "parse-names" : false, "suffix" : "" }, { "dropping-particle" : "", "family" : "Blagaic", "given" : "A B", "non-dropping-particle" : "", "parse-names" : false, "suffix" : "" }, { "dropping-particle" : "", "family" : "Zoricic", "given" : "I.", "non-dropping-particle" : "", "parse-names" : false, "suffix" : "" }, { "dropping-particle" : "", "family" : "Sever", "given" : "M.", "non-dropping-particle" : "", "parse-names" : false, "suffix" : "" }, { "dropping-particle" : "", "family" : "Klicek", "given" : "R.", "non-dropping-particle" : "", "parse-names" : false, "suffix" : "" }, { "dropping-particle" : "", "family" : "Radic", "given" : "B.", "non-dropping-particle" : "", "parse-names" : false, "suffix" : "" }, { "dropping-particle" : "", "family" : "Keller", "given" : "N.", "non-dropping-particle" : "", "parse-names" : false, "suffix" : "" }, { "dropping-particle" : "", "family" : "Sipos", "given" : "K.", "non-dropping-particle" : "", "parse-names" : false, "suffix" : "" }, { "dropping-particle" : "", "family" : "Jakir", "given" : "A.", "non-dropping-particle" : "", "parse-names" : false, "suffix" : "" }, { "dropping-particle" : "", "family" : "Udovicic", "given" : "M.", "non-dropping-particle" : "", "parse-names" : false, "suffix" : "" }, { "dropping-particle" : "", "family" : "Tonkic", "given" : "A.", "non-dropping-particle" : "", "parse-names" : false, "suffix" : "" }, { "dropping-particle" : "", "family" : "Kokic", "given" : "N.", "non-dropping-particle" : "", "parse-names" : false, "suffix" : "" }, { "dropping-particle" : "", "family" : "Turkovic", "given" : "B.", "non-dropping-particle" : "", "parse-names" : false, "suffix" : "" }, { "dropping-particle" : "", "family" : "Mise", "given" : "S.", "non-dropping-particle" : "", "parse-names" : false, "suffix" : "" }, { "dropping-particle" : "", "family" : "Anic", "given" : "T.", "non-dropping-particle" : "", "parse-names" : false, "suffix" : "" } ], "container-title" : "Inflammopharmacology", "id" : "ITEM-9", "issue" : "5-6", "issued" : { "date-parts" : [ [ "2006", "12" ] ] }, "page" : "214-21", "title" : "Stable gastric pentadecapeptide BPC 157 in trials for inflammatory bowel disease (PL-10, PLD-116, PL 14736, Pliva, Croatia). Full and distended stomach, and vascular response.", "type" : "article-journal", "volume" : "14" }, "uris" : [ "http://www.mendeley.com/documents/?uuid=a21321d3-6201-3777-b54c-60d2c5d4ff9a" ] }, { "id" : "ITEM-10", "itemData" : { "DOI" : "10.1016/0928-4257(93)90038-U", "ISSN" : "0928-4257", "PMID" : "8298609", "abstract" : "The possibility that the stomach, affected by general stress, might initiate a counter-response has not until recently been considered in theories of stress. We suggest that the stomach, as the most sensitive part of the gastrointestinal tract and the largest neuroendocrine organ in the body, is crucial for the initiation of a full stress response against all noxious stress pathology. The end result would be a strong protection of all organs invaded by 'stress'. Consistent with this assumption, this coping response is best explained in terms of 'organoprotection'. Endogenous organoprotectors (eg prostaglandins, somatostatin, dopamine) are proposed as mediators. Such an endogenous counteraction could even be afforded by their suitable application. A new gastric juice peptide, M(r) 40,000, named BPC, was recently isolated. Herein, a 15 amino acid fragment (BPC 157), thought to be essential for its activity, has been fully characterized and investigated. As has been demonstrated for many organoprotective agents using different models of various tissue lesions, despite the poorly understood final mechanism, practically all organ systems appear to benefit from BPC activity. These effects have been achieved in many species using very low dosages (mostly microgram and ng/kg range) after ip, ig, and intramucosal (local) application. The effect was apparent already after one application. Long lasting activity was also demonstrated. BPC was highly effective when applied simultaneously with noxious agents or in already pathological, as well as chronical, conditions. Therefore, it seems that BPC treatment does not share any of the so far known limitations for 'conventional organoprotectors'. No influence on different basal parameters and no toxicity were observed. These findings provide a breakthrough in stress theory. BPC, as a possible endogenous free radical scavenger and organoprotection mediator, could be a useful prototype of a new class of drugs, organoprotective agents.", "author" : [ { "dropping-particle" : "", "family" : "Sikiri\u0107", "given" : "P.", "non-dropping-particle" : "", "parse-names" : false, "suffix" : "" }, { "dropping-particle" : "", "family" : "Petek", "given" : "M.", "non-dropping-particle" : "", "parse-names" : false, "suffix" : "" }, { "dropping-particle" : "", "family" : "Rucman", "given" : "R", "non-dropping-particle" : "", "parse-names" : false, "suffix" : "" }, { "dropping-particle" : "", "family" : "Seiwerth", "given" : "S.", "non-dropping-particle" : "", "parse-names" : false, "suffix" : "" }, { "dropping-particle" : "", "family" : "Grabarevi\u0107", "given" : "Z.", "non-dropping-particle" : "", "parse-names" : false, "suffix" : "" }, { "dropping-particle" : "", "family" : "Rotkvi\u0107", "given" : "I.", "non-dropping-particle" : "", "parse-names" : false, "suffix" : "" }, { "dropping-particle" : "", "family" : "Turkovi\u0107", "given" : "B.", "non-dropping-particle" : "", "parse-names" : false, "suffix" : "" }, { "dropping-particle" : "", "family" : "Jagi\u0107", "given" : "V.", "non-dropping-particle" : "", "parse-names" : false, "suffix" : "" }, { "dropping-particle" : "", "family" : "Mildner", "given" : "B.", "non-dropping-particle" : "", "parse-names" : false, "suffix" : "" }, { "dropping-particle" : "", "family" : "Duvnjak", "given" : "M.", "non-dropping-particle" : "", "parse-names" : false, "suffix" : "" } ], "container-title" : "Journal of physiology, Paris", "id" : "ITEM-10", "issue" : "5", "issued" : { "date-parts" : [ [ "1993" ] ] }, "page" : "313-27", "title" : "A new gastric juice peptide, BPC. An overview of the stomach-stress-organoprotection hypothesis and beneficial effects of BPC.", "type" : "article-journal", "volume" : "87" }, "uris" : [ "http://www.mendeley.com/documents/?uuid=f738bbb1-8d16-31eb-a5d7-6f273100aa96" ] } ], "mendeley" : { "formattedCitation" : "&lt;sup&gt;[1\u201310]&lt;/sup&gt;", "plainTextFormattedCitation" : "[1\u201310]", "previouslyFormattedCitation" : "(Seiwerth et al., 2014; Sikiric et al., 2017, 2016, 2014, 2013, 2012, 2011, 2010, 2006; Sikiri\u0107 et al., 1993)" }, "properties" : {  }, "schema" : "https://github.com/citation-style-language/schema/raw/master/csl-citation.json" }</w:instrText>
      </w:r>
      <w:r w:rsidR="000D4D1A" w:rsidRPr="00CC34A3">
        <w:rPr>
          <w:rFonts w:ascii="Book Antiqua" w:eastAsia="Calibri" w:hAnsi="Book Antiqua" w:cs="Courier New"/>
          <w:color w:val="000000" w:themeColor="text1"/>
          <w:sz w:val="24"/>
          <w:szCs w:val="24"/>
          <w:lang w:val="en-US"/>
        </w:rPr>
        <w:fldChar w:fldCharType="separate"/>
      </w:r>
      <w:r w:rsidR="000D4D1A" w:rsidRPr="00CC34A3">
        <w:rPr>
          <w:rFonts w:ascii="Book Antiqua" w:eastAsia="Calibri" w:hAnsi="Book Antiqua" w:cs="Courier New"/>
          <w:color w:val="000000" w:themeColor="text1"/>
          <w:sz w:val="24"/>
          <w:szCs w:val="24"/>
          <w:vertAlign w:val="superscript"/>
          <w:lang w:val="en-US"/>
        </w:rPr>
        <w:t>[1–10]</w:t>
      </w:r>
      <w:r w:rsidR="000D4D1A" w:rsidRPr="00CC34A3">
        <w:rPr>
          <w:rFonts w:ascii="Book Antiqua" w:eastAsia="Calibri" w:hAnsi="Book Antiqua" w:cs="Courier New"/>
          <w:color w:val="000000" w:themeColor="text1"/>
          <w:sz w:val="24"/>
          <w:szCs w:val="24"/>
          <w:lang w:val="en-US"/>
        </w:rPr>
        <w:fldChar w:fldCharType="end"/>
      </w:r>
      <w:r w:rsidR="000D4D1A" w:rsidRPr="00CC34A3">
        <w:rPr>
          <w:rFonts w:ascii="Book Antiqua" w:eastAsia="Calibri" w:hAnsi="Book Antiqua" w:cs="Courier New"/>
          <w:color w:val="000000" w:themeColor="text1"/>
          <w:sz w:val="24"/>
          <w:szCs w:val="24"/>
          <w:lang w:val="en-US"/>
        </w:rPr>
        <w:t>, n</w:t>
      </w:r>
      <w:r w:rsidR="000D4D1A" w:rsidRPr="00CC34A3">
        <w:rPr>
          <w:rFonts w:ascii="Book Antiqua" w:hAnsi="Book Antiqua" w:cs="Courier New"/>
          <w:color w:val="000000" w:themeColor="text1"/>
          <w:sz w:val="24"/>
          <w:szCs w:val="24"/>
          <w:lang w:val="en-US"/>
        </w:rPr>
        <w:t xml:space="preserve">ative and stable in human gastric juice BPC 157 as a novel mediator of Robert’s </w:t>
      </w:r>
      <w:proofErr w:type="spellStart"/>
      <w:r w:rsidR="000D4D1A" w:rsidRPr="00CC34A3">
        <w:rPr>
          <w:rFonts w:ascii="Book Antiqua" w:hAnsi="Book Antiqua" w:cs="Courier New"/>
          <w:color w:val="000000" w:themeColor="text1"/>
          <w:sz w:val="24"/>
          <w:szCs w:val="24"/>
          <w:lang w:val="en-US"/>
        </w:rPr>
        <w:t>cytoprotection</w:t>
      </w:r>
      <w:proofErr w:type="spellEnd"/>
      <w:r w:rsidR="000D4D1A" w:rsidRPr="00CC34A3">
        <w:rPr>
          <w:rFonts w:ascii="Book Antiqua" w:eastAsia="Calibri" w:hAnsi="Book Antiqua" w:cs="Courier New"/>
          <w:color w:val="000000" w:themeColor="text1"/>
          <w:sz w:val="24"/>
          <w:szCs w:val="24"/>
          <w:lang w:val="en-US"/>
        </w:rPr>
        <w:fldChar w:fldCharType="begin" w:fldLock="1"/>
      </w:r>
      <w:r w:rsidR="000D4D1A" w:rsidRPr="00CC34A3">
        <w:rPr>
          <w:rFonts w:ascii="Book Antiqua" w:eastAsia="Calibri" w:hAnsi="Book Antiqua" w:cs="Courier New"/>
          <w:color w:val="000000" w:themeColor="text1"/>
          <w:sz w:val="24"/>
          <w:szCs w:val="24"/>
          <w:lang w:val="en-US"/>
        </w:rPr>
        <w:instrText>ADDIN CSL_CITATION { "citationItems" : [ { "id" : "ITEM-1", "itemData" : { "DOI" : "10.2174/1381612823666170220163219", "ISSN" : "13816128", "PMID" : "28228068", "abstract" : "Selye's syndrome produced by diverse nocuous agents and ``response to damage as such{''} means Selye's stress triad in stress coping response to reestablish homeostasis. Logically, from the gastrointestinal tract viewpoint, such organoprotective/healing response implies the angiogenic growth factors that commonly signify the healing. Thereby, the gastric pentadecapeptide BPC 157-organoprotection (huge range of beneficial effects) signifies the Selye's stress concept/stress coping response implemented in and from gastrointestinal tract, and BPC 157 as an integrative mediator that integrates the adaptive bodily response to stress. In clinical trials without side effects, LD1 not achieved, BPC 157 healing in gastrointestinal tract, and particularly the healing of the extra-gastrointestinal tissues (i.e., skin/tendon/ligament/muscle/bone; nerve; cornea/brain) were referred throughout its integrative capabilities (i.e., ulcerative colitis/multiple sclerosis model equally counteracted), native in gastrointestinal tract, stability in human gastric juice (and thereby, strong efficacy and applicability), its relevance for dopamine-system function (and thereby, counteracting effects of dopamine-system dysfunction and over-function, centrally and peripherally (mucosa maintenance); interaction with serotonin- and GABA-system)), afforded cytoprotection/adaptive cytoprotection/organoprotection (and thereby, beneficial effects on gastric and whole intestinal tract lesions and adaptation, wounds and fistulas healing, blood vessels, somatosensory neurons, NSAIDs-side effects (including also pancreas, liver, brain lesions, and blood disturbances, prolonged bleeding, thrombocytopenia, thrombosis)). Further, we combine such gut-brain axis and the NO-system where BPC 157 counteracts complications of either L-NAME application (i.e., various lesions aggravation, hypertension) or L-arginine application (i.e., hypotension, prolonged bleeding, thrombocytopenia). Also, BPC 157 particularly affects genes functions (i.e., Fos, c-Jun, Egr-1), all together suggestive for an indicative generalization. Thus, we could suggest gastric pentadecapeptide BPC 157 and BPC 157 induced-organoprotection as integrative mediator that integrates the adaptive bodily response to stress, and thereby practically applied in further therapy and in effective realization of Selye's stress response.",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"Drmic", "given" : "Domagoj", "non-dropping-particle" : "", "parse-names" : false, "suffix" : "" }, { "dropping-particle" : "", "family" : "Stupnisek", "given" : "Mirjana", "non-dropping-particle" : "", "parse-names" : false, "suffix" : "" }, { "dropping-particle" : "", "family" : "Kokot", "given" : "Antonio", "non-dropping-particle" : "", "parse-names" : false, "suffix" : "" }, { "dropping-particle" : "", "family" : "Sever", "given" : "Marko", "non-dropping-particle" : "", "parse-names" : false, "suffix" : "" }, { "dropping-particle" : "", "family" : "Zoricic", "given" : "Ivan", "non-dropping-particle" : "", "parse-names" : false, "suffix" : "" }, { "dropping-particle" : "", "family" : "Zoricic", "given" : "Zoran", "non-dropping-particle" : "", "parse-names" : false, "suffix" : "" }, { "dropping-particle" : "", "family" : "Batelja", "given" : "Lovorka", "non-dropping-particle" : "", "parse-names" : false, "suffix" : "" }, { "dropping-particle" : "", "family" : "Ziger", "given" : "Tihomil", "non-dropping-particle" : "", "parse-names" : false, "suffix" : "" }, { "dropping-particle" : "", "family" : "Luetic", "given" : "Kresimir", "non-dropping-particle" : "", "parse-names" : false, "suffix" : "" }, { "dropping-particle" : "", "family" : "Vlainic", "given" : "Josipa", "non-dropping-particle" : "", "parse-names" : false, "suffix" : "" }, { "dropping-particle" : "", "family" : "Rasic", "given" : "Zarko", "non-dropping-particle" : "", "parse-names" : false, "suffix" : "" }, { "dropping-particle" : "", "family" : "Bencic", "given" : "Martina Lovric", "non-dropping-particle" : "", "parse-names" : false, "suffix" : "" } ], "container-title" : "Current Pharmaceutical Design", "id" : "ITEM-1", "issue" : "27", "issued" : { "date-parts" : [ [ "2017" ] ] }, "page" : "4012-4028", "title" : "Stress in Gastrointestinal Tract and Stable Gastric Pentadecapeptide BPC 157. Finally, do we have a Solution?", "type" : "article-journal", "volume" : "23" }, "uris" : [ "http://www.mendeley.com/documents/?uuid=15899097-6542-32aa-acf2-ef932af08516" ] }, { "id" : "ITEM-2", "itemData" : { "ISSN" : "1875-6190", "PMID" : "27138887", "abstract" : "BACKGROUND Brain-gut interaction involves, among others, peptidergic growth factors which are native in GI tract and have strong antiulcer potency and thus could from periphery beneficially affect CNS-disorders. We focused on the stable gastric pentadecapeptide BPC 157, an antiulcer peptidergic agent, safe in inflammatory bowel disease trials and now in multiple sclerosis trial, native and stable in human gastric juice. METHODS Review of our research on BPC 157 in terms of brain-gut axis. RESULTS BPC 157 may serve as a novel mediator of Robert's cytoprotection, involved in maintaining of GI mucosa integrity, with no toxic effect. BPC 157 was successful in the therapy of GI tract, periodontitis, liver and pancreas lesions, and in the healing of various tissues and wounds. Stimulated Egr-1 gene, NAB2, FAK-paxillin and JAK-2 pathways are hitherto implicated. Initially corresponding beneficial central influence was seen when BPC 157 was given peripherally and a serotonin release in particular brain areas, mostly nigrostriatal, was changed. BPC 157 modulates serotonergic and dopaminergic systems, beneficially affects various behavioral disturbances that otherwise appeared due to specifically (over)stimulated/damaged neurotransmitters systems. Besides, BPC 157 has neuroprotective effects: protects somatosensory neurons; peripheral nerve regeneration appearent after transection; after traumatic brain injury counteracts the otherwise progressing course, in rat spinal cord compression with tail paralysis, axonal and neuronal necrosis, demyelination, cyst formation and rescues tail function in both short-terms and long-terms; after NSAIDs or insulin overdose or cuprizone encephalopathies were attenuated along with GI, liver and vascular injuries. CONCLUSION BPC 157, a gastric peptide, may serve as remedy in various CNS-disorders.",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"Kolenc", "given" : "Danijela", "non-dropping-particle" : "", "parse-names" : false, "suffix" : "" }, { "dropping-particle" : "", "family" : "Vuletic", "given" : "Lovorka Batelja", "non-dropping-particle" : "", "parse-names" : false, "suffix" : "" }, { "dropping-particle" : "", "family" : "Drmic", "given" : "Domagoj", "non-dropping-particle" : "", "parse-names" : false, "suffix" : "" }, { "dropping-particle" : "", "family" : "Grgic", "given" : "Tihomir", "non-dropping-particle" : "", "parse-names" : false, "suffix" : "" }, { "dropping-particle" : "", "family" : "Strbe", "given" : "Sanja", "non-dropping-particle" : "", "parse-names" : false, "suffix" : "" }, { "dropping-particle" : "", "family" : "Zukanovic", "given" : "Goran", "non-dropping-particle" : "", "parse-names" : false, "suffix" : "" }, { "dropping-particle" : "", "family" : "Crvenkovic", "given" : "Dalibor", "non-dropping-particle" : "", "parse-names" : false, "suffix" : "" }, { "dropping-particle" : "", "family" : "Madzarac", "given" : "Goran", "non-dropping-particle" : "", "parse-names" : false, "suffix" : "" }, { "dropping-particle" : "", "family" : "Rukavina", "given" : "Iva", "non-dropping-particle" : "", "parse-names" : false, "suffix" : "" }, { "dropping-particle" : "", "family" : "Sucic", "given" : "Mario", "non-dropping-particle" : "", "parse-names" : false, "suffix" : "" }, { "dropping-particle" : "", "family" : "Baric", "given" : "Marko", "non-dropping-particle" : "", "parse-names" : false, "suffix" : "" }, { "dropping-particle" : "", "family" : "Starcevic", "given" : "Neven", "non-dropping-particle" : "", "parse-names" : false, "suffix" : "" }, { "dropping-particle" : "", "family" : "Krstonijevic", "given" : "Zoran", "non-dropping-particle" : "", "parse-names" : false, "suffix" : "" }, { "dropping-particle" : "", "family" : "Bencic", "given" : "Martina Lovric", "non-dropping-particle" : "", "parse-names" : false, "suffix" : "" }, { "dropping-particle" : "", "family" : "Filipcic", "given" : "Igor", "non-dropping-particle" : "", "parse-names" : false, "suffix" : "" }, { "dropping-particle" : "", "family" : "Rokotov", "given" : "Dinko Stancic", "non-dropping-particle" : "", "parse-names" : false, "suffix" : "" }, { "dropping-particle" : "", "family" : "Vlainic", "given" : "Josipa", "non-dropping-particle" : "", "parse-names" : false, "suffix" : "" } ], "container-title" : "Current neuropharmacology", "id" : "ITEM-2", "issue" : "8", "issued" : { "date-parts" : [ [ "2016" ] ] }, "page" : "857-865", "title" : "Brain-gut Axis and Pentadecapeptide BPC 157: Theoretical and Practical Implications.", "type" : "article-journal", "volume" : "14" }, "uris" : [ "http://www.mendeley.com/documents/?uuid=9b2831b1-d3dd-4080-846d-5f4f7ead3113" ] }, { "id" : "ITEM-3", "itemData" : { "ISSN" : "1873-4286", "PMID" : "23782145", "abstract" : "This review focuses on the described effects of BPC 157 on blood vessels after different types of damage, and elucidate by investigating different aspects of vascular response to injury (endothelium damage, clotting, thrombosis, vasoconstriction, vasodilatation, vasculoneogenesis and edema formation) especially in connection to the healing processes. In this respect, BPC 157 was concluded to be the most potent angiomodulatory agent, acting through different vasoactive pathways and systems (e.g. NO, VEGF, FAK) and leading to optimization of the vascular response followed, as it has to be expected, by optimization of the healing process. Formation of new blood vessels involves two main, partly overlapping mechanisms, angiogenesis and vasculogenesis. The additional mechanism of arteriogenesis is involved in the formation of collaterals. In conjunction with blood vessel function, we at least have to consider leakage of fluid/proteins/plasma, resulting in edema/exudate formation as well as thrombogenesis. Blood vessels are also strongly involved in tumor biology. In this aspect, we have neoangiogenesis resulting in pathological vascularization, vascular invasion resulting in release of metastatic cells and the phenomenon of homing resulting in formation of secondary tumors--metastases.", "author" : [ { "dropping-particle" : "", "family" : "Seiwerth", "given" : "Sven", "non-dropping-particle" : "", "parse-names" : false, "suffix" : "" }, { "dropping-particle" : "", "family" : "Brcic", "given" : "Luka", "non-dropping-particle" : "", "parse-names" : false, "suffix" : "" }, { "dropping-particle" : "", "family" : "Vuletic", "given" : "Lovorka Batelja",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"Misic", "given" : "Marija", "non-dropping-particle" : "", "parse-names" : false, "suffix" : "" }, { "dropping-particle" : "", "family" : "Zenko", "given" : "Anita", "non-dropping-particle" : "", "parse-names" : false, "suffix" : "" }, { "dropping-particle" : "", "family" : "Drmic", "given" : "Domagoj", "non-dropping-particle" : "", "parse-names" : false, "suffix" : "" }, { "dropping-particle" : "", "family" : "Rucman", "given" : "Rudolf", "non-dropping-particle" : "", "parse-names" : false, "suffix" : "" }, { "dropping-particle" : "", "family" : "Sikiric", "given" : "Predrag", "non-dropping-particle" : "", "parse-names" : false, "suffix" : "" } ], "container-title" : "Current pharmaceutical design", "id" : "ITEM-3", "issue" : "7", "issued" : { "date-parts" : [ [ "2014" ] ] }, "page" : "1121-5", "title" : "BPC 157 and blood vessels.", "type" : "article-journal", "volume" : "20" }, "uris" : [ "http://www.mendeley.com/documents/?uuid=5f0ff73a-1c13-4e9f-9921-366eef3ba469" ] }, { "id" : "ITEM-4", "itemData" : { "ISSN" : "1873-4286", "PMID" : "23755725", "abstract" : "We reviewed stable gastric pentadecapeptide BPC 157-NO-system-relation, its close participation in Moncada's (maintained vascular integrity, platelets control) homeostatic healing response of NO-system to injury. Namely, BPC 157's particular healing effect also affects all events after vascular integrity loss (dependent on circumstances, it reduces either thrombosis (abdominal aorta anastomosis) or bleeding/thrombocytopenia (amputation, heparin, warfarin, aspirin)) and in a series of different injurious models, acute and chronic, BPC 157 consistently advances healing after severe injuries in various tissues spontaneously unable to heal; stimulates egr-1 and naB2 genes; exhibits high safety (LD1 not achieved)). Hypothesis, that BPC 157 (since formed constitutively in the gastric mucosa, stable in human gastric juice, along with significance of NO-synthase and the basal formation of NO in stomach mucosa, greater than that seen in other tissues) exhibits a general, effective competing both with L-arginine analogues (i. e., L-NAME) and L-arginine, and that this has some physiologic importance (NO-generation), later, practically supports its beneficial effects illustrating BPC 157 and NOsystem mutual (with L-NAME/L-arginine; alone and together) relations in (i) gastric mucosa and mucosal protection, following alcohol lesions, in cytoprotection course, NO-generation, and blood pressure regulation; (ii) alcohol acute/chronic intoxication, and withdrawal; (iii) cardiovascular disturbances, chronic heart failure, pulmonary hypertension, and arrhythmias; (iv) disturbances after hypokalemia and hyperkalemia, and potassium-cell membrane dysfunction; and finally, in (v) complex healing failure, proved by the fistulas healing, colocutaneous and esophagocutaneous. However, how this advantage of modulating NO-system (i. e., particular effect on eNOS gene), may be practically translated into an enhanced clinical performance remains to be determined.",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"Stupnisek", "given" : "Mirjana", "non-dropping-particle" : "", "parse-names" : false, "suffix" : "" }, { "dropping-particle" : "", "family" : "Suran", "given" : "Jelena", "non-dropping-particle" : "", "parse-names" : false, "suffix" : "" }, { "dropping-particle" : "", "family" : "Barisic", "given" : "Ivan",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"ITEM-4", "issue" : "7", "issued" : { "date-parts" : [ [ "2014" ] ] }, "page" : "1126-35", "title" : "Stable gastric pentadecapeptide BPC 157-NO-system relation.", "type" : "article-journal", "volume" : "20" }, "uris" : [ "http://www.mendeley.com/documents/?uuid=74ead48f-0c75-446a-a19b-49bb02b31992" ] }, { "id" : "ITEM-5", "itemData" : { "ISSN" : "1873-4286", "PMID" : "22950504", "abstract" : "Stable gastric pentadecapeptide BPC 157 is an anti-ulcer peptidergic agent, proven in clinical trials to be both safe in inflammatory bowel disease (PL-10, PLD-116, PL 14736) and wound healing, stable in human gastric juice, with no toxicity being reported. Recently, we claim that BPC 157 may be used as an antidote against NSAIDs. We focused on BPC 157 beneficial effects on stomach, duodenum, intestine, liver and brain injuries, adjuvant arthritis, pain, hyper/hypothermia, obstructive thrombus formation and thrombolysis, blood vessel function, counteraction of prolonged bleeding and thrombocytopenia after application of various anticoagulants and antiplatelet agents and wound healing improvement. The arguments for BPC 157 antidote activity (i.e., the role of BPC 157 in cytoprotection, being a novel mediator of Robert's cytoprotection and BPC 157 beneficial effects on NSAIDs mediated lesions in the gastrointestinal tract, liver and brain and finally, counteraction of aspirin-induced prolonged bleeding and thrombocytopenia) obviously have a counteracting effect on several established side-effects of NSAIDs use. The mentioned variety of the beneficial effects portrayed by BPC 157 may well be a foundation for establishing BPC 157 as a NSAIDs antidote since no other single agent has portrayed a similar array of effects. Unlike NSAIDs, a very high safety (no reported toxicity (LD1 could be not achieved)) profile is reported for BPC 157. Also, unlike the different dosage levels of aspirin, as a NSAIDs prototype, which differ by a factor of about ten, all these beneficial and counteracting effects of BPC 157 were obtained using the equipotent dosage (\u03bcg, ng/kg) in parenteral or peroral regimens.",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"Safic", "given" : "Hana", "non-dropping-particle" : "", "parse-names" : false, "suffix" : "" }, { "dropping-particle" : "", "family" : "Suran", "given" : "Jelena", "non-dropping-particle" : "", "parse-names" : false, "suffix" : "" }, { "dropping-particle" : "", "family" : "Rak", "given" : "Davor",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"ITEM-5", "issue" : "1", "issued" : { "date-parts" : [ [ "2013" ] ] }, "page" : "76-83", "title" : "Toxicity by NSAIDs. Counteraction by stable gastric pentadecapeptide BPC 157.", "type" : "article-journal", "volume" : "19" }, "uris" : [ "http://www.mendeley.com/documents/?uuid=b4d81bb8-a391-4622-abb3-23195e4a65ff" ] }, { "id" : "ITEM-6", "itemData" : { "ISSN" : "1875-533X", "PMID" : "22300085", "abstract" : "Stable gastric pentadecapeptide BPC 157 (GEPPPGKPADDAGLV, M.W. 1419) may be the new drug stable in human gastric juice, effective both in the upper and lower GI tract, and free of side effects. BPC 157, in addition to an antiulcer effect efficient in therapy of inflammatory bowel disease (IBD) (PL 14736) so far only tested in clinical phase II, has a very safe profile, and exhibited a particular wound healing effect. It also has shown to interact with the NO-system, providing endothelium protection and angiogenic effect, even in severely impaired conditions (i.e., it stimulated expression of early growth response 1 gene responsible for cytokine and growth factor generation and early extracellular matrix (collagen) formation (but also its repressor nerve growth factor 1-A binding protein-2)), important to counteract severe complications of advanced and poorly controlled IBD. Hopefully, the lessons from animal studies, particularly advanced intestinal anastomosis healing, reversed short bowel syndrome and fistula healing indicate BPC 157's high significance in further IBD therapy. Also, this supportive evidence (i.e., no toxic effect, limit test negative, LD1 not achieved, no side effect in trials) may counteract the problems commonly exercised in the use of peptidergic agents, particularly those used on a long-term basis.", "author" : [ { "dropping-particle" : "", "family" : "Sikiric", "given" : "P", "non-dropping-particle" : "", "parse-names" : false, "suffix" : "" }, { "dropping-particle" : "", "family" : "Seiwerth", "given" : "S", "non-dropping-particle" : "", "parse-names" : false, "suffix" : "" }, { "dropping-particle" : "", "family" : "Rucman", "given" : "R", "non-dropping-particle" : "", "parse-names" : false, "suffix" : "" }, { "dropping-particle" : "", "family" : "Turkovic", "given" : "B", "non-dropping-particle" : "", "parse-names" : false, "suffix" : "" }, { "dropping-particle" : "", "family" : "Rokotov", "given" : "D S", "non-dropping-particle" : "", "parse-names" : false, "suffix" : "" }, { "dropping-particle" : "", "family" : "Brcic", "given" : "L", "non-dropping-particle" : "", "parse-names" : false, "suffix" : "" }, { "dropping-particle" : "", "family" : "Sever", "given" : "M", "non-dropping-particle" : "", "parse-names" : false, "suffix" : "" }, { "dropping-particle" : "", "family" : "Klicek", "given" : "R", "non-dropping-particle" : "", "parse-names" : false, "suffix" : "" }, { "dropping-particle" : "", "family" : "Radic", "given" : "B", "non-dropping-particle" : "", "parse-names" : false, "suffix" : "" }, { "dropping-particle" : "", "family" : "Drmic", "given" : "D", "non-dropping-particle" : "", "parse-names" : false, "suffix" : "" }, { "dropping-particle" : "", "family" : "Ilic", "given" : "S", "non-dropping-particle" : "", "parse-names" : false, "suffix" : "" }, { "dropping-particle" : "", "family" : "Kolenc", "given" : "D", "non-dropping-particle" : "", "parse-names" : false, "suffix" : "" }, { "dropping-particle" : "", "family" : "Stambolija", "given" : "V", "non-dropping-particle" : "", "parse-names" : false, "suffix" : "" }, { "dropping-particle" : "", "family" : "Zoricic", "given" : "Z", "non-dropping-particle" : "", "parse-names" : false, "suffix" : "" }, { "dropping-particle" : "", "family" : "Vrcic", "given" : "H", "non-dropping-particle" : "", "parse-names" : false, "suffix" : "" }, { "dropping-particle" : "", "family" : "Sebecic", "given" : "B", "non-dropping-particle" : "", "parse-names" : false, "suffix" : "" } ], "container-title" : "Current medicinal chemistry", "id" : "ITEM-6", "issue" : "1", "issued" : { "date-parts" : [ [ "2012" ] ] }, "page" : "126-32", "title" : "Focus on ulcerative colitis: stable gastric pentadecapeptide BPC 157.", "type" : "article-journal", "volume" : "19" }, "uris" : [ "http://www.mendeley.com/documents/?uuid=82217b0f-1a75-4f5f-99de-cbbc916f534e" ] }, { "id" : "ITEM-7", "itemData" : { "DOI" : "10.2174/138161211796196954", "ISBN" : "1873-4286 (Electronic)\\n1381-6128 (Linking)", "ISSN" : "1873-4286", "PMID" : "21548867", "abstract" : "Stable gastric pentadecapeptide BPC 157 is an anti-ulcer peptidergic agent, safe in inflammatory bowel disease clinical trials (GEPPPGKPADDAGLV, M.W. 1419, PL 14736) and wound healing, stable in human gastric juice and has no reported toxicity. We focused on BPC 157 as a therapy in peridontitis, esophagus, stomach, duodenum, intestine, liver and pancreas lesions. Particularly, it has a prominent effect on alcohol-lesions (i.e., acute, chronic) and NSAIDs-lesions (interestingly, BPC 157 both prevents and reverses adjuvant arthritis). In rat esophagitis and failed function of both lower esophageal sphincter (LES) and pyloric sphincters (PS), BPC 157 increased pressure in both sphincters till normal and reduced esophagitis. However, in healthy rats, it may decrease (PS) or increase (LES) the pressure in sphincters. It has strong angiogenic potential, it acts protectively on endothelium, prevents and reverses thrombus formation after abdominal aorta anastomosis, affects many central disturbances (i.e., dopamine and 5-HT system), the NO-system (either L-arginine and L-NAME effects), endothelin, acts as a free radical scavenger (counteracting CCl4-, paracetamol-, diclofenac-injuries) and exhibits neuroprotective properties. BPC 157 successfully heals the intestinal anastomosis, gastrocutaneous, duodenocutaneous and colocutaneous fistulas in rats, as well as interacting with the NO-system. Interestingly, the fistula closure was achieved even when the BPC 157 therapy was postponed for one month. In short-bowel syndrome escalating throughout 4 weeks, the constant weight gain above preoperative values started immediately with peroral and parental BPC 157 therapy and the villus height, crypth depth and muscle thickness (inner (circular) muscular layer) additionally increased. Thus, BPC 157 may improve gastrointestinal tract therapy.",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"ITEM-7", "issue" : "16", "issued" : { "date-parts" : [ [ "2011" ] ] }, "page" : "1612-32", "title" : "Stable gastric pentadecapeptide BPC 157: novel therapy in gastrointestinal tract.", "type" : "article-journal", "volume" : "17" }, "uris" : [ "http://www.mendeley.com/documents/?uuid=0c326320-ddc2-4da8-939a-b8cfc65cd61b" ] }, { "id" : "ITEM-8", "itemData" : { "DOI" : "10.2174/138161210790945977", "ISBN" : "1873-4286 (Electronic)\\r1381-6128 (Linking)", "ISSN" : "13816128", "PMID" : "20166993", "abstract" : "The significance of cytoprotection and adaptive cytoprotection and the peptides importance remained to be not completely determined. BPC 157 is an anti-ulcer peptidergic agent, proven in clinical trials to be both safe in inflammatory bowel disease (PL-10, PLD-116, PL 14736) and wound healing, and stable in human gastric juice, with no toxicity being reported. It has a prominent effect on alcohol- lesions (i.e., induced acutely and chronically) and non-steroidal anti-inflammatory drugs-lesions (while interestingly BPC 157 may both prevent and reverse adjuvant arthritis). To review the importance of BPC 157, this review focused on Robert's cytoprotection concept described in rat stomach, reviewing our evidence that may resolve whether the cytoprotection and adaptive cytoprotection is an uniform phenomenon or not; whether the phenomenon or phenomena are endogenous or not, depending on nature of the irritants (mild or strong); whether this may contribute to stomach mucosa defense either when threaten by various ulcerogens or afforded by various antiulcer agents; whether these phenomena are uniform in whole gastrointestinal tract or not; whether they are interrelated or not. Finally, the importance of the cytoprotection phenomena and cytoprotection activity for skin wound healing, and wound healing in general was challenged. Thereby, this review focused on BPC 157 role in cytoprotection and adaptative cytoprotection suggesting that it may be the essential endogenous mediator able to mediate both cytoprotective and adaptive cytoprotective response in stomach and the whole gastrointestinal tract with significant importance in wound healing as well.", "author" : [ { "dropping-particle" : "", "family" : "Sikiric", "given" : "Predrag", "non-dropping-particle" : "", "parse-names" : false, "suffix" : "" }, { "dropping-particle" : "", "family" : "Seiwerth", "given" : "Sven",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"container-title" : "Current pharmaceutical design", "id" : "ITEM-8", "issue" : "10", "issued" : { "date-parts" : [ [ "2010" ] ] }, "page" : "1224-1234", "title" : "Revised Robert's cytoprotection and adaptive cytoprotection and stable gastric pentadecapeptide BPC 157. Possible significance and implications for novel mediator.", "type" : "article-journal", "volume" : "16" }, "uris" : [ "http://www.mendeley.com/documents/?uuid=e3cf6c8b-0484-4890-9aee-cda6592874b2" ] }, { "id" : "ITEM-9", "itemData" : { "DOI" : "10.1007/s10787-006-1531-7", "ISSN" : "0925-4692", "PMID" : "17186181", "abstract" : "Gastric pentadecapeptide BPC 157 (GEPPPGKPADDAGLV, M.W. 1419, safe in clinical trials for inflammatory bowel disease (PL 10, PLD 116, PLD 14736, Pliva, Croatia)) has a particular cytoprotective/adaptive cytoprotective activity. The cytoprotective/adaptive cytoprotection researches largely neglect that stomach distension could per se jeopardize the mucosal integrity, with constantly stretched mucosa and blood vessels, and sphincters more prone for reflux induction. After absolute alcohol instillation in fully distended rat stomach, gastric, esophageal and duodenal lesions occur. Throughout next 3 min, left gastric artery blood vessels clearly disappear at the serosal site, indicative for loss of vessels both integrity and function. Contrary, constant vessels presentation could predict the beneficial effect of applied agent. After pentadecapeptide BPC 157 instillation into the stomach the vessels presentation remains constant, and lesions of stomach, esophagus, and duodenum are inhibited. Standards (atropine, ranitidine, omeprazole) could only slightly improve the vessels presentation compared to control values, and they have only a partial effect on the lesions. In this review we emphasize BPC 157 unusual stability, and some of its important effects: effectiveness against various lesions in gastrointestinal tract, on nitric oxide (NO)-system, and NO-agents effects, on somatosensory neurons, salivary glands function, recovery of AMP-ADP-ATP system, endothelium protection, effect on endothelin, and on angiogenesis promotion. It also antagonizes other alcohol effects, including acute and chronic intoxication. Given peripherally, it counteracts the consequence of central dopamine system disturbances (receptor blockade), and induces serotonin release in substantia nigra. Therapeutic potential of BPC 157 as a cytoprotective agent is also seen in its capability to heal various wounds. Given directly into the stomach, BPC 157 instantly recovers disturbed lower esophageal and pyloric sphincter pressure in rats after 12-20 months of untreated esophagitis. All these could be suggestive for its role as a natural protectant in gastric juice with particular function throughout stomach distension.", "author" : [ { "dropping-particle" : "", "family" : "Sikiric", "given" : "P.", "non-dropping-particle" : "", "parse-names" : false, "suffix" : "" }, { "dropping-particle" : "", "family" : "Seiwerth", "given" : "S.", "non-dropping-particle" : "", "parse-names" : false, "suffix" : "" }, { "dropping-particle" : "", "family" : "Brcic", "given" : "L.", "non-dropping-particle" : "", "parse-names" : false, "suffix" : "" }, { "dropping-particle" : "", "family" : "Blagaic", "given" : "A B", "non-dropping-particle" : "", "parse-names" : false, "suffix" : "" }, { "dropping-particle" : "", "family" : "Zoricic", "given" : "I.", "non-dropping-particle" : "", "parse-names" : false, "suffix" : "" }, { "dropping-particle" : "", "family" : "Sever", "given" : "M.", "non-dropping-particle" : "", "parse-names" : false, "suffix" : "" }, { "dropping-particle" : "", "family" : "Klicek", "given" : "R.", "non-dropping-particle" : "", "parse-names" : false, "suffix" : "" }, { "dropping-particle" : "", "family" : "Radic", "given" : "B.", "non-dropping-particle" : "", "parse-names" : false, "suffix" : "" }, { "dropping-particle" : "", "family" : "Keller", "given" : "N.", "non-dropping-particle" : "", "parse-names" : false, "suffix" : "" }, { "dropping-particle" : "", "family" : "Sipos", "given" : "K.", "non-dropping-particle" : "", "parse-names" : false, "suffix" : "" }, { "dropping-particle" : "", "family" : "Jakir", "given" : "A.", "non-dropping-particle" : "", "parse-names" : false, "suffix" : "" }, { "dropping-particle" : "", "family" : "Udovicic", "given" : "M.", "non-dropping-particle" : "", "parse-names" : false, "suffix" : "" }, { "dropping-particle" : "", "family" : "Tonkic", "given" : "A.", "non-dropping-particle" : "", "parse-names" : false, "suffix" : "" }, { "dropping-particle" : "", "family" : "Kokic", "given" : "N.", "non-dropping-particle" : "", "parse-names" : false, "suffix" : "" }, { "dropping-particle" : "", "family" : "Turkovic", "given" : "B.", "non-dropping-particle" : "", "parse-names" : false, "suffix" : "" }, { "dropping-particle" : "", "family" : "Mise", "given" : "S.", "non-dropping-particle" : "", "parse-names" : false, "suffix" : "" }, { "dropping-particle" : "", "family" : "Anic", "given" : "T.", "non-dropping-particle" : "", "parse-names" : false, "suffix" : "" } ], "container-title" : "Inflammopharmacology", "id" : "ITEM-9", "issue" : "5-6", "issued" : { "date-parts" : [ [ "2006", "12" ] ] }, "page" : "214-21", "title" : "Stable gastric pentadecapeptide BPC 157 in trials for inflammatory bowel disease (PL-10, PLD-116, PL 14736, Pliva, Croatia). Full and distended stomach, and vascular response.", "type" : "article-journal", "volume" : "14" }, "uris" : [ "http://www.mendeley.com/documents/?uuid=a21321d3-6201-3777-b54c-60d2c5d4ff9a" ] }, { "id" : "ITEM-10", "itemData" : { "DOI" : "10.1016/0928-4257(93)90038-U", "ISSN" : "0928-4257", "PMID" : "8298609", "abstract" : "The possibility that the stomach, affected by general stress, might initiate a counter-response has not until recently been considered in theories of stress. We suggest that the stomach, as the most sensitive part of the gastrointestinal tract and the largest neuroendocrine organ in the body, is crucial for the initiation of a full stress response against all noxious stress pathology. The end result would be a strong protection of all organs invaded by 'stress'. Consistent with this assumption, this coping response is best explained in terms of 'organoprotection'. Endogenous organoprotectors (eg prostaglandins, somatostatin, dopamine) are proposed as mediators. Such an endogenous counteraction could even be afforded by their suitable application. A new gastric juice peptide, M(r) 40,000, named BPC, was recently isolated. Herein, a 15 amino acid fragment (BPC 157), thought to be essential for its activity, has been fully characterized and investigated. As has been demonstrated for many organoprotective agents using different models of various tissue lesions, despite the poorly understood final mechanism, practically all organ systems appear to benefit from BPC activity. These effects have been achieved in many species using very low dosages (mostly microgram and ng/kg range) after ip, ig, and intramucosal (local) application. The effect was apparent already after one application. Long lasting activity was also demonstrated. BPC was highly effective when applied simultaneously with noxious agents or in already pathological, as well as chronical, conditions. Therefore, it seems that BPC treatment does not share any of the so far known limitations for 'conventional organoprotectors'. No influence on different basal parameters and no toxicity were observed. These findings provide a breakthrough in stress theory. BPC, as a possible endogenous free radical scavenger and organoprotection mediator, could be a useful prototype of a new class of drugs, organoprotective agents.", "author" : [ { "dropping-particle" : "", "family" : "Sikiri\u0107", "given" : "P.", "non-dropping-particle" : "", "parse-names" : false, "suffix" : "" }, { "dropping-particle" : "", "family" : "Petek", "given" : "M.", "non-dropping-particle" : "", "parse-names" : false, "suffix" : "" }, { "dropping-particle" : "", "family" : "Rucman", "given" : "R", "non-dropping-particle" : "", "parse-names" : false, "suffix" : "" }, { "dropping-particle" : "", "family" : "Seiwerth", "given" : "S.", "non-dropping-particle" : "", "parse-names" : false, "suffix" : "" }, { "dropping-particle" : "", "family" : "Grabarevi\u0107", "given" : "Z.", "non-dropping-particle" : "", "parse-names" : false, "suffix" : "" }, { "dropping-particle" : "", "family" : "Rotkvi\u0107", "given" : "I.", "non-dropping-particle" : "", "parse-names" : false, "suffix" : "" }, { "dropping-particle" : "", "family" : "Turkovi\u0107", "given" : "B.", "non-dropping-particle" : "", "parse-names" : false, "suffix" : "" }, { "dropping-particle" : "", "family" : "Jagi\u0107", "given" : "V.", "non-dropping-particle" : "", "parse-names" : false, "suffix" : "" }, { "dropping-particle" : "", "family" : "Mildner", "given" : "B.", "non-dropping-particle" : "", "parse-names" : false, "suffix" : "" }, { "dropping-particle" : "", "family" : "Duvnjak", "given" : "M.", "non-dropping-particle" : "", "parse-names" : false, "suffix" : "" } ], "container-title" : "Journal of physiology, Paris", "id" : "ITEM-10", "issue" : "5", "issued" : { "date-parts" : [ [ "1993" ] ] }, "page" : "313-27", "title" : "A new gastric juice peptide, BPC. An overview of the stomach-stress-organoprotection hypothesis and beneficial effects of BPC.", "type" : "article-journal", "volume" : "87" }, "uris" : [ "http://www.mendeley.com/documents/?uuid=f738bbb1-8d16-31eb-a5d7-6f273100aa96" ] } ], "mendeley" : { "formattedCitation" : "&lt;sup&gt;[1\u201310]&lt;/sup&gt;", "plainTextFormattedCitation" : "[1\u201310]", "previouslyFormattedCitation" : "(Seiwerth et al., 2014; Sikiric et al., 2017, 2016, 2014, 2013, 2012, 2011, 2010, 2006; Sikiri\u0107 et al., 1993)" }, "properties" : {  }, "schema" : "https://github.com/citation-style-language/schema/raw/master/csl-citation.json" }</w:instrText>
      </w:r>
      <w:r w:rsidR="000D4D1A" w:rsidRPr="00CC34A3">
        <w:rPr>
          <w:rFonts w:ascii="Book Antiqua" w:eastAsia="Calibri" w:hAnsi="Book Antiqua" w:cs="Courier New"/>
          <w:color w:val="000000" w:themeColor="text1"/>
          <w:sz w:val="24"/>
          <w:szCs w:val="24"/>
          <w:lang w:val="en-US"/>
        </w:rPr>
        <w:fldChar w:fldCharType="separate"/>
      </w:r>
      <w:r w:rsidR="000D4D1A" w:rsidRPr="00CC34A3">
        <w:rPr>
          <w:rFonts w:ascii="Book Antiqua" w:eastAsia="Calibri" w:hAnsi="Book Antiqua" w:cs="Courier New"/>
          <w:color w:val="000000" w:themeColor="text1"/>
          <w:sz w:val="24"/>
          <w:szCs w:val="24"/>
          <w:vertAlign w:val="superscript"/>
          <w:lang w:val="en-US"/>
        </w:rPr>
        <w:t>[1–10]</w:t>
      </w:r>
      <w:r w:rsidR="000D4D1A" w:rsidRPr="00CC34A3">
        <w:rPr>
          <w:rFonts w:ascii="Book Antiqua" w:eastAsia="Calibri" w:hAnsi="Book Antiqua" w:cs="Courier New"/>
          <w:color w:val="000000" w:themeColor="text1"/>
          <w:sz w:val="24"/>
          <w:szCs w:val="24"/>
          <w:lang w:val="en-US"/>
        </w:rPr>
        <w:fldChar w:fldCharType="end"/>
      </w:r>
      <w:r w:rsidR="000D4D1A" w:rsidRPr="00CC34A3">
        <w:rPr>
          <w:rFonts w:ascii="Book Antiqua" w:hAnsi="Book Antiqua" w:cs="Courier New"/>
          <w:color w:val="000000" w:themeColor="text1"/>
          <w:sz w:val="24"/>
          <w:szCs w:val="24"/>
          <w:lang w:val="en-US"/>
        </w:rPr>
        <w:t xml:space="preserve"> maintains gastrointestinal mucosal integrity</w:t>
      </w:r>
      <w:r w:rsidR="000D4D1A" w:rsidRPr="00CC34A3">
        <w:rPr>
          <w:rFonts w:ascii="Book Antiqua" w:eastAsia="Calibri" w:hAnsi="Book Antiqua" w:cs="Courier New"/>
          <w:color w:val="000000" w:themeColor="text1"/>
          <w:sz w:val="24"/>
          <w:szCs w:val="24"/>
          <w:lang w:val="en-US"/>
        </w:rPr>
        <w:fldChar w:fldCharType="begin" w:fldLock="1"/>
      </w:r>
      <w:r w:rsidR="000D4D1A" w:rsidRPr="00CC34A3">
        <w:rPr>
          <w:rFonts w:ascii="Book Antiqua" w:eastAsia="Calibri" w:hAnsi="Book Antiqua" w:cs="Courier New"/>
          <w:color w:val="000000" w:themeColor="text1"/>
          <w:sz w:val="24"/>
          <w:szCs w:val="24"/>
          <w:lang w:val="en-US"/>
        </w:rPr>
        <w:instrText>ADDIN CSL_CITATION { "citationItems" : [ { "id" : "ITEM-1", "itemData" : { "DOI" : "10.2174/1381612823666170220163219", "ISSN" : "13816128", "PMID" : "28228068", "abstract" : "Selye's syndrome produced by diverse nocuous agents and ``response to damage as such{''} means Selye's stress triad in stress coping response to reestablish homeostasis. Logically, from the gastrointestinal tract viewpoint, such organoprotective/healing response implies the angiogenic growth factors that commonly signify the healing. Thereby, the gastric pentadecapeptide BPC 157-organoprotection (huge range of beneficial effects) signifies the Selye's stress concept/stress coping response implemented in and from gastrointestinal tract, and BPC 157 as an integrative mediator that integrates the adaptive bodily response to stress. In clinical trials without side effects, LD1 not achieved, BPC 157 healing in gastrointestinal tract, and particularly the healing of the extra-gastrointestinal tissues (i.e., skin/tendon/ligament/muscle/bone; nerve; cornea/brain) were referred throughout its integrative capabilities (i.e., ulcerative colitis/multiple sclerosis model equally counteracted), native in gastrointestinal tract, stability in human gastric juice (and thereby, strong efficacy and applicability), its relevance for dopamine-system function (and thereby, counteracting effects of dopamine-system dysfunction and over-function, centrally and peripherally (mucosa maintenance); interaction with serotonin- and GABA-system)), afforded cytoprotection/adaptive cytoprotection/organoprotection (and thereby, beneficial effects on gastric and whole intestinal tract lesions and adaptation, wounds and fistulas healing, blood vessels, somatosensory neurons, NSAIDs-side effects (including also pancreas, liver, brain lesions, and blood disturbances, prolonged bleeding, thrombocytopenia, thrombosis)). Further, we combine such gut-brain axis and the NO-system where BPC 157 counteracts complications of either L-NAME application (i.e., various lesions aggravation, hypertension) or L-arginine application (i.e., hypotension, prolonged bleeding, thrombocytopenia). Also, BPC 157 particularly affects genes functions (i.e., Fos, c-Jun, Egr-1), all together suggestive for an indicative generalization. Thus, we could suggest gastric pentadecapeptide BPC 157 and BPC 157 induced-organoprotection as integrative mediator that integrates the adaptive bodily response to stress, and thereby practically applied in further therapy and in effective realization of Selye's stress response.",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"Drmic", "given" : "Domagoj", "non-dropping-particle" : "", "parse-names" : false, "suffix" : "" }, { "dropping-particle" : "", "family" : "Stupnisek", "given" : "Mirjana", "non-dropping-particle" : "", "parse-names" : false, "suffix" : "" }, { "dropping-particle" : "", "family" : "Kokot", "given" : "Antonio", "non-dropping-particle" : "", "parse-names" : false, "suffix" : "" }, { "dropping-particle" : "", "family" : "Sever", "given" : "Marko", "non-dropping-particle" : "", "parse-names" : false, "suffix" : "" }, { "dropping-particle" : "", "family" : "Zoricic", "given" : "Ivan", "non-dropping-particle" : "", "parse-names" : false, "suffix" : "" }, { "dropping-particle" : "", "family" : "Zoricic", "given" : "Zoran", "non-dropping-particle" : "", "parse-names" : false, "suffix" : "" }, { "dropping-particle" : "", "family" : "Batelja", "given" : "Lovorka", "non-dropping-particle" : "", "parse-names" : false, "suffix" : "" }, { "dropping-particle" : "", "family" : "Ziger", "given" : "Tihomil", "non-dropping-particle" : "", "parse-names" : false, "suffix" : "" }, { "dropping-particle" : "", "family" : "Luetic", "given" : "Kresimir", "non-dropping-particle" : "", "parse-names" : false, "suffix" : "" }, { "dropping-particle" : "", "family" : "Vlainic", "given" : "Josipa", "non-dropping-particle" : "", "parse-names" : false, "suffix" : "" }, { "dropping-particle" : "", "family" : "Rasic", "given" : "Zarko", "non-dropping-particle" : "", "parse-names" : false, "suffix" : "" }, { "dropping-particle" : "", "family" : "Bencic", "given" : "Martina Lovric", "non-dropping-particle" : "", "parse-names" : false, "suffix" : "" } ], "container-title" : "Current Pharmaceutical Design", "id" : "ITEM-1", "issue" : "27", "issued" : { "date-parts" : [ [ "2017" ] ] }, "page" : "4012-4028", "title" : "Stress in Gastrointestinal Tract and Stable Gastric Pentadecapeptide BPC 157. Finally, do we have a Solution?", "type" : "article-journal", "volume" : "23" }, "uris" : [ "http://www.mendeley.com/documents/?uuid=15899097-6542-32aa-acf2-ef932af08516" ] }, { "id" : "ITEM-2", "itemData" : { "ISSN" : "1875-6190", "PMID" : "27138887", "abstract" : "BACKGROUND Brain-gut interaction involves, among others, peptidergic growth factors which are native in GI tract and have strong antiulcer potency and thus could from periphery beneficially affect CNS-disorders. We focused on the stable gastric pentadecapeptide BPC 157, an antiulcer peptidergic agent, safe in inflammatory bowel disease trials and now in multiple sclerosis trial, native and stable in human gastric juice. METHODS Review of our research on BPC 157 in terms of brain-gut axis. RESULTS BPC 157 may serve as a novel mediator of Robert's cytoprotection, involved in maintaining of GI mucosa integrity, with no toxic effect. BPC 157 was successful in the therapy of GI tract, periodontitis, liver and pancreas lesions, and in the healing of various tissues and wounds. Stimulated Egr-1 gene, NAB2, FAK-paxillin and JAK-2 pathways are hitherto implicated. Initially corresponding beneficial central influence was seen when BPC 157 was given peripherally and a serotonin release in particular brain areas, mostly nigrostriatal, was changed. BPC 157 modulates serotonergic and dopaminergic systems, beneficially affects various behavioral disturbances that otherwise appeared due to specifically (over)stimulated/damaged neurotransmitters systems. Besides, BPC 157 has neuroprotective effects: protects somatosensory neurons; peripheral nerve regeneration appearent after transection; after traumatic brain injury counteracts the otherwise progressing course, in rat spinal cord compression with tail paralysis, axonal and neuronal necrosis, demyelination, cyst formation and rescues tail function in both short-terms and long-terms; after NSAIDs or insulin overdose or cuprizone encephalopathies were attenuated along with GI, liver and vascular injuries. CONCLUSION BPC 157, a gastric peptide, may serve as remedy in various CNS-disorders.",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"Kolenc", "given" : "Danijela", "non-dropping-particle" : "", "parse-names" : false, "suffix" : "" }, { "dropping-particle" : "", "family" : "Vuletic", "given" : "Lovorka Batelja", "non-dropping-particle" : "", "parse-names" : false, "suffix" : "" }, { "dropping-particle" : "", "family" : "Drmic", "given" : "Domagoj", "non-dropping-particle" : "", "parse-names" : false, "suffix" : "" }, { "dropping-particle" : "", "family" : "Grgic", "given" : "Tihomir", "non-dropping-particle" : "", "parse-names" : false, "suffix" : "" }, { "dropping-particle" : "", "family" : "Strbe", "given" : "Sanja", "non-dropping-particle" : "", "parse-names" : false, "suffix" : "" }, { "dropping-particle" : "", "family" : "Zukanovic", "given" : "Goran", "non-dropping-particle" : "", "parse-names" : false, "suffix" : "" }, { "dropping-particle" : "", "family" : "Crvenkovic", "given" : "Dalibor", "non-dropping-particle" : "", "parse-names" : false, "suffix" : "" }, { "dropping-particle" : "", "family" : "Madzarac", "given" : "Goran", "non-dropping-particle" : "", "parse-names" : false, "suffix" : "" }, { "dropping-particle" : "", "family" : "Rukavina", "given" : "Iva", "non-dropping-particle" : "", "parse-names" : false, "suffix" : "" }, { "dropping-particle" : "", "family" : "Sucic", "given" : "Mario", "non-dropping-particle" : "", "parse-names" : false, "suffix" : "" }, { "dropping-particle" : "", "family" : "Baric", "given" : "Marko", "non-dropping-particle" : "", "parse-names" : false, "suffix" : "" }, { "dropping-particle" : "", "family" : "Starcevic", "given" : "Neven", "non-dropping-particle" : "", "parse-names" : false, "suffix" : "" }, { "dropping-particle" : "", "family" : "Krstonijevic", "given" : "Zoran", "non-dropping-particle" : "", "parse-names" : false, "suffix" : "" }, { "dropping-particle" : "", "family" : "Bencic", "given" : "Martina Lovric", "non-dropping-particle" : "", "parse-names" : false, "suffix" : "" }, { "dropping-particle" : "", "family" : "Filipcic", "given" : "Igor", "non-dropping-particle" : "", "parse-names" : false, "suffix" : "" }, { "dropping-particle" : "", "family" : "Rokotov", "given" : "Dinko Stancic", "non-dropping-particle" : "", "parse-names" : false, "suffix" : "" }, { "dropping-particle" : "", "family" : "Vlainic", "given" : "Josipa", "non-dropping-particle" : "", "parse-names" : false, "suffix" : "" } ], "container-title" : "Current neuropharmacology", "id" : "ITEM-2", "issue" : "8", "issued" : { "date-parts" : [ [ "2016" ] ] }, "page" : "857-865", "title" : "Brain-gut Axis and Pentadecapeptide BPC 157: Theoretical and Practical Implications.", "type" : "article-journal", "volume" : "14" }, "uris" : [ "http://www.mendeley.com/documents/?uuid=9b2831b1-d3dd-4080-846d-5f4f7ead3113" ] }, { "id" : "ITEM-3", "itemData" : { "ISSN" : "1873-4286", "PMID" : "23782145", "abstract" : "This review focuses on the described effects of BPC 157 on blood vessels after different types of damage, and elucidate by investigating different aspects of vascular response to injury (endothelium damage, clotting, thrombosis, vasoconstriction, vasodilatation, vasculoneogenesis and edema formation) especially in connection to the healing processes. In this respect, BPC 157 was concluded to be the most potent angiomodulatory agent, acting through different vasoactive pathways and systems (e.g. NO, VEGF, FAK) and leading to optimization of the vascular response followed, as it has to be expected, by optimization of the healing process. Formation of new blood vessels involves two main, partly overlapping mechanisms, angiogenesis and vasculogenesis. The additional mechanism of arteriogenesis is involved in the formation of collaterals. In conjunction with blood vessel function, we at least have to consider leakage of fluid/proteins/plasma, resulting in edema/exudate formation as well as thrombogenesis. Blood vessels are also strongly involved in tumor biology. In this aspect, we have neoangiogenesis resulting in pathological vascularization, vascular invasion resulting in release of metastatic cells and the phenomenon of homing resulting in formation of secondary tumors--metastases.", "author" : [ { "dropping-particle" : "", "family" : "Seiwerth", "given" : "Sven", "non-dropping-particle" : "", "parse-names" : false, "suffix" : "" }, { "dropping-particle" : "", "family" : "Brcic", "given" : "Luka", "non-dropping-particle" : "", "parse-names" : false, "suffix" : "" }, { "dropping-particle" : "", "family" : "Vuletic", "given" : "Lovorka Batelja",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"Misic", "given" : "Marija", "non-dropping-particle" : "", "parse-names" : false, "suffix" : "" }, { "dropping-particle" : "", "family" : "Zenko", "given" : "Anita", "non-dropping-particle" : "", "parse-names" : false, "suffix" : "" }, { "dropping-particle" : "", "family" : "Drmic", "given" : "Domagoj", "non-dropping-particle" : "", "parse-names" : false, "suffix" : "" }, { "dropping-particle" : "", "family" : "Rucman", "given" : "Rudolf", "non-dropping-particle" : "", "parse-names" : false, "suffix" : "" }, { "dropping-particle" : "", "family" : "Sikiric", "given" : "Predrag", "non-dropping-particle" : "", "parse-names" : false, "suffix" : "" } ], "container-title" : "Current pharmaceutical design", "id" : "ITEM-3", "issue" : "7", "issued" : { "date-parts" : [ [ "2014" ] ] }, "page" : "1121-5", "title" : "BPC 157 and blood vessels.", "type" : "article-journal", "volume" : "20" }, "uris" : [ "http://www.mendeley.com/documents/?uuid=5f0ff73a-1c13-4e9f-9921-366eef3ba469" ] }, { "id" : "ITEM-4", "itemData" : { "ISSN" : "1873-4286", "PMID" : "23755725", "abstract" : "We reviewed stable gastric pentadecapeptide BPC 157-NO-system-relation, its close participation in Moncada's (maintained vascular integrity, platelets control) homeostatic healing response of NO-system to injury. Namely, BPC 157's particular healing effect also affects all events after vascular integrity loss (dependent on circumstances, it reduces either thrombosis (abdominal aorta anastomosis) or bleeding/thrombocytopenia (amputation, heparin, warfarin, aspirin)) and in a series of different injurious models, acute and chronic, BPC 157 consistently advances healing after severe injuries in various tissues spontaneously unable to heal; stimulates egr-1 and naB2 genes; exhibits high safety (LD1 not achieved)). Hypothesis, that BPC 157 (since formed constitutively in the gastric mucosa, stable in human gastric juice, along with significance of NO-synthase and the basal formation of NO in stomach mucosa, greater than that seen in other tissues) exhibits a general, effective competing both with L-arginine analogues (i. e., L-NAME) and L-arginine, and that this has some physiologic importance (NO-generation), later, practically supports its beneficial effects illustrating BPC 157 and NOsystem mutual (with L-NAME/L-arginine; alone and together) relations in (i) gastric mucosa and mucosal protection, following alcohol lesions, in cytoprotection course, NO-generation, and blood pressure regulation; (ii) alcohol acute/chronic intoxication, and withdrawal; (iii) cardiovascular disturbances, chronic heart failure, pulmonary hypertension, and arrhythmias; (iv) disturbances after hypokalemia and hyperkalemia, and potassium-cell membrane dysfunction; and finally, in (v) complex healing failure, proved by the fistulas healing, colocutaneous and esophagocutaneous. However, how this advantage of modulating NO-system (i. e., particular effect on eNOS gene), may be practically translated into an enhanced clinical performance remains to be determined.",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"Stupnisek", "given" : "Mirjana", "non-dropping-particle" : "", "parse-names" : false, "suffix" : "" }, { "dropping-particle" : "", "family" : "Suran", "given" : "Jelena", "non-dropping-particle" : "", "parse-names" : false, "suffix" : "" }, { "dropping-particle" : "", "family" : "Barisic", "given" : "Ivan",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"ITEM-4", "issue" : "7", "issued" : { "date-parts" : [ [ "2014" ] ] }, "page" : "1126-35", "title" : "Stable gastric pentadecapeptide BPC 157-NO-system relation.", "type" : "article-journal", "volume" : "20" }, "uris" : [ "http://www.mendeley.com/documents/?uuid=74ead48f-0c75-446a-a19b-49bb02b31992" ] }, { "id" : "ITEM-5", "itemData" : { "ISSN" : "1873-4286", "PMID" : "22950504", "abstract" : "Stable gastric pentadecapeptide BPC 157 is an anti-ulcer peptidergic agent, proven in clinical trials to be both safe in inflammatory bowel disease (PL-10, PLD-116, PL 14736) and wound healing, stable in human gastric juice, with no toxicity being reported. Recently, we claim that BPC 157 may be used as an antidote against NSAIDs. We focused on BPC 157 beneficial effects on stomach, duodenum, intestine, liver and brain injuries, adjuvant arthritis, pain, hyper/hypothermia, obstructive thrombus formation and thrombolysis, blood vessel function, counteraction of prolonged bleeding and thrombocytopenia after application of various anticoagulants and antiplatelet agents and wound healing improvement. The arguments for BPC 157 antidote activity (i.e., the role of BPC 157 in cytoprotection, being a novel mediator of Robert's cytoprotection and BPC 157 beneficial effects on NSAIDs mediated lesions in the gastrointestinal tract, liver and brain and finally, counteraction of aspirin-induced prolonged bleeding and thrombocytopenia) obviously have a counteracting effect on several established side-effects of NSAIDs use. The mentioned variety of the beneficial effects portrayed by BPC 157 may well be a foundation for establishing BPC 157 as a NSAIDs antidote since no other single agent has portrayed a similar array of effects. Unlike NSAIDs, a very high safety (no reported toxicity (LD1 could be not achieved)) profile is reported for BPC 157. Also, unlike the different dosage levels of aspirin, as a NSAIDs prototype, which differ by a factor of about ten, all these beneficial and counteracting effects of BPC 157 were obtained using the equipotent dosage (\u03bcg, ng/kg) in parenteral or peroral regimens.",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"Aralica", "given" : "Gorana", "non-dropping-particle" : "", "parse-names" : false, "suffix" : "" }, { "dropping-particle" : "", "family" : "Safic", "given" : "Hana", "non-dropping-particle" : "", "parse-names" : false, "suffix" : "" }, { "dropping-particle" : "", "family" : "Suran", "given" : "Jelena", "non-dropping-particle" : "", "parse-names" : false, "suffix" : "" }, { "dropping-particle" : "", "family" : "Rak", "given" : "Davor", "non-dropping-particle" : "", "parse-names" : false, "suffix" : "" }, { "dropping-particle" : "", "family" : "Dzidic", "given" : "Senka",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"ITEM-5", "issue" : "1", "issued" : { "date-parts" : [ [ "2013" ] ] }, "page" : "76-83", "title" : "Toxicity by NSAIDs. Counteraction by stable gastric pentadecapeptide BPC 157.", "type" : "article-journal", "volume" : "19" }, "uris" : [ "http://www.mendeley.com/documents/?uuid=b4d81bb8-a391-4622-abb3-23195e4a65ff" ] }, { "id" : "ITEM-6", "itemData" : { "ISSN" : "1875-533X", "PMID" : "22300085", "abstract" : "Stable gastric pentadecapeptide BPC 157 (GEPPPGKPADDAGLV, M.W. 1419) may be the new drug stable in human gastric juice, effective both in the upper and lower GI tract, and free of side effects. BPC 157, in addition to an antiulcer effect efficient in therapy of inflammatory bowel disease (IBD) (PL 14736) so far only tested in clinical phase II, has a very safe profile, and exhibited a particular wound healing effect. It also has shown to interact with the NO-system, providing endothelium protection and angiogenic effect, even in severely impaired conditions (i.e., it stimulated expression of early growth response 1 gene responsible for cytokine and growth factor generation and early extracellular matrix (collagen) formation (but also its repressor nerve growth factor 1-A binding protein-2)), important to counteract severe complications of advanced and poorly controlled IBD. Hopefully, the lessons from animal studies, particularly advanced intestinal anastomosis healing, reversed short bowel syndrome and fistula healing indicate BPC 157's high significance in further IBD therapy. Also, this supportive evidence (i.e., no toxic effect, limit test negative, LD1 not achieved, no side effect in trials) may counteract the problems commonly exercised in the use of peptidergic agents, particularly those used on a long-term basis.", "author" : [ { "dropping-particle" : "", "family" : "Sikiric", "given" : "P", "non-dropping-particle" : "", "parse-names" : false, "suffix" : "" }, { "dropping-particle" : "", "family" : "Seiwerth", "given" : "S", "non-dropping-particle" : "", "parse-names" : false, "suffix" : "" }, { "dropping-particle" : "", "family" : "Rucman", "given" : "R", "non-dropping-particle" : "", "parse-names" : false, "suffix" : "" }, { "dropping-particle" : "", "family" : "Turkovic", "given" : "B", "non-dropping-particle" : "", "parse-names" : false, "suffix" : "" }, { "dropping-particle" : "", "family" : "Rokotov", "given" : "D S", "non-dropping-particle" : "", "parse-names" : false, "suffix" : "" }, { "dropping-particle" : "", "family" : "Brcic", "given" : "L", "non-dropping-particle" : "", "parse-names" : false, "suffix" : "" }, { "dropping-particle" : "", "family" : "Sever", "given" : "M", "non-dropping-particle" : "", "parse-names" : false, "suffix" : "" }, { "dropping-particle" : "", "family" : "Klicek", "given" : "R", "non-dropping-particle" : "", "parse-names" : false, "suffix" : "" }, { "dropping-particle" : "", "family" : "Radic", "given" : "B", "non-dropping-particle" : "", "parse-names" : false, "suffix" : "" }, { "dropping-particle" : "", "family" : "Drmic", "given" : "D", "non-dropping-particle" : "", "parse-names" : false, "suffix" : "" }, { "dropping-particle" : "", "family" : "Ilic", "given" : "S", "non-dropping-particle" : "", "parse-names" : false, "suffix" : "" }, { "dropping-particle" : "", "family" : "Kolenc", "given" : "D", "non-dropping-particle" : "", "parse-names" : false, "suffix" : "" }, { "dropping-particle" : "", "family" : "Stambolija", "given" : "V", "non-dropping-particle" : "", "parse-names" : false, "suffix" : "" }, { "dropping-particle" : "", "family" : "Zoricic", "given" : "Z", "non-dropping-particle" : "", "parse-names" : false, "suffix" : "" }, { "dropping-particle" : "", "family" : "Vrcic", "given" : "H", "non-dropping-particle" : "", "parse-names" : false, "suffix" : "" }, { "dropping-particle" : "", "family" : "Sebecic", "given" : "B", "non-dropping-particle" : "", "parse-names" : false, "suffix" : "" } ], "container-title" : "Current medicinal chemistry", "id" : "ITEM-6", "issue" : "1", "issued" : { "date-parts" : [ [ "2012" ] ] }, "page" : "126-32", "title" : "Focus on ulcerative colitis: stable gastric pentadecapeptide BPC 157.", "type" : "article-journal", "volume" : "19" }, "uris" : [ "http://www.mendeley.com/documents/?uuid=82217b0f-1a75-4f5f-99de-cbbc916f534e" ] }, { "id" : "ITEM-7", "itemData" : { "DOI" : "10.2174/138161211796196954", "ISBN" : "1873-4286 (Electronic)\\n1381-6128 (Linking)", "ISSN" : "1873-4286", "PMID" : "21548867", "abstract" : "Stable gastric pentadecapeptide BPC 157 is an anti-ulcer peptidergic agent, safe in inflammatory bowel disease clinical trials (GEPPPGKPADDAGLV, M.W. 1419, PL 14736) and wound healing, stable in human gastric juice and has no reported toxicity. We focused on BPC 157 as a therapy in peridontitis, esophagus, stomach, duodenum, intestine, liver and pancreas lesions. Particularly, it has a prominent effect on alcohol-lesions (i.e., acute, chronic) and NSAIDs-lesions (interestingly, BPC 157 both prevents and reverses adjuvant arthritis). In rat esophagitis and failed function of both lower esophageal sphincter (LES) and pyloric sphincters (PS), BPC 157 increased pressure in both sphincters till normal and reduced esophagitis. However, in healthy rats, it may decrease (PS) or increase (LES) the pressure in sphincters. It has strong angiogenic potential, it acts protectively on endothelium, prevents and reverses thrombus formation after abdominal aorta anastomosis, affects many central disturbances (i.e., dopamine and 5-HT system), the NO-system (either L-arginine and L-NAME effects), endothelin, acts as a free radical scavenger (counteracting CCl4-, paracetamol-, diclofenac-injuries) and exhibits neuroprotective properties. BPC 157 successfully heals the intestinal anastomosis, gastrocutaneous, duodenocutaneous and colocutaneous fistulas in rats, as well as interacting with the NO-system. Interestingly, the fistula closure was achieved even when the BPC 157 therapy was postponed for one month. In short-bowel syndrome escalating throughout 4 weeks, the constant weight gain above preoperative values started immediately with peroral and parental BPC 157 therapy and the villus height, crypth depth and muscle thickness (inner (circular) muscular layer) additionally increased. Thus, BPC 157 may improve gastrointestinal tract therapy.", "author" : [ { "dropping-particle" : "", "family" : "Sikiric", "given" : "Predrag", "non-dropping-particle" : "", "parse-names" : false, "suffix" : "" }, { "dropping-particle" : "", "family" : "Seiwerth", "given" : "Sven", "non-dropping-particle" : "", "parse-names" : false, "suffix" : "" }, { "dropping-particle" : "", "family" : "Rucman", "given" : "Rudolf", "non-dropping-particle" : "", "parse-names" : false, "suffix" : "" }, { "dropping-particle" : "", "family" : "Turkovic", "given" : "Branko", "non-dropping-particle" : "", "parse-names" : false, "suffix" : "" }, { "dropping-particle" : "", "family" : "Rokotov", "given" : "Dinko Stancic",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"dropping-particle" : "", "family" : "Vrcic", "given" : "Hrvoje", "non-dropping-particle" : "", "parse-names" : false, "suffix" : "" }, { "dropping-particle" : "", "family" : "Sebecic", "given" : "Bozidar", "non-dropping-particle" : "", "parse-names" : false, "suffix" : "" } ], "container-title" : "Current pharmaceutical design", "id" : "ITEM-7", "issue" : "16", "issued" : { "date-parts" : [ [ "2011" ] ] }, "page" : "1612-32", "title" : "Stable gastric pentadecapeptide BPC 157: novel therapy in gastrointestinal tract.", "type" : "article-journal", "volume" : "17" }, "uris" : [ "http://www.mendeley.com/documents/?uuid=0c326320-ddc2-4da8-939a-b8cfc65cd61b" ] }, { "id" : "ITEM-8", "itemData" : { "DOI" : "10.2174/138161210790945977", "ISBN" : "1873-4286 (Electronic)\\r1381-6128 (Linking)", "ISSN" : "13816128", "PMID" : "20166993", "abstract" : "The significance of cytoprotection and adaptive cytoprotection and the peptides importance remained to be not completely determined. BPC 157 is an anti-ulcer peptidergic agent, proven in clinical trials to be both safe in inflammatory bowel disease (PL-10, PLD-116, PL 14736) and wound healing, and stable in human gastric juice, with no toxicity being reported. It has a prominent effect on alcohol- lesions (i.e., induced acutely and chronically) and non-steroidal anti-inflammatory drugs-lesions (while interestingly BPC 157 may both prevent and reverse adjuvant arthritis). To review the importance of BPC 157, this review focused on Robert's cytoprotection concept described in rat stomach, reviewing our evidence that may resolve whether the cytoprotection and adaptive cytoprotection is an uniform phenomenon or not; whether the phenomenon or phenomena are endogenous or not, depending on nature of the irritants (mild or strong); whether this may contribute to stomach mucosa defense either when threaten by various ulcerogens or afforded by various antiulcer agents; whether these phenomena are uniform in whole gastrointestinal tract or not; whether they are interrelated or not. Finally, the importance of the cytoprotection phenomena and cytoprotection activity for skin wound healing, and wound healing in general was challenged. Thereby, this review focused on BPC 157 role in cytoprotection and adaptative cytoprotection suggesting that it may be the essential endogenous mediator able to mediate both cytoprotective and adaptive cytoprotective response in stomach and the whole gastrointestinal tract with significant importance in wound healing as well.", "author" : [ { "dropping-particle" : "", "family" : "Sikiric", "given" : "Predrag", "non-dropping-particle" : "", "parse-names" : false, "suffix" : "" }, { "dropping-particle" : "", "family" : "Seiwerth", "given" : "Sven", "non-dropping-particle" : "", "parse-names" : false, "suffix" : "" }, { "dropping-particle" : "", "family" : "Brcic", "given" : "Luka", "non-dropping-particle" : "", "parse-names" : false, "suffix" : "" }, { "dropping-particle" : "", "family" : "Sever", "given" : "Marko", "non-dropping-particle" : "", "parse-names" : false, "suffix" : "" }, { "dropping-particle" : "", "family" : "Klicek", "given" : "Robert", "non-dropping-particle" : "", "parse-names" : false, "suffix" : "" }, { "dropping-particle" : "", "family" : "Radic", "given" : "Bozo", "non-dropping-particle" : "", "parse-names" : false, "suffix" : "" }, { "dropping-particle" : "", "family" : "Drmic", "given" : "Domagoj", "non-dropping-particle" : "", "parse-names" : false, "suffix" : "" }, { "dropping-particle" : "", "family" : "Ilic", "given" : "Spomenko", "non-dropping-particle" : "", "parse-names" : false, "suffix" : "" }, { "dropping-particle" : "", "family" : "Kolenc", "given" : "Danijela", "non-dropping-particle" : "", "parse-names" : false, "suffix" : "" } ], "container-title" : "Current pharmaceutical design", "id" : "ITEM-8", "issue" : "10", "issued" : { "date-parts" : [ [ "2010" ] ] }, "page" : "1224-1234", "title" : "Revised Robert's cytoprotection and adaptive cytoprotection and stable gastric pentadecapeptide BPC 157. Possible significance and implications for novel mediator.", "type" : "article-journal", "volume" : "16" }, "uris" : [ "http://www.mendeley.com/documents/?uuid=e3cf6c8b-0484-4890-9aee-cda6592874b2" ] }, { "id" : "ITEM-9", "itemData" : { "DOI" : "10.1007/s10787-006-1531-7", "ISSN" : "0925-4692", "PMID" : "17186181", "abstract" : "Gastric pentadecapeptide BPC 157 (GEPPPGKPADDAGLV, M.W. 1419, safe in clinical trials for inflammatory bowel disease (PL 10, PLD 116, PLD 14736, Pliva, Croatia)) has a particular cytoprotective/adaptive cytoprotective activity. The cytoprotective/adaptive cytoprotection researches largely neglect that stomach distension could per se jeopardize the mucosal integrity, with constantly stretched mucosa and blood vessels, and sphincters more prone for reflux induction. After absolute alcohol instillation in fully distended rat stomach, gastric, esophageal and duodenal lesions occur. Throughout next 3 min, left gastric artery blood vessels clearly disappear at the serosal site, indicative for loss of vessels both integrity and function. Contrary, constant vessels presentation could predict the beneficial effect of applied agent. After pentadecapeptide BPC 157 instillation into the stomach the vessels presentation remains constant, and lesions of stomach, esophagus, and duodenum are inhibited. Standards (atropine, ranitidine, omeprazole) could only slightly improve the vessels presentation compared to control values, and they have only a partial effect on the lesions. In this review we emphasize BPC 157 unusual stability, and some of its important effects: effectiveness against various lesions in gastrointestinal tract, on nitric oxide (NO)-system, and NO-agents effects, on somatosensory neurons, salivary glands function, recovery of AMP-ADP-ATP system, endothelium protection, effect on endothelin, and on angiogenesis promotion. It also antagonizes other alcohol effects, including acute and chronic intoxication. Given peripherally, it counteracts the consequence of central dopamine system disturbances (receptor blockade), and induces serotonin release in substantia nigra. Therapeutic potential of BPC 157 as a cytoprotective agent is also seen in its capability to heal various wounds. Given directly into the stomach, BPC 157 instantly recovers disturbed lower esophageal and pyloric sphincter pressure in rats after 12-20 months of untreated esophagitis. All these could be suggestive for its role as a natural protectant in gastric juice with particular function throughout stomach distension.", "author" : [ { "dropping-particle" : "", "family" : "Sikiric", "given" : "P.", "non-dropping-particle" : "", "parse-names" : false, "suffix" : "" }, { "dropping-particle" : "", "family" : "Seiwerth", "given" : "S.", "non-dropping-particle" : "", "parse-names" : false, "suffix" : "" }, { "dropping-particle" : "", "family" : "Brcic", "given" : "L.", "non-dropping-particle" : "", "parse-names" : false, "suffix" : "" }, { "dropping-particle" : "", "family" : "Blagaic", "given" : "A B", "non-dropping-particle" : "", "parse-names" : false, "suffix" : "" }, { "dropping-particle" : "", "family" : "Zoricic", "given" : "I.", "non-dropping-particle" : "", "parse-names" : false, "suffix" : "" }, { "dropping-particle" : "", "family" : "Sever", "given" : "M.", "non-dropping-particle" : "", "parse-names" : false, "suffix" : "" }, { "dropping-particle" : "", "family" : "Klicek", "given" : "R.", "non-dropping-particle" : "", "parse-names" : false, "suffix" : "" }, { "dropping-particle" : "", "family" : "Radic", "given" : "B.", "non-dropping-particle" : "", "parse-names" : false, "suffix" : "" }, { "dropping-particle" : "", "family" : "Keller", "given" : "N.", "non-dropping-particle" : "", "parse-names" : false, "suffix" : "" }, { "dropping-particle" : "", "family" : "Sipos", "given" : "K.", "non-dropping-particle" : "", "parse-names" : false, "suffix" : "" }, { "dropping-particle" : "", "family" : "Jakir", "given" : "A.", "non-dropping-particle" : "", "parse-names" : false, "suffix" : "" }, { "dropping-particle" : "", "family" : "Udovicic", "given" : "M.", "non-dropping-particle" : "", "parse-names" : false, "suffix" : "" }, { "dropping-particle" : "", "family" : "Tonkic", "given" : "A.", "non-dropping-particle" : "", "parse-names" : false, "suffix" : "" }, { "dropping-particle" : "", "family" : "Kokic", "given" : "N.", "non-dropping-particle" : "", "parse-names" : false, "suffix" : "" }, { "dropping-particle" : "", "family" : "Turkovic", "given" : "B.", "non-dropping-particle" : "", "parse-names" : false, "suffix" : "" }, { "dropping-particle" : "", "family" : "Mise", "given" : "S.", "non-dropping-particle" : "", "parse-names" : false, "suffix" : "" }, { "dropping-particle" : "", "family" : "Anic", "given" : "T.", "non-dropping-particle" : "", "parse-names" : false, "suffix" : "" } ], "container-title" : "Inflammopharmacology", "id" : "ITEM-9", "issue" : "5-6", "issued" : { "date-parts" : [ [ "2006", "12" ] ] }, "page" : "214-21", "title" : "Stable gastric pentadecapeptide BPC 157 in trials for inflammatory bowel disease (PL-10, PLD-116, PL 14736, Pliva, Croatia). Full and distended stomach, and vascular response.", "type" : "article-journal", "volume" : "14" }, "uris" : [ "http://www.mendeley.com/documents/?uuid=a21321d3-6201-3777-b54c-60d2c5d4ff9a" ] }, { "id" : "ITEM-10", "itemData" : { "DOI" : "10.1016/0928-4257(93)90038-U", "ISSN" : "0928-4257", "PMID" : "8298609", "abstract" : "The possibility that the stomach, affected by general stress, might initiate a counter-response has not until recently been considered in theories of stress. We suggest that the stomach, as the most sensitive part of the gastrointestinal tract and the largest neuroendocrine organ in the body, is crucial for the initiation of a full stress response against all noxious stress pathology. The end result would be a strong protection of all organs invaded by 'stress'. Consistent with this assumption, this coping response is best explained in terms of 'organoprotection'. Endogenous organoprotectors (eg prostaglandins, somatostatin, dopamine) are proposed as mediators. Such an endogenous counteraction could even be afforded by their suitable application. A new gastric juice peptide, M(r) 40,000, named BPC, was recently isolated. Herein, a 15 amino acid fragment (BPC 157), thought to be essential for its activity, has been fully characterized and investigated. As has been demonstrated for many organoprotective agents using different models of various tissue lesions, despite the poorly understood final mechanism, practically all organ systems appear to benefit from BPC activity. These effects have been achieved in many species using very low dosages (mostly microgram and ng/kg range) after ip, ig, and intramucosal (local) application. The effect was apparent already after one application. Long lasting activity was also demonstrated. BPC was highly effective when applied simultaneously with noxious agents or in already pathological, as well as chronical, conditions. Therefore, it seems that BPC treatment does not share any of the so far known limitations for 'conventional organoprotectors'. No influence on different basal parameters and no toxicity were observed. These findings provide a breakthrough in stress theory. BPC, as a possible endogenous free radical scavenger and organoprotection mediator, could be a useful prototype of a new class of drugs, organoprotective agents.", "author" : [ { "dropping-particle" : "", "family" : "Sikiri\u0107", "given" : "P.", "non-dropping-particle" : "", "parse-names" : false, "suffix" : "" }, { "dropping-particle" : "", "family" : "Petek", "given" : "M.", "non-dropping-particle" : "", "parse-names" : false, "suffix" : "" }, { "dropping-particle" : "", "family" : "Rucman", "given" : "R", "non-dropping-particle" : "", "parse-names" : false, "suffix" : "" }, { "dropping-particle" : "", "family" : "Seiwerth", "given" : "S.", "non-dropping-particle" : "", "parse-names" : false, "suffix" : "" }, { "dropping-particle" : "", "family" : "Grabarevi\u0107", "given" : "Z.", "non-dropping-particle" : "", "parse-names" : false, "suffix" : "" }, { "dropping-particle" : "", "family" : "Rotkvi\u0107", "given" : "I.", "non-dropping-particle" : "", "parse-names" : false, "suffix" : "" }, { "dropping-particle" : "", "family" : "Turkovi\u0107", "given" : "B.", "non-dropping-particle" : "", "parse-names" : false, "suffix" : "" }, { "dropping-particle" : "", "family" : "Jagi\u0107", "given" : "V.", "non-dropping-particle" : "", "parse-names" : false, "suffix" : "" }, { "dropping-particle" : "", "family" : "Mildner", "given" : "B.", "non-dropping-particle" : "", "parse-names" : false, "suffix" : "" }, { "dropping-particle" : "", "family" : "Duvnjak", "given" : "M.", "non-dropping-particle" : "", "parse-names" : false, "suffix" : "" } ], "container-title" : "Journal of physiology, Paris", "id" : "ITEM-10", "issue" : "5", "issued" : { "date-parts" : [ [ "1993" ] ] }, "page" : "313-27", "title" : "A new gastric juice peptide, BPC. An overview of the stomach-stress-organoprotection hypothesis and beneficial effects of BPC.", "type" : "article-journal", "volume" : "87" }, "uris" : [ "http://www.mendeley.com/documents/?uuid=f738bbb1-8d16-31eb-a5d7-6f273100aa96" ] } ], "mendeley" : { "formattedCitation" : "&lt;sup&gt;[1\u201310]&lt;/sup&gt;", "plainTextFormattedCitation" : "[1\u201310]", "previouslyFormattedCitation" : "(Seiwerth et al., 2014; Sikiric et al., 2017, 2016, 2014, 2013, 2012, 2011, 2010, 2006; Sikiri\u0107 et al., 1993)" }, "properties" : {  }, "schema" : "https://github.com/citation-style-language/schema/raw/master/csl-citation.json" }</w:instrText>
      </w:r>
      <w:r w:rsidR="000D4D1A" w:rsidRPr="00CC34A3">
        <w:rPr>
          <w:rFonts w:ascii="Book Antiqua" w:eastAsia="Calibri" w:hAnsi="Book Antiqua" w:cs="Courier New"/>
          <w:color w:val="000000" w:themeColor="text1"/>
          <w:sz w:val="24"/>
          <w:szCs w:val="24"/>
          <w:lang w:val="en-US"/>
        </w:rPr>
        <w:fldChar w:fldCharType="separate"/>
      </w:r>
      <w:r w:rsidR="000D4D1A" w:rsidRPr="00CC34A3">
        <w:rPr>
          <w:rFonts w:ascii="Book Antiqua" w:eastAsia="Calibri" w:hAnsi="Book Antiqua" w:cs="Courier New"/>
          <w:color w:val="000000" w:themeColor="text1"/>
          <w:sz w:val="24"/>
          <w:szCs w:val="24"/>
          <w:vertAlign w:val="superscript"/>
          <w:lang w:val="en-US"/>
        </w:rPr>
        <w:t>[1–10]</w:t>
      </w:r>
      <w:r w:rsidR="000D4D1A" w:rsidRPr="00CC34A3">
        <w:rPr>
          <w:rFonts w:ascii="Book Antiqua" w:eastAsia="Calibri" w:hAnsi="Book Antiqua" w:cs="Courier New"/>
          <w:color w:val="000000" w:themeColor="text1"/>
          <w:sz w:val="24"/>
          <w:szCs w:val="24"/>
          <w:lang w:val="en-US"/>
        </w:rPr>
        <w:fldChar w:fldCharType="end"/>
      </w:r>
      <w:r w:rsidR="000D4D1A" w:rsidRPr="00CC34A3">
        <w:rPr>
          <w:rFonts w:ascii="Book Antiqua" w:hAnsi="Book Antiqua" w:cs="Courier New"/>
          <w:color w:val="000000" w:themeColor="text1"/>
          <w:sz w:val="24"/>
          <w:szCs w:val="24"/>
          <w:lang w:val="en-US"/>
        </w:rPr>
        <w:t>. In addition, the comparative effectiveness of BPC 157 when instilled into the stomach supports this contention of a prototype of a more effective class of cytoprotective agents.</w:t>
      </w:r>
    </w:p>
    <w:p w14:paraId="72E7E88E" w14:textId="6D8C2AE1" w:rsidR="005E3D33" w:rsidRPr="00CC34A3" w:rsidRDefault="00904275" w:rsidP="00CC34A3">
      <w:pPr>
        <w:pStyle w:val="Title3"/>
        <w:adjustRightInd w:val="0"/>
        <w:snapToGrid w:val="0"/>
        <w:spacing w:before="0" w:beforeAutospacing="0" w:after="0" w:afterAutospacing="0" w:line="360" w:lineRule="auto"/>
        <w:jc w:val="both"/>
        <w:rPr>
          <w:rFonts w:ascii="Book Antiqua" w:hAnsi="Book Antiqua"/>
          <w:color w:val="000000" w:themeColor="text1"/>
          <w:lang w:val="en-US"/>
        </w:rPr>
      </w:pPr>
      <w:r w:rsidRPr="00CC34A3">
        <w:rPr>
          <w:rFonts w:ascii="Book Antiqua" w:eastAsiaTheme="minorEastAsia" w:hAnsi="Book Antiqua"/>
          <w:color w:val="000000" w:themeColor="text1"/>
          <w:lang w:val="en-US" w:eastAsia="en-US"/>
        </w:rPr>
        <w:t xml:space="preserve">  </w:t>
      </w:r>
      <w:r w:rsidR="00E56655" w:rsidRPr="00CC34A3">
        <w:rPr>
          <w:rFonts w:ascii="Book Antiqua" w:hAnsi="Book Antiqua"/>
          <w:color w:val="000000" w:themeColor="text1"/>
          <w:lang w:val="en-US"/>
        </w:rPr>
        <w:t xml:space="preserve">In conclusion, </w:t>
      </w:r>
      <w:r w:rsidR="0058195A" w:rsidRPr="00CC34A3">
        <w:rPr>
          <w:rFonts w:ascii="Book Antiqua" w:hAnsi="Book Antiqua"/>
          <w:color w:val="000000" w:themeColor="text1"/>
          <w:lang w:val="en-US"/>
        </w:rPr>
        <w:t xml:space="preserve">this study provides evidence </w:t>
      </w:r>
      <w:r w:rsidR="00EB7476" w:rsidRPr="00CC34A3">
        <w:rPr>
          <w:rFonts w:ascii="Book Antiqua" w:hAnsi="Book Antiqua"/>
          <w:color w:val="000000" w:themeColor="text1"/>
          <w:lang w:val="en-US"/>
        </w:rPr>
        <w:t xml:space="preserve">for </w:t>
      </w:r>
      <w:r w:rsidR="0058195A" w:rsidRPr="00CC34A3">
        <w:rPr>
          <w:rFonts w:ascii="Book Antiqua" w:hAnsi="Book Antiqua"/>
          <w:color w:val="000000" w:themeColor="text1"/>
          <w:lang w:val="en-US"/>
        </w:rPr>
        <w:t xml:space="preserve">a </w:t>
      </w:r>
      <w:r w:rsidR="00EB7476" w:rsidRPr="00CC34A3">
        <w:rPr>
          <w:rFonts w:ascii="Book Antiqua" w:hAnsi="Book Antiqua"/>
          <w:color w:val="000000" w:themeColor="text1"/>
          <w:lang w:val="en-US"/>
        </w:rPr>
        <w:t xml:space="preserve">“bypassing” effect combined with </w:t>
      </w:r>
      <w:r w:rsidR="002456AD" w:rsidRPr="00CC34A3">
        <w:rPr>
          <w:rFonts w:ascii="Book Antiqua" w:hAnsi="Book Antiqua"/>
          <w:color w:val="000000" w:themeColor="text1"/>
          <w:lang w:val="en-US"/>
        </w:rPr>
        <w:t>mucosal integrity (</w:t>
      </w:r>
      <w:r w:rsidR="002456AD" w:rsidRPr="00CC34A3">
        <w:rPr>
          <w:rFonts w:ascii="Book Antiqua" w:hAnsi="Book Antiqua"/>
          <w:i/>
          <w:color w:val="000000" w:themeColor="text1"/>
          <w:lang w:val="en-US"/>
        </w:rPr>
        <w:t>i.e.</w:t>
      </w:r>
      <w:r w:rsidR="002456AD" w:rsidRPr="00CC34A3">
        <w:rPr>
          <w:rFonts w:ascii="Book Antiqua" w:hAnsi="Book Antiqua"/>
          <w:color w:val="000000" w:themeColor="text1"/>
          <w:lang w:val="en-US"/>
        </w:rPr>
        <w:t xml:space="preserve">, </w:t>
      </w:r>
      <w:r w:rsidR="00EB7476" w:rsidRPr="00CC34A3">
        <w:rPr>
          <w:rFonts w:ascii="Book Antiqua" w:hAnsi="Book Antiqua"/>
          <w:color w:val="000000" w:themeColor="text1"/>
          <w:lang w:val="en-US"/>
        </w:rPr>
        <w:t xml:space="preserve">duodenum and colon) </w:t>
      </w:r>
      <w:r w:rsidR="002456AD" w:rsidRPr="00CC34A3">
        <w:rPr>
          <w:rFonts w:ascii="Book Antiqua" w:hAnsi="Book Antiqua"/>
          <w:color w:val="000000" w:themeColor="text1"/>
          <w:lang w:val="en-US"/>
        </w:rPr>
        <w:t>or major vessel obstruction</w:t>
      </w:r>
      <w:r w:rsidR="007B17EE" w:rsidRPr="00CC34A3">
        <w:rPr>
          <w:rFonts w:ascii="Book Antiqua" w:hAnsi="Book Antiqua"/>
          <w:color w:val="000000" w:themeColor="text1"/>
          <w:lang w:val="en-US"/>
        </w:rPr>
        <w:t xml:space="preserve"> made harmless</w:t>
      </w:r>
      <w:r w:rsidR="00A526CA" w:rsidRPr="00CC34A3">
        <w:rPr>
          <w:rFonts w:ascii="Book Antiqua" w:eastAsia="Calibri" w:hAnsi="Book Antiqua"/>
          <w:color w:val="000000" w:themeColor="text1"/>
          <w:lang w:val="en-US" w:eastAsia="en-US"/>
        </w:rPr>
        <w:fldChar w:fldCharType="begin" w:fldLock="1"/>
      </w:r>
      <w:r w:rsidR="00317D7F" w:rsidRPr="00CC34A3">
        <w:rPr>
          <w:rFonts w:ascii="Book Antiqua" w:eastAsia="Calibri" w:hAnsi="Book Antiqua"/>
          <w:color w:val="000000" w:themeColor="text1"/>
          <w:lang w:val="en-US" w:eastAsia="en-US"/>
        </w:rPr>
        <w:instrText>ADDIN CSL_CITATION { "citationItems" : [ { "id" : "ITEM-1", "itemData" : { "DOI" : "10.3748/wjg.v23.i48.8465", "ISSN" : "2219-2840", "PMID" : "29358856", "abstract" : "AIM To provide new insights in treatment of colitis and ischemia and reperfusion in rats using stable gastric pentadecapeptide BPC 157. METHODS Medication [BPC 157, L-NAME, L-arginine (alone/combined), saline] was bath at the blood deprived colon segment. During reperfusion, medication was BPC 157 or saline. We recorded (USB microscope camera) vessel presentation through next 15 min of ischemic colitis (IC-rats) or reperfusion (removed ligations) (IC + RL-rats); oxidative stress as MDA (increased (IC- and IC + RL-rats)) and NO levels (decreased (IC-rats); increased (IC + RL-rats)) in colon tissue. IC + OB-rats [IC-rats had additional colon obstruction (OB)] for 3 d (IC + OB-rats), then received BPC 157 bath. RESULTS Commonly, in colon segment (25 mm, 2 ligations on left colic artery and vein, 3 arcade vessels within ligated segment), in IC-, IC + RL-, IC + OB-rats, BPC 157 (10 \u03bcg/kg) bath (1 mL/rat) increased vessel presentation, inside/outside arcade interconnections quickly reappeared, mucosal folds were preserved and the pale areas were small and markedly reduced. BPC 157 counteracted worsening effects induced by L-NAME (5 mg) and L-arginine (100 mg). MDA- and NO-levels were normal in BPC 157 treated IC-rats and IC + RL-rats. In addition, on day 10, BPC 157-treated IC + OB-rats presented almost completely spared mucosa with very small pale areas and no gross mucosal defects; the treated colon segment was of normal diameter, and only small adhesions were present. CONCLUSION BPC 157 is a fundamental treatment that quickly restores blood supply to the ischemically injured area and rapidly activates collaterals. This effect involves the NO system.", "author" : [ { "dropping-particle" : "", "family" : "Duzel", "given" : "Antonija", "non-dropping-particle" : "", "parse-names" : false, "suffix" : "" }, { "dropping-particle" : "", "family" : "Vlainic", "given" : "Josipa", "non-dropping-particle" : "", "parse-names" : false, "suffix" : "" }, { "dropping-particle" : "", "family" : "Antunovic", "given" : "Marko", "non-dropping-particle" : "", "parse-names" : false, "suffix" : "" }, { "dropping-particle" : "", "family" : "Malekinusic", "given" : "Dominik", "non-dropping-particle" : "", "parse-names" : false, "suffix" : "" }, { "dropping-particle" : "", "family" : "Vrdoljak", "given" : "Borna", "non-dropping-particle" : "", "parse-names" : false, "suffix" : "" }, { "dropping-particle" : "", "family" : "Samara", "given" : "Mariam", "non-dropping-particle" : "", "parse-names" : false, "suffix" : "" }, { "dropping-particle" : "", "family" : "Gojkovic", "given" : "Slaven", "non-dropping-particle" : "", "parse-names" : false, "suffix" : "" }, { "dropping-particle" : "", "family" : "Krezic", "given" : "Ivan", "non-dropping-particle" : "", "parse-names" : false, "suffix" : "" }, { "dropping-particle" : "", "family" : "Vidovic", "given" : "Tinka", "non-dropping-particle" : "", "parse-names" : false, "suffix" : "" }, { "dropping-particle" : "", "family" : "Bilic", "given" : "Zdenko", "non-dropping-particle" : "", "parse-names" : false, "suffix" : "" }, { "dropping-particle" : "", "family" : "Knezevic", "given" : "Mario", "non-dropping-particle" : "", "parse-names" : false, "suffix" : "" }, { "dropping-particle" : "", "family" : "Sever", "given" : "Marko", "non-dropping-particle" : "", "parse-names" : false, "suffix" : "" }, { "dropping-particle" : "", "family" : "Lojo", "given" : "Nermin", "non-dropping-particle" : "", "parse-names" : false, "suffix" : "" }, { "dropping-particle" : "", "family" : "Kokot", "given" : "Antonio", "non-dropping-particle" : "", "parse-names" : false, "suffix" : "" }, { "dropping-particle" : "", "family" : "Kolovrat", "given" : "Marijan", "non-dropping-particle" : "", "parse-names" : false, "suffix" : "" }, { "dropping-particle" : "", "family" : "Drmic", "given" : "Domagoj", "non-dropping-particle" : "", "parse-names" : false, "suffix" : "" }, { "dropping-particle" : "", "family" : "Vukojevic", "given" : "Jaksa", "non-dropping-particle" : "", "parse-names" : false, "suffix" : "" }, { "dropping-particle" : "", "family" : "Kralj", "given" : "Tamara", "non-dropping-particle" : "", "parse-names" : false, "suffix" : "" }, { "dropping-particle" : "", "family" : "Kasnik", "given" : "Katarina", "non-dropping-particle" : "", "parse-names" : false, "suffix" : "" }, { "dropping-particle" : "", "family" : "Siroglavic", "given" : "Marko", "non-dropping-particle" : "", "parse-names" : false, "suffix" : "" }, { "dropping-particle" : "", "family" : "Seiwerth", "given" : "Sven", "non-dropping-particle" : "", "parse-names" : false, "suffix" : "" }, { "dropping-particle" : "", "family" : "Sikiric", "given" : "Predrag", "non-dropping-particle" : "", "parse-names" : false, "suffix" : "" } ], "container-title" : "World journal of gastroenterology", "id" : "ITEM-1", "issue" : "48", "issued" : { "date-parts" : [ [ "2017", "12", "28" ] ] }, "page" : "8465-8488", "title" : "Stable gastric pentadecapeptide BPC 157 in the treatment of colitis and ischemia and reperfusion in rats: New insights.", "type" : "article-journal", "volume" : "23" }, "uris" : [ "http://www.mendeley.com/documents/?uuid=2c34d292-0140-3a84-912b-63eda51db635" ] }, { "id" : "ITEM-2", "itemData" : { "DOI" : "10.1016/j.vph.2018.02.010", "ISSN" : "18793649", "abstract" : "\u00a9 2018 Elsevier Inc. Rat inferior caval vein (ICV) ligation (up to the right ovarian vein (ROV)) commonly represents a recapitulation of Virchow: with ligation leading to vessel injury, stasis, thrombosis and hemodynamic changes. We revealed that BPC 157's therapy collectively attenuated or counteracted all these events and the full syndrome. Methods: We applied BPC 157 (10 \u03bcg, 10 ng/kg) as an early regimen or as a delayed therapy. Assessment includes gross assessment by microcamera; microscopy, venography, bleeding, blood pressure, ECG, thermography, MDA and NO-level in plasma and ICV, and gene expression. Results: Direct vein injury, thrombosis, thrombocytopenia, prolonged bleeding were all counteracted. Also, rapid presentation of collaterals and redistribution of otherwise trapped blood volume (bypassing through the left ovarian vein (LOV) and other veins), with venous hypertension, arterial hypotension and tachycardia counteraction were shown. BPC 157-rats presented raised plasma NO-values, but normal MDA-values; in ICV tissue reverted low NO-values and counteracted increased MDA-levels. Altered expression of EGR, NOS, SRF, VEGFR and KRAS in ICV, ROV and LOV revealed increased or decreased levels, while some genes continuously remained unchanged. Conclusion: As a new insight, BPC 157 application largely attenuated or even completely eliminated all consequences of ICV ligation in rats.", "author" : [ { "dropping-particle" : "", "family" : "Vukojevi\u0107", "given" : "J.", "non-dropping-particle" : "", "parse-names" : false, "suffix" : "" }, { "dropping-particle" : "", "family" : "Siroglavi\u0107", "given" : "M.", "non-dropping-particle" : "", "parse-names" : false, "suffix" : "" }, { "dropping-particle" : "", "family" : "Ka\u0161nik", "given" : "K.", "non-dropping-particle" : "", "parse-names" : false, "suffix" : "" }, { "dropping-particle" : "", "family" : "Kralj", "given" : "T.", "non-dropping-particle" : "", "parse-names" : false, "suffix" : "" }, { "dropping-particle" : "", "family" : "Stan\u0107i\u0107", "given" : "D.", "non-dropping-particle" : "", "parse-names" : false, "suffix" : "" }, { "dropping-particle" : "", "family" : "Kokot", "given" : "A.", "non-dropping-particle" : "", "parse-names" : false, "suffix" : "" }, { "dropping-particle" : "", "family" : "Kolari\u0107", "given" : "D.", "non-dropping-particle" : "", "parse-names" : false, "suffix" : "" }, { "dropping-particle" : "", "family" : "Drmi\u0107", "given" : "D.", "non-dropping-particle" : "", "parse-names" : false, "suffix" : "" }, { "dropping-particle" : "", "family" : "Sever", "given" : "A.Z.", "non-dropping-particle" : "", "parse-names" : false, "suffix" : "" }, { "dropping-particle" : "", "family" : "Bari\u0161i\u0107", "given" : "I.", "non-dropping-particle" : "", "parse-names" : false, "suffix" : "" }, { "dropping-particle" : "", "family" : "\u0160uran", "given" : "J.", "non-dropping-particle" : "", "parse-names" : false, "suffix" : "" }, { "dropping-particle" : "", "family" : "Boji\u0107", "given" : "D.", "non-dropping-particle" : "", "parse-names" : false, "suffix" : "" }, { "dropping-particle" : "", "family" : "Patrlj", "given" : "M.H.", "non-dropping-particle" : "", "parse-names" : false, "suffix" : "" }, { "dropping-particle" : "", "family" : "Sjekavica", "given" : "I.", "non-dropping-particle" : "", "parse-names" : false, "suffix" : "" }, { "dropping-particle" : "", "family" : "Pavlov", "given" : "K.H.", "non-dropping-particle" : "", "parse-names" : false, "suffix" : "" }, { "dropping-particle" : "", "family" : "Vidovi\u0107", "given" : "T.", "non-dropping-particle" : "", "parse-names" : false, "suffix" : "" }, { "dropping-particle" : "", "family" : "Vlaini\u0107", "given" : "J.", "non-dropping-particle" : "", "parse-names" : false, "suffix" : "" }, { "dropping-particle" : "", "family" : "Stupni\u0161ek", "given" : "M.", "non-dropping-particle" : "", "parse-names" : false, "suffix" : "" }, { "dropping-particle" : "", "family" : "Seiwerth", "given" : "S.", "non-dropping-particle" : "", "parse-names" : false, "suffix" : "" }, { "dropping-particle" : "", "family" : "Sikiri\u0107", "given" : "P.", "non-dropping-particle" : "", "parse-names" : false, "suffix" : "" } ], "container-title" : "Vascular Pharmacology", "id" : "ITEM-2", "issued" : { "date-parts" : [ [ "2018" ] ] }, "page" : "54-66", "title" : "Rat inferior caval vein (ICV) ligature and particular new insights with the stable gastric pentadecapeptide BPC 157", "type" : "article-journal", "volume" : "106" }, "uris" : [ "http://www.mendeley.com/documents/?uuid=0d4e894c-6fc1-3bed-bb8f-4b56e696ff06" ] } ], "mendeley" : { "formattedCitation" : "&lt;sup&gt;[15,16]&lt;/sup&gt;", "plainTextFormattedCitation" : "[15,16]", "previouslyFormattedCitation" : "(Duzel et al., 2017; Vukojevi\u0107 et al., 2018)" }, "properties" : {  }, "schema" : "https://github.com/citation-style-language/schema/raw/master/csl-citation.json" }</w:instrText>
      </w:r>
      <w:r w:rsidR="00A526CA" w:rsidRPr="00CC34A3">
        <w:rPr>
          <w:rFonts w:ascii="Book Antiqua" w:eastAsia="Calibri" w:hAnsi="Book Antiqua"/>
          <w:color w:val="000000" w:themeColor="text1"/>
          <w:lang w:val="en-US" w:eastAsia="en-US"/>
        </w:rPr>
        <w:fldChar w:fldCharType="separate"/>
      </w:r>
      <w:r w:rsidR="00317D7F" w:rsidRPr="00CC34A3">
        <w:rPr>
          <w:rFonts w:ascii="Book Antiqua" w:eastAsia="Calibri" w:hAnsi="Book Antiqua"/>
          <w:color w:val="000000" w:themeColor="text1"/>
          <w:vertAlign w:val="superscript"/>
          <w:lang w:val="en-US" w:eastAsia="en-US"/>
        </w:rPr>
        <w:t>[15,16]</w:t>
      </w:r>
      <w:r w:rsidR="00A526CA" w:rsidRPr="00CC34A3">
        <w:rPr>
          <w:rFonts w:ascii="Book Antiqua" w:eastAsia="Calibri" w:hAnsi="Book Antiqua"/>
          <w:color w:val="000000" w:themeColor="text1"/>
          <w:lang w:val="en-US" w:eastAsia="en-US"/>
        </w:rPr>
        <w:fldChar w:fldCharType="end"/>
      </w:r>
      <w:r w:rsidR="007B17EE" w:rsidRPr="00CC34A3">
        <w:rPr>
          <w:rFonts w:ascii="Book Antiqua" w:hAnsi="Book Antiqua"/>
          <w:color w:val="000000" w:themeColor="text1"/>
          <w:lang w:val="en-US"/>
        </w:rPr>
        <w:t xml:space="preserve"> </w:t>
      </w:r>
      <w:r w:rsidR="00EB7476" w:rsidRPr="00CC34A3">
        <w:rPr>
          <w:rFonts w:ascii="Book Antiqua" w:hAnsi="Book Antiqua"/>
          <w:color w:val="000000" w:themeColor="text1"/>
          <w:lang w:val="en-US"/>
        </w:rPr>
        <w:t xml:space="preserve">as </w:t>
      </w:r>
      <w:r w:rsidR="00D6681E" w:rsidRPr="00CC34A3">
        <w:rPr>
          <w:rFonts w:ascii="Book Antiqua" w:hAnsi="Book Antiqua"/>
          <w:color w:val="000000" w:themeColor="text1"/>
          <w:lang w:val="en-US"/>
        </w:rPr>
        <w:t xml:space="preserve">observed after </w:t>
      </w:r>
      <w:r w:rsidR="00EB7476" w:rsidRPr="00CC34A3">
        <w:rPr>
          <w:rFonts w:ascii="Book Antiqua" w:hAnsi="Book Antiqua"/>
          <w:color w:val="000000" w:themeColor="text1"/>
          <w:lang w:val="en-US"/>
        </w:rPr>
        <w:t xml:space="preserve">BPC 157 </w:t>
      </w:r>
      <w:r w:rsidR="00D6681E" w:rsidRPr="00CC34A3">
        <w:rPr>
          <w:rFonts w:ascii="Book Antiqua" w:hAnsi="Book Antiqua"/>
          <w:color w:val="000000" w:themeColor="text1"/>
          <w:lang w:val="en-US"/>
        </w:rPr>
        <w:t>treatment, which can</w:t>
      </w:r>
      <w:r w:rsidR="00EB7476" w:rsidRPr="00CC34A3">
        <w:rPr>
          <w:rFonts w:ascii="Book Antiqua" w:hAnsi="Book Antiqua"/>
          <w:color w:val="000000" w:themeColor="text1"/>
          <w:lang w:val="en-US"/>
        </w:rPr>
        <w:t xml:space="preserve"> be regarded as an implementation of </w:t>
      </w:r>
      <w:r w:rsidR="00D6681E" w:rsidRPr="00CC34A3">
        <w:rPr>
          <w:rFonts w:ascii="Book Antiqua" w:hAnsi="Book Antiqua"/>
          <w:color w:val="000000" w:themeColor="text1"/>
          <w:lang w:val="en-US"/>
        </w:rPr>
        <w:t xml:space="preserve">the </w:t>
      </w:r>
      <w:r w:rsidR="00EB7476" w:rsidRPr="00CC34A3">
        <w:rPr>
          <w:rFonts w:ascii="Book Antiqua" w:hAnsi="Book Antiqua"/>
          <w:color w:val="000000" w:themeColor="text1"/>
          <w:lang w:val="en-US"/>
        </w:rPr>
        <w:t xml:space="preserve">original </w:t>
      </w:r>
      <w:proofErr w:type="spellStart"/>
      <w:r w:rsidR="00EB7476" w:rsidRPr="00CC34A3">
        <w:rPr>
          <w:rFonts w:ascii="Book Antiqua" w:hAnsi="Book Antiqua"/>
          <w:color w:val="000000" w:themeColor="text1"/>
          <w:lang w:val="en-US"/>
        </w:rPr>
        <w:t>cytoprotection</w:t>
      </w:r>
      <w:proofErr w:type="spellEnd"/>
      <w:r w:rsidR="00EB7476" w:rsidRPr="00CC34A3">
        <w:rPr>
          <w:rFonts w:ascii="Book Antiqua" w:hAnsi="Book Antiqua"/>
          <w:color w:val="000000" w:themeColor="text1"/>
          <w:lang w:val="en-US"/>
        </w:rPr>
        <w:t xml:space="preserve"> concept in vascular occlusion therapy. </w:t>
      </w:r>
    </w:p>
    <w:p w14:paraId="45D195C8" w14:textId="77777777" w:rsidR="005E3D33" w:rsidRPr="00CC34A3" w:rsidRDefault="005E3D33" w:rsidP="00CC34A3">
      <w:pPr>
        <w:pStyle w:val="Title3"/>
        <w:adjustRightInd w:val="0"/>
        <w:snapToGrid w:val="0"/>
        <w:spacing w:before="0" w:beforeAutospacing="0" w:after="0" w:afterAutospacing="0" w:line="360" w:lineRule="auto"/>
        <w:jc w:val="both"/>
        <w:rPr>
          <w:rFonts w:ascii="Book Antiqua" w:hAnsi="Book Antiqua"/>
          <w:color w:val="000000" w:themeColor="text1"/>
          <w:lang w:val="en-US"/>
        </w:rPr>
      </w:pPr>
    </w:p>
    <w:p w14:paraId="1D3934BC" w14:textId="77777777" w:rsidR="000B6B6F" w:rsidRPr="00CC34A3" w:rsidRDefault="000B6B6F" w:rsidP="00CC34A3">
      <w:pPr>
        <w:adjustRightInd w:val="0"/>
        <w:snapToGrid w:val="0"/>
        <w:spacing w:after="0" w:line="360" w:lineRule="auto"/>
        <w:jc w:val="both"/>
        <w:outlineLvl w:val="0"/>
        <w:rPr>
          <w:rFonts w:ascii="Book Antiqua" w:eastAsia="SimSun" w:hAnsi="Book Antiqua" w:cs="SimSun"/>
          <w:b/>
          <w:caps/>
          <w:color w:val="000000" w:themeColor="text1"/>
          <w:sz w:val="24"/>
          <w:szCs w:val="24"/>
          <w:lang w:val="en-US" w:eastAsia="zh-CN"/>
        </w:rPr>
      </w:pPr>
      <w:bookmarkStart w:id="24" w:name="OLE_LINK43"/>
      <w:r w:rsidRPr="00CC34A3">
        <w:rPr>
          <w:rFonts w:ascii="Book Antiqua" w:eastAsia="SimSun" w:hAnsi="Book Antiqua" w:cs="Segoe UI"/>
          <w:b/>
          <w:caps/>
          <w:color w:val="000000" w:themeColor="text1"/>
          <w:sz w:val="24"/>
          <w:szCs w:val="24"/>
          <w:shd w:val="clear" w:color="auto" w:fill="FFFFFF"/>
          <w:lang w:val="en-US" w:eastAsia="zh-CN"/>
        </w:rPr>
        <w:t xml:space="preserve">Article Highlights  </w:t>
      </w:r>
    </w:p>
    <w:p w14:paraId="36A8D24F" w14:textId="77777777" w:rsidR="000B6B6F" w:rsidRPr="00CC34A3" w:rsidRDefault="000B6B6F" w:rsidP="00CC34A3">
      <w:pPr>
        <w:adjustRightInd w:val="0"/>
        <w:snapToGrid w:val="0"/>
        <w:spacing w:after="0" w:line="360" w:lineRule="auto"/>
        <w:jc w:val="both"/>
        <w:outlineLvl w:val="0"/>
        <w:rPr>
          <w:rFonts w:ascii="Book Antiqua" w:eastAsia="SimSun" w:hAnsi="Book Antiqua" w:cs="SimSun"/>
          <w:b/>
          <w:i/>
          <w:color w:val="000000" w:themeColor="text1"/>
          <w:sz w:val="24"/>
          <w:szCs w:val="24"/>
          <w:lang w:val="en-US" w:eastAsia="zh-CN"/>
        </w:rPr>
      </w:pPr>
      <w:r w:rsidRPr="00CC34A3">
        <w:rPr>
          <w:rFonts w:ascii="Book Antiqua" w:eastAsia="SimSun" w:hAnsi="Book Antiqua" w:cs="SimSun"/>
          <w:b/>
          <w:i/>
          <w:color w:val="000000" w:themeColor="text1"/>
          <w:sz w:val="24"/>
          <w:szCs w:val="24"/>
          <w:lang w:val="en-US" w:eastAsia="zh-CN"/>
        </w:rPr>
        <w:t>Research background</w:t>
      </w:r>
    </w:p>
    <w:p w14:paraId="5FDE0958" w14:textId="58EF6BCA" w:rsidR="0058383B" w:rsidRPr="00CC34A3" w:rsidRDefault="0058383B" w:rsidP="00CC34A3">
      <w:pPr>
        <w:adjustRightInd w:val="0"/>
        <w:snapToGrid w:val="0"/>
        <w:spacing w:after="0" w:line="360" w:lineRule="auto"/>
        <w:jc w:val="both"/>
        <w:rPr>
          <w:rFonts w:ascii="Book Antiqua" w:eastAsia="SimSun" w:hAnsi="Book Antiqua" w:cs="Courier New"/>
          <w:color w:val="000000" w:themeColor="text1"/>
          <w:sz w:val="24"/>
          <w:szCs w:val="24"/>
          <w:lang w:val="en-US" w:eastAsia="zh-CN"/>
        </w:rPr>
      </w:pPr>
      <w:r w:rsidRPr="00CC34A3">
        <w:rPr>
          <w:rFonts w:ascii="Book Antiqua" w:eastAsia="SimSun" w:hAnsi="Book Antiqua" w:cs="Courier New"/>
          <w:color w:val="000000" w:themeColor="text1"/>
          <w:sz w:val="24"/>
          <w:szCs w:val="24"/>
          <w:lang w:val="en-US" w:eastAsia="zh-CN"/>
        </w:rPr>
        <w:t xml:space="preserve">The research background was our recent claim that treatment with the prototype cytoprotective agent, stable gastric </w:t>
      </w:r>
      <w:proofErr w:type="spellStart"/>
      <w:r w:rsidRPr="00CC34A3">
        <w:rPr>
          <w:rFonts w:ascii="Book Antiqua" w:eastAsia="SimSun" w:hAnsi="Book Antiqua" w:cs="Courier New"/>
          <w:color w:val="000000" w:themeColor="text1"/>
          <w:sz w:val="24"/>
          <w:szCs w:val="24"/>
          <w:lang w:val="en-US" w:eastAsia="zh-CN"/>
        </w:rPr>
        <w:t>pentadecapeptide</w:t>
      </w:r>
      <w:proofErr w:type="spellEnd"/>
      <w:r w:rsidRPr="00CC34A3">
        <w:rPr>
          <w:rFonts w:ascii="Book Antiqua" w:eastAsia="SimSun" w:hAnsi="Book Antiqua" w:cs="Courier New"/>
          <w:color w:val="000000" w:themeColor="text1"/>
          <w:sz w:val="24"/>
          <w:szCs w:val="24"/>
          <w:lang w:val="en-US" w:eastAsia="zh-CN"/>
        </w:rPr>
        <w:t xml:space="preserve"> BPC 157, induced bypassing of occlusions in rats that underwent vessel occlusions through the rapid presentation of collaterals. In this study, we focused on the resolving of the duodenal lesions induced by major venous occlusions. These lesions can be counteracted by BPC 157 </w:t>
      </w:r>
      <w:r w:rsidRPr="00CC34A3">
        <w:rPr>
          <w:rFonts w:ascii="Book Antiqua" w:eastAsia="SimSun" w:hAnsi="Book Antiqua" w:cs="Courier New"/>
          <w:color w:val="000000" w:themeColor="text1"/>
          <w:sz w:val="24"/>
          <w:szCs w:val="24"/>
          <w:lang w:val="en-US" w:eastAsia="zh-CN"/>
        </w:rPr>
        <w:lastRenderedPageBreak/>
        <w:t xml:space="preserve">regardless of the involvement of the </w:t>
      </w:r>
      <w:r w:rsidR="00773972" w:rsidRPr="00CC34A3">
        <w:rPr>
          <w:rFonts w:ascii="Book Antiqua" w:eastAsia="SimSun" w:hAnsi="Book Antiqua" w:cs="Courier New"/>
          <w:color w:val="000000" w:themeColor="text1"/>
          <w:sz w:val="24"/>
          <w:szCs w:val="24"/>
          <w:lang w:val="en-US" w:eastAsia="zh-CN"/>
        </w:rPr>
        <w:t>nitric oxide (</w:t>
      </w:r>
      <w:r w:rsidRPr="00CC34A3">
        <w:rPr>
          <w:rFonts w:ascii="Book Antiqua" w:eastAsia="SimSun" w:hAnsi="Book Antiqua" w:cs="Courier New"/>
          <w:color w:val="000000" w:themeColor="text1"/>
          <w:sz w:val="24"/>
          <w:szCs w:val="24"/>
          <w:lang w:val="en-US" w:eastAsia="zh-CN"/>
        </w:rPr>
        <w:t>NO</w:t>
      </w:r>
      <w:r w:rsidR="00773972" w:rsidRPr="00CC34A3">
        <w:rPr>
          <w:rFonts w:ascii="Book Antiqua" w:eastAsia="SimSun" w:hAnsi="Book Antiqua" w:cs="Courier New"/>
          <w:color w:val="000000" w:themeColor="text1"/>
          <w:sz w:val="24"/>
          <w:szCs w:val="24"/>
          <w:lang w:val="en-US" w:eastAsia="zh-CN"/>
        </w:rPr>
        <w:t>)</w:t>
      </w:r>
      <w:r w:rsidRPr="00CC34A3">
        <w:rPr>
          <w:rFonts w:ascii="Book Antiqua" w:eastAsia="SimSun" w:hAnsi="Book Antiqua" w:cs="Courier New"/>
          <w:color w:val="000000" w:themeColor="text1"/>
          <w:sz w:val="24"/>
          <w:szCs w:val="24"/>
          <w:lang w:val="en-US" w:eastAsia="zh-CN"/>
        </w:rPr>
        <w:t xml:space="preserve"> system while recruitment of blood vessels to bypass obstruction may occur quickly.</w:t>
      </w:r>
    </w:p>
    <w:p w14:paraId="1594D9F5" w14:textId="77777777" w:rsidR="00270FB7" w:rsidRPr="00CC34A3" w:rsidRDefault="00270FB7" w:rsidP="00CC34A3">
      <w:pPr>
        <w:adjustRightInd w:val="0"/>
        <w:snapToGrid w:val="0"/>
        <w:spacing w:after="0" w:line="360" w:lineRule="auto"/>
        <w:jc w:val="both"/>
        <w:rPr>
          <w:rFonts w:ascii="Book Antiqua" w:eastAsia="DengXian" w:hAnsi="Book Antiqua" w:cs="SimSun"/>
          <w:color w:val="000000" w:themeColor="text1"/>
          <w:sz w:val="24"/>
          <w:szCs w:val="24"/>
          <w:lang w:val="en-US" w:eastAsia="zh-CN"/>
        </w:rPr>
      </w:pPr>
    </w:p>
    <w:p w14:paraId="188402EF" w14:textId="77777777" w:rsidR="000B6B6F" w:rsidRPr="00CC34A3" w:rsidRDefault="000B6B6F" w:rsidP="00CC34A3">
      <w:pPr>
        <w:adjustRightInd w:val="0"/>
        <w:snapToGrid w:val="0"/>
        <w:spacing w:after="0" w:line="360" w:lineRule="auto"/>
        <w:jc w:val="both"/>
        <w:outlineLvl w:val="0"/>
        <w:rPr>
          <w:rFonts w:ascii="Book Antiqua" w:eastAsia="SimSun" w:hAnsi="Book Antiqua" w:cs="SimSun"/>
          <w:b/>
          <w:i/>
          <w:color w:val="000000" w:themeColor="text1"/>
          <w:sz w:val="24"/>
          <w:szCs w:val="24"/>
          <w:lang w:val="en-US" w:eastAsia="zh-CN"/>
        </w:rPr>
      </w:pPr>
      <w:r w:rsidRPr="00CC34A3">
        <w:rPr>
          <w:rFonts w:ascii="Book Antiqua" w:eastAsia="SimSun" w:hAnsi="Book Antiqua" w:cs="SimSun"/>
          <w:b/>
          <w:i/>
          <w:color w:val="000000" w:themeColor="text1"/>
          <w:sz w:val="24"/>
          <w:szCs w:val="24"/>
          <w:lang w:val="en-US" w:eastAsia="zh-CN"/>
        </w:rPr>
        <w:t>Research motivation</w:t>
      </w:r>
    </w:p>
    <w:p w14:paraId="7130FA15" w14:textId="607C95A5" w:rsidR="0058383B" w:rsidRPr="00CC34A3" w:rsidRDefault="0058383B" w:rsidP="00CC34A3">
      <w:pPr>
        <w:adjustRightInd w:val="0"/>
        <w:snapToGrid w:val="0"/>
        <w:spacing w:after="0" w:line="360" w:lineRule="auto"/>
        <w:jc w:val="both"/>
        <w:rPr>
          <w:rFonts w:ascii="Book Antiqua" w:eastAsia="SimSun" w:hAnsi="Book Antiqua" w:cs="Courier New"/>
          <w:color w:val="000000" w:themeColor="text1"/>
          <w:sz w:val="24"/>
          <w:szCs w:val="24"/>
          <w:lang w:val="en-US" w:eastAsia="zh-CN"/>
        </w:rPr>
      </w:pPr>
      <w:r w:rsidRPr="00CC34A3">
        <w:rPr>
          <w:rFonts w:ascii="Book Antiqua" w:eastAsia="SimSun" w:hAnsi="Book Antiqua" w:cs="Courier New"/>
          <w:color w:val="000000" w:themeColor="text1"/>
          <w:sz w:val="24"/>
          <w:szCs w:val="24"/>
          <w:lang w:val="en-US" w:eastAsia="zh-CN"/>
        </w:rPr>
        <w:t xml:space="preserve">Research motivation was to resolve the major venous occlusions and duodenal lesions in the rat with the </w:t>
      </w:r>
      <w:r w:rsidR="006C0130" w:rsidRPr="00CC34A3">
        <w:rPr>
          <w:rFonts w:ascii="Book Antiqua" w:eastAsia="SimSun" w:hAnsi="Book Antiqua" w:cs="Courier New"/>
          <w:color w:val="000000" w:themeColor="text1"/>
          <w:sz w:val="24"/>
          <w:szCs w:val="24"/>
          <w:lang w:val="en-US" w:eastAsia="zh-CN"/>
        </w:rPr>
        <w:t xml:space="preserve">use of </w:t>
      </w:r>
      <w:r w:rsidRPr="00CC34A3">
        <w:rPr>
          <w:rFonts w:ascii="Book Antiqua" w:eastAsia="SimSun" w:hAnsi="Book Antiqua" w:cs="Courier New"/>
          <w:color w:val="000000" w:themeColor="text1"/>
          <w:sz w:val="24"/>
          <w:szCs w:val="24"/>
          <w:lang w:val="en-US" w:eastAsia="zh-CN"/>
        </w:rPr>
        <w:t xml:space="preserve">the stable gastric </w:t>
      </w:r>
      <w:proofErr w:type="spellStart"/>
      <w:r w:rsidRPr="00CC34A3">
        <w:rPr>
          <w:rFonts w:ascii="Book Antiqua" w:eastAsia="SimSun" w:hAnsi="Book Antiqua" w:cs="Courier New"/>
          <w:color w:val="000000" w:themeColor="text1"/>
          <w:sz w:val="24"/>
          <w:szCs w:val="24"/>
          <w:lang w:val="en-US" w:eastAsia="zh-CN"/>
        </w:rPr>
        <w:t>pentadecapeptide</w:t>
      </w:r>
      <w:proofErr w:type="spellEnd"/>
      <w:r w:rsidRPr="00CC34A3">
        <w:rPr>
          <w:rFonts w:ascii="Book Antiqua" w:eastAsia="SimSun" w:hAnsi="Book Antiqua" w:cs="Courier New"/>
          <w:color w:val="000000" w:themeColor="text1"/>
          <w:sz w:val="24"/>
          <w:szCs w:val="24"/>
          <w:lang w:val="en-US" w:eastAsia="zh-CN"/>
        </w:rPr>
        <w:t xml:space="preserve"> BPC 157</w:t>
      </w:r>
      <w:r w:rsidR="006C0130" w:rsidRPr="00CC34A3">
        <w:rPr>
          <w:rFonts w:ascii="Book Antiqua" w:eastAsia="SimSun" w:hAnsi="Book Antiqua" w:cs="Courier New"/>
          <w:color w:val="000000" w:themeColor="text1"/>
          <w:sz w:val="24"/>
          <w:szCs w:val="24"/>
          <w:lang w:val="en-US" w:eastAsia="zh-CN"/>
        </w:rPr>
        <w:t xml:space="preserve"> and/or NO-agents, L-NAME (NOS-blocker) and L-arginine (NOS-substrate). </w:t>
      </w:r>
      <w:r w:rsidRPr="00CC34A3">
        <w:rPr>
          <w:rFonts w:ascii="Book Antiqua" w:eastAsia="SimSun" w:hAnsi="Book Antiqua" w:cs="Courier New"/>
          <w:color w:val="000000" w:themeColor="text1"/>
          <w:sz w:val="24"/>
          <w:szCs w:val="24"/>
          <w:lang w:val="en-US" w:eastAsia="zh-CN"/>
        </w:rPr>
        <w:t xml:space="preserve">BPC 157 is a prototype cytoprotective agent used in ulcerative colitis and multiple sclerosis trials (LD1 not achieved) and is known to counteract duodenal lesions. Rat duodenal lesion research is mostly based on cysteamine and acetic acid models. Investigations are sparse on the impact of major venous obstruction and whether recruitment of blood vessels to bypass obstruction may occur quickly, and if so, whether it may be facilitated by a suitable therapy. </w:t>
      </w:r>
    </w:p>
    <w:p w14:paraId="12F77622" w14:textId="77777777" w:rsidR="0058383B" w:rsidRPr="00CC34A3" w:rsidRDefault="0058383B" w:rsidP="00CC34A3">
      <w:pPr>
        <w:adjustRightInd w:val="0"/>
        <w:snapToGrid w:val="0"/>
        <w:spacing w:after="0" w:line="360" w:lineRule="auto"/>
        <w:jc w:val="both"/>
        <w:rPr>
          <w:rFonts w:ascii="Book Antiqua" w:eastAsia="SimSun" w:hAnsi="Book Antiqua" w:cs="SimSun"/>
          <w:color w:val="000000" w:themeColor="text1"/>
          <w:sz w:val="24"/>
          <w:szCs w:val="24"/>
          <w:lang w:val="en-US" w:eastAsia="zh-CN"/>
        </w:rPr>
      </w:pPr>
    </w:p>
    <w:p w14:paraId="7F34EEAC" w14:textId="77777777" w:rsidR="00AC2597" w:rsidRPr="00CC34A3" w:rsidRDefault="00AC2597" w:rsidP="00CC34A3">
      <w:pPr>
        <w:adjustRightInd w:val="0"/>
        <w:snapToGrid w:val="0"/>
        <w:spacing w:after="0" w:line="360" w:lineRule="auto"/>
        <w:jc w:val="both"/>
        <w:outlineLvl w:val="0"/>
        <w:rPr>
          <w:rFonts w:ascii="Book Antiqua" w:eastAsia="SimSun" w:hAnsi="Book Antiqua" w:cs="SimSun"/>
          <w:b/>
          <w:i/>
          <w:color w:val="000000" w:themeColor="text1"/>
          <w:sz w:val="24"/>
          <w:szCs w:val="24"/>
          <w:lang w:val="en-US" w:eastAsia="zh-CN"/>
        </w:rPr>
      </w:pPr>
      <w:r w:rsidRPr="00CC34A3">
        <w:rPr>
          <w:rFonts w:ascii="Book Antiqua" w:eastAsia="SimSun" w:hAnsi="Book Antiqua" w:cs="SimSun"/>
          <w:b/>
          <w:i/>
          <w:color w:val="000000" w:themeColor="text1"/>
          <w:sz w:val="24"/>
          <w:szCs w:val="24"/>
          <w:lang w:val="en-US" w:eastAsia="zh-CN"/>
        </w:rPr>
        <w:t>Research objectives</w:t>
      </w:r>
    </w:p>
    <w:p w14:paraId="6757496D" w14:textId="01432276" w:rsidR="00D42CC2" w:rsidRPr="00CC34A3" w:rsidRDefault="00D42CC2" w:rsidP="00CC34A3">
      <w:pPr>
        <w:adjustRightInd w:val="0"/>
        <w:snapToGrid w:val="0"/>
        <w:spacing w:after="0" w:line="360" w:lineRule="auto"/>
        <w:jc w:val="both"/>
        <w:rPr>
          <w:rFonts w:ascii="Book Antiqua" w:hAnsi="Book Antiqua" w:cs="Courier New"/>
          <w:color w:val="000000" w:themeColor="text1"/>
          <w:sz w:val="24"/>
          <w:szCs w:val="24"/>
          <w:lang w:val="en-US"/>
        </w:rPr>
      </w:pPr>
      <w:r w:rsidRPr="00CC34A3">
        <w:rPr>
          <w:rFonts w:ascii="Book Antiqua" w:hAnsi="Book Antiqua" w:cs="Courier New"/>
          <w:color w:val="000000" w:themeColor="text1"/>
          <w:sz w:val="24"/>
          <w:szCs w:val="24"/>
          <w:lang w:val="en-US"/>
        </w:rPr>
        <w:t xml:space="preserve">Research objectives were the </w:t>
      </w:r>
      <w:r w:rsidRPr="00CC34A3">
        <w:rPr>
          <w:rFonts w:ascii="Book Antiqua" w:eastAsia="SimSun" w:hAnsi="Book Antiqua" w:cs="Courier New"/>
          <w:color w:val="000000" w:themeColor="text1"/>
          <w:sz w:val="24"/>
          <w:szCs w:val="24"/>
          <w:lang w:val="en-US" w:eastAsia="zh-CN"/>
        </w:rPr>
        <w:t xml:space="preserve">occluded </w:t>
      </w:r>
      <w:r w:rsidR="00992FA2" w:rsidRPr="00CC34A3">
        <w:rPr>
          <w:rFonts w:ascii="Book Antiqua" w:hAnsi="Book Antiqua" w:cs="Times New Roman"/>
          <w:color w:val="000000" w:themeColor="text1"/>
          <w:sz w:val="24"/>
          <w:szCs w:val="24"/>
          <w:lang w:val="en-US"/>
        </w:rPr>
        <w:t>superior anterior pancreaticoduodenal vein (SAPDV)</w:t>
      </w:r>
      <w:r w:rsidRPr="00CC34A3">
        <w:rPr>
          <w:rFonts w:ascii="Book Antiqua" w:eastAsia="SimSun" w:hAnsi="Book Antiqua" w:cs="Courier New"/>
          <w:color w:val="000000" w:themeColor="text1"/>
          <w:sz w:val="24"/>
          <w:szCs w:val="24"/>
          <w:lang w:val="en-US" w:eastAsia="zh-CN"/>
        </w:rPr>
        <w:t xml:space="preserve"> and duodenal lesions (congestion) and</w:t>
      </w:r>
      <w:r w:rsidRPr="00CC34A3">
        <w:rPr>
          <w:rFonts w:ascii="Book Antiqua" w:hAnsi="Book Antiqua" w:cs="Courier New"/>
          <w:color w:val="000000" w:themeColor="text1"/>
          <w:sz w:val="24"/>
          <w:szCs w:val="24"/>
          <w:lang w:val="en-US"/>
        </w:rPr>
        <w:t xml:space="preserve"> the recovering effect (rapidly activated collaterals bypassing vascular occlusion, absent lesions), the therapy effect of stable gast</w:t>
      </w:r>
      <w:r w:rsidR="00123828" w:rsidRPr="00CC34A3">
        <w:rPr>
          <w:rFonts w:ascii="Book Antiqua" w:hAnsi="Book Antiqua" w:cs="Courier New"/>
          <w:color w:val="000000" w:themeColor="text1"/>
          <w:sz w:val="24"/>
          <w:szCs w:val="24"/>
          <w:lang w:val="en-US"/>
        </w:rPr>
        <w:t xml:space="preserve">ric </w:t>
      </w:r>
      <w:proofErr w:type="spellStart"/>
      <w:r w:rsidR="00123828" w:rsidRPr="00CC34A3">
        <w:rPr>
          <w:rFonts w:ascii="Book Antiqua" w:hAnsi="Book Antiqua" w:cs="Courier New"/>
          <w:color w:val="000000" w:themeColor="text1"/>
          <w:sz w:val="24"/>
          <w:szCs w:val="24"/>
          <w:lang w:val="en-US"/>
        </w:rPr>
        <w:t>pentadecapeptide</w:t>
      </w:r>
      <w:proofErr w:type="spellEnd"/>
      <w:r w:rsidR="00123828" w:rsidRPr="00CC34A3">
        <w:rPr>
          <w:rFonts w:ascii="Book Antiqua" w:hAnsi="Book Antiqua" w:cs="Courier New"/>
          <w:color w:val="000000" w:themeColor="text1"/>
          <w:sz w:val="24"/>
          <w:szCs w:val="24"/>
          <w:lang w:val="en-US"/>
        </w:rPr>
        <w:t xml:space="preserve"> BPC 157 </w:t>
      </w:r>
      <w:r w:rsidR="00123828" w:rsidRPr="00CC34A3">
        <w:rPr>
          <w:rFonts w:ascii="Book Antiqua" w:hAnsi="Book Antiqua" w:cs="Courier New"/>
          <w:i/>
          <w:color w:val="000000" w:themeColor="text1"/>
          <w:sz w:val="24"/>
          <w:szCs w:val="24"/>
          <w:lang w:val="en-US"/>
        </w:rPr>
        <w:t>vs</w:t>
      </w:r>
      <w:r w:rsidR="00123828" w:rsidRPr="00CC34A3">
        <w:rPr>
          <w:rFonts w:ascii="Book Antiqua" w:hAnsi="Book Antiqua" w:cs="Courier New"/>
          <w:color w:val="000000" w:themeColor="text1"/>
          <w:sz w:val="24"/>
          <w:szCs w:val="24"/>
          <w:lang w:val="en-US"/>
        </w:rPr>
        <w:t xml:space="preserve"> harmful effect of NO-agents [</w:t>
      </w:r>
      <w:r w:rsidRPr="00CC34A3">
        <w:rPr>
          <w:rFonts w:ascii="Book Antiqua" w:hAnsi="Book Antiqua" w:cs="Courier New"/>
          <w:color w:val="000000" w:themeColor="text1"/>
          <w:sz w:val="24"/>
          <w:szCs w:val="24"/>
          <w:lang w:val="en-US"/>
        </w:rPr>
        <w:t>L-NAME (NO-system-blockade), L-arginine (NO-system over-stimulation); L-NAME+L-argi</w:t>
      </w:r>
      <w:r w:rsidR="00123828" w:rsidRPr="00CC34A3">
        <w:rPr>
          <w:rFonts w:ascii="Book Antiqua" w:hAnsi="Book Antiqua" w:cs="Courier New"/>
          <w:color w:val="000000" w:themeColor="text1"/>
          <w:sz w:val="24"/>
          <w:szCs w:val="24"/>
          <w:lang w:val="en-US"/>
        </w:rPr>
        <w:t>nine (NO-system immobilization)]</w:t>
      </w:r>
      <w:r w:rsidRPr="00CC34A3">
        <w:rPr>
          <w:rFonts w:ascii="Book Antiqua" w:hAnsi="Book Antiqua" w:cs="Courier New"/>
          <w:color w:val="000000" w:themeColor="text1"/>
          <w:sz w:val="24"/>
          <w:szCs w:val="24"/>
          <w:lang w:val="en-US"/>
        </w:rPr>
        <w:t xml:space="preserve">. We recorded the vessel presentation (filled/appearance or emptied/disappearance) between the 5 arcade vessels arising from the </w:t>
      </w:r>
      <w:r w:rsidR="00992FA2" w:rsidRPr="00CC34A3">
        <w:rPr>
          <w:rFonts w:ascii="Book Antiqua" w:hAnsi="Book Antiqua" w:cs="Courier New"/>
          <w:color w:val="000000" w:themeColor="text1"/>
          <w:sz w:val="24"/>
          <w:szCs w:val="24"/>
          <w:lang w:val="en-US"/>
        </w:rPr>
        <w:t>SAPDV</w:t>
      </w:r>
      <w:r w:rsidRPr="00CC34A3">
        <w:rPr>
          <w:rFonts w:ascii="Book Antiqua" w:hAnsi="Book Antiqua" w:cs="Courier New"/>
          <w:color w:val="000000" w:themeColor="text1"/>
          <w:sz w:val="24"/>
          <w:szCs w:val="24"/>
          <w:lang w:val="en-US"/>
        </w:rPr>
        <w:t xml:space="preserve"> on the ventral duodenum side, the </w:t>
      </w:r>
      <w:r w:rsidR="00123828" w:rsidRPr="00CC34A3">
        <w:rPr>
          <w:rFonts w:ascii="Book Antiqua" w:hAnsi="Book Antiqua" w:cs="Times New Roman"/>
          <w:color w:val="000000" w:themeColor="text1"/>
          <w:sz w:val="24"/>
          <w:szCs w:val="24"/>
          <w:lang w:val="en-US"/>
        </w:rPr>
        <w:t>inferior anterior pancreaticoduodenal vein (IAPDV)</w:t>
      </w:r>
      <w:r w:rsidRPr="00CC34A3">
        <w:rPr>
          <w:rFonts w:ascii="Book Antiqua" w:hAnsi="Book Antiqua" w:cs="Courier New"/>
          <w:color w:val="000000" w:themeColor="text1"/>
          <w:sz w:val="24"/>
          <w:szCs w:val="24"/>
          <w:lang w:val="en-US"/>
        </w:rPr>
        <w:t xml:space="preserve">, </w:t>
      </w:r>
      <w:r w:rsidR="00123828" w:rsidRPr="00CC34A3">
        <w:rPr>
          <w:rFonts w:ascii="Book Antiqua" w:hAnsi="Book Antiqua" w:cs="Times New Roman"/>
          <w:color w:val="000000" w:themeColor="text1"/>
          <w:sz w:val="24"/>
          <w:szCs w:val="24"/>
          <w:lang w:val="en-US"/>
        </w:rPr>
        <w:t>superior mesenteric vein (SMV)</w:t>
      </w:r>
      <w:r w:rsidRPr="00CC34A3">
        <w:rPr>
          <w:rFonts w:ascii="Book Antiqua" w:hAnsi="Book Antiqua" w:cs="Courier New"/>
          <w:color w:val="000000" w:themeColor="text1"/>
          <w:sz w:val="24"/>
          <w:szCs w:val="24"/>
          <w:lang w:val="en-US"/>
        </w:rPr>
        <w:t xml:space="preserve"> as bypassing vascular pathway to document the duodenal lesions presentation. In duodenum, BPC 157 normalizes NO-levels and counteracts increased oxidative stress </w:t>
      </w:r>
      <w:r w:rsidR="00123828" w:rsidRPr="00CC34A3">
        <w:rPr>
          <w:rFonts w:ascii="Book Antiqua" w:hAnsi="Book Antiqua" w:cs="Courier New"/>
          <w:color w:val="000000" w:themeColor="text1"/>
          <w:sz w:val="24"/>
          <w:szCs w:val="24"/>
          <w:lang w:val="en-US"/>
        </w:rPr>
        <w:t>[malondialdehyde (MDA)]</w:t>
      </w:r>
      <w:r w:rsidRPr="00CC34A3">
        <w:rPr>
          <w:rFonts w:ascii="Book Antiqua" w:hAnsi="Book Antiqua" w:cs="Courier New"/>
          <w:color w:val="000000" w:themeColor="text1"/>
          <w:sz w:val="24"/>
          <w:szCs w:val="24"/>
          <w:lang w:val="en-US"/>
        </w:rPr>
        <w:t>-levels.</w:t>
      </w:r>
    </w:p>
    <w:p w14:paraId="797E297F" w14:textId="77777777" w:rsidR="00123828" w:rsidRPr="00CC34A3" w:rsidRDefault="00123828" w:rsidP="00CC34A3">
      <w:pPr>
        <w:adjustRightInd w:val="0"/>
        <w:snapToGrid w:val="0"/>
        <w:spacing w:after="0" w:line="360" w:lineRule="auto"/>
        <w:jc w:val="both"/>
        <w:outlineLvl w:val="0"/>
        <w:rPr>
          <w:rFonts w:ascii="Book Antiqua" w:eastAsia="SimSun" w:hAnsi="Book Antiqua" w:cs="SimSun"/>
          <w:b/>
          <w:i/>
          <w:color w:val="000000" w:themeColor="text1"/>
          <w:sz w:val="24"/>
          <w:szCs w:val="24"/>
          <w:lang w:val="en-US" w:eastAsia="zh-CN"/>
        </w:rPr>
      </w:pPr>
    </w:p>
    <w:p w14:paraId="7629FC3C" w14:textId="77777777" w:rsidR="000B6B6F" w:rsidRPr="00CC34A3" w:rsidRDefault="000B6B6F" w:rsidP="00CC34A3">
      <w:pPr>
        <w:adjustRightInd w:val="0"/>
        <w:snapToGrid w:val="0"/>
        <w:spacing w:after="0" w:line="360" w:lineRule="auto"/>
        <w:jc w:val="both"/>
        <w:outlineLvl w:val="0"/>
        <w:rPr>
          <w:rFonts w:ascii="Book Antiqua" w:eastAsia="SimSun" w:hAnsi="Book Antiqua" w:cs="SimSun"/>
          <w:b/>
          <w:i/>
          <w:color w:val="000000" w:themeColor="text1"/>
          <w:sz w:val="24"/>
          <w:szCs w:val="24"/>
          <w:lang w:val="en-US" w:eastAsia="zh-CN"/>
        </w:rPr>
      </w:pPr>
      <w:r w:rsidRPr="00CC34A3">
        <w:rPr>
          <w:rFonts w:ascii="Book Antiqua" w:eastAsia="SimSun" w:hAnsi="Book Antiqua" w:cs="SimSun"/>
          <w:b/>
          <w:i/>
          <w:color w:val="000000" w:themeColor="text1"/>
          <w:sz w:val="24"/>
          <w:szCs w:val="24"/>
          <w:lang w:val="en-US" w:eastAsia="zh-CN"/>
        </w:rPr>
        <w:t>Research methods</w:t>
      </w:r>
    </w:p>
    <w:p w14:paraId="66634621" w14:textId="2CA02FFD" w:rsidR="00C410A9" w:rsidRPr="00CC34A3" w:rsidRDefault="00E40CB8" w:rsidP="00CC34A3">
      <w:pPr>
        <w:adjustRightInd w:val="0"/>
        <w:snapToGrid w:val="0"/>
        <w:spacing w:after="0" w:line="360" w:lineRule="auto"/>
        <w:jc w:val="both"/>
        <w:rPr>
          <w:rFonts w:ascii="Book Antiqua" w:hAnsi="Book Antiqua" w:cs="Courier New"/>
          <w:color w:val="000000" w:themeColor="text1"/>
          <w:sz w:val="24"/>
          <w:szCs w:val="24"/>
          <w:lang w:val="en-US"/>
        </w:rPr>
      </w:pPr>
      <w:r w:rsidRPr="00CC34A3">
        <w:rPr>
          <w:rFonts w:ascii="Book Antiqua" w:hAnsi="Book Antiqua" w:cs="Courier New"/>
          <w:color w:val="000000" w:themeColor="text1"/>
          <w:sz w:val="24"/>
          <w:szCs w:val="24"/>
          <w:lang w:val="en-US"/>
        </w:rPr>
        <w:t>For research methods, w</w:t>
      </w:r>
      <w:r w:rsidR="00C410A9" w:rsidRPr="00CC34A3">
        <w:rPr>
          <w:rFonts w:ascii="Book Antiqua" w:hAnsi="Book Antiqua" w:cs="Courier New"/>
          <w:color w:val="000000" w:themeColor="text1"/>
          <w:sz w:val="24"/>
          <w:szCs w:val="24"/>
          <w:lang w:val="en-US"/>
        </w:rPr>
        <w:t xml:space="preserve">e used rats with the </w:t>
      </w:r>
      <w:r w:rsidR="00C410A9" w:rsidRPr="00CC34A3">
        <w:rPr>
          <w:rFonts w:ascii="Book Antiqua" w:eastAsia="SimSun" w:hAnsi="Book Antiqua" w:cs="Courier New"/>
          <w:color w:val="000000" w:themeColor="text1"/>
          <w:sz w:val="24"/>
          <w:szCs w:val="24"/>
          <w:lang w:val="en-US" w:eastAsia="zh-CN"/>
        </w:rPr>
        <w:t xml:space="preserve">occluded </w:t>
      </w:r>
      <w:r w:rsidR="00992FA2" w:rsidRPr="00CC34A3">
        <w:rPr>
          <w:rFonts w:ascii="Book Antiqua" w:eastAsia="SimSun" w:hAnsi="Book Antiqua" w:cs="Courier New"/>
          <w:color w:val="000000" w:themeColor="text1"/>
          <w:sz w:val="24"/>
          <w:szCs w:val="24"/>
          <w:lang w:val="en-US" w:eastAsia="zh-CN"/>
        </w:rPr>
        <w:t>SAPDV</w:t>
      </w:r>
      <w:r w:rsidR="00C410A9" w:rsidRPr="00CC34A3">
        <w:rPr>
          <w:rFonts w:ascii="Book Antiqua" w:eastAsia="SimSun" w:hAnsi="Book Antiqua" w:cs="Courier New"/>
          <w:color w:val="000000" w:themeColor="text1"/>
          <w:sz w:val="24"/>
          <w:szCs w:val="24"/>
          <w:lang w:val="en-US" w:eastAsia="zh-CN"/>
        </w:rPr>
        <w:t xml:space="preserve"> and duodenal lesions (congestion) to reveal</w:t>
      </w:r>
      <w:r w:rsidR="00C410A9" w:rsidRPr="00CC34A3">
        <w:rPr>
          <w:rFonts w:ascii="Book Antiqua" w:hAnsi="Book Antiqua" w:cs="Courier New"/>
          <w:color w:val="000000" w:themeColor="text1"/>
          <w:sz w:val="24"/>
          <w:szCs w:val="24"/>
          <w:lang w:val="en-US"/>
        </w:rPr>
        <w:t xml:space="preserve"> the recovering effect (rapidly activated collaterals bypassing </w:t>
      </w:r>
      <w:r w:rsidR="00C410A9" w:rsidRPr="00CC34A3">
        <w:rPr>
          <w:rFonts w:ascii="Book Antiqua" w:hAnsi="Book Antiqua" w:cs="Courier New"/>
          <w:color w:val="000000" w:themeColor="text1"/>
          <w:sz w:val="24"/>
          <w:szCs w:val="24"/>
          <w:lang w:val="en-US"/>
        </w:rPr>
        <w:lastRenderedPageBreak/>
        <w:t xml:space="preserve">vascular occlusion, absent lesions), at 5 min, 30 min and 24 h ligation time. Therapy effect of the stable gastric </w:t>
      </w:r>
      <w:proofErr w:type="spellStart"/>
      <w:r w:rsidR="00C410A9" w:rsidRPr="00CC34A3">
        <w:rPr>
          <w:rFonts w:ascii="Book Antiqua" w:hAnsi="Book Antiqua" w:cs="Courier New"/>
          <w:color w:val="000000" w:themeColor="text1"/>
          <w:sz w:val="24"/>
          <w:szCs w:val="24"/>
          <w:lang w:val="en-US"/>
        </w:rPr>
        <w:t>pentadecapeptide</w:t>
      </w:r>
      <w:proofErr w:type="spellEnd"/>
      <w:r w:rsidR="00C410A9" w:rsidRPr="00CC34A3">
        <w:rPr>
          <w:rFonts w:ascii="Book Antiqua" w:hAnsi="Book Antiqua" w:cs="Courier New"/>
          <w:color w:val="000000" w:themeColor="text1"/>
          <w:sz w:val="24"/>
          <w:szCs w:val="24"/>
          <w:lang w:val="en-US"/>
        </w:rPr>
        <w:t xml:space="preserve"> BPC 157 was achieved with two regimens (10 </w:t>
      </w:r>
      <w:proofErr w:type="spellStart"/>
      <w:r w:rsidR="00C410A9" w:rsidRPr="00CC34A3">
        <w:rPr>
          <w:rFonts w:ascii="Book Antiqua" w:hAnsi="Book Antiqua" w:cs="Courier New"/>
          <w:color w:val="000000" w:themeColor="text1"/>
          <w:sz w:val="24"/>
          <w:szCs w:val="24"/>
          <w:lang w:val="en-US"/>
        </w:rPr>
        <w:t>μg</w:t>
      </w:r>
      <w:proofErr w:type="spellEnd"/>
      <w:r w:rsidR="00C410A9" w:rsidRPr="00CC34A3">
        <w:rPr>
          <w:rFonts w:ascii="Book Antiqua" w:hAnsi="Book Antiqua" w:cs="Courier New"/>
          <w:color w:val="000000" w:themeColor="text1"/>
          <w:sz w:val="24"/>
          <w:szCs w:val="24"/>
          <w:lang w:val="en-US"/>
        </w:rPr>
        <w:t xml:space="preserve">, </w:t>
      </w:r>
      <w:r w:rsidR="00CD3F27" w:rsidRPr="00CC34A3">
        <w:rPr>
          <w:rFonts w:ascii="Book Antiqua" w:hAnsi="Book Antiqua" w:cs="Courier New"/>
          <w:color w:val="000000" w:themeColor="text1"/>
          <w:sz w:val="24"/>
          <w:szCs w:val="24"/>
          <w:lang w:val="en-US"/>
        </w:rPr>
        <w:t xml:space="preserve">10 ng/kg per </w:t>
      </w:r>
      <w:r w:rsidR="00773972" w:rsidRPr="00CC34A3">
        <w:rPr>
          <w:rFonts w:ascii="Book Antiqua" w:hAnsi="Book Antiqua" w:cs="Courier New"/>
          <w:color w:val="000000" w:themeColor="text1"/>
          <w:sz w:val="24"/>
          <w:szCs w:val="24"/>
          <w:lang w:val="en-US"/>
        </w:rPr>
        <w:t>1 mL bath/rat</w:t>
      </w:r>
      <w:r w:rsidR="00C410A9" w:rsidRPr="00CC34A3">
        <w:rPr>
          <w:rFonts w:ascii="Book Antiqua" w:hAnsi="Book Antiqua" w:cs="Courier New"/>
          <w:color w:val="000000" w:themeColor="text1"/>
          <w:sz w:val="24"/>
          <w:szCs w:val="24"/>
          <w:lang w:val="en-US"/>
        </w:rPr>
        <w:t xml:space="preserve"> or 10 </w:t>
      </w:r>
      <w:proofErr w:type="spellStart"/>
      <w:r w:rsidR="00C410A9" w:rsidRPr="00CC34A3">
        <w:rPr>
          <w:rFonts w:ascii="Book Antiqua" w:hAnsi="Book Antiqua" w:cs="Courier New"/>
          <w:color w:val="000000" w:themeColor="text1"/>
          <w:sz w:val="24"/>
          <w:szCs w:val="24"/>
          <w:lang w:val="en-US"/>
        </w:rPr>
        <w:t>μg</w:t>
      </w:r>
      <w:proofErr w:type="spellEnd"/>
      <w:r w:rsidR="00C410A9" w:rsidRPr="00CC34A3">
        <w:rPr>
          <w:rFonts w:ascii="Book Antiqua" w:hAnsi="Book Antiqua" w:cs="Courier New"/>
          <w:color w:val="000000" w:themeColor="text1"/>
          <w:sz w:val="24"/>
          <w:szCs w:val="24"/>
          <w:lang w:val="en-US"/>
        </w:rPr>
        <w:t>/kg instilled into the rat stomach), at 1 min li</w:t>
      </w:r>
      <w:r w:rsidR="00CD3F27" w:rsidRPr="00CC34A3">
        <w:rPr>
          <w:rFonts w:ascii="Book Antiqua" w:hAnsi="Book Antiqua" w:cs="Courier New"/>
          <w:color w:val="000000" w:themeColor="text1"/>
          <w:sz w:val="24"/>
          <w:szCs w:val="24"/>
          <w:lang w:val="en-US"/>
        </w:rPr>
        <w:t>gation-time. Harmful effect of NO-agents [</w:t>
      </w:r>
      <w:r w:rsidR="00C410A9" w:rsidRPr="00CC34A3">
        <w:rPr>
          <w:rFonts w:ascii="Book Antiqua" w:hAnsi="Book Antiqua" w:cs="Courier New"/>
          <w:color w:val="000000" w:themeColor="text1"/>
          <w:sz w:val="24"/>
          <w:szCs w:val="24"/>
          <w:lang w:val="en-US"/>
        </w:rPr>
        <w:t>L-NAME (NO-system-blockade), L-arginine (NO-system over-stimulation); L-NAME+L-argi</w:t>
      </w:r>
      <w:r w:rsidR="00CD3F27" w:rsidRPr="00CC34A3">
        <w:rPr>
          <w:rFonts w:ascii="Book Antiqua" w:hAnsi="Book Antiqua" w:cs="Courier New"/>
          <w:color w:val="000000" w:themeColor="text1"/>
          <w:sz w:val="24"/>
          <w:szCs w:val="24"/>
          <w:lang w:val="en-US"/>
        </w:rPr>
        <w:t>nine (NO-system immobilization)]</w:t>
      </w:r>
      <w:r w:rsidR="00C410A9" w:rsidRPr="00CC34A3">
        <w:rPr>
          <w:rFonts w:ascii="Book Antiqua" w:hAnsi="Book Antiqua" w:cs="Courier New"/>
          <w:color w:val="000000" w:themeColor="text1"/>
          <w:sz w:val="24"/>
          <w:szCs w:val="24"/>
          <w:lang w:val="en-US"/>
        </w:rPr>
        <w:t xml:space="preserve"> goes with L-NAME</w:t>
      </w:r>
      <w:r w:rsidR="00CD3F27" w:rsidRPr="00CC34A3">
        <w:rPr>
          <w:rFonts w:ascii="Book Antiqua" w:hAnsi="Book Antiqua" w:cs="Courier New"/>
          <w:color w:val="000000" w:themeColor="text1"/>
          <w:sz w:val="24"/>
          <w:szCs w:val="24"/>
          <w:lang w:val="en-US"/>
        </w:rPr>
        <w:t xml:space="preserve"> 5 mg/kg per </w:t>
      </w:r>
      <w:r w:rsidR="00C410A9" w:rsidRPr="00CC34A3">
        <w:rPr>
          <w:rFonts w:ascii="Book Antiqua" w:hAnsi="Book Antiqua" w:cs="Courier New"/>
          <w:color w:val="000000" w:themeColor="text1"/>
          <w:sz w:val="24"/>
          <w:szCs w:val="24"/>
          <w:lang w:val="en-US"/>
        </w:rPr>
        <w:t>1 mL</w:t>
      </w:r>
      <w:r w:rsidR="00CD3F27" w:rsidRPr="00CC34A3">
        <w:rPr>
          <w:rFonts w:ascii="Book Antiqua" w:hAnsi="Book Antiqua" w:cs="Courier New"/>
          <w:color w:val="000000" w:themeColor="text1"/>
          <w:sz w:val="24"/>
          <w:szCs w:val="24"/>
          <w:lang w:val="en-US"/>
        </w:rPr>
        <w:t xml:space="preserve"> bath/rat; L-arginine 100 mg/kg per </w:t>
      </w:r>
      <w:r w:rsidR="00C410A9" w:rsidRPr="00CC34A3">
        <w:rPr>
          <w:rFonts w:ascii="Book Antiqua" w:hAnsi="Book Antiqua" w:cs="Courier New"/>
          <w:color w:val="000000" w:themeColor="text1"/>
          <w:sz w:val="24"/>
          <w:szCs w:val="24"/>
          <w:lang w:val="en-US"/>
        </w:rPr>
        <w:t xml:space="preserve">1 mL bath/rat, alone and/or together. Considering the point immediately before therapy (as 100%), we </w:t>
      </w:r>
      <w:r w:rsidR="00CD3F27" w:rsidRPr="00CC34A3">
        <w:rPr>
          <w:rFonts w:ascii="Book Antiqua" w:hAnsi="Book Antiqua" w:cs="Courier New"/>
          <w:color w:val="000000" w:themeColor="text1"/>
          <w:sz w:val="24"/>
          <w:szCs w:val="24"/>
          <w:lang w:val="en-US"/>
        </w:rPr>
        <w:t>scored the vessel presentation [</w:t>
      </w:r>
      <w:r w:rsidR="00C410A9" w:rsidRPr="00CC34A3">
        <w:rPr>
          <w:rFonts w:ascii="Book Antiqua" w:hAnsi="Book Antiqua" w:cs="Courier New"/>
          <w:color w:val="000000" w:themeColor="text1"/>
          <w:sz w:val="24"/>
          <w:szCs w:val="24"/>
          <w:lang w:val="en-US"/>
        </w:rPr>
        <w:t xml:space="preserve">recorded filled/appearance or emptied/disappearance (camera attached to a USB </w:t>
      </w:r>
      <w:r w:rsidR="00CD3F27" w:rsidRPr="00CC34A3">
        <w:rPr>
          <w:rFonts w:ascii="Book Antiqua" w:hAnsi="Book Antiqua" w:cs="Courier New"/>
          <w:color w:val="000000" w:themeColor="text1"/>
          <w:sz w:val="24"/>
          <w:szCs w:val="24"/>
          <w:lang w:val="en-US"/>
        </w:rPr>
        <w:t>microscope)]</w:t>
      </w:r>
      <w:r w:rsidR="00C410A9" w:rsidRPr="00CC34A3">
        <w:rPr>
          <w:rFonts w:ascii="Book Antiqua" w:hAnsi="Book Antiqua" w:cs="Courier New"/>
          <w:color w:val="000000" w:themeColor="text1"/>
          <w:sz w:val="24"/>
          <w:szCs w:val="24"/>
          <w:lang w:val="en-US"/>
        </w:rPr>
        <w:t xml:space="preserve"> between the 5 arcade vessels arising from the </w:t>
      </w:r>
      <w:r w:rsidR="00992FA2" w:rsidRPr="00CC34A3">
        <w:rPr>
          <w:rFonts w:ascii="Book Antiqua" w:hAnsi="Book Antiqua" w:cs="Courier New"/>
          <w:color w:val="000000" w:themeColor="text1"/>
          <w:sz w:val="24"/>
          <w:szCs w:val="24"/>
          <w:lang w:val="en-US"/>
        </w:rPr>
        <w:t>SAPDV</w:t>
      </w:r>
      <w:r w:rsidR="00C410A9" w:rsidRPr="00CC34A3">
        <w:rPr>
          <w:rFonts w:ascii="Book Antiqua" w:hAnsi="Book Antiqua" w:cs="Courier New"/>
          <w:color w:val="000000" w:themeColor="text1"/>
          <w:sz w:val="24"/>
          <w:szCs w:val="24"/>
          <w:lang w:val="en-US"/>
        </w:rPr>
        <w:t xml:space="preserve"> on the ventral duodenum side, the IAPDV, SMV </w:t>
      </w:r>
      <w:r w:rsidR="00773972" w:rsidRPr="00CC34A3">
        <w:rPr>
          <w:rFonts w:ascii="Book Antiqua" w:hAnsi="Book Antiqua" w:cs="Courier New"/>
          <w:color w:val="000000" w:themeColor="text1"/>
          <w:sz w:val="24"/>
          <w:szCs w:val="24"/>
          <w:lang w:val="en-US"/>
        </w:rPr>
        <w:t xml:space="preserve">as bypassing vascular pathway. </w:t>
      </w:r>
      <w:r w:rsidR="00C410A9" w:rsidRPr="00CC34A3">
        <w:rPr>
          <w:rFonts w:ascii="Book Antiqua" w:hAnsi="Book Antiqua" w:cs="Courier New"/>
          <w:color w:val="000000" w:themeColor="text1"/>
          <w:sz w:val="24"/>
          <w:szCs w:val="24"/>
          <w:lang w:val="en-US"/>
        </w:rPr>
        <w:t xml:space="preserve">Upon the duodenum opening and after sacrifice, we assessed the congested hemorrhagic areas as the sum of the largest lesion diameters. In the collected duodenal tissue samples, we assessed NO-levels (Griess reaction) and </w:t>
      </w:r>
      <w:r w:rsidR="00CD3F27" w:rsidRPr="00CC34A3">
        <w:rPr>
          <w:rFonts w:ascii="Book Antiqua" w:eastAsia="SimSun" w:hAnsi="Book Antiqua" w:cs="Courier New"/>
          <w:color w:val="000000" w:themeColor="text1"/>
          <w:sz w:val="24"/>
          <w:szCs w:val="24"/>
          <w:lang w:val="en-US" w:eastAsia="zh-CN"/>
        </w:rPr>
        <w:t>oxidative stress [</w:t>
      </w:r>
      <w:r w:rsidR="00C410A9" w:rsidRPr="00CC34A3">
        <w:rPr>
          <w:rFonts w:ascii="Book Antiqua" w:eastAsia="SimSun" w:hAnsi="Book Antiqua" w:cs="Courier New"/>
          <w:color w:val="000000" w:themeColor="text1"/>
          <w:sz w:val="24"/>
          <w:szCs w:val="24"/>
          <w:lang w:val="en-US" w:eastAsia="zh-CN"/>
        </w:rPr>
        <w:t xml:space="preserve">by quantifying </w:t>
      </w:r>
      <w:proofErr w:type="spellStart"/>
      <w:r w:rsidR="00C410A9" w:rsidRPr="00CC34A3">
        <w:rPr>
          <w:rFonts w:ascii="Book Antiqua" w:eastAsia="SimSun" w:hAnsi="Book Antiqua" w:cs="Courier New"/>
          <w:color w:val="000000" w:themeColor="text1"/>
          <w:sz w:val="24"/>
          <w:szCs w:val="24"/>
          <w:lang w:val="en-US" w:eastAsia="zh-CN"/>
        </w:rPr>
        <w:t>thiobarbituric</w:t>
      </w:r>
      <w:proofErr w:type="spellEnd"/>
      <w:r w:rsidR="00C410A9" w:rsidRPr="00CC34A3">
        <w:rPr>
          <w:rFonts w:ascii="Book Antiqua" w:eastAsia="SimSun" w:hAnsi="Book Antiqua" w:cs="Courier New"/>
          <w:color w:val="000000" w:themeColor="text1"/>
          <w:sz w:val="24"/>
          <w:szCs w:val="24"/>
          <w:lang w:val="en-US" w:eastAsia="zh-CN"/>
        </w:rPr>
        <w:t xml:space="preserve"> acid-reactive species (TBARS) as </w:t>
      </w:r>
      <w:r w:rsidR="00837D9A" w:rsidRPr="00CC34A3">
        <w:rPr>
          <w:rFonts w:ascii="Book Antiqua" w:eastAsia="SimSun" w:hAnsi="Book Antiqua" w:cs="Courier New"/>
          <w:color w:val="000000" w:themeColor="text1"/>
          <w:sz w:val="24"/>
          <w:szCs w:val="24"/>
          <w:lang w:val="en-US" w:eastAsia="zh-CN"/>
        </w:rPr>
        <w:t>MDA</w:t>
      </w:r>
      <w:r w:rsidR="00C410A9" w:rsidRPr="00CC34A3">
        <w:rPr>
          <w:rFonts w:ascii="Book Antiqua" w:eastAsia="SimSun" w:hAnsi="Book Antiqua" w:cs="Courier New"/>
          <w:color w:val="000000" w:themeColor="text1"/>
          <w:sz w:val="24"/>
          <w:szCs w:val="24"/>
          <w:lang w:val="en-US" w:eastAsia="zh-CN"/>
        </w:rPr>
        <w:t xml:space="preserve"> equivalents</w:t>
      </w:r>
      <w:r w:rsidR="00CD3F27" w:rsidRPr="00CC34A3">
        <w:rPr>
          <w:rFonts w:ascii="Book Antiqua" w:eastAsia="SimSun" w:hAnsi="Book Antiqua" w:cs="Courier New"/>
          <w:color w:val="000000" w:themeColor="text1"/>
          <w:sz w:val="24"/>
          <w:szCs w:val="24"/>
          <w:lang w:val="en-US" w:eastAsia="zh-CN"/>
        </w:rPr>
        <w:t>]</w:t>
      </w:r>
      <w:r w:rsidR="00C410A9" w:rsidRPr="00CC34A3">
        <w:rPr>
          <w:rFonts w:ascii="Book Antiqua" w:hAnsi="Book Antiqua" w:cs="Courier New"/>
          <w:color w:val="000000" w:themeColor="text1"/>
          <w:sz w:val="24"/>
          <w:szCs w:val="24"/>
          <w:lang w:val="en-US"/>
        </w:rPr>
        <w:t>.</w:t>
      </w:r>
    </w:p>
    <w:p w14:paraId="671ADCF7" w14:textId="77777777" w:rsidR="00270FB7" w:rsidRPr="00CC34A3" w:rsidRDefault="00270FB7" w:rsidP="00CC34A3">
      <w:pPr>
        <w:adjustRightInd w:val="0"/>
        <w:snapToGrid w:val="0"/>
        <w:spacing w:after="0" w:line="360" w:lineRule="auto"/>
        <w:jc w:val="both"/>
        <w:rPr>
          <w:rFonts w:ascii="Book Antiqua" w:hAnsi="Book Antiqua" w:cs="Courier New"/>
          <w:color w:val="000000" w:themeColor="text1"/>
          <w:sz w:val="24"/>
          <w:szCs w:val="24"/>
          <w:lang w:val="en-US"/>
        </w:rPr>
      </w:pPr>
    </w:p>
    <w:p w14:paraId="1912354E" w14:textId="77777777" w:rsidR="000B6B6F" w:rsidRPr="00CC34A3" w:rsidRDefault="000B6B6F" w:rsidP="00CC34A3">
      <w:pPr>
        <w:adjustRightInd w:val="0"/>
        <w:snapToGrid w:val="0"/>
        <w:spacing w:after="0" w:line="360" w:lineRule="auto"/>
        <w:jc w:val="both"/>
        <w:outlineLvl w:val="0"/>
        <w:rPr>
          <w:rFonts w:ascii="Book Antiqua" w:eastAsia="SimSun" w:hAnsi="Book Antiqua" w:cs="SimSun"/>
          <w:b/>
          <w:i/>
          <w:color w:val="000000" w:themeColor="text1"/>
          <w:sz w:val="24"/>
          <w:szCs w:val="24"/>
          <w:lang w:val="en-US" w:eastAsia="zh-CN"/>
        </w:rPr>
      </w:pPr>
      <w:r w:rsidRPr="00CC34A3">
        <w:rPr>
          <w:rFonts w:ascii="Book Antiqua" w:eastAsia="SimSun" w:hAnsi="Book Antiqua" w:cs="SimSun"/>
          <w:b/>
          <w:i/>
          <w:color w:val="000000" w:themeColor="text1"/>
          <w:sz w:val="24"/>
          <w:szCs w:val="24"/>
          <w:lang w:val="en-US" w:eastAsia="zh-CN"/>
        </w:rPr>
        <w:t>Research results</w:t>
      </w:r>
    </w:p>
    <w:p w14:paraId="40FBBCF2" w14:textId="03459C8A" w:rsidR="00AB2305" w:rsidRPr="00CC34A3" w:rsidRDefault="00E40CB8" w:rsidP="00CC34A3">
      <w:pPr>
        <w:adjustRightInd w:val="0"/>
        <w:snapToGrid w:val="0"/>
        <w:spacing w:after="0" w:line="360" w:lineRule="auto"/>
        <w:jc w:val="both"/>
        <w:rPr>
          <w:rFonts w:ascii="Book Antiqua" w:eastAsia="SimSun" w:hAnsi="Book Antiqua" w:cs="Times New Roman"/>
          <w:color w:val="000000" w:themeColor="text1"/>
          <w:sz w:val="24"/>
          <w:szCs w:val="24"/>
          <w:lang w:val="en-US" w:eastAsia="zh-CN"/>
        </w:rPr>
      </w:pPr>
      <w:r w:rsidRPr="00CC34A3">
        <w:rPr>
          <w:rFonts w:ascii="Book Antiqua" w:eastAsia="SimSun" w:hAnsi="Book Antiqua" w:cs="Courier New"/>
          <w:color w:val="000000" w:themeColor="text1"/>
          <w:sz w:val="24"/>
          <w:szCs w:val="24"/>
          <w:lang w:val="en-US" w:eastAsia="zh-CN"/>
        </w:rPr>
        <w:t>For research results, w</w:t>
      </w:r>
      <w:r w:rsidR="00AB2305" w:rsidRPr="00CC34A3">
        <w:rPr>
          <w:rFonts w:ascii="Book Antiqua" w:eastAsia="SimSun" w:hAnsi="Book Antiqua" w:cs="Courier New"/>
          <w:color w:val="000000" w:themeColor="text1"/>
          <w:sz w:val="24"/>
          <w:szCs w:val="24"/>
          <w:lang w:val="en-US" w:eastAsia="zh-CN"/>
        </w:rPr>
        <w:t xml:space="preserve">e attempted to alleviate major venous obstruction and duodenal lesions in rats with stable gastric </w:t>
      </w:r>
      <w:proofErr w:type="spellStart"/>
      <w:r w:rsidR="00AB2305" w:rsidRPr="00CC34A3">
        <w:rPr>
          <w:rFonts w:ascii="Book Antiqua" w:eastAsia="SimSun" w:hAnsi="Book Antiqua" w:cs="Courier New"/>
          <w:color w:val="000000" w:themeColor="text1"/>
          <w:sz w:val="24"/>
          <w:szCs w:val="24"/>
          <w:lang w:val="en-US" w:eastAsia="zh-CN"/>
        </w:rPr>
        <w:t>pentadecapeptide</w:t>
      </w:r>
      <w:proofErr w:type="spellEnd"/>
      <w:r w:rsidR="00AB2305" w:rsidRPr="00CC34A3">
        <w:rPr>
          <w:rFonts w:ascii="Book Antiqua" w:eastAsia="SimSun" w:hAnsi="Book Antiqua" w:cs="Courier New"/>
          <w:color w:val="000000" w:themeColor="text1"/>
          <w:sz w:val="24"/>
          <w:szCs w:val="24"/>
          <w:lang w:val="en-US" w:eastAsia="zh-CN"/>
        </w:rPr>
        <w:t xml:space="preserve"> BPC 157 treatment and to investigate its relation to the NO system. In duodenal lesion development, the occlusion of the SAPDV appears as the key failure (before other vessel occlusions: i.e., left colic artery and vein ligation, and inferior </w:t>
      </w:r>
      <w:proofErr w:type="spellStart"/>
      <w:r w:rsidR="00AB2305" w:rsidRPr="00CC34A3">
        <w:rPr>
          <w:rFonts w:ascii="Book Antiqua" w:eastAsia="SimSun" w:hAnsi="Book Antiqua" w:cs="Courier New"/>
          <w:color w:val="000000" w:themeColor="text1"/>
          <w:sz w:val="24"/>
          <w:szCs w:val="24"/>
          <w:lang w:val="en-US" w:eastAsia="zh-CN"/>
        </w:rPr>
        <w:t>caval</w:t>
      </w:r>
      <w:proofErr w:type="spellEnd"/>
      <w:r w:rsidR="00AB2305" w:rsidRPr="00CC34A3">
        <w:rPr>
          <w:rFonts w:ascii="Book Antiqua" w:eastAsia="SimSun" w:hAnsi="Book Antiqua" w:cs="Courier New"/>
          <w:color w:val="000000" w:themeColor="text1"/>
          <w:sz w:val="24"/>
          <w:szCs w:val="24"/>
          <w:lang w:val="en-US" w:eastAsia="zh-CN"/>
        </w:rPr>
        <w:t xml:space="preserve"> vein ligation) that could never be spontaneously alleviated, even though well-placed vessels or add</w:t>
      </w:r>
      <w:r w:rsidR="00837D9A" w:rsidRPr="00CC34A3">
        <w:rPr>
          <w:rFonts w:ascii="Book Antiqua" w:eastAsia="SimSun" w:hAnsi="Book Antiqua" w:cs="Courier New"/>
          <w:color w:val="000000" w:themeColor="text1"/>
          <w:sz w:val="24"/>
          <w:szCs w:val="24"/>
          <w:lang w:val="en-US" w:eastAsia="zh-CN"/>
        </w:rPr>
        <w:t>itional therapy with NO agents [</w:t>
      </w:r>
      <w:r w:rsidR="00AB2305" w:rsidRPr="00CC34A3">
        <w:rPr>
          <w:rFonts w:ascii="Book Antiqua" w:eastAsia="SimSun" w:hAnsi="Book Antiqua" w:cs="Courier New"/>
          <w:color w:val="000000" w:themeColor="text1"/>
          <w:sz w:val="24"/>
          <w:szCs w:val="24"/>
          <w:lang w:val="en-US" w:eastAsia="zh-CN"/>
        </w:rPr>
        <w:t>NOS-over</w:t>
      </w:r>
      <w:r w:rsidRPr="00CC34A3">
        <w:rPr>
          <w:rFonts w:ascii="Book Antiqua" w:eastAsia="SimSun" w:hAnsi="Book Antiqua" w:cs="Courier New"/>
          <w:color w:val="000000" w:themeColor="text1"/>
          <w:sz w:val="24"/>
          <w:szCs w:val="24"/>
          <w:lang w:val="en-US" w:eastAsia="zh-CN"/>
        </w:rPr>
        <w:t>-</w:t>
      </w:r>
      <w:r w:rsidR="00AB2305" w:rsidRPr="00CC34A3">
        <w:rPr>
          <w:rFonts w:ascii="Book Antiqua" w:eastAsia="SimSun" w:hAnsi="Book Antiqua" w:cs="Courier New"/>
          <w:color w:val="000000" w:themeColor="text1"/>
          <w:sz w:val="24"/>
          <w:szCs w:val="24"/>
          <w:lang w:val="en-US" w:eastAsia="zh-CN"/>
        </w:rPr>
        <w:t>activation (L-arginin</w:t>
      </w:r>
      <w:r w:rsidR="00837D9A" w:rsidRPr="00CC34A3">
        <w:rPr>
          <w:rFonts w:ascii="Book Antiqua" w:eastAsia="SimSun" w:hAnsi="Book Antiqua" w:cs="Courier New"/>
          <w:color w:val="000000" w:themeColor="text1"/>
          <w:sz w:val="24"/>
          <w:szCs w:val="24"/>
          <w:lang w:val="en-US" w:eastAsia="zh-CN"/>
        </w:rPr>
        <w:t>e) and/or NOS-blockade (L-NAME)]</w:t>
      </w:r>
      <w:r w:rsidR="00AB2305" w:rsidRPr="00CC34A3">
        <w:rPr>
          <w:rFonts w:ascii="Book Antiqua" w:eastAsia="SimSun" w:hAnsi="Book Antiqua" w:cs="Courier New"/>
          <w:color w:val="000000" w:themeColor="text1"/>
          <w:sz w:val="24"/>
          <w:szCs w:val="24"/>
          <w:lang w:val="en-US" w:eastAsia="zh-CN"/>
        </w:rPr>
        <w:t xml:space="preserve">. On the other hand, BPC 157 therapy resulted in promptly alleviated vascular presentation and then alleviated a perilous course of duodenal lesions in rats with SAPDV occlusions. </w:t>
      </w:r>
      <w:r w:rsidR="00AB2305" w:rsidRPr="00CC34A3">
        <w:rPr>
          <w:rFonts w:ascii="Book Antiqua" w:hAnsi="Book Antiqua" w:cs="Courier New"/>
          <w:color w:val="000000" w:themeColor="text1"/>
          <w:sz w:val="24"/>
          <w:szCs w:val="24"/>
          <w:lang w:val="en-US"/>
        </w:rPr>
        <w:t xml:space="preserve">We documented </w:t>
      </w:r>
      <w:proofErr w:type="gramStart"/>
      <w:r w:rsidR="00AB2305" w:rsidRPr="00CC34A3">
        <w:rPr>
          <w:rFonts w:ascii="Book Antiqua" w:hAnsi="Book Antiqua" w:cs="Courier New"/>
          <w:color w:val="000000" w:themeColor="text1"/>
          <w:sz w:val="24"/>
          <w:szCs w:val="24"/>
          <w:lang w:val="en-US"/>
        </w:rPr>
        <w:t>again</w:t>
      </w:r>
      <w:r w:rsidR="008311D1" w:rsidRPr="00CC34A3">
        <w:rPr>
          <w:rFonts w:ascii="Book Antiqua" w:hAnsi="Book Antiqua" w:cs="Courier New"/>
          <w:color w:val="000000" w:themeColor="text1"/>
          <w:sz w:val="24"/>
          <w:szCs w:val="24"/>
          <w:lang w:val="en-US"/>
        </w:rPr>
        <w:t xml:space="preserve"> </w:t>
      </w:r>
      <w:r w:rsidR="00AB2305" w:rsidRPr="00CC34A3">
        <w:rPr>
          <w:rFonts w:ascii="Book Antiqua" w:hAnsi="Book Antiqua" w:cs="Courier New"/>
          <w:color w:val="000000" w:themeColor="text1"/>
          <w:sz w:val="24"/>
          <w:szCs w:val="24"/>
          <w:lang w:val="en-US"/>
        </w:rPr>
        <w:t>”running</w:t>
      </w:r>
      <w:proofErr w:type="gramEnd"/>
      <w:r w:rsidR="00AB2305" w:rsidRPr="00CC34A3">
        <w:rPr>
          <w:rFonts w:ascii="Book Antiqua" w:hAnsi="Book Antiqua" w:cs="Courier New"/>
          <w:color w:val="000000" w:themeColor="text1"/>
          <w:sz w:val="24"/>
          <w:szCs w:val="24"/>
          <w:lang w:val="en-US"/>
        </w:rPr>
        <w:t xml:space="preserve">“ toward the bypassing vessel occlusion(s) and that BPC 157 after SAPDV occlusion quickly restores the blood supply to the </w:t>
      </w:r>
      <w:proofErr w:type="spellStart"/>
      <w:r w:rsidR="00AB2305" w:rsidRPr="00CC34A3">
        <w:rPr>
          <w:rFonts w:ascii="Book Antiqua" w:hAnsi="Book Antiqua" w:cs="Courier New"/>
          <w:color w:val="000000" w:themeColor="text1"/>
          <w:sz w:val="24"/>
          <w:szCs w:val="24"/>
          <w:lang w:val="en-US"/>
        </w:rPr>
        <w:t>ischemically</w:t>
      </w:r>
      <w:proofErr w:type="spellEnd"/>
      <w:r w:rsidR="00AB2305" w:rsidRPr="00CC34A3">
        <w:rPr>
          <w:rFonts w:ascii="Book Antiqua" w:hAnsi="Book Antiqua" w:cs="Courier New"/>
          <w:color w:val="000000" w:themeColor="text1"/>
          <w:sz w:val="24"/>
          <w:szCs w:val="24"/>
          <w:lang w:val="en-US"/>
        </w:rPr>
        <w:t xml:space="preserve"> injured area. BPC 157 rapidly activates collaterals much like a fundamental treatment that and counteracted the injurious course (ischemic </w:t>
      </w:r>
      <w:r w:rsidR="00AB2305" w:rsidRPr="00CC34A3">
        <w:rPr>
          <w:rFonts w:ascii="Book Antiqua" w:hAnsi="Book Antiqua" w:cs="Courier New"/>
          <w:color w:val="000000" w:themeColor="text1"/>
          <w:sz w:val="24"/>
          <w:szCs w:val="24"/>
          <w:lang w:val="en-US"/>
        </w:rPr>
        <w:lastRenderedPageBreak/>
        <w:t xml:space="preserve">colitis; the syndrome resulting from inferior </w:t>
      </w:r>
      <w:proofErr w:type="spellStart"/>
      <w:r w:rsidR="00AB2305" w:rsidRPr="00CC34A3">
        <w:rPr>
          <w:rFonts w:ascii="Book Antiqua" w:hAnsi="Book Antiqua" w:cs="Courier New"/>
          <w:color w:val="000000" w:themeColor="text1"/>
          <w:sz w:val="24"/>
          <w:szCs w:val="24"/>
          <w:lang w:val="en-US"/>
        </w:rPr>
        <w:t>caval</w:t>
      </w:r>
      <w:proofErr w:type="spellEnd"/>
      <w:r w:rsidR="00AB2305" w:rsidRPr="00CC34A3">
        <w:rPr>
          <w:rFonts w:ascii="Book Antiqua" w:hAnsi="Book Antiqua" w:cs="Courier New"/>
          <w:color w:val="000000" w:themeColor="text1"/>
          <w:sz w:val="24"/>
          <w:szCs w:val="24"/>
          <w:lang w:val="en-US"/>
        </w:rPr>
        <w:t xml:space="preserve"> vein infrarenal-ligation) and this effect involves the NO system and reduction of free radical formation</w:t>
      </w:r>
      <w:r w:rsidR="00AB2305" w:rsidRPr="00CC34A3">
        <w:rPr>
          <w:rFonts w:ascii="Book Antiqua" w:eastAsia="Calibri" w:hAnsi="Book Antiqua" w:cs="Courier New"/>
          <w:color w:val="000000" w:themeColor="text1"/>
          <w:sz w:val="24"/>
          <w:szCs w:val="24"/>
          <w:lang w:val="en-US"/>
        </w:rPr>
        <w:t>.</w:t>
      </w:r>
      <w:r w:rsidR="00AB2305" w:rsidRPr="00CC34A3">
        <w:rPr>
          <w:rFonts w:ascii="Book Antiqua" w:hAnsi="Book Antiqua" w:cs="Courier New"/>
          <w:color w:val="000000" w:themeColor="text1"/>
          <w:sz w:val="24"/>
          <w:szCs w:val="24"/>
          <w:lang w:val="en-US"/>
        </w:rPr>
        <w:t xml:space="preserve">  </w:t>
      </w:r>
    </w:p>
    <w:bookmarkEnd w:id="24"/>
    <w:p w14:paraId="2B7AB308" w14:textId="77777777" w:rsidR="00837D9A" w:rsidRPr="00CC34A3" w:rsidRDefault="00837D9A" w:rsidP="00CC34A3">
      <w:pPr>
        <w:adjustRightInd w:val="0"/>
        <w:snapToGrid w:val="0"/>
        <w:spacing w:after="0" w:line="360" w:lineRule="auto"/>
        <w:jc w:val="both"/>
        <w:outlineLvl w:val="0"/>
        <w:rPr>
          <w:rFonts w:ascii="Book Antiqua" w:eastAsia="SimSun" w:hAnsi="Book Antiqua" w:cs="Courier New"/>
          <w:b/>
          <w:i/>
          <w:color w:val="000000" w:themeColor="text1"/>
          <w:sz w:val="24"/>
          <w:szCs w:val="24"/>
          <w:lang w:val="en-US" w:eastAsia="zh-CN"/>
        </w:rPr>
      </w:pPr>
    </w:p>
    <w:p w14:paraId="63F330C0" w14:textId="77777777" w:rsidR="00D04874" w:rsidRPr="00CC34A3" w:rsidRDefault="00D04874" w:rsidP="00CC34A3">
      <w:pPr>
        <w:adjustRightInd w:val="0"/>
        <w:snapToGrid w:val="0"/>
        <w:spacing w:after="0" w:line="360" w:lineRule="auto"/>
        <w:jc w:val="both"/>
        <w:outlineLvl w:val="0"/>
        <w:rPr>
          <w:rFonts w:ascii="Book Antiqua" w:eastAsia="SimSun" w:hAnsi="Book Antiqua" w:cs="Courier New"/>
          <w:b/>
          <w:i/>
          <w:color w:val="000000" w:themeColor="text1"/>
          <w:sz w:val="24"/>
          <w:szCs w:val="24"/>
          <w:lang w:val="en-US" w:eastAsia="zh-CN"/>
        </w:rPr>
      </w:pPr>
      <w:r w:rsidRPr="00CC34A3">
        <w:rPr>
          <w:rFonts w:ascii="Book Antiqua" w:eastAsia="SimSun" w:hAnsi="Book Antiqua" w:cs="Courier New"/>
          <w:b/>
          <w:i/>
          <w:color w:val="000000" w:themeColor="text1"/>
          <w:sz w:val="24"/>
          <w:szCs w:val="24"/>
          <w:lang w:val="en-US" w:eastAsia="zh-CN"/>
        </w:rPr>
        <w:t>Research conclusions</w:t>
      </w:r>
    </w:p>
    <w:p w14:paraId="475018A7" w14:textId="567E5C86" w:rsidR="00D04874" w:rsidRPr="00CC34A3" w:rsidRDefault="00F53BAE" w:rsidP="00CC34A3">
      <w:pPr>
        <w:adjustRightInd w:val="0"/>
        <w:snapToGrid w:val="0"/>
        <w:spacing w:after="0" w:line="360" w:lineRule="auto"/>
        <w:jc w:val="both"/>
        <w:rPr>
          <w:rFonts w:ascii="Book Antiqua" w:eastAsia="SimSun" w:hAnsi="Book Antiqua" w:cs="Courier New"/>
          <w:color w:val="000000" w:themeColor="text1"/>
          <w:sz w:val="24"/>
          <w:szCs w:val="24"/>
          <w:shd w:val="clear" w:color="auto" w:fill="FFFFFF"/>
          <w:lang w:val="en-US" w:eastAsia="zh-CN"/>
        </w:rPr>
      </w:pPr>
      <w:r w:rsidRPr="00CC34A3">
        <w:rPr>
          <w:rFonts w:ascii="Book Antiqua" w:eastAsia="SimSun" w:hAnsi="Book Antiqua" w:cs="Courier New"/>
          <w:color w:val="000000" w:themeColor="text1"/>
          <w:sz w:val="24"/>
          <w:szCs w:val="24"/>
          <w:shd w:val="clear" w:color="auto" w:fill="FFFFFF"/>
          <w:lang w:val="en-US" w:eastAsia="zh-CN"/>
        </w:rPr>
        <w:t xml:space="preserve">The new phenomena that were found through experiments in this study of the duodenal lesions with an obstructed major vein (SAPDV) offered is the early positive outcome (“bypassing” effect) of BPC 157. The hypotheses that were confirmed through experiments in this study are related to the cytoprotective agents, to the effects originally noted in the stomach, which is the rapid endothelial protection. Using BPC 157 as a prototype cytoprotective agent, these mechanisms can prevent and resolve adjacent ischemic mucosal lesions providing activation of the collateral circulation. This activation is specific and can circumvent obstructions. That effect may be crucial for its persisting beneficial effect, even with continuous occlusions. The effect of BPC 157 in rats with SAPDV-ligation and previously, in rats with left colic artery and vein ligations may indicate that the action of BPC 157 overlaps in the duodenum and colon. BPC 157 plays an important role in with respect to the “bypassing” effect that maintains duodenum and colon mucosal integrity and interacts </w:t>
      </w:r>
      <w:r w:rsidR="00837D9A" w:rsidRPr="00CC34A3">
        <w:rPr>
          <w:rFonts w:ascii="Book Antiqua" w:eastAsia="SimSun" w:hAnsi="Book Antiqua" w:cs="Courier New"/>
          <w:color w:val="000000" w:themeColor="text1"/>
          <w:sz w:val="24"/>
          <w:szCs w:val="24"/>
          <w:shd w:val="clear" w:color="auto" w:fill="FFFFFF"/>
          <w:lang w:val="en-US" w:eastAsia="zh-CN"/>
        </w:rPr>
        <w:t>with the NO system [</w:t>
      </w:r>
      <w:r w:rsidRPr="00CC34A3">
        <w:rPr>
          <w:rFonts w:ascii="Book Antiqua" w:eastAsia="SimSun" w:hAnsi="Book Antiqua" w:cs="Courier New"/>
          <w:color w:val="000000" w:themeColor="text1"/>
          <w:sz w:val="24"/>
          <w:szCs w:val="24"/>
          <w:shd w:val="clear" w:color="auto" w:fill="FFFFFF"/>
          <w:lang w:val="en-US" w:eastAsia="zh-CN"/>
        </w:rPr>
        <w:t>L-NAME and L-arginine exhibited parallel effects (lesion worseni</w:t>
      </w:r>
      <w:r w:rsidR="00837D9A" w:rsidRPr="00CC34A3">
        <w:rPr>
          <w:rFonts w:ascii="Book Antiqua" w:eastAsia="SimSun" w:hAnsi="Book Antiqua" w:cs="Courier New"/>
          <w:color w:val="000000" w:themeColor="text1"/>
          <w:sz w:val="24"/>
          <w:szCs w:val="24"/>
          <w:shd w:val="clear" w:color="auto" w:fill="FFFFFF"/>
          <w:lang w:val="en-US" w:eastAsia="zh-CN"/>
        </w:rPr>
        <w:t>ng), which mitigated each other]</w:t>
      </w:r>
      <w:r w:rsidRPr="00CC34A3">
        <w:rPr>
          <w:rFonts w:ascii="Book Antiqua" w:eastAsia="SimSun" w:hAnsi="Book Antiqua" w:cs="Courier New"/>
          <w:color w:val="000000" w:themeColor="text1"/>
          <w:sz w:val="24"/>
          <w:szCs w:val="24"/>
          <w:shd w:val="clear" w:color="auto" w:fill="FFFFFF"/>
          <w:lang w:val="en-US" w:eastAsia="zh-CN"/>
        </w:rPr>
        <w:t xml:space="preserve"> in </w:t>
      </w:r>
      <w:r w:rsidR="00992FA2" w:rsidRPr="00CC34A3">
        <w:rPr>
          <w:rFonts w:ascii="Book Antiqua" w:eastAsia="SimSun" w:hAnsi="Book Antiqua" w:cs="Courier New"/>
          <w:color w:val="000000" w:themeColor="text1"/>
          <w:sz w:val="24"/>
          <w:szCs w:val="24"/>
          <w:shd w:val="clear" w:color="auto" w:fill="FFFFFF"/>
          <w:lang w:val="en-US" w:eastAsia="zh-CN"/>
        </w:rPr>
        <w:t>SAPDV</w:t>
      </w:r>
      <w:r w:rsidRPr="00CC34A3">
        <w:rPr>
          <w:rFonts w:ascii="Book Antiqua" w:eastAsia="SimSun" w:hAnsi="Book Antiqua" w:cs="Courier New"/>
          <w:color w:val="000000" w:themeColor="text1"/>
          <w:sz w:val="24"/>
          <w:szCs w:val="24"/>
          <w:shd w:val="clear" w:color="auto" w:fill="FFFFFF"/>
          <w:lang w:val="en-US" w:eastAsia="zh-CN"/>
        </w:rPr>
        <w:t xml:space="preserve">, left colic artery and vein circulation, and duodenal and colon lesions. Thus, these findings can be regarded as an implementation of the original </w:t>
      </w:r>
      <w:proofErr w:type="spellStart"/>
      <w:r w:rsidRPr="00CC34A3">
        <w:rPr>
          <w:rFonts w:ascii="Book Antiqua" w:eastAsia="SimSun" w:hAnsi="Book Antiqua" w:cs="Courier New"/>
          <w:color w:val="000000" w:themeColor="text1"/>
          <w:sz w:val="24"/>
          <w:szCs w:val="24"/>
          <w:shd w:val="clear" w:color="auto" w:fill="FFFFFF"/>
          <w:lang w:val="en-US" w:eastAsia="zh-CN"/>
        </w:rPr>
        <w:t>cytoprotection</w:t>
      </w:r>
      <w:proofErr w:type="spellEnd"/>
      <w:r w:rsidRPr="00CC34A3">
        <w:rPr>
          <w:rFonts w:ascii="Book Antiqua" w:eastAsia="SimSun" w:hAnsi="Book Antiqua" w:cs="Courier New"/>
          <w:color w:val="000000" w:themeColor="text1"/>
          <w:sz w:val="24"/>
          <w:szCs w:val="24"/>
          <w:shd w:val="clear" w:color="auto" w:fill="FFFFFF"/>
          <w:lang w:val="en-US" w:eastAsia="zh-CN"/>
        </w:rPr>
        <w:t xml:space="preserve"> concept in vascular occlusion therapy.</w:t>
      </w:r>
    </w:p>
    <w:p w14:paraId="01ED2277" w14:textId="77777777" w:rsidR="00F53BAE" w:rsidRPr="00CC34A3" w:rsidRDefault="00F53BAE" w:rsidP="00CC34A3">
      <w:pPr>
        <w:adjustRightInd w:val="0"/>
        <w:snapToGrid w:val="0"/>
        <w:spacing w:after="0" w:line="360" w:lineRule="auto"/>
        <w:jc w:val="both"/>
        <w:rPr>
          <w:rFonts w:ascii="Book Antiqua" w:eastAsia="DengXian" w:hAnsi="Book Antiqua" w:cs="Courier New"/>
          <w:color w:val="000000" w:themeColor="text1"/>
          <w:sz w:val="24"/>
          <w:szCs w:val="24"/>
          <w:shd w:val="clear" w:color="auto" w:fill="FFFFFF"/>
          <w:lang w:val="en-US" w:eastAsia="zh-CN"/>
        </w:rPr>
      </w:pPr>
    </w:p>
    <w:p w14:paraId="66CE96B5" w14:textId="77777777" w:rsidR="00D04874" w:rsidRPr="00CC34A3" w:rsidRDefault="00D04874" w:rsidP="00CC34A3">
      <w:pPr>
        <w:adjustRightInd w:val="0"/>
        <w:snapToGrid w:val="0"/>
        <w:spacing w:after="0" w:line="360" w:lineRule="auto"/>
        <w:jc w:val="both"/>
        <w:outlineLvl w:val="0"/>
        <w:rPr>
          <w:rFonts w:ascii="Book Antiqua" w:eastAsia="SimSun" w:hAnsi="Book Antiqua" w:cs="Courier New"/>
          <w:b/>
          <w:i/>
          <w:color w:val="000000" w:themeColor="text1"/>
          <w:sz w:val="24"/>
          <w:szCs w:val="24"/>
          <w:shd w:val="clear" w:color="auto" w:fill="FFFFFF"/>
          <w:lang w:val="en-US" w:eastAsia="zh-CN"/>
        </w:rPr>
      </w:pPr>
      <w:r w:rsidRPr="00CC34A3">
        <w:rPr>
          <w:rFonts w:ascii="Book Antiqua" w:eastAsia="SimSun" w:hAnsi="Book Antiqua" w:cs="Courier New"/>
          <w:b/>
          <w:i/>
          <w:color w:val="000000" w:themeColor="text1"/>
          <w:sz w:val="24"/>
          <w:szCs w:val="24"/>
          <w:shd w:val="clear" w:color="auto" w:fill="FFFFFF"/>
          <w:lang w:val="en-US" w:eastAsia="zh-CN"/>
        </w:rPr>
        <w:t>Research perspectives</w:t>
      </w:r>
    </w:p>
    <w:p w14:paraId="1E788801" w14:textId="5E52CB7B" w:rsidR="00D04874" w:rsidRPr="00CC34A3" w:rsidRDefault="00D04874" w:rsidP="00CC34A3">
      <w:pPr>
        <w:adjustRightInd w:val="0"/>
        <w:snapToGrid w:val="0"/>
        <w:spacing w:after="0" w:line="360" w:lineRule="auto"/>
        <w:jc w:val="both"/>
        <w:rPr>
          <w:rFonts w:ascii="Book Antiqua" w:eastAsia="SimSun" w:hAnsi="Book Antiqua" w:cs="Courier New"/>
          <w:color w:val="000000" w:themeColor="text1"/>
          <w:sz w:val="24"/>
          <w:szCs w:val="24"/>
          <w:lang w:val="en-US" w:eastAsia="zh-CN"/>
        </w:rPr>
      </w:pPr>
      <w:r w:rsidRPr="00CC34A3">
        <w:rPr>
          <w:rFonts w:ascii="Book Antiqua" w:eastAsia="SimSun" w:hAnsi="Book Antiqua" w:cs="Courier New"/>
          <w:color w:val="000000" w:themeColor="text1"/>
          <w:sz w:val="24"/>
          <w:szCs w:val="24"/>
          <w:lang w:val="en-US" w:eastAsia="zh-CN"/>
        </w:rPr>
        <w:t xml:space="preserve">For research perspectives, we attempted to alleviate major venous obstruction and duodenal lesions in rats with stable gastric </w:t>
      </w:r>
      <w:proofErr w:type="spellStart"/>
      <w:r w:rsidRPr="00CC34A3">
        <w:rPr>
          <w:rFonts w:ascii="Book Antiqua" w:eastAsia="SimSun" w:hAnsi="Book Antiqua" w:cs="Courier New"/>
          <w:color w:val="000000" w:themeColor="text1"/>
          <w:sz w:val="24"/>
          <w:szCs w:val="24"/>
          <w:lang w:val="en-US" w:eastAsia="zh-CN"/>
        </w:rPr>
        <w:t>pentadecapeptide</w:t>
      </w:r>
      <w:proofErr w:type="spellEnd"/>
      <w:r w:rsidRPr="00CC34A3">
        <w:rPr>
          <w:rFonts w:ascii="Book Antiqua" w:eastAsia="SimSun" w:hAnsi="Book Antiqua" w:cs="Courier New"/>
          <w:color w:val="000000" w:themeColor="text1"/>
          <w:sz w:val="24"/>
          <w:szCs w:val="24"/>
          <w:lang w:val="en-US" w:eastAsia="zh-CN"/>
        </w:rPr>
        <w:t xml:space="preserve"> BPC 157 treatment and to investigate its relation to the NO system. In duodenal lesion development, the </w:t>
      </w:r>
      <w:r w:rsidR="00992FA2" w:rsidRPr="00CC34A3">
        <w:rPr>
          <w:rFonts w:ascii="Book Antiqua" w:eastAsia="SimSun" w:hAnsi="Book Antiqua" w:cs="Courier New"/>
          <w:color w:val="000000" w:themeColor="text1"/>
          <w:sz w:val="24"/>
          <w:szCs w:val="24"/>
          <w:lang w:val="en-US" w:eastAsia="zh-CN"/>
        </w:rPr>
        <w:t>SAPDV</w:t>
      </w:r>
      <w:r w:rsidRPr="00CC34A3">
        <w:rPr>
          <w:rFonts w:ascii="Book Antiqua" w:eastAsia="SimSun" w:hAnsi="Book Antiqua" w:cs="Courier New"/>
          <w:color w:val="000000" w:themeColor="text1"/>
          <w:sz w:val="24"/>
          <w:szCs w:val="24"/>
          <w:lang w:val="en-US" w:eastAsia="zh-CN"/>
        </w:rPr>
        <w:t xml:space="preserve"> occlusion appears as the key failure that could never be spontaneously alleviated, even though well-placed vessels or add</w:t>
      </w:r>
      <w:r w:rsidR="00837D9A" w:rsidRPr="00CC34A3">
        <w:rPr>
          <w:rFonts w:ascii="Book Antiqua" w:eastAsia="SimSun" w:hAnsi="Book Antiqua" w:cs="Courier New"/>
          <w:color w:val="000000" w:themeColor="text1"/>
          <w:sz w:val="24"/>
          <w:szCs w:val="24"/>
          <w:lang w:val="en-US" w:eastAsia="zh-CN"/>
        </w:rPr>
        <w:t>itional therapy with NO agents [</w:t>
      </w:r>
      <w:r w:rsidRPr="00CC34A3">
        <w:rPr>
          <w:rFonts w:ascii="Book Antiqua" w:eastAsia="SimSun" w:hAnsi="Book Antiqua" w:cs="Courier New"/>
          <w:color w:val="000000" w:themeColor="text1"/>
          <w:sz w:val="24"/>
          <w:szCs w:val="24"/>
          <w:lang w:val="en-US" w:eastAsia="zh-CN"/>
        </w:rPr>
        <w:t>NOS-overactivation (L-arginin</w:t>
      </w:r>
      <w:r w:rsidR="00837D9A" w:rsidRPr="00CC34A3">
        <w:rPr>
          <w:rFonts w:ascii="Book Antiqua" w:eastAsia="SimSun" w:hAnsi="Book Antiqua" w:cs="Courier New"/>
          <w:color w:val="000000" w:themeColor="text1"/>
          <w:sz w:val="24"/>
          <w:szCs w:val="24"/>
          <w:lang w:val="en-US" w:eastAsia="zh-CN"/>
        </w:rPr>
        <w:t>e) and/or NOS-blockade (L-NAME)]</w:t>
      </w:r>
      <w:r w:rsidR="00773972" w:rsidRPr="00CC34A3">
        <w:rPr>
          <w:rFonts w:ascii="Book Antiqua" w:eastAsia="SimSun" w:hAnsi="Book Antiqua" w:cs="Courier New"/>
          <w:color w:val="000000" w:themeColor="text1"/>
          <w:sz w:val="24"/>
          <w:szCs w:val="24"/>
          <w:lang w:val="en-US" w:eastAsia="zh-CN"/>
        </w:rPr>
        <w:t xml:space="preserve">. </w:t>
      </w:r>
      <w:r w:rsidRPr="00CC34A3">
        <w:rPr>
          <w:rFonts w:ascii="Book Antiqua" w:eastAsia="SimSun" w:hAnsi="Book Antiqua" w:cs="Courier New"/>
          <w:color w:val="000000" w:themeColor="text1"/>
          <w:sz w:val="24"/>
          <w:szCs w:val="24"/>
          <w:lang w:val="en-US" w:eastAsia="zh-CN"/>
        </w:rPr>
        <w:t xml:space="preserve">Finally, BPC 157 therapy results in “bypassing” effect combined with mucosal integrity, or major </w:t>
      </w:r>
      <w:r w:rsidRPr="00CC34A3">
        <w:rPr>
          <w:rFonts w:ascii="Book Antiqua" w:eastAsia="SimSun" w:hAnsi="Book Antiqua" w:cs="Courier New"/>
          <w:color w:val="000000" w:themeColor="text1"/>
          <w:sz w:val="24"/>
          <w:szCs w:val="24"/>
          <w:lang w:val="en-US" w:eastAsia="zh-CN"/>
        </w:rPr>
        <w:lastRenderedPageBreak/>
        <w:t xml:space="preserve">vessel obstruction made harmless. These BPC 157 effects can be an implementation of the original </w:t>
      </w:r>
      <w:proofErr w:type="spellStart"/>
      <w:r w:rsidRPr="00CC34A3">
        <w:rPr>
          <w:rFonts w:ascii="Book Antiqua" w:eastAsia="SimSun" w:hAnsi="Book Antiqua" w:cs="Courier New"/>
          <w:color w:val="000000" w:themeColor="text1"/>
          <w:sz w:val="24"/>
          <w:szCs w:val="24"/>
          <w:lang w:val="en-US" w:eastAsia="zh-CN"/>
        </w:rPr>
        <w:t>cytoprotection</w:t>
      </w:r>
      <w:proofErr w:type="spellEnd"/>
      <w:r w:rsidRPr="00CC34A3">
        <w:rPr>
          <w:rFonts w:ascii="Book Antiqua" w:eastAsia="SimSun" w:hAnsi="Book Antiqua" w:cs="Courier New"/>
          <w:color w:val="000000" w:themeColor="text1"/>
          <w:sz w:val="24"/>
          <w:szCs w:val="24"/>
          <w:lang w:val="en-US" w:eastAsia="zh-CN"/>
        </w:rPr>
        <w:t xml:space="preserve"> concept in vascular occlusion therapy. </w:t>
      </w:r>
    </w:p>
    <w:p w14:paraId="32DC1E48" w14:textId="77777777" w:rsidR="00837D9A" w:rsidRPr="00CC34A3" w:rsidRDefault="00837D9A" w:rsidP="00CC34A3">
      <w:pPr>
        <w:adjustRightInd w:val="0"/>
        <w:snapToGrid w:val="0"/>
        <w:spacing w:after="0" w:line="360" w:lineRule="auto"/>
        <w:rPr>
          <w:rFonts w:ascii="Book Antiqua" w:eastAsia="SimSun" w:hAnsi="Book Antiqua" w:cs="Courier New"/>
          <w:color w:val="000000" w:themeColor="text1"/>
          <w:sz w:val="24"/>
          <w:szCs w:val="24"/>
          <w:lang w:val="en-US" w:eastAsia="zh-CN"/>
        </w:rPr>
      </w:pPr>
      <w:r w:rsidRPr="00CC34A3">
        <w:rPr>
          <w:rFonts w:ascii="Book Antiqua" w:eastAsia="SimSun" w:hAnsi="Book Antiqua" w:cs="Courier New"/>
          <w:color w:val="000000" w:themeColor="text1"/>
          <w:sz w:val="24"/>
          <w:szCs w:val="24"/>
          <w:lang w:val="en-US" w:eastAsia="zh-CN"/>
        </w:rPr>
        <w:br w:type="page"/>
      </w:r>
    </w:p>
    <w:p w14:paraId="650D62C0" w14:textId="491CDFFD" w:rsidR="006E2B0A" w:rsidRPr="00CC34A3" w:rsidRDefault="00837D9A" w:rsidP="00CC34A3">
      <w:pPr>
        <w:adjustRightInd w:val="0"/>
        <w:snapToGrid w:val="0"/>
        <w:spacing w:after="0" w:line="360" w:lineRule="auto"/>
        <w:jc w:val="both"/>
        <w:outlineLvl w:val="0"/>
        <w:rPr>
          <w:rFonts w:ascii="Book Antiqua" w:eastAsia="Times New Roman" w:hAnsi="Book Antiqua" w:cs="Times New Roman"/>
          <w:b/>
          <w:color w:val="000000" w:themeColor="text1"/>
          <w:sz w:val="24"/>
          <w:szCs w:val="24"/>
          <w:lang w:val="en-US" w:eastAsia="hr-HR"/>
        </w:rPr>
      </w:pPr>
      <w:r w:rsidRPr="00CC34A3">
        <w:rPr>
          <w:rFonts w:ascii="Book Antiqua" w:eastAsia="Times New Roman" w:hAnsi="Book Antiqua" w:cs="Times New Roman"/>
          <w:b/>
          <w:color w:val="000000" w:themeColor="text1"/>
          <w:sz w:val="24"/>
          <w:szCs w:val="24"/>
          <w:lang w:val="en-US" w:eastAsia="hr-HR"/>
        </w:rPr>
        <w:lastRenderedPageBreak/>
        <w:t>REFERENCES</w:t>
      </w:r>
    </w:p>
    <w:p w14:paraId="52F7A027" w14:textId="77777777" w:rsidR="00A559CA" w:rsidRPr="00CC34A3" w:rsidRDefault="006E2B0A" w:rsidP="00CC34A3">
      <w:pPr>
        <w:widowControl w:val="0"/>
        <w:autoSpaceDE w:val="0"/>
        <w:autoSpaceDN w:val="0"/>
        <w:adjustRightInd w:val="0"/>
        <w:snapToGrid w:val="0"/>
        <w:spacing w:after="0" w:line="360" w:lineRule="auto"/>
        <w:jc w:val="both"/>
        <w:rPr>
          <w:rFonts w:ascii="Book Antiqua" w:eastAsia="Calibri" w:hAnsi="Book Antiqua"/>
          <w:color w:val="000000" w:themeColor="text1"/>
          <w:sz w:val="24"/>
          <w:szCs w:val="24"/>
        </w:rPr>
      </w:pPr>
      <w:r w:rsidRPr="00CC34A3">
        <w:rPr>
          <w:rFonts w:ascii="Book Antiqua" w:eastAsia="Calibri" w:hAnsi="Book Antiqua" w:cs="Times New Roman"/>
          <w:color w:val="000000" w:themeColor="text1"/>
          <w:sz w:val="24"/>
          <w:szCs w:val="24"/>
          <w:lang w:val="en-US"/>
        </w:rPr>
        <w:fldChar w:fldCharType="begin" w:fldLock="1"/>
      </w:r>
      <w:r w:rsidRPr="00CC34A3">
        <w:rPr>
          <w:rFonts w:ascii="Book Antiqua" w:eastAsia="Calibri" w:hAnsi="Book Antiqua" w:cs="Times New Roman"/>
          <w:color w:val="000000" w:themeColor="text1"/>
          <w:sz w:val="24"/>
          <w:szCs w:val="24"/>
          <w:lang w:val="en-US"/>
        </w:rPr>
        <w:instrText xml:space="preserve">ADDIN Mendeley Bibliography CSL_BIBLIOGRAPHY </w:instrText>
      </w:r>
      <w:r w:rsidRPr="00CC34A3">
        <w:rPr>
          <w:rFonts w:ascii="Book Antiqua" w:eastAsia="Calibri" w:hAnsi="Book Antiqua" w:cs="Times New Roman"/>
          <w:color w:val="000000" w:themeColor="text1"/>
          <w:sz w:val="24"/>
          <w:szCs w:val="24"/>
          <w:lang w:val="en-US"/>
        </w:rPr>
        <w:fldChar w:fldCharType="separate"/>
      </w:r>
      <w:r w:rsidR="00A559CA" w:rsidRPr="00CC34A3">
        <w:rPr>
          <w:rFonts w:ascii="Book Antiqua" w:eastAsia="Calibri" w:hAnsi="Book Antiqua"/>
          <w:color w:val="000000" w:themeColor="text1"/>
          <w:sz w:val="24"/>
          <w:szCs w:val="24"/>
        </w:rPr>
        <w:t>1 </w:t>
      </w:r>
      <w:r w:rsidR="00A559CA" w:rsidRPr="00CC34A3">
        <w:rPr>
          <w:rFonts w:ascii="Book Antiqua" w:eastAsia="Calibri" w:hAnsi="Book Antiqua"/>
          <w:b/>
          <w:bCs/>
          <w:color w:val="000000" w:themeColor="text1"/>
          <w:sz w:val="24"/>
          <w:szCs w:val="24"/>
        </w:rPr>
        <w:t>Sikiric P</w:t>
      </w:r>
      <w:r w:rsidR="00A559CA" w:rsidRPr="00CC34A3">
        <w:rPr>
          <w:rFonts w:ascii="Book Antiqua" w:eastAsia="Calibri" w:hAnsi="Book Antiqua"/>
          <w:color w:val="000000" w:themeColor="text1"/>
          <w:sz w:val="24"/>
          <w:szCs w:val="24"/>
        </w:rPr>
        <w:t>, Seiwerth S, Rucman R, Drmic D, Stupnisek M, Kokot A, Sever M, Zoricic I, Zoricic Z, Batelja L, Ziger T, Luetic K, Vlainic J, Rasic Z, Bencic ML. Stress in Gastrointestinal Tract and Stable Gastric Pentadecapeptide BPC 157. Finally, do we have a Solution? </w:t>
      </w:r>
      <w:r w:rsidR="00A559CA" w:rsidRPr="00CC34A3">
        <w:rPr>
          <w:rFonts w:ascii="Book Antiqua" w:eastAsia="Calibri" w:hAnsi="Book Antiqua"/>
          <w:i/>
          <w:iCs/>
          <w:color w:val="000000" w:themeColor="text1"/>
          <w:sz w:val="24"/>
          <w:szCs w:val="24"/>
        </w:rPr>
        <w:t>Curr Pharm Des</w:t>
      </w:r>
      <w:r w:rsidR="00A559CA" w:rsidRPr="00CC34A3">
        <w:rPr>
          <w:rFonts w:ascii="Book Antiqua" w:eastAsia="Calibri" w:hAnsi="Book Antiqua"/>
          <w:color w:val="000000" w:themeColor="text1"/>
          <w:sz w:val="24"/>
          <w:szCs w:val="24"/>
        </w:rPr>
        <w:t> 2017; </w:t>
      </w:r>
      <w:r w:rsidR="00A559CA" w:rsidRPr="00CC34A3">
        <w:rPr>
          <w:rFonts w:ascii="Book Antiqua" w:eastAsia="Calibri" w:hAnsi="Book Antiqua"/>
          <w:b/>
          <w:bCs/>
          <w:color w:val="000000" w:themeColor="text1"/>
          <w:sz w:val="24"/>
          <w:szCs w:val="24"/>
        </w:rPr>
        <w:t>23</w:t>
      </w:r>
      <w:r w:rsidR="00A559CA" w:rsidRPr="00CC34A3">
        <w:rPr>
          <w:rFonts w:ascii="Book Antiqua" w:eastAsia="Calibri" w:hAnsi="Book Antiqua"/>
          <w:color w:val="000000" w:themeColor="text1"/>
          <w:sz w:val="24"/>
          <w:szCs w:val="24"/>
        </w:rPr>
        <w:t>: 4012-4028 [PMID: 28228068 DOI: 10.2174/1381612823666170220163219]</w:t>
      </w:r>
    </w:p>
    <w:p w14:paraId="00C7CDBE"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2 </w:t>
      </w:r>
      <w:r w:rsidRPr="00CC34A3">
        <w:rPr>
          <w:rFonts w:ascii="Book Antiqua" w:eastAsia="Calibri" w:hAnsi="Book Antiqua" w:cs="Times New Roman"/>
          <w:b/>
          <w:bCs/>
          <w:color w:val="000000" w:themeColor="text1"/>
          <w:sz w:val="24"/>
          <w:szCs w:val="24"/>
          <w:lang w:val="en-US"/>
        </w:rPr>
        <w:t>Sikiric P</w:t>
      </w:r>
      <w:r w:rsidRPr="00CC34A3">
        <w:rPr>
          <w:rFonts w:ascii="Book Antiqua" w:eastAsia="Calibri" w:hAnsi="Book Antiqua" w:cs="Times New Roman"/>
          <w:color w:val="000000" w:themeColor="text1"/>
          <w:sz w:val="24"/>
          <w:szCs w:val="24"/>
          <w:lang w:val="en-US"/>
        </w:rPr>
        <w:t>, Seiwerth S, Rucman R, Kolenc D, Vuletic LB, Drmic D, Grgic T, Strbe S, Zukanovic G, Crvenkovic D, Madzarac G, Rukavina I, Sucic M, Baric M, Starcevic N, Krstonijevic Z, Bencic ML, Filipcic I, Rokotov DS, Vlainic J. Brain-gut Axis and Pentadecapeptide BPC 157: Theoretical and Practical Implications. </w:t>
      </w:r>
      <w:r w:rsidRPr="00CC34A3">
        <w:rPr>
          <w:rFonts w:ascii="Book Antiqua" w:eastAsia="Calibri" w:hAnsi="Book Antiqua" w:cs="Times New Roman"/>
          <w:i/>
          <w:iCs/>
          <w:color w:val="000000" w:themeColor="text1"/>
          <w:sz w:val="24"/>
          <w:szCs w:val="24"/>
          <w:lang w:val="en-US"/>
        </w:rPr>
        <w:t>Curr Neuropharmacol</w:t>
      </w:r>
      <w:r w:rsidRPr="00CC34A3">
        <w:rPr>
          <w:rFonts w:ascii="Book Antiqua" w:eastAsia="Calibri" w:hAnsi="Book Antiqua" w:cs="Times New Roman"/>
          <w:color w:val="000000" w:themeColor="text1"/>
          <w:sz w:val="24"/>
          <w:szCs w:val="24"/>
          <w:lang w:val="en-US"/>
        </w:rPr>
        <w:t> 2016; </w:t>
      </w:r>
      <w:r w:rsidRPr="00CC34A3">
        <w:rPr>
          <w:rFonts w:ascii="Book Antiqua" w:eastAsia="Calibri" w:hAnsi="Book Antiqua" w:cs="Times New Roman"/>
          <w:b/>
          <w:bCs/>
          <w:color w:val="000000" w:themeColor="text1"/>
          <w:sz w:val="24"/>
          <w:szCs w:val="24"/>
          <w:lang w:val="en-US"/>
        </w:rPr>
        <w:t>14</w:t>
      </w:r>
      <w:r w:rsidRPr="00CC34A3">
        <w:rPr>
          <w:rFonts w:ascii="Book Antiqua" w:eastAsia="Calibri" w:hAnsi="Book Antiqua" w:cs="Times New Roman"/>
          <w:color w:val="000000" w:themeColor="text1"/>
          <w:sz w:val="24"/>
          <w:szCs w:val="24"/>
          <w:lang w:val="en-US"/>
        </w:rPr>
        <w:t>: 857-865 [PMID: 27138887]</w:t>
      </w:r>
    </w:p>
    <w:p w14:paraId="0C2C8FC6"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3 </w:t>
      </w:r>
      <w:r w:rsidRPr="00CC34A3">
        <w:rPr>
          <w:rFonts w:ascii="Book Antiqua" w:eastAsia="Calibri" w:hAnsi="Book Antiqua" w:cs="Times New Roman"/>
          <w:b/>
          <w:bCs/>
          <w:color w:val="000000" w:themeColor="text1"/>
          <w:sz w:val="24"/>
          <w:szCs w:val="24"/>
          <w:lang w:val="en-US"/>
        </w:rPr>
        <w:t>Seiwerth S</w:t>
      </w:r>
      <w:r w:rsidRPr="00CC34A3">
        <w:rPr>
          <w:rFonts w:ascii="Book Antiqua" w:eastAsia="Calibri" w:hAnsi="Book Antiqua" w:cs="Times New Roman"/>
          <w:color w:val="000000" w:themeColor="text1"/>
          <w:sz w:val="24"/>
          <w:szCs w:val="24"/>
          <w:lang w:val="en-US"/>
        </w:rPr>
        <w:t>, Brcic L, Vuletic LB, Kolenc D, Aralica G, Misic M, Zenko A, Drmic D, Rucman R, Sikiric P. BPC 157 and blood vessels. </w:t>
      </w:r>
      <w:r w:rsidRPr="00CC34A3">
        <w:rPr>
          <w:rFonts w:ascii="Book Antiqua" w:eastAsia="Calibri" w:hAnsi="Book Antiqua" w:cs="Times New Roman"/>
          <w:i/>
          <w:iCs/>
          <w:color w:val="000000" w:themeColor="text1"/>
          <w:sz w:val="24"/>
          <w:szCs w:val="24"/>
          <w:lang w:val="en-US"/>
        </w:rPr>
        <w:t>Curr Pharm Des</w:t>
      </w:r>
      <w:r w:rsidRPr="00CC34A3">
        <w:rPr>
          <w:rFonts w:ascii="Book Antiqua" w:eastAsia="Calibri" w:hAnsi="Book Antiqua" w:cs="Times New Roman"/>
          <w:color w:val="000000" w:themeColor="text1"/>
          <w:sz w:val="24"/>
          <w:szCs w:val="24"/>
          <w:lang w:val="en-US"/>
        </w:rPr>
        <w:t> 2014; </w:t>
      </w:r>
      <w:r w:rsidRPr="00CC34A3">
        <w:rPr>
          <w:rFonts w:ascii="Book Antiqua" w:eastAsia="Calibri" w:hAnsi="Book Antiqua" w:cs="Times New Roman"/>
          <w:b/>
          <w:bCs/>
          <w:color w:val="000000" w:themeColor="text1"/>
          <w:sz w:val="24"/>
          <w:szCs w:val="24"/>
          <w:lang w:val="en-US"/>
        </w:rPr>
        <w:t>20</w:t>
      </w:r>
      <w:r w:rsidRPr="00CC34A3">
        <w:rPr>
          <w:rFonts w:ascii="Book Antiqua" w:eastAsia="Calibri" w:hAnsi="Book Antiqua" w:cs="Times New Roman"/>
          <w:color w:val="000000" w:themeColor="text1"/>
          <w:sz w:val="24"/>
          <w:szCs w:val="24"/>
          <w:lang w:val="en-US"/>
        </w:rPr>
        <w:t>: 1121-1125 [PMID: 23782145]</w:t>
      </w:r>
    </w:p>
    <w:p w14:paraId="249456AE"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4 </w:t>
      </w:r>
      <w:r w:rsidRPr="00CC34A3">
        <w:rPr>
          <w:rFonts w:ascii="Book Antiqua" w:eastAsia="Calibri" w:hAnsi="Book Antiqua" w:cs="Times New Roman"/>
          <w:b/>
          <w:bCs/>
          <w:color w:val="000000" w:themeColor="text1"/>
          <w:sz w:val="24"/>
          <w:szCs w:val="24"/>
          <w:lang w:val="en-US"/>
        </w:rPr>
        <w:t>Sikiric P</w:t>
      </w:r>
      <w:r w:rsidRPr="00CC34A3">
        <w:rPr>
          <w:rFonts w:ascii="Book Antiqua" w:eastAsia="Calibri" w:hAnsi="Book Antiqua" w:cs="Times New Roman"/>
          <w:color w:val="000000" w:themeColor="text1"/>
          <w:sz w:val="24"/>
          <w:szCs w:val="24"/>
          <w:lang w:val="en-US"/>
        </w:rPr>
        <w:t>, Seiwerth S, Rucman R, Turkovic B, Rokotov DS, Brcic L, Sever M, Klicek R, Radic B, Drmic D, Ilic S, Kolenc D, Aralica G, Stupnisek M, Suran J, Barisic I, Dzidic S, Vrcic H, Sebecic B. Stable gastric pentadecapeptide BPC 157-NO-system relation. </w:t>
      </w:r>
      <w:r w:rsidRPr="00CC34A3">
        <w:rPr>
          <w:rFonts w:ascii="Book Antiqua" w:eastAsia="Calibri" w:hAnsi="Book Antiqua" w:cs="Times New Roman"/>
          <w:i/>
          <w:iCs/>
          <w:color w:val="000000" w:themeColor="text1"/>
          <w:sz w:val="24"/>
          <w:szCs w:val="24"/>
          <w:lang w:val="en-US"/>
        </w:rPr>
        <w:t>Curr Pharm Des</w:t>
      </w:r>
      <w:r w:rsidRPr="00CC34A3">
        <w:rPr>
          <w:rFonts w:ascii="Book Antiqua" w:eastAsia="Calibri" w:hAnsi="Book Antiqua" w:cs="Times New Roman"/>
          <w:color w:val="000000" w:themeColor="text1"/>
          <w:sz w:val="24"/>
          <w:szCs w:val="24"/>
          <w:lang w:val="en-US"/>
        </w:rPr>
        <w:t> 2014; </w:t>
      </w:r>
      <w:r w:rsidRPr="00CC34A3">
        <w:rPr>
          <w:rFonts w:ascii="Book Antiqua" w:eastAsia="Calibri" w:hAnsi="Book Antiqua" w:cs="Times New Roman"/>
          <w:b/>
          <w:bCs/>
          <w:color w:val="000000" w:themeColor="text1"/>
          <w:sz w:val="24"/>
          <w:szCs w:val="24"/>
          <w:lang w:val="en-US"/>
        </w:rPr>
        <w:t>20</w:t>
      </w:r>
      <w:r w:rsidRPr="00CC34A3">
        <w:rPr>
          <w:rFonts w:ascii="Book Antiqua" w:eastAsia="Calibri" w:hAnsi="Book Antiqua" w:cs="Times New Roman"/>
          <w:color w:val="000000" w:themeColor="text1"/>
          <w:sz w:val="24"/>
          <w:szCs w:val="24"/>
          <w:lang w:val="en-US"/>
        </w:rPr>
        <w:t>: 1126-1135 [PMID: 23755725]</w:t>
      </w:r>
    </w:p>
    <w:p w14:paraId="69CE1595"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5 </w:t>
      </w:r>
      <w:r w:rsidRPr="00CC34A3">
        <w:rPr>
          <w:rFonts w:ascii="Book Antiqua" w:eastAsia="Calibri" w:hAnsi="Book Antiqua" w:cs="Times New Roman"/>
          <w:b/>
          <w:bCs/>
          <w:color w:val="000000" w:themeColor="text1"/>
          <w:sz w:val="24"/>
          <w:szCs w:val="24"/>
          <w:lang w:val="en-US"/>
        </w:rPr>
        <w:t>Sikiric P</w:t>
      </w:r>
      <w:r w:rsidRPr="00CC34A3">
        <w:rPr>
          <w:rFonts w:ascii="Book Antiqua" w:eastAsia="Calibri" w:hAnsi="Book Antiqua" w:cs="Times New Roman"/>
          <w:color w:val="000000" w:themeColor="text1"/>
          <w:sz w:val="24"/>
          <w:szCs w:val="24"/>
          <w:lang w:val="en-US"/>
        </w:rPr>
        <w:t>, Seiwerth S, Rucman R, Turkovic B, Rokotov DS, Brcic L, Sever M, Klicek R, Radic B, Drmic D, Ilic S, Kolenc D, Aralica G, Safic H, Suran J, Rak D, Dzidic S, Vrcic H, Sebecic B. Toxicity by NSAIDs. Counteraction by stable gastric pentadecapeptide BPC 157. </w:t>
      </w:r>
      <w:r w:rsidRPr="00CC34A3">
        <w:rPr>
          <w:rFonts w:ascii="Book Antiqua" w:eastAsia="Calibri" w:hAnsi="Book Antiqua" w:cs="Times New Roman"/>
          <w:i/>
          <w:iCs/>
          <w:color w:val="000000" w:themeColor="text1"/>
          <w:sz w:val="24"/>
          <w:szCs w:val="24"/>
          <w:lang w:val="en-US"/>
        </w:rPr>
        <w:t>Curr Pharm Des</w:t>
      </w:r>
      <w:r w:rsidRPr="00CC34A3">
        <w:rPr>
          <w:rFonts w:ascii="Book Antiqua" w:eastAsia="Calibri" w:hAnsi="Book Antiqua" w:cs="Times New Roman"/>
          <w:color w:val="000000" w:themeColor="text1"/>
          <w:sz w:val="24"/>
          <w:szCs w:val="24"/>
          <w:lang w:val="en-US"/>
        </w:rPr>
        <w:t> 2013; </w:t>
      </w:r>
      <w:r w:rsidRPr="00CC34A3">
        <w:rPr>
          <w:rFonts w:ascii="Book Antiqua" w:eastAsia="Calibri" w:hAnsi="Book Antiqua" w:cs="Times New Roman"/>
          <w:b/>
          <w:bCs/>
          <w:color w:val="000000" w:themeColor="text1"/>
          <w:sz w:val="24"/>
          <w:szCs w:val="24"/>
          <w:lang w:val="en-US"/>
        </w:rPr>
        <w:t>19</w:t>
      </w:r>
      <w:r w:rsidRPr="00CC34A3">
        <w:rPr>
          <w:rFonts w:ascii="Book Antiqua" w:eastAsia="Calibri" w:hAnsi="Book Antiqua" w:cs="Times New Roman"/>
          <w:color w:val="000000" w:themeColor="text1"/>
          <w:sz w:val="24"/>
          <w:szCs w:val="24"/>
          <w:lang w:val="en-US"/>
        </w:rPr>
        <w:t>: 76-83 [PMID: 22950504]</w:t>
      </w:r>
    </w:p>
    <w:p w14:paraId="221ED873"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6 </w:t>
      </w:r>
      <w:r w:rsidRPr="00CC34A3">
        <w:rPr>
          <w:rFonts w:ascii="Book Antiqua" w:eastAsia="Calibri" w:hAnsi="Book Antiqua" w:cs="Times New Roman"/>
          <w:b/>
          <w:bCs/>
          <w:color w:val="000000" w:themeColor="text1"/>
          <w:sz w:val="24"/>
          <w:szCs w:val="24"/>
          <w:lang w:val="en-US"/>
        </w:rPr>
        <w:t>Sikiric P</w:t>
      </w:r>
      <w:r w:rsidRPr="00CC34A3">
        <w:rPr>
          <w:rFonts w:ascii="Book Antiqua" w:eastAsia="Calibri" w:hAnsi="Book Antiqua" w:cs="Times New Roman"/>
          <w:color w:val="000000" w:themeColor="text1"/>
          <w:sz w:val="24"/>
          <w:szCs w:val="24"/>
          <w:lang w:val="en-US"/>
        </w:rPr>
        <w:t>, Seiwerth S, Rucman R, Turkovic B, Rokotov DS, Brcic L, Sever M, Klicek R, Radic B, Drmic D, Ilic S, Kolenc D, Stambolija V, Zoricic Z, Vrcic H, Sebecic B. Focus on ulcerative colitis: stable gastric pentadecapeptide BPC 157. </w:t>
      </w:r>
      <w:r w:rsidRPr="00CC34A3">
        <w:rPr>
          <w:rFonts w:ascii="Book Antiqua" w:eastAsia="Calibri" w:hAnsi="Book Antiqua" w:cs="Times New Roman"/>
          <w:i/>
          <w:iCs/>
          <w:color w:val="000000" w:themeColor="text1"/>
          <w:sz w:val="24"/>
          <w:szCs w:val="24"/>
          <w:lang w:val="en-US"/>
        </w:rPr>
        <w:t>Curr Med Chem</w:t>
      </w:r>
      <w:r w:rsidRPr="00CC34A3">
        <w:rPr>
          <w:rFonts w:ascii="Book Antiqua" w:eastAsia="Calibri" w:hAnsi="Book Antiqua" w:cs="Times New Roman"/>
          <w:color w:val="000000" w:themeColor="text1"/>
          <w:sz w:val="24"/>
          <w:szCs w:val="24"/>
          <w:lang w:val="en-US"/>
        </w:rPr>
        <w:t> 2012; </w:t>
      </w:r>
      <w:r w:rsidRPr="00CC34A3">
        <w:rPr>
          <w:rFonts w:ascii="Book Antiqua" w:eastAsia="Calibri" w:hAnsi="Book Antiqua" w:cs="Times New Roman"/>
          <w:b/>
          <w:bCs/>
          <w:color w:val="000000" w:themeColor="text1"/>
          <w:sz w:val="24"/>
          <w:szCs w:val="24"/>
          <w:lang w:val="en-US"/>
        </w:rPr>
        <w:t>19</w:t>
      </w:r>
      <w:r w:rsidRPr="00CC34A3">
        <w:rPr>
          <w:rFonts w:ascii="Book Antiqua" w:eastAsia="Calibri" w:hAnsi="Book Antiqua" w:cs="Times New Roman"/>
          <w:color w:val="000000" w:themeColor="text1"/>
          <w:sz w:val="24"/>
          <w:szCs w:val="24"/>
          <w:lang w:val="en-US"/>
        </w:rPr>
        <w:t>: 126-132 [PMID: 22300085]</w:t>
      </w:r>
    </w:p>
    <w:p w14:paraId="1462715F"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7 </w:t>
      </w:r>
      <w:r w:rsidRPr="00CC34A3">
        <w:rPr>
          <w:rFonts w:ascii="Book Antiqua" w:eastAsia="Calibri" w:hAnsi="Book Antiqua" w:cs="Times New Roman"/>
          <w:b/>
          <w:bCs/>
          <w:color w:val="000000" w:themeColor="text1"/>
          <w:sz w:val="24"/>
          <w:szCs w:val="24"/>
          <w:lang w:val="en-US"/>
        </w:rPr>
        <w:t>Sikiric P</w:t>
      </w:r>
      <w:r w:rsidRPr="00CC34A3">
        <w:rPr>
          <w:rFonts w:ascii="Book Antiqua" w:eastAsia="Calibri" w:hAnsi="Book Antiqua" w:cs="Times New Roman"/>
          <w:color w:val="000000" w:themeColor="text1"/>
          <w:sz w:val="24"/>
          <w:szCs w:val="24"/>
          <w:lang w:val="en-US"/>
        </w:rPr>
        <w:t>, Seiwerth S, Rucman R, Turkovic B, Rokotov DS, Brcic L, Sever M, Klicek R, Radic B, Drmic D, Ilic S, Kolenc D, Vrcic H, Sebecic B. Stable gastric pentadecapeptide BPC 157: novel therapy in gastrointestinal tract. </w:t>
      </w:r>
      <w:r w:rsidRPr="00CC34A3">
        <w:rPr>
          <w:rFonts w:ascii="Book Antiqua" w:eastAsia="Calibri" w:hAnsi="Book Antiqua" w:cs="Times New Roman"/>
          <w:i/>
          <w:iCs/>
          <w:color w:val="000000" w:themeColor="text1"/>
          <w:sz w:val="24"/>
          <w:szCs w:val="24"/>
          <w:lang w:val="en-US"/>
        </w:rPr>
        <w:t>Curr Pharm Des</w:t>
      </w:r>
      <w:r w:rsidRPr="00CC34A3">
        <w:rPr>
          <w:rFonts w:ascii="Book Antiqua" w:eastAsia="Calibri" w:hAnsi="Book Antiqua" w:cs="Times New Roman"/>
          <w:color w:val="000000" w:themeColor="text1"/>
          <w:sz w:val="24"/>
          <w:szCs w:val="24"/>
          <w:lang w:val="en-US"/>
        </w:rPr>
        <w:t> 2011; </w:t>
      </w:r>
      <w:r w:rsidRPr="00CC34A3">
        <w:rPr>
          <w:rFonts w:ascii="Book Antiqua" w:eastAsia="Calibri" w:hAnsi="Book Antiqua" w:cs="Times New Roman"/>
          <w:b/>
          <w:bCs/>
          <w:color w:val="000000" w:themeColor="text1"/>
          <w:sz w:val="24"/>
          <w:szCs w:val="24"/>
          <w:lang w:val="en-US"/>
        </w:rPr>
        <w:t>17</w:t>
      </w:r>
      <w:r w:rsidRPr="00CC34A3">
        <w:rPr>
          <w:rFonts w:ascii="Book Antiqua" w:eastAsia="Calibri" w:hAnsi="Book Antiqua" w:cs="Times New Roman"/>
          <w:color w:val="000000" w:themeColor="text1"/>
          <w:sz w:val="24"/>
          <w:szCs w:val="24"/>
          <w:lang w:val="en-US"/>
        </w:rPr>
        <w:t>: 1612-1632 [PMID: 21548867 DOI: 10.2174/138161211796196954]</w:t>
      </w:r>
    </w:p>
    <w:p w14:paraId="1FA408D4"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8 </w:t>
      </w:r>
      <w:r w:rsidRPr="00CC34A3">
        <w:rPr>
          <w:rFonts w:ascii="Book Antiqua" w:eastAsia="Calibri" w:hAnsi="Book Antiqua" w:cs="Times New Roman"/>
          <w:b/>
          <w:bCs/>
          <w:color w:val="000000" w:themeColor="text1"/>
          <w:sz w:val="24"/>
          <w:szCs w:val="24"/>
          <w:lang w:val="en-US"/>
        </w:rPr>
        <w:t>Sikiric P</w:t>
      </w:r>
      <w:r w:rsidRPr="00CC34A3">
        <w:rPr>
          <w:rFonts w:ascii="Book Antiqua" w:eastAsia="Calibri" w:hAnsi="Book Antiqua" w:cs="Times New Roman"/>
          <w:color w:val="000000" w:themeColor="text1"/>
          <w:sz w:val="24"/>
          <w:szCs w:val="24"/>
          <w:lang w:val="en-US"/>
        </w:rPr>
        <w:t xml:space="preserve">, Seiwerth S, Brcic L, Sever M, Klicek R, Radic B, Drmic D, Ilic S, Kolenc D. </w:t>
      </w:r>
      <w:r w:rsidRPr="00CC34A3">
        <w:rPr>
          <w:rFonts w:ascii="Book Antiqua" w:eastAsia="Calibri" w:hAnsi="Book Antiqua" w:cs="Times New Roman"/>
          <w:color w:val="000000" w:themeColor="text1"/>
          <w:sz w:val="24"/>
          <w:szCs w:val="24"/>
          <w:lang w:val="en-US"/>
        </w:rPr>
        <w:lastRenderedPageBreak/>
        <w:t>Revised Robert's cytoprotection and adaptive cytoprotection and stable gastric pentadecapeptide BPC 157. Possible significance and implications for novel mediator. </w:t>
      </w:r>
      <w:r w:rsidRPr="00CC34A3">
        <w:rPr>
          <w:rFonts w:ascii="Book Antiqua" w:eastAsia="Calibri" w:hAnsi="Book Antiqua" w:cs="Times New Roman"/>
          <w:i/>
          <w:iCs/>
          <w:color w:val="000000" w:themeColor="text1"/>
          <w:sz w:val="24"/>
          <w:szCs w:val="24"/>
          <w:lang w:val="en-US"/>
        </w:rPr>
        <w:t>Curr Pharm Des</w:t>
      </w:r>
      <w:r w:rsidRPr="00CC34A3">
        <w:rPr>
          <w:rFonts w:ascii="Book Antiqua" w:eastAsia="Calibri" w:hAnsi="Book Antiqua" w:cs="Times New Roman"/>
          <w:color w:val="000000" w:themeColor="text1"/>
          <w:sz w:val="24"/>
          <w:szCs w:val="24"/>
          <w:lang w:val="en-US"/>
        </w:rPr>
        <w:t> 2010; </w:t>
      </w:r>
      <w:r w:rsidRPr="00CC34A3">
        <w:rPr>
          <w:rFonts w:ascii="Book Antiqua" w:eastAsia="Calibri" w:hAnsi="Book Antiqua" w:cs="Times New Roman"/>
          <w:b/>
          <w:bCs/>
          <w:color w:val="000000" w:themeColor="text1"/>
          <w:sz w:val="24"/>
          <w:szCs w:val="24"/>
          <w:lang w:val="en-US"/>
        </w:rPr>
        <w:t>16</w:t>
      </w:r>
      <w:r w:rsidRPr="00CC34A3">
        <w:rPr>
          <w:rFonts w:ascii="Book Antiqua" w:eastAsia="Calibri" w:hAnsi="Book Antiqua" w:cs="Times New Roman"/>
          <w:color w:val="000000" w:themeColor="text1"/>
          <w:sz w:val="24"/>
          <w:szCs w:val="24"/>
          <w:lang w:val="en-US"/>
        </w:rPr>
        <w:t>: 1224-1234 [PMID: 20166993 DOI: 10.2174/138161210790945977]</w:t>
      </w:r>
    </w:p>
    <w:p w14:paraId="72F37325"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9 </w:t>
      </w:r>
      <w:r w:rsidRPr="00CC34A3">
        <w:rPr>
          <w:rFonts w:ascii="Book Antiqua" w:eastAsia="Calibri" w:hAnsi="Book Antiqua" w:cs="Times New Roman"/>
          <w:b/>
          <w:bCs/>
          <w:color w:val="000000" w:themeColor="text1"/>
          <w:sz w:val="24"/>
          <w:szCs w:val="24"/>
          <w:lang w:val="en-US"/>
        </w:rPr>
        <w:t>Sikiric P</w:t>
      </w:r>
      <w:r w:rsidRPr="00CC34A3">
        <w:rPr>
          <w:rFonts w:ascii="Book Antiqua" w:eastAsia="Calibri" w:hAnsi="Book Antiqua" w:cs="Times New Roman"/>
          <w:color w:val="000000" w:themeColor="text1"/>
          <w:sz w:val="24"/>
          <w:szCs w:val="24"/>
          <w:lang w:val="en-US"/>
        </w:rPr>
        <w:t>, Seiwerth S, Brcic L, Blagaic AB, Zoricic I, Sever M, Klicek R, Radic B, Keller N, Sipos K, Jakir A, Udovicic M, Tonkic A, Kokic N, Turkovic B, Mise S, Anic T. Stable gastric pentadecapeptide BPC 157 in trials for inflammatory bowel disease (PL-10, PLD-116, PL 14736, Pliva, Croatia). Full and distended stomach, and vascular response. </w:t>
      </w:r>
      <w:r w:rsidRPr="00CC34A3">
        <w:rPr>
          <w:rFonts w:ascii="Book Antiqua" w:eastAsia="Calibri" w:hAnsi="Book Antiqua" w:cs="Times New Roman"/>
          <w:i/>
          <w:iCs/>
          <w:color w:val="000000" w:themeColor="text1"/>
          <w:sz w:val="24"/>
          <w:szCs w:val="24"/>
          <w:lang w:val="en-US"/>
        </w:rPr>
        <w:t>Inflammopharmacology</w:t>
      </w:r>
      <w:r w:rsidRPr="00CC34A3">
        <w:rPr>
          <w:rFonts w:ascii="Book Antiqua" w:eastAsia="Calibri" w:hAnsi="Book Antiqua" w:cs="Times New Roman"/>
          <w:color w:val="000000" w:themeColor="text1"/>
          <w:sz w:val="24"/>
          <w:szCs w:val="24"/>
          <w:lang w:val="en-US"/>
        </w:rPr>
        <w:t> 2006; </w:t>
      </w:r>
      <w:r w:rsidRPr="00CC34A3">
        <w:rPr>
          <w:rFonts w:ascii="Book Antiqua" w:eastAsia="Calibri" w:hAnsi="Book Antiqua" w:cs="Times New Roman"/>
          <w:b/>
          <w:bCs/>
          <w:color w:val="000000" w:themeColor="text1"/>
          <w:sz w:val="24"/>
          <w:szCs w:val="24"/>
          <w:lang w:val="en-US"/>
        </w:rPr>
        <w:t>14</w:t>
      </w:r>
      <w:r w:rsidRPr="00CC34A3">
        <w:rPr>
          <w:rFonts w:ascii="Book Antiqua" w:eastAsia="Calibri" w:hAnsi="Book Antiqua" w:cs="Times New Roman"/>
          <w:color w:val="000000" w:themeColor="text1"/>
          <w:sz w:val="24"/>
          <w:szCs w:val="24"/>
          <w:lang w:val="en-US"/>
        </w:rPr>
        <w:t>: 214-221 [PMID: 17186181 DOI: 10.1007/s10787-006-1531-7]</w:t>
      </w:r>
    </w:p>
    <w:p w14:paraId="0095533F"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10 </w:t>
      </w:r>
      <w:r w:rsidRPr="00CC34A3">
        <w:rPr>
          <w:rFonts w:ascii="Book Antiqua" w:eastAsia="Calibri" w:hAnsi="Book Antiqua" w:cs="Times New Roman"/>
          <w:b/>
          <w:bCs/>
          <w:color w:val="000000" w:themeColor="text1"/>
          <w:sz w:val="24"/>
          <w:szCs w:val="24"/>
          <w:lang w:val="en-US"/>
        </w:rPr>
        <w:t>Sikirić P</w:t>
      </w:r>
      <w:r w:rsidRPr="00CC34A3">
        <w:rPr>
          <w:rFonts w:ascii="Book Antiqua" w:eastAsia="Calibri" w:hAnsi="Book Antiqua" w:cs="Times New Roman"/>
          <w:color w:val="000000" w:themeColor="text1"/>
          <w:sz w:val="24"/>
          <w:szCs w:val="24"/>
          <w:lang w:val="en-US"/>
        </w:rPr>
        <w:t>, Petek M, Rucman R, Seiwerth S, Grabarević Z, Rotkvić I, Turković B, Jagić V, Mildner B, Duvnjak M. A new gastric juice peptide, BPC. An overview of the stomach-stress-organoprotection hypothesis and beneficial effects of BPC. </w:t>
      </w:r>
      <w:r w:rsidRPr="00CC34A3">
        <w:rPr>
          <w:rFonts w:ascii="Book Antiqua" w:eastAsia="Calibri" w:hAnsi="Book Antiqua" w:cs="Times New Roman"/>
          <w:i/>
          <w:iCs/>
          <w:color w:val="000000" w:themeColor="text1"/>
          <w:sz w:val="24"/>
          <w:szCs w:val="24"/>
          <w:lang w:val="en-US"/>
        </w:rPr>
        <w:t>J Physiol Paris</w:t>
      </w:r>
      <w:r w:rsidRPr="00CC34A3">
        <w:rPr>
          <w:rFonts w:ascii="Book Antiqua" w:eastAsia="Calibri" w:hAnsi="Book Antiqua" w:cs="Times New Roman"/>
          <w:color w:val="000000" w:themeColor="text1"/>
          <w:sz w:val="24"/>
          <w:szCs w:val="24"/>
          <w:lang w:val="en-US"/>
        </w:rPr>
        <w:t> 1993; </w:t>
      </w:r>
      <w:r w:rsidRPr="00CC34A3">
        <w:rPr>
          <w:rFonts w:ascii="Book Antiqua" w:eastAsia="Calibri" w:hAnsi="Book Antiqua" w:cs="Times New Roman"/>
          <w:b/>
          <w:bCs/>
          <w:color w:val="000000" w:themeColor="text1"/>
          <w:sz w:val="24"/>
          <w:szCs w:val="24"/>
          <w:lang w:val="en-US"/>
        </w:rPr>
        <w:t>87</w:t>
      </w:r>
      <w:r w:rsidRPr="00CC34A3">
        <w:rPr>
          <w:rFonts w:ascii="Book Antiqua" w:eastAsia="Calibri" w:hAnsi="Book Antiqua" w:cs="Times New Roman"/>
          <w:color w:val="000000" w:themeColor="text1"/>
          <w:sz w:val="24"/>
          <w:szCs w:val="24"/>
          <w:lang w:val="en-US"/>
        </w:rPr>
        <w:t>: 313-327 [PMID: 8298609 DOI: 10.1016/0928-4257(93)90038-U]</w:t>
      </w:r>
    </w:p>
    <w:p w14:paraId="7BA754A6"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11 </w:t>
      </w:r>
      <w:r w:rsidRPr="00CC34A3">
        <w:rPr>
          <w:rFonts w:ascii="Book Antiqua" w:eastAsia="Calibri" w:hAnsi="Book Antiqua" w:cs="Times New Roman"/>
          <w:b/>
          <w:bCs/>
          <w:color w:val="000000" w:themeColor="text1"/>
          <w:sz w:val="24"/>
          <w:szCs w:val="24"/>
          <w:lang w:val="en-US"/>
        </w:rPr>
        <w:t>Szabo S</w:t>
      </w:r>
      <w:r w:rsidRPr="00CC34A3">
        <w:rPr>
          <w:rFonts w:ascii="Book Antiqua" w:eastAsia="Calibri" w:hAnsi="Book Antiqua" w:cs="Times New Roman"/>
          <w:color w:val="000000" w:themeColor="text1"/>
          <w:sz w:val="24"/>
          <w:szCs w:val="24"/>
          <w:lang w:val="en-US"/>
        </w:rPr>
        <w:t>, Vincze A, Sandor Z, Jadus M, Gombos Z, Pedram A, Levin E, Hagar J, Iaquinto G. Vascular approach to gastroduodenal ulceration: new studies with endothelins and VEGF. </w:t>
      </w:r>
      <w:r w:rsidRPr="00CC34A3">
        <w:rPr>
          <w:rFonts w:ascii="Book Antiqua" w:eastAsia="Calibri" w:hAnsi="Book Antiqua" w:cs="Times New Roman"/>
          <w:i/>
          <w:iCs/>
          <w:color w:val="000000" w:themeColor="text1"/>
          <w:sz w:val="24"/>
          <w:szCs w:val="24"/>
          <w:lang w:val="en-US"/>
        </w:rPr>
        <w:t>Dig Dis Sci</w:t>
      </w:r>
      <w:r w:rsidRPr="00CC34A3">
        <w:rPr>
          <w:rFonts w:ascii="Book Antiqua" w:eastAsia="Calibri" w:hAnsi="Book Antiqua" w:cs="Times New Roman"/>
          <w:color w:val="000000" w:themeColor="text1"/>
          <w:sz w:val="24"/>
          <w:szCs w:val="24"/>
          <w:lang w:val="en-US"/>
        </w:rPr>
        <w:t> 1998; </w:t>
      </w:r>
      <w:r w:rsidRPr="00CC34A3">
        <w:rPr>
          <w:rFonts w:ascii="Book Antiqua" w:eastAsia="Calibri" w:hAnsi="Book Antiqua" w:cs="Times New Roman"/>
          <w:b/>
          <w:bCs/>
          <w:color w:val="000000" w:themeColor="text1"/>
          <w:sz w:val="24"/>
          <w:szCs w:val="24"/>
          <w:lang w:val="en-US"/>
        </w:rPr>
        <w:t>43</w:t>
      </w:r>
      <w:r w:rsidRPr="00CC34A3">
        <w:rPr>
          <w:rFonts w:ascii="Book Antiqua" w:eastAsia="Calibri" w:hAnsi="Book Antiqua" w:cs="Times New Roman"/>
          <w:color w:val="000000" w:themeColor="text1"/>
          <w:sz w:val="24"/>
          <w:szCs w:val="24"/>
          <w:lang w:val="en-US"/>
        </w:rPr>
        <w:t>: 40S-45S [PMID: 9753225]</w:t>
      </w:r>
    </w:p>
    <w:p w14:paraId="5D67706C"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12 </w:t>
      </w:r>
      <w:r w:rsidRPr="00CC34A3">
        <w:rPr>
          <w:rFonts w:ascii="Book Antiqua" w:eastAsia="Calibri" w:hAnsi="Book Antiqua" w:cs="Times New Roman"/>
          <w:b/>
          <w:bCs/>
          <w:color w:val="000000" w:themeColor="text1"/>
          <w:sz w:val="24"/>
          <w:szCs w:val="24"/>
          <w:lang w:val="en-US"/>
        </w:rPr>
        <w:t>Szabo S</w:t>
      </w:r>
      <w:r w:rsidRPr="00CC34A3">
        <w:rPr>
          <w:rFonts w:ascii="Book Antiqua" w:eastAsia="Calibri" w:hAnsi="Book Antiqua" w:cs="Times New Roman"/>
          <w:color w:val="000000" w:themeColor="text1"/>
          <w:sz w:val="24"/>
          <w:szCs w:val="24"/>
          <w:lang w:val="en-US"/>
        </w:rPr>
        <w:t>. Pathogenesis of duodenal ulcer disease. </w:t>
      </w:r>
      <w:r w:rsidRPr="00CC34A3">
        <w:rPr>
          <w:rFonts w:ascii="Book Antiqua" w:eastAsia="Calibri" w:hAnsi="Book Antiqua" w:cs="Times New Roman"/>
          <w:i/>
          <w:iCs/>
          <w:color w:val="000000" w:themeColor="text1"/>
          <w:sz w:val="24"/>
          <w:szCs w:val="24"/>
          <w:lang w:val="en-US"/>
        </w:rPr>
        <w:t>Lab Invest</w:t>
      </w:r>
      <w:r w:rsidRPr="00CC34A3">
        <w:rPr>
          <w:rFonts w:ascii="Book Antiqua" w:eastAsia="Calibri" w:hAnsi="Book Antiqua" w:cs="Times New Roman"/>
          <w:color w:val="000000" w:themeColor="text1"/>
          <w:sz w:val="24"/>
          <w:szCs w:val="24"/>
          <w:lang w:val="en-US"/>
        </w:rPr>
        <w:t> 1984; </w:t>
      </w:r>
      <w:r w:rsidRPr="00CC34A3">
        <w:rPr>
          <w:rFonts w:ascii="Book Antiqua" w:eastAsia="Calibri" w:hAnsi="Book Antiqua" w:cs="Times New Roman"/>
          <w:b/>
          <w:bCs/>
          <w:color w:val="000000" w:themeColor="text1"/>
          <w:sz w:val="24"/>
          <w:szCs w:val="24"/>
          <w:lang w:val="en-US"/>
        </w:rPr>
        <w:t>51</w:t>
      </w:r>
      <w:r w:rsidRPr="00CC34A3">
        <w:rPr>
          <w:rFonts w:ascii="Book Antiqua" w:eastAsia="Calibri" w:hAnsi="Book Antiqua" w:cs="Times New Roman"/>
          <w:color w:val="000000" w:themeColor="text1"/>
          <w:sz w:val="24"/>
          <w:szCs w:val="24"/>
          <w:lang w:val="en-US"/>
        </w:rPr>
        <w:t>: 121-147 [PMID: 6205219]</w:t>
      </w:r>
    </w:p>
    <w:p w14:paraId="6450B7DF"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13 </w:t>
      </w:r>
      <w:r w:rsidRPr="00CC34A3">
        <w:rPr>
          <w:rFonts w:ascii="Book Antiqua" w:eastAsia="Calibri" w:hAnsi="Book Antiqua" w:cs="Times New Roman"/>
          <w:b/>
          <w:bCs/>
          <w:color w:val="000000" w:themeColor="text1"/>
          <w:sz w:val="24"/>
          <w:szCs w:val="24"/>
          <w:lang w:val="en-US"/>
        </w:rPr>
        <w:t>Szabo S</w:t>
      </w:r>
      <w:r w:rsidRPr="00CC34A3">
        <w:rPr>
          <w:rFonts w:ascii="Book Antiqua" w:eastAsia="Calibri" w:hAnsi="Book Antiqua" w:cs="Times New Roman"/>
          <w:color w:val="000000" w:themeColor="text1"/>
          <w:sz w:val="24"/>
          <w:szCs w:val="24"/>
          <w:lang w:val="en-US"/>
        </w:rPr>
        <w:t>. Dopamine disorder in duodenal ulceration. </w:t>
      </w:r>
      <w:r w:rsidRPr="00CC34A3">
        <w:rPr>
          <w:rFonts w:ascii="Book Antiqua" w:eastAsia="Calibri" w:hAnsi="Book Antiqua" w:cs="Times New Roman"/>
          <w:i/>
          <w:iCs/>
          <w:color w:val="000000" w:themeColor="text1"/>
          <w:sz w:val="24"/>
          <w:szCs w:val="24"/>
          <w:lang w:val="en-US"/>
        </w:rPr>
        <w:t>Lancet</w:t>
      </w:r>
      <w:r w:rsidRPr="00CC34A3">
        <w:rPr>
          <w:rFonts w:ascii="Book Antiqua" w:eastAsia="Calibri" w:hAnsi="Book Antiqua" w:cs="Times New Roman"/>
          <w:color w:val="000000" w:themeColor="text1"/>
          <w:sz w:val="24"/>
          <w:szCs w:val="24"/>
          <w:lang w:val="en-US"/>
        </w:rPr>
        <w:t> 1979; </w:t>
      </w:r>
      <w:r w:rsidRPr="00CC34A3">
        <w:rPr>
          <w:rFonts w:ascii="Book Antiqua" w:eastAsia="Calibri" w:hAnsi="Book Antiqua" w:cs="Times New Roman"/>
          <w:b/>
          <w:bCs/>
          <w:color w:val="000000" w:themeColor="text1"/>
          <w:sz w:val="24"/>
          <w:szCs w:val="24"/>
          <w:lang w:val="en-US"/>
        </w:rPr>
        <w:t>2</w:t>
      </w:r>
      <w:r w:rsidRPr="00CC34A3">
        <w:rPr>
          <w:rFonts w:ascii="Book Antiqua" w:eastAsia="Calibri" w:hAnsi="Book Antiqua" w:cs="Times New Roman"/>
          <w:color w:val="000000" w:themeColor="text1"/>
          <w:sz w:val="24"/>
          <w:szCs w:val="24"/>
          <w:lang w:val="en-US"/>
        </w:rPr>
        <w:t>: 880-882 [PMID: 90970]</w:t>
      </w:r>
    </w:p>
    <w:p w14:paraId="07AAE1A6"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14 </w:t>
      </w:r>
      <w:r w:rsidRPr="00CC34A3">
        <w:rPr>
          <w:rFonts w:ascii="Book Antiqua" w:eastAsia="Calibri" w:hAnsi="Book Antiqua" w:cs="Times New Roman"/>
          <w:b/>
          <w:bCs/>
          <w:color w:val="000000" w:themeColor="text1"/>
          <w:sz w:val="24"/>
          <w:szCs w:val="24"/>
          <w:lang w:val="en-US"/>
        </w:rPr>
        <w:t>Okabe S</w:t>
      </w:r>
      <w:r w:rsidRPr="00CC34A3">
        <w:rPr>
          <w:rFonts w:ascii="Book Antiqua" w:eastAsia="Calibri" w:hAnsi="Book Antiqua" w:cs="Times New Roman"/>
          <w:color w:val="000000" w:themeColor="text1"/>
          <w:sz w:val="24"/>
          <w:szCs w:val="24"/>
          <w:lang w:val="en-US"/>
        </w:rPr>
        <w:t>, Amagase K. An overview of acetic acid ulcer models--the history and state of the art of peptic ulcer research. </w:t>
      </w:r>
      <w:r w:rsidRPr="00CC34A3">
        <w:rPr>
          <w:rFonts w:ascii="Book Antiqua" w:eastAsia="Calibri" w:hAnsi="Book Antiqua" w:cs="Times New Roman"/>
          <w:i/>
          <w:iCs/>
          <w:color w:val="000000" w:themeColor="text1"/>
          <w:sz w:val="24"/>
          <w:szCs w:val="24"/>
          <w:lang w:val="en-US"/>
        </w:rPr>
        <w:t>Biol Pharm Bull</w:t>
      </w:r>
      <w:r w:rsidRPr="00CC34A3">
        <w:rPr>
          <w:rFonts w:ascii="Book Antiqua" w:eastAsia="Calibri" w:hAnsi="Book Antiqua" w:cs="Times New Roman"/>
          <w:color w:val="000000" w:themeColor="text1"/>
          <w:sz w:val="24"/>
          <w:szCs w:val="24"/>
          <w:lang w:val="en-US"/>
        </w:rPr>
        <w:t> 2005; </w:t>
      </w:r>
      <w:r w:rsidRPr="00CC34A3">
        <w:rPr>
          <w:rFonts w:ascii="Book Antiqua" w:eastAsia="Calibri" w:hAnsi="Book Antiqua" w:cs="Times New Roman"/>
          <w:b/>
          <w:bCs/>
          <w:color w:val="000000" w:themeColor="text1"/>
          <w:sz w:val="24"/>
          <w:szCs w:val="24"/>
          <w:lang w:val="en-US"/>
        </w:rPr>
        <w:t>28</w:t>
      </w:r>
      <w:r w:rsidRPr="00CC34A3">
        <w:rPr>
          <w:rFonts w:ascii="Book Antiqua" w:eastAsia="Calibri" w:hAnsi="Book Antiqua" w:cs="Times New Roman"/>
          <w:color w:val="000000" w:themeColor="text1"/>
          <w:sz w:val="24"/>
          <w:szCs w:val="24"/>
          <w:lang w:val="en-US"/>
        </w:rPr>
        <w:t>: 1321-1341 [PMID: 16079471]</w:t>
      </w:r>
    </w:p>
    <w:p w14:paraId="419F458B"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15 </w:t>
      </w:r>
      <w:r w:rsidRPr="00CC34A3">
        <w:rPr>
          <w:rFonts w:ascii="Book Antiqua" w:eastAsia="Calibri" w:hAnsi="Book Antiqua" w:cs="Times New Roman"/>
          <w:b/>
          <w:bCs/>
          <w:color w:val="000000" w:themeColor="text1"/>
          <w:sz w:val="24"/>
          <w:szCs w:val="24"/>
          <w:lang w:val="en-US"/>
        </w:rPr>
        <w:t>Duzel A</w:t>
      </w:r>
      <w:r w:rsidRPr="00CC34A3">
        <w:rPr>
          <w:rFonts w:ascii="Book Antiqua" w:eastAsia="Calibri" w:hAnsi="Book Antiqua" w:cs="Times New Roman"/>
          <w:color w:val="000000" w:themeColor="text1"/>
          <w:sz w:val="24"/>
          <w:szCs w:val="24"/>
          <w:lang w:val="en-US"/>
        </w:rPr>
        <w:t>, Vlainic J, Antunovic M, Malekinusic D, Vrdoljak B, Samara M, Gojkovic S, Krezic I, Vidovic T, Bilic Z, Knezevic M, Sever M, Lojo N, Kokot A, Kolovrat M, Drmic D, Vukojevic J, Kralj T, Kasnik K, Siroglavic M, Seiwerth S, Sikiric P. Stable gastric pentadecapeptide BPC 157 in the treatment of colitis and ischemia and reperfusion in rats: New insights. </w:t>
      </w:r>
      <w:r w:rsidRPr="00CC34A3">
        <w:rPr>
          <w:rFonts w:ascii="Book Antiqua" w:eastAsia="Calibri" w:hAnsi="Book Antiqua" w:cs="Times New Roman"/>
          <w:i/>
          <w:iCs/>
          <w:color w:val="000000" w:themeColor="text1"/>
          <w:sz w:val="24"/>
          <w:szCs w:val="24"/>
          <w:lang w:val="en-US"/>
        </w:rPr>
        <w:t>World J Gastroenterol</w:t>
      </w:r>
      <w:r w:rsidRPr="00CC34A3">
        <w:rPr>
          <w:rFonts w:ascii="Book Antiqua" w:eastAsia="Calibri" w:hAnsi="Book Antiqua" w:cs="Times New Roman"/>
          <w:color w:val="000000" w:themeColor="text1"/>
          <w:sz w:val="24"/>
          <w:szCs w:val="24"/>
          <w:lang w:val="en-US"/>
        </w:rPr>
        <w:t> 2017; </w:t>
      </w:r>
      <w:r w:rsidRPr="00CC34A3">
        <w:rPr>
          <w:rFonts w:ascii="Book Antiqua" w:eastAsia="Calibri" w:hAnsi="Book Antiqua" w:cs="Times New Roman"/>
          <w:b/>
          <w:bCs/>
          <w:color w:val="000000" w:themeColor="text1"/>
          <w:sz w:val="24"/>
          <w:szCs w:val="24"/>
          <w:lang w:val="en-US"/>
        </w:rPr>
        <w:t>23</w:t>
      </w:r>
      <w:r w:rsidRPr="00CC34A3">
        <w:rPr>
          <w:rFonts w:ascii="Book Antiqua" w:eastAsia="Calibri" w:hAnsi="Book Antiqua" w:cs="Times New Roman"/>
          <w:color w:val="000000" w:themeColor="text1"/>
          <w:sz w:val="24"/>
          <w:szCs w:val="24"/>
          <w:lang w:val="en-US"/>
        </w:rPr>
        <w:t>: 8465-8488 [PMID: 29358856 DOI: 10.3748/wjg.v23.i48.8465]</w:t>
      </w:r>
    </w:p>
    <w:p w14:paraId="163BADBB"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16 </w:t>
      </w:r>
      <w:r w:rsidRPr="00CC34A3">
        <w:rPr>
          <w:rFonts w:ascii="Book Antiqua" w:eastAsia="Calibri" w:hAnsi="Book Antiqua" w:cs="Times New Roman"/>
          <w:b/>
          <w:bCs/>
          <w:color w:val="000000" w:themeColor="text1"/>
          <w:sz w:val="24"/>
          <w:szCs w:val="24"/>
          <w:lang w:val="en-US"/>
        </w:rPr>
        <w:t>Vukojević J</w:t>
      </w:r>
      <w:r w:rsidRPr="00CC34A3">
        <w:rPr>
          <w:rFonts w:ascii="Book Antiqua" w:eastAsia="Calibri" w:hAnsi="Book Antiqua" w:cs="Times New Roman"/>
          <w:color w:val="000000" w:themeColor="text1"/>
          <w:sz w:val="24"/>
          <w:szCs w:val="24"/>
          <w:lang w:val="en-US"/>
        </w:rPr>
        <w:t xml:space="preserve">, Siroglavić M, Kašnik K, Kralj T, Stanćić D, Kokot A, Kolarić D, Drmić </w:t>
      </w:r>
      <w:r w:rsidRPr="00CC34A3">
        <w:rPr>
          <w:rFonts w:ascii="Book Antiqua" w:eastAsia="Calibri" w:hAnsi="Book Antiqua" w:cs="Times New Roman"/>
          <w:color w:val="000000" w:themeColor="text1"/>
          <w:sz w:val="24"/>
          <w:szCs w:val="24"/>
          <w:lang w:val="en-US"/>
        </w:rPr>
        <w:lastRenderedPageBreak/>
        <w:t>D, Sever AZ, Barišić I, Šuran J, Bojić D, Patrlj MH, Sjekavica I, Pavlov KH, Vidović T, Vlainić J, Stupnišek M, Seiwerth S, Sikirić P. Rat inferior caval vein (ICV) ligature and particular new insights with the stable gastric pentadecapeptide BPC 157. </w:t>
      </w:r>
      <w:r w:rsidRPr="00CC34A3">
        <w:rPr>
          <w:rFonts w:ascii="Book Antiqua" w:eastAsia="Calibri" w:hAnsi="Book Antiqua" w:cs="Times New Roman"/>
          <w:i/>
          <w:iCs/>
          <w:color w:val="000000" w:themeColor="text1"/>
          <w:sz w:val="24"/>
          <w:szCs w:val="24"/>
          <w:lang w:val="en-US"/>
        </w:rPr>
        <w:t>Vascul Pharmacol</w:t>
      </w:r>
      <w:r w:rsidRPr="00CC34A3">
        <w:rPr>
          <w:rFonts w:ascii="Book Antiqua" w:eastAsia="Calibri" w:hAnsi="Book Antiqua" w:cs="Times New Roman"/>
          <w:color w:val="000000" w:themeColor="text1"/>
          <w:sz w:val="24"/>
          <w:szCs w:val="24"/>
          <w:lang w:val="en-US"/>
        </w:rPr>
        <w:t> 2018; </w:t>
      </w:r>
      <w:r w:rsidRPr="00CC34A3">
        <w:rPr>
          <w:rFonts w:ascii="Book Antiqua" w:eastAsia="Calibri" w:hAnsi="Book Antiqua" w:cs="Times New Roman"/>
          <w:b/>
          <w:bCs/>
          <w:color w:val="000000" w:themeColor="text1"/>
          <w:sz w:val="24"/>
          <w:szCs w:val="24"/>
          <w:lang w:val="en-US"/>
        </w:rPr>
        <w:t>106</w:t>
      </w:r>
      <w:r w:rsidRPr="00CC34A3">
        <w:rPr>
          <w:rFonts w:ascii="Book Antiqua" w:eastAsia="Calibri" w:hAnsi="Book Antiqua" w:cs="Times New Roman"/>
          <w:color w:val="000000" w:themeColor="text1"/>
          <w:sz w:val="24"/>
          <w:szCs w:val="24"/>
          <w:lang w:val="en-US"/>
        </w:rPr>
        <w:t>: 54-66 [PMID: 29510201 DOI: 10.1016/j.vph.2018.02.010]</w:t>
      </w:r>
    </w:p>
    <w:p w14:paraId="0A84964F"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17 </w:t>
      </w:r>
      <w:r w:rsidRPr="00CC34A3">
        <w:rPr>
          <w:rFonts w:ascii="Book Antiqua" w:eastAsia="Calibri" w:hAnsi="Book Antiqua" w:cs="Times New Roman"/>
          <w:b/>
          <w:bCs/>
          <w:color w:val="000000" w:themeColor="text1"/>
          <w:sz w:val="24"/>
          <w:szCs w:val="24"/>
          <w:lang w:val="en-US"/>
        </w:rPr>
        <w:t>Szabo S</w:t>
      </w:r>
      <w:r w:rsidRPr="00CC34A3">
        <w:rPr>
          <w:rFonts w:ascii="Book Antiqua" w:eastAsia="Calibri" w:hAnsi="Book Antiqua" w:cs="Times New Roman"/>
          <w:bCs/>
          <w:color w:val="000000" w:themeColor="text1"/>
          <w:sz w:val="24"/>
          <w:szCs w:val="24"/>
          <w:lang w:val="en-US"/>
        </w:rPr>
        <w:t>. Mechanisms of Mucosal Protection. In: Gastric Cytoprotection. Boston: Springer,</w:t>
      </w:r>
      <w:r w:rsidRPr="00CC34A3">
        <w:rPr>
          <w:rFonts w:ascii="Book Antiqua" w:eastAsia="Calibri" w:hAnsi="Book Antiqua" w:cs="Times New Roman"/>
          <w:color w:val="000000" w:themeColor="text1"/>
          <w:sz w:val="24"/>
          <w:szCs w:val="24"/>
          <w:lang w:val="en-US"/>
        </w:rPr>
        <w:t> 1989: 49–73</w:t>
      </w:r>
    </w:p>
    <w:p w14:paraId="1B871118"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18 </w:t>
      </w:r>
      <w:r w:rsidRPr="00CC34A3">
        <w:rPr>
          <w:rFonts w:ascii="Book Antiqua" w:eastAsia="Calibri" w:hAnsi="Book Antiqua" w:cs="Times New Roman"/>
          <w:b/>
          <w:bCs/>
          <w:color w:val="000000" w:themeColor="text1"/>
          <w:sz w:val="24"/>
          <w:szCs w:val="24"/>
          <w:lang w:val="en-US"/>
        </w:rPr>
        <w:t>Szabo S</w:t>
      </w:r>
      <w:r w:rsidRPr="00CC34A3">
        <w:rPr>
          <w:rFonts w:ascii="Book Antiqua" w:eastAsia="Calibri" w:hAnsi="Book Antiqua" w:cs="Times New Roman"/>
          <w:bCs/>
          <w:color w:val="000000" w:themeColor="text1"/>
          <w:sz w:val="24"/>
          <w:szCs w:val="24"/>
          <w:lang w:val="en-US"/>
        </w:rPr>
        <w:t>,</w:t>
      </w:r>
      <w:r w:rsidRPr="00CC34A3">
        <w:rPr>
          <w:rFonts w:ascii="Book Antiqua" w:eastAsia="Calibri" w:hAnsi="Book Antiqua" w:cs="Times New Roman"/>
          <w:color w:val="000000" w:themeColor="text1"/>
          <w:sz w:val="24"/>
          <w:szCs w:val="24"/>
          <w:lang w:val="en-US"/>
        </w:rPr>
        <w:t> Trier J. Pathogenesis of acute gastric mucosal injury: Sulfhydrils as a protector, adrenal cortex as a modulator, and vascular endothelium as a target. In: Allen A, Flemstrom G, Garner A, Silen W, Turnberg L. Mechanism of mucosal protection in the upper gastrointestinal tract. New York: Raven, 1984: 387–393</w:t>
      </w:r>
    </w:p>
    <w:p w14:paraId="27A788A2"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19 </w:t>
      </w:r>
      <w:r w:rsidRPr="00CC34A3">
        <w:rPr>
          <w:rFonts w:ascii="Book Antiqua" w:eastAsia="Calibri" w:hAnsi="Book Antiqua" w:cs="Times New Roman"/>
          <w:b/>
          <w:bCs/>
          <w:color w:val="000000" w:themeColor="text1"/>
          <w:sz w:val="24"/>
          <w:szCs w:val="24"/>
          <w:lang w:val="en-US"/>
        </w:rPr>
        <w:t>Trier JS</w:t>
      </w:r>
      <w:r w:rsidRPr="00CC34A3">
        <w:rPr>
          <w:rFonts w:ascii="Book Antiqua" w:eastAsia="Calibri" w:hAnsi="Book Antiqua" w:cs="Times New Roman"/>
          <w:color w:val="000000" w:themeColor="text1"/>
          <w:sz w:val="24"/>
          <w:szCs w:val="24"/>
          <w:lang w:val="en-US"/>
        </w:rPr>
        <w:t>, Szabo S, Allan CH. Ethanol-induced damage to mucosal capillaries of rat stomach. Ultrastructural features and effects of prostaglandin F2 beta and cysteamine. </w:t>
      </w:r>
      <w:r w:rsidRPr="00CC34A3">
        <w:rPr>
          <w:rFonts w:ascii="Book Antiqua" w:eastAsia="Calibri" w:hAnsi="Book Antiqua" w:cs="Times New Roman"/>
          <w:i/>
          <w:iCs/>
          <w:color w:val="000000" w:themeColor="text1"/>
          <w:sz w:val="24"/>
          <w:szCs w:val="24"/>
          <w:lang w:val="en-US"/>
        </w:rPr>
        <w:t>Gastroenterology</w:t>
      </w:r>
      <w:r w:rsidRPr="00CC34A3">
        <w:rPr>
          <w:rFonts w:ascii="Book Antiqua" w:eastAsia="Calibri" w:hAnsi="Book Antiqua" w:cs="Times New Roman"/>
          <w:color w:val="000000" w:themeColor="text1"/>
          <w:sz w:val="24"/>
          <w:szCs w:val="24"/>
          <w:lang w:val="en-US"/>
        </w:rPr>
        <w:t> 1987; </w:t>
      </w:r>
      <w:r w:rsidRPr="00CC34A3">
        <w:rPr>
          <w:rFonts w:ascii="Book Antiqua" w:eastAsia="Calibri" w:hAnsi="Book Antiqua" w:cs="Times New Roman"/>
          <w:b/>
          <w:bCs/>
          <w:color w:val="000000" w:themeColor="text1"/>
          <w:sz w:val="24"/>
          <w:szCs w:val="24"/>
          <w:lang w:val="en-US"/>
        </w:rPr>
        <w:t>92</w:t>
      </w:r>
      <w:r w:rsidRPr="00CC34A3">
        <w:rPr>
          <w:rFonts w:ascii="Book Antiqua" w:eastAsia="Calibri" w:hAnsi="Book Antiqua" w:cs="Times New Roman"/>
          <w:color w:val="000000" w:themeColor="text1"/>
          <w:sz w:val="24"/>
          <w:szCs w:val="24"/>
          <w:lang w:val="en-US"/>
        </w:rPr>
        <w:t>: 13-22 [PMID: 3781180]</w:t>
      </w:r>
    </w:p>
    <w:p w14:paraId="61316A31"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20 </w:t>
      </w:r>
      <w:r w:rsidRPr="00CC34A3">
        <w:rPr>
          <w:rFonts w:ascii="Book Antiqua" w:eastAsia="Calibri" w:hAnsi="Book Antiqua" w:cs="Times New Roman"/>
          <w:b/>
          <w:bCs/>
          <w:color w:val="000000" w:themeColor="text1"/>
          <w:sz w:val="24"/>
          <w:szCs w:val="24"/>
          <w:lang w:val="en-US"/>
        </w:rPr>
        <w:t>Szabo S</w:t>
      </w:r>
      <w:r w:rsidRPr="00CC34A3">
        <w:rPr>
          <w:rFonts w:ascii="Book Antiqua" w:eastAsia="Calibri" w:hAnsi="Book Antiqua" w:cs="Times New Roman"/>
          <w:color w:val="000000" w:themeColor="text1"/>
          <w:sz w:val="24"/>
          <w:szCs w:val="24"/>
          <w:lang w:val="en-US"/>
        </w:rPr>
        <w:t>, Trier JS, Brown A, Schnoor J. Early vascular injury and increased vascular permeability in gastric mucosal injury caused by ethanol in the rat. </w:t>
      </w:r>
      <w:r w:rsidRPr="00CC34A3">
        <w:rPr>
          <w:rFonts w:ascii="Book Antiqua" w:eastAsia="Calibri" w:hAnsi="Book Antiqua" w:cs="Times New Roman"/>
          <w:i/>
          <w:iCs/>
          <w:color w:val="000000" w:themeColor="text1"/>
          <w:sz w:val="24"/>
          <w:szCs w:val="24"/>
          <w:lang w:val="en-US"/>
        </w:rPr>
        <w:t>Gastroenterology</w:t>
      </w:r>
      <w:r w:rsidRPr="00CC34A3">
        <w:rPr>
          <w:rFonts w:ascii="Book Antiqua" w:eastAsia="Calibri" w:hAnsi="Book Antiqua" w:cs="Times New Roman"/>
          <w:color w:val="000000" w:themeColor="text1"/>
          <w:sz w:val="24"/>
          <w:szCs w:val="24"/>
          <w:lang w:val="en-US"/>
        </w:rPr>
        <w:t> 1985; </w:t>
      </w:r>
      <w:r w:rsidRPr="00CC34A3">
        <w:rPr>
          <w:rFonts w:ascii="Book Antiqua" w:eastAsia="Calibri" w:hAnsi="Book Antiqua" w:cs="Times New Roman"/>
          <w:b/>
          <w:bCs/>
          <w:color w:val="000000" w:themeColor="text1"/>
          <w:sz w:val="24"/>
          <w:szCs w:val="24"/>
          <w:lang w:val="en-US"/>
        </w:rPr>
        <w:t>88</w:t>
      </w:r>
      <w:r w:rsidRPr="00CC34A3">
        <w:rPr>
          <w:rFonts w:ascii="Book Antiqua" w:eastAsia="Calibri" w:hAnsi="Book Antiqua" w:cs="Times New Roman"/>
          <w:color w:val="000000" w:themeColor="text1"/>
          <w:sz w:val="24"/>
          <w:szCs w:val="24"/>
          <w:lang w:val="en-US"/>
        </w:rPr>
        <w:t>: 228-236 [PMID: 3871087]</w:t>
      </w:r>
    </w:p>
    <w:p w14:paraId="3FC3D49C"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21 </w:t>
      </w:r>
      <w:r w:rsidRPr="00CC34A3">
        <w:rPr>
          <w:rFonts w:ascii="Book Antiqua" w:eastAsia="Calibri" w:hAnsi="Book Antiqua" w:cs="Times New Roman"/>
          <w:b/>
          <w:bCs/>
          <w:color w:val="000000" w:themeColor="text1"/>
          <w:sz w:val="24"/>
          <w:szCs w:val="24"/>
          <w:lang w:val="en-US"/>
        </w:rPr>
        <w:t>Sikiric P</w:t>
      </w:r>
      <w:r w:rsidRPr="00CC34A3">
        <w:rPr>
          <w:rFonts w:ascii="Book Antiqua" w:eastAsia="Calibri" w:hAnsi="Book Antiqua" w:cs="Times New Roman"/>
          <w:color w:val="000000" w:themeColor="text1"/>
          <w:sz w:val="24"/>
          <w:szCs w:val="24"/>
          <w:lang w:val="en-US"/>
        </w:rPr>
        <w:t>, Seiwerth S, Grabarevic Z, Petek M, Rucman R, Turkovic B, Rotkvic I, Jagic V, Duvnjak M, Mise S. The beneficial effect of BPC 157, a 15 amino acid peptide BPC fragment, on gastric and duodenal lesions induced by restraint stress, cysteamine and 96% ethanol in rats. A comparative study with H2 receptor antagonists, dopamine promotors and gut peptides. </w:t>
      </w:r>
      <w:r w:rsidRPr="00CC34A3">
        <w:rPr>
          <w:rFonts w:ascii="Book Antiqua" w:eastAsia="Calibri" w:hAnsi="Book Antiqua" w:cs="Times New Roman"/>
          <w:i/>
          <w:iCs/>
          <w:color w:val="000000" w:themeColor="text1"/>
          <w:sz w:val="24"/>
          <w:szCs w:val="24"/>
          <w:lang w:val="en-US"/>
        </w:rPr>
        <w:t>Life Sci</w:t>
      </w:r>
      <w:r w:rsidRPr="00CC34A3">
        <w:rPr>
          <w:rFonts w:ascii="Book Antiqua" w:eastAsia="Calibri" w:hAnsi="Book Antiqua" w:cs="Times New Roman"/>
          <w:color w:val="000000" w:themeColor="text1"/>
          <w:sz w:val="24"/>
          <w:szCs w:val="24"/>
          <w:lang w:val="en-US"/>
        </w:rPr>
        <w:t> 1994; </w:t>
      </w:r>
      <w:r w:rsidRPr="00CC34A3">
        <w:rPr>
          <w:rFonts w:ascii="Book Antiqua" w:eastAsia="Calibri" w:hAnsi="Book Antiqua" w:cs="Times New Roman"/>
          <w:b/>
          <w:bCs/>
          <w:color w:val="000000" w:themeColor="text1"/>
          <w:sz w:val="24"/>
          <w:szCs w:val="24"/>
          <w:lang w:val="en-US"/>
        </w:rPr>
        <w:t>54</w:t>
      </w:r>
      <w:r w:rsidRPr="00CC34A3">
        <w:rPr>
          <w:rFonts w:ascii="Book Antiqua" w:eastAsia="Calibri" w:hAnsi="Book Antiqua" w:cs="Times New Roman"/>
          <w:color w:val="000000" w:themeColor="text1"/>
          <w:sz w:val="24"/>
          <w:szCs w:val="24"/>
          <w:lang w:val="en-US"/>
        </w:rPr>
        <w:t>: PL63-PL68 [PMID: 7904712]</w:t>
      </w:r>
    </w:p>
    <w:p w14:paraId="56C03358"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22 </w:t>
      </w:r>
      <w:r w:rsidRPr="00CC34A3">
        <w:rPr>
          <w:rFonts w:ascii="Book Antiqua" w:eastAsia="Calibri" w:hAnsi="Book Antiqua" w:cs="Times New Roman"/>
          <w:b/>
          <w:bCs/>
          <w:color w:val="000000" w:themeColor="text1"/>
          <w:sz w:val="24"/>
          <w:szCs w:val="24"/>
          <w:lang w:val="en-US"/>
        </w:rPr>
        <w:t>Turhan A</w:t>
      </w:r>
      <w:r w:rsidRPr="00CC34A3">
        <w:rPr>
          <w:rFonts w:ascii="Book Antiqua" w:eastAsia="Calibri" w:hAnsi="Book Antiqua" w:cs="Times New Roman"/>
          <w:color w:val="000000" w:themeColor="text1"/>
          <w:sz w:val="24"/>
          <w:szCs w:val="24"/>
          <w:lang w:val="en-US"/>
        </w:rPr>
        <w:t>, Konerding MA, Tsuda A, Ravnic DJ, Hanidziar D, Lin M, Mentzer SJ. Bridging mucosal vessels associated with rhythmically oscillating blood flow in murine colitis. </w:t>
      </w:r>
      <w:r w:rsidRPr="00CC34A3">
        <w:rPr>
          <w:rFonts w:ascii="Book Antiqua" w:eastAsia="Calibri" w:hAnsi="Book Antiqua" w:cs="Times New Roman"/>
          <w:i/>
          <w:iCs/>
          <w:color w:val="000000" w:themeColor="text1"/>
          <w:sz w:val="24"/>
          <w:szCs w:val="24"/>
          <w:lang w:val="en-US"/>
        </w:rPr>
        <w:t xml:space="preserve">Anat Rec </w:t>
      </w:r>
      <w:r w:rsidRPr="00CC34A3">
        <w:rPr>
          <w:rFonts w:ascii="Book Antiqua" w:eastAsia="Calibri" w:hAnsi="Book Antiqua" w:cs="Times New Roman"/>
          <w:iCs/>
          <w:color w:val="000000" w:themeColor="text1"/>
          <w:sz w:val="24"/>
          <w:szCs w:val="24"/>
          <w:lang w:val="en-US"/>
        </w:rPr>
        <w:t>(Hoboken)</w:t>
      </w:r>
      <w:r w:rsidRPr="00CC34A3">
        <w:rPr>
          <w:rFonts w:ascii="Book Antiqua" w:eastAsia="Calibri" w:hAnsi="Book Antiqua" w:cs="Times New Roman"/>
          <w:color w:val="000000" w:themeColor="text1"/>
          <w:sz w:val="24"/>
          <w:szCs w:val="24"/>
          <w:lang w:val="en-US"/>
        </w:rPr>
        <w:t> 2008; </w:t>
      </w:r>
      <w:r w:rsidRPr="00CC34A3">
        <w:rPr>
          <w:rFonts w:ascii="Book Antiqua" w:eastAsia="Calibri" w:hAnsi="Book Antiqua" w:cs="Times New Roman"/>
          <w:b/>
          <w:bCs/>
          <w:color w:val="000000" w:themeColor="text1"/>
          <w:sz w:val="24"/>
          <w:szCs w:val="24"/>
          <w:lang w:val="en-US"/>
        </w:rPr>
        <w:t>291</w:t>
      </w:r>
      <w:r w:rsidRPr="00CC34A3">
        <w:rPr>
          <w:rFonts w:ascii="Book Antiqua" w:eastAsia="Calibri" w:hAnsi="Book Antiqua" w:cs="Times New Roman"/>
          <w:color w:val="000000" w:themeColor="text1"/>
          <w:sz w:val="24"/>
          <w:szCs w:val="24"/>
          <w:lang w:val="en-US"/>
        </w:rPr>
        <w:t>: 74-82 [PMID: 18085623 DOI: 10.1002/ar.20628]</w:t>
      </w:r>
    </w:p>
    <w:p w14:paraId="267EAC88"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23 </w:t>
      </w:r>
      <w:r w:rsidRPr="00CC34A3">
        <w:rPr>
          <w:rFonts w:ascii="Book Antiqua" w:eastAsia="Calibri" w:hAnsi="Book Antiqua" w:cs="Times New Roman"/>
          <w:b/>
          <w:bCs/>
          <w:color w:val="000000" w:themeColor="text1"/>
          <w:sz w:val="24"/>
          <w:szCs w:val="24"/>
          <w:lang w:val="en-US"/>
        </w:rPr>
        <w:t>Konerding MA</w:t>
      </w:r>
      <w:r w:rsidRPr="00CC34A3">
        <w:rPr>
          <w:rFonts w:ascii="Book Antiqua" w:eastAsia="Calibri" w:hAnsi="Book Antiqua" w:cs="Times New Roman"/>
          <w:color w:val="000000" w:themeColor="text1"/>
          <w:sz w:val="24"/>
          <w:szCs w:val="24"/>
          <w:lang w:val="en-US"/>
        </w:rPr>
        <w:t>, Turhan A, Ravnic DJ, Lin M, Fuchs C, Secomb TW, Tsuda A, Mentzer SJ. Inflammation-induced intussusceptive angiogenesis in murine colitis. </w:t>
      </w:r>
      <w:r w:rsidRPr="00CC34A3">
        <w:rPr>
          <w:rFonts w:ascii="Book Antiqua" w:eastAsia="Calibri" w:hAnsi="Book Antiqua" w:cs="Times New Roman"/>
          <w:i/>
          <w:iCs/>
          <w:color w:val="000000" w:themeColor="text1"/>
          <w:sz w:val="24"/>
          <w:szCs w:val="24"/>
          <w:lang w:val="en-US"/>
        </w:rPr>
        <w:t xml:space="preserve">Anat Rec </w:t>
      </w:r>
      <w:bookmarkStart w:id="25" w:name="OLE_LINK148"/>
      <w:r w:rsidRPr="00CC34A3">
        <w:rPr>
          <w:rFonts w:ascii="Book Antiqua" w:eastAsia="Calibri" w:hAnsi="Book Antiqua" w:cs="Times New Roman"/>
          <w:iCs/>
          <w:color w:val="000000" w:themeColor="text1"/>
          <w:sz w:val="24"/>
          <w:szCs w:val="24"/>
          <w:lang w:val="en-US"/>
        </w:rPr>
        <w:t>(Hoboken)</w:t>
      </w:r>
      <w:r w:rsidRPr="00CC34A3">
        <w:rPr>
          <w:rFonts w:ascii="Book Antiqua" w:eastAsia="Calibri" w:hAnsi="Book Antiqua" w:cs="Times New Roman"/>
          <w:color w:val="000000" w:themeColor="text1"/>
          <w:sz w:val="24"/>
          <w:szCs w:val="24"/>
          <w:lang w:val="en-US"/>
        </w:rPr>
        <w:t> </w:t>
      </w:r>
      <w:bookmarkEnd w:id="25"/>
      <w:r w:rsidRPr="00CC34A3">
        <w:rPr>
          <w:rFonts w:ascii="Book Antiqua" w:eastAsia="Calibri" w:hAnsi="Book Antiqua" w:cs="Times New Roman"/>
          <w:color w:val="000000" w:themeColor="text1"/>
          <w:sz w:val="24"/>
          <w:szCs w:val="24"/>
          <w:lang w:val="en-US"/>
        </w:rPr>
        <w:t>2010; </w:t>
      </w:r>
      <w:r w:rsidRPr="00CC34A3">
        <w:rPr>
          <w:rFonts w:ascii="Book Antiqua" w:eastAsia="Calibri" w:hAnsi="Book Antiqua" w:cs="Times New Roman"/>
          <w:b/>
          <w:bCs/>
          <w:color w:val="000000" w:themeColor="text1"/>
          <w:sz w:val="24"/>
          <w:szCs w:val="24"/>
          <w:lang w:val="en-US"/>
        </w:rPr>
        <w:t>293</w:t>
      </w:r>
      <w:r w:rsidRPr="00CC34A3">
        <w:rPr>
          <w:rFonts w:ascii="Book Antiqua" w:eastAsia="Calibri" w:hAnsi="Book Antiqua" w:cs="Times New Roman"/>
          <w:color w:val="000000" w:themeColor="text1"/>
          <w:sz w:val="24"/>
          <w:szCs w:val="24"/>
          <w:lang w:val="en-US"/>
        </w:rPr>
        <w:t>: 849-857 [PMID: 20225210 DOI: 10.1002/ar.21110]</w:t>
      </w:r>
    </w:p>
    <w:p w14:paraId="64ADB705"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24 </w:t>
      </w:r>
      <w:r w:rsidRPr="00CC34A3">
        <w:rPr>
          <w:rFonts w:ascii="Book Antiqua" w:eastAsia="Calibri" w:hAnsi="Book Antiqua" w:cs="Times New Roman"/>
          <w:b/>
          <w:bCs/>
          <w:color w:val="000000" w:themeColor="text1"/>
          <w:sz w:val="24"/>
          <w:szCs w:val="24"/>
          <w:lang w:val="en-US"/>
        </w:rPr>
        <w:t>Ravnic DJ</w:t>
      </w:r>
      <w:r w:rsidRPr="00CC34A3">
        <w:rPr>
          <w:rFonts w:ascii="Book Antiqua" w:eastAsia="Calibri" w:hAnsi="Book Antiqua" w:cs="Times New Roman"/>
          <w:color w:val="000000" w:themeColor="text1"/>
          <w:sz w:val="24"/>
          <w:szCs w:val="24"/>
          <w:lang w:val="en-US"/>
        </w:rPr>
        <w:t xml:space="preserve">, Konerding MA, Tsuda A, Huss HT, Wolloscheck T, Pratt JP, Mentzer </w:t>
      </w:r>
      <w:r w:rsidRPr="00CC34A3">
        <w:rPr>
          <w:rFonts w:ascii="Book Antiqua" w:eastAsia="Calibri" w:hAnsi="Book Antiqua" w:cs="Times New Roman"/>
          <w:color w:val="000000" w:themeColor="text1"/>
          <w:sz w:val="24"/>
          <w:szCs w:val="24"/>
          <w:lang w:val="en-US"/>
        </w:rPr>
        <w:lastRenderedPageBreak/>
        <w:t>SJ. Structural adaptations in the murine colon microcirculation associated with hapten-induced inflammation. </w:t>
      </w:r>
      <w:r w:rsidRPr="00CC34A3">
        <w:rPr>
          <w:rFonts w:ascii="Book Antiqua" w:eastAsia="Calibri" w:hAnsi="Book Antiqua" w:cs="Times New Roman"/>
          <w:i/>
          <w:iCs/>
          <w:color w:val="000000" w:themeColor="text1"/>
          <w:sz w:val="24"/>
          <w:szCs w:val="24"/>
          <w:lang w:val="en-US"/>
        </w:rPr>
        <w:t>Gut</w:t>
      </w:r>
      <w:r w:rsidRPr="00CC34A3">
        <w:rPr>
          <w:rFonts w:ascii="Book Antiqua" w:eastAsia="Calibri" w:hAnsi="Book Antiqua" w:cs="Times New Roman"/>
          <w:color w:val="000000" w:themeColor="text1"/>
          <w:sz w:val="24"/>
          <w:szCs w:val="24"/>
          <w:lang w:val="en-US"/>
        </w:rPr>
        <w:t> 2007; </w:t>
      </w:r>
      <w:r w:rsidRPr="00CC34A3">
        <w:rPr>
          <w:rFonts w:ascii="Book Antiqua" w:eastAsia="Calibri" w:hAnsi="Book Antiqua" w:cs="Times New Roman"/>
          <w:b/>
          <w:bCs/>
          <w:color w:val="000000" w:themeColor="text1"/>
          <w:sz w:val="24"/>
          <w:szCs w:val="24"/>
          <w:lang w:val="en-US"/>
        </w:rPr>
        <w:t>56</w:t>
      </w:r>
      <w:r w:rsidRPr="00CC34A3">
        <w:rPr>
          <w:rFonts w:ascii="Book Antiqua" w:eastAsia="Calibri" w:hAnsi="Book Antiqua" w:cs="Times New Roman"/>
          <w:color w:val="000000" w:themeColor="text1"/>
          <w:sz w:val="24"/>
          <w:szCs w:val="24"/>
          <w:lang w:val="en-US"/>
        </w:rPr>
        <w:t>: 518-523 [PMID: 17114297 DOI: 10.1136/gut.2006.101824]</w:t>
      </w:r>
    </w:p>
    <w:p w14:paraId="77531DF2"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25 </w:t>
      </w:r>
      <w:r w:rsidRPr="00CC34A3">
        <w:rPr>
          <w:rFonts w:ascii="Book Antiqua" w:eastAsia="Calibri" w:hAnsi="Book Antiqua" w:cs="Times New Roman"/>
          <w:b/>
          <w:bCs/>
          <w:color w:val="000000" w:themeColor="text1"/>
          <w:sz w:val="24"/>
          <w:szCs w:val="24"/>
          <w:lang w:val="en-US"/>
        </w:rPr>
        <w:t>Albadawi H</w:t>
      </w:r>
      <w:r w:rsidRPr="00CC34A3">
        <w:rPr>
          <w:rFonts w:ascii="Book Antiqua" w:eastAsia="Calibri" w:hAnsi="Book Antiqua" w:cs="Times New Roman"/>
          <w:color w:val="000000" w:themeColor="text1"/>
          <w:sz w:val="24"/>
          <w:szCs w:val="24"/>
          <w:lang w:val="en-US"/>
        </w:rPr>
        <w:t>, Witting AA, Pershad Y, Wallace A, Fleck AR, Hoang P, Khademhosseini A, Oklu R. Animal models of venous thrombosis. </w:t>
      </w:r>
      <w:r w:rsidRPr="00CC34A3">
        <w:rPr>
          <w:rFonts w:ascii="Book Antiqua" w:eastAsia="Calibri" w:hAnsi="Book Antiqua" w:cs="Times New Roman"/>
          <w:i/>
          <w:iCs/>
          <w:color w:val="000000" w:themeColor="text1"/>
          <w:sz w:val="24"/>
          <w:szCs w:val="24"/>
          <w:lang w:val="en-US"/>
        </w:rPr>
        <w:t>Cardiovasc Diagn Ther</w:t>
      </w:r>
      <w:r w:rsidRPr="00CC34A3">
        <w:rPr>
          <w:rFonts w:ascii="Book Antiqua" w:eastAsia="Calibri" w:hAnsi="Book Antiqua" w:cs="Times New Roman"/>
          <w:color w:val="000000" w:themeColor="text1"/>
          <w:sz w:val="24"/>
          <w:szCs w:val="24"/>
          <w:lang w:val="en-US"/>
        </w:rPr>
        <w:t> 2017; </w:t>
      </w:r>
      <w:r w:rsidRPr="00CC34A3">
        <w:rPr>
          <w:rFonts w:ascii="Book Antiqua" w:eastAsia="Calibri" w:hAnsi="Book Antiqua" w:cs="Times New Roman"/>
          <w:b/>
          <w:bCs/>
          <w:color w:val="000000" w:themeColor="text1"/>
          <w:sz w:val="24"/>
          <w:szCs w:val="24"/>
          <w:lang w:val="en-US"/>
        </w:rPr>
        <w:t>7</w:t>
      </w:r>
      <w:r w:rsidRPr="00CC34A3">
        <w:rPr>
          <w:rFonts w:ascii="Book Antiqua" w:eastAsia="Calibri" w:hAnsi="Book Antiqua" w:cs="Times New Roman"/>
          <w:color w:val="000000" w:themeColor="text1"/>
          <w:sz w:val="24"/>
          <w:szCs w:val="24"/>
          <w:lang w:val="en-US"/>
        </w:rPr>
        <w:t>: S197-S206 [PMID: 29399523 DOI: 10.21037/cdt.2017.08.10]</w:t>
      </w:r>
    </w:p>
    <w:p w14:paraId="4AB0B2AB"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26 </w:t>
      </w:r>
      <w:r w:rsidRPr="00CC34A3">
        <w:rPr>
          <w:rFonts w:ascii="Book Antiqua" w:eastAsia="Calibri" w:hAnsi="Book Antiqua" w:cs="Times New Roman"/>
          <w:b/>
          <w:bCs/>
          <w:color w:val="000000" w:themeColor="text1"/>
          <w:sz w:val="24"/>
          <w:szCs w:val="24"/>
          <w:lang w:val="en-US"/>
        </w:rPr>
        <w:t>Guzmán-de la Garza FJ</w:t>
      </w:r>
      <w:r w:rsidRPr="00CC34A3">
        <w:rPr>
          <w:rFonts w:ascii="Book Antiqua" w:eastAsia="Calibri" w:hAnsi="Book Antiqua" w:cs="Times New Roman"/>
          <w:color w:val="000000" w:themeColor="text1"/>
          <w:sz w:val="24"/>
          <w:szCs w:val="24"/>
          <w:lang w:val="en-US"/>
        </w:rPr>
        <w:t>, Cámara-Lemarroy CR, Alarcón-Galván G, Cordero-Pérez P, Muñoz-Espinosa LE, Fernández-Garza NE. Different patterns of intestinal response to injury after arterial, venous or arteriovenous occlusion in rats. </w:t>
      </w:r>
      <w:r w:rsidRPr="00CC34A3">
        <w:rPr>
          <w:rFonts w:ascii="Book Antiqua" w:eastAsia="Calibri" w:hAnsi="Book Antiqua" w:cs="Times New Roman"/>
          <w:i/>
          <w:iCs/>
          <w:color w:val="000000" w:themeColor="text1"/>
          <w:sz w:val="24"/>
          <w:szCs w:val="24"/>
          <w:lang w:val="en-US"/>
        </w:rPr>
        <w:t>World J Gastroenterol</w:t>
      </w:r>
      <w:r w:rsidRPr="00CC34A3">
        <w:rPr>
          <w:rFonts w:ascii="Book Antiqua" w:eastAsia="Calibri" w:hAnsi="Book Antiqua" w:cs="Times New Roman"/>
          <w:color w:val="000000" w:themeColor="text1"/>
          <w:sz w:val="24"/>
          <w:szCs w:val="24"/>
          <w:lang w:val="en-US"/>
        </w:rPr>
        <w:t> 2009; </w:t>
      </w:r>
      <w:r w:rsidRPr="00CC34A3">
        <w:rPr>
          <w:rFonts w:ascii="Book Antiqua" w:eastAsia="Calibri" w:hAnsi="Book Antiqua" w:cs="Times New Roman"/>
          <w:b/>
          <w:bCs/>
          <w:color w:val="000000" w:themeColor="text1"/>
          <w:sz w:val="24"/>
          <w:szCs w:val="24"/>
          <w:lang w:val="en-US"/>
        </w:rPr>
        <w:t>15</w:t>
      </w:r>
      <w:r w:rsidRPr="00CC34A3">
        <w:rPr>
          <w:rFonts w:ascii="Book Antiqua" w:eastAsia="Calibri" w:hAnsi="Book Antiqua" w:cs="Times New Roman"/>
          <w:color w:val="000000" w:themeColor="text1"/>
          <w:sz w:val="24"/>
          <w:szCs w:val="24"/>
          <w:lang w:val="en-US"/>
        </w:rPr>
        <w:t>: 3901-3907 [PMID: 19701970]</w:t>
      </w:r>
    </w:p>
    <w:p w14:paraId="77C3175E" w14:textId="6A33317E"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27 </w:t>
      </w:r>
      <w:r w:rsidRPr="00CC34A3">
        <w:rPr>
          <w:rFonts w:ascii="Book Antiqua" w:eastAsia="Calibri" w:hAnsi="Book Antiqua" w:cs="Times New Roman"/>
          <w:b/>
          <w:bCs/>
          <w:color w:val="000000" w:themeColor="text1"/>
          <w:sz w:val="24"/>
          <w:szCs w:val="24"/>
          <w:lang w:val="en-US"/>
        </w:rPr>
        <w:t>Klicek R</w:t>
      </w:r>
      <w:r w:rsidRPr="00CC34A3">
        <w:rPr>
          <w:rFonts w:ascii="Book Antiqua" w:eastAsia="Calibri" w:hAnsi="Book Antiqua" w:cs="Times New Roman"/>
          <w:color w:val="000000" w:themeColor="text1"/>
          <w:sz w:val="24"/>
          <w:szCs w:val="24"/>
          <w:lang w:val="en-US"/>
        </w:rPr>
        <w:t>, Kolenc D, Suran J, Drmic D, Brcic L, Aralica G, Sever M, Holjevac J, Radic B, Turudic T, Kokot A, Patrlj L, Rucman R, Seiwerth S, Sikiric P. Stable gastric pentadecapeptide BPC 157 heals cysteamine-colitis and colon-colon-anastomosis and counteracts cuprizone brain injuries and motor disability. </w:t>
      </w:r>
      <w:r w:rsidRPr="00CC34A3">
        <w:rPr>
          <w:rFonts w:ascii="Book Antiqua" w:eastAsia="Calibri" w:hAnsi="Book Antiqua" w:cs="Times New Roman"/>
          <w:i/>
          <w:iCs/>
          <w:color w:val="000000" w:themeColor="text1"/>
          <w:sz w:val="24"/>
          <w:szCs w:val="24"/>
          <w:lang w:val="en-US"/>
        </w:rPr>
        <w:t xml:space="preserve">J Physiol Pharmacol </w:t>
      </w:r>
      <w:r w:rsidRPr="00CC34A3">
        <w:rPr>
          <w:rFonts w:ascii="Book Antiqua" w:eastAsia="Calibri" w:hAnsi="Book Antiqua" w:cs="Times New Roman"/>
          <w:color w:val="000000" w:themeColor="text1"/>
          <w:sz w:val="24"/>
          <w:szCs w:val="24"/>
          <w:lang w:val="en-US"/>
        </w:rPr>
        <w:t>2013; </w:t>
      </w:r>
      <w:r w:rsidRPr="00CC34A3">
        <w:rPr>
          <w:rFonts w:ascii="Book Antiqua" w:eastAsia="Calibri" w:hAnsi="Book Antiqua" w:cs="Times New Roman"/>
          <w:b/>
          <w:bCs/>
          <w:color w:val="000000" w:themeColor="text1"/>
          <w:sz w:val="24"/>
          <w:szCs w:val="24"/>
          <w:lang w:val="en-US"/>
        </w:rPr>
        <w:t>64</w:t>
      </w:r>
      <w:r w:rsidRPr="00CC34A3">
        <w:rPr>
          <w:rFonts w:ascii="Book Antiqua" w:eastAsia="Calibri" w:hAnsi="Book Antiqua" w:cs="Times New Roman"/>
          <w:color w:val="000000" w:themeColor="text1"/>
          <w:sz w:val="24"/>
          <w:szCs w:val="24"/>
          <w:lang w:val="en-US"/>
        </w:rPr>
        <w:t>: 597-612 [PMID: 24304574]</w:t>
      </w:r>
    </w:p>
    <w:p w14:paraId="12647BC5"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28 </w:t>
      </w:r>
      <w:r w:rsidRPr="00CC34A3">
        <w:rPr>
          <w:rFonts w:ascii="Book Antiqua" w:eastAsia="Calibri" w:hAnsi="Book Antiqua" w:cs="Times New Roman"/>
          <w:b/>
          <w:bCs/>
          <w:color w:val="000000" w:themeColor="text1"/>
          <w:sz w:val="24"/>
          <w:szCs w:val="24"/>
          <w:lang w:val="en-US"/>
        </w:rPr>
        <w:t>Mise S</w:t>
      </w:r>
      <w:r w:rsidRPr="00CC34A3">
        <w:rPr>
          <w:rFonts w:ascii="Book Antiqua" w:eastAsia="Calibri" w:hAnsi="Book Antiqua" w:cs="Times New Roman"/>
          <w:color w:val="000000" w:themeColor="text1"/>
          <w:sz w:val="24"/>
          <w:szCs w:val="24"/>
          <w:lang w:val="en-US"/>
        </w:rPr>
        <w:t>, Tonkic A, Pesutic V, Tonkic M, Mise S, Capkun V, Batelja L, Blagaic AB, Kokic N, Zoricic I, Saifert D, Anic T, Seiwerth S, Sikiric P. The presentation and organization of adaptive cytoprotection in the rat stomach, duodenum, and colon. Dedicated to André Robert the founder of the concept of cytoprotection and adaptive cytoprotection. </w:t>
      </w:r>
      <w:r w:rsidRPr="00CC34A3">
        <w:rPr>
          <w:rFonts w:ascii="Book Antiqua" w:eastAsia="Calibri" w:hAnsi="Book Antiqua" w:cs="Times New Roman"/>
          <w:i/>
          <w:iCs/>
          <w:color w:val="000000" w:themeColor="text1"/>
          <w:sz w:val="24"/>
          <w:szCs w:val="24"/>
          <w:lang w:val="en-US"/>
        </w:rPr>
        <w:t>Med Sci Monit</w:t>
      </w:r>
      <w:r w:rsidRPr="00CC34A3">
        <w:rPr>
          <w:rFonts w:ascii="Book Antiqua" w:eastAsia="Calibri" w:hAnsi="Book Antiqua" w:cs="Times New Roman"/>
          <w:color w:val="000000" w:themeColor="text1"/>
          <w:sz w:val="24"/>
          <w:szCs w:val="24"/>
          <w:lang w:val="en-US"/>
        </w:rPr>
        <w:t> 2006; </w:t>
      </w:r>
      <w:r w:rsidRPr="00CC34A3">
        <w:rPr>
          <w:rFonts w:ascii="Book Antiqua" w:eastAsia="Calibri" w:hAnsi="Book Antiqua" w:cs="Times New Roman"/>
          <w:b/>
          <w:bCs/>
          <w:color w:val="000000" w:themeColor="text1"/>
          <w:sz w:val="24"/>
          <w:szCs w:val="24"/>
          <w:lang w:val="en-US"/>
        </w:rPr>
        <w:t>12</w:t>
      </w:r>
      <w:r w:rsidRPr="00CC34A3">
        <w:rPr>
          <w:rFonts w:ascii="Book Antiqua" w:eastAsia="Calibri" w:hAnsi="Book Antiqua" w:cs="Times New Roman"/>
          <w:color w:val="000000" w:themeColor="text1"/>
          <w:sz w:val="24"/>
          <w:szCs w:val="24"/>
          <w:lang w:val="en-US"/>
        </w:rPr>
        <w:t>: BR146-BR153 [PMID: 16572047]</w:t>
      </w:r>
    </w:p>
    <w:p w14:paraId="33ECE98B"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29 </w:t>
      </w:r>
      <w:r w:rsidRPr="00CC34A3">
        <w:rPr>
          <w:rFonts w:ascii="Book Antiqua" w:eastAsia="Calibri" w:hAnsi="Book Antiqua" w:cs="Times New Roman"/>
          <w:b/>
          <w:bCs/>
          <w:color w:val="000000" w:themeColor="text1"/>
          <w:sz w:val="24"/>
          <w:szCs w:val="24"/>
          <w:lang w:val="en-US"/>
        </w:rPr>
        <w:t>Bedekovic V</w:t>
      </w:r>
      <w:r w:rsidRPr="00CC34A3">
        <w:rPr>
          <w:rFonts w:ascii="Book Antiqua" w:eastAsia="Calibri" w:hAnsi="Book Antiqua" w:cs="Times New Roman"/>
          <w:color w:val="000000" w:themeColor="text1"/>
          <w:sz w:val="24"/>
          <w:szCs w:val="24"/>
          <w:lang w:val="en-US"/>
        </w:rPr>
        <w:t>, Mise S, Anic T, Staresinic M, Gjurasin M, Kopljar M, Kalogjera L, Drvis P, Boban Blagaic A, Batelja L, Seiwerth S, Sikiric P. Different effect of antiulcer agents on rat cysteamine-induced duodenal ulcer after sialoadenectomy, but not gastrectomy. </w:t>
      </w:r>
      <w:r w:rsidRPr="00CC34A3">
        <w:rPr>
          <w:rFonts w:ascii="Book Antiqua" w:eastAsia="Calibri" w:hAnsi="Book Antiqua" w:cs="Times New Roman"/>
          <w:i/>
          <w:iCs/>
          <w:color w:val="000000" w:themeColor="text1"/>
          <w:sz w:val="24"/>
          <w:szCs w:val="24"/>
          <w:lang w:val="en-US"/>
        </w:rPr>
        <w:t>Eur J Pharmacol</w:t>
      </w:r>
      <w:r w:rsidRPr="00CC34A3">
        <w:rPr>
          <w:rFonts w:ascii="Book Antiqua" w:eastAsia="Calibri" w:hAnsi="Book Antiqua" w:cs="Times New Roman"/>
          <w:color w:val="000000" w:themeColor="text1"/>
          <w:sz w:val="24"/>
          <w:szCs w:val="24"/>
          <w:lang w:val="en-US"/>
        </w:rPr>
        <w:t> 2003; </w:t>
      </w:r>
      <w:r w:rsidRPr="00CC34A3">
        <w:rPr>
          <w:rFonts w:ascii="Book Antiqua" w:eastAsia="Calibri" w:hAnsi="Book Antiqua" w:cs="Times New Roman"/>
          <w:b/>
          <w:bCs/>
          <w:color w:val="000000" w:themeColor="text1"/>
          <w:sz w:val="24"/>
          <w:szCs w:val="24"/>
          <w:lang w:val="en-US"/>
        </w:rPr>
        <w:t>477</w:t>
      </w:r>
      <w:r w:rsidRPr="00CC34A3">
        <w:rPr>
          <w:rFonts w:ascii="Book Antiqua" w:eastAsia="Calibri" w:hAnsi="Book Antiqua" w:cs="Times New Roman"/>
          <w:color w:val="000000" w:themeColor="text1"/>
          <w:sz w:val="24"/>
          <w:szCs w:val="24"/>
          <w:lang w:val="en-US"/>
        </w:rPr>
        <w:t>: 73-80 [PMID: 14512101]</w:t>
      </w:r>
    </w:p>
    <w:p w14:paraId="22C83D15"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30 </w:t>
      </w:r>
      <w:r w:rsidRPr="00CC34A3">
        <w:rPr>
          <w:rFonts w:ascii="Book Antiqua" w:eastAsia="Calibri" w:hAnsi="Book Antiqua" w:cs="Times New Roman"/>
          <w:b/>
          <w:bCs/>
          <w:color w:val="000000" w:themeColor="text1"/>
          <w:sz w:val="24"/>
          <w:szCs w:val="24"/>
          <w:lang w:val="en-US"/>
        </w:rPr>
        <w:t>Lojo N</w:t>
      </w:r>
      <w:r w:rsidRPr="00CC34A3">
        <w:rPr>
          <w:rFonts w:ascii="Book Antiqua" w:eastAsia="Calibri" w:hAnsi="Book Antiqua" w:cs="Times New Roman"/>
          <w:color w:val="000000" w:themeColor="text1"/>
          <w:sz w:val="24"/>
          <w:szCs w:val="24"/>
          <w:lang w:val="en-US"/>
        </w:rPr>
        <w:t>, Rasic Z, Zenko Sever A, Kolenc D, Vukusic D, Drmic D, Zoricic I, Sever M, Seiwerth S, Sikiric P. Effects of Diclofenac, L-NAME, L-Arginine, and Pentadecapeptide BPC 157 on Gastrointestinal, Liver, and Brain Lesions, Failed Anastomosis, and Intestinal Adaptation Deterioration in 24 Hour-Short-Bowel Rats. </w:t>
      </w:r>
      <w:r w:rsidRPr="00CC34A3">
        <w:rPr>
          <w:rFonts w:ascii="Book Antiqua" w:eastAsia="Calibri" w:hAnsi="Book Antiqua" w:cs="Times New Roman"/>
          <w:i/>
          <w:iCs/>
          <w:color w:val="000000" w:themeColor="text1"/>
          <w:sz w:val="24"/>
          <w:szCs w:val="24"/>
          <w:lang w:val="en-US"/>
        </w:rPr>
        <w:t>PLoS One</w:t>
      </w:r>
      <w:r w:rsidRPr="00CC34A3">
        <w:rPr>
          <w:rFonts w:ascii="Book Antiqua" w:eastAsia="Calibri" w:hAnsi="Book Antiqua" w:cs="Times New Roman"/>
          <w:color w:val="000000" w:themeColor="text1"/>
          <w:sz w:val="24"/>
          <w:szCs w:val="24"/>
          <w:lang w:val="en-US"/>
        </w:rPr>
        <w:t> 2016; </w:t>
      </w:r>
      <w:r w:rsidRPr="00CC34A3">
        <w:rPr>
          <w:rFonts w:ascii="Book Antiqua" w:eastAsia="Calibri" w:hAnsi="Book Antiqua" w:cs="Times New Roman"/>
          <w:b/>
          <w:bCs/>
          <w:color w:val="000000" w:themeColor="text1"/>
          <w:sz w:val="24"/>
          <w:szCs w:val="24"/>
          <w:lang w:val="en-US"/>
        </w:rPr>
        <w:t>11</w:t>
      </w:r>
      <w:r w:rsidRPr="00CC34A3">
        <w:rPr>
          <w:rFonts w:ascii="Book Antiqua" w:eastAsia="Calibri" w:hAnsi="Book Antiqua" w:cs="Times New Roman"/>
          <w:color w:val="000000" w:themeColor="text1"/>
          <w:sz w:val="24"/>
          <w:szCs w:val="24"/>
          <w:lang w:val="en-US"/>
        </w:rPr>
        <w:t>: e0162590 [PMID: 27627764 DOI: 10.1371/journal.pone.0162590]</w:t>
      </w:r>
    </w:p>
    <w:p w14:paraId="76DC2252"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31 </w:t>
      </w:r>
      <w:r w:rsidRPr="00CC34A3">
        <w:rPr>
          <w:rFonts w:ascii="Book Antiqua" w:eastAsia="Calibri" w:hAnsi="Book Antiqua" w:cs="Times New Roman"/>
          <w:b/>
          <w:bCs/>
          <w:color w:val="000000" w:themeColor="text1"/>
          <w:sz w:val="24"/>
          <w:szCs w:val="24"/>
          <w:lang w:val="en-US"/>
        </w:rPr>
        <w:t>Belosic Halle Z</w:t>
      </w:r>
      <w:r w:rsidRPr="00CC34A3">
        <w:rPr>
          <w:rFonts w:ascii="Book Antiqua" w:eastAsia="Calibri" w:hAnsi="Book Antiqua" w:cs="Times New Roman"/>
          <w:color w:val="000000" w:themeColor="text1"/>
          <w:sz w:val="24"/>
          <w:szCs w:val="24"/>
          <w:lang w:val="en-US"/>
        </w:rPr>
        <w:t>, Vlainic J, Drmic D, Strinic D, Luetic K, Sucic M, Medvidovic-</w:t>
      </w:r>
      <w:r w:rsidRPr="00CC34A3">
        <w:rPr>
          <w:rFonts w:ascii="Book Antiqua" w:eastAsia="Calibri" w:hAnsi="Book Antiqua" w:cs="Times New Roman"/>
          <w:color w:val="000000" w:themeColor="text1"/>
          <w:sz w:val="24"/>
          <w:szCs w:val="24"/>
          <w:lang w:val="en-US"/>
        </w:rPr>
        <w:lastRenderedPageBreak/>
        <w:t>Grubisic M, Pavelic Turudic T, Petrovic I, Seiwerth S, Sikiric P. Class side effects: decreased pressure in the lower oesophageal and the pyloric sphincters after the administration of dopamine antagonists, neuroleptics, anti-emetics, L-NAME, pentadecapeptide BPC 157 and L-arginine. </w:t>
      </w:r>
      <w:r w:rsidRPr="00CC34A3">
        <w:rPr>
          <w:rFonts w:ascii="Book Antiqua" w:eastAsia="Calibri" w:hAnsi="Book Antiqua" w:cs="Times New Roman"/>
          <w:i/>
          <w:iCs/>
          <w:color w:val="000000" w:themeColor="text1"/>
          <w:sz w:val="24"/>
          <w:szCs w:val="24"/>
          <w:lang w:val="en-US"/>
        </w:rPr>
        <w:t>Inflammopharmacology</w:t>
      </w:r>
      <w:r w:rsidRPr="00CC34A3">
        <w:rPr>
          <w:rFonts w:ascii="Book Antiqua" w:eastAsia="Calibri" w:hAnsi="Book Antiqua" w:cs="Times New Roman"/>
          <w:color w:val="000000" w:themeColor="text1"/>
          <w:sz w:val="24"/>
          <w:szCs w:val="24"/>
          <w:lang w:val="en-US"/>
        </w:rPr>
        <w:t> 2017; : [PMID: 28516373 DOI: 10.1007/s10787-017-0358-8]</w:t>
      </w:r>
    </w:p>
    <w:p w14:paraId="761D9FDE"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32 </w:t>
      </w:r>
      <w:r w:rsidRPr="00CC34A3">
        <w:rPr>
          <w:rFonts w:ascii="Book Antiqua" w:eastAsia="Calibri" w:hAnsi="Book Antiqua" w:cs="Times New Roman"/>
          <w:b/>
          <w:bCs/>
          <w:color w:val="000000" w:themeColor="text1"/>
          <w:sz w:val="24"/>
          <w:szCs w:val="24"/>
          <w:lang w:val="en-US"/>
        </w:rPr>
        <w:t>Luetic K</w:t>
      </w:r>
      <w:r w:rsidRPr="00CC34A3">
        <w:rPr>
          <w:rFonts w:ascii="Book Antiqua" w:eastAsia="Calibri" w:hAnsi="Book Antiqua" w:cs="Times New Roman"/>
          <w:color w:val="000000" w:themeColor="text1"/>
          <w:sz w:val="24"/>
          <w:szCs w:val="24"/>
          <w:lang w:val="en-US"/>
        </w:rPr>
        <w:t>, Sucic M, Vlainic J, Halle ZB, Strinic D, Vidovic T, Luetic F, Marusic M, Gulic S, Pavelic TT, Kokot A, Seiwerth RS, Drmic D, Batelja L, Seiwerth S, Sikiric P. Cyclophosphamide induced stomach and duodenal lesions as a NO-system disturbance in rats: L-NAME, L-arginine, stable gastric pentadecapeptide BPC 157. </w:t>
      </w:r>
      <w:r w:rsidRPr="00CC34A3">
        <w:rPr>
          <w:rFonts w:ascii="Book Antiqua" w:eastAsia="Calibri" w:hAnsi="Book Antiqua" w:cs="Times New Roman"/>
          <w:i/>
          <w:iCs/>
          <w:color w:val="000000" w:themeColor="text1"/>
          <w:sz w:val="24"/>
          <w:szCs w:val="24"/>
          <w:lang w:val="en-US"/>
        </w:rPr>
        <w:t>Inflammopharmacology</w:t>
      </w:r>
      <w:r w:rsidRPr="00CC34A3">
        <w:rPr>
          <w:rFonts w:ascii="Book Antiqua" w:eastAsia="Calibri" w:hAnsi="Book Antiqua" w:cs="Times New Roman"/>
          <w:color w:val="000000" w:themeColor="text1"/>
          <w:sz w:val="24"/>
          <w:szCs w:val="24"/>
          <w:lang w:val="en-US"/>
        </w:rPr>
        <w:t> 2017; </w:t>
      </w:r>
      <w:r w:rsidRPr="00CC34A3">
        <w:rPr>
          <w:rFonts w:ascii="Book Antiqua" w:eastAsia="Calibri" w:hAnsi="Book Antiqua" w:cs="Times New Roman"/>
          <w:b/>
          <w:bCs/>
          <w:color w:val="000000" w:themeColor="text1"/>
          <w:sz w:val="24"/>
          <w:szCs w:val="24"/>
          <w:lang w:val="en-US"/>
        </w:rPr>
        <w:t>25</w:t>
      </w:r>
      <w:r w:rsidRPr="00CC34A3">
        <w:rPr>
          <w:rFonts w:ascii="Book Antiqua" w:eastAsia="Calibri" w:hAnsi="Book Antiqua" w:cs="Times New Roman"/>
          <w:color w:val="000000" w:themeColor="text1"/>
          <w:sz w:val="24"/>
          <w:szCs w:val="24"/>
          <w:lang w:val="en-US"/>
        </w:rPr>
        <w:t>: 255-264 [PMID: 28255738 DOI: 10.1007/s10787-017-0330-7]</w:t>
      </w:r>
    </w:p>
    <w:p w14:paraId="698B000E"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33 </w:t>
      </w:r>
      <w:r w:rsidRPr="00CC34A3">
        <w:rPr>
          <w:rFonts w:ascii="Book Antiqua" w:eastAsia="Calibri" w:hAnsi="Book Antiqua" w:cs="Times New Roman"/>
          <w:b/>
          <w:bCs/>
          <w:color w:val="000000" w:themeColor="text1"/>
          <w:sz w:val="24"/>
          <w:szCs w:val="24"/>
          <w:lang w:val="en-US"/>
        </w:rPr>
        <w:t>Sikirić P</w:t>
      </w:r>
      <w:r w:rsidRPr="00CC34A3">
        <w:rPr>
          <w:rFonts w:ascii="Book Antiqua" w:eastAsia="Calibri" w:hAnsi="Book Antiqua" w:cs="Times New Roman"/>
          <w:color w:val="000000" w:themeColor="text1"/>
          <w:sz w:val="24"/>
          <w:szCs w:val="24"/>
          <w:lang w:val="en-US"/>
        </w:rPr>
        <w:t>, Seiwerth S, Grabarević Z, Rucman R, Petek M, Jagić V, Turković B, Rotkvić I, Mise S, Zoricić I, Konjevoda P, Perović D, Jurina L, Separović J, Hanzevacki M, Artuković B, Bratulić M, Tisljar M, Gjurasin M, Miklić P, Stancić-Rokotov D, Slobodnjak Z, Jelovac N, Marović A. The influence of a novel pentadecapeptide, BPC 157, on N(G)-nitro-L-arginine methylester and L-arginine effects on stomach mucosa integrity and blood pressure. </w:t>
      </w:r>
      <w:r w:rsidRPr="00CC34A3">
        <w:rPr>
          <w:rFonts w:ascii="Book Antiqua" w:eastAsia="Calibri" w:hAnsi="Book Antiqua" w:cs="Times New Roman"/>
          <w:i/>
          <w:iCs/>
          <w:color w:val="000000" w:themeColor="text1"/>
          <w:sz w:val="24"/>
          <w:szCs w:val="24"/>
          <w:lang w:val="en-US"/>
        </w:rPr>
        <w:t>Eur J Pharmacol</w:t>
      </w:r>
      <w:r w:rsidRPr="00CC34A3">
        <w:rPr>
          <w:rFonts w:ascii="Book Antiqua" w:eastAsia="Calibri" w:hAnsi="Book Antiqua" w:cs="Times New Roman"/>
          <w:color w:val="000000" w:themeColor="text1"/>
          <w:sz w:val="24"/>
          <w:szCs w:val="24"/>
          <w:lang w:val="en-US"/>
        </w:rPr>
        <w:t> 1997; </w:t>
      </w:r>
      <w:r w:rsidRPr="00CC34A3">
        <w:rPr>
          <w:rFonts w:ascii="Book Antiqua" w:eastAsia="Calibri" w:hAnsi="Book Antiqua" w:cs="Times New Roman"/>
          <w:b/>
          <w:bCs/>
          <w:color w:val="000000" w:themeColor="text1"/>
          <w:sz w:val="24"/>
          <w:szCs w:val="24"/>
          <w:lang w:val="en-US"/>
        </w:rPr>
        <w:t>332</w:t>
      </w:r>
      <w:r w:rsidRPr="00CC34A3">
        <w:rPr>
          <w:rFonts w:ascii="Book Antiqua" w:eastAsia="Calibri" w:hAnsi="Book Antiqua" w:cs="Times New Roman"/>
          <w:color w:val="000000" w:themeColor="text1"/>
          <w:sz w:val="24"/>
          <w:szCs w:val="24"/>
          <w:lang w:val="en-US"/>
        </w:rPr>
        <w:t>: 23-33 [PMID: 9298922]</w:t>
      </w:r>
    </w:p>
    <w:p w14:paraId="148E1565"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34 </w:t>
      </w:r>
      <w:r w:rsidRPr="00CC34A3">
        <w:rPr>
          <w:rFonts w:ascii="Book Antiqua" w:eastAsia="Calibri" w:hAnsi="Book Antiqua" w:cs="Times New Roman"/>
          <w:b/>
          <w:bCs/>
          <w:color w:val="000000" w:themeColor="text1"/>
          <w:sz w:val="24"/>
          <w:szCs w:val="24"/>
          <w:lang w:val="en-US"/>
        </w:rPr>
        <w:t>Barisic I</w:t>
      </w:r>
      <w:r w:rsidRPr="00CC34A3">
        <w:rPr>
          <w:rFonts w:ascii="Book Antiqua" w:eastAsia="Calibri" w:hAnsi="Book Antiqua" w:cs="Times New Roman"/>
          <w:color w:val="000000" w:themeColor="text1"/>
          <w:sz w:val="24"/>
          <w:szCs w:val="24"/>
          <w:lang w:val="en-US"/>
        </w:rPr>
        <w:t>, Balenovic D, Klicek R, Radic B, Nikitovic B, Drmic D, Udovicic M, Strinic D, Bardak D, Berkopic L, Djuzel V, Sever M, Cvjetko I, Romic Z, Sindic A, Bencic ML, Seiwerth S, Sikiric P. Mortal hyperkalemia disturbances in rats are NO-system related. The life saving effect of pentadecapeptide BPC 157. </w:t>
      </w:r>
      <w:r w:rsidRPr="00CC34A3">
        <w:rPr>
          <w:rFonts w:ascii="Book Antiqua" w:eastAsia="Calibri" w:hAnsi="Book Antiqua" w:cs="Times New Roman"/>
          <w:i/>
          <w:iCs/>
          <w:color w:val="000000" w:themeColor="text1"/>
          <w:sz w:val="24"/>
          <w:szCs w:val="24"/>
          <w:lang w:val="en-US"/>
        </w:rPr>
        <w:t>Regul Pept</w:t>
      </w:r>
      <w:r w:rsidRPr="00CC34A3">
        <w:rPr>
          <w:rFonts w:ascii="Book Antiqua" w:eastAsia="Calibri" w:hAnsi="Book Antiqua" w:cs="Times New Roman"/>
          <w:color w:val="000000" w:themeColor="text1"/>
          <w:sz w:val="24"/>
          <w:szCs w:val="24"/>
          <w:lang w:val="en-US"/>
        </w:rPr>
        <w:t> 2013; </w:t>
      </w:r>
      <w:r w:rsidRPr="00CC34A3">
        <w:rPr>
          <w:rFonts w:ascii="Book Antiqua" w:eastAsia="Calibri" w:hAnsi="Book Antiqua" w:cs="Times New Roman"/>
          <w:b/>
          <w:bCs/>
          <w:color w:val="000000" w:themeColor="text1"/>
          <w:sz w:val="24"/>
          <w:szCs w:val="24"/>
          <w:lang w:val="en-US"/>
        </w:rPr>
        <w:t>181</w:t>
      </w:r>
      <w:r w:rsidRPr="00CC34A3">
        <w:rPr>
          <w:rFonts w:ascii="Book Antiqua" w:eastAsia="Calibri" w:hAnsi="Book Antiqua" w:cs="Times New Roman"/>
          <w:color w:val="000000" w:themeColor="text1"/>
          <w:sz w:val="24"/>
          <w:szCs w:val="24"/>
          <w:lang w:val="en-US"/>
        </w:rPr>
        <w:t>: 50-66 [PMID: 23327997 DOI: 10.1016/j.regpep.2012.12.007]</w:t>
      </w:r>
    </w:p>
    <w:p w14:paraId="29D78448"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35 </w:t>
      </w:r>
      <w:r w:rsidRPr="00CC34A3">
        <w:rPr>
          <w:rFonts w:ascii="Book Antiqua" w:eastAsia="Calibri" w:hAnsi="Book Antiqua" w:cs="Times New Roman"/>
          <w:b/>
          <w:bCs/>
          <w:color w:val="000000" w:themeColor="text1"/>
          <w:sz w:val="24"/>
          <w:szCs w:val="24"/>
          <w:lang w:val="en-US"/>
        </w:rPr>
        <w:t>Lovric-Bencic M</w:t>
      </w:r>
      <w:r w:rsidRPr="00CC34A3">
        <w:rPr>
          <w:rFonts w:ascii="Book Antiqua" w:eastAsia="Calibri" w:hAnsi="Book Antiqua" w:cs="Times New Roman"/>
          <w:color w:val="000000" w:themeColor="text1"/>
          <w:sz w:val="24"/>
          <w:szCs w:val="24"/>
          <w:lang w:val="en-US"/>
        </w:rPr>
        <w:t>, Sikiric P, Hanzevacki JS, Seiwerth S, Rogic D, Kusec V, Aralica G, Konjevoda P, Batelja L, Blagaic AB. Doxorubicine-congestive heart failure-increased big endothelin-1 plasma concentration: reversal by amlodipine, losartan, and gastric pentadecapeptide BPC157 in rat and mouse. </w:t>
      </w:r>
      <w:r w:rsidRPr="00CC34A3">
        <w:rPr>
          <w:rFonts w:ascii="Book Antiqua" w:eastAsia="Calibri" w:hAnsi="Book Antiqua" w:cs="Times New Roman"/>
          <w:i/>
          <w:iCs/>
          <w:color w:val="000000" w:themeColor="text1"/>
          <w:sz w:val="24"/>
          <w:szCs w:val="24"/>
          <w:lang w:val="en-US"/>
        </w:rPr>
        <w:t>J Pharmacol Sci</w:t>
      </w:r>
      <w:r w:rsidRPr="00CC34A3">
        <w:rPr>
          <w:rFonts w:ascii="Book Antiqua" w:eastAsia="Calibri" w:hAnsi="Book Antiqua" w:cs="Times New Roman"/>
          <w:color w:val="000000" w:themeColor="text1"/>
          <w:sz w:val="24"/>
          <w:szCs w:val="24"/>
          <w:lang w:val="en-US"/>
        </w:rPr>
        <w:t> 2004; </w:t>
      </w:r>
      <w:r w:rsidRPr="00CC34A3">
        <w:rPr>
          <w:rFonts w:ascii="Book Antiqua" w:eastAsia="Calibri" w:hAnsi="Book Antiqua" w:cs="Times New Roman"/>
          <w:b/>
          <w:bCs/>
          <w:color w:val="000000" w:themeColor="text1"/>
          <w:sz w:val="24"/>
          <w:szCs w:val="24"/>
          <w:lang w:val="en-US"/>
        </w:rPr>
        <w:t>95</w:t>
      </w:r>
      <w:r w:rsidRPr="00CC34A3">
        <w:rPr>
          <w:rFonts w:ascii="Book Antiqua" w:eastAsia="Calibri" w:hAnsi="Book Antiqua" w:cs="Times New Roman"/>
          <w:color w:val="000000" w:themeColor="text1"/>
          <w:sz w:val="24"/>
          <w:szCs w:val="24"/>
          <w:lang w:val="en-US"/>
        </w:rPr>
        <w:t>: 19-26 [PMID: 15153646]</w:t>
      </w:r>
    </w:p>
    <w:p w14:paraId="4BFA87A9"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36 </w:t>
      </w:r>
      <w:r w:rsidRPr="00CC34A3">
        <w:rPr>
          <w:rFonts w:ascii="Book Antiqua" w:eastAsia="Calibri" w:hAnsi="Book Antiqua" w:cs="Times New Roman"/>
          <w:b/>
          <w:bCs/>
          <w:color w:val="000000" w:themeColor="text1"/>
          <w:sz w:val="24"/>
          <w:szCs w:val="24"/>
          <w:lang w:val="en-US"/>
        </w:rPr>
        <w:t>Medvidovic-Grubisic M</w:t>
      </w:r>
      <w:r w:rsidRPr="00CC34A3">
        <w:rPr>
          <w:rFonts w:ascii="Book Antiqua" w:eastAsia="Calibri" w:hAnsi="Book Antiqua" w:cs="Times New Roman"/>
          <w:color w:val="000000" w:themeColor="text1"/>
          <w:sz w:val="24"/>
          <w:szCs w:val="24"/>
          <w:lang w:val="en-US"/>
        </w:rPr>
        <w:t>, Stambolija V, Kolenc D, Katancic J, Murselovic T, Plestina-Borjan I, Strbe S, Drmic D, Barisic I, Sindic A, Seiwerth S, Sikiric P. Hypermagnesemia disturbances in rats, NO-related: pentadecapeptide BPC 157 abrogates, L-NAME and L-arginine worsen. </w:t>
      </w:r>
      <w:r w:rsidRPr="00CC34A3">
        <w:rPr>
          <w:rFonts w:ascii="Book Antiqua" w:eastAsia="Calibri" w:hAnsi="Book Antiqua" w:cs="Times New Roman"/>
          <w:i/>
          <w:iCs/>
          <w:color w:val="000000" w:themeColor="text1"/>
          <w:sz w:val="24"/>
          <w:szCs w:val="24"/>
          <w:lang w:val="en-US"/>
        </w:rPr>
        <w:t>Inflammopharmacology</w:t>
      </w:r>
      <w:r w:rsidRPr="00CC34A3">
        <w:rPr>
          <w:rFonts w:ascii="Book Antiqua" w:eastAsia="Calibri" w:hAnsi="Book Antiqua" w:cs="Times New Roman"/>
          <w:color w:val="000000" w:themeColor="text1"/>
          <w:sz w:val="24"/>
          <w:szCs w:val="24"/>
          <w:lang w:val="en-US"/>
        </w:rPr>
        <w:t> 2017; </w:t>
      </w:r>
      <w:r w:rsidRPr="00CC34A3">
        <w:rPr>
          <w:rFonts w:ascii="Book Antiqua" w:eastAsia="Calibri" w:hAnsi="Book Antiqua" w:cs="Times New Roman"/>
          <w:b/>
          <w:bCs/>
          <w:color w:val="000000" w:themeColor="text1"/>
          <w:sz w:val="24"/>
          <w:szCs w:val="24"/>
          <w:lang w:val="en-US"/>
        </w:rPr>
        <w:t>25</w:t>
      </w:r>
      <w:r w:rsidRPr="00CC34A3">
        <w:rPr>
          <w:rFonts w:ascii="Book Antiqua" w:eastAsia="Calibri" w:hAnsi="Book Antiqua" w:cs="Times New Roman"/>
          <w:color w:val="000000" w:themeColor="text1"/>
          <w:sz w:val="24"/>
          <w:szCs w:val="24"/>
          <w:lang w:val="en-US"/>
        </w:rPr>
        <w:t xml:space="preserve">: 439-449 </w:t>
      </w:r>
      <w:r w:rsidRPr="00CC34A3">
        <w:rPr>
          <w:rFonts w:ascii="Book Antiqua" w:eastAsia="Calibri" w:hAnsi="Book Antiqua" w:cs="Times New Roman"/>
          <w:color w:val="000000" w:themeColor="text1"/>
          <w:sz w:val="24"/>
          <w:szCs w:val="24"/>
          <w:lang w:val="en-US"/>
        </w:rPr>
        <w:lastRenderedPageBreak/>
        <w:t>[PMID: 28210905 DOI: 10.1007/s10787-017-0323-6]</w:t>
      </w:r>
    </w:p>
    <w:p w14:paraId="65333F80"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37 </w:t>
      </w:r>
      <w:r w:rsidRPr="00CC34A3">
        <w:rPr>
          <w:rFonts w:ascii="Book Antiqua" w:eastAsia="Calibri" w:hAnsi="Book Antiqua" w:cs="Times New Roman"/>
          <w:b/>
          <w:bCs/>
          <w:color w:val="000000" w:themeColor="text1"/>
          <w:sz w:val="24"/>
          <w:szCs w:val="24"/>
          <w:lang w:val="en-US"/>
        </w:rPr>
        <w:t>Berra-Romani R</w:t>
      </w:r>
      <w:r w:rsidRPr="00CC34A3">
        <w:rPr>
          <w:rFonts w:ascii="Book Antiqua" w:eastAsia="Calibri" w:hAnsi="Book Antiqua" w:cs="Times New Roman"/>
          <w:color w:val="000000" w:themeColor="text1"/>
          <w:sz w:val="24"/>
          <w:szCs w:val="24"/>
          <w:lang w:val="en-US"/>
        </w:rPr>
        <w:t>, Avelino-Cruz JE, Raqeeb A, Della Corte A, Cinelli M, Montagnani S, Guerra G, Moccia F, Tanzi F. Ca²</w:t>
      </w:r>
      <w:r w:rsidRPr="00CC34A3">
        <w:rPr>
          <w:rFonts w:ascii="Calibri" w:eastAsia="Calibri" w:hAnsi="Calibri" w:cs="Calibri"/>
          <w:color w:val="000000" w:themeColor="text1"/>
          <w:sz w:val="24"/>
          <w:szCs w:val="24"/>
          <w:lang w:val="en-US"/>
        </w:rPr>
        <w:t>⁺</w:t>
      </w:r>
      <w:r w:rsidRPr="00CC34A3">
        <w:rPr>
          <w:rFonts w:ascii="Book Antiqua" w:eastAsia="Calibri" w:hAnsi="Book Antiqua" w:cs="Times New Roman"/>
          <w:color w:val="000000" w:themeColor="text1"/>
          <w:sz w:val="24"/>
          <w:szCs w:val="24"/>
          <w:lang w:val="en-US"/>
        </w:rPr>
        <w:t>-dependent nitric oxide release in the injured endothelium of excised rat aorta: a promising mechanism applying in vascular prosthetic devices in aging patients. </w:t>
      </w:r>
      <w:r w:rsidRPr="00CC34A3">
        <w:rPr>
          <w:rFonts w:ascii="Book Antiqua" w:eastAsia="Calibri" w:hAnsi="Book Antiqua" w:cs="Times New Roman"/>
          <w:i/>
          <w:iCs/>
          <w:color w:val="000000" w:themeColor="text1"/>
          <w:sz w:val="24"/>
          <w:szCs w:val="24"/>
          <w:lang w:val="en-US"/>
        </w:rPr>
        <w:t>BMC Surg</w:t>
      </w:r>
      <w:r w:rsidRPr="00CC34A3">
        <w:rPr>
          <w:rFonts w:ascii="Book Antiqua" w:eastAsia="Calibri" w:hAnsi="Book Antiqua" w:cs="Times New Roman"/>
          <w:color w:val="000000" w:themeColor="text1"/>
          <w:sz w:val="24"/>
          <w:szCs w:val="24"/>
          <w:lang w:val="en-US"/>
        </w:rPr>
        <w:t> 2013; </w:t>
      </w:r>
      <w:r w:rsidRPr="00CC34A3">
        <w:rPr>
          <w:rFonts w:ascii="Book Antiqua" w:eastAsia="Calibri" w:hAnsi="Book Antiqua" w:cs="Times New Roman"/>
          <w:b/>
          <w:bCs/>
          <w:color w:val="000000" w:themeColor="text1"/>
          <w:sz w:val="24"/>
          <w:szCs w:val="24"/>
          <w:lang w:val="en-US"/>
        </w:rPr>
        <w:t xml:space="preserve">13 </w:t>
      </w:r>
      <w:r w:rsidRPr="00CC34A3">
        <w:rPr>
          <w:rFonts w:ascii="Book Antiqua" w:eastAsia="Calibri" w:hAnsi="Book Antiqua" w:cs="Times New Roman"/>
          <w:bCs/>
          <w:color w:val="000000" w:themeColor="text1"/>
          <w:sz w:val="24"/>
          <w:szCs w:val="24"/>
          <w:lang w:val="en-US"/>
        </w:rPr>
        <w:t>Suppl 2</w:t>
      </w:r>
      <w:r w:rsidRPr="00CC34A3">
        <w:rPr>
          <w:rFonts w:ascii="Book Antiqua" w:eastAsia="Calibri" w:hAnsi="Book Antiqua" w:cs="Times New Roman"/>
          <w:color w:val="000000" w:themeColor="text1"/>
          <w:sz w:val="24"/>
          <w:szCs w:val="24"/>
          <w:lang w:val="en-US"/>
        </w:rPr>
        <w:t>: S40 [PMID: 24266895 DOI: 10.1186/1471-2482-13-S2-S40]</w:t>
      </w:r>
    </w:p>
    <w:p w14:paraId="7A17FAEC"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38 </w:t>
      </w:r>
      <w:r w:rsidRPr="00CC34A3">
        <w:rPr>
          <w:rFonts w:ascii="Book Antiqua" w:eastAsia="Calibri" w:hAnsi="Book Antiqua" w:cs="Times New Roman"/>
          <w:b/>
          <w:bCs/>
          <w:color w:val="000000" w:themeColor="text1"/>
          <w:sz w:val="24"/>
          <w:szCs w:val="24"/>
          <w:lang w:val="en-US"/>
        </w:rPr>
        <w:t>Schiller HJ</w:t>
      </w:r>
      <w:r w:rsidRPr="00CC34A3">
        <w:rPr>
          <w:rFonts w:ascii="Book Antiqua" w:eastAsia="Calibri" w:hAnsi="Book Antiqua" w:cs="Times New Roman"/>
          <w:color w:val="000000" w:themeColor="text1"/>
          <w:sz w:val="24"/>
          <w:szCs w:val="24"/>
          <w:lang w:val="en-US"/>
        </w:rPr>
        <w:t>, Reilly PM, Bulkley GB. Tissue perfusion in critical illnesses. Antioxidant therapy. </w:t>
      </w:r>
      <w:r w:rsidRPr="00CC34A3">
        <w:rPr>
          <w:rFonts w:ascii="Book Antiqua" w:eastAsia="Calibri" w:hAnsi="Book Antiqua" w:cs="Times New Roman"/>
          <w:i/>
          <w:iCs/>
          <w:color w:val="000000" w:themeColor="text1"/>
          <w:sz w:val="24"/>
          <w:szCs w:val="24"/>
          <w:lang w:val="en-US"/>
        </w:rPr>
        <w:t>Crit Care Med</w:t>
      </w:r>
      <w:r w:rsidRPr="00CC34A3">
        <w:rPr>
          <w:rFonts w:ascii="Book Antiqua" w:eastAsia="Calibri" w:hAnsi="Book Antiqua" w:cs="Times New Roman"/>
          <w:color w:val="000000" w:themeColor="text1"/>
          <w:sz w:val="24"/>
          <w:szCs w:val="24"/>
          <w:lang w:val="en-US"/>
        </w:rPr>
        <w:t> 1993; </w:t>
      </w:r>
      <w:r w:rsidRPr="00CC34A3">
        <w:rPr>
          <w:rFonts w:ascii="Book Antiqua" w:eastAsia="Calibri" w:hAnsi="Book Antiqua" w:cs="Times New Roman"/>
          <w:b/>
          <w:bCs/>
          <w:color w:val="000000" w:themeColor="text1"/>
          <w:sz w:val="24"/>
          <w:szCs w:val="24"/>
          <w:lang w:val="en-US"/>
        </w:rPr>
        <w:t>21</w:t>
      </w:r>
      <w:r w:rsidRPr="00CC34A3">
        <w:rPr>
          <w:rFonts w:ascii="Book Antiqua" w:eastAsia="Calibri" w:hAnsi="Book Antiqua" w:cs="Times New Roman"/>
          <w:color w:val="000000" w:themeColor="text1"/>
          <w:sz w:val="24"/>
          <w:szCs w:val="24"/>
          <w:lang w:val="en-US"/>
        </w:rPr>
        <w:t>: S92-102 [PMID: 8428505]</w:t>
      </w:r>
    </w:p>
    <w:p w14:paraId="05021F62"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39 </w:t>
      </w:r>
      <w:r w:rsidRPr="00CC34A3">
        <w:rPr>
          <w:rFonts w:ascii="Book Antiqua" w:eastAsia="Calibri" w:hAnsi="Book Antiqua" w:cs="Times New Roman"/>
          <w:b/>
          <w:bCs/>
          <w:color w:val="000000" w:themeColor="text1"/>
          <w:sz w:val="24"/>
          <w:szCs w:val="24"/>
          <w:lang w:val="en-US"/>
        </w:rPr>
        <w:t>Rangan U</w:t>
      </w:r>
      <w:r w:rsidRPr="00CC34A3">
        <w:rPr>
          <w:rFonts w:ascii="Book Antiqua" w:eastAsia="Calibri" w:hAnsi="Book Antiqua" w:cs="Times New Roman"/>
          <w:color w:val="000000" w:themeColor="text1"/>
          <w:sz w:val="24"/>
          <w:szCs w:val="24"/>
          <w:lang w:val="en-US"/>
        </w:rPr>
        <w:t>, Bulkley GB. Prospects for treatment of free radical-mediated tissue injury. </w:t>
      </w:r>
      <w:r w:rsidRPr="00CC34A3">
        <w:rPr>
          <w:rFonts w:ascii="Book Antiqua" w:eastAsia="Calibri" w:hAnsi="Book Antiqua" w:cs="Times New Roman"/>
          <w:i/>
          <w:iCs/>
          <w:color w:val="000000" w:themeColor="text1"/>
          <w:sz w:val="24"/>
          <w:szCs w:val="24"/>
          <w:lang w:val="en-US"/>
        </w:rPr>
        <w:t>Br Med Bull</w:t>
      </w:r>
      <w:r w:rsidRPr="00CC34A3">
        <w:rPr>
          <w:rFonts w:ascii="Book Antiqua" w:eastAsia="Calibri" w:hAnsi="Book Antiqua" w:cs="Times New Roman"/>
          <w:color w:val="000000" w:themeColor="text1"/>
          <w:sz w:val="24"/>
          <w:szCs w:val="24"/>
          <w:lang w:val="en-US"/>
        </w:rPr>
        <w:t> 1993; </w:t>
      </w:r>
      <w:r w:rsidRPr="00CC34A3">
        <w:rPr>
          <w:rFonts w:ascii="Book Antiqua" w:eastAsia="Calibri" w:hAnsi="Book Antiqua" w:cs="Times New Roman"/>
          <w:b/>
          <w:bCs/>
          <w:color w:val="000000" w:themeColor="text1"/>
          <w:sz w:val="24"/>
          <w:szCs w:val="24"/>
          <w:lang w:val="en-US"/>
        </w:rPr>
        <w:t>49</w:t>
      </w:r>
      <w:r w:rsidRPr="00CC34A3">
        <w:rPr>
          <w:rFonts w:ascii="Book Antiqua" w:eastAsia="Calibri" w:hAnsi="Book Antiqua" w:cs="Times New Roman"/>
          <w:color w:val="000000" w:themeColor="text1"/>
          <w:sz w:val="24"/>
          <w:szCs w:val="24"/>
          <w:lang w:val="en-US"/>
        </w:rPr>
        <w:t>: 700-718 [PMID: 8221033]</w:t>
      </w:r>
    </w:p>
    <w:p w14:paraId="3D7A9897"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40 </w:t>
      </w:r>
      <w:r w:rsidRPr="00CC34A3">
        <w:rPr>
          <w:rFonts w:ascii="Book Antiqua" w:eastAsia="Calibri" w:hAnsi="Book Antiqua" w:cs="Times New Roman"/>
          <w:b/>
          <w:bCs/>
          <w:color w:val="000000" w:themeColor="text1"/>
          <w:sz w:val="24"/>
          <w:szCs w:val="24"/>
          <w:lang w:val="en-US"/>
        </w:rPr>
        <w:t>Matthys KE</w:t>
      </w:r>
      <w:r w:rsidRPr="00CC34A3">
        <w:rPr>
          <w:rFonts w:ascii="Book Antiqua" w:eastAsia="Calibri" w:hAnsi="Book Antiqua" w:cs="Times New Roman"/>
          <w:color w:val="000000" w:themeColor="text1"/>
          <w:sz w:val="24"/>
          <w:szCs w:val="24"/>
          <w:lang w:val="en-US"/>
        </w:rPr>
        <w:t>, Bult H. Nitric oxide function in atherosclerosis. </w:t>
      </w:r>
      <w:r w:rsidRPr="00CC34A3">
        <w:rPr>
          <w:rFonts w:ascii="Book Antiqua" w:eastAsia="Calibri" w:hAnsi="Book Antiqua" w:cs="Times New Roman"/>
          <w:i/>
          <w:iCs/>
          <w:color w:val="000000" w:themeColor="text1"/>
          <w:sz w:val="24"/>
          <w:szCs w:val="24"/>
          <w:lang w:val="en-US"/>
        </w:rPr>
        <w:t>Mediators Inflamm</w:t>
      </w:r>
      <w:r w:rsidRPr="00CC34A3">
        <w:rPr>
          <w:rFonts w:ascii="Book Antiqua" w:eastAsia="Calibri" w:hAnsi="Book Antiqua" w:cs="Times New Roman"/>
          <w:color w:val="000000" w:themeColor="text1"/>
          <w:sz w:val="24"/>
          <w:szCs w:val="24"/>
          <w:lang w:val="en-US"/>
        </w:rPr>
        <w:t> 1997; </w:t>
      </w:r>
      <w:r w:rsidRPr="00CC34A3">
        <w:rPr>
          <w:rFonts w:ascii="Book Antiqua" w:eastAsia="Calibri" w:hAnsi="Book Antiqua" w:cs="Times New Roman"/>
          <w:b/>
          <w:bCs/>
          <w:color w:val="000000" w:themeColor="text1"/>
          <w:sz w:val="24"/>
          <w:szCs w:val="24"/>
          <w:lang w:val="en-US"/>
        </w:rPr>
        <w:t>6</w:t>
      </w:r>
      <w:r w:rsidRPr="00CC34A3">
        <w:rPr>
          <w:rFonts w:ascii="Book Antiqua" w:eastAsia="Calibri" w:hAnsi="Book Antiqua" w:cs="Times New Roman"/>
          <w:color w:val="000000" w:themeColor="text1"/>
          <w:sz w:val="24"/>
          <w:szCs w:val="24"/>
          <w:lang w:val="en-US"/>
        </w:rPr>
        <w:t>: 3-21 [PMID: 18472828 DOI: 10.1080/09629359791875]</w:t>
      </w:r>
    </w:p>
    <w:p w14:paraId="233CB638"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41 </w:t>
      </w:r>
      <w:r w:rsidRPr="00CC34A3">
        <w:rPr>
          <w:rFonts w:ascii="Book Antiqua" w:eastAsia="Calibri" w:hAnsi="Book Antiqua" w:cs="Times New Roman"/>
          <w:b/>
          <w:bCs/>
          <w:color w:val="000000" w:themeColor="text1"/>
          <w:sz w:val="24"/>
          <w:szCs w:val="24"/>
          <w:lang w:val="en-US"/>
        </w:rPr>
        <w:t>Yousefipour Z</w:t>
      </w:r>
      <w:r w:rsidRPr="00CC34A3">
        <w:rPr>
          <w:rFonts w:ascii="Book Antiqua" w:eastAsia="Calibri" w:hAnsi="Book Antiqua" w:cs="Times New Roman"/>
          <w:color w:val="000000" w:themeColor="text1"/>
          <w:sz w:val="24"/>
          <w:szCs w:val="24"/>
          <w:lang w:val="en-US"/>
        </w:rPr>
        <w:t>, Ranganna K, Newaz MA, Milton SG. Mechanism of acrolein-induced vascular toxicity. </w:t>
      </w:r>
      <w:r w:rsidRPr="00CC34A3">
        <w:rPr>
          <w:rFonts w:ascii="Book Antiqua" w:eastAsia="Calibri" w:hAnsi="Book Antiqua" w:cs="Times New Roman"/>
          <w:i/>
          <w:iCs/>
          <w:color w:val="000000" w:themeColor="text1"/>
          <w:sz w:val="24"/>
          <w:szCs w:val="24"/>
          <w:lang w:val="en-US"/>
        </w:rPr>
        <w:t>J Physiol Pharmacol</w:t>
      </w:r>
      <w:r w:rsidRPr="00CC34A3">
        <w:rPr>
          <w:rFonts w:ascii="Book Antiqua" w:eastAsia="Calibri" w:hAnsi="Book Antiqua" w:cs="Times New Roman"/>
          <w:color w:val="000000" w:themeColor="text1"/>
          <w:sz w:val="24"/>
          <w:szCs w:val="24"/>
          <w:lang w:val="en-US"/>
        </w:rPr>
        <w:t> 2005; </w:t>
      </w:r>
      <w:r w:rsidRPr="00CC34A3">
        <w:rPr>
          <w:rFonts w:ascii="Book Antiqua" w:eastAsia="Calibri" w:hAnsi="Book Antiqua" w:cs="Times New Roman"/>
          <w:b/>
          <w:bCs/>
          <w:color w:val="000000" w:themeColor="text1"/>
          <w:sz w:val="24"/>
          <w:szCs w:val="24"/>
          <w:lang w:val="en-US"/>
        </w:rPr>
        <w:t>56</w:t>
      </w:r>
      <w:r w:rsidRPr="00CC34A3">
        <w:rPr>
          <w:rFonts w:ascii="Book Antiqua" w:eastAsia="Calibri" w:hAnsi="Book Antiqua" w:cs="Times New Roman"/>
          <w:color w:val="000000" w:themeColor="text1"/>
          <w:sz w:val="24"/>
          <w:szCs w:val="24"/>
          <w:lang w:val="en-US"/>
        </w:rPr>
        <w:t>: 337-353 [PMID: 16204758]</w:t>
      </w:r>
    </w:p>
    <w:p w14:paraId="6B274241"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42 </w:t>
      </w:r>
      <w:r w:rsidRPr="00CC34A3">
        <w:rPr>
          <w:rFonts w:ascii="Book Antiqua" w:eastAsia="Calibri" w:hAnsi="Book Antiqua" w:cs="Times New Roman"/>
          <w:b/>
          <w:bCs/>
          <w:color w:val="000000" w:themeColor="text1"/>
          <w:sz w:val="24"/>
          <w:szCs w:val="24"/>
          <w:lang w:val="en-US"/>
        </w:rPr>
        <w:t>Cesarec V</w:t>
      </w:r>
      <w:r w:rsidRPr="00CC34A3">
        <w:rPr>
          <w:rFonts w:ascii="Book Antiqua" w:eastAsia="Calibri" w:hAnsi="Book Antiqua" w:cs="Times New Roman"/>
          <w:color w:val="000000" w:themeColor="text1"/>
          <w:sz w:val="24"/>
          <w:szCs w:val="24"/>
          <w:lang w:val="en-US"/>
        </w:rPr>
        <w:t>, Becejac T, Misic M, Djakovic Z, Olujic D, Drmic D, Brcic L, Rokotov DS, Seiwerth S, Sikiric P. Pentadecapeptide BPC 157 and the esophagocutaneous fistula healing therapy. </w:t>
      </w:r>
      <w:r w:rsidRPr="00CC34A3">
        <w:rPr>
          <w:rFonts w:ascii="Book Antiqua" w:eastAsia="Calibri" w:hAnsi="Book Antiqua" w:cs="Times New Roman"/>
          <w:i/>
          <w:iCs/>
          <w:color w:val="000000" w:themeColor="text1"/>
          <w:sz w:val="24"/>
          <w:szCs w:val="24"/>
          <w:lang w:val="en-US"/>
        </w:rPr>
        <w:t>Eur J Pharmacol</w:t>
      </w:r>
      <w:r w:rsidRPr="00CC34A3">
        <w:rPr>
          <w:rFonts w:ascii="Book Antiqua" w:eastAsia="Calibri" w:hAnsi="Book Antiqua" w:cs="Times New Roman"/>
          <w:color w:val="000000" w:themeColor="text1"/>
          <w:sz w:val="24"/>
          <w:szCs w:val="24"/>
          <w:lang w:val="en-US"/>
        </w:rPr>
        <w:t> 2013; </w:t>
      </w:r>
      <w:r w:rsidRPr="00CC34A3">
        <w:rPr>
          <w:rFonts w:ascii="Book Antiqua" w:eastAsia="Calibri" w:hAnsi="Book Antiqua" w:cs="Times New Roman"/>
          <w:b/>
          <w:bCs/>
          <w:color w:val="000000" w:themeColor="text1"/>
          <w:sz w:val="24"/>
          <w:szCs w:val="24"/>
          <w:lang w:val="en-US"/>
        </w:rPr>
        <w:t>701</w:t>
      </w:r>
      <w:r w:rsidRPr="00CC34A3">
        <w:rPr>
          <w:rFonts w:ascii="Book Antiqua" w:eastAsia="Calibri" w:hAnsi="Book Antiqua" w:cs="Times New Roman"/>
          <w:color w:val="000000" w:themeColor="text1"/>
          <w:sz w:val="24"/>
          <w:szCs w:val="24"/>
          <w:lang w:val="en-US"/>
        </w:rPr>
        <w:t>: 203-212 [PMID: 23220707 DOI: 10.1016/j.ejphar.2012.11.055]</w:t>
      </w:r>
    </w:p>
    <w:p w14:paraId="5C25B57E"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43 </w:t>
      </w:r>
      <w:r w:rsidRPr="00CC34A3">
        <w:rPr>
          <w:rFonts w:ascii="Book Antiqua" w:eastAsia="Calibri" w:hAnsi="Book Antiqua" w:cs="Times New Roman"/>
          <w:b/>
          <w:bCs/>
          <w:color w:val="000000" w:themeColor="text1"/>
          <w:sz w:val="24"/>
          <w:szCs w:val="24"/>
          <w:lang w:val="en-US"/>
        </w:rPr>
        <w:t>Hsieh MJ</w:t>
      </w:r>
      <w:r w:rsidRPr="00CC34A3">
        <w:rPr>
          <w:rFonts w:ascii="Book Antiqua" w:eastAsia="Calibri" w:hAnsi="Book Antiqua" w:cs="Times New Roman"/>
          <w:color w:val="000000" w:themeColor="text1"/>
          <w:sz w:val="24"/>
          <w:szCs w:val="24"/>
          <w:lang w:val="en-US"/>
        </w:rPr>
        <w:t>, Liu HT, Wang CN, Huang HY, Lin Y, Ko YS, Wang JS, Chang VH, Pang JS. Therapeutic potential of pro-angiogenic BPC157 is associated with VEGFR2 activation and up-regulation. </w:t>
      </w:r>
      <w:r w:rsidRPr="00CC34A3">
        <w:rPr>
          <w:rFonts w:ascii="Book Antiqua" w:eastAsia="Calibri" w:hAnsi="Book Antiqua" w:cs="Times New Roman"/>
          <w:i/>
          <w:iCs/>
          <w:color w:val="000000" w:themeColor="text1"/>
          <w:sz w:val="24"/>
          <w:szCs w:val="24"/>
          <w:lang w:val="en-US"/>
        </w:rPr>
        <w:t xml:space="preserve">J Mol Med </w:t>
      </w:r>
      <w:r w:rsidRPr="00CC34A3">
        <w:rPr>
          <w:rFonts w:ascii="Book Antiqua" w:eastAsia="Calibri" w:hAnsi="Book Antiqua" w:cs="Times New Roman"/>
          <w:iCs/>
          <w:color w:val="000000" w:themeColor="text1"/>
          <w:sz w:val="24"/>
          <w:szCs w:val="24"/>
          <w:lang w:val="en-US"/>
        </w:rPr>
        <w:t>(Berl)</w:t>
      </w:r>
      <w:r w:rsidRPr="00CC34A3">
        <w:rPr>
          <w:rFonts w:ascii="Book Antiqua" w:eastAsia="Calibri" w:hAnsi="Book Antiqua" w:cs="Times New Roman"/>
          <w:color w:val="000000" w:themeColor="text1"/>
          <w:sz w:val="24"/>
          <w:szCs w:val="24"/>
          <w:lang w:val="en-US"/>
        </w:rPr>
        <w:t> 2017; </w:t>
      </w:r>
      <w:r w:rsidRPr="00CC34A3">
        <w:rPr>
          <w:rFonts w:ascii="Book Antiqua" w:eastAsia="Calibri" w:hAnsi="Book Antiqua" w:cs="Times New Roman"/>
          <w:b/>
          <w:bCs/>
          <w:color w:val="000000" w:themeColor="text1"/>
          <w:sz w:val="24"/>
          <w:szCs w:val="24"/>
          <w:lang w:val="en-US"/>
        </w:rPr>
        <w:t>95</w:t>
      </w:r>
      <w:r w:rsidRPr="00CC34A3">
        <w:rPr>
          <w:rFonts w:ascii="Book Antiqua" w:eastAsia="Calibri" w:hAnsi="Book Antiqua" w:cs="Times New Roman"/>
          <w:color w:val="000000" w:themeColor="text1"/>
          <w:sz w:val="24"/>
          <w:szCs w:val="24"/>
          <w:lang w:val="en-US"/>
        </w:rPr>
        <w:t>: 323-333 [PMID: 27847966 DOI: 10.1007/s00109-016-1488-y]</w:t>
      </w:r>
    </w:p>
    <w:p w14:paraId="2DB0829C"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44 </w:t>
      </w:r>
      <w:r w:rsidRPr="00CC34A3">
        <w:rPr>
          <w:rFonts w:ascii="Book Antiqua" w:eastAsia="Calibri" w:hAnsi="Book Antiqua" w:cs="Times New Roman"/>
          <w:b/>
          <w:bCs/>
          <w:color w:val="000000" w:themeColor="text1"/>
          <w:sz w:val="24"/>
          <w:szCs w:val="24"/>
          <w:lang w:val="en-US"/>
        </w:rPr>
        <w:t>Huang T</w:t>
      </w:r>
      <w:r w:rsidRPr="00CC34A3">
        <w:rPr>
          <w:rFonts w:ascii="Book Antiqua" w:eastAsia="Calibri" w:hAnsi="Book Antiqua" w:cs="Times New Roman"/>
          <w:color w:val="000000" w:themeColor="text1"/>
          <w:sz w:val="24"/>
          <w:szCs w:val="24"/>
          <w:lang w:val="en-US"/>
        </w:rPr>
        <w:t>, Zhang K, Sun L, Xue X, Zhang C, Shu Z, Mu N, Gu J, Zhang W, Wang Y, Zhang Y, Zhang W. Body protective compound-157 enhances alkali-burn wound healing in vivo and promotes proliferation, migration, and angiogenesis in vitro. </w:t>
      </w:r>
      <w:r w:rsidRPr="00CC34A3">
        <w:rPr>
          <w:rFonts w:ascii="Book Antiqua" w:eastAsia="Calibri" w:hAnsi="Book Antiqua" w:cs="Times New Roman"/>
          <w:i/>
          <w:iCs/>
          <w:color w:val="000000" w:themeColor="text1"/>
          <w:sz w:val="24"/>
          <w:szCs w:val="24"/>
          <w:lang w:val="en-US"/>
        </w:rPr>
        <w:t>Drug Des Devel Ther</w:t>
      </w:r>
      <w:r w:rsidRPr="00CC34A3">
        <w:rPr>
          <w:rFonts w:ascii="Book Antiqua" w:eastAsia="Calibri" w:hAnsi="Book Antiqua" w:cs="Times New Roman"/>
          <w:color w:val="000000" w:themeColor="text1"/>
          <w:sz w:val="24"/>
          <w:szCs w:val="24"/>
          <w:lang w:val="en-US"/>
        </w:rPr>
        <w:t> 2015; </w:t>
      </w:r>
      <w:r w:rsidRPr="00CC34A3">
        <w:rPr>
          <w:rFonts w:ascii="Book Antiqua" w:eastAsia="Calibri" w:hAnsi="Book Antiqua" w:cs="Times New Roman"/>
          <w:b/>
          <w:bCs/>
          <w:color w:val="000000" w:themeColor="text1"/>
          <w:sz w:val="24"/>
          <w:szCs w:val="24"/>
          <w:lang w:val="en-US"/>
        </w:rPr>
        <w:t>9</w:t>
      </w:r>
      <w:r w:rsidRPr="00CC34A3">
        <w:rPr>
          <w:rFonts w:ascii="Book Antiqua" w:eastAsia="Calibri" w:hAnsi="Book Antiqua" w:cs="Times New Roman"/>
          <w:color w:val="000000" w:themeColor="text1"/>
          <w:sz w:val="24"/>
          <w:szCs w:val="24"/>
          <w:lang w:val="en-US"/>
        </w:rPr>
        <w:t>: 2485-2499 [PMID: 25995620 DOI: 10.2147/DDDT.S82030]</w:t>
      </w:r>
    </w:p>
    <w:p w14:paraId="678F5A5C"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45 </w:t>
      </w:r>
      <w:r w:rsidRPr="00CC34A3">
        <w:rPr>
          <w:rFonts w:ascii="Book Antiqua" w:eastAsia="Calibri" w:hAnsi="Book Antiqua" w:cs="Times New Roman"/>
          <w:b/>
          <w:bCs/>
          <w:color w:val="000000" w:themeColor="text1"/>
          <w:sz w:val="24"/>
          <w:szCs w:val="24"/>
          <w:lang w:val="en-US"/>
        </w:rPr>
        <w:t>Chang CH</w:t>
      </w:r>
      <w:r w:rsidRPr="00CC34A3">
        <w:rPr>
          <w:rFonts w:ascii="Book Antiqua" w:eastAsia="Calibri" w:hAnsi="Book Antiqua" w:cs="Times New Roman"/>
          <w:color w:val="000000" w:themeColor="text1"/>
          <w:sz w:val="24"/>
          <w:szCs w:val="24"/>
          <w:lang w:val="en-US"/>
        </w:rPr>
        <w:t>, Tsai WC, Hsu YH, Pang JH. Pentadecapeptide BPC 157 enhances the growth hormone receptor expression in tendon fibroblasts. </w:t>
      </w:r>
      <w:r w:rsidRPr="00CC34A3">
        <w:rPr>
          <w:rFonts w:ascii="Book Antiqua" w:eastAsia="Calibri" w:hAnsi="Book Antiqua" w:cs="Times New Roman"/>
          <w:i/>
          <w:iCs/>
          <w:color w:val="000000" w:themeColor="text1"/>
          <w:sz w:val="24"/>
          <w:szCs w:val="24"/>
          <w:lang w:val="en-US"/>
        </w:rPr>
        <w:t>Molecules</w:t>
      </w:r>
      <w:r w:rsidRPr="00CC34A3">
        <w:rPr>
          <w:rFonts w:ascii="Book Antiqua" w:eastAsia="Calibri" w:hAnsi="Book Antiqua" w:cs="Times New Roman"/>
          <w:color w:val="000000" w:themeColor="text1"/>
          <w:sz w:val="24"/>
          <w:szCs w:val="24"/>
          <w:lang w:val="en-US"/>
        </w:rPr>
        <w:t> 2014; </w:t>
      </w:r>
      <w:r w:rsidRPr="00CC34A3">
        <w:rPr>
          <w:rFonts w:ascii="Book Antiqua" w:eastAsia="Calibri" w:hAnsi="Book Antiqua" w:cs="Times New Roman"/>
          <w:b/>
          <w:bCs/>
          <w:color w:val="000000" w:themeColor="text1"/>
          <w:sz w:val="24"/>
          <w:szCs w:val="24"/>
          <w:lang w:val="en-US"/>
        </w:rPr>
        <w:t>19</w:t>
      </w:r>
      <w:r w:rsidRPr="00CC34A3">
        <w:rPr>
          <w:rFonts w:ascii="Book Antiqua" w:eastAsia="Calibri" w:hAnsi="Book Antiqua" w:cs="Times New Roman"/>
          <w:color w:val="000000" w:themeColor="text1"/>
          <w:sz w:val="24"/>
          <w:szCs w:val="24"/>
          <w:lang w:val="en-US"/>
        </w:rPr>
        <w:t>: 19066-19077 [PMID: 25415472 DOI: 10.3390/molecules191119066]</w:t>
      </w:r>
    </w:p>
    <w:p w14:paraId="018A6467"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46 </w:t>
      </w:r>
      <w:r w:rsidRPr="00CC34A3">
        <w:rPr>
          <w:rFonts w:ascii="Book Antiqua" w:eastAsia="Calibri" w:hAnsi="Book Antiqua" w:cs="Times New Roman"/>
          <w:b/>
          <w:bCs/>
          <w:color w:val="000000" w:themeColor="text1"/>
          <w:sz w:val="24"/>
          <w:szCs w:val="24"/>
          <w:lang w:val="en-US"/>
        </w:rPr>
        <w:t>Chang CH</w:t>
      </w:r>
      <w:r w:rsidRPr="00CC34A3">
        <w:rPr>
          <w:rFonts w:ascii="Book Antiqua" w:eastAsia="Calibri" w:hAnsi="Book Antiqua" w:cs="Times New Roman"/>
          <w:color w:val="000000" w:themeColor="text1"/>
          <w:sz w:val="24"/>
          <w:szCs w:val="24"/>
          <w:lang w:val="en-US"/>
        </w:rPr>
        <w:t xml:space="preserve">, Tsai WC, Lin MS, Hsu YH, Pang JH. The promoting effect of </w:t>
      </w:r>
      <w:r w:rsidRPr="00CC34A3">
        <w:rPr>
          <w:rFonts w:ascii="Book Antiqua" w:eastAsia="Calibri" w:hAnsi="Book Antiqua" w:cs="Times New Roman"/>
          <w:color w:val="000000" w:themeColor="text1"/>
          <w:sz w:val="24"/>
          <w:szCs w:val="24"/>
          <w:lang w:val="en-US"/>
        </w:rPr>
        <w:lastRenderedPageBreak/>
        <w:t>pentadecapeptide BPC 157 on tendon healing involves tendon outgrowth, cell survival, and cell migration. </w:t>
      </w:r>
      <w:r w:rsidRPr="00CC34A3">
        <w:rPr>
          <w:rFonts w:ascii="Book Antiqua" w:eastAsia="Calibri" w:hAnsi="Book Antiqua" w:cs="Times New Roman"/>
          <w:i/>
          <w:iCs/>
          <w:color w:val="000000" w:themeColor="text1"/>
          <w:sz w:val="24"/>
          <w:szCs w:val="24"/>
          <w:lang w:val="en-US"/>
        </w:rPr>
        <w:t>J Appl Physiol</w:t>
      </w:r>
      <w:r w:rsidRPr="00CC34A3">
        <w:rPr>
          <w:rFonts w:ascii="Book Antiqua" w:eastAsia="Calibri" w:hAnsi="Book Antiqua" w:cs="Times New Roman"/>
          <w:iCs/>
          <w:color w:val="000000" w:themeColor="text1"/>
          <w:sz w:val="24"/>
          <w:szCs w:val="24"/>
          <w:lang w:val="en-US"/>
        </w:rPr>
        <w:t xml:space="preserve"> (1985)</w:t>
      </w:r>
      <w:r w:rsidRPr="00CC34A3">
        <w:rPr>
          <w:rFonts w:ascii="Book Antiqua" w:eastAsia="Calibri" w:hAnsi="Book Antiqua" w:cs="Times New Roman"/>
          <w:color w:val="000000" w:themeColor="text1"/>
          <w:sz w:val="24"/>
          <w:szCs w:val="24"/>
          <w:lang w:val="en-US"/>
        </w:rPr>
        <w:t> 2011; </w:t>
      </w:r>
      <w:r w:rsidRPr="00CC34A3">
        <w:rPr>
          <w:rFonts w:ascii="Book Antiqua" w:eastAsia="Calibri" w:hAnsi="Book Antiqua" w:cs="Times New Roman"/>
          <w:b/>
          <w:bCs/>
          <w:color w:val="000000" w:themeColor="text1"/>
          <w:sz w:val="24"/>
          <w:szCs w:val="24"/>
          <w:lang w:val="en-US"/>
        </w:rPr>
        <w:t>110</w:t>
      </w:r>
      <w:r w:rsidRPr="00CC34A3">
        <w:rPr>
          <w:rFonts w:ascii="Book Antiqua" w:eastAsia="Calibri" w:hAnsi="Book Antiqua" w:cs="Times New Roman"/>
          <w:color w:val="000000" w:themeColor="text1"/>
          <w:sz w:val="24"/>
          <w:szCs w:val="24"/>
          <w:lang w:val="en-US"/>
        </w:rPr>
        <w:t>: 774-780 [PMID: 21030672 DOI: 10.1152/japplphysiol.00945.2010]</w:t>
      </w:r>
    </w:p>
    <w:p w14:paraId="353A62E4"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47 </w:t>
      </w:r>
      <w:r w:rsidRPr="00CC34A3">
        <w:rPr>
          <w:rFonts w:ascii="Book Antiqua" w:eastAsia="Calibri" w:hAnsi="Book Antiqua" w:cs="Times New Roman"/>
          <w:b/>
          <w:bCs/>
          <w:color w:val="000000" w:themeColor="text1"/>
          <w:sz w:val="24"/>
          <w:szCs w:val="24"/>
          <w:lang w:val="en-US"/>
        </w:rPr>
        <w:t>Tkalcević VI</w:t>
      </w:r>
      <w:r w:rsidRPr="00CC34A3">
        <w:rPr>
          <w:rFonts w:ascii="Book Antiqua" w:eastAsia="Calibri" w:hAnsi="Book Antiqua" w:cs="Times New Roman"/>
          <w:color w:val="000000" w:themeColor="text1"/>
          <w:sz w:val="24"/>
          <w:szCs w:val="24"/>
          <w:lang w:val="en-US"/>
        </w:rPr>
        <w:t>, Cuzić S, Brajsa K, Mildner B, Bokulić A, Situm K, Perović D, Glojnarić I, Parnham MJ. Enhancement by PL 14736 of granulation and collagen organization in healing wounds and the potential role of egr-1 expression. </w:t>
      </w:r>
      <w:r w:rsidRPr="00CC34A3">
        <w:rPr>
          <w:rFonts w:ascii="Book Antiqua" w:eastAsia="Calibri" w:hAnsi="Book Antiqua" w:cs="Times New Roman"/>
          <w:i/>
          <w:iCs/>
          <w:color w:val="000000" w:themeColor="text1"/>
          <w:sz w:val="24"/>
          <w:szCs w:val="24"/>
          <w:lang w:val="en-US"/>
        </w:rPr>
        <w:t>Eur J Pharmacol</w:t>
      </w:r>
      <w:r w:rsidRPr="00CC34A3">
        <w:rPr>
          <w:rFonts w:ascii="Book Antiqua" w:eastAsia="Calibri" w:hAnsi="Book Antiqua" w:cs="Times New Roman"/>
          <w:color w:val="000000" w:themeColor="text1"/>
          <w:sz w:val="24"/>
          <w:szCs w:val="24"/>
          <w:lang w:val="en-US"/>
        </w:rPr>
        <w:t> 2007; </w:t>
      </w:r>
      <w:r w:rsidRPr="00CC34A3">
        <w:rPr>
          <w:rFonts w:ascii="Book Antiqua" w:eastAsia="Calibri" w:hAnsi="Book Antiqua" w:cs="Times New Roman"/>
          <w:b/>
          <w:bCs/>
          <w:color w:val="000000" w:themeColor="text1"/>
          <w:sz w:val="24"/>
          <w:szCs w:val="24"/>
          <w:lang w:val="en-US"/>
        </w:rPr>
        <w:t>570</w:t>
      </w:r>
      <w:r w:rsidRPr="00CC34A3">
        <w:rPr>
          <w:rFonts w:ascii="Book Antiqua" w:eastAsia="Calibri" w:hAnsi="Book Antiqua" w:cs="Times New Roman"/>
          <w:color w:val="000000" w:themeColor="text1"/>
          <w:sz w:val="24"/>
          <w:szCs w:val="24"/>
          <w:lang w:val="en-US"/>
        </w:rPr>
        <w:t>: 212-221 [PMID: 17628536 DOI: 10.1016/j.ejphar.2007.05.072]</w:t>
      </w:r>
    </w:p>
    <w:p w14:paraId="1BF08366"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48 </w:t>
      </w:r>
      <w:r w:rsidRPr="00CC34A3">
        <w:rPr>
          <w:rFonts w:ascii="Book Antiqua" w:eastAsia="Calibri" w:hAnsi="Book Antiqua" w:cs="Times New Roman"/>
          <w:b/>
          <w:bCs/>
          <w:color w:val="000000" w:themeColor="text1"/>
          <w:sz w:val="24"/>
          <w:szCs w:val="24"/>
          <w:lang w:val="en-US"/>
        </w:rPr>
        <w:t>Sikiric P</w:t>
      </w:r>
      <w:r w:rsidRPr="00CC34A3">
        <w:rPr>
          <w:rFonts w:ascii="Book Antiqua" w:eastAsia="Calibri" w:hAnsi="Book Antiqua" w:cs="Times New Roman"/>
          <w:color w:val="000000" w:themeColor="text1"/>
          <w:sz w:val="24"/>
          <w:szCs w:val="24"/>
          <w:lang w:val="en-US"/>
        </w:rPr>
        <w:t>, Separovic J, Anic T, Buljat G, Mikus D, Seiwerth S, Grabarevic Z, Stancic-Rokotov D, Pigac B, Hanzevacki M, Marovic A, Rucman R, Petek M, Zoricic I, Ziger T, Aralica G, Konjevoda P, Prkacin I, Gjurasin M, Miklic P, Artukovic B, Tisljar M, Bratulic M, Mise S, Rotkvic I. The effect of pentadecapeptide BPC 157, H2-blockers, omeprazole and sucralfate on new vessels and new granulation tissue formation. </w:t>
      </w:r>
      <w:r w:rsidRPr="00CC34A3">
        <w:rPr>
          <w:rFonts w:ascii="Book Antiqua" w:eastAsia="Calibri" w:hAnsi="Book Antiqua" w:cs="Times New Roman"/>
          <w:i/>
          <w:iCs/>
          <w:color w:val="000000" w:themeColor="text1"/>
          <w:sz w:val="24"/>
          <w:szCs w:val="24"/>
          <w:lang w:val="en-US"/>
        </w:rPr>
        <w:t>J Physiol Paris</w:t>
      </w:r>
      <w:r w:rsidRPr="00CC34A3">
        <w:rPr>
          <w:rFonts w:ascii="Book Antiqua" w:eastAsia="Calibri" w:hAnsi="Book Antiqua" w:cs="Times New Roman"/>
          <w:color w:val="000000" w:themeColor="text1"/>
          <w:sz w:val="24"/>
          <w:szCs w:val="24"/>
          <w:lang w:val="en-US"/>
        </w:rPr>
        <w:t> 1999; </w:t>
      </w:r>
      <w:r w:rsidRPr="00CC34A3">
        <w:rPr>
          <w:rFonts w:ascii="Book Antiqua" w:eastAsia="Calibri" w:hAnsi="Book Antiqua" w:cs="Times New Roman"/>
          <w:b/>
          <w:bCs/>
          <w:color w:val="000000" w:themeColor="text1"/>
          <w:sz w:val="24"/>
          <w:szCs w:val="24"/>
          <w:lang w:val="en-US"/>
        </w:rPr>
        <w:t>93</w:t>
      </w:r>
      <w:r w:rsidRPr="00CC34A3">
        <w:rPr>
          <w:rFonts w:ascii="Book Antiqua" w:eastAsia="Calibri" w:hAnsi="Book Antiqua" w:cs="Times New Roman"/>
          <w:color w:val="000000" w:themeColor="text1"/>
          <w:sz w:val="24"/>
          <w:szCs w:val="24"/>
          <w:lang w:val="en-US"/>
        </w:rPr>
        <w:t>: 479-485 [PMID: 10672992]</w:t>
      </w:r>
    </w:p>
    <w:p w14:paraId="74ED925E"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49 </w:t>
      </w:r>
      <w:r w:rsidRPr="00CC34A3">
        <w:rPr>
          <w:rFonts w:ascii="Book Antiqua" w:eastAsia="Calibri" w:hAnsi="Book Antiqua" w:cs="Times New Roman"/>
          <w:b/>
          <w:bCs/>
          <w:color w:val="000000" w:themeColor="text1"/>
          <w:sz w:val="24"/>
          <w:szCs w:val="24"/>
          <w:lang w:val="en-US"/>
        </w:rPr>
        <w:t>Brcic L</w:t>
      </w:r>
      <w:r w:rsidRPr="00CC34A3">
        <w:rPr>
          <w:rFonts w:ascii="Book Antiqua" w:eastAsia="Calibri" w:hAnsi="Book Antiqua" w:cs="Times New Roman"/>
          <w:color w:val="000000" w:themeColor="text1"/>
          <w:sz w:val="24"/>
          <w:szCs w:val="24"/>
          <w:lang w:val="en-US"/>
        </w:rPr>
        <w:t>, Brcic I, Staresinic M, Novinscak T, Sikiric P, Seiwerth S. Modulatory effect of gastric pentadecapeptide BPC 157 on angiogenesis in muscle and tendon healing. </w:t>
      </w:r>
      <w:r w:rsidRPr="00CC34A3">
        <w:rPr>
          <w:rFonts w:ascii="Book Antiqua" w:eastAsia="Calibri" w:hAnsi="Book Antiqua" w:cs="Times New Roman"/>
          <w:i/>
          <w:iCs/>
          <w:color w:val="000000" w:themeColor="text1"/>
          <w:sz w:val="24"/>
          <w:szCs w:val="24"/>
          <w:lang w:val="en-US"/>
        </w:rPr>
        <w:t>J Physiol Pharmacol</w:t>
      </w:r>
      <w:r w:rsidRPr="00CC34A3">
        <w:rPr>
          <w:rFonts w:ascii="Book Antiqua" w:eastAsia="Calibri" w:hAnsi="Book Antiqua" w:cs="Times New Roman"/>
          <w:color w:val="000000" w:themeColor="text1"/>
          <w:sz w:val="24"/>
          <w:szCs w:val="24"/>
          <w:lang w:val="en-US"/>
        </w:rPr>
        <w:t> 2009; </w:t>
      </w:r>
      <w:r w:rsidRPr="00CC34A3">
        <w:rPr>
          <w:rFonts w:ascii="Book Antiqua" w:eastAsia="Calibri" w:hAnsi="Book Antiqua" w:cs="Times New Roman"/>
          <w:b/>
          <w:bCs/>
          <w:color w:val="000000" w:themeColor="text1"/>
          <w:sz w:val="24"/>
          <w:szCs w:val="24"/>
          <w:lang w:val="en-US"/>
        </w:rPr>
        <w:t xml:space="preserve">60 </w:t>
      </w:r>
      <w:r w:rsidRPr="00CC34A3">
        <w:rPr>
          <w:rFonts w:ascii="Book Antiqua" w:eastAsia="Calibri" w:hAnsi="Book Antiqua" w:cs="Times New Roman"/>
          <w:bCs/>
          <w:color w:val="000000" w:themeColor="text1"/>
          <w:sz w:val="24"/>
          <w:szCs w:val="24"/>
          <w:lang w:val="en-US"/>
        </w:rPr>
        <w:t>Suppl 7</w:t>
      </w:r>
      <w:r w:rsidRPr="00CC34A3">
        <w:rPr>
          <w:rFonts w:ascii="Book Antiqua" w:eastAsia="Calibri" w:hAnsi="Book Antiqua" w:cs="Times New Roman"/>
          <w:color w:val="000000" w:themeColor="text1"/>
          <w:sz w:val="24"/>
          <w:szCs w:val="24"/>
          <w:lang w:val="en-US"/>
        </w:rPr>
        <w:t>: 191-196 [PMID: 20388964]</w:t>
      </w:r>
    </w:p>
    <w:p w14:paraId="59150C15" w14:textId="77777777" w:rsidR="00A559CA" w:rsidRPr="00CC34A3" w:rsidRDefault="00A559C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r w:rsidRPr="00CC34A3">
        <w:rPr>
          <w:rFonts w:ascii="Book Antiqua" w:eastAsia="Calibri" w:hAnsi="Book Antiqua" w:cs="Times New Roman"/>
          <w:color w:val="000000" w:themeColor="text1"/>
          <w:sz w:val="24"/>
          <w:szCs w:val="24"/>
          <w:lang w:val="en-US"/>
        </w:rPr>
        <w:t>50 </w:t>
      </w:r>
      <w:r w:rsidRPr="00CC34A3">
        <w:rPr>
          <w:rFonts w:ascii="Book Antiqua" w:eastAsia="Calibri" w:hAnsi="Book Antiqua" w:cs="Times New Roman"/>
          <w:b/>
          <w:bCs/>
          <w:color w:val="000000" w:themeColor="text1"/>
          <w:sz w:val="24"/>
          <w:szCs w:val="24"/>
          <w:lang w:val="en-US"/>
        </w:rPr>
        <w:t>Robert A</w:t>
      </w:r>
      <w:r w:rsidRPr="00CC34A3">
        <w:rPr>
          <w:rFonts w:ascii="Book Antiqua" w:eastAsia="Calibri" w:hAnsi="Book Antiqua" w:cs="Times New Roman"/>
          <w:color w:val="000000" w:themeColor="text1"/>
          <w:sz w:val="24"/>
          <w:szCs w:val="24"/>
          <w:lang w:val="en-US"/>
        </w:rPr>
        <w:t>. Cytoprotection by prostaglandins. </w:t>
      </w:r>
      <w:r w:rsidRPr="00CC34A3">
        <w:rPr>
          <w:rFonts w:ascii="Book Antiqua" w:eastAsia="Calibri" w:hAnsi="Book Antiqua" w:cs="Times New Roman"/>
          <w:i/>
          <w:iCs/>
          <w:color w:val="000000" w:themeColor="text1"/>
          <w:sz w:val="24"/>
          <w:szCs w:val="24"/>
          <w:lang w:val="en-US"/>
        </w:rPr>
        <w:t>Gastroenterology</w:t>
      </w:r>
      <w:r w:rsidRPr="00CC34A3">
        <w:rPr>
          <w:rFonts w:ascii="Book Antiqua" w:eastAsia="Calibri" w:hAnsi="Book Antiqua" w:cs="Times New Roman"/>
          <w:color w:val="000000" w:themeColor="text1"/>
          <w:sz w:val="24"/>
          <w:szCs w:val="24"/>
          <w:lang w:val="en-US"/>
        </w:rPr>
        <w:t> 1979; </w:t>
      </w:r>
      <w:r w:rsidRPr="00CC34A3">
        <w:rPr>
          <w:rFonts w:ascii="Book Antiqua" w:eastAsia="Calibri" w:hAnsi="Book Antiqua" w:cs="Times New Roman"/>
          <w:b/>
          <w:bCs/>
          <w:color w:val="000000" w:themeColor="text1"/>
          <w:sz w:val="24"/>
          <w:szCs w:val="24"/>
          <w:lang w:val="en-US"/>
        </w:rPr>
        <w:t>77</w:t>
      </w:r>
      <w:r w:rsidRPr="00CC34A3">
        <w:rPr>
          <w:rFonts w:ascii="Book Antiqua" w:eastAsia="Calibri" w:hAnsi="Book Antiqua" w:cs="Times New Roman"/>
          <w:color w:val="000000" w:themeColor="text1"/>
          <w:sz w:val="24"/>
          <w:szCs w:val="24"/>
          <w:lang w:val="en-US"/>
        </w:rPr>
        <w:t>: 761-767 [PMID: 38173]</w:t>
      </w:r>
    </w:p>
    <w:p w14:paraId="19780476" w14:textId="06A51F81" w:rsidR="006E2B0A" w:rsidRPr="00CC34A3" w:rsidRDefault="006E2B0A" w:rsidP="00CC34A3">
      <w:pPr>
        <w:widowControl w:val="0"/>
        <w:autoSpaceDE w:val="0"/>
        <w:autoSpaceDN w:val="0"/>
        <w:adjustRightInd w:val="0"/>
        <w:snapToGrid w:val="0"/>
        <w:spacing w:after="0" w:line="360" w:lineRule="auto"/>
        <w:jc w:val="both"/>
        <w:rPr>
          <w:rFonts w:ascii="Book Antiqua" w:eastAsia="Calibri" w:hAnsi="Book Antiqua" w:cs="Times New Roman"/>
          <w:color w:val="000000" w:themeColor="text1"/>
          <w:sz w:val="24"/>
          <w:szCs w:val="24"/>
          <w:lang w:val="en-US"/>
        </w:rPr>
      </w:pPr>
    </w:p>
    <w:p w14:paraId="18FBBAA1" w14:textId="645E940B" w:rsidR="00FE6951" w:rsidRPr="00CC34A3" w:rsidRDefault="006E2B0A" w:rsidP="00CC34A3">
      <w:pPr>
        <w:adjustRightInd w:val="0"/>
        <w:snapToGrid w:val="0"/>
        <w:spacing w:after="0" w:line="360" w:lineRule="auto"/>
        <w:jc w:val="right"/>
        <w:rPr>
          <w:rFonts w:ascii="Book Antiqua" w:hAnsi="Book Antiqua"/>
          <w:b/>
          <w:bCs/>
          <w:sz w:val="24"/>
          <w:szCs w:val="24"/>
        </w:rPr>
      </w:pPr>
      <w:r w:rsidRPr="00CC34A3">
        <w:rPr>
          <w:rFonts w:ascii="Book Antiqua" w:eastAsia="Calibri" w:hAnsi="Book Antiqua"/>
          <w:color w:val="000000" w:themeColor="text1"/>
          <w:sz w:val="24"/>
          <w:szCs w:val="24"/>
          <w:lang w:val="en-US"/>
        </w:rPr>
        <w:fldChar w:fldCharType="end"/>
      </w:r>
      <w:bookmarkStart w:id="26" w:name="OLE_LINK320"/>
      <w:bookmarkStart w:id="27" w:name="OLE_LINK387"/>
      <w:bookmarkStart w:id="28" w:name="OLE_LINK254"/>
      <w:bookmarkStart w:id="29" w:name="OLE_LINK149"/>
      <w:bookmarkStart w:id="30" w:name="OLE_LINK225"/>
      <w:bookmarkStart w:id="31" w:name="OLE_LINK207"/>
      <w:bookmarkStart w:id="32" w:name="OLE_LINK226"/>
      <w:bookmarkStart w:id="33" w:name="OLE_LINK212"/>
      <w:bookmarkStart w:id="34" w:name="OLE_LINK250"/>
      <w:bookmarkStart w:id="35" w:name="OLE_LINK281"/>
      <w:bookmarkStart w:id="36" w:name="OLE_LINK282"/>
      <w:bookmarkStart w:id="37" w:name="OLE_LINK313"/>
      <w:bookmarkStart w:id="38" w:name="OLE_LINK304"/>
      <w:bookmarkStart w:id="39" w:name="OLE_LINK321"/>
      <w:bookmarkStart w:id="40" w:name="OLE_LINK385"/>
      <w:bookmarkStart w:id="41" w:name="OLE_LINK400"/>
      <w:bookmarkStart w:id="42" w:name="OLE_LINK346"/>
      <w:bookmarkStart w:id="43" w:name="OLE_LINK371"/>
      <w:bookmarkStart w:id="44" w:name="OLE_LINK334"/>
      <w:bookmarkStart w:id="45" w:name="OLE_LINK1830"/>
      <w:bookmarkStart w:id="46" w:name="OLE_LINK457"/>
      <w:bookmarkStart w:id="47" w:name="OLE_LINK288"/>
      <w:bookmarkStart w:id="48" w:name="OLE_LINK384"/>
      <w:bookmarkStart w:id="49" w:name="OLE_LINK379"/>
      <w:bookmarkStart w:id="50" w:name="OLE_LINK303"/>
      <w:bookmarkStart w:id="51" w:name="OLE_LINK450"/>
      <w:bookmarkStart w:id="52" w:name="OLE_LINK489"/>
      <w:bookmarkStart w:id="53" w:name="OLE_LINK535"/>
      <w:bookmarkStart w:id="54" w:name="OLE_LINK648"/>
      <w:bookmarkStart w:id="55" w:name="OLE_LINK686"/>
      <w:bookmarkStart w:id="56" w:name="OLE_LINK471"/>
      <w:bookmarkStart w:id="57" w:name="OLE_LINK462"/>
      <w:bookmarkStart w:id="58" w:name="OLE_LINK519"/>
      <w:bookmarkStart w:id="59" w:name="OLE_LINK575"/>
      <w:bookmarkStart w:id="60" w:name="OLE_LINK491"/>
      <w:bookmarkStart w:id="61" w:name="OLE_LINK532"/>
      <w:bookmarkStart w:id="62" w:name="OLE_LINK572"/>
      <w:bookmarkStart w:id="63" w:name="OLE_LINK574"/>
      <w:bookmarkStart w:id="64" w:name="OLE_LINK480"/>
      <w:bookmarkStart w:id="65" w:name="OLE_LINK567"/>
      <w:bookmarkStart w:id="66" w:name="OLE_LINK2700"/>
      <w:bookmarkStart w:id="67" w:name="OLE_LINK581"/>
      <w:bookmarkStart w:id="68" w:name="OLE_LINK639"/>
      <w:bookmarkStart w:id="69" w:name="OLE_LINK688"/>
      <w:bookmarkStart w:id="70" w:name="OLE_LINK722"/>
      <w:bookmarkStart w:id="71" w:name="OLE_LINK542"/>
      <w:bookmarkStart w:id="72" w:name="OLE_LINK589"/>
      <w:bookmarkStart w:id="73" w:name="OLE_LINK582"/>
      <w:bookmarkStart w:id="74" w:name="OLE_LINK640"/>
      <w:bookmarkStart w:id="75" w:name="OLE_LINK714"/>
      <w:bookmarkStart w:id="76" w:name="OLE_LINK593"/>
      <w:bookmarkStart w:id="77" w:name="OLE_LINK716"/>
      <w:bookmarkStart w:id="78" w:name="OLE_LINK770"/>
      <w:bookmarkStart w:id="79" w:name="OLE_LINK801"/>
      <w:bookmarkStart w:id="80" w:name="OLE_LINK660"/>
      <w:bookmarkStart w:id="81" w:name="OLE_LINK781"/>
      <w:bookmarkStart w:id="82" w:name="OLE_LINK833"/>
      <w:bookmarkStart w:id="83" w:name="OLE_LINK642"/>
      <w:bookmarkStart w:id="84" w:name="OLE_LINK700"/>
      <w:bookmarkStart w:id="85" w:name="OLE_LINK792"/>
      <w:bookmarkStart w:id="86" w:name="OLE_LINK2882"/>
      <w:bookmarkStart w:id="87" w:name="OLE_LINK836"/>
      <w:bookmarkStart w:id="88" w:name="OLE_LINK889"/>
      <w:bookmarkStart w:id="89" w:name="OLE_LINK782"/>
      <w:bookmarkStart w:id="90" w:name="OLE_LINK826"/>
      <w:bookmarkStart w:id="91" w:name="OLE_LINK865"/>
      <w:bookmarkStart w:id="92" w:name="OLE_LINK856"/>
      <w:bookmarkStart w:id="93" w:name="OLE_LINK908"/>
      <w:bookmarkStart w:id="94" w:name="OLE_LINK980"/>
      <w:bookmarkStart w:id="95" w:name="OLE_LINK1018"/>
      <w:bookmarkStart w:id="96" w:name="OLE_LINK1049"/>
      <w:bookmarkStart w:id="97" w:name="OLE_LINK1076"/>
      <w:bookmarkStart w:id="98" w:name="OLE_LINK1106"/>
      <w:bookmarkStart w:id="99" w:name="OLE_LINK891"/>
      <w:bookmarkStart w:id="100" w:name="OLE_LINK943"/>
      <w:bookmarkStart w:id="101" w:name="OLE_LINK981"/>
      <w:bookmarkStart w:id="102" w:name="OLE_LINK1030"/>
      <w:bookmarkStart w:id="103" w:name="OLE_LINK847"/>
      <w:bookmarkStart w:id="104" w:name="OLE_LINK909"/>
      <w:bookmarkStart w:id="105" w:name="OLE_LINK906"/>
      <w:bookmarkStart w:id="106" w:name="OLE_LINK992"/>
      <w:bookmarkStart w:id="107" w:name="OLE_LINK993"/>
      <w:bookmarkStart w:id="108" w:name="OLE_LINK1052"/>
      <w:bookmarkStart w:id="109" w:name="OLE_LINK946"/>
      <w:bookmarkStart w:id="110" w:name="OLE_LINK911"/>
      <w:bookmarkStart w:id="111" w:name="OLE_LINK930"/>
      <w:bookmarkStart w:id="112" w:name="OLE_LINK1059"/>
      <w:bookmarkStart w:id="113" w:name="OLE_LINK1174"/>
      <w:bookmarkStart w:id="114" w:name="OLE_LINK1137"/>
      <w:bookmarkStart w:id="115" w:name="OLE_LINK1167"/>
      <w:bookmarkStart w:id="116" w:name="OLE_LINK1200"/>
      <w:bookmarkStart w:id="117" w:name="OLE_LINK1241"/>
      <w:bookmarkStart w:id="118" w:name="OLE_LINK1288"/>
      <w:bookmarkStart w:id="119" w:name="OLE_LINK1056"/>
      <w:bookmarkStart w:id="120" w:name="OLE_LINK1158"/>
      <w:bookmarkStart w:id="121" w:name="OLE_LINK1175"/>
      <w:bookmarkStart w:id="122" w:name="OLE_LINK1074"/>
      <w:bookmarkStart w:id="123" w:name="OLE_LINK1169"/>
      <w:bookmarkStart w:id="124" w:name="OLE_LINK386"/>
      <w:r w:rsidR="00FE6951" w:rsidRPr="00CC34A3">
        <w:rPr>
          <w:rFonts w:ascii="Book Antiqua" w:hAnsi="Book Antiqua"/>
          <w:b/>
          <w:bCs/>
          <w:sz w:val="24"/>
          <w:szCs w:val="24"/>
        </w:rPr>
        <w:t xml:space="preserve"> P-Reviewer: </w:t>
      </w:r>
      <w:r w:rsidR="00FE6951" w:rsidRPr="00CC34A3">
        <w:rPr>
          <w:rFonts w:ascii="Book Antiqua" w:hAnsi="Book Antiqua"/>
          <w:bCs/>
          <w:sz w:val="24"/>
          <w:szCs w:val="24"/>
        </w:rPr>
        <w:t>Fu TL, Vukojević J</w:t>
      </w:r>
    </w:p>
    <w:p w14:paraId="0C3369B7" w14:textId="77777777" w:rsidR="00FE6951" w:rsidRPr="00CC34A3" w:rsidRDefault="00FE6951" w:rsidP="00CC34A3">
      <w:pPr>
        <w:adjustRightInd w:val="0"/>
        <w:snapToGrid w:val="0"/>
        <w:spacing w:after="0" w:line="360" w:lineRule="auto"/>
        <w:jc w:val="right"/>
        <w:rPr>
          <w:rFonts w:ascii="Book Antiqua" w:hAnsi="Book Antiqua"/>
          <w:sz w:val="24"/>
          <w:szCs w:val="24"/>
        </w:rPr>
      </w:pPr>
      <w:r w:rsidRPr="00CC34A3">
        <w:rPr>
          <w:rFonts w:ascii="Book Antiqua" w:hAnsi="Book Antiqua"/>
          <w:b/>
          <w:bCs/>
          <w:sz w:val="24"/>
          <w:szCs w:val="24"/>
        </w:rPr>
        <w:t>S-Editor:</w:t>
      </w:r>
      <w:r w:rsidRPr="00CC34A3">
        <w:rPr>
          <w:rFonts w:ascii="Book Antiqua" w:hAnsi="Book Antiqua"/>
          <w:sz w:val="24"/>
          <w:szCs w:val="24"/>
        </w:rPr>
        <w:t xml:space="preserve"> Ma RY </w:t>
      </w:r>
      <w:r w:rsidRPr="00CC34A3">
        <w:rPr>
          <w:rFonts w:ascii="Book Antiqua" w:hAnsi="Book Antiqua"/>
          <w:b/>
          <w:bCs/>
          <w:sz w:val="24"/>
          <w:szCs w:val="24"/>
        </w:rPr>
        <w:t>L-Editor:</w:t>
      </w:r>
      <w:r w:rsidRPr="00CC34A3">
        <w:rPr>
          <w:rFonts w:ascii="Book Antiqua" w:hAnsi="Book Antiqua"/>
          <w:sz w:val="24"/>
          <w:szCs w:val="24"/>
        </w:rPr>
        <w:t xml:space="preserve"> </w:t>
      </w:r>
      <w:r w:rsidRPr="00CC34A3">
        <w:rPr>
          <w:rFonts w:ascii="Book Antiqua" w:hAnsi="Book Antiqua"/>
          <w:b/>
          <w:bCs/>
          <w:sz w:val="24"/>
          <w:szCs w:val="24"/>
        </w:rPr>
        <w:t>E-Editor:</w:t>
      </w:r>
    </w:p>
    <w:p w14:paraId="2B6B3FF0" w14:textId="77777777" w:rsidR="00FE6951" w:rsidRPr="00CC34A3" w:rsidRDefault="00FE6951" w:rsidP="00CC34A3">
      <w:pPr>
        <w:shd w:val="clear" w:color="auto" w:fill="FFFFFF"/>
        <w:adjustRightInd w:val="0"/>
        <w:snapToGrid w:val="0"/>
        <w:spacing w:after="0" w:line="360" w:lineRule="auto"/>
        <w:jc w:val="both"/>
        <w:rPr>
          <w:rFonts w:ascii="Book Antiqua" w:hAnsi="Book Antiqua" w:cs="Helvetica"/>
          <w:b/>
          <w:sz w:val="24"/>
          <w:szCs w:val="24"/>
        </w:rPr>
      </w:pPr>
      <w:bookmarkStart w:id="125" w:name="OLE_LINK880"/>
      <w:bookmarkStart w:id="126" w:name="OLE_LINK881"/>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r w:rsidRPr="00CC34A3">
        <w:rPr>
          <w:rFonts w:ascii="Book Antiqua" w:hAnsi="Book Antiqua" w:cs="Helvetica"/>
          <w:b/>
          <w:sz w:val="24"/>
          <w:szCs w:val="24"/>
        </w:rPr>
        <w:t xml:space="preserve">Specialty type: </w:t>
      </w:r>
      <w:r w:rsidRPr="00CC34A3">
        <w:rPr>
          <w:rFonts w:ascii="Book Antiqua" w:hAnsi="Book Antiqua" w:cs="Helvetica"/>
          <w:sz w:val="24"/>
          <w:szCs w:val="24"/>
        </w:rPr>
        <w:t>Gastroenterology and hepatology</w:t>
      </w:r>
    </w:p>
    <w:p w14:paraId="4C80A557" w14:textId="76B43FD1" w:rsidR="00FE6951" w:rsidRPr="00CC34A3" w:rsidRDefault="00FE6951" w:rsidP="00CC34A3">
      <w:pPr>
        <w:shd w:val="clear" w:color="auto" w:fill="FFFFFF"/>
        <w:adjustRightInd w:val="0"/>
        <w:snapToGrid w:val="0"/>
        <w:spacing w:after="0" w:line="360" w:lineRule="auto"/>
        <w:jc w:val="both"/>
        <w:rPr>
          <w:rFonts w:ascii="Book Antiqua" w:hAnsi="Book Antiqua" w:cs="Helvetica"/>
          <w:b/>
          <w:sz w:val="24"/>
          <w:szCs w:val="24"/>
        </w:rPr>
      </w:pPr>
      <w:r w:rsidRPr="00CC34A3">
        <w:rPr>
          <w:rFonts w:ascii="Book Antiqua" w:hAnsi="Book Antiqua" w:cs="Helvetica"/>
          <w:b/>
          <w:sz w:val="24"/>
          <w:szCs w:val="24"/>
        </w:rPr>
        <w:t xml:space="preserve">Country of origin: </w:t>
      </w:r>
      <w:r w:rsidRPr="00CC34A3">
        <w:rPr>
          <w:rFonts w:ascii="Book Antiqua" w:hAnsi="Book Antiqua" w:cs="Helvetica"/>
          <w:sz w:val="24"/>
          <w:szCs w:val="24"/>
          <w:lang w:val="en-CA"/>
        </w:rPr>
        <w:t>Croatia</w:t>
      </w:r>
    </w:p>
    <w:p w14:paraId="7E53DB8F" w14:textId="77777777" w:rsidR="00FE6951" w:rsidRPr="00CC34A3" w:rsidRDefault="00FE6951" w:rsidP="00CC34A3">
      <w:pPr>
        <w:shd w:val="clear" w:color="auto" w:fill="FFFFFF"/>
        <w:adjustRightInd w:val="0"/>
        <w:snapToGrid w:val="0"/>
        <w:spacing w:after="0" w:line="360" w:lineRule="auto"/>
        <w:jc w:val="both"/>
        <w:rPr>
          <w:rFonts w:ascii="Book Antiqua" w:hAnsi="Book Antiqua" w:cs="Helvetica"/>
          <w:b/>
          <w:sz w:val="24"/>
          <w:szCs w:val="24"/>
        </w:rPr>
      </w:pPr>
      <w:r w:rsidRPr="00CC34A3">
        <w:rPr>
          <w:rFonts w:ascii="Book Antiqua" w:hAnsi="Book Antiqua" w:cs="Helvetica"/>
          <w:b/>
          <w:sz w:val="24"/>
          <w:szCs w:val="24"/>
        </w:rPr>
        <w:t>Peer-review report classification</w:t>
      </w:r>
    </w:p>
    <w:p w14:paraId="721AFECC" w14:textId="77777777" w:rsidR="00FE6951" w:rsidRPr="00CC34A3" w:rsidRDefault="00FE6951" w:rsidP="00CC34A3">
      <w:pPr>
        <w:shd w:val="clear" w:color="auto" w:fill="FFFFFF"/>
        <w:adjustRightInd w:val="0"/>
        <w:snapToGrid w:val="0"/>
        <w:spacing w:after="0" w:line="360" w:lineRule="auto"/>
        <w:jc w:val="both"/>
        <w:rPr>
          <w:rFonts w:ascii="Book Antiqua" w:hAnsi="Book Antiqua" w:cs="Helvetica"/>
          <w:sz w:val="24"/>
          <w:szCs w:val="24"/>
        </w:rPr>
      </w:pPr>
      <w:r w:rsidRPr="00CC34A3">
        <w:rPr>
          <w:rFonts w:ascii="Book Antiqua" w:hAnsi="Book Antiqua" w:cs="Helvetica"/>
          <w:sz w:val="24"/>
          <w:szCs w:val="24"/>
        </w:rPr>
        <w:t>Grade A (Excellent): 0</w:t>
      </w:r>
    </w:p>
    <w:p w14:paraId="10ADD013" w14:textId="7C013BA5" w:rsidR="00FE6951" w:rsidRPr="00CC34A3" w:rsidRDefault="00FE6951" w:rsidP="00CC34A3">
      <w:pPr>
        <w:shd w:val="clear" w:color="auto" w:fill="FFFFFF"/>
        <w:adjustRightInd w:val="0"/>
        <w:snapToGrid w:val="0"/>
        <w:spacing w:after="0" w:line="360" w:lineRule="auto"/>
        <w:jc w:val="both"/>
        <w:rPr>
          <w:rFonts w:ascii="Book Antiqua" w:hAnsi="Book Antiqua" w:cs="Helvetica"/>
          <w:sz w:val="24"/>
          <w:szCs w:val="24"/>
        </w:rPr>
      </w:pPr>
      <w:r w:rsidRPr="00CC34A3">
        <w:rPr>
          <w:rFonts w:ascii="Book Antiqua" w:hAnsi="Book Antiqua" w:cs="Helvetica"/>
          <w:sz w:val="24"/>
          <w:szCs w:val="24"/>
        </w:rPr>
        <w:t>Grade B (Very good): B, B</w:t>
      </w:r>
    </w:p>
    <w:p w14:paraId="77141508" w14:textId="59935D16" w:rsidR="00FE6951" w:rsidRPr="00CC34A3" w:rsidRDefault="00FE6951" w:rsidP="00CC34A3">
      <w:pPr>
        <w:shd w:val="clear" w:color="auto" w:fill="FFFFFF"/>
        <w:adjustRightInd w:val="0"/>
        <w:snapToGrid w:val="0"/>
        <w:spacing w:after="0" w:line="360" w:lineRule="auto"/>
        <w:jc w:val="both"/>
        <w:rPr>
          <w:rFonts w:ascii="Book Antiqua" w:hAnsi="Book Antiqua" w:cs="Helvetica"/>
          <w:sz w:val="24"/>
          <w:szCs w:val="24"/>
        </w:rPr>
      </w:pPr>
      <w:r w:rsidRPr="00CC34A3">
        <w:rPr>
          <w:rFonts w:ascii="Book Antiqua" w:hAnsi="Book Antiqua" w:cs="Helvetica"/>
          <w:sz w:val="24"/>
          <w:szCs w:val="24"/>
        </w:rPr>
        <w:t>Grade C (Good): 0</w:t>
      </w:r>
    </w:p>
    <w:p w14:paraId="5877D395" w14:textId="77777777" w:rsidR="00FE6951" w:rsidRPr="00CC34A3" w:rsidRDefault="00FE6951" w:rsidP="00CC34A3">
      <w:pPr>
        <w:shd w:val="clear" w:color="auto" w:fill="FFFFFF"/>
        <w:adjustRightInd w:val="0"/>
        <w:snapToGrid w:val="0"/>
        <w:spacing w:after="0" w:line="360" w:lineRule="auto"/>
        <w:jc w:val="both"/>
        <w:rPr>
          <w:rFonts w:ascii="Book Antiqua" w:hAnsi="Book Antiqua" w:cs="Helvetica"/>
          <w:sz w:val="24"/>
          <w:szCs w:val="24"/>
        </w:rPr>
      </w:pPr>
      <w:r w:rsidRPr="00CC34A3">
        <w:rPr>
          <w:rFonts w:ascii="Book Antiqua" w:hAnsi="Book Antiqua" w:cs="Helvetica"/>
          <w:sz w:val="24"/>
          <w:szCs w:val="24"/>
        </w:rPr>
        <w:t>Grade D (Fair): 0</w:t>
      </w:r>
    </w:p>
    <w:p w14:paraId="0E408B9A" w14:textId="07FCE8C1" w:rsidR="005E3D33" w:rsidRPr="00CC34A3" w:rsidRDefault="00FE6951" w:rsidP="00CC34A3">
      <w:pPr>
        <w:pStyle w:val="Title3"/>
        <w:adjustRightInd w:val="0"/>
        <w:snapToGrid w:val="0"/>
        <w:spacing w:before="0" w:beforeAutospacing="0" w:after="0" w:afterAutospacing="0" w:line="360" w:lineRule="auto"/>
        <w:jc w:val="both"/>
        <w:rPr>
          <w:rFonts w:ascii="Book Antiqua" w:hAnsi="Book Antiqua"/>
          <w:color w:val="000000" w:themeColor="text1"/>
          <w:lang w:val="en-US"/>
        </w:rPr>
      </w:pPr>
      <w:r w:rsidRPr="00CC34A3">
        <w:rPr>
          <w:rFonts w:ascii="Book Antiqua" w:hAnsi="Book Antiqua" w:cs="Helvetica"/>
        </w:rPr>
        <w:t>Grade E (Poor): 0</w:t>
      </w:r>
      <w:bookmarkEnd w:id="124"/>
      <w:bookmarkEnd w:id="125"/>
      <w:bookmarkEnd w:id="126"/>
    </w:p>
    <w:p w14:paraId="5BD93109" w14:textId="77777777" w:rsidR="00FE6951" w:rsidRPr="00CC34A3" w:rsidRDefault="00FE6951" w:rsidP="00CC34A3">
      <w:pPr>
        <w:adjustRightInd w:val="0"/>
        <w:snapToGrid w:val="0"/>
        <w:spacing w:after="0" w:line="360" w:lineRule="auto"/>
        <w:rPr>
          <w:rFonts w:ascii="Book Antiqua" w:eastAsia="Times New Roman" w:hAnsi="Book Antiqua" w:cs="Times New Roman"/>
          <w:color w:val="000000" w:themeColor="text1"/>
          <w:sz w:val="24"/>
          <w:szCs w:val="24"/>
          <w:lang w:val="en-US" w:eastAsia="hr-HR"/>
        </w:rPr>
      </w:pPr>
      <w:r w:rsidRPr="00CC34A3">
        <w:rPr>
          <w:rFonts w:ascii="Book Antiqua" w:hAnsi="Book Antiqua"/>
          <w:color w:val="000000" w:themeColor="text1"/>
          <w:sz w:val="24"/>
          <w:szCs w:val="24"/>
          <w:lang w:val="en-US"/>
        </w:rPr>
        <w:br w:type="page"/>
      </w:r>
    </w:p>
    <w:p w14:paraId="30362D05" w14:textId="3FE6C089" w:rsidR="00AD4DEC" w:rsidRPr="00CC34A3" w:rsidRDefault="00AD4DEC" w:rsidP="00CC34A3">
      <w:pPr>
        <w:pStyle w:val="Title3"/>
        <w:adjustRightInd w:val="0"/>
        <w:snapToGrid w:val="0"/>
        <w:spacing w:before="0" w:beforeAutospacing="0" w:after="0" w:afterAutospacing="0" w:line="360" w:lineRule="auto"/>
        <w:jc w:val="both"/>
        <w:rPr>
          <w:rFonts w:ascii="Book Antiqua" w:hAnsi="Book Antiqua"/>
          <w:color w:val="000000" w:themeColor="text1"/>
          <w:lang w:val="en-US"/>
        </w:rPr>
      </w:pPr>
    </w:p>
    <w:p w14:paraId="2969F32E" w14:textId="77777777" w:rsidR="00AD4DEC" w:rsidRPr="00CC34A3" w:rsidRDefault="00AD4DEC" w:rsidP="00CC34A3">
      <w:pPr>
        <w:pStyle w:val="Title3"/>
        <w:adjustRightInd w:val="0"/>
        <w:snapToGrid w:val="0"/>
        <w:spacing w:before="0" w:beforeAutospacing="0" w:after="0" w:afterAutospacing="0" w:line="360" w:lineRule="auto"/>
        <w:jc w:val="both"/>
        <w:rPr>
          <w:rFonts w:ascii="Book Antiqua" w:hAnsi="Book Antiqua"/>
          <w:color w:val="000000" w:themeColor="text1"/>
          <w:lang w:val="en-US"/>
        </w:rPr>
      </w:pPr>
      <w:r w:rsidRPr="00CC34A3">
        <w:rPr>
          <w:rFonts w:ascii="Book Antiqua" w:hAnsi="Book Antiqua"/>
          <w:noProof/>
          <w:color w:val="000000" w:themeColor="text1"/>
          <w:lang w:val="en-US" w:eastAsia="zh-CN"/>
        </w:rPr>
        <w:drawing>
          <wp:inline distT="0" distB="0" distL="0" distR="0" wp14:anchorId="62606A4D" wp14:editId="27DAE570">
            <wp:extent cx="5760085" cy="4391025"/>
            <wp:effectExtent l="0" t="0" r="0" b="9525"/>
            <wp:docPr id="1" name="Picture 1" descr="D:\Users\predrag.sikiric\Documents\amic radovi\TIFF 8 slika od 15.5.2018\Fig.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predrag.sikiric\Documents\amic radovi\TIFF 8 slika od 15.5.2018\Fig. 1.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085" cy="4391025"/>
                    </a:xfrm>
                    <a:prstGeom prst="rect">
                      <a:avLst/>
                    </a:prstGeom>
                    <a:noFill/>
                    <a:ln>
                      <a:noFill/>
                    </a:ln>
                  </pic:spPr>
                </pic:pic>
              </a:graphicData>
            </a:graphic>
          </wp:inline>
        </w:drawing>
      </w:r>
    </w:p>
    <w:p w14:paraId="70F94C1E" w14:textId="30FB3936" w:rsidR="00CD44A7" w:rsidRPr="00CC34A3" w:rsidRDefault="00A10150" w:rsidP="00CC34A3">
      <w:pPr>
        <w:pStyle w:val="Title3"/>
        <w:adjustRightInd w:val="0"/>
        <w:snapToGrid w:val="0"/>
        <w:spacing w:before="0" w:beforeAutospacing="0" w:after="0" w:afterAutospacing="0" w:line="360" w:lineRule="auto"/>
        <w:jc w:val="both"/>
        <w:rPr>
          <w:rFonts w:ascii="Book Antiqua" w:hAnsi="Book Antiqua"/>
          <w:color w:val="000000" w:themeColor="text1"/>
          <w:lang w:val="en-US"/>
        </w:rPr>
      </w:pPr>
      <w:r w:rsidRPr="00CC34A3">
        <w:rPr>
          <w:rFonts w:ascii="Book Antiqua" w:hAnsi="Book Antiqua"/>
          <w:b/>
          <w:color w:val="000000" w:themeColor="text1"/>
          <w:lang w:val="en-US"/>
        </w:rPr>
        <w:t>Figure 1</w:t>
      </w:r>
      <w:r w:rsidRPr="00CC34A3">
        <w:rPr>
          <w:rFonts w:ascii="Book Antiqua" w:hAnsi="Book Antiqua"/>
          <w:color w:val="000000" w:themeColor="text1"/>
          <w:lang w:val="en-US"/>
        </w:rPr>
        <w:t xml:space="preserve"> </w:t>
      </w:r>
      <w:r w:rsidRPr="00CC34A3">
        <w:rPr>
          <w:rFonts w:ascii="Book Antiqua" w:hAnsi="Book Antiqua"/>
          <w:b/>
          <w:color w:val="000000" w:themeColor="text1"/>
          <w:lang w:val="en-US"/>
        </w:rPr>
        <w:t>Model illustration of major venous obstruction and duodenal lesions in rat</w:t>
      </w:r>
      <w:r w:rsidR="00AD4DEC" w:rsidRPr="00CC34A3">
        <w:rPr>
          <w:rFonts w:ascii="Book Antiqua" w:hAnsi="Book Antiqua"/>
          <w:b/>
          <w:color w:val="000000" w:themeColor="text1"/>
          <w:lang w:val="en-US"/>
        </w:rPr>
        <w:t>.</w:t>
      </w:r>
      <w:r w:rsidR="00AD4DEC" w:rsidRPr="00CC34A3">
        <w:rPr>
          <w:rFonts w:ascii="Book Antiqua" w:hAnsi="Book Antiqua"/>
          <w:color w:val="000000" w:themeColor="text1"/>
          <w:lang w:val="en-US"/>
        </w:rPr>
        <w:t xml:space="preserve"> The major venous obstruction and duodenal lesions in rat, and therapy solution with the stable gastric </w:t>
      </w:r>
      <w:proofErr w:type="spellStart"/>
      <w:r w:rsidR="00AD4DEC" w:rsidRPr="00CC34A3">
        <w:rPr>
          <w:rFonts w:ascii="Book Antiqua" w:hAnsi="Book Antiqua"/>
          <w:color w:val="000000" w:themeColor="text1"/>
          <w:lang w:val="en-US"/>
        </w:rPr>
        <w:t>pentadecapeptide</w:t>
      </w:r>
      <w:proofErr w:type="spellEnd"/>
      <w:r w:rsidR="00AD4DEC" w:rsidRPr="00CC34A3">
        <w:rPr>
          <w:rFonts w:ascii="Book Antiqua" w:hAnsi="Book Antiqua"/>
          <w:color w:val="000000" w:themeColor="text1"/>
          <w:lang w:val="en-US"/>
        </w:rPr>
        <w:t xml:space="preserve"> BPC 157, model illustration. </w:t>
      </w:r>
      <w:bookmarkStart w:id="127" w:name="OLE_LINK1"/>
      <w:bookmarkStart w:id="128" w:name="OLE_LINK2"/>
      <w:r w:rsidR="00AD4DEC" w:rsidRPr="00CC34A3">
        <w:rPr>
          <w:rFonts w:ascii="Book Antiqua" w:hAnsi="Book Antiqua"/>
          <w:color w:val="000000" w:themeColor="text1"/>
          <w:lang w:val="en-US"/>
        </w:rPr>
        <w:t>Superior anterior pancreaticoduodena</w:t>
      </w:r>
      <w:r w:rsidRPr="00CC34A3">
        <w:rPr>
          <w:rFonts w:ascii="Book Antiqua" w:hAnsi="Book Antiqua"/>
          <w:color w:val="000000" w:themeColor="text1"/>
          <w:lang w:val="en-US"/>
        </w:rPr>
        <w:t>l vein (SAPDV)</w:t>
      </w:r>
      <w:bookmarkEnd w:id="127"/>
      <w:bookmarkEnd w:id="128"/>
      <w:r w:rsidRPr="00CC34A3">
        <w:rPr>
          <w:rFonts w:ascii="Book Antiqua" w:hAnsi="Book Antiqua"/>
          <w:color w:val="000000" w:themeColor="text1"/>
          <w:lang w:val="en-US"/>
        </w:rPr>
        <w:t xml:space="preserve"> was occluded by </w:t>
      </w:r>
      <w:r w:rsidR="00AD4DEC" w:rsidRPr="00CC34A3">
        <w:rPr>
          <w:rFonts w:ascii="Book Antiqua" w:hAnsi="Book Antiqua"/>
          <w:color w:val="000000" w:themeColor="text1"/>
          <w:lang w:val="en-US"/>
        </w:rPr>
        <w:t>ligation (</w:t>
      </w:r>
      <w:proofErr w:type="spellStart"/>
      <w:r w:rsidR="00AD4DEC" w:rsidRPr="00CC34A3">
        <w:rPr>
          <w:rFonts w:ascii="Book Antiqua" w:hAnsi="Book Antiqua"/>
          <w:color w:val="000000" w:themeColor="text1"/>
          <w:lang w:val="en-US"/>
        </w:rPr>
        <w:t>Premilene</w:t>
      </w:r>
      <w:proofErr w:type="spellEnd"/>
      <w:r w:rsidR="00AD4DEC" w:rsidRPr="00CC34A3">
        <w:rPr>
          <w:rFonts w:ascii="Book Antiqua" w:hAnsi="Book Antiqua"/>
          <w:color w:val="000000" w:themeColor="text1"/>
          <w:lang w:val="en-US"/>
        </w:rPr>
        <w:t xml:space="preserve"> 7/0, Braun), 5 arc</w:t>
      </w:r>
      <w:r w:rsidRPr="00CC34A3">
        <w:rPr>
          <w:rFonts w:ascii="Book Antiqua" w:hAnsi="Book Antiqua"/>
          <w:color w:val="000000" w:themeColor="text1"/>
          <w:lang w:val="en-US"/>
        </w:rPr>
        <w:t xml:space="preserve">ade vessels at duodenal </w:t>
      </w:r>
      <w:r w:rsidR="00AD4DEC" w:rsidRPr="00CC34A3">
        <w:rPr>
          <w:rFonts w:ascii="Book Antiqua" w:hAnsi="Book Antiqua"/>
          <w:color w:val="000000" w:themeColor="text1"/>
          <w:lang w:val="en-US"/>
        </w:rPr>
        <w:t xml:space="preserve">serosa within the </w:t>
      </w:r>
      <w:r w:rsidRPr="00CC34A3">
        <w:rPr>
          <w:rFonts w:ascii="Book Antiqua" w:hAnsi="Book Antiqua"/>
          <w:color w:val="000000" w:themeColor="text1"/>
          <w:lang w:val="en-US"/>
        </w:rPr>
        <w:t>SAPDV</w:t>
      </w:r>
      <w:r w:rsidR="00AD4DEC" w:rsidRPr="00CC34A3">
        <w:rPr>
          <w:rFonts w:ascii="Book Antiqua" w:hAnsi="Book Antiqua"/>
          <w:color w:val="000000" w:themeColor="text1"/>
          <w:lang w:val="en-US"/>
        </w:rPr>
        <w:t xml:space="preserve"> tributaries, </w:t>
      </w:r>
      <w:r w:rsidRPr="00CC34A3">
        <w:rPr>
          <w:rFonts w:ascii="Book Antiqua" w:hAnsi="Book Antiqua"/>
          <w:color w:val="000000" w:themeColor="text1"/>
          <w:lang w:val="en-US"/>
        </w:rPr>
        <w:t xml:space="preserve">the 30-mm blood-flow disturbed </w:t>
      </w:r>
      <w:r w:rsidR="00AD4DEC" w:rsidRPr="00CC34A3">
        <w:rPr>
          <w:rFonts w:ascii="Book Antiqua" w:hAnsi="Book Antiqua"/>
          <w:color w:val="000000" w:themeColor="text1"/>
          <w:lang w:val="en-US"/>
        </w:rPr>
        <w:t xml:space="preserve">duodenum segment was the marked area; inferior anterior pancreaticoduodenal vein and superior mesenteric vein as bypassing loop.  </w:t>
      </w:r>
    </w:p>
    <w:p w14:paraId="36985E19" w14:textId="77777777" w:rsidR="00A10150" w:rsidRPr="00CC34A3" w:rsidRDefault="00A10150" w:rsidP="00CC34A3">
      <w:pPr>
        <w:adjustRightInd w:val="0"/>
        <w:snapToGrid w:val="0"/>
        <w:spacing w:after="0" w:line="360" w:lineRule="auto"/>
        <w:rPr>
          <w:rFonts w:ascii="Book Antiqua" w:eastAsia="Times New Roman" w:hAnsi="Book Antiqua" w:cs="Times New Roman"/>
          <w:b/>
          <w:color w:val="000000" w:themeColor="text1"/>
          <w:sz w:val="24"/>
          <w:szCs w:val="24"/>
          <w:lang w:val="en-US" w:eastAsia="hr-HR"/>
        </w:rPr>
      </w:pPr>
      <w:r w:rsidRPr="00CC34A3">
        <w:rPr>
          <w:rFonts w:ascii="Book Antiqua" w:hAnsi="Book Antiqua"/>
          <w:b/>
          <w:color w:val="000000" w:themeColor="text1"/>
          <w:sz w:val="24"/>
          <w:szCs w:val="24"/>
          <w:lang w:val="en-US"/>
        </w:rPr>
        <w:br w:type="page"/>
      </w:r>
    </w:p>
    <w:p w14:paraId="72B42F85" w14:textId="77777777" w:rsidR="00AD4DEC" w:rsidRPr="00CC34A3" w:rsidRDefault="00AD4DEC" w:rsidP="00CC34A3">
      <w:pPr>
        <w:pStyle w:val="Title3"/>
        <w:adjustRightInd w:val="0"/>
        <w:snapToGrid w:val="0"/>
        <w:spacing w:before="0" w:beforeAutospacing="0" w:after="0" w:afterAutospacing="0" w:line="360" w:lineRule="auto"/>
        <w:jc w:val="both"/>
        <w:rPr>
          <w:rFonts w:ascii="Book Antiqua" w:hAnsi="Book Antiqua"/>
          <w:color w:val="000000" w:themeColor="text1"/>
          <w:lang w:val="en-US"/>
        </w:rPr>
      </w:pPr>
      <w:r w:rsidRPr="00CC34A3">
        <w:rPr>
          <w:rFonts w:ascii="Book Antiqua" w:hAnsi="Book Antiqua"/>
          <w:noProof/>
          <w:color w:val="000000" w:themeColor="text1"/>
          <w:lang w:val="en-US" w:eastAsia="zh-CN"/>
        </w:rPr>
        <w:lastRenderedPageBreak/>
        <w:drawing>
          <wp:inline distT="0" distB="0" distL="0" distR="0" wp14:anchorId="715DA601" wp14:editId="30B672B2">
            <wp:extent cx="5760085" cy="5128522"/>
            <wp:effectExtent l="0" t="0" r="0" b="0"/>
            <wp:docPr id="2" name="Picture 2" descr="D:\Users\predrag.sikiric\Documents\amic radovi\TIFF 8 slika od 15.5.2018\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predrag.sikiric\Documents\amic radovi\TIFF 8 slika od 15.5.2018\Fig.2.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085" cy="5128522"/>
                    </a:xfrm>
                    <a:prstGeom prst="rect">
                      <a:avLst/>
                    </a:prstGeom>
                    <a:noFill/>
                    <a:ln>
                      <a:noFill/>
                    </a:ln>
                  </pic:spPr>
                </pic:pic>
              </a:graphicData>
            </a:graphic>
          </wp:inline>
        </w:drawing>
      </w:r>
    </w:p>
    <w:p w14:paraId="0CF1BC73" w14:textId="48CE51B4" w:rsidR="002F4FB3" w:rsidRPr="00CC34A3" w:rsidRDefault="00062ACC" w:rsidP="00CC34A3">
      <w:pPr>
        <w:pStyle w:val="Title3"/>
        <w:adjustRightInd w:val="0"/>
        <w:snapToGrid w:val="0"/>
        <w:spacing w:before="0" w:beforeAutospacing="0" w:after="0" w:afterAutospacing="0" w:line="360" w:lineRule="auto"/>
        <w:jc w:val="both"/>
        <w:rPr>
          <w:rFonts w:ascii="Book Antiqua" w:hAnsi="Book Antiqua"/>
          <w:color w:val="000000" w:themeColor="text1"/>
          <w:lang w:val="en-US"/>
        </w:rPr>
      </w:pPr>
      <w:r w:rsidRPr="00CC34A3">
        <w:rPr>
          <w:rFonts w:ascii="Book Antiqua" w:hAnsi="Book Antiqua"/>
          <w:b/>
          <w:color w:val="000000" w:themeColor="text1"/>
          <w:lang w:val="en-US"/>
        </w:rPr>
        <w:t>Figure</w:t>
      </w:r>
      <w:r w:rsidR="00AD4DEC" w:rsidRPr="00CC34A3">
        <w:rPr>
          <w:rFonts w:ascii="Book Antiqua" w:hAnsi="Book Antiqua"/>
          <w:b/>
          <w:color w:val="000000" w:themeColor="text1"/>
          <w:lang w:val="en-US"/>
        </w:rPr>
        <w:t xml:space="preserve"> 2</w:t>
      </w:r>
      <w:r w:rsidR="00AD4DEC" w:rsidRPr="00CC34A3">
        <w:rPr>
          <w:rFonts w:ascii="Book Antiqua" w:hAnsi="Book Antiqua"/>
          <w:color w:val="000000" w:themeColor="text1"/>
          <w:lang w:val="en-US"/>
        </w:rPr>
        <w:t xml:space="preserve"> </w:t>
      </w:r>
      <w:r w:rsidR="00AD4DEC" w:rsidRPr="00CC34A3">
        <w:rPr>
          <w:rFonts w:ascii="Book Antiqua" w:hAnsi="Book Antiqua"/>
          <w:b/>
          <w:color w:val="000000" w:themeColor="text1"/>
          <w:lang w:val="en-US"/>
        </w:rPr>
        <w:t>Duodenal lesions as a sum of the longest lesions diameters</w:t>
      </w:r>
      <w:r w:rsidR="00A10150" w:rsidRPr="00CC34A3">
        <w:rPr>
          <w:rFonts w:ascii="Book Antiqua" w:hAnsi="Book Antiqua"/>
          <w:b/>
          <w:color w:val="000000" w:themeColor="text1"/>
          <w:lang w:val="en-US"/>
        </w:rPr>
        <w:t xml:space="preserve"> (left); </w:t>
      </w:r>
      <w:r w:rsidR="00AD4DEC" w:rsidRPr="00CC34A3">
        <w:rPr>
          <w:rFonts w:ascii="Book Antiqua" w:hAnsi="Book Antiqua"/>
          <w:b/>
          <w:color w:val="000000" w:themeColor="text1"/>
          <w:lang w:val="en-US"/>
        </w:rPr>
        <w:t>Inferior anterior pancreaticoduodenal vein and superior mesenteric vein congestion, scored 0-3</w:t>
      </w:r>
      <w:r w:rsidR="00A10150" w:rsidRPr="00CC34A3">
        <w:rPr>
          <w:rFonts w:ascii="Book Antiqua" w:hAnsi="Book Antiqua"/>
          <w:b/>
          <w:color w:val="000000" w:themeColor="text1"/>
          <w:lang w:val="en-US"/>
        </w:rPr>
        <w:t xml:space="preserve"> (right)</w:t>
      </w:r>
      <w:r w:rsidR="00AD4DEC" w:rsidRPr="00CC34A3">
        <w:rPr>
          <w:rFonts w:ascii="Book Antiqua" w:hAnsi="Book Antiqua"/>
          <w:b/>
          <w:color w:val="000000" w:themeColor="text1"/>
          <w:lang w:val="en-US"/>
        </w:rPr>
        <w:t xml:space="preserve">. </w:t>
      </w:r>
      <w:r w:rsidR="00AD4DEC" w:rsidRPr="00CC34A3">
        <w:rPr>
          <w:rFonts w:ascii="Book Antiqua" w:hAnsi="Book Antiqua"/>
          <w:color w:val="000000" w:themeColor="text1"/>
          <w:lang w:val="en-US"/>
        </w:rPr>
        <w:t>The gross appearance of the tissue was recorded using a USB microscope camera. At</w:t>
      </w:r>
      <w:r w:rsidR="00A10150" w:rsidRPr="00CC34A3">
        <w:rPr>
          <w:rFonts w:ascii="Book Antiqua" w:hAnsi="Book Antiqua"/>
          <w:color w:val="000000" w:themeColor="text1"/>
          <w:lang w:val="en-US"/>
        </w:rPr>
        <w:t xml:space="preserve"> 1 min post-injury, medication [</w:t>
      </w:r>
      <w:bookmarkStart w:id="129" w:name="OLE_LINK6"/>
      <w:bookmarkStart w:id="130" w:name="OLE_LINK4"/>
      <w:bookmarkStart w:id="131" w:name="OLE_LINK5"/>
      <w:r w:rsidR="00A10150" w:rsidRPr="00CC34A3">
        <w:rPr>
          <w:rFonts w:ascii="Book Antiqua" w:hAnsi="Book Antiqua"/>
          <w:color w:val="000000" w:themeColor="text1"/>
          <w:lang w:val="en-US"/>
        </w:rPr>
        <w:t>BPC 15</w:t>
      </w:r>
      <w:bookmarkEnd w:id="129"/>
      <w:r w:rsidR="00A10150" w:rsidRPr="00CC34A3">
        <w:rPr>
          <w:rFonts w:ascii="Book Antiqua" w:hAnsi="Book Antiqua"/>
          <w:color w:val="000000" w:themeColor="text1"/>
          <w:lang w:val="en-US"/>
        </w:rPr>
        <w:t>7,</w:t>
      </w:r>
      <w:bookmarkEnd w:id="130"/>
      <w:r w:rsidR="00A10150" w:rsidRPr="00CC34A3">
        <w:rPr>
          <w:rFonts w:ascii="Book Antiqua" w:hAnsi="Book Antiqua"/>
          <w:color w:val="000000" w:themeColor="text1"/>
          <w:lang w:val="en-US"/>
        </w:rPr>
        <w:t xml:space="preserve"> 10 </w:t>
      </w:r>
      <w:proofErr w:type="spellStart"/>
      <w:r w:rsidR="00A10150" w:rsidRPr="00CC34A3">
        <w:rPr>
          <w:rFonts w:ascii="Book Antiqua" w:hAnsi="Book Antiqua"/>
          <w:color w:val="000000" w:themeColor="text1"/>
          <w:lang w:val="en-US"/>
        </w:rPr>
        <w:t>μg</w:t>
      </w:r>
      <w:proofErr w:type="spellEnd"/>
      <w:r w:rsidR="00A10150" w:rsidRPr="00CC34A3">
        <w:rPr>
          <w:rFonts w:ascii="Book Antiqua" w:hAnsi="Book Antiqua"/>
          <w:color w:val="000000" w:themeColor="text1"/>
          <w:lang w:val="en-US"/>
        </w:rPr>
        <w:t>/kg</w:t>
      </w:r>
      <w:bookmarkEnd w:id="131"/>
      <w:r w:rsidR="00A10150" w:rsidRPr="00CC34A3">
        <w:rPr>
          <w:rFonts w:ascii="Book Antiqua" w:hAnsi="Book Antiqua"/>
          <w:color w:val="000000" w:themeColor="text1"/>
          <w:lang w:val="en-US"/>
        </w:rPr>
        <w:t xml:space="preserve"> (</w:t>
      </w:r>
      <w:proofErr w:type="spellStart"/>
      <w:r w:rsidR="00A10150" w:rsidRPr="00CC34A3">
        <w:rPr>
          <w:rFonts w:ascii="Book Antiqua" w:hAnsi="Book Antiqua"/>
          <w:color w:val="000000" w:themeColor="text1"/>
          <w:lang w:val="en-US"/>
        </w:rPr>
        <w:t>B</w:t>
      </w:r>
      <w:r w:rsidR="00AD4DEC" w:rsidRPr="00CC34A3">
        <w:rPr>
          <w:rFonts w:ascii="Book Antiqua" w:hAnsi="Book Antiqua"/>
          <w:color w:val="000000" w:themeColor="text1"/>
          <w:lang w:val="en-US"/>
        </w:rPr>
        <w:t>μg</w:t>
      </w:r>
      <w:proofErr w:type="spellEnd"/>
      <w:r w:rsidR="00AD4DEC" w:rsidRPr="00CC34A3">
        <w:rPr>
          <w:rFonts w:ascii="Book Antiqua" w:hAnsi="Book Antiqua"/>
          <w:color w:val="000000" w:themeColor="text1"/>
          <w:lang w:val="en-US"/>
        </w:rPr>
        <w:t>), 10 ng/kg (</w:t>
      </w:r>
      <w:bookmarkStart w:id="132" w:name="OLE_LINK3"/>
      <w:proofErr w:type="spellStart"/>
      <w:r w:rsidR="00AD4DEC" w:rsidRPr="00CC34A3">
        <w:rPr>
          <w:rFonts w:ascii="Book Antiqua" w:hAnsi="Book Antiqua"/>
          <w:color w:val="000000" w:themeColor="text1"/>
          <w:lang w:val="en-US"/>
        </w:rPr>
        <w:t>Bng</w:t>
      </w:r>
      <w:bookmarkEnd w:id="132"/>
      <w:proofErr w:type="spellEnd"/>
      <w:r w:rsidR="00AD4DEC" w:rsidRPr="00CC34A3">
        <w:rPr>
          <w:rFonts w:ascii="Book Antiqua" w:hAnsi="Book Antiqua"/>
          <w:color w:val="000000" w:themeColor="text1"/>
          <w:lang w:val="en-US"/>
        </w:rPr>
        <w:t>), L-NAME</w:t>
      </w:r>
      <w:r w:rsidR="00A10150" w:rsidRPr="00CC34A3">
        <w:rPr>
          <w:rFonts w:ascii="Book Antiqua" w:hAnsi="Book Antiqua"/>
          <w:color w:val="000000" w:themeColor="text1"/>
          <w:lang w:val="en-US"/>
        </w:rPr>
        <w:t>,</w:t>
      </w:r>
      <w:r w:rsidR="00AD4DEC" w:rsidRPr="00CC34A3">
        <w:rPr>
          <w:rFonts w:ascii="Book Antiqua" w:hAnsi="Book Antiqua"/>
          <w:color w:val="000000" w:themeColor="text1"/>
          <w:lang w:val="en-US"/>
        </w:rPr>
        <w:t xml:space="preserve"> 5 mg/kg (N), L-arginine</w:t>
      </w:r>
      <w:r w:rsidR="00A10150" w:rsidRPr="00CC34A3">
        <w:rPr>
          <w:rFonts w:ascii="Book Antiqua" w:hAnsi="Book Antiqua"/>
          <w:color w:val="000000" w:themeColor="text1"/>
          <w:lang w:val="en-US"/>
        </w:rPr>
        <w:t>,</w:t>
      </w:r>
      <w:r w:rsidR="00AD4DEC" w:rsidRPr="00CC34A3">
        <w:rPr>
          <w:rFonts w:ascii="Book Antiqua" w:hAnsi="Book Antiqua"/>
          <w:color w:val="000000" w:themeColor="text1"/>
          <w:lang w:val="en-US"/>
        </w:rPr>
        <w:t xml:space="preserve"> 100 mg/kg (A) alone and /or together </w:t>
      </w:r>
      <w:r w:rsidR="00773972" w:rsidRPr="00CC34A3">
        <w:rPr>
          <w:rFonts w:ascii="Book Antiqua" w:hAnsi="Book Antiqua"/>
          <w:color w:val="000000" w:themeColor="text1"/>
          <w:lang w:val="en-US"/>
        </w:rPr>
        <w:t>(NA, BN, BA, BNA)</w:t>
      </w:r>
      <w:r w:rsidR="00A10150" w:rsidRPr="00CC34A3">
        <w:rPr>
          <w:rFonts w:ascii="Book Antiqua" w:hAnsi="Book Antiqua"/>
          <w:color w:val="000000" w:themeColor="text1"/>
          <w:lang w:val="en-US"/>
        </w:rPr>
        <w:t xml:space="preserve"> 1 mL bath/rat]</w:t>
      </w:r>
      <w:r w:rsidR="00AD4DEC" w:rsidRPr="00CC34A3">
        <w:rPr>
          <w:rFonts w:ascii="Book Antiqua" w:hAnsi="Book Antiqua"/>
          <w:color w:val="000000" w:themeColor="text1"/>
          <w:lang w:val="en-US"/>
        </w:rPr>
        <w:t xml:space="preserve"> or an equal volume of a saline was applied to the duodenum of the </w:t>
      </w:r>
      <w:bookmarkStart w:id="133" w:name="OLE_LINK7"/>
      <w:r w:rsidR="00A10150" w:rsidRPr="00CC34A3">
        <w:rPr>
          <w:rFonts w:ascii="Book Antiqua" w:hAnsi="Book Antiqua"/>
          <w:color w:val="000000" w:themeColor="text1"/>
          <w:lang w:val="en-US"/>
        </w:rPr>
        <w:t>superior anterior pancreaticoduodenal vein</w:t>
      </w:r>
      <w:bookmarkEnd w:id="133"/>
      <w:r w:rsidR="00A10150" w:rsidRPr="00CC34A3">
        <w:rPr>
          <w:rFonts w:ascii="Book Antiqua" w:hAnsi="Book Antiqua"/>
          <w:color w:val="000000" w:themeColor="text1"/>
          <w:lang w:val="en-US"/>
        </w:rPr>
        <w:t xml:space="preserve"> (SAPDV)</w:t>
      </w:r>
      <w:r w:rsidR="00773972" w:rsidRPr="00CC34A3">
        <w:rPr>
          <w:rFonts w:ascii="Book Antiqua" w:hAnsi="Book Antiqua"/>
          <w:color w:val="000000" w:themeColor="text1"/>
          <w:lang w:val="en-US"/>
        </w:rPr>
        <w:t>-ligated rats (upper);</w:t>
      </w:r>
      <w:r w:rsidR="00AD4DEC" w:rsidRPr="00CC34A3">
        <w:rPr>
          <w:rFonts w:ascii="Book Antiqua" w:hAnsi="Book Antiqua"/>
          <w:color w:val="000000" w:themeColor="text1"/>
          <w:lang w:val="en-US"/>
        </w:rPr>
        <w:t xml:space="preserve"> alternatively, at 1 min post-injury, medic</w:t>
      </w:r>
      <w:r w:rsidR="00773972" w:rsidRPr="00CC34A3">
        <w:rPr>
          <w:rFonts w:ascii="Book Antiqua" w:hAnsi="Book Antiqua"/>
          <w:color w:val="000000" w:themeColor="text1"/>
          <w:lang w:val="en-US"/>
        </w:rPr>
        <w:t xml:space="preserve">ation </w:t>
      </w:r>
      <w:r w:rsidR="00A10150" w:rsidRPr="00CC34A3">
        <w:rPr>
          <w:rFonts w:ascii="Book Antiqua" w:hAnsi="Book Antiqua"/>
          <w:color w:val="000000" w:themeColor="text1"/>
          <w:lang w:val="en-US"/>
        </w:rPr>
        <w:t xml:space="preserve">was </w:t>
      </w:r>
      <w:proofErr w:type="spellStart"/>
      <w:r w:rsidR="00062BE7" w:rsidRPr="00CC34A3">
        <w:rPr>
          <w:rFonts w:ascii="Book Antiqua" w:hAnsi="Book Antiqua"/>
          <w:color w:val="000000" w:themeColor="text1"/>
          <w:lang w:val="en-US"/>
        </w:rPr>
        <w:t>Bμg</w:t>
      </w:r>
      <w:proofErr w:type="spellEnd"/>
      <w:r w:rsidR="00062BE7" w:rsidRPr="00CC34A3">
        <w:rPr>
          <w:rFonts w:ascii="Book Antiqua" w:hAnsi="Book Antiqua"/>
          <w:color w:val="000000" w:themeColor="text1"/>
          <w:lang w:val="en-US"/>
        </w:rPr>
        <w:t xml:space="preserve"> </w:t>
      </w:r>
      <w:proofErr w:type="spellStart"/>
      <w:r w:rsidR="00062BE7" w:rsidRPr="00CC34A3">
        <w:rPr>
          <w:rFonts w:ascii="Book Antiqua" w:hAnsi="Book Antiqua"/>
          <w:color w:val="000000" w:themeColor="text1"/>
          <w:lang w:val="en-US"/>
        </w:rPr>
        <w:t>i.g</w:t>
      </w:r>
      <w:proofErr w:type="spellEnd"/>
      <w:r w:rsidR="00062BE7" w:rsidRPr="00CC34A3">
        <w:rPr>
          <w:rFonts w:ascii="Book Antiqua" w:hAnsi="Book Antiqua"/>
          <w:color w:val="000000" w:themeColor="text1"/>
          <w:lang w:val="en-US"/>
        </w:rPr>
        <w:t>.</w:t>
      </w:r>
      <w:r w:rsidR="00A10150" w:rsidRPr="00CC34A3">
        <w:rPr>
          <w:rFonts w:ascii="Book Antiqua" w:hAnsi="Book Antiqua"/>
          <w:color w:val="000000" w:themeColor="text1"/>
          <w:lang w:val="en-US"/>
        </w:rPr>
        <w:t xml:space="preserve">, </w:t>
      </w:r>
      <w:proofErr w:type="spellStart"/>
      <w:r w:rsidR="00A10150" w:rsidRPr="00CC34A3">
        <w:rPr>
          <w:rFonts w:ascii="Book Antiqua" w:hAnsi="Book Antiqua"/>
          <w:color w:val="000000" w:themeColor="text1"/>
          <w:lang w:val="en-US"/>
        </w:rPr>
        <w:t>B</w:t>
      </w:r>
      <w:r w:rsidR="00062BE7" w:rsidRPr="00CC34A3">
        <w:rPr>
          <w:rFonts w:ascii="Book Antiqua" w:hAnsi="Book Antiqua"/>
          <w:color w:val="000000" w:themeColor="text1"/>
          <w:lang w:val="en-US"/>
        </w:rPr>
        <w:t>ng</w:t>
      </w:r>
      <w:proofErr w:type="spellEnd"/>
      <w:r w:rsidR="00062BE7" w:rsidRPr="00CC34A3">
        <w:rPr>
          <w:rFonts w:ascii="Book Antiqua" w:hAnsi="Book Antiqua"/>
          <w:color w:val="000000" w:themeColor="text1"/>
          <w:lang w:val="en-US"/>
        </w:rPr>
        <w:t xml:space="preserve"> </w:t>
      </w:r>
      <w:proofErr w:type="spellStart"/>
      <w:r w:rsidR="00062BE7" w:rsidRPr="00CC34A3">
        <w:rPr>
          <w:rFonts w:ascii="Book Antiqua" w:hAnsi="Book Antiqua"/>
          <w:color w:val="000000" w:themeColor="text1"/>
          <w:lang w:val="en-US"/>
        </w:rPr>
        <w:t>i.g</w:t>
      </w:r>
      <w:proofErr w:type="spellEnd"/>
      <w:r w:rsidR="00062BE7" w:rsidRPr="00CC34A3">
        <w:rPr>
          <w:rFonts w:ascii="Book Antiqua" w:hAnsi="Book Antiqua"/>
          <w:color w:val="000000" w:themeColor="text1"/>
          <w:lang w:val="en-US"/>
        </w:rPr>
        <w:t>.</w:t>
      </w:r>
      <w:r w:rsidR="00AD4DEC" w:rsidRPr="00CC34A3">
        <w:rPr>
          <w:rFonts w:ascii="Book Antiqua" w:hAnsi="Book Antiqua"/>
          <w:color w:val="000000" w:themeColor="text1"/>
          <w:lang w:val="en-US"/>
        </w:rPr>
        <w:t xml:space="preserve">, 1 mL </w:t>
      </w:r>
      <w:proofErr w:type="spellStart"/>
      <w:r w:rsidR="00AD4DEC" w:rsidRPr="00CC34A3">
        <w:rPr>
          <w:rFonts w:ascii="Book Antiqua" w:hAnsi="Book Antiqua"/>
          <w:color w:val="000000" w:themeColor="text1"/>
          <w:lang w:val="en-US"/>
        </w:rPr>
        <w:t>inistillation</w:t>
      </w:r>
      <w:proofErr w:type="spellEnd"/>
      <w:r w:rsidR="00AD4DEC" w:rsidRPr="00CC34A3">
        <w:rPr>
          <w:rFonts w:ascii="Book Antiqua" w:hAnsi="Book Antiqua"/>
          <w:color w:val="000000" w:themeColor="text1"/>
          <w:lang w:val="en-US"/>
        </w:rPr>
        <w:t xml:space="preserve"> into the stomach or an equal volume of a saline instilled into the stomach of the </w:t>
      </w:r>
      <w:r w:rsidR="00992FA2" w:rsidRPr="00CC34A3">
        <w:rPr>
          <w:rFonts w:ascii="Book Antiqua" w:hAnsi="Book Antiqua"/>
          <w:color w:val="000000" w:themeColor="text1"/>
          <w:lang w:val="en-US"/>
        </w:rPr>
        <w:t>SAPDV</w:t>
      </w:r>
      <w:r w:rsidR="00AD4DEC" w:rsidRPr="00CC34A3">
        <w:rPr>
          <w:rFonts w:ascii="Book Antiqua" w:hAnsi="Book Antiqua"/>
          <w:color w:val="000000" w:themeColor="text1"/>
          <w:lang w:val="en-US"/>
        </w:rPr>
        <w:t xml:space="preserve">-ligated rats (CON </w:t>
      </w:r>
      <w:proofErr w:type="spellStart"/>
      <w:r w:rsidR="00AD4DEC" w:rsidRPr="00CC34A3">
        <w:rPr>
          <w:rFonts w:ascii="Book Antiqua" w:hAnsi="Book Antiqua"/>
          <w:color w:val="000000" w:themeColor="text1"/>
          <w:lang w:val="en-US"/>
        </w:rPr>
        <w:t>i.g</w:t>
      </w:r>
      <w:proofErr w:type="spellEnd"/>
      <w:r w:rsidR="00AD4DEC" w:rsidRPr="00CC34A3">
        <w:rPr>
          <w:rFonts w:ascii="Book Antiqua" w:hAnsi="Book Antiqua"/>
          <w:color w:val="000000" w:themeColor="text1"/>
          <w:lang w:val="en-US"/>
        </w:rPr>
        <w:t>.)</w:t>
      </w:r>
      <w:r w:rsidR="00062BE7" w:rsidRPr="00CC34A3">
        <w:rPr>
          <w:rFonts w:ascii="Book Antiqua" w:hAnsi="Book Antiqua"/>
          <w:color w:val="000000" w:themeColor="text1"/>
          <w:lang w:val="en-US"/>
        </w:rPr>
        <w:t xml:space="preserve"> </w:t>
      </w:r>
      <w:r w:rsidR="00AD4DEC" w:rsidRPr="00CC34A3">
        <w:rPr>
          <w:rFonts w:ascii="Book Antiqua" w:hAnsi="Book Antiqua"/>
          <w:color w:val="000000" w:themeColor="text1"/>
          <w:lang w:val="en-US"/>
        </w:rPr>
        <w:t xml:space="preserve">(lower). The rats were sacrificed 5 min, 30 min or 24 h later. </w:t>
      </w:r>
      <w:proofErr w:type="spellStart"/>
      <w:r w:rsidR="00A10150" w:rsidRPr="00CC34A3">
        <w:rPr>
          <w:rFonts w:ascii="Book Antiqua" w:hAnsi="Book Antiqua"/>
          <w:color w:val="000000" w:themeColor="text1"/>
          <w:vertAlign w:val="superscript"/>
          <w:lang w:val="en-US"/>
        </w:rPr>
        <w:t>a</w:t>
      </w:r>
      <w:r w:rsidR="00AD4DEC" w:rsidRPr="00CC34A3">
        <w:rPr>
          <w:rFonts w:ascii="Book Antiqua" w:hAnsi="Book Antiqua"/>
          <w:i/>
          <w:color w:val="000000" w:themeColor="text1"/>
          <w:lang w:val="en-US"/>
        </w:rPr>
        <w:t>P</w:t>
      </w:r>
      <w:proofErr w:type="spellEnd"/>
      <w:r w:rsidR="00AD4DEC" w:rsidRPr="00CC34A3">
        <w:rPr>
          <w:rFonts w:ascii="Book Antiqua" w:hAnsi="Book Antiqua"/>
          <w:color w:val="000000" w:themeColor="text1"/>
          <w:lang w:val="en-US"/>
        </w:rPr>
        <w:t xml:space="preserve"> &lt; 0.05 </w:t>
      </w:r>
      <w:r w:rsidR="00AD4DEC" w:rsidRPr="00CC34A3">
        <w:rPr>
          <w:rFonts w:ascii="Book Antiqua" w:hAnsi="Book Antiqua"/>
          <w:i/>
          <w:color w:val="000000" w:themeColor="text1"/>
          <w:lang w:val="en-US"/>
        </w:rPr>
        <w:t>vs</w:t>
      </w:r>
      <w:r w:rsidR="00AD4DEC" w:rsidRPr="00CC34A3">
        <w:rPr>
          <w:rFonts w:ascii="Book Antiqua" w:hAnsi="Book Antiqua"/>
          <w:color w:val="000000" w:themeColor="text1"/>
          <w:lang w:val="en-US"/>
        </w:rPr>
        <w:t xml:space="preserve"> saline.</w:t>
      </w:r>
      <w:r w:rsidR="00A10150" w:rsidRPr="00CC34A3">
        <w:rPr>
          <w:rFonts w:ascii="Book Antiqua" w:hAnsi="Book Antiqua"/>
          <w:color w:val="000000" w:themeColor="text1"/>
          <w:lang w:val="en-US"/>
        </w:rPr>
        <w:t xml:space="preserve"> </w:t>
      </w:r>
      <w:proofErr w:type="spellStart"/>
      <w:r w:rsidR="00A10150" w:rsidRPr="00CC34A3">
        <w:rPr>
          <w:rFonts w:ascii="Book Antiqua" w:hAnsi="Book Antiqua"/>
          <w:color w:val="000000" w:themeColor="text1"/>
          <w:lang w:val="en-US"/>
        </w:rPr>
        <w:t>Bng</w:t>
      </w:r>
      <w:proofErr w:type="spellEnd"/>
      <w:r w:rsidR="00A10150" w:rsidRPr="00CC34A3">
        <w:rPr>
          <w:rFonts w:ascii="Book Antiqua" w:hAnsi="Book Antiqua"/>
          <w:color w:val="000000" w:themeColor="text1"/>
          <w:lang w:val="en-US"/>
        </w:rPr>
        <w:t xml:space="preserve">: BPC 157, 10 ng/kg; </w:t>
      </w:r>
      <w:proofErr w:type="spellStart"/>
      <w:r w:rsidR="00A10150" w:rsidRPr="00CC34A3">
        <w:rPr>
          <w:rFonts w:ascii="Book Antiqua" w:hAnsi="Book Antiqua"/>
          <w:color w:val="000000" w:themeColor="text1"/>
          <w:lang w:val="en-US"/>
        </w:rPr>
        <w:t>Bμg</w:t>
      </w:r>
      <w:proofErr w:type="spellEnd"/>
      <w:r w:rsidR="00A10150" w:rsidRPr="00CC34A3">
        <w:rPr>
          <w:rFonts w:ascii="Book Antiqua" w:hAnsi="Book Antiqua"/>
          <w:color w:val="000000" w:themeColor="text1"/>
          <w:lang w:val="en-US"/>
        </w:rPr>
        <w:t xml:space="preserve">: BPC 157, 10 </w:t>
      </w:r>
      <w:proofErr w:type="spellStart"/>
      <w:r w:rsidR="00A10150" w:rsidRPr="00CC34A3">
        <w:rPr>
          <w:rFonts w:ascii="Book Antiqua" w:hAnsi="Book Antiqua"/>
          <w:color w:val="000000" w:themeColor="text1"/>
          <w:lang w:val="en-US"/>
        </w:rPr>
        <w:t>μg</w:t>
      </w:r>
      <w:proofErr w:type="spellEnd"/>
      <w:r w:rsidR="00A10150" w:rsidRPr="00CC34A3">
        <w:rPr>
          <w:rFonts w:ascii="Book Antiqua" w:hAnsi="Book Antiqua"/>
          <w:color w:val="000000" w:themeColor="text1"/>
          <w:lang w:val="en-US"/>
        </w:rPr>
        <w:t>/kg; N: L-NAME, 5 mg/kg; A: L-arginine, 100 mg/kg; NA: L-</w:t>
      </w:r>
      <w:r w:rsidR="00A10150" w:rsidRPr="00CC34A3">
        <w:rPr>
          <w:rFonts w:ascii="Book Antiqua" w:hAnsi="Book Antiqua"/>
          <w:color w:val="000000" w:themeColor="text1"/>
          <w:lang w:val="en-US"/>
        </w:rPr>
        <w:lastRenderedPageBreak/>
        <w:t>NAME+L-arginine</w:t>
      </w:r>
      <w:r w:rsidR="00062BE7" w:rsidRPr="00CC34A3">
        <w:rPr>
          <w:rFonts w:ascii="Book Antiqua" w:hAnsi="Book Antiqua"/>
          <w:color w:val="000000" w:themeColor="text1"/>
          <w:lang w:val="en-US"/>
        </w:rPr>
        <w:t>; BN: BPC 157+</w:t>
      </w:r>
      <w:r w:rsidR="00A10150" w:rsidRPr="00CC34A3">
        <w:rPr>
          <w:rFonts w:ascii="Book Antiqua" w:hAnsi="Book Antiqua"/>
          <w:color w:val="000000" w:themeColor="text1"/>
          <w:lang w:val="en-US"/>
        </w:rPr>
        <w:t>L-NAME</w:t>
      </w:r>
      <w:r w:rsidR="00062BE7" w:rsidRPr="00CC34A3">
        <w:rPr>
          <w:rFonts w:ascii="Book Antiqua" w:hAnsi="Book Antiqua"/>
          <w:color w:val="000000" w:themeColor="text1"/>
          <w:lang w:val="en-US"/>
        </w:rPr>
        <w:t>; BA: BPC 157+</w:t>
      </w:r>
      <w:r w:rsidR="00A10150" w:rsidRPr="00CC34A3">
        <w:rPr>
          <w:rFonts w:ascii="Book Antiqua" w:hAnsi="Book Antiqua"/>
          <w:color w:val="000000" w:themeColor="text1"/>
          <w:lang w:val="en-US"/>
        </w:rPr>
        <w:t>L-arginine</w:t>
      </w:r>
      <w:r w:rsidR="00773972" w:rsidRPr="00CC34A3">
        <w:rPr>
          <w:rFonts w:ascii="Book Antiqua" w:hAnsi="Book Antiqua"/>
          <w:color w:val="000000" w:themeColor="text1"/>
          <w:lang w:val="en-US"/>
        </w:rPr>
        <w:t>; BNA:</w:t>
      </w:r>
      <w:r w:rsidR="00062BE7" w:rsidRPr="00CC34A3">
        <w:rPr>
          <w:rFonts w:ascii="Book Antiqua" w:hAnsi="Book Antiqua"/>
          <w:color w:val="000000" w:themeColor="text1"/>
          <w:lang w:val="en-US"/>
        </w:rPr>
        <w:t xml:space="preserve"> BPC 157+</w:t>
      </w:r>
      <w:r w:rsidR="00A10150" w:rsidRPr="00CC34A3">
        <w:rPr>
          <w:rFonts w:ascii="Book Antiqua" w:hAnsi="Book Antiqua"/>
          <w:color w:val="000000" w:themeColor="text1"/>
          <w:lang w:val="en-US"/>
        </w:rPr>
        <w:t>L-NAME</w:t>
      </w:r>
      <w:r w:rsidR="00062BE7" w:rsidRPr="00CC34A3">
        <w:rPr>
          <w:rFonts w:ascii="Book Antiqua" w:hAnsi="Book Antiqua"/>
          <w:color w:val="000000" w:themeColor="text1"/>
          <w:lang w:val="en-US"/>
        </w:rPr>
        <w:t>+</w:t>
      </w:r>
      <w:r w:rsidR="00A10150" w:rsidRPr="00CC34A3">
        <w:rPr>
          <w:rFonts w:ascii="Book Antiqua" w:hAnsi="Book Antiqua"/>
          <w:color w:val="000000" w:themeColor="text1"/>
          <w:lang w:val="en-US"/>
        </w:rPr>
        <w:t>L-arginine; SAPDV: Superior anterior pancreaticoduodenal vein.</w:t>
      </w:r>
    </w:p>
    <w:p w14:paraId="5F860F9E" w14:textId="30E8D96D" w:rsidR="00AD4DEC" w:rsidRPr="00CC34A3" w:rsidRDefault="00487438" w:rsidP="00CC34A3">
      <w:pPr>
        <w:pStyle w:val="Title3"/>
        <w:adjustRightInd w:val="0"/>
        <w:snapToGrid w:val="0"/>
        <w:spacing w:before="0" w:beforeAutospacing="0" w:after="0" w:afterAutospacing="0" w:line="360" w:lineRule="auto"/>
        <w:jc w:val="both"/>
        <w:rPr>
          <w:rFonts w:ascii="Book Antiqua" w:hAnsi="Book Antiqua"/>
          <w:color w:val="000000" w:themeColor="text1"/>
          <w:lang w:val="en-US"/>
        </w:rPr>
      </w:pPr>
      <w:r w:rsidRPr="00CC34A3">
        <w:rPr>
          <w:rFonts w:ascii="Book Antiqua" w:hAnsi="Book Antiqua"/>
          <w:noProof/>
          <w:color w:val="000000" w:themeColor="text1"/>
          <w:lang w:val="en-US" w:eastAsia="zh-CN"/>
        </w:rPr>
        <w:lastRenderedPageBreak/>
        <mc:AlternateContent>
          <mc:Choice Requires="wps">
            <w:drawing>
              <wp:anchor distT="0" distB="0" distL="114300" distR="114300" simplePos="0" relativeHeight="251661312" behindDoc="0" locked="0" layoutInCell="1" allowOverlap="1" wp14:anchorId="4A23A00E" wp14:editId="7CFE31CF">
                <wp:simplePos x="0" y="0"/>
                <wp:positionH relativeFrom="column">
                  <wp:posOffset>64135</wp:posOffset>
                </wp:positionH>
                <wp:positionV relativeFrom="paragraph">
                  <wp:posOffset>701040</wp:posOffset>
                </wp:positionV>
                <wp:extent cx="343535" cy="345440"/>
                <wp:effectExtent l="0" t="0" r="12065" b="10160"/>
                <wp:wrapNone/>
                <wp:docPr id="10" name="文本框 10"/>
                <wp:cNvGraphicFramePr/>
                <a:graphic xmlns:a="http://schemas.openxmlformats.org/drawingml/2006/main">
                  <a:graphicData uri="http://schemas.microsoft.com/office/word/2010/wordprocessingShape">
                    <wps:wsp>
                      <wps:cNvSpPr txBox="1"/>
                      <wps:spPr>
                        <a:xfrm>
                          <a:off x="0" y="0"/>
                          <a:ext cx="343535" cy="345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5744DEA2" w14:textId="34C015B4" w:rsidR="005C6AAE" w:rsidRPr="00487438" w:rsidRDefault="005C6AAE" w:rsidP="00487438">
                            <w:pPr>
                              <w:rPr>
                                <w:color w:val="FFFFFF" w:themeColor="background1"/>
                                <w:lang w:val="en-US"/>
                              </w:rPr>
                            </w:pPr>
                            <w:r>
                              <w:rPr>
                                <w:color w:val="FFFFFF" w:themeColor="background1"/>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23A00E" id="_x0000_t202" coordsize="21600,21600" o:spt="202" path="m,l,21600r21600,l21600,xe">
                <v:stroke joinstyle="miter"/>
                <v:path gradientshapeok="t" o:connecttype="rect"/>
              </v:shapetype>
              <v:shape id="文本框 10" o:spid="_x0000_s1026" type="#_x0000_t202" style="position:absolute;left:0;text-align:left;margin-left:5.05pt;margin-top:55.2pt;width:27.05pt;height:27.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" fillcolor="black [3213]" stroked="f">
                <v:textbox>
                  <w:txbxContent>
                    <w:p w14:paraId="5744DEA2" w14:textId="34C015B4" w:rsidR="005C6AAE" w:rsidRPr="00487438" w:rsidRDefault="005C6AAE" w:rsidP="00487438">
                      <w:pPr>
                        <w:rPr>
                          <w:color w:val="FFFFFF" w:themeColor="background1"/>
                          <w:lang w:val="en-US"/>
                        </w:rPr>
                      </w:pPr>
                      <w:r>
                        <w:rPr>
                          <w:color w:val="FFFFFF" w:themeColor="background1"/>
                          <w:lang w:val="en-US"/>
                        </w:rPr>
                        <w:t>A</w:t>
                      </w:r>
                    </w:p>
                  </w:txbxContent>
                </v:textbox>
              </v:shape>
            </w:pict>
          </mc:Fallback>
        </mc:AlternateContent>
      </w:r>
      <w:r w:rsidRPr="00CC34A3">
        <w:rPr>
          <w:rFonts w:ascii="Book Antiqua" w:hAnsi="Book Antiqua"/>
          <w:noProof/>
          <w:color w:val="000000" w:themeColor="text1"/>
          <w:lang w:val="en-US" w:eastAsia="zh-CN"/>
        </w:rPr>
        <mc:AlternateContent>
          <mc:Choice Requires="wps">
            <w:drawing>
              <wp:anchor distT="0" distB="0" distL="114300" distR="114300" simplePos="0" relativeHeight="251659264" behindDoc="0" locked="0" layoutInCell="1" allowOverlap="1" wp14:anchorId="3822B557" wp14:editId="72E59167">
                <wp:simplePos x="0" y="0"/>
                <wp:positionH relativeFrom="column">
                  <wp:posOffset>64770</wp:posOffset>
                </wp:positionH>
                <wp:positionV relativeFrom="paragraph">
                  <wp:posOffset>4472305</wp:posOffset>
                </wp:positionV>
                <wp:extent cx="343535" cy="345440"/>
                <wp:effectExtent l="0" t="0" r="12065" b="10160"/>
                <wp:wrapNone/>
                <wp:docPr id="9" name="文本框 9"/>
                <wp:cNvGraphicFramePr/>
                <a:graphic xmlns:a="http://schemas.openxmlformats.org/drawingml/2006/main">
                  <a:graphicData uri="http://schemas.microsoft.com/office/word/2010/wordprocessingShape">
                    <wps:wsp>
                      <wps:cNvSpPr txBox="1"/>
                      <wps:spPr>
                        <a:xfrm>
                          <a:off x="0" y="0"/>
                          <a:ext cx="343535" cy="345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2FE327E4" w14:textId="48B9DCFD" w:rsidR="005C6AAE" w:rsidRPr="00487438" w:rsidRDefault="005C6AAE">
                            <w:pPr>
                              <w:rPr>
                                <w:color w:val="FFFFFF" w:themeColor="background1"/>
                                <w:lang w:val="en-US"/>
                              </w:rPr>
                            </w:pPr>
                            <w:r>
                              <w:rPr>
                                <w:color w:val="FFFFFF" w:themeColor="background1"/>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2B557" id="文本框 9" o:spid="_x0000_s1027" type="#_x0000_t202" style="position:absolute;left:0;text-align:left;margin-left:5.1pt;margin-top:352.15pt;width:27.05pt;height:27.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" fillcolor="black [3213]" stroked="f">
                <v:textbox>
                  <w:txbxContent>
                    <w:p w14:paraId="2FE327E4" w14:textId="48B9DCFD" w:rsidR="005C6AAE" w:rsidRPr="00487438" w:rsidRDefault="005C6AAE">
                      <w:pPr>
                        <w:rPr>
                          <w:color w:val="FFFFFF" w:themeColor="background1"/>
                          <w:lang w:val="en-US"/>
                        </w:rPr>
                      </w:pPr>
                      <w:r>
                        <w:rPr>
                          <w:color w:val="FFFFFF" w:themeColor="background1"/>
                          <w:lang w:val="en-US"/>
                        </w:rPr>
                        <w:t>B</w:t>
                      </w:r>
                    </w:p>
                  </w:txbxContent>
                </v:textbox>
              </v:shape>
            </w:pict>
          </mc:Fallback>
        </mc:AlternateContent>
      </w:r>
      <w:r w:rsidR="00AD4DEC" w:rsidRPr="00CC34A3">
        <w:rPr>
          <w:rFonts w:ascii="Book Antiqua" w:hAnsi="Book Antiqua"/>
          <w:noProof/>
          <w:color w:val="000000" w:themeColor="text1"/>
          <w:lang w:val="en-US" w:eastAsia="zh-CN"/>
        </w:rPr>
        <w:drawing>
          <wp:inline distT="0" distB="0" distL="0" distR="0" wp14:anchorId="625AD394" wp14:editId="14B60C87">
            <wp:extent cx="4594860" cy="8771255"/>
            <wp:effectExtent l="0" t="0" r="0" b="0"/>
            <wp:docPr id="3" name="Picture 3" descr="D:\Users\predrag.sikiric\Documents\amic radovi\TIFF 8 slika od 15.5.2018\Fi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predrag.sikiric\Documents\amic radovi\TIFF 8 slika od 15.5.2018\Fig.3.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95109" cy="8771731"/>
                    </a:xfrm>
                    <a:prstGeom prst="rect">
                      <a:avLst/>
                    </a:prstGeom>
                    <a:noFill/>
                    <a:ln>
                      <a:noFill/>
                    </a:ln>
                  </pic:spPr>
                </pic:pic>
              </a:graphicData>
            </a:graphic>
          </wp:inline>
        </w:drawing>
      </w:r>
    </w:p>
    <w:p w14:paraId="798CE259" w14:textId="18D2BDB9" w:rsidR="00AD4DEC" w:rsidRPr="00CC34A3" w:rsidRDefault="002F4FB3" w:rsidP="00CC34A3">
      <w:pPr>
        <w:pStyle w:val="Title3"/>
        <w:adjustRightInd w:val="0"/>
        <w:snapToGrid w:val="0"/>
        <w:spacing w:before="0" w:beforeAutospacing="0" w:after="0" w:afterAutospacing="0" w:line="360" w:lineRule="auto"/>
        <w:jc w:val="both"/>
        <w:rPr>
          <w:rFonts w:ascii="Book Antiqua" w:hAnsi="Book Antiqua"/>
          <w:color w:val="000000" w:themeColor="text1"/>
          <w:lang w:val="en-US"/>
        </w:rPr>
      </w:pPr>
      <w:r w:rsidRPr="00CC34A3">
        <w:rPr>
          <w:rFonts w:ascii="Book Antiqua" w:hAnsi="Book Antiqua"/>
          <w:b/>
          <w:color w:val="000000" w:themeColor="text1"/>
          <w:lang w:val="en-US"/>
        </w:rPr>
        <w:lastRenderedPageBreak/>
        <w:t>Figure 3</w:t>
      </w:r>
      <w:r w:rsidRPr="00CC34A3">
        <w:rPr>
          <w:rFonts w:ascii="Book Antiqua" w:hAnsi="Book Antiqua"/>
          <w:color w:val="000000" w:themeColor="text1"/>
          <w:lang w:val="en-US"/>
        </w:rPr>
        <w:t xml:space="preserve"> </w:t>
      </w:r>
      <w:r w:rsidRPr="00CC34A3">
        <w:rPr>
          <w:rFonts w:ascii="Book Antiqua" w:hAnsi="Book Antiqua"/>
          <w:b/>
          <w:color w:val="000000" w:themeColor="text1"/>
          <w:lang w:val="en-US"/>
        </w:rPr>
        <w:t xml:space="preserve">The characteristic appearance of the duodenum in </w:t>
      </w:r>
      <w:bookmarkStart w:id="134" w:name="OLE_LINK8"/>
      <w:r w:rsidRPr="00CC34A3">
        <w:rPr>
          <w:rFonts w:ascii="Book Antiqua" w:hAnsi="Book Antiqua"/>
          <w:b/>
          <w:color w:val="000000" w:themeColor="text1"/>
          <w:lang w:val="en-US"/>
        </w:rPr>
        <w:t>superior anterior pancreaticoduodenal vein</w:t>
      </w:r>
      <w:bookmarkEnd w:id="134"/>
      <w:r w:rsidRPr="00CC34A3">
        <w:rPr>
          <w:rFonts w:ascii="Book Antiqua" w:hAnsi="Book Antiqua"/>
          <w:b/>
          <w:color w:val="000000" w:themeColor="text1"/>
          <w:lang w:val="en-US"/>
        </w:rPr>
        <w:t>-ligated rats.</w:t>
      </w:r>
      <w:r w:rsidR="00AD4DEC" w:rsidRPr="00CC34A3">
        <w:rPr>
          <w:rFonts w:ascii="Book Antiqua" w:hAnsi="Book Antiqua"/>
          <w:color w:val="000000" w:themeColor="text1"/>
          <w:lang w:val="en-US"/>
        </w:rPr>
        <w:t xml:space="preserve"> </w:t>
      </w:r>
      <w:r w:rsidR="00D169D1" w:rsidRPr="00CC34A3">
        <w:rPr>
          <w:rFonts w:ascii="Book Antiqua" w:hAnsi="Book Antiqua"/>
          <w:color w:val="000000" w:themeColor="text1"/>
          <w:lang w:val="en-US"/>
        </w:rPr>
        <w:t>A:</w:t>
      </w:r>
      <w:r w:rsidR="00AD4DEC" w:rsidRPr="00CC34A3">
        <w:rPr>
          <w:rFonts w:ascii="Book Antiqua" w:hAnsi="Book Antiqua"/>
          <w:color w:val="000000" w:themeColor="text1"/>
          <w:lang w:val="en-US"/>
        </w:rPr>
        <w:t xml:space="preserve"> </w:t>
      </w:r>
      <w:r w:rsidR="0035278A" w:rsidRPr="00CC34A3">
        <w:rPr>
          <w:rFonts w:ascii="Book Antiqua" w:hAnsi="Book Antiqua"/>
          <w:color w:val="000000" w:themeColor="text1"/>
          <w:lang w:val="en-US"/>
        </w:rPr>
        <w:t>The c</w:t>
      </w:r>
      <w:r w:rsidR="00AD4DEC" w:rsidRPr="00CC34A3">
        <w:rPr>
          <w:rFonts w:ascii="Book Antiqua" w:hAnsi="Book Antiqua"/>
          <w:color w:val="000000" w:themeColor="text1"/>
          <w:lang w:val="en-US"/>
        </w:rPr>
        <w:t xml:space="preserve">haracteristic appearance of the duodenum in </w:t>
      </w:r>
      <w:r w:rsidR="00D169D1" w:rsidRPr="00CC34A3">
        <w:rPr>
          <w:rFonts w:ascii="Book Antiqua" w:hAnsi="Book Antiqua"/>
          <w:color w:val="000000" w:themeColor="text1"/>
          <w:lang w:val="en-US"/>
        </w:rPr>
        <w:t>superior anterior pancreaticoduodenal vein (</w:t>
      </w:r>
      <w:r w:rsidR="00992FA2" w:rsidRPr="00CC34A3">
        <w:rPr>
          <w:rFonts w:ascii="Book Antiqua" w:hAnsi="Book Antiqua"/>
          <w:color w:val="000000" w:themeColor="text1"/>
          <w:lang w:val="en-US"/>
        </w:rPr>
        <w:t>SAPDV</w:t>
      </w:r>
      <w:r w:rsidR="00D169D1" w:rsidRPr="00CC34A3">
        <w:rPr>
          <w:rFonts w:ascii="Book Antiqua" w:hAnsi="Book Antiqua"/>
          <w:color w:val="000000" w:themeColor="text1"/>
          <w:lang w:val="en-US"/>
        </w:rPr>
        <w:t>)</w:t>
      </w:r>
      <w:r w:rsidR="00AD4DEC" w:rsidRPr="00CC34A3">
        <w:rPr>
          <w:rFonts w:ascii="Book Antiqua" w:hAnsi="Book Antiqua"/>
          <w:color w:val="000000" w:themeColor="text1"/>
          <w:lang w:val="en-US"/>
        </w:rPr>
        <w:t>-ligated rats after ligation</w:t>
      </w:r>
      <w:r w:rsidR="00D169D1" w:rsidRPr="00CC34A3">
        <w:rPr>
          <w:rFonts w:ascii="Book Antiqua" w:hAnsi="Book Antiqua"/>
          <w:color w:val="000000" w:themeColor="text1"/>
          <w:lang w:val="en-US"/>
        </w:rPr>
        <w:t xml:space="preserve"> </w:t>
      </w:r>
      <w:r w:rsidR="00AD4DEC" w:rsidRPr="00CC34A3">
        <w:rPr>
          <w:rFonts w:ascii="Book Antiqua" w:hAnsi="Book Antiqua"/>
          <w:color w:val="000000" w:themeColor="text1"/>
          <w:lang w:val="en-US"/>
        </w:rPr>
        <w:t>(before therapy), and then with therapy: during and imm</w:t>
      </w:r>
      <w:r w:rsidR="00D169D1" w:rsidRPr="00CC34A3">
        <w:rPr>
          <w:rFonts w:ascii="Book Antiqua" w:hAnsi="Book Antiqua"/>
          <w:color w:val="000000" w:themeColor="text1"/>
          <w:lang w:val="en-US"/>
        </w:rPr>
        <w:t>ediately after medication bath [</w:t>
      </w:r>
      <w:r w:rsidR="00AD4DEC" w:rsidRPr="00CC34A3">
        <w:rPr>
          <w:rFonts w:ascii="Book Antiqua" w:hAnsi="Book Antiqua"/>
          <w:color w:val="000000" w:themeColor="text1"/>
          <w:lang w:val="en-US"/>
        </w:rPr>
        <w:t>saline (upper); BPC 157 (lower) application; duodenum opening before sacrifice at 5 min ligation-time; USB microscope camera</w:t>
      </w:r>
      <w:r w:rsidR="00D169D1" w:rsidRPr="00CC34A3">
        <w:rPr>
          <w:rFonts w:ascii="Book Antiqua" w:hAnsi="Book Antiqua"/>
          <w:color w:val="000000" w:themeColor="text1"/>
          <w:lang w:val="en-US"/>
        </w:rPr>
        <w:t>]</w:t>
      </w:r>
      <w:r w:rsidR="00AD4DEC" w:rsidRPr="00CC34A3">
        <w:rPr>
          <w:rFonts w:ascii="Book Antiqua" w:hAnsi="Book Antiqua"/>
          <w:color w:val="000000" w:themeColor="text1"/>
          <w:lang w:val="en-US"/>
        </w:rPr>
        <w:t xml:space="preserve">. </w:t>
      </w:r>
      <w:r w:rsidR="00D169D1" w:rsidRPr="00CC34A3">
        <w:rPr>
          <w:rFonts w:ascii="Book Antiqua" w:hAnsi="Book Antiqua"/>
          <w:color w:val="000000" w:themeColor="text1"/>
          <w:lang w:val="en-US"/>
        </w:rPr>
        <w:t>Therapy with saline bath</w:t>
      </w:r>
      <w:r w:rsidR="00AD4DEC" w:rsidRPr="00CC34A3">
        <w:rPr>
          <w:rFonts w:ascii="Book Antiqua" w:hAnsi="Book Antiqua"/>
          <w:color w:val="000000" w:themeColor="text1"/>
          <w:lang w:val="en-US"/>
        </w:rPr>
        <w:t>. Congested duodenal serosa and duodenal arcades with few vessel</w:t>
      </w:r>
      <w:r w:rsidR="0035278A" w:rsidRPr="00CC34A3">
        <w:rPr>
          <w:rFonts w:ascii="Book Antiqua" w:hAnsi="Book Antiqua"/>
          <w:color w:val="000000" w:themeColor="text1"/>
          <w:lang w:val="en-US"/>
        </w:rPr>
        <w:t>s</w:t>
      </w:r>
      <w:r w:rsidR="00AD4DEC" w:rsidRPr="00CC34A3">
        <w:rPr>
          <w:rFonts w:ascii="Book Antiqua" w:hAnsi="Book Antiqua"/>
          <w:color w:val="000000" w:themeColor="text1"/>
          <w:lang w:val="en-US"/>
        </w:rPr>
        <w:t xml:space="preserve"> branching before, during and after medication saline bath. </w:t>
      </w:r>
      <w:r w:rsidR="0035278A" w:rsidRPr="00CC34A3">
        <w:rPr>
          <w:rFonts w:ascii="Book Antiqua" w:hAnsi="Book Antiqua"/>
          <w:color w:val="000000" w:themeColor="text1"/>
          <w:lang w:val="en-US"/>
        </w:rPr>
        <w:t>The c</w:t>
      </w:r>
      <w:r w:rsidR="00AD4DEC" w:rsidRPr="00CC34A3">
        <w:rPr>
          <w:rFonts w:ascii="Book Antiqua" w:hAnsi="Book Antiqua"/>
          <w:color w:val="000000" w:themeColor="text1"/>
          <w:lang w:val="en-US"/>
        </w:rPr>
        <w:t xml:space="preserve">ongested </w:t>
      </w:r>
      <w:proofErr w:type="spellStart"/>
      <w:r w:rsidR="00AD4DEC" w:rsidRPr="00CC34A3">
        <w:rPr>
          <w:rFonts w:ascii="Book Antiqua" w:hAnsi="Book Antiqua"/>
          <w:color w:val="000000" w:themeColor="text1"/>
          <w:lang w:val="en-US"/>
        </w:rPr>
        <w:t>haemorrhagic</w:t>
      </w:r>
      <w:proofErr w:type="spellEnd"/>
      <w:r w:rsidR="00AD4DEC" w:rsidRPr="00CC34A3">
        <w:rPr>
          <w:rFonts w:ascii="Book Antiqua" w:hAnsi="Book Antiqua"/>
          <w:color w:val="000000" w:themeColor="text1"/>
          <w:lang w:val="en-US"/>
        </w:rPr>
        <w:t xml:space="preserve"> area was observed upon duodenal opening after saline bath treatment in rats that underwent obstruction of the SAPDV for 5 min. T</w:t>
      </w:r>
      <w:r w:rsidR="00D169D1" w:rsidRPr="00CC34A3">
        <w:rPr>
          <w:rFonts w:ascii="Book Antiqua" w:hAnsi="Book Antiqua"/>
          <w:color w:val="000000" w:themeColor="text1"/>
          <w:lang w:val="en-US"/>
        </w:rPr>
        <w:t>herapy with BPC 157 bath</w:t>
      </w:r>
      <w:r w:rsidR="00AD4DEC" w:rsidRPr="00CC34A3">
        <w:rPr>
          <w:rFonts w:ascii="Book Antiqua" w:hAnsi="Book Antiqua"/>
          <w:color w:val="000000" w:themeColor="text1"/>
          <w:lang w:val="en-US"/>
        </w:rPr>
        <w:t xml:space="preserve">. Immediately with BPC 157 medication applied as a bath apparently not congested serosa and vessels with increased branching replaced congested duodenal serosa and duodenal arcades with few vessel branching. Area without apparent congestion and </w:t>
      </w:r>
      <w:proofErr w:type="spellStart"/>
      <w:r w:rsidR="00AD4DEC" w:rsidRPr="00CC34A3">
        <w:rPr>
          <w:rFonts w:ascii="Book Antiqua" w:hAnsi="Book Antiqua"/>
          <w:color w:val="000000" w:themeColor="text1"/>
          <w:lang w:val="en-US"/>
        </w:rPr>
        <w:t>haemorrhage</w:t>
      </w:r>
      <w:proofErr w:type="spellEnd"/>
      <w:r w:rsidR="00AD4DEC" w:rsidRPr="00CC34A3">
        <w:rPr>
          <w:rFonts w:ascii="Book Antiqua" w:hAnsi="Book Antiqua"/>
          <w:color w:val="000000" w:themeColor="text1"/>
          <w:lang w:val="en-US"/>
        </w:rPr>
        <w:t xml:space="preserve"> was observed upon duodenal opening after BPC 157 bath treatment in rats that underwent obstruction of the SAPDV for 5 min. </w:t>
      </w:r>
      <w:r w:rsidR="00D169D1" w:rsidRPr="00CC34A3">
        <w:rPr>
          <w:rFonts w:ascii="Book Antiqua" w:hAnsi="Book Antiqua"/>
          <w:color w:val="000000" w:themeColor="text1"/>
          <w:lang w:val="en-US"/>
        </w:rPr>
        <w:t xml:space="preserve">B: </w:t>
      </w:r>
      <w:r w:rsidR="00AD4DEC" w:rsidRPr="00CC34A3">
        <w:rPr>
          <w:rFonts w:ascii="Book Antiqua" w:hAnsi="Book Antiqua"/>
          <w:color w:val="000000" w:themeColor="text1"/>
          <w:lang w:val="en-US"/>
        </w:rPr>
        <w:t>High magnifi</w:t>
      </w:r>
      <w:r w:rsidR="0035278A" w:rsidRPr="00CC34A3">
        <w:rPr>
          <w:rFonts w:ascii="Book Antiqua" w:hAnsi="Book Antiqua"/>
          <w:color w:val="000000" w:themeColor="text1"/>
          <w:lang w:val="en-US"/>
        </w:rPr>
        <w:t>ca</w:t>
      </w:r>
      <w:r w:rsidR="00AD4DEC" w:rsidRPr="00CC34A3">
        <w:rPr>
          <w:rFonts w:ascii="Book Antiqua" w:hAnsi="Book Antiqua"/>
          <w:color w:val="000000" w:themeColor="text1"/>
          <w:lang w:val="en-US"/>
        </w:rPr>
        <w:t>tion of presentation with ligation, and presentation of t</w:t>
      </w:r>
      <w:r w:rsidR="00CD44A7" w:rsidRPr="00CC34A3">
        <w:rPr>
          <w:rFonts w:ascii="Book Antiqua" w:hAnsi="Book Antiqua"/>
          <w:color w:val="000000" w:themeColor="text1"/>
          <w:lang w:val="en-US"/>
        </w:rPr>
        <w:t>h</w:t>
      </w:r>
      <w:r w:rsidR="00AD4DEC" w:rsidRPr="00CC34A3">
        <w:rPr>
          <w:rFonts w:ascii="Book Antiqua" w:hAnsi="Book Antiqua"/>
          <w:color w:val="000000" w:themeColor="text1"/>
          <w:lang w:val="en-US"/>
        </w:rPr>
        <w:t>e moment immediately with therapy application, as saline bath as medication, or BPC 157 bath medication.</w:t>
      </w:r>
      <w:r w:rsidR="00D169D1" w:rsidRPr="00CC34A3">
        <w:rPr>
          <w:rFonts w:ascii="Book Antiqua" w:hAnsi="Book Antiqua"/>
          <w:color w:val="000000" w:themeColor="text1"/>
          <w:lang w:val="en-US"/>
        </w:rPr>
        <w:t xml:space="preserve"> L: Ligation; T: Therapy; TS: Therapy with saline bath; TB: Therapy with BPC 157 bath; C: Congested </w:t>
      </w:r>
      <w:proofErr w:type="spellStart"/>
      <w:r w:rsidR="00D169D1" w:rsidRPr="00CC34A3">
        <w:rPr>
          <w:rFonts w:ascii="Book Antiqua" w:hAnsi="Book Antiqua"/>
          <w:color w:val="000000" w:themeColor="text1"/>
          <w:lang w:val="en-US"/>
        </w:rPr>
        <w:t>haemorrhagic</w:t>
      </w:r>
      <w:proofErr w:type="spellEnd"/>
      <w:r w:rsidR="00D169D1" w:rsidRPr="00CC34A3">
        <w:rPr>
          <w:rFonts w:ascii="Book Antiqua" w:hAnsi="Book Antiqua"/>
          <w:color w:val="000000" w:themeColor="text1"/>
          <w:lang w:val="en-US"/>
        </w:rPr>
        <w:t xml:space="preserve"> area; B: Area without apparent congestion and </w:t>
      </w:r>
      <w:proofErr w:type="spellStart"/>
      <w:r w:rsidR="00D169D1" w:rsidRPr="00CC34A3">
        <w:rPr>
          <w:rFonts w:ascii="Book Antiqua" w:hAnsi="Book Antiqua"/>
          <w:color w:val="000000" w:themeColor="text1"/>
          <w:lang w:val="en-US"/>
        </w:rPr>
        <w:t>haemorrhage</w:t>
      </w:r>
      <w:proofErr w:type="spellEnd"/>
      <w:r w:rsidR="00D169D1" w:rsidRPr="00CC34A3">
        <w:rPr>
          <w:rFonts w:ascii="Book Antiqua" w:hAnsi="Book Antiqua"/>
          <w:color w:val="000000" w:themeColor="text1"/>
          <w:lang w:val="en-US"/>
        </w:rPr>
        <w:t>.</w:t>
      </w:r>
    </w:p>
    <w:p w14:paraId="1C6F3EE5" w14:textId="12BC38AA" w:rsidR="005C6AAE" w:rsidRPr="00CC34A3" w:rsidRDefault="005C6AAE" w:rsidP="00CC34A3">
      <w:pPr>
        <w:adjustRightInd w:val="0"/>
        <w:snapToGrid w:val="0"/>
        <w:spacing w:after="0" w:line="360" w:lineRule="auto"/>
        <w:rPr>
          <w:rFonts w:ascii="Book Antiqua" w:eastAsia="Times New Roman" w:hAnsi="Book Antiqua" w:cs="Times New Roman"/>
          <w:color w:val="000000" w:themeColor="text1"/>
          <w:sz w:val="24"/>
          <w:szCs w:val="24"/>
          <w:lang w:val="en-US" w:eastAsia="hr-HR"/>
        </w:rPr>
      </w:pPr>
      <w:r w:rsidRPr="00CC34A3">
        <w:rPr>
          <w:rFonts w:ascii="Book Antiqua" w:hAnsi="Book Antiqua"/>
          <w:color w:val="000000" w:themeColor="text1"/>
          <w:sz w:val="24"/>
          <w:szCs w:val="24"/>
          <w:lang w:val="en-US"/>
        </w:rPr>
        <w:br w:type="page"/>
      </w:r>
    </w:p>
    <w:p w14:paraId="6E7E583F" w14:textId="52E6EC30" w:rsidR="00AD4DEC" w:rsidRPr="00CC34A3" w:rsidRDefault="00AD4DEC" w:rsidP="00CC34A3">
      <w:pPr>
        <w:pStyle w:val="Title3"/>
        <w:adjustRightInd w:val="0"/>
        <w:snapToGrid w:val="0"/>
        <w:spacing w:before="0" w:beforeAutospacing="0" w:after="0" w:afterAutospacing="0" w:line="360" w:lineRule="auto"/>
        <w:jc w:val="both"/>
        <w:rPr>
          <w:rFonts w:ascii="Book Antiqua" w:hAnsi="Book Antiqua"/>
          <w:color w:val="000000" w:themeColor="text1"/>
          <w:lang w:val="en-US"/>
        </w:rPr>
      </w:pPr>
      <w:r w:rsidRPr="00CC34A3">
        <w:rPr>
          <w:rFonts w:ascii="Book Antiqua" w:hAnsi="Book Antiqua"/>
          <w:noProof/>
          <w:color w:val="000000" w:themeColor="text1"/>
          <w:lang w:val="en-US" w:eastAsia="zh-CN"/>
        </w:rPr>
        <w:lastRenderedPageBreak/>
        <w:drawing>
          <wp:inline distT="0" distB="0" distL="0" distR="0" wp14:anchorId="61DDF55C" wp14:editId="7FFFDA9B">
            <wp:extent cx="5753100" cy="2647950"/>
            <wp:effectExtent l="0" t="0" r="0" b="0"/>
            <wp:docPr id="4" name="Picture 4" descr="D:\Users\predrag.sikiric\Documents\amic radovi\TIFF 8 slika od 15.5.2018\Fig.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predrag.sikiric\Documents\amic radovi\TIFF 8 slika od 15.5.2018\Fig. 4..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2647950"/>
                    </a:xfrm>
                    <a:prstGeom prst="rect">
                      <a:avLst/>
                    </a:prstGeom>
                    <a:noFill/>
                    <a:ln>
                      <a:noFill/>
                    </a:ln>
                  </pic:spPr>
                </pic:pic>
              </a:graphicData>
            </a:graphic>
          </wp:inline>
        </w:drawing>
      </w:r>
    </w:p>
    <w:p w14:paraId="3CB167BD" w14:textId="4E47D67B" w:rsidR="00AD4DEC" w:rsidRPr="00CC34A3" w:rsidRDefault="00062BE7" w:rsidP="00CC34A3">
      <w:pPr>
        <w:pStyle w:val="Title3"/>
        <w:adjustRightInd w:val="0"/>
        <w:snapToGrid w:val="0"/>
        <w:spacing w:before="0" w:beforeAutospacing="0" w:after="0" w:afterAutospacing="0" w:line="360" w:lineRule="auto"/>
        <w:jc w:val="both"/>
        <w:rPr>
          <w:rFonts w:ascii="Book Antiqua" w:hAnsi="Book Antiqua"/>
          <w:color w:val="000000" w:themeColor="text1"/>
          <w:lang w:val="en-US"/>
        </w:rPr>
      </w:pPr>
      <w:r w:rsidRPr="00CC34A3">
        <w:rPr>
          <w:rFonts w:ascii="Book Antiqua" w:hAnsi="Book Antiqua"/>
          <w:b/>
          <w:color w:val="000000" w:themeColor="text1"/>
          <w:lang w:val="en-US"/>
        </w:rPr>
        <w:t>Figure 4</w:t>
      </w:r>
      <w:r w:rsidRPr="00CC34A3">
        <w:rPr>
          <w:rFonts w:ascii="Book Antiqua" w:hAnsi="Book Antiqua"/>
          <w:color w:val="000000" w:themeColor="text1"/>
          <w:lang w:val="en-US"/>
        </w:rPr>
        <w:t xml:space="preserve"> </w:t>
      </w:r>
      <w:r w:rsidRPr="00CC34A3">
        <w:rPr>
          <w:rFonts w:ascii="Book Antiqua" w:hAnsi="Book Antiqua"/>
          <w:b/>
          <w:color w:val="000000" w:themeColor="text1"/>
          <w:lang w:val="en-US"/>
        </w:rPr>
        <w:t>Characteristic appearance of the duodenum in superior anterior pancreaticoduodenal vein-ligated rats at 30 min (left) or 24 h (right) ligation-time.</w:t>
      </w:r>
      <w:r w:rsidRPr="00CC34A3">
        <w:rPr>
          <w:rFonts w:ascii="Book Antiqua" w:hAnsi="Book Antiqua"/>
          <w:color w:val="000000" w:themeColor="text1"/>
          <w:lang w:val="en-US"/>
        </w:rPr>
        <w:t xml:space="preserve"> After medication bath [</w:t>
      </w:r>
      <w:r w:rsidR="00AD4DEC" w:rsidRPr="00CC34A3">
        <w:rPr>
          <w:rFonts w:ascii="Book Antiqua" w:hAnsi="Book Antiqua"/>
          <w:color w:val="000000" w:themeColor="text1"/>
          <w:lang w:val="en-US"/>
        </w:rPr>
        <w:t>saline (upper) (C); BPC 157 (lower) (B</w:t>
      </w:r>
      <w:r w:rsidRPr="00CC34A3">
        <w:rPr>
          <w:rFonts w:ascii="Book Antiqua" w:hAnsi="Book Antiqua"/>
          <w:color w:val="000000" w:themeColor="text1"/>
          <w:lang w:val="en-US"/>
        </w:rPr>
        <w:t>) application]</w:t>
      </w:r>
      <w:r w:rsidR="00AD4DEC" w:rsidRPr="00CC34A3">
        <w:rPr>
          <w:rFonts w:ascii="Book Antiqua" w:hAnsi="Book Antiqua"/>
          <w:color w:val="000000" w:themeColor="text1"/>
          <w:lang w:val="en-US"/>
        </w:rPr>
        <w:t>; duodenum opening before sacrifice at 30 min (left) or 24 h</w:t>
      </w:r>
      <w:r w:rsidRPr="00CC34A3">
        <w:rPr>
          <w:rFonts w:ascii="Book Antiqua" w:hAnsi="Book Antiqua"/>
          <w:color w:val="000000" w:themeColor="text1"/>
          <w:lang w:val="en-US"/>
        </w:rPr>
        <w:t xml:space="preserve"> (right) ligation-time</w:t>
      </w:r>
      <w:r w:rsidR="00AD4DEC" w:rsidRPr="00CC34A3">
        <w:rPr>
          <w:rFonts w:ascii="Book Antiqua" w:hAnsi="Book Antiqua"/>
          <w:color w:val="000000" w:themeColor="text1"/>
          <w:lang w:val="en-US"/>
        </w:rPr>
        <w:t>;</w:t>
      </w:r>
      <w:r w:rsidRPr="00CC34A3">
        <w:rPr>
          <w:rFonts w:ascii="Book Antiqua" w:hAnsi="Book Antiqua"/>
          <w:color w:val="000000" w:themeColor="text1"/>
          <w:lang w:val="en-US"/>
        </w:rPr>
        <w:t xml:space="preserve"> USB microscope camera. Control:</w:t>
      </w:r>
      <w:r w:rsidR="00AD4DEC" w:rsidRPr="00CC34A3">
        <w:rPr>
          <w:rFonts w:ascii="Book Antiqua" w:hAnsi="Book Antiqua"/>
          <w:color w:val="000000" w:themeColor="text1"/>
          <w:lang w:val="en-US"/>
        </w:rPr>
        <w:t xml:space="preserve"> 30 min. Congested duodenal serosa and duodenal arcades with few vessel branching. Congested </w:t>
      </w:r>
      <w:proofErr w:type="spellStart"/>
      <w:r w:rsidR="00AD4DEC" w:rsidRPr="00CC34A3">
        <w:rPr>
          <w:rFonts w:ascii="Book Antiqua" w:hAnsi="Book Antiqua"/>
          <w:color w:val="000000" w:themeColor="text1"/>
          <w:lang w:val="en-US"/>
        </w:rPr>
        <w:t>haemorrhagic</w:t>
      </w:r>
      <w:proofErr w:type="spellEnd"/>
      <w:r w:rsidR="00AD4DEC" w:rsidRPr="00CC34A3">
        <w:rPr>
          <w:rFonts w:ascii="Book Antiqua" w:hAnsi="Book Antiqua"/>
          <w:color w:val="000000" w:themeColor="text1"/>
          <w:lang w:val="en-US"/>
        </w:rPr>
        <w:t xml:space="preserve"> upon duodenal opening. 24 h. Severely congested duodenal serosa and duodenal arcades with few vessel branching. Severely congested </w:t>
      </w:r>
      <w:proofErr w:type="spellStart"/>
      <w:r w:rsidR="00AD4DEC" w:rsidRPr="00CC34A3">
        <w:rPr>
          <w:rFonts w:ascii="Book Antiqua" w:hAnsi="Book Antiqua"/>
          <w:color w:val="000000" w:themeColor="text1"/>
          <w:lang w:val="en-US"/>
        </w:rPr>
        <w:t>haemorrhagic</w:t>
      </w:r>
      <w:proofErr w:type="spellEnd"/>
      <w:r w:rsidR="00AD4DEC" w:rsidRPr="00CC34A3">
        <w:rPr>
          <w:rFonts w:ascii="Book Antiqua" w:hAnsi="Book Antiqua"/>
          <w:color w:val="000000" w:themeColor="text1"/>
          <w:lang w:val="en-US"/>
        </w:rPr>
        <w:t xml:space="preserve"> upon du</w:t>
      </w:r>
      <w:r w:rsidRPr="00CC34A3">
        <w:rPr>
          <w:rFonts w:ascii="Book Antiqua" w:hAnsi="Book Antiqua"/>
          <w:color w:val="000000" w:themeColor="text1"/>
          <w:lang w:val="en-US"/>
        </w:rPr>
        <w:t>odenal opening. BPC 157 therapy:</w:t>
      </w:r>
      <w:r w:rsidR="00AD4DEC" w:rsidRPr="00CC34A3">
        <w:rPr>
          <w:rFonts w:ascii="Book Antiqua" w:hAnsi="Book Antiqua"/>
          <w:color w:val="000000" w:themeColor="text1"/>
          <w:lang w:val="en-US"/>
        </w:rPr>
        <w:t xml:space="preserve"> 30 min. Not congested serosa and vessels with increased branching. Area without apparent congestion and </w:t>
      </w:r>
      <w:proofErr w:type="spellStart"/>
      <w:r w:rsidR="00AD4DEC" w:rsidRPr="00CC34A3">
        <w:rPr>
          <w:rFonts w:ascii="Book Antiqua" w:hAnsi="Book Antiqua"/>
          <w:color w:val="000000" w:themeColor="text1"/>
          <w:lang w:val="en-US"/>
        </w:rPr>
        <w:t>haemorrhage</w:t>
      </w:r>
      <w:proofErr w:type="spellEnd"/>
      <w:r w:rsidR="00AD4DEC" w:rsidRPr="00CC34A3">
        <w:rPr>
          <w:rFonts w:ascii="Book Antiqua" w:hAnsi="Book Antiqua"/>
          <w:color w:val="000000" w:themeColor="text1"/>
          <w:lang w:val="en-US"/>
        </w:rPr>
        <w:t xml:space="preserve"> was</w:t>
      </w:r>
      <w:r w:rsidRPr="00CC34A3">
        <w:rPr>
          <w:rFonts w:ascii="Book Antiqua" w:hAnsi="Book Antiqua"/>
          <w:color w:val="000000" w:themeColor="text1"/>
          <w:lang w:val="en-US"/>
        </w:rPr>
        <w:t xml:space="preserve"> observed upon duodenal opening:</w:t>
      </w:r>
      <w:r w:rsidR="00AD4DEC" w:rsidRPr="00CC34A3">
        <w:rPr>
          <w:rFonts w:ascii="Book Antiqua" w:hAnsi="Book Antiqua"/>
          <w:color w:val="000000" w:themeColor="text1"/>
          <w:lang w:val="en-US"/>
        </w:rPr>
        <w:t xml:space="preserve"> 24 h</w:t>
      </w:r>
      <w:r w:rsidR="00773972" w:rsidRPr="00CC34A3">
        <w:rPr>
          <w:rFonts w:ascii="Book Antiqua" w:hAnsi="Book Antiqua"/>
          <w:color w:val="000000" w:themeColor="text1"/>
          <w:lang w:val="en-US"/>
        </w:rPr>
        <w:t xml:space="preserve">. </w:t>
      </w:r>
      <w:r w:rsidR="00AD4DEC" w:rsidRPr="00CC34A3">
        <w:rPr>
          <w:rFonts w:ascii="Book Antiqua" w:hAnsi="Book Antiqua"/>
          <w:color w:val="000000" w:themeColor="text1"/>
          <w:lang w:val="en-US"/>
        </w:rPr>
        <w:t xml:space="preserve">Not congested serosa and vessels with increased branching. Area without apparent congestion and </w:t>
      </w:r>
      <w:proofErr w:type="spellStart"/>
      <w:r w:rsidR="00AD4DEC" w:rsidRPr="00CC34A3">
        <w:rPr>
          <w:rFonts w:ascii="Book Antiqua" w:hAnsi="Book Antiqua"/>
          <w:color w:val="000000" w:themeColor="text1"/>
          <w:lang w:val="en-US"/>
        </w:rPr>
        <w:t>haemorrhage</w:t>
      </w:r>
      <w:proofErr w:type="spellEnd"/>
      <w:r w:rsidR="00AD4DEC" w:rsidRPr="00CC34A3">
        <w:rPr>
          <w:rFonts w:ascii="Book Antiqua" w:hAnsi="Book Antiqua"/>
          <w:color w:val="000000" w:themeColor="text1"/>
          <w:lang w:val="en-US"/>
        </w:rPr>
        <w:t xml:space="preserve"> was observed upon duodenal opening.</w:t>
      </w:r>
      <w:r w:rsidR="00BB5159" w:rsidRPr="00CC34A3">
        <w:rPr>
          <w:rFonts w:ascii="Book Antiqua" w:hAnsi="Book Antiqua"/>
          <w:color w:val="000000" w:themeColor="text1"/>
          <w:lang w:val="en-US"/>
        </w:rPr>
        <w:t xml:space="preserve"> C: Control; B: BPC 157.</w:t>
      </w:r>
    </w:p>
    <w:p w14:paraId="6F2C290D" w14:textId="77777777" w:rsidR="00062BE7" w:rsidRPr="00CC34A3" w:rsidRDefault="00062BE7" w:rsidP="00CC34A3">
      <w:pPr>
        <w:adjustRightInd w:val="0"/>
        <w:snapToGrid w:val="0"/>
        <w:spacing w:after="0" w:line="360" w:lineRule="auto"/>
        <w:rPr>
          <w:rFonts w:ascii="Book Antiqua" w:eastAsia="Times New Roman" w:hAnsi="Book Antiqua" w:cs="Times New Roman"/>
          <w:color w:val="000000" w:themeColor="text1"/>
          <w:sz w:val="24"/>
          <w:szCs w:val="24"/>
          <w:lang w:val="en-US" w:eastAsia="hr-HR"/>
        </w:rPr>
      </w:pPr>
      <w:r w:rsidRPr="00CC34A3">
        <w:rPr>
          <w:rFonts w:ascii="Book Antiqua" w:hAnsi="Book Antiqua"/>
          <w:color w:val="000000" w:themeColor="text1"/>
          <w:sz w:val="24"/>
          <w:szCs w:val="24"/>
          <w:lang w:val="en-US"/>
        </w:rPr>
        <w:br w:type="page"/>
      </w:r>
    </w:p>
    <w:p w14:paraId="11B18873" w14:textId="77777777" w:rsidR="00102C24" w:rsidRPr="00CC34A3" w:rsidRDefault="00102C24" w:rsidP="00CC34A3">
      <w:pPr>
        <w:pStyle w:val="Title3"/>
        <w:adjustRightInd w:val="0"/>
        <w:snapToGrid w:val="0"/>
        <w:spacing w:before="0" w:beforeAutospacing="0" w:after="0" w:afterAutospacing="0" w:line="360" w:lineRule="auto"/>
        <w:jc w:val="both"/>
        <w:rPr>
          <w:rFonts w:ascii="Book Antiqua" w:hAnsi="Book Antiqua"/>
          <w:color w:val="000000" w:themeColor="text1"/>
          <w:lang w:val="en-US"/>
        </w:rPr>
      </w:pPr>
    </w:p>
    <w:p w14:paraId="3CA8969D" w14:textId="77777777" w:rsidR="00AD4DEC" w:rsidRPr="00CC34A3" w:rsidRDefault="00AD4DEC" w:rsidP="00CC34A3">
      <w:pPr>
        <w:pStyle w:val="Title3"/>
        <w:adjustRightInd w:val="0"/>
        <w:snapToGrid w:val="0"/>
        <w:spacing w:before="0" w:beforeAutospacing="0" w:after="0" w:afterAutospacing="0" w:line="360" w:lineRule="auto"/>
        <w:jc w:val="both"/>
        <w:rPr>
          <w:rFonts w:ascii="Book Antiqua" w:hAnsi="Book Antiqua"/>
          <w:color w:val="000000" w:themeColor="text1"/>
          <w:lang w:val="en-US" w:eastAsia="zh-CN"/>
        </w:rPr>
      </w:pPr>
      <w:r w:rsidRPr="00CC34A3">
        <w:rPr>
          <w:rFonts w:ascii="Book Antiqua" w:hAnsi="Book Antiqua"/>
          <w:noProof/>
          <w:color w:val="000000" w:themeColor="text1"/>
          <w:lang w:val="en-US" w:eastAsia="zh-CN"/>
        </w:rPr>
        <w:drawing>
          <wp:inline distT="0" distB="0" distL="0" distR="0" wp14:anchorId="6D71D294" wp14:editId="42A8768B">
            <wp:extent cx="5760085" cy="6596533"/>
            <wp:effectExtent l="0" t="0" r="0" b="0"/>
            <wp:docPr id="5" name="Picture 5" descr="D:\Users\predrag.sikiric\Documents\amic radovi\TIFF 8 slika od 15.5.2018\Fig.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predrag.sikiric\Documents\amic radovi\TIFF 8 slika od 15.5.2018\Fig. 5.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085" cy="6596533"/>
                    </a:xfrm>
                    <a:prstGeom prst="rect">
                      <a:avLst/>
                    </a:prstGeom>
                    <a:noFill/>
                    <a:ln>
                      <a:noFill/>
                    </a:ln>
                  </pic:spPr>
                </pic:pic>
              </a:graphicData>
            </a:graphic>
          </wp:inline>
        </w:drawing>
      </w:r>
    </w:p>
    <w:p w14:paraId="74FD7608" w14:textId="468FB1F3" w:rsidR="00AD4DEC" w:rsidRPr="00CC34A3" w:rsidRDefault="00062BE7" w:rsidP="00CC34A3">
      <w:pPr>
        <w:pStyle w:val="Title3"/>
        <w:adjustRightInd w:val="0"/>
        <w:snapToGrid w:val="0"/>
        <w:spacing w:before="0" w:beforeAutospacing="0" w:after="0" w:afterAutospacing="0" w:line="360" w:lineRule="auto"/>
        <w:jc w:val="both"/>
        <w:rPr>
          <w:rFonts w:ascii="Book Antiqua" w:hAnsi="Book Antiqua"/>
          <w:b/>
          <w:color w:val="000000" w:themeColor="text1"/>
          <w:lang w:val="en-US"/>
        </w:rPr>
      </w:pPr>
      <w:r w:rsidRPr="00CC34A3">
        <w:rPr>
          <w:rFonts w:ascii="Book Antiqua" w:hAnsi="Book Antiqua"/>
          <w:b/>
          <w:color w:val="000000" w:themeColor="text1"/>
          <w:lang w:val="en-US"/>
        </w:rPr>
        <w:t xml:space="preserve">Figure 5 Percent of vessels present between 5 arcade vessels on the ventral side of the duodenum in different time points. </w:t>
      </w:r>
      <w:r w:rsidRPr="00CC34A3">
        <w:rPr>
          <w:rFonts w:ascii="Book Antiqua" w:hAnsi="Book Antiqua"/>
          <w:color w:val="000000" w:themeColor="text1"/>
          <w:lang w:val="en-US"/>
        </w:rPr>
        <w:t>Per</w:t>
      </w:r>
      <w:r w:rsidR="00AD4DEC" w:rsidRPr="00CC34A3">
        <w:rPr>
          <w:rFonts w:ascii="Book Antiqua" w:hAnsi="Book Antiqua"/>
          <w:color w:val="000000" w:themeColor="text1"/>
          <w:lang w:val="en-US"/>
        </w:rPr>
        <w:t xml:space="preserve">cent of vessels present between 5 arcade vessels on the ventral side of the duodenum 1 min following ligation before therapy (as 100%) (A); mean ± SD. The gross appearance of the tissue was recorded using a USB microscope camera. The following time points were assessed: A: After ligation and before therapy (1 min); B: 5 min after the application of medication; C: 30 min after the application of medication; D: 24 h after the application of medication. At 1 </w:t>
      </w:r>
      <w:r w:rsidRPr="00CC34A3">
        <w:rPr>
          <w:rFonts w:ascii="Book Antiqua" w:hAnsi="Book Antiqua"/>
          <w:color w:val="000000" w:themeColor="text1"/>
          <w:lang w:val="en-US"/>
        </w:rPr>
        <w:lastRenderedPageBreak/>
        <w:t>min post-injury, medication [</w:t>
      </w:r>
      <w:r w:rsidR="00AD4DEC" w:rsidRPr="00CC34A3">
        <w:rPr>
          <w:rFonts w:ascii="Book Antiqua" w:hAnsi="Book Antiqua"/>
          <w:color w:val="000000" w:themeColor="text1"/>
          <w:lang w:val="en-US"/>
        </w:rPr>
        <w:t xml:space="preserve">BPC 157, 10 </w:t>
      </w:r>
      <w:proofErr w:type="spellStart"/>
      <w:r w:rsidR="00AD4DEC" w:rsidRPr="00CC34A3">
        <w:rPr>
          <w:rFonts w:ascii="Book Antiqua" w:hAnsi="Book Antiqua"/>
          <w:color w:val="000000" w:themeColor="text1"/>
          <w:lang w:val="en-US"/>
        </w:rPr>
        <w:t>μg</w:t>
      </w:r>
      <w:proofErr w:type="spellEnd"/>
      <w:r w:rsidR="00AD4DEC" w:rsidRPr="00CC34A3">
        <w:rPr>
          <w:rFonts w:ascii="Book Antiqua" w:hAnsi="Book Antiqua"/>
          <w:color w:val="000000" w:themeColor="text1"/>
          <w:lang w:val="en-US"/>
        </w:rPr>
        <w:t xml:space="preserve">/kg (BPC 157 </w:t>
      </w:r>
      <w:proofErr w:type="spellStart"/>
      <w:r w:rsidR="00AD4DEC" w:rsidRPr="00CC34A3">
        <w:rPr>
          <w:rFonts w:ascii="Book Antiqua" w:hAnsi="Book Antiqua"/>
          <w:color w:val="000000" w:themeColor="text1"/>
          <w:lang w:val="en-US"/>
        </w:rPr>
        <w:t>μg</w:t>
      </w:r>
      <w:proofErr w:type="spellEnd"/>
      <w:r w:rsidR="00AD4DEC" w:rsidRPr="00CC34A3">
        <w:rPr>
          <w:rFonts w:ascii="Book Antiqua" w:hAnsi="Book Antiqua"/>
          <w:color w:val="000000" w:themeColor="text1"/>
          <w:lang w:val="en-US"/>
        </w:rPr>
        <w:t>), 10 ng/kg (BPC 157 ng), L-NAME</w:t>
      </w:r>
      <w:r w:rsidRPr="00CC34A3">
        <w:rPr>
          <w:rFonts w:ascii="Book Antiqua" w:hAnsi="Book Antiqua"/>
          <w:color w:val="000000" w:themeColor="text1"/>
          <w:lang w:val="en-US"/>
        </w:rPr>
        <w:t>,</w:t>
      </w:r>
      <w:r w:rsidR="00AD4DEC" w:rsidRPr="00CC34A3">
        <w:rPr>
          <w:rFonts w:ascii="Book Antiqua" w:hAnsi="Book Antiqua"/>
          <w:color w:val="000000" w:themeColor="text1"/>
          <w:lang w:val="en-US"/>
        </w:rPr>
        <w:t xml:space="preserve"> 5 mg/kg (L-NAME), </w:t>
      </w:r>
      <w:bookmarkStart w:id="135" w:name="OLE_LINK9"/>
      <w:bookmarkStart w:id="136" w:name="OLE_LINK10"/>
      <w:r w:rsidR="00AD4DEC" w:rsidRPr="00CC34A3">
        <w:rPr>
          <w:rFonts w:ascii="Book Antiqua" w:hAnsi="Book Antiqua"/>
          <w:color w:val="000000" w:themeColor="text1"/>
          <w:lang w:val="en-US"/>
        </w:rPr>
        <w:t>L-arginine</w:t>
      </w:r>
      <w:r w:rsidRPr="00CC34A3">
        <w:rPr>
          <w:rFonts w:ascii="Book Antiqua" w:hAnsi="Book Antiqua"/>
          <w:color w:val="000000" w:themeColor="text1"/>
          <w:lang w:val="en-US"/>
        </w:rPr>
        <w:t>,</w:t>
      </w:r>
      <w:r w:rsidR="00AD4DEC" w:rsidRPr="00CC34A3">
        <w:rPr>
          <w:rFonts w:ascii="Book Antiqua" w:hAnsi="Book Antiqua"/>
          <w:color w:val="000000" w:themeColor="text1"/>
          <w:lang w:val="en-US"/>
        </w:rPr>
        <w:t xml:space="preserve"> 100 mg/kg</w:t>
      </w:r>
      <w:bookmarkEnd w:id="135"/>
      <w:bookmarkEnd w:id="136"/>
      <w:r w:rsidR="00AD4DEC" w:rsidRPr="00CC34A3">
        <w:rPr>
          <w:rFonts w:ascii="Book Antiqua" w:hAnsi="Book Antiqua"/>
          <w:color w:val="000000" w:themeColor="text1"/>
          <w:lang w:val="en-US"/>
        </w:rPr>
        <w:t xml:space="preserve"> (L-arginine) alone and /or together (L-NAME+L-arginine, BPC 157+L-NAME,BPC 157+L-arginine, BPC 157+L-</w:t>
      </w:r>
      <w:r w:rsidR="00773972" w:rsidRPr="00CC34A3">
        <w:rPr>
          <w:rFonts w:ascii="Book Antiqua" w:hAnsi="Book Antiqua"/>
          <w:color w:val="000000" w:themeColor="text1"/>
          <w:lang w:val="en-US"/>
        </w:rPr>
        <w:t xml:space="preserve">NAME+L-arginine) </w:t>
      </w:r>
      <w:r w:rsidRPr="00CC34A3">
        <w:rPr>
          <w:rFonts w:ascii="Book Antiqua" w:hAnsi="Book Antiqua"/>
          <w:color w:val="000000" w:themeColor="text1"/>
          <w:lang w:val="en-US"/>
        </w:rPr>
        <w:t>1 mL bath/rat]</w:t>
      </w:r>
      <w:r w:rsidR="00AD4DEC" w:rsidRPr="00CC34A3">
        <w:rPr>
          <w:rFonts w:ascii="Book Antiqua" w:hAnsi="Book Antiqua"/>
          <w:color w:val="000000" w:themeColor="text1"/>
          <w:lang w:val="en-US"/>
        </w:rPr>
        <w:t xml:space="preserve"> or an equal volume of a saline was applied to the duodenum of the </w:t>
      </w:r>
      <w:r w:rsidR="00992FA2" w:rsidRPr="00CC34A3">
        <w:rPr>
          <w:rFonts w:ascii="Book Antiqua" w:hAnsi="Book Antiqua"/>
          <w:color w:val="000000" w:themeColor="text1"/>
          <w:lang w:val="en-US"/>
        </w:rPr>
        <w:t>SAPDV</w:t>
      </w:r>
      <w:r w:rsidR="00AD4DEC" w:rsidRPr="00CC34A3">
        <w:rPr>
          <w:rFonts w:ascii="Book Antiqua" w:hAnsi="Book Antiqua"/>
          <w:color w:val="000000" w:themeColor="text1"/>
          <w:lang w:val="en-US"/>
        </w:rPr>
        <w:t>-ligated rats (upper); alternatively, at 1 m</w:t>
      </w:r>
      <w:r w:rsidRPr="00CC34A3">
        <w:rPr>
          <w:rFonts w:ascii="Book Antiqua" w:hAnsi="Book Antiqua"/>
          <w:color w:val="000000" w:themeColor="text1"/>
          <w:lang w:val="en-US"/>
        </w:rPr>
        <w:t xml:space="preserve">in post-injury, medication was </w:t>
      </w:r>
      <w:r w:rsidR="00AD4DEC" w:rsidRPr="00CC34A3">
        <w:rPr>
          <w:rFonts w:ascii="Book Antiqua" w:hAnsi="Book Antiqua"/>
          <w:color w:val="000000" w:themeColor="text1"/>
          <w:lang w:val="en-US"/>
        </w:rPr>
        <w:t>B</w:t>
      </w:r>
      <w:r w:rsidRPr="00CC34A3">
        <w:rPr>
          <w:rFonts w:ascii="Book Antiqua" w:hAnsi="Book Antiqua"/>
          <w:color w:val="000000" w:themeColor="text1"/>
          <w:lang w:val="en-US"/>
        </w:rPr>
        <w:t xml:space="preserve">PC 157 </w:t>
      </w:r>
      <w:proofErr w:type="spellStart"/>
      <w:r w:rsidRPr="00CC34A3">
        <w:rPr>
          <w:rFonts w:ascii="Book Antiqua" w:hAnsi="Book Antiqua"/>
          <w:color w:val="000000" w:themeColor="text1"/>
          <w:lang w:val="en-US"/>
        </w:rPr>
        <w:t>μg</w:t>
      </w:r>
      <w:proofErr w:type="spellEnd"/>
      <w:r w:rsidR="00AD4DEC" w:rsidRPr="00CC34A3">
        <w:rPr>
          <w:rFonts w:ascii="Book Antiqua" w:hAnsi="Book Antiqua"/>
          <w:color w:val="000000" w:themeColor="text1"/>
          <w:lang w:val="en-US"/>
        </w:rPr>
        <w:t xml:space="preserve">, </w:t>
      </w:r>
      <w:r w:rsidRPr="00CC34A3">
        <w:rPr>
          <w:rFonts w:ascii="Book Antiqua" w:hAnsi="Book Antiqua"/>
          <w:color w:val="000000" w:themeColor="text1"/>
          <w:lang w:val="en-US"/>
        </w:rPr>
        <w:t>BPC 157 ng</w:t>
      </w:r>
      <w:r w:rsidR="00AD4DEC" w:rsidRPr="00CC34A3">
        <w:rPr>
          <w:rFonts w:ascii="Book Antiqua" w:hAnsi="Book Antiqua"/>
          <w:color w:val="000000" w:themeColor="text1"/>
          <w:lang w:val="en-US"/>
        </w:rPr>
        <w:t xml:space="preserve">, 1 mL </w:t>
      </w:r>
      <w:proofErr w:type="spellStart"/>
      <w:r w:rsidR="00AD4DEC" w:rsidRPr="00CC34A3">
        <w:rPr>
          <w:rFonts w:ascii="Book Antiqua" w:hAnsi="Book Antiqua"/>
          <w:color w:val="000000" w:themeColor="text1"/>
          <w:lang w:val="en-US"/>
        </w:rPr>
        <w:t>inistillation</w:t>
      </w:r>
      <w:proofErr w:type="spellEnd"/>
      <w:r w:rsidR="00AD4DEC" w:rsidRPr="00CC34A3">
        <w:rPr>
          <w:rFonts w:ascii="Book Antiqua" w:hAnsi="Book Antiqua"/>
          <w:color w:val="000000" w:themeColor="text1"/>
          <w:lang w:val="en-US"/>
        </w:rPr>
        <w:t xml:space="preserve"> into the stomach or an equal volume of a saline (saline) instilled into the stomach of the </w:t>
      </w:r>
      <w:r w:rsidRPr="00CC34A3">
        <w:rPr>
          <w:rFonts w:ascii="Book Antiqua" w:hAnsi="Book Antiqua"/>
          <w:color w:val="000000" w:themeColor="text1"/>
          <w:lang w:val="en-US"/>
        </w:rPr>
        <w:t>superior anterior pancreaticoduodenal vein</w:t>
      </w:r>
      <w:r w:rsidR="00AD4DEC" w:rsidRPr="00CC34A3">
        <w:rPr>
          <w:rFonts w:ascii="Book Antiqua" w:hAnsi="Book Antiqua"/>
          <w:color w:val="000000" w:themeColor="text1"/>
          <w:lang w:val="en-US"/>
        </w:rPr>
        <w:t xml:space="preserve">-ligated rats (lower). The rats were sacrificed 5 min, 30 min or 24 h later. For clarity, the SD is not shown on the graph; the SD was never higher than 10% of the mean. </w:t>
      </w:r>
      <w:proofErr w:type="spellStart"/>
      <w:r w:rsidRPr="00CC34A3">
        <w:rPr>
          <w:rFonts w:ascii="Book Antiqua" w:hAnsi="Book Antiqua"/>
          <w:color w:val="000000" w:themeColor="text1"/>
          <w:vertAlign w:val="superscript"/>
          <w:lang w:val="en-US"/>
        </w:rPr>
        <w:t>a</w:t>
      </w:r>
      <w:r w:rsidR="00AD4DEC" w:rsidRPr="00CC34A3">
        <w:rPr>
          <w:rFonts w:ascii="Book Antiqua" w:hAnsi="Book Antiqua"/>
          <w:i/>
          <w:color w:val="000000" w:themeColor="text1"/>
          <w:lang w:val="en-US"/>
        </w:rPr>
        <w:t>P</w:t>
      </w:r>
      <w:proofErr w:type="spellEnd"/>
      <w:r w:rsidR="00AD4DEC" w:rsidRPr="00CC34A3">
        <w:rPr>
          <w:rFonts w:ascii="Book Antiqua" w:hAnsi="Book Antiqua"/>
          <w:color w:val="000000" w:themeColor="text1"/>
          <w:lang w:val="en-US"/>
        </w:rPr>
        <w:t xml:space="preserve"> &lt; 0.05 </w:t>
      </w:r>
      <w:r w:rsidR="00AD4DEC" w:rsidRPr="00CC34A3">
        <w:rPr>
          <w:rFonts w:ascii="Book Antiqua" w:hAnsi="Book Antiqua"/>
          <w:i/>
          <w:color w:val="000000" w:themeColor="text1"/>
          <w:lang w:val="en-US"/>
        </w:rPr>
        <w:t>vs</w:t>
      </w:r>
      <w:r w:rsidR="00AD4DEC" w:rsidRPr="00CC34A3">
        <w:rPr>
          <w:rFonts w:ascii="Book Antiqua" w:hAnsi="Book Antiqua"/>
          <w:color w:val="000000" w:themeColor="text1"/>
          <w:lang w:val="en-US"/>
        </w:rPr>
        <w:t xml:space="preserve"> saline.</w:t>
      </w:r>
      <w:r w:rsidRPr="00CC34A3">
        <w:rPr>
          <w:rFonts w:ascii="Book Antiqua" w:hAnsi="Book Antiqua"/>
          <w:color w:val="000000" w:themeColor="text1"/>
          <w:lang w:val="en-US"/>
        </w:rPr>
        <w:t xml:space="preserve"> BPC 157 </w:t>
      </w:r>
      <w:proofErr w:type="spellStart"/>
      <w:r w:rsidRPr="00CC34A3">
        <w:rPr>
          <w:rFonts w:ascii="Book Antiqua" w:hAnsi="Book Antiqua"/>
          <w:color w:val="000000" w:themeColor="text1"/>
          <w:lang w:val="en-US"/>
        </w:rPr>
        <w:t>μg</w:t>
      </w:r>
      <w:proofErr w:type="spellEnd"/>
      <w:r w:rsidRPr="00CC34A3">
        <w:rPr>
          <w:rFonts w:ascii="Book Antiqua" w:hAnsi="Book Antiqua"/>
          <w:color w:val="000000" w:themeColor="text1"/>
          <w:lang w:val="en-US"/>
        </w:rPr>
        <w:t xml:space="preserve">: BPC 157, 10 </w:t>
      </w:r>
      <w:proofErr w:type="spellStart"/>
      <w:r w:rsidRPr="00CC34A3">
        <w:rPr>
          <w:rFonts w:ascii="Book Antiqua" w:hAnsi="Book Antiqua"/>
          <w:color w:val="000000" w:themeColor="text1"/>
          <w:lang w:val="en-US"/>
        </w:rPr>
        <w:t>μg</w:t>
      </w:r>
      <w:proofErr w:type="spellEnd"/>
      <w:r w:rsidRPr="00CC34A3">
        <w:rPr>
          <w:rFonts w:ascii="Book Antiqua" w:hAnsi="Book Antiqua"/>
          <w:color w:val="000000" w:themeColor="text1"/>
          <w:lang w:val="en-US"/>
        </w:rPr>
        <w:t>/kg; BPC 157 ng: BPC 157, 10 ng/kg; L-NAME: L-NAME, 5 mg/kg; L-arginine: L-arginine, 100 mg/kg.</w:t>
      </w:r>
    </w:p>
    <w:p w14:paraId="278C131E" w14:textId="77777777" w:rsidR="00062BE7" w:rsidRPr="00CC34A3" w:rsidRDefault="00062BE7" w:rsidP="00CC34A3">
      <w:pPr>
        <w:adjustRightInd w:val="0"/>
        <w:snapToGrid w:val="0"/>
        <w:spacing w:after="0" w:line="360" w:lineRule="auto"/>
        <w:rPr>
          <w:rFonts w:ascii="Book Antiqua" w:eastAsia="Times New Roman" w:hAnsi="Book Antiqua" w:cs="Times New Roman"/>
          <w:color w:val="000000" w:themeColor="text1"/>
          <w:sz w:val="24"/>
          <w:szCs w:val="24"/>
          <w:lang w:val="en-US" w:eastAsia="hr-HR"/>
        </w:rPr>
      </w:pPr>
      <w:r w:rsidRPr="00CC34A3">
        <w:rPr>
          <w:rFonts w:ascii="Book Antiqua" w:hAnsi="Book Antiqua"/>
          <w:color w:val="000000" w:themeColor="text1"/>
          <w:sz w:val="24"/>
          <w:szCs w:val="24"/>
          <w:lang w:val="en-US"/>
        </w:rPr>
        <w:br w:type="page"/>
      </w:r>
    </w:p>
    <w:p w14:paraId="3E3B06B9" w14:textId="77777777" w:rsidR="00AD4DEC" w:rsidRPr="00CC34A3" w:rsidRDefault="00AD4DEC" w:rsidP="00CC34A3">
      <w:pPr>
        <w:pStyle w:val="Title3"/>
        <w:adjustRightInd w:val="0"/>
        <w:snapToGrid w:val="0"/>
        <w:spacing w:before="0" w:beforeAutospacing="0" w:after="0" w:afterAutospacing="0" w:line="360" w:lineRule="auto"/>
        <w:jc w:val="both"/>
        <w:rPr>
          <w:rFonts w:ascii="Book Antiqua" w:hAnsi="Book Antiqua"/>
          <w:color w:val="000000" w:themeColor="text1"/>
          <w:lang w:val="en-US"/>
        </w:rPr>
      </w:pPr>
    </w:p>
    <w:p w14:paraId="797DCD8E" w14:textId="77777777" w:rsidR="00AD4DEC" w:rsidRPr="00CC34A3" w:rsidRDefault="00AD4DEC" w:rsidP="00CC34A3">
      <w:pPr>
        <w:pStyle w:val="Title3"/>
        <w:adjustRightInd w:val="0"/>
        <w:snapToGrid w:val="0"/>
        <w:spacing w:before="0" w:beforeAutospacing="0" w:after="0" w:afterAutospacing="0" w:line="360" w:lineRule="auto"/>
        <w:jc w:val="both"/>
        <w:rPr>
          <w:rFonts w:ascii="Book Antiqua" w:hAnsi="Book Antiqua"/>
          <w:color w:val="000000" w:themeColor="text1"/>
          <w:lang w:val="en-US"/>
        </w:rPr>
      </w:pPr>
      <w:r w:rsidRPr="00CC34A3">
        <w:rPr>
          <w:rFonts w:ascii="Book Antiqua" w:hAnsi="Book Antiqua"/>
          <w:noProof/>
          <w:color w:val="000000" w:themeColor="text1"/>
          <w:lang w:val="en-US" w:eastAsia="zh-CN"/>
        </w:rPr>
        <w:drawing>
          <wp:inline distT="0" distB="0" distL="0" distR="0" wp14:anchorId="53D89939" wp14:editId="377AFAAC">
            <wp:extent cx="5211174" cy="1800225"/>
            <wp:effectExtent l="0" t="0" r="8890" b="0"/>
            <wp:docPr id="6" name="Picture 6" descr="D:\Users\predrag.sikiric\Documents\amic radovi\TIFF 8 slika od 15.5.2018\Fig.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predrag.sikiric\Documents\amic radovi\TIFF 8 slika od 15.5.2018\Fig. 6.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28173" cy="1806097"/>
                    </a:xfrm>
                    <a:prstGeom prst="rect">
                      <a:avLst/>
                    </a:prstGeom>
                    <a:noFill/>
                    <a:ln>
                      <a:noFill/>
                    </a:ln>
                  </pic:spPr>
                </pic:pic>
              </a:graphicData>
            </a:graphic>
          </wp:inline>
        </w:drawing>
      </w:r>
    </w:p>
    <w:p w14:paraId="48229291" w14:textId="33CF59CD" w:rsidR="00AD4DEC" w:rsidRPr="00CC34A3" w:rsidRDefault="0035799C" w:rsidP="00CC34A3">
      <w:pPr>
        <w:pStyle w:val="Title3"/>
        <w:adjustRightInd w:val="0"/>
        <w:snapToGrid w:val="0"/>
        <w:spacing w:before="0" w:beforeAutospacing="0" w:after="0" w:afterAutospacing="0" w:line="360" w:lineRule="auto"/>
        <w:jc w:val="both"/>
        <w:rPr>
          <w:rFonts w:ascii="Book Antiqua" w:hAnsi="Book Antiqua"/>
          <w:b/>
          <w:color w:val="000000" w:themeColor="text1"/>
          <w:lang w:val="en-US"/>
        </w:rPr>
      </w:pPr>
      <w:r w:rsidRPr="00CC34A3">
        <w:rPr>
          <w:rFonts w:ascii="Book Antiqua" w:hAnsi="Book Antiqua"/>
          <w:b/>
          <w:color w:val="000000" w:themeColor="text1"/>
          <w:lang w:val="en-US"/>
        </w:rPr>
        <w:t xml:space="preserve">Figure 6 The characteristic appearance of inferior anterior pancreaticoduodenal and superior mesenteric vein presentation in superior anterior pancreaticoduodenal vein-ligated rats at 24 h ligation time. </w:t>
      </w:r>
      <w:r w:rsidR="00AD4DEC" w:rsidRPr="00CC34A3">
        <w:rPr>
          <w:rFonts w:ascii="Book Antiqua" w:hAnsi="Book Antiqua"/>
          <w:color w:val="000000" w:themeColor="text1"/>
          <w:lang w:val="en-US"/>
        </w:rPr>
        <w:t>Control, left (C). Congested inferior anterior pancreaticoduodenal and superior mesenteric vein presentation along with duodenal serosa and arcade vessels. during and imm</w:t>
      </w:r>
      <w:r w:rsidR="00BB5159" w:rsidRPr="00CC34A3">
        <w:rPr>
          <w:rFonts w:ascii="Book Antiqua" w:hAnsi="Book Antiqua"/>
          <w:color w:val="000000" w:themeColor="text1"/>
          <w:lang w:val="en-US"/>
        </w:rPr>
        <w:t>ediately after medication bath [</w:t>
      </w:r>
      <w:r w:rsidR="00AD4DEC" w:rsidRPr="00CC34A3">
        <w:rPr>
          <w:rFonts w:ascii="Book Antiqua" w:hAnsi="Book Antiqua"/>
          <w:color w:val="000000" w:themeColor="text1"/>
          <w:lang w:val="en-US"/>
        </w:rPr>
        <w:t>saline (</w:t>
      </w:r>
      <w:r w:rsidR="00BB5159" w:rsidRPr="00CC34A3">
        <w:rPr>
          <w:rFonts w:ascii="Book Antiqua" w:hAnsi="Book Antiqua"/>
          <w:color w:val="000000" w:themeColor="text1"/>
          <w:lang w:val="en-US"/>
        </w:rPr>
        <w:t>C</w:t>
      </w:r>
      <w:r w:rsidR="00AD4DEC" w:rsidRPr="00CC34A3">
        <w:rPr>
          <w:rFonts w:ascii="Book Antiqua" w:hAnsi="Book Antiqua"/>
          <w:color w:val="000000" w:themeColor="text1"/>
          <w:lang w:val="en-US"/>
        </w:rPr>
        <w:t>); BPC 157, right (B)</w:t>
      </w:r>
      <w:r w:rsidR="00BB5159" w:rsidRPr="00CC34A3">
        <w:rPr>
          <w:rFonts w:ascii="Book Antiqua" w:hAnsi="Book Antiqua"/>
          <w:color w:val="000000" w:themeColor="text1"/>
          <w:lang w:val="en-US"/>
        </w:rPr>
        <w:t>]</w:t>
      </w:r>
      <w:r w:rsidR="00AD4DEC" w:rsidRPr="00CC34A3">
        <w:rPr>
          <w:rFonts w:ascii="Book Antiqua" w:hAnsi="Book Antiqua"/>
          <w:color w:val="000000" w:themeColor="text1"/>
          <w:lang w:val="en-US"/>
        </w:rPr>
        <w:t>. Presentation close to normal, unlike congested inferior anterior pancreaticoduodenal and superior mesenteric vein presentation along with duodenal serosa and arcade vessels in controls.</w:t>
      </w:r>
      <w:r w:rsidR="00BB5159" w:rsidRPr="00CC34A3">
        <w:rPr>
          <w:rFonts w:ascii="Book Antiqua" w:hAnsi="Book Antiqua"/>
          <w:color w:val="000000" w:themeColor="text1"/>
          <w:lang w:val="en-US"/>
        </w:rPr>
        <w:t xml:space="preserve"> </w:t>
      </w:r>
      <w:bookmarkStart w:id="137" w:name="OLE_LINK12"/>
      <w:bookmarkStart w:id="138" w:name="OLE_LINK13"/>
      <w:r w:rsidR="00BB5159" w:rsidRPr="00CC34A3">
        <w:rPr>
          <w:rFonts w:ascii="Book Antiqua" w:hAnsi="Book Antiqua"/>
          <w:color w:val="000000" w:themeColor="text1"/>
          <w:lang w:val="en-US"/>
        </w:rPr>
        <w:t>C: Control; B: BPC 157.</w:t>
      </w:r>
      <w:bookmarkEnd w:id="137"/>
      <w:bookmarkEnd w:id="138"/>
    </w:p>
    <w:p w14:paraId="09E2EA5F" w14:textId="77777777" w:rsidR="00BB7453" w:rsidRPr="00CC34A3" w:rsidRDefault="00BB7453" w:rsidP="00CC34A3">
      <w:pPr>
        <w:adjustRightInd w:val="0"/>
        <w:snapToGrid w:val="0"/>
        <w:spacing w:after="0" w:line="360" w:lineRule="auto"/>
        <w:rPr>
          <w:rFonts w:ascii="Book Antiqua" w:eastAsia="Times New Roman" w:hAnsi="Book Antiqua" w:cs="Times New Roman"/>
          <w:color w:val="000000" w:themeColor="text1"/>
          <w:sz w:val="24"/>
          <w:szCs w:val="24"/>
          <w:lang w:val="en-US" w:eastAsia="hr-HR"/>
        </w:rPr>
      </w:pPr>
      <w:r w:rsidRPr="00CC34A3">
        <w:rPr>
          <w:rFonts w:ascii="Book Antiqua" w:hAnsi="Book Antiqua"/>
          <w:color w:val="000000" w:themeColor="text1"/>
          <w:sz w:val="24"/>
          <w:szCs w:val="24"/>
          <w:lang w:val="en-US"/>
        </w:rPr>
        <w:br w:type="page"/>
      </w:r>
    </w:p>
    <w:p w14:paraId="214CE097" w14:textId="447C0A34" w:rsidR="00AD4DEC" w:rsidRPr="00CC34A3" w:rsidRDefault="008311D1" w:rsidP="00CC34A3">
      <w:pPr>
        <w:widowControl w:val="0"/>
        <w:autoSpaceDE w:val="0"/>
        <w:autoSpaceDN w:val="0"/>
        <w:adjustRightInd w:val="0"/>
        <w:snapToGrid w:val="0"/>
        <w:spacing w:after="0" w:line="360" w:lineRule="auto"/>
        <w:jc w:val="both"/>
        <w:rPr>
          <w:rFonts w:ascii="Book Antiqua" w:hAnsi="Book Antiqua" w:cs="Times New Roman"/>
          <w:color w:val="000000" w:themeColor="text1"/>
          <w:sz w:val="24"/>
          <w:szCs w:val="24"/>
          <w:lang w:val="en-US"/>
        </w:rPr>
      </w:pPr>
      <w:r w:rsidRPr="00CC34A3">
        <w:rPr>
          <w:rFonts w:ascii="Book Antiqua" w:hAnsi="Book Antiqua"/>
          <w:noProof/>
          <w:sz w:val="24"/>
          <w:szCs w:val="24"/>
          <w:lang w:val="en-US" w:eastAsia="zh-CN"/>
        </w:rPr>
        <w:lastRenderedPageBreak/>
        <mc:AlternateContent>
          <mc:Choice Requires="wps">
            <w:drawing>
              <wp:anchor distT="0" distB="0" distL="114300" distR="114300" simplePos="0" relativeHeight="251671552" behindDoc="0" locked="0" layoutInCell="1" allowOverlap="1" wp14:anchorId="7E4C0007" wp14:editId="25D2B4C4">
                <wp:simplePos x="0" y="0"/>
                <wp:positionH relativeFrom="column">
                  <wp:posOffset>2923540</wp:posOffset>
                </wp:positionH>
                <wp:positionV relativeFrom="paragraph">
                  <wp:posOffset>1960245</wp:posOffset>
                </wp:positionV>
                <wp:extent cx="457200" cy="23114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457200" cy="231140"/>
                        </a:xfrm>
                        <a:prstGeom prst="rect">
                          <a:avLst/>
                        </a:prstGeom>
                        <a:solidFill>
                          <a:schemeClr val="bg1"/>
                        </a:solidFill>
                        <a:ln>
                          <a:noFill/>
                        </a:ln>
                        <a:effectLst/>
                      </wps:spPr>
                      <wps:txbx>
                        <w:txbxContent>
                          <w:p w14:paraId="4DE7AF6E" w14:textId="6772F4EB" w:rsidR="00BB7453" w:rsidRPr="00100AFC" w:rsidRDefault="00BB7453" w:rsidP="008311D1">
                            <w:pPr>
                              <w:pStyle w:val="Title3"/>
                              <w:adjustRightInd w:val="0"/>
                              <w:snapToGrid w:val="0"/>
                              <w:spacing w:line="360" w:lineRule="auto"/>
                              <w:jc w:val="center"/>
                              <w:outlineLvl w:val="0"/>
                              <w:rPr>
                                <w:rFonts w:ascii="Book Antiqua" w:hAnsi="Book Antiqua"/>
                                <w:b/>
                                <w:bCs/>
                                <w:color w:val="000000" w:themeColor="text1"/>
                              </w:rPr>
                            </w:pPr>
                            <w:r>
                              <w:rPr>
                                <w:rFonts w:ascii="Book Antiqua" w:hAnsi="Book Antiqua"/>
                                <w:bCs/>
                                <w:color w:val="000000" w:themeColor="text1"/>
                                <w:lang w:val="en-US"/>
                              </w:rPr>
                              <w:t>D</w:t>
                            </w:r>
                            <w:r w:rsidRPr="00BB7453">
                              <w:rPr>
                                <w:rFonts w:ascii="Book Antiqua" w:hAnsi="Book Antiqua"/>
                                <w:bCs/>
                                <w:noProof/>
                                <w:color w:val="000000" w:themeColor="text1"/>
                                <w:lang w:val="en-US" w:eastAsia="zh-CN"/>
                              </w:rPr>
                              <w:drawing>
                                <wp:inline distT="0" distB="0" distL="0" distR="0" wp14:anchorId="16144317" wp14:editId="225E7F28">
                                  <wp:extent cx="389255" cy="2413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9255" cy="24130"/>
                                          </a:xfrm>
                                          <a:prstGeom prst="rect">
                                            <a:avLst/>
                                          </a:prstGeom>
                                        </pic:spPr>
                                      </pic:pic>
                                    </a:graphicData>
                                  </a:graphic>
                                </wp:inline>
                              </w:drawing>
                            </w:r>
                            <w:r w:rsidRPr="00BB7453">
                              <w:rPr>
                                <w:rFonts w:ascii="Book Antiqua" w:hAnsi="Book Antiqua"/>
                                <w:bCs/>
                                <w:noProof/>
                                <w:color w:val="000000" w:themeColor="text1"/>
                                <w:lang w:val="en-US" w:eastAsia="zh-CN"/>
                              </w:rPr>
                              <w:drawing>
                                <wp:inline distT="0" distB="0" distL="0" distR="0" wp14:anchorId="1E40E50B" wp14:editId="3A9FA3B9">
                                  <wp:extent cx="389255" cy="2413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9255" cy="241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C0007" id="文本框 29" o:spid="_x0000_s1028" type="#_x0000_t202" style="position:absolute;left:0;text-align:left;margin-left:230.2pt;margin-top:154.35pt;width:36pt;height:18.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" fillcolor="white [3212]" stroked="f">
                <v:textbox>
                  <w:txbxContent>
                    <w:p w14:paraId="4DE7AF6E" w14:textId="6772F4EB" w:rsidR="00BB7453" w:rsidRPr="00100AFC" w:rsidRDefault="00BB7453" w:rsidP="008311D1">
                      <w:pPr>
                        <w:pStyle w:val="Title3"/>
                        <w:adjustRightInd w:val="0"/>
                        <w:snapToGrid w:val="0"/>
                        <w:spacing w:line="360" w:lineRule="auto"/>
                        <w:jc w:val="center"/>
                        <w:outlineLvl w:val="0"/>
                        <w:rPr>
                          <w:rFonts w:ascii="Book Antiqua" w:hAnsi="Book Antiqua"/>
                          <w:b/>
                          <w:bCs/>
                          <w:color w:val="000000" w:themeColor="text1"/>
                        </w:rPr>
                      </w:pPr>
                      <w:r>
                        <w:rPr>
                          <w:rFonts w:ascii="Book Antiqua" w:hAnsi="Book Antiqua"/>
                          <w:bCs/>
                          <w:color w:val="000000" w:themeColor="text1"/>
                          <w:lang w:val="en-US"/>
                        </w:rPr>
                        <w:t>D</w:t>
                      </w:r>
                      <w:r w:rsidRPr="00BB7453">
                        <w:rPr>
                          <w:rFonts w:ascii="Book Antiqua" w:hAnsi="Book Antiqua"/>
                          <w:bCs/>
                          <w:noProof/>
                          <w:color w:val="000000" w:themeColor="text1"/>
                          <w:lang w:val="en-US" w:eastAsia="zh-CN"/>
                        </w:rPr>
                        <w:drawing>
                          <wp:inline distT="0" distB="0" distL="0" distR="0" wp14:anchorId="16144317" wp14:editId="225E7F28">
                            <wp:extent cx="389255" cy="2413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9255" cy="24130"/>
                                    </a:xfrm>
                                    <a:prstGeom prst="rect">
                                      <a:avLst/>
                                    </a:prstGeom>
                                  </pic:spPr>
                                </pic:pic>
                              </a:graphicData>
                            </a:graphic>
                          </wp:inline>
                        </w:drawing>
                      </w:r>
                      <w:r w:rsidRPr="00BB7453">
                        <w:rPr>
                          <w:rFonts w:ascii="Book Antiqua" w:hAnsi="Book Antiqua"/>
                          <w:bCs/>
                          <w:noProof/>
                          <w:color w:val="000000" w:themeColor="text1"/>
                          <w:lang w:val="en-US" w:eastAsia="zh-CN"/>
                        </w:rPr>
                        <w:drawing>
                          <wp:inline distT="0" distB="0" distL="0" distR="0" wp14:anchorId="1E40E50B" wp14:editId="3A9FA3B9">
                            <wp:extent cx="389255" cy="2413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9255" cy="24130"/>
                                    </a:xfrm>
                                    <a:prstGeom prst="rect">
                                      <a:avLst/>
                                    </a:prstGeom>
                                  </pic:spPr>
                                </pic:pic>
                              </a:graphicData>
                            </a:graphic>
                          </wp:inline>
                        </w:drawing>
                      </w:r>
                    </w:p>
                  </w:txbxContent>
                </v:textbox>
              </v:shape>
            </w:pict>
          </mc:Fallback>
        </mc:AlternateContent>
      </w:r>
      <w:r w:rsidR="00BB7453" w:rsidRPr="00CC34A3">
        <w:rPr>
          <w:rFonts w:ascii="Book Antiqua" w:hAnsi="Book Antiqua"/>
          <w:noProof/>
          <w:sz w:val="24"/>
          <w:szCs w:val="24"/>
          <w:lang w:val="en-US" w:eastAsia="zh-CN"/>
        </w:rPr>
        <mc:AlternateContent>
          <mc:Choice Requires="wps">
            <w:drawing>
              <wp:anchor distT="0" distB="0" distL="114300" distR="114300" simplePos="0" relativeHeight="251675648" behindDoc="0" locked="0" layoutInCell="1" allowOverlap="1" wp14:anchorId="45EEF6E0" wp14:editId="2E84C88E">
                <wp:simplePos x="0" y="0"/>
                <wp:positionH relativeFrom="column">
                  <wp:posOffset>2926080</wp:posOffset>
                </wp:positionH>
                <wp:positionV relativeFrom="paragraph">
                  <wp:posOffset>6303645</wp:posOffset>
                </wp:positionV>
                <wp:extent cx="572135" cy="231140"/>
                <wp:effectExtent l="0" t="0" r="12065" b="0"/>
                <wp:wrapNone/>
                <wp:docPr id="35" name="文本框 35"/>
                <wp:cNvGraphicFramePr/>
                <a:graphic xmlns:a="http://schemas.openxmlformats.org/drawingml/2006/main">
                  <a:graphicData uri="http://schemas.microsoft.com/office/word/2010/wordprocessingShape">
                    <wps:wsp>
                      <wps:cNvSpPr txBox="1"/>
                      <wps:spPr>
                        <a:xfrm>
                          <a:off x="0" y="0"/>
                          <a:ext cx="572135" cy="231140"/>
                        </a:xfrm>
                        <a:prstGeom prst="rect">
                          <a:avLst/>
                        </a:prstGeom>
                        <a:solidFill>
                          <a:schemeClr val="bg1"/>
                        </a:solidFill>
                        <a:ln>
                          <a:noFill/>
                        </a:ln>
                        <a:effectLst/>
                      </wps:spPr>
                      <wps:txbx>
                        <w:txbxContent>
                          <w:p w14:paraId="4462FDC5" w14:textId="25BAA59B" w:rsidR="00BB7453" w:rsidRPr="00100AFC" w:rsidRDefault="00BB7453" w:rsidP="00BB7453">
                            <w:pPr>
                              <w:pStyle w:val="Title3"/>
                              <w:adjustRightInd w:val="0"/>
                              <w:snapToGrid w:val="0"/>
                              <w:spacing w:line="360" w:lineRule="auto"/>
                              <w:outlineLvl w:val="0"/>
                              <w:rPr>
                                <w:rFonts w:ascii="Book Antiqua" w:hAnsi="Book Antiqua"/>
                                <w:b/>
                                <w:bCs/>
                                <w:color w:val="000000" w:themeColor="text1"/>
                              </w:rPr>
                            </w:pPr>
                            <w:r>
                              <w:rPr>
                                <w:rFonts w:ascii="Book Antiqua" w:hAnsi="Book Antiqua"/>
                                <w:bCs/>
                                <w:color w:val="000000" w:themeColor="text1"/>
                                <w:lang w:val="en-US"/>
                              </w:rPr>
                              <w:t>F</w:t>
                            </w:r>
                            <w:r w:rsidRPr="00BB7453">
                              <w:rPr>
                                <w:rFonts w:ascii="Book Antiqua" w:hAnsi="Book Antiqua"/>
                                <w:bCs/>
                                <w:noProof/>
                                <w:color w:val="000000" w:themeColor="text1"/>
                                <w:lang w:val="en-US" w:eastAsia="zh-CN"/>
                              </w:rPr>
                              <w:drawing>
                                <wp:inline distT="0" distB="0" distL="0" distR="0" wp14:anchorId="4CDD524C" wp14:editId="61AB14EF">
                                  <wp:extent cx="389255" cy="2413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9255" cy="24130"/>
                                          </a:xfrm>
                                          <a:prstGeom prst="rect">
                                            <a:avLst/>
                                          </a:prstGeom>
                                        </pic:spPr>
                                      </pic:pic>
                                    </a:graphicData>
                                  </a:graphic>
                                </wp:inline>
                              </w:drawing>
                            </w:r>
                            <w:r w:rsidRPr="00BB7453">
                              <w:rPr>
                                <w:rFonts w:ascii="Book Antiqua" w:hAnsi="Book Antiqua"/>
                                <w:bCs/>
                                <w:noProof/>
                                <w:color w:val="000000" w:themeColor="text1"/>
                                <w:lang w:val="en-US" w:eastAsia="zh-CN"/>
                              </w:rPr>
                              <w:drawing>
                                <wp:inline distT="0" distB="0" distL="0" distR="0" wp14:anchorId="7B4F012B" wp14:editId="20ECC17D">
                                  <wp:extent cx="389255" cy="2413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9255" cy="241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EF6E0" id="文本框 35" o:spid="_x0000_s1029" type="#_x0000_t202" style="position:absolute;left:0;text-align:left;margin-left:230.4pt;margin-top:496.35pt;width:45.05pt;height:18.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" fillcolor="white [3212]" stroked="f">
                <v:textbox>
                  <w:txbxContent>
                    <w:p w14:paraId="4462FDC5" w14:textId="25BAA59B" w:rsidR="00BB7453" w:rsidRPr="00100AFC" w:rsidRDefault="00BB7453" w:rsidP="00BB7453">
                      <w:pPr>
                        <w:pStyle w:val="Title3"/>
                        <w:adjustRightInd w:val="0"/>
                        <w:snapToGrid w:val="0"/>
                        <w:spacing w:line="360" w:lineRule="auto"/>
                        <w:outlineLvl w:val="0"/>
                        <w:rPr>
                          <w:rFonts w:ascii="Book Antiqua" w:hAnsi="Book Antiqua"/>
                          <w:b/>
                          <w:bCs/>
                          <w:color w:val="000000" w:themeColor="text1"/>
                        </w:rPr>
                      </w:pPr>
                      <w:r>
                        <w:rPr>
                          <w:rFonts w:ascii="Book Antiqua" w:hAnsi="Book Antiqua"/>
                          <w:bCs/>
                          <w:color w:val="000000" w:themeColor="text1"/>
                          <w:lang w:val="en-US"/>
                        </w:rPr>
                        <w:t>F</w:t>
                      </w:r>
                      <w:r w:rsidRPr="00BB7453">
                        <w:rPr>
                          <w:rFonts w:ascii="Book Antiqua" w:hAnsi="Book Antiqua"/>
                          <w:bCs/>
                          <w:noProof/>
                          <w:color w:val="000000" w:themeColor="text1"/>
                          <w:lang w:val="en-US" w:eastAsia="zh-CN"/>
                        </w:rPr>
                        <w:drawing>
                          <wp:inline distT="0" distB="0" distL="0" distR="0" wp14:anchorId="4CDD524C" wp14:editId="61AB14EF">
                            <wp:extent cx="389255" cy="2413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9255" cy="24130"/>
                                    </a:xfrm>
                                    <a:prstGeom prst="rect">
                                      <a:avLst/>
                                    </a:prstGeom>
                                  </pic:spPr>
                                </pic:pic>
                              </a:graphicData>
                            </a:graphic>
                          </wp:inline>
                        </w:drawing>
                      </w:r>
                      <w:r w:rsidRPr="00BB7453">
                        <w:rPr>
                          <w:rFonts w:ascii="Book Antiqua" w:hAnsi="Book Antiqua"/>
                          <w:bCs/>
                          <w:noProof/>
                          <w:color w:val="000000" w:themeColor="text1"/>
                          <w:lang w:val="en-US" w:eastAsia="zh-CN"/>
                        </w:rPr>
                        <w:drawing>
                          <wp:inline distT="0" distB="0" distL="0" distR="0" wp14:anchorId="7B4F012B" wp14:editId="20ECC17D">
                            <wp:extent cx="389255" cy="2413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9255" cy="24130"/>
                                    </a:xfrm>
                                    <a:prstGeom prst="rect">
                                      <a:avLst/>
                                    </a:prstGeom>
                                  </pic:spPr>
                                </pic:pic>
                              </a:graphicData>
                            </a:graphic>
                          </wp:inline>
                        </w:drawing>
                      </w:r>
                    </w:p>
                  </w:txbxContent>
                </v:textbox>
              </v:shape>
            </w:pict>
          </mc:Fallback>
        </mc:AlternateContent>
      </w:r>
      <w:r w:rsidR="00BB7453" w:rsidRPr="00CC34A3">
        <w:rPr>
          <w:rFonts w:ascii="Book Antiqua" w:hAnsi="Book Antiqua"/>
          <w:noProof/>
          <w:sz w:val="24"/>
          <w:szCs w:val="24"/>
          <w:lang w:val="en-US" w:eastAsia="zh-CN"/>
        </w:rPr>
        <mc:AlternateContent>
          <mc:Choice Requires="wps">
            <w:drawing>
              <wp:anchor distT="0" distB="0" distL="114300" distR="114300" simplePos="0" relativeHeight="251673600" behindDoc="0" locked="0" layoutInCell="1" allowOverlap="1" wp14:anchorId="4AEE28D6" wp14:editId="2A446A8E">
                <wp:simplePos x="0" y="0"/>
                <wp:positionH relativeFrom="column">
                  <wp:posOffset>2925445</wp:posOffset>
                </wp:positionH>
                <wp:positionV relativeFrom="paragraph">
                  <wp:posOffset>4129405</wp:posOffset>
                </wp:positionV>
                <wp:extent cx="572135" cy="231140"/>
                <wp:effectExtent l="0" t="0" r="12065" b="0"/>
                <wp:wrapNone/>
                <wp:docPr id="32" name="文本框 32"/>
                <wp:cNvGraphicFramePr/>
                <a:graphic xmlns:a="http://schemas.openxmlformats.org/drawingml/2006/main">
                  <a:graphicData uri="http://schemas.microsoft.com/office/word/2010/wordprocessingShape">
                    <wps:wsp>
                      <wps:cNvSpPr txBox="1"/>
                      <wps:spPr>
                        <a:xfrm>
                          <a:off x="0" y="0"/>
                          <a:ext cx="572135" cy="231140"/>
                        </a:xfrm>
                        <a:prstGeom prst="rect">
                          <a:avLst/>
                        </a:prstGeom>
                        <a:solidFill>
                          <a:schemeClr val="bg1"/>
                        </a:solidFill>
                        <a:ln>
                          <a:noFill/>
                        </a:ln>
                        <a:effectLst/>
                      </wps:spPr>
                      <wps:txbx>
                        <w:txbxContent>
                          <w:p w14:paraId="302AA866" w14:textId="1966A55F" w:rsidR="00BB7453" w:rsidRPr="00100AFC" w:rsidRDefault="00BB7453" w:rsidP="00BB7453">
                            <w:pPr>
                              <w:pStyle w:val="Title3"/>
                              <w:adjustRightInd w:val="0"/>
                              <w:snapToGrid w:val="0"/>
                              <w:spacing w:line="360" w:lineRule="auto"/>
                              <w:outlineLvl w:val="0"/>
                              <w:rPr>
                                <w:rFonts w:ascii="Book Antiqua" w:hAnsi="Book Antiqua"/>
                                <w:b/>
                                <w:bCs/>
                                <w:color w:val="000000" w:themeColor="text1"/>
                              </w:rPr>
                            </w:pPr>
                            <w:r>
                              <w:rPr>
                                <w:rFonts w:ascii="Book Antiqua" w:hAnsi="Book Antiqua"/>
                                <w:bCs/>
                                <w:color w:val="000000" w:themeColor="text1"/>
                                <w:lang w:val="en-US"/>
                              </w:rPr>
                              <w:t>E</w:t>
                            </w:r>
                            <w:r w:rsidRPr="00BB7453">
                              <w:rPr>
                                <w:rFonts w:ascii="Book Antiqua" w:hAnsi="Book Antiqua"/>
                                <w:bCs/>
                                <w:noProof/>
                                <w:color w:val="000000" w:themeColor="text1"/>
                                <w:lang w:val="en-US" w:eastAsia="zh-CN"/>
                              </w:rPr>
                              <w:drawing>
                                <wp:inline distT="0" distB="0" distL="0" distR="0" wp14:anchorId="44F73308" wp14:editId="5A6DA0C8">
                                  <wp:extent cx="389255" cy="2413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89255" cy="24130"/>
                                          </a:xfrm>
                                          <a:prstGeom prst="rect">
                                            <a:avLst/>
                                          </a:prstGeom>
                                        </pic:spPr>
                                      </pic:pic>
                                    </a:graphicData>
                                  </a:graphic>
                                </wp:inline>
                              </w:drawing>
                            </w:r>
                            <w:r w:rsidRPr="00BB7453">
                              <w:rPr>
                                <w:rFonts w:ascii="Book Antiqua" w:hAnsi="Book Antiqua"/>
                                <w:bCs/>
                                <w:noProof/>
                                <w:color w:val="000000" w:themeColor="text1"/>
                                <w:lang w:val="en-US" w:eastAsia="zh-CN"/>
                              </w:rPr>
                              <w:drawing>
                                <wp:inline distT="0" distB="0" distL="0" distR="0" wp14:anchorId="3ABE018E" wp14:editId="264E89D1">
                                  <wp:extent cx="389255" cy="2413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9255" cy="241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E28D6" id="文本框 32" o:spid="_x0000_s1030" type="#_x0000_t202" style="position:absolute;left:0;text-align:left;margin-left:230.35pt;margin-top:325.15pt;width:45.05pt;height:18.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" fillcolor="white [3212]" stroked="f">
                <v:textbox>
                  <w:txbxContent>
                    <w:p w14:paraId="302AA866" w14:textId="1966A55F" w:rsidR="00BB7453" w:rsidRPr="00100AFC" w:rsidRDefault="00BB7453" w:rsidP="00BB7453">
                      <w:pPr>
                        <w:pStyle w:val="Title3"/>
                        <w:adjustRightInd w:val="0"/>
                        <w:snapToGrid w:val="0"/>
                        <w:spacing w:line="360" w:lineRule="auto"/>
                        <w:outlineLvl w:val="0"/>
                        <w:rPr>
                          <w:rFonts w:ascii="Book Antiqua" w:hAnsi="Book Antiqua"/>
                          <w:b/>
                          <w:bCs/>
                          <w:color w:val="000000" w:themeColor="text1"/>
                        </w:rPr>
                      </w:pPr>
                      <w:r>
                        <w:rPr>
                          <w:rFonts w:ascii="Book Antiqua" w:hAnsi="Book Antiqua"/>
                          <w:bCs/>
                          <w:color w:val="000000" w:themeColor="text1"/>
                          <w:lang w:val="en-US"/>
                        </w:rPr>
                        <w:t>E</w:t>
                      </w:r>
                      <w:r w:rsidRPr="00BB7453">
                        <w:rPr>
                          <w:rFonts w:ascii="Book Antiqua" w:hAnsi="Book Antiqua"/>
                          <w:bCs/>
                          <w:noProof/>
                          <w:color w:val="000000" w:themeColor="text1"/>
                          <w:lang w:val="en-US" w:eastAsia="zh-CN"/>
                        </w:rPr>
                        <w:drawing>
                          <wp:inline distT="0" distB="0" distL="0" distR="0" wp14:anchorId="44F73308" wp14:editId="5A6DA0C8">
                            <wp:extent cx="389255" cy="2413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89255" cy="24130"/>
                                    </a:xfrm>
                                    <a:prstGeom prst="rect">
                                      <a:avLst/>
                                    </a:prstGeom>
                                  </pic:spPr>
                                </pic:pic>
                              </a:graphicData>
                            </a:graphic>
                          </wp:inline>
                        </w:drawing>
                      </w:r>
                      <w:r w:rsidRPr="00BB7453">
                        <w:rPr>
                          <w:rFonts w:ascii="Book Antiqua" w:hAnsi="Book Antiqua"/>
                          <w:bCs/>
                          <w:noProof/>
                          <w:color w:val="000000" w:themeColor="text1"/>
                          <w:lang w:val="en-US" w:eastAsia="zh-CN"/>
                        </w:rPr>
                        <w:drawing>
                          <wp:inline distT="0" distB="0" distL="0" distR="0" wp14:anchorId="3ABE018E" wp14:editId="264E89D1">
                            <wp:extent cx="389255" cy="2413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9255" cy="24130"/>
                                    </a:xfrm>
                                    <a:prstGeom prst="rect">
                                      <a:avLst/>
                                    </a:prstGeom>
                                  </pic:spPr>
                                </pic:pic>
                              </a:graphicData>
                            </a:graphic>
                          </wp:inline>
                        </w:drawing>
                      </w:r>
                    </w:p>
                  </w:txbxContent>
                </v:textbox>
              </v:shape>
            </w:pict>
          </mc:Fallback>
        </mc:AlternateContent>
      </w:r>
      <w:r w:rsidR="00BB7453" w:rsidRPr="00CC34A3">
        <w:rPr>
          <w:rFonts w:ascii="Book Antiqua" w:hAnsi="Book Antiqua"/>
          <w:noProof/>
          <w:sz w:val="24"/>
          <w:szCs w:val="24"/>
          <w:lang w:val="en-US" w:eastAsia="zh-CN"/>
        </w:rPr>
        <mc:AlternateContent>
          <mc:Choice Requires="wps">
            <w:drawing>
              <wp:anchor distT="0" distB="0" distL="114300" distR="114300" simplePos="0" relativeHeight="251667456" behindDoc="0" locked="0" layoutInCell="1" allowOverlap="1" wp14:anchorId="5126A761" wp14:editId="21360F8C">
                <wp:simplePos x="0" y="0"/>
                <wp:positionH relativeFrom="column">
                  <wp:posOffset>65405</wp:posOffset>
                </wp:positionH>
                <wp:positionV relativeFrom="paragraph">
                  <wp:posOffset>6189345</wp:posOffset>
                </wp:positionV>
                <wp:extent cx="572135" cy="332740"/>
                <wp:effectExtent l="0" t="0" r="12065" b="0"/>
                <wp:wrapNone/>
                <wp:docPr id="19" name="文本框 19"/>
                <wp:cNvGraphicFramePr/>
                <a:graphic xmlns:a="http://schemas.openxmlformats.org/drawingml/2006/main">
                  <a:graphicData uri="http://schemas.microsoft.com/office/word/2010/wordprocessingShape">
                    <wps:wsp>
                      <wps:cNvSpPr txBox="1"/>
                      <wps:spPr>
                        <a:xfrm>
                          <a:off x="0" y="0"/>
                          <a:ext cx="572135" cy="332740"/>
                        </a:xfrm>
                        <a:prstGeom prst="rect">
                          <a:avLst/>
                        </a:prstGeom>
                        <a:solidFill>
                          <a:schemeClr val="bg1"/>
                        </a:solidFill>
                        <a:ln>
                          <a:noFill/>
                        </a:ln>
                        <a:effectLst/>
                      </wps:spPr>
                      <wps:txbx>
                        <w:txbxContent>
                          <w:p w14:paraId="0F608291" w14:textId="4EBED22A" w:rsidR="00BB7453" w:rsidRPr="00100AFC" w:rsidRDefault="00BB7453" w:rsidP="00BB7453">
                            <w:pPr>
                              <w:pStyle w:val="Title3"/>
                              <w:adjustRightInd w:val="0"/>
                              <w:snapToGrid w:val="0"/>
                              <w:spacing w:line="360" w:lineRule="auto"/>
                              <w:outlineLvl w:val="0"/>
                              <w:rPr>
                                <w:rFonts w:ascii="Book Antiqua" w:hAnsi="Book Antiqua"/>
                                <w:b/>
                                <w:bCs/>
                                <w:color w:val="000000" w:themeColor="text1"/>
                              </w:rPr>
                            </w:pPr>
                            <w:r>
                              <w:rPr>
                                <w:rFonts w:ascii="Book Antiqua" w:hAnsi="Book Antiqua"/>
                                <w:bCs/>
                                <w:color w:val="000000" w:themeColor="text1"/>
                                <w:lang w:val="en-US"/>
                              </w:rPr>
                              <w:t>C</w:t>
                            </w:r>
                            <w:r>
                              <w:rPr>
                                <w:noProof/>
                                <w:lang w:val="en-US" w:eastAsia="zh-CN"/>
                              </w:rPr>
                              <w:drawing>
                                <wp:inline distT="0" distB="0" distL="0" distR="0" wp14:anchorId="099162BD" wp14:editId="29859918">
                                  <wp:extent cx="361950" cy="241300"/>
                                  <wp:effectExtent l="0" t="0" r="0" b="1270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1950" cy="241300"/>
                                          </a:xfrm>
                                          <a:prstGeom prst="rect">
                                            <a:avLst/>
                                          </a:prstGeom>
                                        </pic:spPr>
                                      </pic:pic>
                                    </a:graphicData>
                                  </a:graphic>
                                </wp:inline>
                              </w:drawing>
                            </w:r>
                            <w:r>
                              <w:rPr>
                                <w:noProof/>
                                <w:lang w:val="en-US" w:eastAsia="zh-CN"/>
                              </w:rPr>
                              <w:drawing>
                                <wp:inline distT="0" distB="0" distL="0" distR="0" wp14:anchorId="63863364" wp14:editId="2E6E67CF">
                                  <wp:extent cx="361950" cy="24130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61950" cy="241300"/>
                                          </a:xfrm>
                                          <a:prstGeom prst="rect">
                                            <a:avLst/>
                                          </a:prstGeom>
                                        </pic:spPr>
                                      </pic:pic>
                                    </a:graphicData>
                                  </a:graphic>
                                </wp:inline>
                              </w:drawing>
                            </w:r>
                            <w:r w:rsidRPr="00BB7453">
                              <w:rPr>
                                <w:rFonts w:ascii="Book Antiqua" w:hAnsi="Book Antiqua"/>
                                <w:bCs/>
                                <w:noProof/>
                                <w:color w:val="000000" w:themeColor="text1"/>
                                <w:lang w:val="en-US" w:eastAsia="zh-CN"/>
                              </w:rPr>
                              <w:drawing>
                                <wp:inline distT="0" distB="0" distL="0" distR="0" wp14:anchorId="5C9139ED" wp14:editId="4A682F1C">
                                  <wp:extent cx="389255" cy="2413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89255" cy="24130"/>
                                          </a:xfrm>
                                          <a:prstGeom prst="rect">
                                            <a:avLst/>
                                          </a:prstGeom>
                                        </pic:spPr>
                                      </pic:pic>
                                    </a:graphicData>
                                  </a:graphic>
                                </wp:inline>
                              </w:drawing>
                            </w:r>
                            <w:r w:rsidRPr="00BB7453">
                              <w:rPr>
                                <w:rFonts w:ascii="Book Antiqua" w:hAnsi="Book Antiqua"/>
                                <w:bCs/>
                                <w:noProof/>
                                <w:color w:val="000000" w:themeColor="text1"/>
                                <w:lang w:val="en-US" w:eastAsia="zh-CN"/>
                              </w:rPr>
                              <w:drawing>
                                <wp:inline distT="0" distB="0" distL="0" distR="0" wp14:anchorId="19E4223C" wp14:editId="60022233">
                                  <wp:extent cx="389255" cy="2413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89255" cy="241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6A761" id="文本框 19" o:spid="_x0000_s1031" type="#_x0000_t202" style="position:absolute;left:0;text-align:left;margin-left:5.15pt;margin-top:487.35pt;width:45.05pt;height:26.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" fillcolor="white [3212]" stroked="f">
                <v:textbox>
                  <w:txbxContent>
                    <w:p w14:paraId="0F608291" w14:textId="4EBED22A" w:rsidR="00BB7453" w:rsidRPr="00100AFC" w:rsidRDefault="00BB7453" w:rsidP="00BB7453">
                      <w:pPr>
                        <w:pStyle w:val="Title3"/>
                        <w:adjustRightInd w:val="0"/>
                        <w:snapToGrid w:val="0"/>
                        <w:spacing w:line="360" w:lineRule="auto"/>
                        <w:outlineLvl w:val="0"/>
                        <w:rPr>
                          <w:rFonts w:ascii="Book Antiqua" w:hAnsi="Book Antiqua"/>
                          <w:b/>
                          <w:bCs/>
                          <w:color w:val="000000" w:themeColor="text1"/>
                        </w:rPr>
                      </w:pPr>
                      <w:r>
                        <w:rPr>
                          <w:rFonts w:ascii="Book Antiqua" w:hAnsi="Book Antiqua"/>
                          <w:bCs/>
                          <w:color w:val="000000" w:themeColor="text1"/>
                          <w:lang w:val="en-US"/>
                        </w:rPr>
                        <w:t>C</w:t>
                      </w:r>
                      <w:r>
                        <w:rPr>
                          <w:noProof/>
                          <w:lang w:val="en-US" w:eastAsia="zh-CN"/>
                        </w:rPr>
                        <w:drawing>
                          <wp:inline distT="0" distB="0" distL="0" distR="0" wp14:anchorId="099162BD" wp14:editId="29859918">
                            <wp:extent cx="361950" cy="241300"/>
                            <wp:effectExtent l="0" t="0" r="0" b="1270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1950" cy="241300"/>
                                    </a:xfrm>
                                    <a:prstGeom prst="rect">
                                      <a:avLst/>
                                    </a:prstGeom>
                                  </pic:spPr>
                                </pic:pic>
                              </a:graphicData>
                            </a:graphic>
                          </wp:inline>
                        </w:drawing>
                      </w:r>
                      <w:r>
                        <w:rPr>
                          <w:noProof/>
                          <w:lang w:val="en-US" w:eastAsia="zh-CN"/>
                        </w:rPr>
                        <w:drawing>
                          <wp:inline distT="0" distB="0" distL="0" distR="0" wp14:anchorId="63863364" wp14:editId="2E6E67CF">
                            <wp:extent cx="361950" cy="24130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61950" cy="241300"/>
                                    </a:xfrm>
                                    <a:prstGeom prst="rect">
                                      <a:avLst/>
                                    </a:prstGeom>
                                  </pic:spPr>
                                </pic:pic>
                              </a:graphicData>
                            </a:graphic>
                          </wp:inline>
                        </w:drawing>
                      </w:r>
                      <w:r w:rsidRPr="00BB7453">
                        <w:rPr>
                          <w:rFonts w:ascii="Book Antiqua" w:hAnsi="Book Antiqua"/>
                          <w:bCs/>
                          <w:noProof/>
                          <w:color w:val="000000" w:themeColor="text1"/>
                          <w:lang w:val="en-US" w:eastAsia="zh-CN"/>
                        </w:rPr>
                        <w:drawing>
                          <wp:inline distT="0" distB="0" distL="0" distR="0" wp14:anchorId="5C9139ED" wp14:editId="4A682F1C">
                            <wp:extent cx="389255" cy="2413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89255" cy="24130"/>
                                    </a:xfrm>
                                    <a:prstGeom prst="rect">
                                      <a:avLst/>
                                    </a:prstGeom>
                                  </pic:spPr>
                                </pic:pic>
                              </a:graphicData>
                            </a:graphic>
                          </wp:inline>
                        </w:drawing>
                      </w:r>
                      <w:r w:rsidRPr="00BB7453">
                        <w:rPr>
                          <w:rFonts w:ascii="Book Antiqua" w:hAnsi="Book Antiqua"/>
                          <w:bCs/>
                          <w:noProof/>
                          <w:color w:val="000000" w:themeColor="text1"/>
                          <w:lang w:val="en-US" w:eastAsia="zh-CN"/>
                        </w:rPr>
                        <w:drawing>
                          <wp:inline distT="0" distB="0" distL="0" distR="0" wp14:anchorId="19E4223C" wp14:editId="60022233">
                            <wp:extent cx="389255" cy="2413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89255" cy="24130"/>
                                    </a:xfrm>
                                    <a:prstGeom prst="rect">
                                      <a:avLst/>
                                    </a:prstGeom>
                                  </pic:spPr>
                                </pic:pic>
                              </a:graphicData>
                            </a:graphic>
                          </wp:inline>
                        </w:drawing>
                      </w:r>
                    </w:p>
                  </w:txbxContent>
                </v:textbox>
              </v:shape>
            </w:pict>
          </mc:Fallback>
        </mc:AlternateContent>
      </w:r>
      <w:r w:rsidR="00BB7453" w:rsidRPr="00CC34A3">
        <w:rPr>
          <w:rFonts w:ascii="Book Antiqua" w:hAnsi="Book Antiqua"/>
          <w:noProof/>
          <w:sz w:val="24"/>
          <w:szCs w:val="24"/>
          <w:lang w:val="en-US" w:eastAsia="zh-CN"/>
        </w:rPr>
        <mc:AlternateContent>
          <mc:Choice Requires="wps">
            <w:drawing>
              <wp:anchor distT="0" distB="0" distL="114300" distR="114300" simplePos="0" relativeHeight="251665408" behindDoc="0" locked="0" layoutInCell="1" allowOverlap="1" wp14:anchorId="0A439F35" wp14:editId="4968EF03">
                <wp:simplePos x="0" y="0"/>
                <wp:positionH relativeFrom="column">
                  <wp:posOffset>64770</wp:posOffset>
                </wp:positionH>
                <wp:positionV relativeFrom="paragraph">
                  <wp:posOffset>4027805</wp:posOffset>
                </wp:positionV>
                <wp:extent cx="572135" cy="332740"/>
                <wp:effectExtent l="0" t="0" r="12065" b="0"/>
                <wp:wrapNone/>
                <wp:docPr id="15" name="文本框 15"/>
                <wp:cNvGraphicFramePr/>
                <a:graphic xmlns:a="http://schemas.openxmlformats.org/drawingml/2006/main">
                  <a:graphicData uri="http://schemas.microsoft.com/office/word/2010/wordprocessingShape">
                    <wps:wsp>
                      <wps:cNvSpPr txBox="1"/>
                      <wps:spPr>
                        <a:xfrm>
                          <a:off x="0" y="0"/>
                          <a:ext cx="572135" cy="332740"/>
                        </a:xfrm>
                        <a:prstGeom prst="rect">
                          <a:avLst/>
                        </a:prstGeom>
                        <a:solidFill>
                          <a:schemeClr val="bg1"/>
                        </a:solidFill>
                        <a:ln>
                          <a:noFill/>
                        </a:ln>
                        <a:effectLst/>
                      </wps:spPr>
                      <wps:txbx>
                        <w:txbxContent>
                          <w:p w14:paraId="4AFA2606" w14:textId="4507A49E" w:rsidR="00BB7453" w:rsidRPr="00100AFC" w:rsidRDefault="00BB7453" w:rsidP="00BB7453">
                            <w:pPr>
                              <w:pStyle w:val="Title3"/>
                              <w:adjustRightInd w:val="0"/>
                              <w:snapToGrid w:val="0"/>
                              <w:spacing w:line="360" w:lineRule="auto"/>
                              <w:outlineLvl w:val="0"/>
                              <w:rPr>
                                <w:rFonts w:ascii="Book Antiqua" w:hAnsi="Book Antiqua"/>
                                <w:b/>
                                <w:bCs/>
                                <w:color w:val="000000" w:themeColor="text1"/>
                              </w:rPr>
                            </w:pPr>
                            <w:r>
                              <w:rPr>
                                <w:rFonts w:ascii="Book Antiqua" w:hAnsi="Book Antiqua"/>
                                <w:bCs/>
                                <w:color w:val="000000" w:themeColor="text1"/>
                                <w:lang w:val="en-US"/>
                              </w:rPr>
                              <w:t>B</w:t>
                            </w:r>
                            <w:r>
                              <w:rPr>
                                <w:noProof/>
                                <w:lang w:val="en-US" w:eastAsia="zh-CN"/>
                              </w:rPr>
                              <w:drawing>
                                <wp:inline distT="0" distB="0" distL="0" distR="0" wp14:anchorId="51431C49" wp14:editId="16A10306">
                                  <wp:extent cx="361950" cy="24130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61950" cy="241300"/>
                                          </a:xfrm>
                                          <a:prstGeom prst="rect">
                                            <a:avLst/>
                                          </a:prstGeom>
                                        </pic:spPr>
                                      </pic:pic>
                                    </a:graphicData>
                                  </a:graphic>
                                </wp:inline>
                              </w:drawing>
                            </w:r>
                            <w:r w:rsidRPr="00BB7453">
                              <w:rPr>
                                <w:rFonts w:ascii="Book Antiqua" w:hAnsi="Book Antiqua"/>
                                <w:bCs/>
                                <w:noProof/>
                                <w:color w:val="000000" w:themeColor="text1"/>
                                <w:lang w:val="en-US" w:eastAsia="zh-CN"/>
                              </w:rPr>
                              <w:drawing>
                                <wp:inline distT="0" distB="0" distL="0" distR="0" wp14:anchorId="62F3459A" wp14:editId="29C21F28">
                                  <wp:extent cx="389255" cy="2413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9255" cy="24130"/>
                                          </a:xfrm>
                                          <a:prstGeom prst="rect">
                                            <a:avLst/>
                                          </a:prstGeom>
                                        </pic:spPr>
                                      </pic:pic>
                                    </a:graphicData>
                                  </a:graphic>
                                </wp:inline>
                              </w:drawing>
                            </w:r>
                            <w:r w:rsidRPr="00BB7453">
                              <w:rPr>
                                <w:rFonts w:ascii="Book Antiqua" w:hAnsi="Book Antiqua"/>
                                <w:bCs/>
                                <w:noProof/>
                                <w:color w:val="000000" w:themeColor="text1"/>
                                <w:lang w:val="en-US" w:eastAsia="zh-CN"/>
                              </w:rPr>
                              <w:drawing>
                                <wp:inline distT="0" distB="0" distL="0" distR="0" wp14:anchorId="1731FED3" wp14:editId="7409AE74">
                                  <wp:extent cx="389255" cy="2413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9255" cy="241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39F35" id="文本框 15" o:spid="_x0000_s1032" type="#_x0000_t202" style="position:absolute;left:0;text-align:left;margin-left:5.1pt;margin-top:317.15pt;width:45.05pt;height:26.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" fillcolor="white [3212]" stroked="f">
                <v:textbox>
                  <w:txbxContent>
                    <w:p w14:paraId="4AFA2606" w14:textId="4507A49E" w:rsidR="00BB7453" w:rsidRPr="00100AFC" w:rsidRDefault="00BB7453" w:rsidP="00BB7453">
                      <w:pPr>
                        <w:pStyle w:val="Title3"/>
                        <w:adjustRightInd w:val="0"/>
                        <w:snapToGrid w:val="0"/>
                        <w:spacing w:line="360" w:lineRule="auto"/>
                        <w:outlineLvl w:val="0"/>
                        <w:rPr>
                          <w:rFonts w:ascii="Book Antiqua" w:hAnsi="Book Antiqua"/>
                          <w:b/>
                          <w:bCs/>
                          <w:color w:val="000000" w:themeColor="text1"/>
                        </w:rPr>
                      </w:pPr>
                      <w:r>
                        <w:rPr>
                          <w:rFonts w:ascii="Book Antiqua" w:hAnsi="Book Antiqua"/>
                          <w:bCs/>
                          <w:color w:val="000000" w:themeColor="text1"/>
                          <w:lang w:val="en-US"/>
                        </w:rPr>
                        <w:t>B</w:t>
                      </w:r>
                      <w:r>
                        <w:rPr>
                          <w:noProof/>
                          <w:lang w:val="en-US" w:eastAsia="zh-CN"/>
                        </w:rPr>
                        <w:drawing>
                          <wp:inline distT="0" distB="0" distL="0" distR="0" wp14:anchorId="51431C49" wp14:editId="16A10306">
                            <wp:extent cx="361950" cy="24130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61950" cy="241300"/>
                                    </a:xfrm>
                                    <a:prstGeom prst="rect">
                                      <a:avLst/>
                                    </a:prstGeom>
                                  </pic:spPr>
                                </pic:pic>
                              </a:graphicData>
                            </a:graphic>
                          </wp:inline>
                        </w:drawing>
                      </w:r>
                      <w:r w:rsidRPr="00BB7453">
                        <w:rPr>
                          <w:rFonts w:ascii="Book Antiqua" w:hAnsi="Book Antiqua"/>
                          <w:bCs/>
                          <w:noProof/>
                          <w:color w:val="000000" w:themeColor="text1"/>
                          <w:lang w:val="en-US" w:eastAsia="zh-CN"/>
                        </w:rPr>
                        <w:drawing>
                          <wp:inline distT="0" distB="0" distL="0" distR="0" wp14:anchorId="62F3459A" wp14:editId="29C21F28">
                            <wp:extent cx="389255" cy="2413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9255" cy="24130"/>
                                    </a:xfrm>
                                    <a:prstGeom prst="rect">
                                      <a:avLst/>
                                    </a:prstGeom>
                                  </pic:spPr>
                                </pic:pic>
                              </a:graphicData>
                            </a:graphic>
                          </wp:inline>
                        </w:drawing>
                      </w:r>
                      <w:r w:rsidRPr="00BB7453">
                        <w:rPr>
                          <w:rFonts w:ascii="Book Antiqua" w:hAnsi="Book Antiqua"/>
                          <w:bCs/>
                          <w:noProof/>
                          <w:color w:val="000000" w:themeColor="text1"/>
                          <w:lang w:val="en-US" w:eastAsia="zh-CN"/>
                        </w:rPr>
                        <w:drawing>
                          <wp:inline distT="0" distB="0" distL="0" distR="0" wp14:anchorId="1731FED3" wp14:editId="7409AE74">
                            <wp:extent cx="389255" cy="2413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9255" cy="24130"/>
                                    </a:xfrm>
                                    <a:prstGeom prst="rect">
                                      <a:avLst/>
                                    </a:prstGeom>
                                  </pic:spPr>
                                </pic:pic>
                              </a:graphicData>
                            </a:graphic>
                          </wp:inline>
                        </w:drawing>
                      </w:r>
                    </w:p>
                  </w:txbxContent>
                </v:textbox>
              </v:shape>
            </w:pict>
          </mc:Fallback>
        </mc:AlternateContent>
      </w:r>
      <w:r w:rsidR="00BB7453" w:rsidRPr="00CC34A3">
        <w:rPr>
          <w:rFonts w:ascii="Book Antiqua" w:hAnsi="Book Antiqua"/>
          <w:noProof/>
          <w:sz w:val="24"/>
          <w:szCs w:val="24"/>
          <w:lang w:val="en-US" w:eastAsia="zh-CN"/>
        </w:rPr>
        <mc:AlternateContent>
          <mc:Choice Requires="wps">
            <w:drawing>
              <wp:anchor distT="0" distB="0" distL="114300" distR="114300" simplePos="0" relativeHeight="251663360" behindDoc="0" locked="0" layoutInCell="1" allowOverlap="1" wp14:anchorId="481A5B74" wp14:editId="2CA0F0ED">
                <wp:simplePos x="0" y="0"/>
                <wp:positionH relativeFrom="column">
                  <wp:posOffset>66040</wp:posOffset>
                </wp:positionH>
                <wp:positionV relativeFrom="paragraph">
                  <wp:posOffset>1962785</wp:posOffset>
                </wp:positionV>
                <wp:extent cx="572135" cy="231140"/>
                <wp:effectExtent l="0" t="0" r="12065" b="0"/>
                <wp:wrapNone/>
                <wp:docPr id="12" name="文本框 12"/>
                <wp:cNvGraphicFramePr/>
                <a:graphic xmlns:a="http://schemas.openxmlformats.org/drawingml/2006/main">
                  <a:graphicData uri="http://schemas.microsoft.com/office/word/2010/wordprocessingShape">
                    <wps:wsp>
                      <wps:cNvSpPr txBox="1"/>
                      <wps:spPr>
                        <a:xfrm>
                          <a:off x="0" y="0"/>
                          <a:ext cx="572135" cy="231140"/>
                        </a:xfrm>
                        <a:prstGeom prst="rect">
                          <a:avLst/>
                        </a:prstGeom>
                        <a:solidFill>
                          <a:schemeClr val="bg1"/>
                        </a:solidFill>
                        <a:ln>
                          <a:noFill/>
                        </a:ln>
                        <a:effectLst/>
                      </wps:spPr>
                      <wps:txbx>
                        <w:txbxContent>
                          <w:p w14:paraId="33855E55" w14:textId="042AF582" w:rsidR="00BB7453" w:rsidRPr="00100AFC" w:rsidRDefault="00BB7453" w:rsidP="00100AFC">
                            <w:pPr>
                              <w:pStyle w:val="Title3"/>
                              <w:adjustRightInd w:val="0"/>
                              <w:snapToGrid w:val="0"/>
                              <w:spacing w:line="360" w:lineRule="auto"/>
                              <w:outlineLvl w:val="0"/>
                              <w:rPr>
                                <w:rFonts w:ascii="Book Antiqua" w:hAnsi="Book Antiqua"/>
                                <w:b/>
                                <w:bCs/>
                                <w:color w:val="000000" w:themeColor="text1"/>
                              </w:rPr>
                            </w:pPr>
                            <w:r>
                              <w:rPr>
                                <w:rFonts w:ascii="Book Antiqua" w:hAnsi="Book Antiqua"/>
                                <w:bCs/>
                                <w:color w:val="000000" w:themeColor="text1"/>
                                <w:lang w:val="en-US"/>
                              </w:rPr>
                              <w:t>A</w:t>
                            </w:r>
                            <w:r w:rsidRPr="00BB7453">
                              <w:rPr>
                                <w:rFonts w:ascii="Book Antiqua" w:hAnsi="Book Antiqua"/>
                                <w:bCs/>
                                <w:noProof/>
                                <w:color w:val="000000" w:themeColor="text1"/>
                                <w:lang w:val="en-US" w:eastAsia="zh-CN"/>
                              </w:rPr>
                              <w:drawing>
                                <wp:inline distT="0" distB="0" distL="0" distR="0" wp14:anchorId="534DF9C7" wp14:editId="3106898F">
                                  <wp:extent cx="389255" cy="2413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89255" cy="24130"/>
                                          </a:xfrm>
                                          <a:prstGeom prst="rect">
                                            <a:avLst/>
                                          </a:prstGeom>
                                        </pic:spPr>
                                      </pic:pic>
                                    </a:graphicData>
                                  </a:graphic>
                                </wp:inline>
                              </w:drawing>
                            </w:r>
                            <w:r w:rsidRPr="00BB7453">
                              <w:rPr>
                                <w:rFonts w:ascii="Book Antiqua" w:hAnsi="Book Antiqua"/>
                                <w:bCs/>
                                <w:noProof/>
                                <w:color w:val="000000" w:themeColor="text1"/>
                                <w:lang w:val="en-US" w:eastAsia="zh-CN"/>
                              </w:rPr>
                              <w:drawing>
                                <wp:inline distT="0" distB="0" distL="0" distR="0" wp14:anchorId="7F192270" wp14:editId="0FA7453C">
                                  <wp:extent cx="389255" cy="2413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89255" cy="241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A5B74" id="文本框 12" o:spid="_x0000_s1033" type="#_x0000_t202" style="position:absolute;left:0;text-align:left;margin-left:5.2pt;margin-top:154.55pt;width:45.05pt;height:18.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" fillcolor="white [3212]" stroked="f">
                <v:textbox>
                  <w:txbxContent>
                    <w:p w14:paraId="33855E55" w14:textId="042AF582" w:rsidR="00BB7453" w:rsidRPr="00100AFC" w:rsidRDefault="00BB7453" w:rsidP="00100AFC">
                      <w:pPr>
                        <w:pStyle w:val="Title3"/>
                        <w:adjustRightInd w:val="0"/>
                        <w:snapToGrid w:val="0"/>
                        <w:spacing w:line="360" w:lineRule="auto"/>
                        <w:outlineLvl w:val="0"/>
                        <w:rPr>
                          <w:rFonts w:ascii="Book Antiqua" w:hAnsi="Book Antiqua"/>
                          <w:b/>
                          <w:bCs/>
                          <w:color w:val="000000" w:themeColor="text1"/>
                        </w:rPr>
                      </w:pPr>
                      <w:r>
                        <w:rPr>
                          <w:rFonts w:ascii="Book Antiqua" w:hAnsi="Book Antiqua"/>
                          <w:bCs/>
                          <w:color w:val="000000" w:themeColor="text1"/>
                          <w:lang w:val="en-US"/>
                        </w:rPr>
                        <w:t>A</w:t>
                      </w:r>
                      <w:r w:rsidRPr="00BB7453">
                        <w:rPr>
                          <w:rFonts w:ascii="Book Antiqua" w:hAnsi="Book Antiqua"/>
                          <w:bCs/>
                          <w:noProof/>
                          <w:color w:val="000000" w:themeColor="text1"/>
                          <w:lang w:val="en-US" w:eastAsia="zh-CN"/>
                        </w:rPr>
                        <w:drawing>
                          <wp:inline distT="0" distB="0" distL="0" distR="0" wp14:anchorId="534DF9C7" wp14:editId="3106898F">
                            <wp:extent cx="389255" cy="2413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89255" cy="24130"/>
                                    </a:xfrm>
                                    <a:prstGeom prst="rect">
                                      <a:avLst/>
                                    </a:prstGeom>
                                  </pic:spPr>
                                </pic:pic>
                              </a:graphicData>
                            </a:graphic>
                          </wp:inline>
                        </w:drawing>
                      </w:r>
                      <w:r w:rsidRPr="00BB7453">
                        <w:rPr>
                          <w:rFonts w:ascii="Book Antiqua" w:hAnsi="Book Antiqua"/>
                          <w:bCs/>
                          <w:noProof/>
                          <w:color w:val="000000" w:themeColor="text1"/>
                          <w:lang w:val="en-US" w:eastAsia="zh-CN"/>
                        </w:rPr>
                        <w:drawing>
                          <wp:inline distT="0" distB="0" distL="0" distR="0" wp14:anchorId="7F192270" wp14:editId="0FA7453C">
                            <wp:extent cx="389255" cy="2413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89255" cy="24130"/>
                                    </a:xfrm>
                                    <a:prstGeom prst="rect">
                                      <a:avLst/>
                                    </a:prstGeom>
                                  </pic:spPr>
                                </pic:pic>
                              </a:graphicData>
                            </a:graphic>
                          </wp:inline>
                        </w:drawing>
                      </w:r>
                    </w:p>
                  </w:txbxContent>
                </v:textbox>
              </v:shape>
            </w:pict>
          </mc:Fallback>
        </mc:AlternateContent>
      </w:r>
      <w:r w:rsidR="00AD4DEC" w:rsidRPr="00CC34A3">
        <w:rPr>
          <w:rFonts w:ascii="Book Antiqua" w:hAnsi="Book Antiqua" w:cs="Times New Roman"/>
          <w:noProof/>
          <w:color w:val="000000" w:themeColor="text1"/>
          <w:sz w:val="24"/>
          <w:szCs w:val="24"/>
          <w:lang w:val="en-US" w:eastAsia="zh-CN"/>
        </w:rPr>
        <w:drawing>
          <wp:inline distT="0" distB="0" distL="0" distR="0" wp14:anchorId="4D78EBC4" wp14:editId="32F9AC20">
            <wp:extent cx="5760085" cy="6596533"/>
            <wp:effectExtent l="0" t="0" r="0" b="0"/>
            <wp:docPr id="7" name="Picture 7" descr="D:\Users\predrag.sikiric\Documents\amic radovi\TIFF 8 slika od 15.5.2018\Fig.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predrag.sikiric\Documents\amic radovi\TIFF 8 slika od 15.5.2018\Fig. 7.t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85" cy="6596533"/>
                    </a:xfrm>
                    <a:prstGeom prst="rect">
                      <a:avLst/>
                    </a:prstGeom>
                    <a:noFill/>
                    <a:ln>
                      <a:noFill/>
                    </a:ln>
                  </pic:spPr>
                </pic:pic>
              </a:graphicData>
            </a:graphic>
          </wp:inline>
        </w:drawing>
      </w:r>
    </w:p>
    <w:p w14:paraId="6DF790BF" w14:textId="7CD72240" w:rsidR="00AD4DEC" w:rsidRPr="00CC34A3" w:rsidRDefault="00BB7453" w:rsidP="00CC34A3">
      <w:pPr>
        <w:pStyle w:val="Title3"/>
        <w:adjustRightInd w:val="0"/>
        <w:snapToGrid w:val="0"/>
        <w:spacing w:before="0" w:beforeAutospacing="0" w:after="0" w:afterAutospacing="0" w:line="360" w:lineRule="auto"/>
        <w:jc w:val="both"/>
        <w:outlineLvl w:val="0"/>
        <w:rPr>
          <w:rFonts w:ascii="Book Antiqua" w:hAnsi="Book Antiqua"/>
          <w:b/>
          <w:color w:val="000000" w:themeColor="text1"/>
          <w:lang w:val="en-US"/>
        </w:rPr>
      </w:pPr>
      <w:r w:rsidRPr="00CC34A3">
        <w:rPr>
          <w:rFonts w:ascii="Book Antiqua" w:hAnsi="Book Antiqua"/>
          <w:b/>
          <w:bCs/>
          <w:color w:val="000000" w:themeColor="text1"/>
          <w:lang w:val="en-US"/>
        </w:rPr>
        <w:t xml:space="preserve">Figure 7 Microscopical presentation of duodenal lesions. </w:t>
      </w:r>
      <w:r w:rsidR="00AD4DEC" w:rsidRPr="00CC34A3">
        <w:rPr>
          <w:rFonts w:ascii="Book Antiqua" w:hAnsi="Book Antiqua"/>
          <w:bCs/>
          <w:color w:val="000000" w:themeColor="text1"/>
          <w:lang w:val="en-US"/>
        </w:rPr>
        <w:t>Microscopically (Hex10), in controls the lesions progressed from mild villous edema with mild lymphocytic infiltrate (5 min ligation time) (</w:t>
      </w:r>
      <w:r w:rsidR="00372710" w:rsidRPr="00CC34A3">
        <w:rPr>
          <w:rFonts w:ascii="Book Antiqua" w:hAnsi="Book Antiqua"/>
          <w:bCs/>
          <w:color w:val="000000" w:themeColor="text1"/>
          <w:lang w:val="en-US"/>
        </w:rPr>
        <w:t>A</w:t>
      </w:r>
      <w:r w:rsidR="00AD4DEC" w:rsidRPr="00CC34A3">
        <w:rPr>
          <w:rFonts w:ascii="Book Antiqua" w:hAnsi="Book Antiqua"/>
          <w:bCs/>
          <w:color w:val="000000" w:themeColor="text1"/>
          <w:lang w:val="en-US"/>
        </w:rPr>
        <w:t>) toward denuded villous tops with marked villous edema and submucosal capillary congestion (30 min ligation time) (</w:t>
      </w:r>
      <w:r w:rsidR="00372710" w:rsidRPr="00CC34A3">
        <w:rPr>
          <w:rFonts w:ascii="Book Antiqua" w:hAnsi="Book Antiqua"/>
          <w:bCs/>
          <w:color w:val="000000" w:themeColor="text1"/>
          <w:lang w:val="en-US"/>
        </w:rPr>
        <w:t>B</w:t>
      </w:r>
      <w:r w:rsidR="00AD4DEC" w:rsidRPr="00CC34A3">
        <w:rPr>
          <w:rFonts w:ascii="Book Antiqua" w:hAnsi="Book Antiqua"/>
          <w:bCs/>
          <w:color w:val="000000" w:themeColor="text1"/>
          <w:lang w:val="en-US"/>
        </w:rPr>
        <w:t xml:space="preserve">) to the substantial subepithelial space with abundant lifting of epithelial layer from lamina </w:t>
      </w:r>
      <w:r w:rsidR="00102C24" w:rsidRPr="00CC34A3">
        <w:rPr>
          <w:rFonts w:ascii="Book Antiqua" w:hAnsi="Book Antiqua"/>
          <w:bCs/>
          <w:color w:val="000000" w:themeColor="text1"/>
          <w:lang w:val="en-US"/>
        </w:rPr>
        <w:t>prop</w:t>
      </w:r>
      <w:r w:rsidR="00AD4DEC" w:rsidRPr="00CC34A3">
        <w:rPr>
          <w:rFonts w:ascii="Book Antiqua" w:hAnsi="Book Antiqua"/>
          <w:bCs/>
          <w:color w:val="000000" w:themeColor="text1"/>
          <w:lang w:val="en-US"/>
        </w:rPr>
        <w:t>r</w:t>
      </w:r>
      <w:r w:rsidR="00102C24" w:rsidRPr="00CC34A3">
        <w:rPr>
          <w:rFonts w:ascii="Book Antiqua" w:hAnsi="Book Antiqua"/>
          <w:bCs/>
          <w:color w:val="000000" w:themeColor="text1"/>
          <w:lang w:val="en-US"/>
        </w:rPr>
        <w:t>i</w:t>
      </w:r>
      <w:r w:rsidR="00AD4DEC" w:rsidRPr="00CC34A3">
        <w:rPr>
          <w:rFonts w:ascii="Book Antiqua" w:hAnsi="Book Antiqua"/>
          <w:bCs/>
          <w:color w:val="000000" w:themeColor="text1"/>
          <w:lang w:val="en-US"/>
        </w:rPr>
        <w:t>a extending down sides of villi, villous edema with capillary congestion, submucosal congestion and lymphocytic infiltrate (24 h ligation time)</w:t>
      </w:r>
      <w:r w:rsidR="00372710" w:rsidRPr="00CC34A3">
        <w:rPr>
          <w:rFonts w:ascii="Book Antiqua" w:hAnsi="Book Antiqua"/>
          <w:bCs/>
          <w:color w:val="000000" w:themeColor="text1"/>
          <w:lang w:val="en-US"/>
        </w:rPr>
        <w:t xml:space="preserve"> </w:t>
      </w:r>
      <w:r w:rsidR="00AD4DEC" w:rsidRPr="00CC34A3">
        <w:rPr>
          <w:rFonts w:ascii="Book Antiqua" w:hAnsi="Book Antiqua"/>
          <w:bCs/>
          <w:color w:val="000000" w:themeColor="text1"/>
          <w:lang w:val="en-US"/>
        </w:rPr>
        <w:t>(</w:t>
      </w:r>
      <w:r w:rsidR="00372710" w:rsidRPr="00CC34A3">
        <w:rPr>
          <w:rFonts w:ascii="Book Antiqua" w:hAnsi="Book Antiqua"/>
          <w:bCs/>
          <w:color w:val="000000" w:themeColor="text1"/>
          <w:lang w:val="en-US"/>
        </w:rPr>
        <w:t>C</w:t>
      </w:r>
      <w:r w:rsidR="00AD4DEC" w:rsidRPr="00CC34A3">
        <w:rPr>
          <w:rFonts w:ascii="Book Antiqua" w:hAnsi="Book Antiqua"/>
          <w:bCs/>
          <w:color w:val="000000" w:themeColor="text1"/>
          <w:lang w:val="en-US"/>
        </w:rPr>
        <w:t>). BPC 157 rats (</w:t>
      </w:r>
      <w:r w:rsidR="00372710" w:rsidRPr="00CC34A3">
        <w:rPr>
          <w:rFonts w:ascii="Book Antiqua" w:hAnsi="Book Antiqua"/>
          <w:bCs/>
          <w:color w:val="000000" w:themeColor="text1"/>
          <w:lang w:val="en-US"/>
        </w:rPr>
        <w:t>D, E, F</w:t>
      </w:r>
      <w:r w:rsidR="00AD4DEC" w:rsidRPr="00CC34A3">
        <w:rPr>
          <w:rFonts w:ascii="Book Antiqua" w:hAnsi="Book Antiqua"/>
          <w:bCs/>
          <w:color w:val="000000" w:themeColor="text1"/>
          <w:lang w:val="en-US"/>
        </w:rPr>
        <w:t xml:space="preserve">) exhibited always intestinal preservation with only mild villous edema </w:t>
      </w:r>
      <w:r w:rsidR="00AD4DEC" w:rsidRPr="00CC34A3">
        <w:rPr>
          <w:rFonts w:ascii="Book Antiqua" w:hAnsi="Book Antiqua"/>
          <w:bCs/>
          <w:color w:val="000000" w:themeColor="text1"/>
          <w:lang w:val="en-US"/>
        </w:rPr>
        <w:lastRenderedPageBreak/>
        <w:t xml:space="preserve">and mild lymphocytic infiltrate. Elevation of epithelium from lamina propria was found only on </w:t>
      </w:r>
      <w:r w:rsidR="00102C24" w:rsidRPr="00CC34A3">
        <w:rPr>
          <w:rFonts w:ascii="Book Antiqua" w:hAnsi="Book Antiqua"/>
          <w:bCs/>
          <w:color w:val="000000" w:themeColor="text1"/>
          <w:lang w:val="en-US"/>
        </w:rPr>
        <w:t xml:space="preserve">the </w:t>
      </w:r>
      <w:r w:rsidR="00AD4DEC" w:rsidRPr="00CC34A3">
        <w:rPr>
          <w:rFonts w:ascii="Book Antiqua" w:hAnsi="Book Antiqua"/>
          <w:bCs/>
          <w:color w:val="000000" w:themeColor="text1"/>
          <w:lang w:val="en-US"/>
        </w:rPr>
        <w:t xml:space="preserve">apical portion of villi (24 h ligation time, </w:t>
      </w:r>
      <w:r w:rsidR="00372710" w:rsidRPr="00CC34A3">
        <w:rPr>
          <w:rFonts w:ascii="Book Antiqua" w:hAnsi="Book Antiqua"/>
          <w:bCs/>
          <w:color w:val="000000" w:themeColor="text1"/>
          <w:lang w:val="en-US"/>
        </w:rPr>
        <w:t>F</w:t>
      </w:r>
      <w:r w:rsidR="00AD4DEC" w:rsidRPr="00CC34A3">
        <w:rPr>
          <w:rFonts w:ascii="Book Antiqua" w:hAnsi="Book Antiqua"/>
          <w:bCs/>
          <w:color w:val="000000" w:themeColor="text1"/>
          <w:lang w:val="en-US"/>
        </w:rPr>
        <w:t>).</w:t>
      </w:r>
    </w:p>
    <w:p w14:paraId="11DCB7B9" w14:textId="77777777" w:rsidR="008A5E10" w:rsidRPr="00CC34A3" w:rsidRDefault="008A5E10" w:rsidP="00CC34A3">
      <w:pPr>
        <w:adjustRightInd w:val="0"/>
        <w:snapToGrid w:val="0"/>
        <w:spacing w:after="0" w:line="360" w:lineRule="auto"/>
        <w:rPr>
          <w:rFonts w:ascii="Book Antiqua" w:eastAsia="Times New Roman" w:hAnsi="Book Antiqua" w:cs="Times New Roman"/>
          <w:b/>
          <w:color w:val="000000" w:themeColor="text1"/>
          <w:sz w:val="24"/>
          <w:szCs w:val="24"/>
          <w:lang w:val="en-US" w:eastAsia="hr-HR"/>
        </w:rPr>
      </w:pPr>
      <w:r w:rsidRPr="00CC34A3">
        <w:rPr>
          <w:rFonts w:ascii="Book Antiqua" w:hAnsi="Book Antiqua"/>
          <w:b/>
          <w:color w:val="000000" w:themeColor="text1"/>
          <w:sz w:val="24"/>
          <w:szCs w:val="24"/>
          <w:lang w:val="en-US"/>
        </w:rPr>
        <w:br w:type="page"/>
      </w:r>
    </w:p>
    <w:p w14:paraId="575E66BF" w14:textId="622327DC" w:rsidR="00AD4DEC" w:rsidRPr="00CC34A3" w:rsidRDefault="008311D1" w:rsidP="00CC34A3">
      <w:pPr>
        <w:pStyle w:val="Title3"/>
        <w:adjustRightInd w:val="0"/>
        <w:snapToGrid w:val="0"/>
        <w:spacing w:before="0" w:beforeAutospacing="0" w:after="0" w:afterAutospacing="0" w:line="360" w:lineRule="auto"/>
        <w:jc w:val="both"/>
        <w:rPr>
          <w:rFonts w:ascii="Book Antiqua" w:hAnsi="Book Antiqua"/>
          <w:color w:val="000000" w:themeColor="text1"/>
          <w:lang w:val="en-US"/>
        </w:rPr>
      </w:pPr>
      <w:r w:rsidRPr="00CC34A3">
        <w:rPr>
          <w:rFonts w:ascii="Book Antiqua" w:hAnsi="Book Antiqua"/>
          <w:noProof/>
          <w:color w:val="000000" w:themeColor="text1"/>
          <w:lang w:val="en-US" w:eastAsia="zh-CN"/>
        </w:rPr>
        <w:lastRenderedPageBreak/>
        <mc:AlternateContent>
          <mc:Choice Requires="wps">
            <w:drawing>
              <wp:anchor distT="0" distB="0" distL="114300" distR="114300" simplePos="0" relativeHeight="251688960" behindDoc="0" locked="0" layoutInCell="1" allowOverlap="1" wp14:anchorId="36520B23" wp14:editId="7333547A">
                <wp:simplePos x="0" y="0"/>
                <wp:positionH relativeFrom="column">
                  <wp:posOffset>4065270</wp:posOffset>
                </wp:positionH>
                <wp:positionV relativeFrom="paragraph">
                  <wp:posOffset>2646680</wp:posOffset>
                </wp:positionV>
                <wp:extent cx="572135" cy="218440"/>
                <wp:effectExtent l="0" t="0" r="12065" b="10160"/>
                <wp:wrapNone/>
                <wp:docPr id="46" name="文本框 46"/>
                <wp:cNvGraphicFramePr/>
                <a:graphic xmlns:a="http://schemas.openxmlformats.org/drawingml/2006/main">
                  <a:graphicData uri="http://schemas.microsoft.com/office/word/2010/wordprocessingShape">
                    <wps:wsp>
                      <wps:cNvSpPr txBox="1"/>
                      <wps:spPr>
                        <a:xfrm rot="10800000" flipV="1">
                          <a:off x="0" y="0"/>
                          <a:ext cx="572135" cy="21844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51B693A9" w14:textId="1961F89F" w:rsidR="00773972" w:rsidRPr="007802C3" w:rsidRDefault="00773972" w:rsidP="00773972">
                            <w:pPr>
                              <w:rPr>
                                <w:color w:val="000000" w:themeColor="text1"/>
                                <w:lang w:val="en-US"/>
                              </w:rPr>
                            </w:pPr>
                            <w:r>
                              <w:rPr>
                                <w:color w:val="000000" w:themeColor="text1"/>
                                <w:lang w:val="en-US"/>
                              </w:rPr>
                              <w:t xml:space="preserve">a  </w:t>
                            </w:r>
                            <w:r>
                              <w:rPr>
                                <w:color w:val="000000" w:themeColor="text1"/>
                                <w:lang w:val="en-US"/>
                              </w:rPr>
                              <w:t>a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20B23" id="文本框 46" o:spid="_x0000_s1034" type="#_x0000_t202" style="position:absolute;left:0;text-align:left;margin-left:320.1pt;margin-top:208.4pt;width:45.05pt;height:17.2pt;rotation:180;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" fillcolor="white [3212]" stroked="f">
                <v:textbox>
                  <w:txbxContent>
                    <w:p w14:paraId="51B693A9" w14:textId="1961F89F" w:rsidR="00773972" w:rsidRPr="007802C3" w:rsidRDefault="00773972" w:rsidP="00773972">
                      <w:pPr>
                        <w:rPr>
                          <w:color w:val="000000" w:themeColor="text1"/>
                          <w:lang w:val="en-US"/>
                        </w:rPr>
                      </w:pPr>
                      <w:r>
                        <w:rPr>
                          <w:color w:val="000000" w:themeColor="text1"/>
                          <w:lang w:val="en-US"/>
                        </w:rPr>
                        <w:t xml:space="preserve">a  </w:t>
                      </w:r>
                      <w:r>
                        <w:rPr>
                          <w:color w:val="000000" w:themeColor="text1"/>
                          <w:lang w:val="en-US"/>
                        </w:rPr>
                        <w:t>a  a</w:t>
                      </w:r>
                    </w:p>
                  </w:txbxContent>
                </v:textbox>
              </v:shape>
            </w:pict>
          </mc:Fallback>
        </mc:AlternateContent>
      </w:r>
      <w:r w:rsidR="00773972" w:rsidRPr="00CC34A3">
        <w:rPr>
          <w:rFonts w:ascii="Book Antiqua" w:hAnsi="Book Antiqua"/>
          <w:noProof/>
          <w:color w:val="000000" w:themeColor="text1"/>
          <w:lang w:val="en-US" w:eastAsia="zh-CN"/>
        </w:rPr>
        <mc:AlternateContent>
          <mc:Choice Requires="wps">
            <w:drawing>
              <wp:anchor distT="0" distB="0" distL="114300" distR="114300" simplePos="0" relativeHeight="251691008" behindDoc="0" locked="0" layoutInCell="1" allowOverlap="1" wp14:anchorId="268E4D65" wp14:editId="79BD0EE4">
                <wp:simplePos x="0" y="0"/>
                <wp:positionH relativeFrom="column">
                  <wp:posOffset>4521835</wp:posOffset>
                </wp:positionH>
                <wp:positionV relativeFrom="paragraph">
                  <wp:posOffset>2644140</wp:posOffset>
                </wp:positionV>
                <wp:extent cx="572135" cy="218440"/>
                <wp:effectExtent l="0" t="0" r="12065" b="10160"/>
                <wp:wrapNone/>
                <wp:docPr id="47" name="文本框 47"/>
                <wp:cNvGraphicFramePr/>
                <a:graphic xmlns:a="http://schemas.openxmlformats.org/drawingml/2006/main">
                  <a:graphicData uri="http://schemas.microsoft.com/office/word/2010/wordprocessingShape">
                    <wps:wsp>
                      <wps:cNvSpPr txBox="1"/>
                      <wps:spPr>
                        <a:xfrm rot="10800000" flipV="1">
                          <a:off x="0" y="0"/>
                          <a:ext cx="572135" cy="21844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338F2BD0" w14:textId="77777777" w:rsidR="00773972" w:rsidRPr="007802C3" w:rsidRDefault="00773972" w:rsidP="00773972">
                            <w:pPr>
                              <w:rPr>
                                <w:color w:val="000000" w:themeColor="text1"/>
                                <w:lang w:val="en-US"/>
                              </w:rPr>
                            </w:pPr>
                            <w:r>
                              <w:rPr>
                                <w:color w:val="000000" w:themeColor="text1"/>
                                <w:lang w:val="en-US"/>
                              </w:rPr>
                              <w:t xml:space="preserve">a  </w:t>
                            </w:r>
                            <w:r>
                              <w:rPr>
                                <w:color w:val="000000" w:themeColor="text1"/>
                                <w:lang w:val="en-US"/>
                              </w:rPr>
                              <w:t>a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E4D65" id="文本框 47" o:spid="_x0000_s1035" type="#_x0000_t202" style="position:absolute;left:0;text-align:left;margin-left:356.05pt;margin-top:208.2pt;width:45.05pt;height:17.2pt;rotation:180;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" fillcolor="white [3212]" stroked="f">
                <v:textbox>
                  <w:txbxContent>
                    <w:p w14:paraId="338F2BD0" w14:textId="77777777" w:rsidR="00773972" w:rsidRPr="007802C3" w:rsidRDefault="00773972" w:rsidP="00773972">
                      <w:pPr>
                        <w:rPr>
                          <w:color w:val="000000" w:themeColor="text1"/>
                          <w:lang w:val="en-US"/>
                        </w:rPr>
                      </w:pPr>
                      <w:r>
                        <w:rPr>
                          <w:color w:val="000000" w:themeColor="text1"/>
                          <w:lang w:val="en-US"/>
                        </w:rPr>
                        <w:t xml:space="preserve">a  </w:t>
                      </w:r>
                      <w:r>
                        <w:rPr>
                          <w:color w:val="000000" w:themeColor="text1"/>
                          <w:lang w:val="en-US"/>
                        </w:rPr>
                        <w:t>a  a</w:t>
                      </w:r>
                    </w:p>
                  </w:txbxContent>
                </v:textbox>
              </v:shape>
            </w:pict>
          </mc:Fallback>
        </mc:AlternateContent>
      </w:r>
      <w:r w:rsidR="00773972" w:rsidRPr="00CC34A3">
        <w:rPr>
          <w:rFonts w:ascii="Book Antiqua" w:hAnsi="Book Antiqua"/>
          <w:noProof/>
          <w:color w:val="000000" w:themeColor="text1"/>
          <w:lang w:val="en-US" w:eastAsia="zh-CN"/>
        </w:rPr>
        <mc:AlternateContent>
          <mc:Choice Requires="wps">
            <w:drawing>
              <wp:anchor distT="0" distB="0" distL="114300" distR="114300" simplePos="0" relativeHeight="251686912" behindDoc="0" locked="0" layoutInCell="1" allowOverlap="1" wp14:anchorId="2E49A8E8" wp14:editId="51BB9616">
                <wp:simplePos x="0" y="0"/>
                <wp:positionH relativeFrom="column">
                  <wp:posOffset>1779270</wp:posOffset>
                </wp:positionH>
                <wp:positionV relativeFrom="paragraph">
                  <wp:posOffset>1503680</wp:posOffset>
                </wp:positionV>
                <wp:extent cx="572135" cy="574040"/>
                <wp:effectExtent l="0" t="0" r="12065" b="10160"/>
                <wp:wrapNone/>
                <wp:docPr id="45" name="文本框 45"/>
                <wp:cNvGraphicFramePr/>
                <a:graphic xmlns:a="http://schemas.openxmlformats.org/drawingml/2006/main">
                  <a:graphicData uri="http://schemas.microsoft.com/office/word/2010/wordprocessingShape">
                    <wps:wsp>
                      <wps:cNvSpPr txBox="1"/>
                      <wps:spPr>
                        <a:xfrm>
                          <a:off x="0" y="0"/>
                          <a:ext cx="572135" cy="57404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185ECA2B" w14:textId="77777777" w:rsidR="00773972" w:rsidRDefault="00773972" w:rsidP="00773972">
                            <w:pPr>
                              <w:ind w:firstLine="140"/>
                              <w:rPr>
                                <w:color w:val="000000" w:themeColor="text1"/>
                                <w:lang w:val="en-US"/>
                              </w:rPr>
                            </w:pPr>
                            <w:r>
                              <w:rPr>
                                <w:color w:val="000000" w:themeColor="text1"/>
                                <w:lang w:val="en-US"/>
                              </w:rPr>
                              <w:t xml:space="preserve">   </w:t>
                            </w:r>
                            <w:r>
                              <w:rPr>
                                <w:color w:val="000000" w:themeColor="text1"/>
                                <w:lang w:val="en-US"/>
                              </w:rPr>
                              <w:t xml:space="preserve">b </w:t>
                            </w:r>
                            <w:r>
                              <w:rPr>
                                <w:color w:val="000000" w:themeColor="text1"/>
                                <w:lang w:val="en-US"/>
                              </w:rPr>
                              <w:t>b</w:t>
                            </w:r>
                          </w:p>
                          <w:p w14:paraId="077E88E6" w14:textId="77777777" w:rsidR="00773972" w:rsidRDefault="00773972" w:rsidP="00773972">
                            <w:pPr>
                              <w:ind w:firstLine="140"/>
                              <w:rPr>
                                <w:color w:val="000000" w:themeColor="text1"/>
                                <w:lang w:val="en-US"/>
                              </w:rPr>
                            </w:pPr>
                            <w:r>
                              <w:rPr>
                                <w:color w:val="000000" w:themeColor="text1"/>
                                <w:lang w:val="en-US"/>
                              </w:rPr>
                              <w:t>a a a</w:t>
                            </w:r>
                          </w:p>
                          <w:p w14:paraId="1C5698A7" w14:textId="77777777" w:rsidR="00773972" w:rsidRDefault="00773972" w:rsidP="00773972">
                            <w:pPr>
                              <w:rPr>
                                <w:color w:val="000000" w:themeColor="text1"/>
                                <w:lang w:val="en-US"/>
                              </w:rPr>
                            </w:pPr>
                          </w:p>
                          <w:p w14:paraId="412B01E1" w14:textId="77777777" w:rsidR="00773972" w:rsidRPr="007802C3" w:rsidRDefault="00773972" w:rsidP="00773972">
                            <w:pPr>
                              <w:rPr>
                                <w:color w:val="000000" w:themeColor="text1"/>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9A8E8" id="文本框 45" o:spid="_x0000_s1036" type="#_x0000_t202" style="position:absolute;left:0;text-align:left;margin-left:140.1pt;margin-top:118.4pt;width:45.05pt;height:45.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" fillcolor="white [3212]" stroked="f">
                <v:textbox>
                  <w:txbxContent>
                    <w:p w14:paraId="185ECA2B" w14:textId="77777777" w:rsidR="00773972" w:rsidRDefault="00773972" w:rsidP="00773972">
                      <w:pPr>
                        <w:ind w:firstLine="140"/>
                        <w:rPr>
                          <w:color w:val="000000" w:themeColor="text1"/>
                          <w:lang w:val="en-US"/>
                        </w:rPr>
                      </w:pPr>
                      <w:r>
                        <w:rPr>
                          <w:color w:val="000000" w:themeColor="text1"/>
                          <w:lang w:val="en-US"/>
                        </w:rPr>
                        <w:t xml:space="preserve">   </w:t>
                      </w:r>
                      <w:r>
                        <w:rPr>
                          <w:color w:val="000000" w:themeColor="text1"/>
                          <w:lang w:val="en-US"/>
                        </w:rPr>
                        <w:t xml:space="preserve">b </w:t>
                      </w:r>
                      <w:r>
                        <w:rPr>
                          <w:color w:val="000000" w:themeColor="text1"/>
                          <w:lang w:val="en-US"/>
                        </w:rPr>
                        <w:t>b</w:t>
                      </w:r>
                    </w:p>
                    <w:p w14:paraId="077E88E6" w14:textId="77777777" w:rsidR="00773972" w:rsidRDefault="00773972" w:rsidP="00773972">
                      <w:pPr>
                        <w:ind w:firstLine="140"/>
                        <w:rPr>
                          <w:color w:val="000000" w:themeColor="text1"/>
                          <w:lang w:val="en-US"/>
                        </w:rPr>
                      </w:pPr>
                      <w:r>
                        <w:rPr>
                          <w:color w:val="000000" w:themeColor="text1"/>
                          <w:lang w:val="en-US"/>
                        </w:rPr>
                        <w:t>a a a</w:t>
                      </w:r>
                    </w:p>
                    <w:p w14:paraId="1C5698A7" w14:textId="77777777" w:rsidR="00773972" w:rsidRDefault="00773972" w:rsidP="00773972">
                      <w:pPr>
                        <w:rPr>
                          <w:color w:val="000000" w:themeColor="text1"/>
                          <w:lang w:val="en-US"/>
                        </w:rPr>
                      </w:pPr>
                    </w:p>
                    <w:p w14:paraId="412B01E1" w14:textId="77777777" w:rsidR="00773972" w:rsidRPr="007802C3" w:rsidRDefault="00773972" w:rsidP="00773972">
                      <w:pPr>
                        <w:rPr>
                          <w:color w:val="000000" w:themeColor="text1"/>
                          <w:lang w:val="en-US"/>
                        </w:rPr>
                      </w:pPr>
                    </w:p>
                  </w:txbxContent>
                </v:textbox>
              </v:shape>
            </w:pict>
          </mc:Fallback>
        </mc:AlternateContent>
      </w:r>
      <w:r w:rsidR="00773972" w:rsidRPr="00CC34A3">
        <w:rPr>
          <w:rFonts w:ascii="Book Antiqua" w:hAnsi="Book Antiqua"/>
          <w:noProof/>
          <w:color w:val="000000" w:themeColor="text1"/>
          <w:lang w:val="en-US" w:eastAsia="zh-CN"/>
        </w:rPr>
        <mc:AlternateContent>
          <mc:Choice Requires="wps">
            <w:drawing>
              <wp:anchor distT="0" distB="0" distL="114300" distR="114300" simplePos="0" relativeHeight="251684864" behindDoc="0" locked="0" layoutInCell="1" allowOverlap="1" wp14:anchorId="66F2BC3F" wp14:editId="50AF317A">
                <wp:simplePos x="0" y="0"/>
                <wp:positionH relativeFrom="column">
                  <wp:posOffset>1322705</wp:posOffset>
                </wp:positionH>
                <wp:positionV relativeFrom="paragraph">
                  <wp:posOffset>1503045</wp:posOffset>
                </wp:positionV>
                <wp:extent cx="572135" cy="574040"/>
                <wp:effectExtent l="0" t="0" r="12065" b="10160"/>
                <wp:wrapNone/>
                <wp:docPr id="43" name="文本框 43"/>
                <wp:cNvGraphicFramePr/>
                <a:graphic xmlns:a="http://schemas.openxmlformats.org/drawingml/2006/main">
                  <a:graphicData uri="http://schemas.microsoft.com/office/word/2010/wordprocessingShape">
                    <wps:wsp>
                      <wps:cNvSpPr txBox="1"/>
                      <wps:spPr>
                        <a:xfrm>
                          <a:off x="0" y="0"/>
                          <a:ext cx="572135" cy="57404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6A76337D" w14:textId="7B448D6C" w:rsidR="00773972" w:rsidRDefault="00773972" w:rsidP="00773972">
                            <w:pPr>
                              <w:ind w:firstLine="140"/>
                              <w:rPr>
                                <w:color w:val="000000" w:themeColor="text1"/>
                                <w:lang w:val="en-US"/>
                              </w:rPr>
                            </w:pPr>
                            <w:r>
                              <w:rPr>
                                <w:color w:val="000000" w:themeColor="text1"/>
                                <w:lang w:val="en-US"/>
                              </w:rPr>
                              <w:t xml:space="preserve">   </w:t>
                            </w:r>
                            <w:r>
                              <w:rPr>
                                <w:color w:val="000000" w:themeColor="text1"/>
                                <w:lang w:val="en-US"/>
                              </w:rPr>
                              <w:t xml:space="preserve">b </w:t>
                            </w:r>
                            <w:r>
                              <w:rPr>
                                <w:color w:val="000000" w:themeColor="text1"/>
                                <w:lang w:val="en-US"/>
                              </w:rPr>
                              <w:t>b</w:t>
                            </w:r>
                          </w:p>
                          <w:p w14:paraId="04D7F588" w14:textId="53A24575" w:rsidR="00773972" w:rsidRDefault="00773972" w:rsidP="00773972">
                            <w:pPr>
                              <w:ind w:firstLine="140"/>
                              <w:rPr>
                                <w:color w:val="000000" w:themeColor="text1"/>
                                <w:lang w:val="en-US"/>
                              </w:rPr>
                            </w:pPr>
                            <w:r>
                              <w:rPr>
                                <w:color w:val="000000" w:themeColor="text1"/>
                                <w:lang w:val="en-US"/>
                              </w:rPr>
                              <w:t>a a a</w:t>
                            </w:r>
                          </w:p>
                          <w:p w14:paraId="0E73684F" w14:textId="77777777" w:rsidR="00773972" w:rsidRDefault="00773972" w:rsidP="00773972">
                            <w:pPr>
                              <w:rPr>
                                <w:color w:val="000000" w:themeColor="text1"/>
                                <w:lang w:val="en-US"/>
                              </w:rPr>
                            </w:pPr>
                          </w:p>
                          <w:p w14:paraId="7C75491B" w14:textId="77777777" w:rsidR="00773972" w:rsidRPr="007802C3" w:rsidRDefault="00773972" w:rsidP="00773972">
                            <w:pPr>
                              <w:rPr>
                                <w:color w:val="000000" w:themeColor="text1"/>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2BC3F" id="文本框 43" o:spid="_x0000_s1037" type="#_x0000_t202" style="position:absolute;left:0;text-align:left;margin-left:104.15pt;margin-top:118.35pt;width:45.05pt;height:45.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" fillcolor="white [3212]" stroked="f">
                <v:textbox>
                  <w:txbxContent>
                    <w:p w14:paraId="6A76337D" w14:textId="7B448D6C" w:rsidR="00773972" w:rsidRDefault="00773972" w:rsidP="00773972">
                      <w:pPr>
                        <w:ind w:firstLine="140"/>
                        <w:rPr>
                          <w:color w:val="000000" w:themeColor="text1"/>
                          <w:lang w:val="en-US"/>
                        </w:rPr>
                      </w:pPr>
                      <w:r>
                        <w:rPr>
                          <w:color w:val="000000" w:themeColor="text1"/>
                          <w:lang w:val="en-US"/>
                        </w:rPr>
                        <w:t xml:space="preserve">   </w:t>
                      </w:r>
                      <w:r>
                        <w:rPr>
                          <w:color w:val="000000" w:themeColor="text1"/>
                          <w:lang w:val="en-US"/>
                        </w:rPr>
                        <w:t xml:space="preserve">b </w:t>
                      </w:r>
                      <w:r>
                        <w:rPr>
                          <w:color w:val="000000" w:themeColor="text1"/>
                          <w:lang w:val="en-US"/>
                        </w:rPr>
                        <w:t>b</w:t>
                      </w:r>
                    </w:p>
                    <w:p w14:paraId="04D7F588" w14:textId="53A24575" w:rsidR="00773972" w:rsidRDefault="00773972" w:rsidP="00773972">
                      <w:pPr>
                        <w:ind w:firstLine="140"/>
                        <w:rPr>
                          <w:color w:val="000000" w:themeColor="text1"/>
                          <w:lang w:val="en-US"/>
                        </w:rPr>
                      </w:pPr>
                      <w:r>
                        <w:rPr>
                          <w:color w:val="000000" w:themeColor="text1"/>
                          <w:lang w:val="en-US"/>
                        </w:rPr>
                        <w:t>a a a</w:t>
                      </w:r>
                    </w:p>
                    <w:p w14:paraId="0E73684F" w14:textId="77777777" w:rsidR="00773972" w:rsidRDefault="00773972" w:rsidP="00773972">
                      <w:pPr>
                        <w:rPr>
                          <w:color w:val="000000" w:themeColor="text1"/>
                          <w:lang w:val="en-US"/>
                        </w:rPr>
                      </w:pPr>
                    </w:p>
                    <w:p w14:paraId="7C75491B" w14:textId="77777777" w:rsidR="00773972" w:rsidRPr="007802C3" w:rsidRDefault="00773972" w:rsidP="00773972">
                      <w:pPr>
                        <w:rPr>
                          <w:color w:val="000000" w:themeColor="text1"/>
                          <w:lang w:val="en-US"/>
                        </w:rPr>
                      </w:pPr>
                    </w:p>
                  </w:txbxContent>
                </v:textbox>
              </v:shape>
            </w:pict>
          </mc:Fallback>
        </mc:AlternateContent>
      </w:r>
      <w:r w:rsidR="007802C3" w:rsidRPr="00CC34A3">
        <w:rPr>
          <w:rFonts w:ascii="Book Antiqua" w:hAnsi="Book Antiqua"/>
          <w:noProof/>
          <w:color w:val="000000" w:themeColor="text1"/>
          <w:lang w:val="en-US" w:eastAsia="zh-CN"/>
        </w:rPr>
        <mc:AlternateContent>
          <mc:Choice Requires="wps">
            <w:drawing>
              <wp:anchor distT="0" distB="0" distL="114300" distR="114300" simplePos="0" relativeHeight="251682816" behindDoc="0" locked="0" layoutInCell="1" allowOverlap="1" wp14:anchorId="1384E122" wp14:editId="664A85EA">
                <wp:simplePos x="0" y="0"/>
                <wp:positionH relativeFrom="column">
                  <wp:posOffset>5093335</wp:posOffset>
                </wp:positionH>
                <wp:positionV relativeFrom="paragraph">
                  <wp:posOffset>474345</wp:posOffset>
                </wp:positionV>
                <wp:extent cx="572135" cy="345440"/>
                <wp:effectExtent l="0" t="0" r="12065" b="10160"/>
                <wp:wrapNone/>
                <wp:docPr id="42" name="文本框 42"/>
                <wp:cNvGraphicFramePr/>
                <a:graphic xmlns:a="http://schemas.openxmlformats.org/drawingml/2006/main">
                  <a:graphicData uri="http://schemas.microsoft.com/office/word/2010/wordprocessingShape">
                    <wps:wsp>
                      <wps:cNvSpPr txBox="1"/>
                      <wps:spPr>
                        <a:xfrm rot="10800000" flipV="1">
                          <a:off x="0" y="0"/>
                          <a:ext cx="572135" cy="34544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49C3589C" w14:textId="77777777" w:rsidR="007802C3" w:rsidRPr="007802C3" w:rsidRDefault="007802C3" w:rsidP="007802C3">
                            <w:pPr>
                              <w:rPr>
                                <w:color w:val="000000" w:themeColor="text1"/>
                                <w:lang w:val="en-US"/>
                              </w:rPr>
                            </w:pPr>
                            <w:r>
                              <w:rPr>
                                <w:color w:val="000000" w:themeColor="text1"/>
                                <w:lang w:val="en-US"/>
                              </w:rPr>
                              <w:t xml:space="preserve">b </w:t>
                            </w:r>
                            <w:r>
                              <w:rPr>
                                <w:color w:val="000000" w:themeColor="text1"/>
                                <w:lang w:val="en-US"/>
                              </w:rPr>
                              <w:t>b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4E122" id="文本框 42" o:spid="_x0000_s1038" type="#_x0000_t202" style="position:absolute;left:0;text-align:left;margin-left:401.05pt;margin-top:37.35pt;width:45.05pt;height:27.2pt;rotation:180;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" fillcolor="white [3212]" stroked="f">
                <v:textbox>
                  <w:txbxContent>
                    <w:p w14:paraId="49C3589C" w14:textId="77777777" w:rsidR="007802C3" w:rsidRPr="007802C3" w:rsidRDefault="007802C3" w:rsidP="007802C3">
                      <w:pPr>
                        <w:rPr>
                          <w:color w:val="000000" w:themeColor="text1"/>
                          <w:lang w:val="en-US"/>
                        </w:rPr>
                      </w:pPr>
                      <w:r>
                        <w:rPr>
                          <w:color w:val="000000" w:themeColor="text1"/>
                          <w:lang w:val="en-US"/>
                        </w:rPr>
                        <w:t xml:space="preserve">b </w:t>
                      </w:r>
                      <w:r>
                        <w:rPr>
                          <w:color w:val="000000" w:themeColor="text1"/>
                          <w:lang w:val="en-US"/>
                        </w:rPr>
                        <w:t>b b</w:t>
                      </w:r>
                    </w:p>
                  </w:txbxContent>
                </v:textbox>
              </v:shape>
            </w:pict>
          </mc:Fallback>
        </mc:AlternateContent>
      </w:r>
      <w:r w:rsidR="007802C3" w:rsidRPr="00CC34A3">
        <w:rPr>
          <w:rFonts w:ascii="Book Antiqua" w:hAnsi="Book Antiqua"/>
          <w:noProof/>
          <w:color w:val="000000" w:themeColor="text1"/>
          <w:lang w:val="en-US" w:eastAsia="zh-CN"/>
        </w:rPr>
        <mc:AlternateContent>
          <mc:Choice Requires="wps">
            <w:drawing>
              <wp:anchor distT="0" distB="0" distL="114300" distR="114300" simplePos="0" relativeHeight="251680768" behindDoc="0" locked="0" layoutInCell="1" allowOverlap="1" wp14:anchorId="34E72BD7" wp14:editId="42FA8C24">
                <wp:simplePos x="0" y="0"/>
                <wp:positionH relativeFrom="column">
                  <wp:posOffset>3493770</wp:posOffset>
                </wp:positionH>
                <wp:positionV relativeFrom="paragraph">
                  <wp:posOffset>1043305</wp:posOffset>
                </wp:positionV>
                <wp:extent cx="572135" cy="231140"/>
                <wp:effectExtent l="0" t="0" r="12065" b="0"/>
                <wp:wrapNone/>
                <wp:docPr id="41" name="文本框 41"/>
                <wp:cNvGraphicFramePr/>
                <a:graphic xmlns:a="http://schemas.openxmlformats.org/drawingml/2006/main">
                  <a:graphicData uri="http://schemas.microsoft.com/office/word/2010/wordprocessingShape">
                    <wps:wsp>
                      <wps:cNvSpPr txBox="1"/>
                      <wps:spPr>
                        <a:xfrm rot="10800000" flipV="1">
                          <a:off x="0" y="0"/>
                          <a:ext cx="572135" cy="23114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6D287E2D" w14:textId="77777777" w:rsidR="007802C3" w:rsidRPr="007802C3" w:rsidRDefault="007802C3" w:rsidP="007802C3">
                            <w:pPr>
                              <w:rPr>
                                <w:color w:val="000000" w:themeColor="text1"/>
                                <w:lang w:val="en-US"/>
                              </w:rPr>
                            </w:pPr>
                            <w:r>
                              <w:rPr>
                                <w:color w:val="000000" w:themeColor="text1"/>
                                <w:lang w:val="en-US"/>
                              </w:rPr>
                              <w:t xml:space="preserve">b </w:t>
                            </w:r>
                            <w:r>
                              <w:rPr>
                                <w:color w:val="000000" w:themeColor="text1"/>
                                <w:lang w:val="en-US"/>
                              </w:rPr>
                              <w:t>b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72BD7" id="文本框 41" o:spid="_x0000_s1039" type="#_x0000_t202" style="position:absolute;left:0;text-align:left;margin-left:275.1pt;margin-top:82.15pt;width:45.05pt;height:18.2pt;rotation:180;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" fillcolor="white [3212]" stroked="f">
                <v:textbox>
                  <w:txbxContent>
                    <w:p w14:paraId="6D287E2D" w14:textId="77777777" w:rsidR="007802C3" w:rsidRPr="007802C3" w:rsidRDefault="007802C3" w:rsidP="007802C3">
                      <w:pPr>
                        <w:rPr>
                          <w:color w:val="000000" w:themeColor="text1"/>
                          <w:lang w:val="en-US"/>
                        </w:rPr>
                      </w:pPr>
                      <w:r>
                        <w:rPr>
                          <w:color w:val="000000" w:themeColor="text1"/>
                          <w:lang w:val="en-US"/>
                        </w:rPr>
                        <w:t xml:space="preserve">b </w:t>
                      </w:r>
                      <w:r>
                        <w:rPr>
                          <w:color w:val="000000" w:themeColor="text1"/>
                          <w:lang w:val="en-US"/>
                        </w:rPr>
                        <w:t>b b</w:t>
                      </w:r>
                    </w:p>
                  </w:txbxContent>
                </v:textbox>
              </v:shape>
            </w:pict>
          </mc:Fallback>
        </mc:AlternateContent>
      </w:r>
      <w:r w:rsidR="007802C3" w:rsidRPr="00CC34A3">
        <w:rPr>
          <w:rFonts w:ascii="Book Antiqua" w:hAnsi="Book Antiqua"/>
          <w:noProof/>
          <w:color w:val="000000" w:themeColor="text1"/>
          <w:lang w:val="en-US" w:eastAsia="zh-CN"/>
        </w:rPr>
        <mc:AlternateContent>
          <mc:Choice Requires="wps">
            <w:drawing>
              <wp:anchor distT="0" distB="0" distL="114300" distR="114300" simplePos="0" relativeHeight="251678720" behindDoc="0" locked="0" layoutInCell="1" allowOverlap="1" wp14:anchorId="6ECBE0AA" wp14:editId="2A15342F">
                <wp:simplePos x="0" y="0"/>
                <wp:positionH relativeFrom="column">
                  <wp:posOffset>2235835</wp:posOffset>
                </wp:positionH>
                <wp:positionV relativeFrom="paragraph">
                  <wp:posOffset>701040</wp:posOffset>
                </wp:positionV>
                <wp:extent cx="572135" cy="218440"/>
                <wp:effectExtent l="0" t="0" r="12065" b="10160"/>
                <wp:wrapNone/>
                <wp:docPr id="40" name="文本框 40"/>
                <wp:cNvGraphicFramePr/>
                <a:graphic xmlns:a="http://schemas.openxmlformats.org/drawingml/2006/main">
                  <a:graphicData uri="http://schemas.microsoft.com/office/word/2010/wordprocessingShape">
                    <wps:wsp>
                      <wps:cNvSpPr txBox="1"/>
                      <wps:spPr>
                        <a:xfrm rot="10800000" flipV="1">
                          <a:off x="0" y="0"/>
                          <a:ext cx="572135" cy="21844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2B1CC87D" w14:textId="77777777" w:rsidR="007802C3" w:rsidRPr="007802C3" w:rsidRDefault="007802C3" w:rsidP="007802C3">
                            <w:pPr>
                              <w:rPr>
                                <w:color w:val="000000" w:themeColor="text1"/>
                                <w:lang w:val="en-US"/>
                              </w:rPr>
                            </w:pPr>
                            <w:r>
                              <w:rPr>
                                <w:color w:val="000000" w:themeColor="text1"/>
                                <w:lang w:val="en-US"/>
                              </w:rPr>
                              <w:t xml:space="preserve">b </w:t>
                            </w:r>
                            <w:r>
                              <w:rPr>
                                <w:color w:val="000000" w:themeColor="text1"/>
                                <w:lang w:val="en-US"/>
                              </w:rPr>
                              <w:t>b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BE0AA" id="文本框 40" o:spid="_x0000_s1040" type="#_x0000_t202" style="position:absolute;left:0;text-align:left;margin-left:176.05pt;margin-top:55.2pt;width:45.05pt;height:17.2pt;rotation:180;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" fillcolor="white [3212]" stroked="f">
                <v:textbox>
                  <w:txbxContent>
                    <w:p w14:paraId="2B1CC87D" w14:textId="77777777" w:rsidR="007802C3" w:rsidRPr="007802C3" w:rsidRDefault="007802C3" w:rsidP="007802C3">
                      <w:pPr>
                        <w:rPr>
                          <w:color w:val="000000" w:themeColor="text1"/>
                          <w:lang w:val="en-US"/>
                        </w:rPr>
                      </w:pPr>
                      <w:r>
                        <w:rPr>
                          <w:color w:val="000000" w:themeColor="text1"/>
                          <w:lang w:val="en-US"/>
                        </w:rPr>
                        <w:t xml:space="preserve">b </w:t>
                      </w:r>
                      <w:r>
                        <w:rPr>
                          <w:color w:val="000000" w:themeColor="text1"/>
                          <w:lang w:val="en-US"/>
                        </w:rPr>
                        <w:t>b b</w:t>
                      </w:r>
                    </w:p>
                  </w:txbxContent>
                </v:textbox>
              </v:shape>
            </w:pict>
          </mc:Fallback>
        </mc:AlternateContent>
      </w:r>
      <w:r w:rsidR="007802C3" w:rsidRPr="00CC34A3">
        <w:rPr>
          <w:rFonts w:ascii="Book Antiqua" w:hAnsi="Book Antiqua"/>
          <w:noProof/>
          <w:color w:val="000000" w:themeColor="text1"/>
          <w:lang w:val="en-US" w:eastAsia="zh-CN"/>
        </w:rPr>
        <mc:AlternateContent>
          <mc:Choice Requires="wps">
            <w:drawing>
              <wp:anchor distT="0" distB="0" distL="114300" distR="114300" simplePos="0" relativeHeight="251676672" behindDoc="0" locked="0" layoutInCell="1" allowOverlap="1" wp14:anchorId="34D5E9AE" wp14:editId="271C3F54">
                <wp:simplePos x="0" y="0"/>
                <wp:positionH relativeFrom="column">
                  <wp:posOffset>864870</wp:posOffset>
                </wp:positionH>
                <wp:positionV relativeFrom="paragraph">
                  <wp:posOffset>1045845</wp:posOffset>
                </wp:positionV>
                <wp:extent cx="572135" cy="218440"/>
                <wp:effectExtent l="0" t="0" r="12065" b="10160"/>
                <wp:wrapNone/>
                <wp:docPr id="38" name="文本框 38"/>
                <wp:cNvGraphicFramePr/>
                <a:graphic xmlns:a="http://schemas.openxmlformats.org/drawingml/2006/main">
                  <a:graphicData uri="http://schemas.microsoft.com/office/word/2010/wordprocessingShape">
                    <wps:wsp>
                      <wps:cNvSpPr txBox="1"/>
                      <wps:spPr>
                        <a:xfrm rot="10800000" flipV="1">
                          <a:off x="0" y="0"/>
                          <a:ext cx="572135" cy="21844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022F1219" w14:textId="3C776E59" w:rsidR="007802C3" w:rsidRPr="007802C3" w:rsidRDefault="007802C3">
                            <w:pPr>
                              <w:rPr>
                                <w:color w:val="000000" w:themeColor="text1"/>
                                <w:lang w:val="en-US"/>
                              </w:rPr>
                            </w:pPr>
                            <w:r>
                              <w:rPr>
                                <w:color w:val="000000" w:themeColor="text1"/>
                                <w:lang w:val="en-US"/>
                              </w:rPr>
                              <w:t xml:space="preserve">b </w:t>
                            </w:r>
                            <w:r>
                              <w:rPr>
                                <w:color w:val="000000" w:themeColor="text1"/>
                                <w:lang w:val="en-US"/>
                              </w:rPr>
                              <w:t>b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5E9AE" id="文本框 38" o:spid="_x0000_s1041" type="#_x0000_t202" style="position:absolute;left:0;text-align:left;margin-left:68.1pt;margin-top:82.35pt;width:45.05pt;height:17.2pt;rotation:180;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" fillcolor="white [3212]" stroked="f">
                <v:textbox>
                  <w:txbxContent>
                    <w:p w14:paraId="022F1219" w14:textId="3C776E59" w:rsidR="007802C3" w:rsidRPr="007802C3" w:rsidRDefault="007802C3">
                      <w:pPr>
                        <w:rPr>
                          <w:color w:val="000000" w:themeColor="text1"/>
                          <w:lang w:val="en-US"/>
                        </w:rPr>
                      </w:pPr>
                      <w:r>
                        <w:rPr>
                          <w:color w:val="000000" w:themeColor="text1"/>
                          <w:lang w:val="en-US"/>
                        </w:rPr>
                        <w:t xml:space="preserve">b </w:t>
                      </w:r>
                      <w:r>
                        <w:rPr>
                          <w:color w:val="000000" w:themeColor="text1"/>
                          <w:lang w:val="en-US"/>
                        </w:rPr>
                        <w:t>b b</w:t>
                      </w:r>
                    </w:p>
                  </w:txbxContent>
                </v:textbox>
              </v:shape>
            </w:pict>
          </mc:Fallback>
        </mc:AlternateContent>
      </w:r>
      <w:r w:rsidR="00AD4DEC" w:rsidRPr="00CC34A3">
        <w:rPr>
          <w:rFonts w:ascii="Book Antiqua" w:hAnsi="Book Antiqua"/>
          <w:noProof/>
          <w:color w:val="000000" w:themeColor="text1"/>
          <w:lang w:val="en-US" w:eastAsia="zh-CN"/>
        </w:rPr>
        <w:drawing>
          <wp:inline distT="0" distB="0" distL="0" distR="0" wp14:anchorId="44F74407" wp14:editId="5CF9A22C">
            <wp:extent cx="5760085" cy="4110269"/>
            <wp:effectExtent l="0" t="0" r="0" b="5080"/>
            <wp:docPr id="8" name="Picture 8" descr="D:\Users\predrag.sikiric\Documents\amic radovi\TIFF 8 slika od 15.5.2018\Fig.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predrag.sikiric\Documents\amic radovi\TIFF 8 slika od 15.5.2018\Fig. 8.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085" cy="4110269"/>
                    </a:xfrm>
                    <a:prstGeom prst="rect">
                      <a:avLst/>
                    </a:prstGeom>
                    <a:noFill/>
                    <a:ln>
                      <a:noFill/>
                    </a:ln>
                  </pic:spPr>
                </pic:pic>
              </a:graphicData>
            </a:graphic>
          </wp:inline>
        </w:drawing>
      </w:r>
    </w:p>
    <w:p w14:paraId="2E58BC16" w14:textId="3F42C6D9" w:rsidR="00F27140" w:rsidRPr="00CC34A3" w:rsidRDefault="00250F24" w:rsidP="00CC34A3">
      <w:pPr>
        <w:pStyle w:val="Title3"/>
        <w:adjustRightInd w:val="0"/>
        <w:snapToGrid w:val="0"/>
        <w:spacing w:before="0" w:beforeAutospacing="0" w:after="0" w:afterAutospacing="0" w:line="360" w:lineRule="auto"/>
        <w:jc w:val="both"/>
        <w:rPr>
          <w:rFonts w:ascii="Book Antiqua" w:hAnsi="Book Antiqua"/>
          <w:b/>
          <w:iCs/>
          <w:color w:val="000000" w:themeColor="text1"/>
          <w:lang w:val="en-US"/>
        </w:rPr>
      </w:pPr>
      <w:r w:rsidRPr="00CC34A3">
        <w:rPr>
          <w:rFonts w:ascii="Book Antiqua" w:hAnsi="Book Antiqua"/>
          <w:b/>
          <w:color w:val="000000" w:themeColor="text1"/>
          <w:lang w:val="en-US"/>
        </w:rPr>
        <w:t xml:space="preserve">Figure 8 </w:t>
      </w:r>
      <w:bookmarkStart w:id="139" w:name="OLE_LINK18"/>
      <w:bookmarkStart w:id="140" w:name="OLE_LINK19"/>
      <w:r w:rsidRPr="00CC34A3">
        <w:rPr>
          <w:rFonts w:ascii="Book Antiqua" w:hAnsi="Book Antiqua"/>
          <w:b/>
          <w:color w:val="000000" w:themeColor="text1"/>
          <w:lang w:val="en-US"/>
        </w:rPr>
        <w:t>Nitric oxide</w:t>
      </w:r>
      <w:bookmarkEnd w:id="139"/>
      <w:bookmarkEnd w:id="140"/>
      <w:r w:rsidRPr="00CC34A3">
        <w:rPr>
          <w:rFonts w:ascii="Book Antiqua" w:hAnsi="Book Antiqua"/>
          <w:b/>
          <w:color w:val="000000" w:themeColor="text1"/>
          <w:lang w:val="en-US"/>
        </w:rPr>
        <w:t xml:space="preserve"> levels and </w:t>
      </w:r>
      <w:bookmarkStart w:id="141" w:name="OLE_LINK20"/>
      <w:bookmarkStart w:id="142" w:name="OLE_LINK21"/>
      <w:r w:rsidRPr="00CC34A3">
        <w:rPr>
          <w:rFonts w:ascii="Book Antiqua" w:hAnsi="Book Antiqua"/>
          <w:b/>
          <w:color w:val="000000" w:themeColor="text1"/>
          <w:lang w:val="en-US"/>
        </w:rPr>
        <w:t xml:space="preserve">malondialdehyde </w:t>
      </w:r>
      <w:bookmarkEnd w:id="141"/>
      <w:bookmarkEnd w:id="142"/>
      <w:r w:rsidRPr="00CC34A3">
        <w:rPr>
          <w:rFonts w:ascii="Book Antiqua" w:hAnsi="Book Antiqua"/>
          <w:b/>
          <w:color w:val="000000" w:themeColor="text1"/>
          <w:lang w:val="en-US"/>
        </w:rPr>
        <w:t>levels in the duodenal tissue of superior anterior pancreaticoduodenal vein-ligated rats at 5 min, 30 min and 24 h ligation.</w:t>
      </w:r>
      <w:r w:rsidRPr="00CC34A3">
        <w:rPr>
          <w:rFonts w:ascii="Book Antiqua" w:hAnsi="Book Antiqua"/>
          <w:b/>
          <w:iCs/>
          <w:color w:val="000000" w:themeColor="text1"/>
          <w:lang w:val="en-US"/>
        </w:rPr>
        <w:t xml:space="preserve"> </w:t>
      </w:r>
      <w:r w:rsidRPr="00CC34A3">
        <w:rPr>
          <w:rFonts w:ascii="Book Antiqua" w:hAnsi="Book Antiqua"/>
          <w:color w:val="000000" w:themeColor="text1"/>
          <w:lang w:val="en-US"/>
        </w:rPr>
        <w:t>BPC 157 [</w:t>
      </w:r>
      <w:r w:rsidR="00AD4DEC" w:rsidRPr="00CC34A3">
        <w:rPr>
          <w:rFonts w:ascii="Book Antiqua" w:hAnsi="Book Antiqua"/>
          <w:color w:val="000000" w:themeColor="text1"/>
          <w:lang w:val="en-US"/>
        </w:rPr>
        <w:t xml:space="preserve">10 </w:t>
      </w:r>
      <w:proofErr w:type="spellStart"/>
      <w:r w:rsidR="00AD4DEC" w:rsidRPr="00CC34A3">
        <w:rPr>
          <w:rFonts w:ascii="Book Antiqua" w:hAnsi="Book Antiqua"/>
          <w:color w:val="000000" w:themeColor="text1"/>
          <w:lang w:val="en-US"/>
        </w:rPr>
        <w:t>μg</w:t>
      </w:r>
      <w:proofErr w:type="spellEnd"/>
      <w:r w:rsidR="00AD4DEC" w:rsidRPr="00CC34A3">
        <w:rPr>
          <w:rFonts w:ascii="Book Antiqua" w:hAnsi="Book Antiqua"/>
          <w:color w:val="000000" w:themeColor="text1"/>
          <w:lang w:val="en-US"/>
        </w:rPr>
        <w:t>/kg, 1 mL bath/rat (Bb), 1 mL i</w:t>
      </w:r>
      <w:r w:rsidRPr="00CC34A3">
        <w:rPr>
          <w:rFonts w:ascii="Book Antiqua" w:hAnsi="Book Antiqua"/>
          <w:color w:val="000000" w:themeColor="text1"/>
          <w:lang w:val="en-US"/>
        </w:rPr>
        <w:t>nstilled into the stomach (</w:t>
      </w:r>
      <w:bookmarkStart w:id="143" w:name="OLE_LINK15"/>
      <w:bookmarkStart w:id="144" w:name="OLE_LINK17"/>
      <w:r w:rsidRPr="00CC34A3">
        <w:rPr>
          <w:rFonts w:ascii="Book Antiqua" w:hAnsi="Book Antiqua"/>
          <w:color w:val="000000" w:themeColor="text1"/>
          <w:lang w:val="en-US"/>
        </w:rPr>
        <w:t>Big</w:t>
      </w:r>
      <w:bookmarkEnd w:id="143"/>
      <w:bookmarkEnd w:id="144"/>
      <w:r w:rsidRPr="00CC34A3">
        <w:rPr>
          <w:rFonts w:ascii="Book Antiqua" w:hAnsi="Book Antiqua"/>
          <w:color w:val="000000" w:themeColor="text1"/>
          <w:lang w:val="en-US"/>
        </w:rPr>
        <w:t>)]</w:t>
      </w:r>
      <w:r w:rsidR="00AD4DEC" w:rsidRPr="00CC34A3">
        <w:rPr>
          <w:rFonts w:ascii="Book Antiqua" w:hAnsi="Book Antiqua"/>
          <w:color w:val="000000" w:themeColor="text1"/>
          <w:lang w:val="en-US"/>
        </w:rPr>
        <w:t xml:space="preserve"> or an equal volume of a saline bath (</w:t>
      </w:r>
      <w:proofErr w:type="spellStart"/>
      <w:r w:rsidR="00AD4DEC" w:rsidRPr="00CC34A3">
        <w:rPr>
          <w:rFonts w:ascii="Book Antiqua" w:hAnsi="Book Antiqua"/>
          <w:color w:val="000000" w:themeColor="text1"/>
          <w:lang w:val="en-US"/>
        </w:rPr>
        <w:t>CONb</w:t>
      </w:r>
      <w:proofErr w:type="spellEnd"/>
      <w:r w:rsidR="00AD4DEC" w:rsidRPr="00CC34A3">
        <w:rPr>
          <w:rFonts w:ascii="Book Antiqua" w:hAnsi="Book Antiqua"/>
          <w:color w:val="000000" w:themeColor="text1"/>
          <w:lang w:val="en-US"/>
        </w:rPr>
        <w:t>) or instillation in the stomach (</w:t>
      </w:r>
      <w:proofErr w:type="spellStart"/>
      <w:r w:rsidR="00AD4DEC" w:rsidRPr="00CC34A3">
        <w:rPr>
          <w:rFonts w:ascii="Book Antiqua" w:hAnsi="Book Antiqua"/>
          <w:color w:val="000000" w:themeColor="text1"/>
          <w:lang w:val="en-US"/>
        </w:rPr>
        <w:t>CONig</w:t>
      </w:r>
      <w:proofErr w:type="spellEnd"/>
      <w:r w:rsidR="00AD4DEC" w:rsidRPr="00CC34A3">
        <w:rPr>
          <w:rFonts w:ascii="Book Antiqua" w:hAnsi="Book Antiqua"/>
          <w:color w:val="000000" w:themeColor="text1"/>
          <w:lang w:val="en-US"/>
        </w:rPr>
        <w:t xml:space="preserve">) (controls) was applied to </w:t>
      </w:r>
      <w:r w:rsidRPr="00CC34A3">
        <w:rPr>
          <w:rFonts w:ascii="Book Antiqua" w:hAnsi="Book Antiqua"/>
          <w:color w:val="000000" w:themeColor="text1"/>
          <w:lang w:val="en-US"/>
        </w:rPr>
        <w:t>superior anterior pancreaticoduodenal vein</w:t>
      </w:r>
      <w:r w:rsidR="00AD4DEC" w:rsidRPr="00CC34A3">
        <w:rPr>
          <w:rFonts w:ascii="Book Antiqua" w:hAnsi="Book Antiqua"/>
          <w:color w:val="000000" w:themeColor="text1"/>
          <w:lang w:val="en-US"/>
        </w:rPr>
        <w:t xml:space="preserve">-ligated rats. </w:t>
      </w:r>
      <w:proofErr w:type="spellStart"/>
      <w:r w:rsidRPr="00CC34A3">
        <w:rPr>
          <w:rFonts w:ascii="Book Antiqua" w:hAnsi="Book Antiqua"/>
          <w:color w:val="000000" w:themeColor="text1"/>
          <w:vertAlign w:val="superscript"/>
          <w:lang w:val="en-US"/>
        </w:rPr>
        <w:t>a</w:t>
      </w:r>
      <w:r w:rsidR="00AD4DEC" w:rsidRPr="00CC34A3">
        <w:rPr>
          <w:rFonts w:ascii="Book Antiqua" w:hAnsi="Book Antiqua"/>
          <w:i/>
          <w:color w:val="000000" w:themeColor="text1"/>
          <w:lang w:val="en-US"/>
        </w:rPr>
        <w:t>P</w:t>
      </w:r>
      <w:proofErr w:type="spellEnd"/>
      <w:r w:rsidR="00AD4DEC" w:rsidRPr="00CC34A3">
        <w:rPr>
          <w:rFonts w:ascii="Book Antiqua" w:hAnsi="Book Antiqua"/>
          <w:color w:val="000000" w:themeColor="text1"/>
          <w:lang w:val="en-US"/>
        </w:rPr>
        <w:t xml:space="preserve"> &lt; 0.05 </w:t>
      </w:r>
      <w:r w:rsidR="00AD4DEC" w:rsidRPr="00CC34A3">
        <w:rPr>
          <w:rFonts w:ascii="Book Antiqua" w:hAnsi="Book Antiqua"/>
          <w:i/>
          <w:color w:val="000000" w:themeColor="text1"/>
          <w:lang w:val="en-US"/>
        </w:rPr>
        <w:t xml:space="preserve">vs </w:t>
      </w:r>
      <w:r w:rsidR="00AD4DEC" w:rsidRPr="00CC34A3">
        <w:rPr>
          <w:rFonts w:ascii="Book Antiqua" w:hAnsi="Book Antiqua"/>
          <w:color w:val="000000" w:themeColor="text1"/>
          <w:lang w:val="en-US"/>
        </w:rPr>
        <w:t xml:space="preserve">saline; </w:t>
      </w:r>
      <w:proofErr w:type="spellStart"/>
      <w:r w:rsidRPr="00CC34A3">
        <w:rPr>
          <w:rFonts w:ascii="Book Antiqua" w:eastAsia="MS Mincho" w:hAnsi="Book Antiqua" w:cs="MS Mincho"/>
          <w:color w:val="000000" w:themeColor="text1"/>
          <w:vertAlign w:val="superscript"/>
          <w:lang w:val="en-US"/>
        </w:rPr>
        <w:t>b</w:t>
      </w:r>
      <w:r w:rsidR="00AD4DEC" w:rsidRPr="00CC34A3">
        <w:rPr>
          <w:rFonts w:ascii="Book Antiqua" w:hAnsi="Book Antiqua"/>
          <w:i/>
          <w:color w:val="000000" w:themeColor="text1"/>
          <w:lang w:val="en-US"/>
        </w:rPr>
        <w:t>P</w:t>
      </w:r>
      <w:proofErr w:type="spellEnd"/>
      <w:r w:rsidR="00AD4DEC" w:rsidRPr="00CC34A3">
        <w:rPr>
          <w:rFonts w:ascii="Book Antiqua" w:hAnsi="Book Antiqua"/>
          <w:color w:val="000000" w:themeColor="text1"/>
          <w:lang w:val="en-US"/>
        </w:rPr>
        <w:t xml:space="preserve"> &lt; 0.05 </w:t>
      </w:r>
      <w:r w:rsidR="00AD4DEC" w:rsidRPr="00CC34A3">
        <w:rPr>
          <w:rFonts w:ascii="Book Antiqua" w:hAnsi="Book Antiqua"/>
          <w:i/>
          <w:color w:val="000000" w:themeColor="text1"/>
          <w:lang w:val="en-US"/>
        </w:rPr>
        <w:t xml:space="preserve">vs </w:t>
      </w:r>
      <w:r w:rsidR="00AD4DEC" w:rsidRPr="00CC34A3">
        <w:rPr>
          <w:rFonts w:ascii="Book Antiqua" w:hAnsi="Book Antiqua"/>
          <w:color w:val="000000" w:themeColor="text1"/>
          <w:lang w:val="en-US"/>
        </w:rPr>
        <w:t>healthy duodenum.</w:t>
      </w:r>
      <w:r w:rsidRPr="00CC34A3">
        <w:rPr>
          <w:rFonts w:ascii="Book Antiqua" w:hAnsi="Book Antiqua"/>
          <w:color w:val="000000" w:themeColor="text1"/>
          <w:lang w:val="en-US"/>
        </w:rPr>
        <w:t xml:space="preserve"> H: Healthy duodenum; Bb: BPC 157 10 </w:t>
      </w:r>
      <w:proofErr w:type="spellStart"/>
      <w:r w:rsidRPr="00CC34A3">
        <w:rPr>
          <w:rFonts w:ascii="Book Antiqua" w:hAnsi="Book Antiqua"/>
          <w:color w:val="000000" w:themeColor="text1"/>
          <w:lang w:val="en-US"/>
        </w:rPr>
        <w:t>μg</w:t>
      </w:r>
      <w:proofErr w:type="spellEnd"/>
      <w:r w:rsidRPr="00CC34A3">
        <w:rPr>
          <w:rFonts w:ascii="Book Antiqua" w:hAnsi="Book Antiqua"/>
          <w:color w:val="000000" w:themeColor="text1"/>
          <w:lang w:val="en-US"/>
        </w:rPr>
        <w:t xml:space="preserve">/kg, 1 mL bath/rat; Big: BPC 157 10 </w:t>
      </w:r>
      <w:proofErr w:type="spellStart"/>
      <w:r w:rsidRPr="00CC34A3">
        <w:rPr>
          <w:rFonts w:ascii="Book Antiqua" w:hAnsi="Book Antiqua"/>
          <w:color w:val="000000" w:themeColor="text1"/>
          <w:lang w:val="en-US"/>
        </w:rPr>
        <w:t>μg</w:t>
      </w:r>
      <w:proofErr w:type="spellEnd"/>
      <w:r w:rsidRPr="00CC34A3">
        <w:rPr>
          <w:rFonts w:ascii="Book Antiqua" w:hAnsi="Book Antiqua"/>
          <w:color w:val="000000" w:themeColor="text1"/>
          <w:lang w:val="en-US"/>
        </w:rPr>
        <w:t xml:space="preserve">/kg, 1 mL instilled into the stomach; </w:t>
      </w:r>
      <w:proofErr w:type="spellStart"/>
      <w:r w:rsidRPr="00CC34A3">
        <w:rPr>
          <w:rFonts w:ascii="Book Antiqua" w:hAnsi="Book Antiqua"/>
          <w:color w:val="000000" w:themeColor="text1"/>
          <w:lang w:val="en-US"/>
        </w:rPr>
        <w:t>CONb</w:t>
      </w:r>
      <w:proofErr w:type="spellEnd"/>
      <w:r w:rsidRPr="00CC34A3">
        <w:rPr>
          <w:rFonts w:ascii="Book Antiqua" w:hAnsi="Book Antiqua"/>
          <w:color w:val="000000" w:themeColor="text1"/>
          <w:lang w:val="en-US"/>
        </w:rPr>
        <w:t xml:space="preserve">: 1 mL saline bath; </w:t>
      </w:r>
      <w:proofErr w:type="spellStart"/>
      <w:r w:rsidRPr="00CC34A3">
        <w:rPr>
          <w:rFonts w:ascii="Book Antiqua" w:hAnsi="Book Antiqua"/>
          <w:color w:val="000000" w:themeColor="text1"/>
          <w:lang w:val="en-US"/>
        </w:rPr>
        <w:t>CONig</w:t>
      </w:r>
      <w:proofErr w:type="spellEnd"/>
      <w:r w:rsidRPr="00CC34A3">
        <w:rPr>
          <w:rFonts w:ascii="Book Antiqua" w:hAnsi="Book Antiqua"/>
          <w:color w:val="000000" w:themeColor="text1"/>
          <w:lang w:val="en-US"/>
        </w:rPr>
        <w:t>: 1 mL saline instillation in the stomach; NO: Nitric oxide; MDA: Malondialdehyde.</w:t>
      </w:r>
    </w:p>
    <w:sectPr w:rsidR="00F27140" w:rsidRPr="00CC34A3" w:rsidSect="00B70392">
      <w:headerReference w:type="default" r:id="rId32"/>
      <w:pgSz w:w="11906" w:h="16838"/>
      <w:pgMar w:top="1417" w:right="1417" w:bottom="1417"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8BDB19" w14:textId="77777777" w:rsidR="00481514" w:rsidRDefault="00481514" w:rsidP="00193536">
      <w:pPr>
        <w:spacing w:after="0" w:line="240" w:lineRule="auto"/>
      </w:pPr>
      <w:r>
        <w:separator/>
      </w:r>
    </w:p>
  </w:endnote>
  <w:endnote w:type="continuationSeparator" w:id="0">
    <w:p w14:paraId="2413A322" w14:textId="77777777" w:rsidR="00481514" w:rsidRDefault="00481514" w:rsidP="001935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TimesNewRomanPS-BoldItalicMT">
    <w:charset w:val="00"/>
    <w:family w:val="auto"/>
    <w:pitch w:val="variable"/>
    <w:sig w:usb0="E0000AFF" w:usb1="00007843" w:usb2="0000000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10022FF" w:usb1="C000E47F" w:usb2="00000029" w:usb3="00000000" w:csb0="000001DF" w:csb1="00000000"/>
  </w:font>
  <w:font w:name="Helvetica">
    <w:panose1 w:val="020B0504020202020204"/>
    <w:charset w:val="00"/>
    <w:family w:val="swiss"/>
    <w:notTrueType/>
    <w:pitch w:val="variable"/>
    <w:sig w:usb0="00000003" w:usb1="00000000" w:usb2="00000000" w:usb3="00000000" w:csb0="0000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F69E3B" w14:textId="77777777" w:rsidR="00481514" w:rsidRDefault="00481514" w:rsidP="00193536">
      <w:pPr>
        <w:spacing w:after="0" w:line="240" w:lineRule="auto"/>
      </w:pPr>
      <w:r>
        <w:separator/>
      </w:r>
    </w:p>
  </w:footnote>
  <w:footnote w:type="continuationSeparator" w:id="0">
    <w:p w14:paraId="0D41AD35" w14:textId="77777777" w:rsidR="00481514" w:rsidRDefault="00481514" w:rsidP="0019353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73E2AA" w14:textId="0EF3AA24" w:rsidR="005C6AAE" w:rsidRDefault="005C6AAE">
    <w:pPr>
      <w:pStyle w:val="Header"/>
      <w:jc w:val="right"/>
    </w:pPr>
  </w:p>
  <w:p w14:paraId="2ACB6FFF" w14:textId="77777777" w:rsidR="005C6AAE" w:rsidRDefault="005C6AA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574EAA"/>
    <w:multiLevelType w:val="hybridMultilevel"/>
    <w:tmpl w:val="9A7E6210"/>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1" w15:restartNumberingAfterBreak="0">
    <w:nsid w:val="334B735F"/>
    <w:multiLevelType w:val="multilevel"/>
    <w:tmpl w:val="925C524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34DF0E32"/>
    <w:multiLevelType w:val="hybridMultilevel"/>
    <w:tmpl w:val="8B62A08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15:restartNumberingAfterBreak="0">
    <w:nsid w:val="4D660759"/>
    <w:multiLevelType w:val="hybridMultilevel"/>
    <w:tmpl w:val="36FA884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15:restartNumberingAfterBreak="0">
    <w:nsid w:val="6C4E4E30"/>
    <w:multiLevelType w:val="hybridMultilevel"/>
    <w:tmpl w:val="9A7E6210"/>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num w:numId="1">
    <w:abstractNumId w:val="2"/>
  </w:num>
  <w:num w:numId="2">
    <w:abstractNumId w:val="3"/>
  </w:num>
  <w:num w:numId="3">
    <w:abstractNumId w:val="4"/>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NzA2NjU2MDQ3NTI3NDRT0lEKTi0uzszPAykwNK0FACBVTzEtAAAA"/>
    <w:docVar w:name="MachineID" w:val="204|199|197|187|202|197|203|200|197|198|200|197|188|202|197|202|201|"/>
    <w:docVar w:name="Username" w:val="Team Manager"/>
  </w:docVars>
  <w:rsids>
    <w:rsidRoot w:val="00EB7476"/>
    <w:rsid w:val="00004323"/>
    <w:rsid w:val="00006479"/>
    <w:rsid w:val="000245F4"/>
    <w:rsid w:val="00026049"/>
    <w:rsid w:val="00037230"/>
    <w:rsid w:val="0006026A"/>
    <w:rsid w:val="000614CE"/>
    <w:rsid w:val="00062ACC"/>
    <w:rsid w:val="00062BE7"/>
    <w:rsid w:val="00082FD7"/>
    <w:rsid w:val="000836DD"/>
    <w:rsid w:val="00083C8A"/>
    <w:rsid w:val="00087995"/>
    <w:rsid w:val="0009608D"/>
    <w:rsid w:val="000A5B0D"/>
    <w:rsid w:val="000A6387"/>
    <w:rsid w:val="000B6B6F"/>
    <w:rsid w:val="000B79E6"/>
    <w:rsid w:val="000C11A6"/>
    <w:rsid w:val="000C4BBE"/>
    <w:rsid w:val="000D4D1A"/>
    <w:rsid w:val="000E5BCE"/>
    <w:rsid w:val="000F78E9"/>
    <w:rsid w:val="00100F73"/>
    <w:rsid w:val="001010B2"/>
    <w:rsid w:val="00102C24"/>
    <w:rsid w:val="00103F3D"/>
    <w:rsid w:val="00110C46"/>
    <w:rsid w:val="001129E5"/>
    <w:rsid w:val="00123828"/>
    <w:rsid w:val="001251FF"/>
    <w:rsid w:val="00150AB5"/>
    <w:rsid w:val="00167733"/>
    <w:rsid w:val="00167883"/>
    <w:rsid w:val="00172E99"/>
    <w:rsid w:val="00173253"/>
    <w:rsid w:val="00187025"/>
    <w:rsid w:val="00191F7D"/>
    <w:rsid w:val="0019308D"/>
    <w:rsid w:val="00193536"/>
    <w:rsid w:val="00194C4B"/>
    <w:rsid w:val="00197FE1"/>
    <w:rsid w:val="001A3007"/>
    <w:rsid w:val="001A772E"/>
    <w:rsid w:val="001B33DC"/>
    <w:rsid w:val="001E01E3"/>
    <w:rsid w:val="001E5ADE"/>
    <w:rsid w:val="00222A93"/>
    <w:rsid w:val="00231295"/>
    <w:rsid w:val="002456AD"/>
    <w:rsid w:val="0024598B"/>
    <w:rsid w:val="00250F24"/>
    <w:rsid w:val="00253332"/>
    <w:rsid w:val="0025639A"/>
    <w:rsid w:val="00264F2B"/>
    <w:rsid w:val="00265A15"/>
    <w:rsid w:val="00270FB7"/>
    <w:rsid w:val="00295BF5"/>
    <w:rsid w:val="0029703A"/>
    <w:rsid w:val="002A7CCE"/>
    <w:rsid w:val="002B37CD"/>
    <w:rsid w:val="002B4758"/>
    <w:rsid w:val="002B7B88"/>
    <w:rsid w:val="002C5BAF"/>
    <w:rsid w:val="002D53DD"/>
    <w:rsid w:val="002D5E2A"/>
    <w:rsid w:val="002F4FB3"/>
    <w:rsid w:val="00301896"/>
    <w:rsid w:val="003021B3"/>
    <w:rsid w:val="003050F7"/>
    <w:rsid w:val="00317D7F"/>
    <w:rsid w:val="00321145"/>
    <w:rsid w:val="00323E8E"/>
    <w:rsid w:val="00331692"/>
    <w:rsid w:val="0033248A"/>
    <w:rsid w:val="00347A07"/>
    <w:rsid w:val="0035278A"/>
    <w:rsid w:val="003564CA"/>
    <w:rsid w:val="00357923"/>
    <w:rsid w:val="0035799C"/>
    <w:rsid w:val="003621BD"/>
    <w:rsid w:val="00363028"/>
    <w:rsid w:val="00372710"/>
    <w:rsid w:val="00372F82"/>
    <w:rsid w:val="0039560D"/>
    <w:rsid w:val="003B32DE"/>
    <w:rsid w:val="003B6643"/>
    <w:rsid w:val="003C72AE"/>
    <w:rsid w:val="003D18E6"/>
    <w:rsid w:val="003D6AEE"/>
    <w:rsid w:val="0040371E"/>
    <w:rsid w:val="004047BC"/>
    <w:rsid w:val="004113D7"/>
    <w:rsid w:val="00423EB5"/>
    <w:rsid w:val="00444502"/>
    <w:rsid w:val="00447FBA"/>
    <w:rsid w:val="00456E13"/>
    <w:rsid w:val="00461985"/>
    <w:rsid w:val="00467939"/>
    <w:rsid w:val="004739E2"/>
    <w:rsid w:val="004803A2"/>
    <w:rsid w:val="00481514"/>
    <w:rsid w:val="00483CAB"/>
    <w:rsid w:val="004847C9"/>
    <w:rsid w:val="00487438"/>
    <w:rsid w:val="0049721F"/>
    <w:rsid w:val="004A142F"/>
    <w:rsid w:val="004A54A4"/>
    <w:rsid w:val="004A63C8"/>
    <w:rsid w:val="004B4767"/>
    <w:rsid w:val="004B6988"/>
    <w:rsid w:val="004C6CF8"/>
    <w:rsid w:val="004E48BF"/>
    <w:rsid w:val="004F153E"/>
    <w:rsid w:val="004F34CF"/>
    <w:rsid w:val="004F5C8E"/>
    <w:rsid w:val="004F6368"/>
    <w:rsid w:val="00501226"/>
    <w:rsid w:val="005014AB"/>
    <w:rsid w:val="00513F99"/>
    <w:rsid w:val="00533A0E"/>
    <w:rsid w:val="0053651B"/>
    <w:rsid w:val="0054073F"/>
    <w:rsid w:val="0054654F"/>
    <w:rsid w:val="00562526"/>
    <w:rsid w:val="00566F9C"/>
    <w:rsid w:val="0057262C"/>
    <w:rsid w:val="00575211"/>
    <w:rsid w:val="0058195A"/>
    <w:rsid w:val="00582230"/>
    <w:rsid w:val="0058383B"/>
    <w:rsid w:val="0059760C"/>
    <w:rsid w:val="005B0874"/>
    <w:rsid w:val="005C3B86"/>
    <w:rsid w:val="005C6AAE"/>
    <w:rsid w:val="005C7A52"/>
    <w:rsid w:val="005D7D64"/>
    <w:rsid w:val="005D7F84"/>
    <w:rsid w:val="005E156A"/>
    <w:rsid w:val="005E19E4"/>
    <w:rsid w:val="005E3D33"/>
    <w:rsid w:val="005E3F53"/>
    <w:rsid w:val="005E58A0"/>
    <w:rsid w:val="005E7BE1"/>
    <w:rsid w:val="005F5CD1"/>
    <w:rsid w:val="005F7468"/>
    <w:rsid w:val="006014FC"/>
    <w:rsid w:val="00613A9E"/>
    <w:rsid w:val="006149B0"/>
    <w:rsid w:val="00620F75"/>
    <w:rsid w:val="006378BA"/>
    <w:rsid w:val="00640125"/>
    <w:rsid w:val="00647551"/>
    <w:rsid w:val="00657491"/>
    <w:rsid w:val="006607C1"/>
    <w:rsid w:val="00665215"/>
    <w:rsid w:val="00670D13"/>
    <w:rsid w:val="00681801"/>
    <w:rsid w:val="006A3087"/>
    <w:rsid w:val="006A5C33"/>
    <w:rsid w:val="006B67B3"/>
    <w:rsid w:val="006C0130"/>
    <w:rsid w:val="006C23CC"/>
    <w:rsid w:val="006C4B3C"/>
    <w:rsid w:val="006C4FCD"/>
    <w:rsid w:val="006E2B0A"/>
    <w:rsid w:val="006E6E9D"/>
    <w:rsid w:val="006F2B3D"/>
    <w:rsid w:val="006F5E3D"/>
    <w:rsid w:val="0070021C"/>
    <w:rsid w:val="00704E83"/>
    <w:rsid w:val="00720A83"/>
    <w:rsid w:val="00733A15"/>
    <w:rsid w:val="00752BE2"/>
    <w:rsid w:val="00773972"/>
    <w:rsid w:val="0077629A"/>
    <w:rsid w:val="00777B2E"/>
    <w:rsid w:val="007802C3"/>
    <w:rsid w:val="00782EE0"/>
    <w:rsid w:val="00786964"/>
    <w:rsid w:val="007928C2"/>
    <w:rsid w:val="007B17EE"/>
    <w:rsid w:val="007B1B99"/>
    <w:rsid w:val="007B7F18"/>
    <w:rsid w:val="007C33F8"/>
    <w:rsid w:val="007C3619"/>
    <w:rsid w:val="007D5C77"/>
    <w:rsid w:val="007D5D81"/>
    <w:rsid w:val="007F193E"/>
    <w:rsid w:val="007F7E0E"/>
    <w:rsid w:val="00807FF8"/>
    <w:rsid w:val="00827567"/>
    <w:rsid w:val="008311D1"/>
    <w:rsid w:val="00837D9A"/>
    <w:rsid w:val="00842B9D"/>
    <w:rsid w:val="008463A4"/>
    <w:rsid w:val="00866BFE"/>
    <w:rsid w:val="008704E4"/>
    <w:rsid w:val="00875172"/>
    <w:rsid w:val="00876213"/>
    <w:rsid w:val="00890A0F"/>
    <w:rsid w:val="008A5E10"/>
    <w:rsid w:val="008B0BCB"/>
    <w:rsid w:val="008B2734"/>
    <w:rsid w:val="008B617C"/>
    <w:rsid w:val="008B67EE"/>
    <w:rsid w:val="008D0C86"/>
    <w:rsid w:val="008D1D19"/>
    <w:rsid w:val="008D3907"/>
    <w:rsid w:val="008D5CC8"/>
    <w:rsid w:val="008D6F98"/>
    <w:rsid w:val="008E6E6E"/>
    <w:rsid w:val="008E72C3"/>
    <w:rsid w:val="008F58DC"/>
    <w:rsid w:val="008F6898"/>
    <w:rsid w:val="00904275"/>
    <w:rsid w:val="0091501D"/>
    <w:rsid w:val="00917940"/>
    <w:rsid w:val="00924F7A"/>
    <w:rsid w:val="0093519D"/>
    <w:rsid w:val="00944F41"/>
    <w:rsid w:val="00951B85"/>
    <w:rsid w:val="009737B8"/>
    <w:rsid w:val="009742B2"/>
    <w:rsid w:val="00976295"/>
    <w:rsid w:val="00992FA2"/>
    <w:rsid w:val="009941B2"/>
    <w:rsid w:val="009A3F24"/>
    <w:rsid w:val="009A7CF8"/>
    <w:rsid w:val="009B47AF"/>
    <w:rsid w:val="009D63FD"/>
    <w:rsid w:val="009E1F0F"/>
    <w:rsid w:val="009E298C"/>
    <w:rsid w:val="009F37B4"/>
    <w:rsid w:val="009F63A3"/>
    <w:rsid w:val="009F7AC4"/>
    <w:rsid w:val="00A06DFA"/>
    <w:rsid w:val="00A06F87"/>
    <w:rsid w:val="00A10150"/>
    <w:rsid w:val="00A22B25"/>
    <w:rsid w:val="00A26DAE"/>
    <w:rsid w:val="00A33B2B"/>
    <w:rsid w:val="00A43E62"/>
    <w:rsid w:val="00A45C34"/>
    <w:rsid w:val="00A526CA"/>
    <w:rsid w:val="00A559CA"/>
    <w:rsid w:val="00A8725E"/>
    <w:rsid w:val="00AA2BB3"/>
    <w:rsid w:val="00AB2305"/>
    <w:rsid w:val="00AC2597"/>
    <w:rsid w:val="00AD4DEC"/>
    <w:rsid w:val="00AE5B6A"/>
    <w:rsid w:val="00AF3F4B"/>
    <w:rsid w:val="00AF5144"/>
    <w:rsid w:val="00B018C7"/>
    <w:rsid w:val="00B073A6"/>
    <w:rsid w:val="00B11C9C"/>
    <w:rsid w:val="00B13ED8"/>
    <w:rsid w:val="00B20000"/>
    <w:rsid w:val="00B26664"/>
    <w:rsid w:val="00B27F3B"/>
    <w:rsid w:val="00B34A10"/>
    <w:rsid w:val="00B4096C"/>
    <w:rsid w:val="00B52400"/>
    <w:rsid w:val="00B53FB7"/>
    <w:rsid w:val="00B5648A"/>
    <w:rsid w:val="00B6296A"/>
    <w:rsid w:val="00B64C29"/>
    <w:rsid w:val="00B66A71"/>
    <w:rsid w:val="00B70392"/>
    <w:rsid w:val="00B70782"/>
    <w:rsid w:val="00B73518"/>
    <w:rsid w:val="00B73A12"/>
    <w:rsid w:val="00B92143"/>
    <w:rsid w:val="00BA7A59"/>
    <w:rsid w:val="00BB5159"/>
    <w:rsid w:val="00BB7453"/>
    <w:rsid w:val="00BB7D03"/>
    <w:rsid w:val="00BC10E3"/>
    <w:rsid w:val="00BC628F"/>
    <w:rsid w:val="00BD3217"/>
    <w:rsid w:val="00BE07A5"/>
    <w:rsid w:val="00BE5E6F"/>
    <w:rsid w:val="00C10109"/>
    <w:rsid w:val="00C13DCC"/>
    <w:rsid w:val="00C14C1D"/>
    <w:rsid w:val="00C33772"/>
    <w:rsid w:val="00C34B5F"/>
    <w:rsid w:val="00C410A9"/>
    <w:rsid w:val="00C41B69"/>
    <w:rsid w:val="00C44F8E"/>
    <w:rsid w:val="00C4797B"/>
    <w:rsid w:val="00C6308E"/>
    <w:rsid w:val="00C70D73"/>
    <w:rsid w:val="00C7793C"/>
    <w:rsid w:val="00CB1E2F"/>
    <w:rsid w:val="00CC34A3"/>
    <w:rsid w:val="00CC6E42"/>
    <w:rsid w:val="00CD1678"/>
    <w:rsid w:val="00CD3F27"/>
    <w:rsid w:val="00CD44A7"/>
    <w:rsid w:val="00CD520A"/>
    <w:rsid w:val="00CE1849"/>
    <w:rsid w:val="00CE737E"/>
    <w:rsid w:val="00CF6428"/>
    <w:rsid w:val="00D04874"/>
    <w:rsid w:val="00D0578C"/>
    <w:rsid w:val="00D10AD9"/>
    <w:rsid w:val="00D13B45"/>
    <w:rsid w:val="00D169D1"/>
    <w:rsid w:val="00D24A5A"/>
    <w:rsid w:val="00D25C56"/>
    <w:rsid w:val="00D358CB"/>
    <w:rsid w:val="00D42CC2"/>
    <w:rsid w:val="00D50068"/>
    <w:rsid w:val="00D6681E"/>
    <w:rsid w:val="00D669A3"/>
    <w:rsid w:val="00D73AF1"/>
    <w:rsid w:val="00D87649"/>
    <w:rsid w:val="00D90D5D"/>
    <w:rsid w:val="00DB165E"/>
    <w:rsid w:val="00DB7D03"/>
    <w:rsid w:val="00DC6DE8"/>
    <w:rsid w:val="00DD5DA6"/>
    <w:rsid w:val="00DE0FBA"/>
    <w:rsid w:val="00DE5B02"/>
    <w:rsid w:val="00E10E2A"/>
    <w:rsid w:val="00E20ED4"/>
    <w:rsid w:val="00E21FDA"/>
    <w:rsid w:val="00E243D2"/>
    <w:rsid w:val="00E3696A"/>
    <w:rsid w:val="00E36B8B"/>
    <w:rsid w:val="00E4070A"/>
    <w:rsid w:val="00E40CB8"/>
    <w:rsid w:val="00E446C3"/>
    <w:rsid w:val="00E56388"/>
    <w:rsid w:val="00E56655"/>
    <w:rsid w:val="00E57F6E"/>
    <w:rsid w:val="00E671E7"/>
    <w:rsid w:val="00E67AD0"/>
    <w:rsid w:val="00E707EB"/>
    <w:rsid w:val="00E72941"/>
    <w:rsid w:val="00E7323C"/>
    <w:rsid w:val="00E733B2"/>
    <w:rsid w:val="00E82FF0"/>
    <w:rsid w:val="00E86EA1"/>
    <w:rsid w:val="00E87914"/>
    <w:rsid w:val="00E9461F"/>
    <w:rsid w:val="00EB09D8"/>
    <w:rsid w:val="00EB5756"/>
    <w:rsid w:val="00EB7476"/>
    <w:rsid w:val="00ED1C1A"/>
    <w:rsid w:val="00ED2DC4"/>
    <w:rsid w:val="00ED38C5"/>
    <w:rsid w:val="00EE74AD"/>
    <w:rsid w:val="00F07FF7"/>
    <w:rsid w:val="00F11F1D"/>
    <w:rsid w:val="00F1202D"/>
    <w:rsid w:val="00F16234"/>
    <w:rsid w:val="00F22A5D"/>
    <w:rsid w:val="00F2601A"/>
    <w:rsid w:val="00F2667A"/>
    <w:rsid w:val="00F2676A"/>
    <w:rsid w:val="00F27140"/>
    <w:rsid w:val="00F27A54"/>
    <w:rsid w:val="00F33A5D"/>
    <w:rsid w:val="00F42B59"/>
    <w:rsid w:val="00F44D6B"/>
    <w:rsid w:val="00F45451"/>
    <w:rsid w:val="00F53BAE"/>
    <w:rsid w:val="00F71902"/>
    <w:rsid w:val="00F80560"/>
    <w:rsid w:val="00F923D6"/>
    <w:rsid w:val="00FC07DA"/>
    <w:rsid w:val="00FD0D91"/>
    <w:rsid w:val="00FD7273"/>
    <w:rsid w:val="00FE2355"/>
    <w:rsid w:val="00FE5739"/>
    <w:rsid w:val="00FE6951"/>
    <w:rsid w:val="00FF3466"/>
  </w:rsids>
  <m:mathPr>
    <m:mathFont m:val="Cambria Math"/>
    <m:brkBin m:val="before"/>
    <m:brkBinSub m:val="--"/>
    <m:smallFrac m:val="0"/>
    <m:dispDef/>
    <m:lMargin m:val="0"/>
    <m:rMargin m:val="0"/>
    <m:defJc m:val="centerGroup"/>
    <m:wrapIndent m:val="1440"/>
    <m:intLim m:val="subSup"/>
    <m:naryLim m:val="undOvr"/>
  </m:mathPr>
  <w:themeFontLang w:val="hr-HR"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53C436B"/>
  <w15:docId w15:val="{DEF5F940-2F98-4A14-ADAD-4C27FBD4FF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B7476"/>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B7476"/>
    <w:rPr>
      <w:color w:val="0000FF"/>
      <w:u w:val="single"/>
    </w:rPr>
  </w:style>
  <w:style w:type="paragraph" w:customStyle="1" w:styleId="details">
    <w:name w:val="details"/>
    <w:basedOn w:val="Normal"/>
    <w:rsid w:val="00EB7476"/>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jrnl">
    <w:name w:val="jrnl"/>
    <w:basedOn w:val="DefaultParagraphFont"/>
    <w:rsid w:val="00EB7476"/>
  </w:style>
  <w:style w:type="paragraph" w:customStyle="1" w:styleId="Title3">
    <w:name w:val="Title3"/>
    <w:basedOn w:val="Normal"/>
    <w:rsid w:val="00EB7476"/>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Title1">
    <w:name w:val="Title1"/>
    <w:basedOn w:val="Normal"/>
    <w:rsid w:val="00EB7476"/>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highlight2">
    <w:name w:val="highlight2"/>
    <w:basedOn w:val="DefaultParagraphFont"/>
    <w:rsid w:val="00EB7476"/>
  </w:style>
  <w:style w:type="paragraph" w:customStyle="1" w:styleId="Title4">
    <w:name w:val="Title4"/>
    <w:basedOn w:val="Normal"/>
    <w:rsid w:val="002A7CCE"/>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title10">
    <w:name w:val="title1"/>
    <w:basedOn w:val="Normal"/>
    <w:rsid w:val="00DD5DA6"/>
    <w:pPr>
      <w:spacing w:after="0" w:line="240" w:lineRule="auto"/>
    </w:pPr>
    <w:rPr>
      <w:rFonts w:ascii="Times New Roman" w:eastAsia="Times New Roman" w:hAnsi="Times New Roman" w:cs="Times New Roman"/>
      <w:sz w:val="27"/>
      <w:szCs w:val="27"/>
      <w:lang w:eastAsia="hr-HR"/>
    </w:rPr>
  </w:style>
  <w:style w:type="paragraph" w:customStyle="1" w:styleId="desc2">
    <w:name w:val="desc2"/>
    <w:basedOn w:val="Normal"/>
    <w:rsid w:val="00DD5DA6"/>
    <w:pPr>
      <w:spacing w:after="0" w:line="240" w:lineRule="auto"/>
    </w:pPr>
    <w:rPr>
      <w:rFonts w:ascii="Times New Roman" w:eastAsia="Times New Roman" w:hAnsi="Times New Roman" w:cs="Times New Roman"/>
      <w:sz w:val="26"/>
      <w:szCs w:val="26"/>
      <w:lang w:eastAsia="hr-HR"/>
    </w:rPr>
  </w:style>
  <w:style w:type="paragraph" w:customStyle="1" w:styleId="details1">
    <w:name w:val="details1"/>
    <w:basedOn w:val="Normal"/>
    <w:rsid w:val="00DD5DA6"/>
    <w:pPr>
      <w:spacing w:after="0" w:line="240" w:lineRule="auto"/>
    </w:pPr>
    <w:rPr>
      <w:rFonts w:ascii="Times New Roman" w:eastAsia="Times New Roman" w:hAnsi="Times New Roman" w:cs="Times New Roman"/>
      <w:lang w:eastAsia="hr-HR"/>
    </w:rPr>
  </w:style>
  <w:style w:type="paragraph" w:styleId="ListParagraph">
    <w:name w:val="List Paragraph"/>
    <w:basedOn w:val="Normal"/>
    <w:uiPriority w:val="34"/>
    <w:qFormat/>
    <w:rsid w:val="006149B0"/>
    <w:pPr>
      <w:ind w:left="720"/>
      <w:contextualSpacing/>
    </w:pPr>
  </w:style>
  <w:style w:type="paragraph" w:styleId="NormalWeb">
    <w:name w:val="Normal (Web)"/>
    <w:basedOn w:val="Normal"/>
    <w:uiPriority w:val="99"/>
    <w:semiHidden/>
    <w:unhideWhenUsed/>
    <w:rsid w:val="00ED2DC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ighlight">
    <w:name w:val="highlight"/>
    <w:basedOn w:val="DefaultParagraphFont"/>
    <w:rsid w:val="000836DD"/>
  </w:style>
  <w:style w:type="paragraph" w:styleId="Header">
    <w:name w:val="header"/>
    <w:basedOn w:val="Normal"/>
    <w:link w:val="HeaderChar"/>
    <w:uiPriority w:val="99"/>
    <w:unhideWhenUsed/>
    <w:rsid w:val="00193536"/>
    <w:pPr>
      <w:tabs>
        <w:tab w:val="center" w:pos="4536"/>
        <w:tab w:val="right" w:pos="9072"/>
      </w:tabs>
      <w:spacing w:after="0" w:line="240" w:lineRule="auto"/>
    </w:pPr>
  </w:style>
  <w:style w:type="character" w:customStyle="1" w:styleId="HeaderChar">
    <w:name w:val="Header Char"/>
    <w:basedOn w:val="DefaultParagraphFont"/>
    <w:link w:val="Header"/>
    <w:uiPriority w:val="99"/>
    <w:rsid w:val="00193536"/>
  </w:style>
  <w:style w:type="paragraph" w:styleId="Footer">
    <w:name w:val="footer"/>
    <w:basedOn w:val="Normal"/>
    <w:link w:val="FooterChar"/>
    <w:uiPriority w:val="99"/>
    <w:unhideWhenUsed/>
    <w:rsid w:val="00193536"/>
    <w:pPr>
      <w:tabs>
        <w:tab w:val="center" w:pos="4536"/>
        <w:tab w:val="right" w:pos="9072"/>
      </w:tabs>
      <w:spacing w:after="0" w:line="240" w:lineRule="auto"/>
    </w:pPr>
  </w:style>
  <w:style w:type="character" w:customStyle="1" w:styleId="FooterChar">
    <w:name w:val="Footer Char"/>
    <w:basedOn w:val="DefaultParagraphFont"/>
    <w:link w:val="Footer"/>
    <w:uiPriority w:val="99"/>
    <w:rsid w:val="00193536"/>
  </w:style>
  <w:style w:type="paragraph" w:styleId="BalloonText">
    <w:name w:val="Balloon Text"/>
    <w:basedOn w:val="Normal"/>
    <w:link w:val="BalloonTextChar"/>
    <w:uiPriority w:val="99"/>
    <w:semiHidden/>
    <w:unhideWhenUsed/>
    <w:rsid w:val="00264F2B"/>
    <w:pPr>
      <w:spacing w:after="0" w:line="240" w:lineRule="auto"/>
    </w:pPr>
    <w:rPr>
      <w:rFonts w:ascii="Tahoma" w:hAnsi="Tahoma" w:cs="Tahoma"/>
      <w:sz w:val="16"/>
      <w:szCs w:val="16"/>
      <w:lang w:val="en-US"/>
    </w:rPr>
  </w:style>
  <w:style w:type="character" w:customStyle="1" w:styleId="BalloonTextChar">
    <w:name w:val="Balloon Text Char"/>
    <w:basedOn w:val="DefaultParagraphFont"/>
    <w:link w:val="BalloonText"/>
    <w:uiPriority w:val="99"/>
    <w:semiHidden/>
    <w:rsid w:val="00264F2B"/>
    <w:rPr>
      <w:rFonts w:ascii="Tahoma" w:hAnsi="Tahoma" w:cs="Tahoma"/>
      <w:sz w:val="16"/>
      <w:szCs w:val="16"/>
      <w:lang w:val="en-US"/>
    </w:rPr>
  </w:style>
  <w:style w:type="character" w:styleId="CommentReference">
    <w:name w:val="annotation reference"/>
    <w:basedOn w:val="DefaultParagraphFont"/>
    <w:uiPriority w:val="99"/>
    <w:semiHidden/>
    <w:unhideWhenUsed/>
    <w:rsid w:val="00DB165E"/>
    <w:rPr>
      <w:sz w:val="18"/>
      <w:szCs w:val="18"/>
    </w:rPr>
  </w:style>
  <w:style w:type="paragraph" w:styleId="CommentText">
    <w:name w:val="annotation text"/>
    <w:basedOn w:val="Normal"/>
    <w:link w:val="CommentTextChar"/>
    <w:uiPriority w:val="99"/>
    <w:semiHidden/>
    <w:unhideWhenUsed/>
    <w:rsid w:val="00DB165E"/>
    <w:pPr>
      <w:spacing w:line="240" w:lineRule="auto"/>
    </w:pPr>
    <w:rPr>
      <w:sz w:val="24"/>
      <w:szCs w:val="24"/>
      <w:lang w:val="en-US"/>
    </w:rPr>
  </w:style>
  <w:style w:type="character" w:customStyle="1" w:styleId="CommentTextChar">
    <w:name w:val="Comment Text Char"/>
    <w:basedOn w:val="DefaultParagraphFont"/>
    <w:link w:val="CommentText"/>
    <w:uiPriority w:val="99"/>
    <w:semiHidden/>
    <w:rsid w:val="00DB165E"/>
    <w:rPr>
      <w:sz w:val="24"/>
      <w:szCs w:val="24"/>
      <w:lang w:val="en-US"/>
    </w:rPr>
  </w:style>
  <w:style w:type="paragraph" w:styleId="CommentSubject">
    <w:name w:val="annotation subject"/>
    <w:basedOn w:val="CommentText"/>
    <w:next w:val="CommentText"/>
    <w:link w:val="CommentSubjectChar"/>
    <w:uiPriority w:val="99"/>
    <w:semiHidden/>
    <w:unhideWhenUsed/>
    <w:rsid w:val="00DB165E"/>
    <w:rPr>
      <w:b/>
      <w:bCs/>
      <w:sz w:val="20"/>
      <w:szCs w:val="20"/>
    </w:rPr>
  </w:style>
  <w:style w:type="character" w:customStyle="1" w:styleId="CommentSubjectChar">
    <w:name w:val="Comment Subject Char"/>
    <w:basedOn w:val="CommentTextChar"/>
    <w:link w:val="CommentSubject"/>
    <w:uiPriority w:val="99"/>
    <w:semiHidden/>
    <w:rsid w:val="00DB165E"/>
    <w:rPr>
      <w:b/>
      <w:bCs/>
      <w:sz w:val="20"/>
      <w:szCs w:val="20"/>
      <w:lang w:val="en-US"/>
    </w:rPr>
  </w:style>
  <w:style w:type="paragraph" w:styleId="Revision">
    <w:name w:val="Revision"/>
    <w:hidden/>
    <w:uiPriority w:val="99"/>
    <w:semiHidden/>
    <w:rsid w:val="00DC6DE8"/>
    <w:pPr>
      <w:spacing w:after="0" w:line="240" w:lineRule="auto"/>
    </w:pPr>
  </w:style>
  <w:style w:type="character" w:customStyle="1" w:styleId="orcid-id1">
    <w:name w:val="orcid-id1"/>
    <w:basedOn w:val="DefaultParagraphFont"/>
    <w:rsid w:val="000C4BBE"/>
    <w:rPr>
      <w:i w:val="0"/>
      <w:iCs w:val="0"/>
      <w:color w:val="494A4C"/>
      <w:position w:val="5"/>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9626880">
      <w:bodyDiv w:val="1"/>
      <w:marLeft w:val="0"/>
      <w:marRight w:val="0"/>
      <w:marTop w:val="0"/>
      <w:marBottom w:val="0"/>
      <w:divBdr>
        <w:top w:val="none" w:sz="0" w:space="0" w:color="auto"/>
        <w:left w:val="none" w:sz="0" w:space="0" w:color="auto"/>
        <w:bottom w:val="none" w:sz="0" w:space="0" w:color="auto"/>
        <w:right w:val="none" w:sz="0" w:space="0" w:color="auto"/>
      </w:divBdr>
    </w:div>
    <w:div w:id="430666024">
      <w:bodyDiv w:val="1"/>
      <w:marLeft w:val="0"/>
      <w:marRight w:val="0"/>
      <w:marTop w:val="0"/>
      <w:marBottom w:val="0"/>
      <w:divBdr>
        <w:top w:val="none" w:sz="0" w:space="0" w:color="auto"/>
        <w:left w:val="none" w:sz="0" w:space="0" w:color="auto"/>
        <w:bottom w:val="none" w:sz="0" w:space="0" w:color="auto"/>
        <w:right w:val="none" w:sz="0" w:space="0" w:color="auto"/>
      </w:divBdr>
    </w:div>
    <w:div w:id="447241735">
      <w:bodyDiv w:val="1"/>
      <w:marLeft w:val="0"/>
      <w:marRight w:val="0"/>
      <w:marTop w:val="0"/>
      <w:marBottom w:val="0"/>
      <w:divBdr>
        <w:top w:val="none" w:sz="0" w:space="0" w:color="auto"/>
        <w:left w:val="none" w:sz="0" w:space="0" w:color="auto"/>
        <w:bottom w:val="none" w:sz="0" w:space="0" w:color="auto"/>
        <w:right w:val="none" w:sz="0" w:space="0" w:color="auto"/>
      </w:divBdr>
    </w:div>
    <w:div w:id="571737697">
      <w:bodyDiv w:val="1"/>
      <w:marLeft w:val="0"/>
      <w:marRight w:val="0"/>
      <w:marTop w:val="0"/>
      <w:marBottom w:val="0"/>
      <w:divBdr>
        <w:top w:val="none" w:sz="0" w:space="0" w:color="auto"/>
        <w:left w:val="none" w:sz="0" w:space="0" w:color="auto"/>
        <w:bottom w:val="none" w:sz="0" w:space="0" w:color="auto"/>
        <w:right w:val="none" w:sz="0" w:space="0" w:color="auto"/>
      </w:divBdr>
    </w:div>
    <w:div w:id="636303658">
      <w:bodyDiv w:val="1"/>
      <w:marLeft w:val="0"/>
      <w:marRight w:val="0"/>
      <w:marTop w:val="0"/>
      <w:marBottom w:val="0"/>
      <w:divBdr>
        <w:top w:val="none" w:sz="0" w:space="0" w:color="auto"/>
        <w:left w:val="none" w:sz="0" w:space="0" w:color="auto"/>
        <w:bottom w:val="none" w:sz="0" w:space="0" w:color="auto"/>
        <w:right w:val="none" w:sz="0" w:space="0" w:color="auto"/>
      </w:divBdr>
      <w:divsChild>
        <w:div w:id="1550996767">
          <w:marLeft w:val="0"/>
          <w:marRight w:val="1"/>
          <w:marTop w:val="0"/>
          <w:marBottom w:val="0"/>
          <w:divBdr>
            <w:top w:val="none" w:sz="0" w:space="0" w:color="auto"/>
            <w:left w:val="none" w:sz="0" w:space="0" w:color="auto"/>
            <w:bottom w:val="none" w:sz="0" w:space="0" w:color="auto"/>
            <w:right w:val="none" w:sz="0" w:space="0" w:color="auto"/>
          </w:divBdr>
          <w:divsChild>
            <w:div w:id="1267809830">
              <w:marLeft w:val="0"/>
              <w:marRight w:val="0"/>
              <w:marTop w:val="0"/>
              <w:marBottom w:val="0"/>
              <w:divBdr>
                <w:top w:val="none" w:sz="0" w:space="0" w:color="auto"/>
                <w:left w:val="none" w:sz="0" w:space="0" w:color="auto"/>
                <w:bottom w:val="none" w:sz="0" w:space="0" w:color="auto"/>
                <w:right w:val="none" w:sz="0" w:space="0" w:color="auto"/>
              </w:divBdr>
              <w:divsChild>
                <w:div w:id="677269858">
                  <w:marLeft w:val="0"/>
                  <w:marRight w:val="1"/>
                  <w:marTop w:val="0"/>
                  <w:marBottom w:val="0"/>
                  <w:divBdr>
                    <w:top w:val="none" w:sz="0" w:space="0" w:color="auto"/>
                    <w:left w:val="none" w:sz="0" w:space="0" w:color="auto"/>
                    <w:bottom w:val="none" w:sz="0" w:space="0" w:color="auto"/>
                    <w:right w:val="none" w:sz="0" w:space="0" w:color="auto"/>
                  </w:divBdr>
                  <w:divsChild>
                    <w:div w:id="101851162">
                      <w:marLeft w:val="0"/>
                      <w:marRight w:val="0"/>
                      <w:marTop w:val="0"/>
                      <w:marBottom w:val="0"/>
                      <w:divBdr>
                        <w:top w:val="none" w:sz="0" w:space="0" w:color="auto"/>
                        <w:left w:val="none" w:sz="0" w:space="0" w:color="auto"/>
                        <w:bottom w:val="none" w:sz="0" w:space="0" w:color="auto"/>
                        <w:right w:val="none" w:sz="0" w:space="0" w:color="auto"/>
                      </w:divBdr>
                      <w:divsChild>
                        <w:div w:id="1298411597">
                          <w:marLeft w:val="0"/>
                          <w:marRight w:val="0"/>
                          <w:marTop w:val="0"/>
                          <w:marBottom w:val="0"/>
                          <w:divBdr>
                            <w:top w:val="none" w:sz="0" w:space="0" w:color="auto"/>
                            <w:left w:val="none" w:sz="0" w:space="0" w:color="auto"/>
                            <w:bottom w:val="none" w:sz="0" w:space="0" w:color="auto"/>
                            <w:right w:val="none" w:sz="0" w:space="0" w:color="auto"/>
                          </w:divBdr>
                          <w:divsChild>
                            <w:div w:id="1455371750">
                              <w:marLeft w:val="0"/>
                              <w:marRight w:val="0"/>
                              <w:marTop w:val="120"/>
                              <w:marBottom w:val="360"/>
                              <w:divBdr>
                                <w:top w:val="none" w:sz="0" w:space="0" w:color="auto"/>
                                <w:left w:val="none" w:sz="0" w:space="0" w:color="auto"/>
                                <w:bottom w:val="none" w:sz="0" w:space="0" w:color="auto"/>
                                <w:right w:val="none" w:sz="0" w:space="0" w:color="auto"/>
                              </w:divBdr>
                              <w:divsChild>
                                <w:div w:id="536747005">
                                  <w:marLeft w:val="420"/>
                                  <w:marRight w:val="0"/>
                                  <w:marTop w:val="0"/>
                                  <w:marBottom w:val="0"/>
                                  <w:divBdr>
                                    <w:top w:val="none" w:sz="0" w:space="0" w:color="auto"/>
                                    <w:left w:val="none" w:sz="0" w:space="0" w:color="auto"/>
                                    <w:bottom w:val="none" w:sz="0" w:space="0" w:color="auto"/>
                                    <w:right w:val="none" w:sz="0" w:space="0" w:color="auto"/>
                                  </w:divBdr>
                                  <w:divsChild>
                                    <w:div w:id="1164320384">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6590408">
      <w:bodyDiv w:val="1"/>
      <w:marLeft w:val="0"/>
      <w:marRight w:val="0"/>
      <w:marTop w:val="0"/>
      <w:marBottom w:val="0"/>
      <w:divBdr>
        <w:top w:val="none" w:sz="0" w:space="0" w:color="auto"/>
        <w:left w:val="none" w:sz="0" w:space="0" w:color="auto"/>
        <w:bottom w:val="none" w:sz="0" w:space="0" w:color="auto"/>
        <w:right w:val="none" w:sz="0" w:space="0" w:color="auto"/>
      </w:divBdr>
    </w:div>
    <w:div w:id="700277838">
      <w:bodyDiv w:val="1"/>
      <w:marLeft w:val="0"/>
      <w:marRight w:val="0"/>
      <w:marTop w:val="0"/>
      <w:marBottom w:val="0"/>
      <w:divBdr>
        <w:top w:val="none" w:sz="0" w:space="0" w:color="auto"/>
        <w:left w:val="none" w:sz="0" w:space="0" w:color="auto"/>
        <w:bottom w:val="none" w:sz="0" w:space="0" w:color="auto"/>
        <w:right w:val="none" w:sz="0" w:space="0" w:color="auto"/>
      </w:divBdr>
    </w:div>
    <w:div w:id="752354479">
      <w:bodyDiv w:val="1"/>
      <w:marLeft w:val="0"/>
      <w:marRight w:val="0"/>
      <w:marTop w:val="0"/>
      <w:marBottom w:val="0"/>
      <w:divBdr>
        <w:top w:val="none" w:sz="0" w:space="0" w:color="auto"/>
        <w:left w:val="none" w:sz="0" w:space="0" w:color="auto"/>
        <w:bottom w:val="none" w:sz="0" w:space="0" w:color="auto"/>
        <w:right w:val="none" w:sz="0" w:space="0" w:color="auto"/>
      </w:divBdr>
    </w:div>
    <w:div w:id="975529581">
      <w:bodyDiv w:val="1"/>
      <w:marLeft w:val="0"/>
      <w:marRight w:val="0"/>
      <w:marTop w:val="0"/>
      <w:marBottom w:val="0"/>
      <w:divBdr>
        <w:top w:val="none" w:sz="0" w:space="0" w:color="auto"/>
        <w:left w:val="none" w:sz="0" w:space="0" w:color="auto"/>
        <w:bottom w:val="none" w:sz="0" w:space="0" w:color="auto"/>
        <w:right w:val="none" w:sz="0" w:space="0" w:color="auto"/>
      </w:divBdr>
      <w:divsChild>
        <w:div w:id="197932718">
          <w:marLeft w:val="0"/>
          <w:marRight w:val="1"/>
          <w:marTop w:val="0"/>
          <w:marBottom w:val="0"/>
          <w:divBdr>
            <w:top w:val="none" w:sz="0" w:space="0" w:color="auto"/>
            <w:left w:val="none" w:sz="0" w:space="0" w:color="auto"/>
            <w:bottom w:val="none" w:sz="0" w:space="0" w:color="auto"/>
            <w:right w:val="none" w:sz="0" w:space="0" w:color="auto"/>
          </w:divBdr>
          <w:divsChild>
            <w:div w:id="1195581215">
              <w:marLeft w:val="0"/>
              <w:marRight w:val="0"/>
              <w:marTop w:val="0"/>
              <w:marBottom w:val="0"/>
              <w:divBdr>
                <w:top w:val="none" w:sz="0" w:space="0" w:color="auto"/>
                <w:left w:val="none" w:sz="0" w:space="0" w:color="auto"/>
                <w:bottom w:val="none" w:sz="0" w:space="0" w:color="auto"/>
                <w:right w:val="none" w:sz="0" w:space="0" w:color="auto"/>
              </w:divBdr>
              <w:divsChild>
                <w:div w:id="1014384770">
                  <w:marLeft w:val="0"/>
                  <w:marRight w:val="1"/>
                  <w:marTop w:val="0"/>
                  <w:marBottom w:val="0"/>
                  <w:divBdr>
                    <w:top w:val="none" w:sz="0" w:space="0" w:color="auto"/>
                    <w:left w:val="none" w:sz="0" w:space="0" w:color="auto"/>
                    <w:bottom w:val="none" w:sz="0" w:space="0" w:color="auto"/>
                    <w:right w:val="none" w:sz="0" w:space="0" w:color="auto"/>
                  </w:divBdr>
                  <w:divsChild>
                    <w:div w:id="1033921584">
                      <w:marLeft w:val="0"/>
                      <w:marRight w:val="0"/>
                      <w:marTop w:val="0"/>
                      <w:marBottom w:val="0"/>
                      <w:divBdr>
                        <w:top w:val="none" w:sz="0" w:space="0" w:color="auto"/>
                        <w:left w:val="none" w:sz="0" w:space="0" w:color="auto"/>
                        <w:bottom w:val="none" w:sz="0" w:space="0" w:color="auto"/>
                        <w:right w:val="none" w:sz="0" w:space="0" w:color="auto"/>
                      </w:divBdr>
                      <w:divsChild>
                        <w:div w:id="484443581">
                          <w:marLeft w:val="0"/>
                          <w:marRight w:val="0"/>
                          <w:marTop w:val="0"/>
                          <w:marBottom w:val="0"/>
                          <w:divBdr>
                            <w:top w:val="none" w:sz="0" w:space="0" w:color="auto"/>
                            <w:left w:val="none" w:sz="0" w:space="0" w:color="auto"/>
                            <w:bottom w:val="none" w:sz="0" w:space="0" w:color="auto"/>
                            <w:right w:val="none" w:sz="0" w:space="0" w:color="auto"/>
                          </w:divBdr>
                          <w:divsChild>
                            <w:div w:id="1974367878">
                              <w:marLeft w:val="0"/>
                              <w:marRight w:val="0"/>
                              <w:marTop w:val="120"/>
                              <w:marBottom w:val="360"/>
                              <w:divBdr>
                                <w:top w:val="none" w:sz="0" w:space="0" w:color="auto"/>
                                <w:left w:val="none" w:sz="0" w:space="0" w:color="auto"/>
                                <w:bottom w:val="none" w:sz="0" w:space="0" w:color="auto"/>
                                <w:right w:val="none" w:sz="0" w:space="0" w:color="auto"/>
                              </w:divBdr>
                              <w:divsChild>
                                <w:div w:id="1115059965">
                                  <w:marLeft w:val="420"/>
                                  <w:marRight w:val="0"/>
                                  <w:marTop w:val="0"/>
                                  <w:marBottom w:val="0"/>
                                  <w:divBdr>
                                    <w:top w:val="none" w:sz="0" w:space="0" w:color="auto"/>
                                    <w:left w:val="none" w:sz="0" w:space="0" w:color="auto"/>
                                    <w:bottom w:val="none" w:sz="0" w:space="0" w:color="auto"/>
                                    <w:right w:val="none" w:sz="0" w:space="0" w:color="auto"/>
                                  </w:divBdr>
                                  <w:divsChild>
                                    <w:div w:id="2119717423">
                                      <w:marLeft w:val="0"/>
                                      <w:marRight w:val="0"/>
                                      <w:marTop w:val="34"/>
                                      <w:marBottom w:val="34"/>
                                      <w:divBdr>
                                        <w:top w:val="none" w:sz="0" w:space="0" w:color="auto"/>
                                        <w:left w:val="none" w:sz="0" w:space="0" w:color="auto"/>
                                        <w:bottom w:val="none" w:sz="0" w:space="0" w:color="auto"/>
                                        <w:right w:val="none" w:sz="0" w:space="0" w:color="auto"/>
                                      </w:divBdr>
                                    </w:div>
                                    <w:div w:id="995762323">
                                      <w:marLeft w:val="0"/>
                                      <w:marRight w:val="0"/>
                                      <w:marTop w:val="0"/>
                                      <w:marBottom w:val="0"/>
                                      <w:divBdr>
                                        <w:top w:val="none" w:sz="0" w:space="0" w:color="auto"/>
                                        <w:left w:val="none" w:sz="0" w:space="0" w:color="auto"/>
                                        <w:bottom w:val="none" w:sz="0" w:space="0" w:color="auto"/>
                                        <w:right w:val="none" w:sz="0" w:space="0" w:color="auto"/>
                                      </w:divBdr>
                                      <w:divsChild>
                                        <w:div w:id="207693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747056">
                              <w:marLeft w:val="0"/>
                              <w:marRight w:val="0"/>
                              <w:marTop w:val="120"/>
                              <w:marBottom w:val="360"/>
                              <w:divBdr>
                                <w:top w:val="none" w:sz="0" w:space="0" w:color="auto"/>
                                <w:left w:val="none" w:sz="0" w:space="0" w:color="auto"/>
                                <w:bottom w:val="none" w:sz="0" w:space="0" w:color="auto"/>
                                <w:right w:val="none" w:sz="0" w:space="0" w:color="auto"/>
                              </w:divBdr>
                              <w:divsChild>
                                <w:div w:id="753009586">
                                  <w:marLeft w:val="0"/>
                                  <w:marRight w:val="0"/>
                                  <w:marTop w:val="0"/>
                                  <w:marBottom w:val="0"/>
                                  <w:divBdr>
                                    <w:top w:val="none" w:sz="0" w:space="0" w:color="auto"/>
                                    <w:left w:val="none" w:sz="0" w:space="0" w:color="auto"/>
                                    <w:bottom w:val="none" w:sz="0" w:space="0" w:color="auto"/>
                                    <w:right w:val="none" w:sz="0" w:space="0" w:color="auto"/>
                                  </w:divBdr>
                                </w:div>
                                <w:div w:id="1780443156">
                                  <w:marLeft w:val="420"/>
                                  <w:marRight w:val="0"/>
                                  <w:marTop w:val="0"/>
                                  <w:marBottom w:val="0"/>
                                  <w:divBdr>
                                    <w:top w:val="none" w:sz="0" w:space="0" w:color="auto"/>
                                    <w:left w:val="none" w:sz="0" w:space="0" w:color="auto"/>
                                    <w:bottom w:val="none" w:sz="0" w:space="0" w:color="auto"/>
                                    <w:right w:val="none" w:sz="0" w:space="0" w:color="auto"/>
                                  </w:divBdr>
                                  <w:divsChild>
                                    <w:div w:id="1039622874">
                                      <w:marLeft w:val="0"/>
                                      <w:marRight w:val="0"/>
                                      <w:marTop w:val="34"/>
                                      <w:marBottom w:val="34"/>
                                      <w:divBdr>
                                        <w:top w:val="none" w:sz="0" w:space="0" w:color="auto"/>
                                        <w:left w:val="none" w:sz="0" w:space="0" w:color="auto"/>
                                        <w:bottom w:val="none" w:sz="0" w:space="0" w:color="auto"/>
                                        <w:right w:val="none" w:sz="0" w:space="0" w:color="auto"/>
                                      </w:divBdr>
                                    </w:div>
                                    <w:div w:id="941647118">
                                      <w:marLeft w:val="0"/>
                                      <w:marRight w:val="0"/>
                                      <w:marTop w:val="0"/>
                                      <w:marBottom w:val="0"/>
                                      <w:divBdr>
                                        <w:top w:val="none" w:sz="0" w:space="0" w:color="auto"/>
                                        <w:left w:val="none" w:sz="0" w:space="0" w:color="auto"/>
                                        <w:bottom w:val="none" w:sz="0" w:space="0" w:color="auto"/>
                                        <w:right w:val="none" w:sz="0" w:space="0" w:color="auto"/>
                                      </w:divBdr>
                                      <w:divsChild>
                                        <w:div w:id="178503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296916">
                              <w:marLeft w:val="0"/>
                              <w:marRight w:val="0"/>
                              <w:marTop w:val="120"/>
                              <w:marBottom w:val="360"/>
                              <w:divBdr>
                                <w:top w:val="none" w:sz="0" w:space="0" w:color="auto"/>
                                <w:left w:val="none" w:sz="0" w:space="0" w:color="auto"/>
                                <w:bottom w:val="none" w:sz="0" w:space="0" w:color="auto"/>
                                <w:right w:val="none" w:sz="0" w:space="0" w:color="auto"/>
                              </w:divBdr>
                              <w:divsChild>
                                <w:div w:id="2057969804">
                                  <w:marLeft w:val="0"/>
                                  <w:marRight w:val="0"/>
                                  <w:marTop w:val="0"/>
                                  <w:marBottom w:val="0"/>
                                  <w:divBdr>
                                    <w:top w:val="none" w:sz="0" w:space="0" w:color="auto"/>
                                    <w:left w:val="none" w:sz="0" w:space="0" w:color="auto"/>
                                    <w:bottom w:val="none" w:sz="0" w:space="0" w:color="auto"/>
                                    <w:right w:val="none" w:sz="0" w:space="0" w:color="auto"/>
                                  </w:divBdr>
                                </w:div>
                                <w:div w:id="846677164">
                                  <w:marLeft w:val="420"/>
                                  <w:marRight w:val="0"/>
                                  <w:marTop w:val="0"/>
                                  <w:marBottom w:val="0"/>
                                  <w:divBdr>
                                    <w:top w:val="none" w:sz="0" w:space="0" w:color="auto"/>
                                    <w:left w:val="none" w:sz="0" w:space="0" w:color="auto"/>
                                    <w:bottom w:val="none" w:sz="0" w:space="0" w:color="auto"/>
                                    <w:right w:val="none" w:sz="0" w:space="0" w:color="auto"/>
                                  </w:divBdr>
                                  <w:divsChild>
                                    <w:div w:id="704141490">
                                      <w:marLeft w:val="0"/>
                                      <w:marRight w:val="0"/>
                                      <w:marTop w:val="34"/>
                                      <w:marBottom w:val="34"/>
                                      <w:divBdr>
                                        <w:top w:val="none" w:sz="0" w:space="0" w:color="auto"/>
                                        <w:left w:val="none" w:sz="0" w:space="0" w:color="auto"/>
                                        <w:bottom w:val="none" w:sz="0" w:space="0" w:color="auto"/>
                                        <w:right w:val="none" w:sz="0" w:space="0" w:color="auto"/>
                                      </w:divBdr>
                                    </w:div>
                                    <w:div w:id="547688030">
                                      <w:marLeft w:val="0"/>
                                      <w:marRight w:val="0"/>
                                      <w:marTop w:val="0"/>
                                      <w:marBottom w:val="0"/>
                                      <w:divBdr>
                                        <w:top w:val="none" w:sz="0" w:space="0" w:color="auto"/>
                                        <w:left w:val="none" w:sz="0" w:space="0" w:color="auto"/>
                                        <w:bottom w:val="none" w:sz="0" w:space="0" w:color="auto"/>
                                        <w:right w:val="none" w:sz="0" w:space="0" w:color="auto"/>
                                      </w:divBdr>
                                      <w:divsChild>
                                        <w:div w:id="1317419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943932">
                              <w:marLeft w:val="0"/>
                              <w:marRight w:val="0"/>
                              <w:marTop w:val="120"/>
                              <w:marBottom w:val="360"/>
                              <w:divBdr>
                                <w:top w:val="none" w:sz="0" w:space="0" w:color="auto"/>
                                <w:left w:val="none" w:sz="0" w:space="0" w:color="auto"/>
                                <w:bottom w:val="none" w:sz="0" w:space="0" w:color="auto"/>
                                <w:right w:val="none" w:sz="0" w:space="0" w:color="auto"/>
                              </w:divBdr>
                              <w:divsChild>
                                <w:div w:id="195507739">
                                  <w:marLeft w:val="0"/>
                                  <w:marRight w:val="0"/>
                                  <w:marTop w:val="0"/>
                                  <w:marBottom w:val="0"/>
                                  <w:divBdr>
                                    <w:top w:val="none" w:sz="0" w:space="0" w:color="auto"/>
                                    <w:left w:val="none" w:sz="0" w:space="0" w:color="auto"/>
                                    <w:bottom w:val="none" w:sz="0" w:space="0" w:color="auto"/>
                                    <w:right w:val="none" w:sz="0" w:space="0" w:color="auto"/>
                                  </w:divBdr>
                                </w:div>
                                <w:div w:id="1949312721">
                                  <w:marLeft w:val="420"/>
                                  <w:marRight w:val="0"/>
                                  <w:marTop w:val="0"/>
                                  <w:marBottom w:val="0"/>
                                  <w:divBdr>
                                    <w:top w:val="none" w:sz="0" w:space="0" w:color="auto"/>
                                    <w:left w:val="none" w:sz="0" w:space="0" w:color="auto"/>
                                    <w:bottom w:val="none" w:sz="0" w:space="0" w:color="auto"/>
                                    <w:right w:val="none" w:sz="0" w:space="0" w:color="auto"/>
                                  </w:divBdr>
                                  <w:divsChild>
                                    <w:div w:id="1338653590">
                                      <w:marLeft w:val="0"/>
                                      <w:marRight w:val="0"/>
                                      <w:marTop w:val="34"/>
                                      <w:marBottom w:val="34"/>
                                      <w:divBdr>
                                        <w:top w:val="none" w:sz="0" w:space="0" w:color="auto"/>
                                        <w:left w:val="none" w:sz="0" w:space="0" w:color="auto"/>
                                        <w:bottom w:val="none" w:sz="0" w:space="0" w:color="auto"/>
                                        <w:right w:val="none" w:sz="0" w:space="0" w:color="auto"/>
                                      </w:divBdr>
                                    </w:div>
                                    <w:div w:id="1391999386">
                                      <w:marLeft w:val="0"/>
                                      <w:marRight w:val="0"/>
                                      <w:marTop w:val="0"/>
                                      <w:marBottom w:val="0"/>
                                      <w:divBdr>
                                        <w:top w:val="none" w:sz="0" w:space="0" w:color="auto"/>
                                        <w:left w:val="none" w:sz="0" w:space="0" w:color="auto"/>
                                        <w:bottom w:val="none" w:sz="0" w:space="0" w:color="auto"/>
                                        <w:right w:val="none" w:sz="0" w:space="0" w:color="auto"/>
                                      </w:divBdr>
                                      <w:divsChild>
                                        <w:div w:id="212481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216812">
                              <w:marLeft w:val="0"/>
                              <w:marRight w:val="0"/>
                              <w:marTop w:val="120"/>
                              <w:marBottom w:val="360"/>
                              <w:divBdr>
                                <w:top w:val="none" w:sz="0" w:space="0" w:color="auto"/>
                                <w:left w:val="none" w:sz="0" w:space="0" w:color="auto"/>
                                <w:bottom w:val="none" w:sz="0" w:space="0" w:color="auto"/>
                                <w:right w:val="none" w:sz="0" w:space="0" w:color="auto"/>
                              </w:divBdr>
                              <w:divsChild>
                                <w:div w:id="1435442081">
                                  <w:marLeft w:val="0"/>
                                  <w:marRight w:val="0"/>
                                  <w:marTop w:val="0"/>
                                  <w:marBottom w:val="0"/>
                                  <w:divBdr>
                                    <w:top w:val="none" w:sz="0" w:space="0" w:color="auto"/>
                                    <w:left w:val="none" w:sz="0" w:space="0" w:color="auto"/>
                                    <w:bottom w:val="none" w:sz="0" w:space="0" w:color="auto"/>
                                    <w:right w:val="none" w:sz="0" w:space="0" w:color="auto"/>
                                  </w:divBdr>
                                </w:div>
                                <w:div w:id="446586145">
                                  <w:marLeft w:val="420"/>
                                  <w:marRight w:val="0"/>
                                  <w:marTop w:val="0"/>
                                  <w:marBottom w:val="0"/>
                                  <w:divBdr>
                                    <w:top w:val="none" w:sz="0" w:space="0" w:color="auto"/>
                                    <w:left w:val="none" w:sz="0" w:space="0" w:color="auto"/>
                                    <w:bottom w:val="none" w:sz="0" w:space="0" w:color="auto"/>
                                    <w:right w:val="none" w:sz="0" w:space="0" w:color="auto"/>
                                  </w:divBdr>
                                  <w:divsChild>
                                    <w:div w:id="108280469">
                                      <w:marLeft w:val="0"/>
                                      <w:marRight w:val="0"/>
                                      <w:marTop w:val="34"/>
                                      <w:marBottom w:val="34"/>
                                      <w:divBdr>
                                        <w:top w:val="none" w:sz="0" w:space="0" w:color="auto"/>
                                        <w:left w:val="none" w:sz="0" w:space="0" w:color="auto"/>
                                        <w:bottom w:val="none" w:sz="0" w:space="0" w:color="auto"/>
                                        <w:right w:val="none" w:sz="0" w:space="0" w:color="auto"/>
                                      </w:divBdr>
                                    </w:div>
                                    <w:div w:id="842473211">
                                      <w:marLeft w:val="0"/>
                                      <w:marRight w:val="0"/>
                                      <w:marTop w:val="0"/>
                                      <w:marBottom w:val="0"/>
                                      <w:divBdr>
                                        <w:top w:val="none" w:sz="0" w:space="0" w:color="auto"/>
                                        <w:left w:val="none" w:sz="0" w:space="0" w:color="auto"/>
                                        <w:bottom w:val="none" w:sz="0" w:space="0" w:color="auto"/>
                                        <w:right w:val="none" w:sz="0" w:space="0" w:color="auto"/>
                                      </w:divBdr>
                                      <w:divsChild>
                                        <w:div w:id="2045907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706307">
                              <w:marLeft w:val="0"/>
                              <w:marRight w:val="0"/>
                              <w:marTop w:val="120"/>
                              <w:marBottom w:val="360"/>
                              <w:divBdr>
                                <w:top w:val="none" w:sz="0" w:space="0" w:color="auto"/>
                                <w:left w:val="none" w:sz="0" w:space="0" w:color="auto"/>
                                <w:bottom w:val="none" w:sz="0" w:space="0" w:color="auto"/>
                                <w:right w:val="none" w:sz="0" w:space="0" w:color="auto"/>
                              </w:divBdr>
                              <w:divsChild>
                                <w:div w:id="1212575690">
                                  <w:marLeft w:val="0"/>
                                  <w:marRight w:val="0"/>
                                  <w:marTop w:val="0"/>
                                  <w:marBottom w:val="0"/>
                                  <w:divBdr>
                                    <w:top w:val="none" w:sz="0" w:space="0" w:color="auto"/>
                                    <w:left w:val="none" w:sz="0" w:space="0" w:color="auto"/>
                                    <w:bottom w:val="none" w:sz="0" w:space="0" w:color="auto"/>
                                    <w:right w:val="none" w:sz="0" w:space="0" w:color="auto"/>
                                  </w:divBdr>
                                </w:div>
                                <w:div w:id="958995511">
                                  <w:marLeft w:val="420"/>
                                  <w:marRight w:val="0"/>
                                  <w:marTop w:val="0"/>
                                  <w:marBottom w:val="0"/>
                                  <w:divBdr>
                                    <w:top w:val="none" w:sz="0" w:space="0" w:color="auto"/>
                                    <w:left w:val="none" w:sz="0" w:space="0" w:color="auto"/>
                                    <w:bottom w:val="none" w:sz="0" w:space="0" w:color="auto"/>
                                    <w:right w:val="none" w:sz="0" w:space="0" w:color="auto"/>
                                  </w:divBdr>
                                  <w:divsChild>
                                    <w:div w:id="1291783348">
                                      <w:marLeft w:val="0"/>
                                      <w:marRight w:val="0"/>
                                      <w:marTop w:val="34"/>
                                      <w:marBottom w:val="34"/>
                                      <w:divBdr>
                                        <w:top w:val="none" w:sz="0" w:space="0" w:color="auto"/>
                                        <w:left w:val="none" w:sz="0" w:space="0" w:color="auto"/>
                                        <w:bottom w:val="none" w:sz="0" w:space="0" w:color="auto"/>
                                        <w:right w:val="none" w:sz="0" w:space="0" w:color="auto"/>
                                      </w:divBdr>
                                    </w:div>
                                    <w:div w:id="1528175509">
                                      <w:marLeft w:val="0"/>
                                      <w:marRight w:val="0"/>
                                      <w:marTop w:val="0"/>
                                      <w:marBottom w:val="0"/>
                                      <w:divBdr>
                                        <w:top w:val="none" w:sz="0" w:space="0" w:color="auto"/>
                                        <w:left w:val="none" w:sz="0" w:space="0" w:color="auto"/>
                                        <w:bottom w:val="none" w:sz="0" w:space="0" w:color="auto"/>
                                        <w:right w:val="none" w:sz="0" w:space="0" w:color="auto"/>
                                      </w:divBdr>
                                      <w:divsChild>
                                        <w:div w:id="143879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232180">
                              <w:marLeft w:val="0"/>
                              <w:marRight w:val="0"/>
                              <w:marTop w:val="120"/>
                              <w:marBottom w:val="360"/>
                              <w:divBdr>
                                <w:top w:val="none" w:sz="0" w:space="0" w:color="auto"/>
                                <w:left w:val="none" w:sz="0" w:space="0" w:color="auto"/>
                                <w:bottom w:val="none" w:sz="0" w:space="0" w:color="auto"/>
                                <w:right w:val="none" w:sz="0" w:space="0" w:color="auto"/>
                              </w:divBdr>
                              <w:divsChild>
                                <w:div w:id="184712834">
                                  <w:marLeft w:val="0"/>
                                  <w:marRight w:val="0"/>
                                  <w:marTop w:val="0"/>
                                  <w:marBottom w:val="0"/>
                                  <w:divBdr>
                                    <w:top w:val="none" w:sz="0" w:space="0" w:color="auto"/>
                                    <w:left w:val="none" w:sz="0" w:space="0" w:color="auto"/>
                                    <w:bottom w:val="none" w:sz="0" w:space="0" w:color="auto"/>
                                    <w:right w:val="none" w:sz="0" w:space="0" w:color="auto"/>
                                  </w:divBdr>
                                </w:div>
                                <w:div w:id="570193505">
                                  <w:marLeft w:val="420"/>
                                  <w:marRight w:val="0"/>
                                  <w:marTop w:val="0"/>
                                  <w:marBottom w:val="0"/>
                                  <w:divBdr>
                                    <w:top w:val="none" w:sz="0" w:space="0" w:color="auto"/>
                                    <w:left w:val="none" w:sz="0" w:space="0" w:color="auto"/>
                                    <w:bottom w:val="none" w:sz="0" w:space="0" w:color="auto"/>
                                    <w:right w:val="none" w:sz="0" w:space="0" w:color="auto"/>
                                  </w:divBdr>
                                  <w:divsChild>
                                    <w:div w:id="12265407">
                                      <w:marLeft w:val="0"/>
                                      <w:marRight w:val="0"/>
                                      <w:marTop w:val="34"/>
                                      <w:marBottom w:val="34"/>
                                      <w:divBdr>
                                        <w:top w:val="none" w:sz="0" w:space="0" w:color="auto"/>
                                        <w:left w:val="none" w:sz="0" w:space="0" w:color="auto"/>
                                        <w:bottom w:val="none" w:sz="0" w:space="0" w:color="auto"/>
                                        <w:right w:val="none" w:sz="0" w:space="0" w:color="auto"/>
                                      </w:divBdr>
                                    </w:div>
                                    <w:div w:id="94176731">
                                      <w:marLeft w:val="0"/>
                                      <w:marRight w:val="0"/>
                                      <w:marTop w:val="0"/>
                                      <w:marBottom w:val="0"/>
                                      <w:divBdr>
                                        <w:top w:val="none" w:sz="0" w:space="0" w:color="auto"/>
                                        <w:left w:val="none" w:sz="0" w:space="0" w:color="auto"/>
                                        <w:bottom w:val="none" w:sz="0" w:space="0" w:color="auto"/>
                                        <w:right w:val="none" w:sz="0" w:space="0" w:color="auto"/>
                                      </w:divBdr>
                                      <w:divsChild>
                                        <w:div w:id="174726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3403">
                              <w:marLeft w:val="0"/>
                              <w:marRight w:val="0"/>
                              <w:marTop w:val="120"/>
                              <w:marBottom w:val="360"/>
                              <w:divBdr>
                                <w:top w:val="none" w:sz="0" w:space="0" w:color="auto"/>
                                <w:left w:val="none" w:sz="0" w:space="0" w:color="auto"/>
                                <w:bottom w:val="none" w:sz="0" w:space="0" w:color="auto"/>
                                <w:right w:val="none" w:sz="0" w:space="0" w:color="auto"/>
                              </w:divBdr>
                              <w:divsChild>
                                <w:div w:id="2000427394">
                                  <w:marLeft w:val="0"/>
                                  <w:marRight w:val="0"/>
                                  <w:marTop w:val="0"/>
                                  <w:marBottom w:val="0"/>
                                  <w:divBdr>
                                    <w:top w:val="none" w:sz="0" w:space="0" w:color="auto"/>
                                    <w:left w:val="none" w:sz="0" w:space="0" w:color="auto"/>
                                    <w:bottom w:val="none" w:sz="0" w:space="0" w:color="auto"/>
                                    <w:right w:val="none" w:sz="0" w:space="0" w:color="auto"/>
                                  </w:divBdr>
                                </w:div>
                                <w:div w:id="1702701876">
                                  <w:marLeft w:val="420"/>
                                  <w:marRight w:val="0"/>
                                  <w:marTop w:val="0"/>
                                  <w:marBottom w:val="0"/>
                                  <w:divBdr>
                                    <w:top w:val="none" w:sz="0" w:space="0" w:color="auto"/>
                                    <w:left w:val="none" w:sz="0" w:space="0" w:color="auto"/>
                                    <w:bottom w:val="none" w:sz="0" w:space="0" w:color="auto"/>
                                    <w:right w:val="none" w:sz="0" w:space="0" w:color="auto"/>
                                  </w:divBdr>
                                  <w:divsChild>
                                    <w:div w:id="832796642">
                                      <w:marLeft w:val="0"/>
                                      <w:marRight w:val="0"/>
                                      <w:marTop w:val="34"/>
                                      <w:marBottom w:val="34"/>
                                      <w:divBdr>
                                        <w:top w:val="none" w:sz="0" w:space="0" w:color="auto"/>
                                        <w:left w:val="none" w:sz="0" w:space="0" w:color="auto"/>
                                        <w:bottom w:val="none" w:sz="0" w:space="0" w:color="auto"/>
                                        <w:right w:val="none" w:sz="0" w:space="0" w:color="auto"/>
                                      </w:divBdr>
                                    </w:div>
                                    <w:div w:id="3943463">
                                      <w:marLeft w:val="0"/>
                                      <w:marRight w:val="0"/>
                                      <w:marTop w:val="0"/>
                                      <w:marBottom w:val="0"/>
                                      <w:divBdr>
                                        <w:top w:val="none" w:sz="0" w:space="0" w:color="auto"/>
                                        <w:left w:val="none" w:sz="0" w:space="0" w:color="auto"/>
                                        <w:bottom w:val="none" w:sz="0" w:space="0" w:color="auto"/>
                                        <w:right w:val="none" w:sz="0" w:space="0" w:color="auto"/>
                                      </w:divBdr>
                                      <w:divsChild>
                                        <w:div w:id="144449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271801">
                              <w:marLeft w:val="0"/>
                              <w:marRight w:val="0"/>
                              <w:marTop w:val="120"/>
                              <w:marBottom w:val="360"/>
                              <w:divBdr>
                                <w:top w:val="none" w:sz="0" w:space="0" w:color="auto"/>
                                <w:left w:val="none" w:sz="0" w:space="0" w:color="auto"/>
                                <w:bottom w:val="none" w:sz="0" w:space="0" w:color="auto"/>
                                <w:right w:val="none" w:sz="0" w:space="0" w:color="auto"/>
                              </w:divBdr>
                              <w:divsChild>
                                <w:div w:id="382752648">
                                  <w:marLeft w:val="0"/>
                                  <w:marRight w:val="0"/>
                                  <w:marTop w:val="0"/>
                                  <w:marBottom w:val="0"/>
                                  <w:divBdr>
                                    <w:top w:val="none" w:sz="0" w:space="0" w:color="auto"/>
                                    <w:left w:val="none" w:sz="0" w:space="0" w:color="auto"/>
                                    <w:bottom w:val="none" w:sz="0" w:space="0" w:color="auto"/>
                                    <w:right w:val="none" w:sz="0" w:space="0" w:color="auto"/>
                                  </w:divBdr>
                                </w:div>
                                <w:div w:id="1934164856">
                                  <w:marLeft w:val="420"/>
                                  <w:marRight w:val="0"/>
                                  <w:marTop w:val="0"/>
                                  <w:marBottom w:val="0"/>
                                  <w:divBdr>
                                    <w:top w:val="none" w:sz="0" w:space="0" w:color="auto"/>
                                    <w:left w:val="none" w:sz="0" w:space="0" w:color="auto"/>
                                    <w:bottom w:val="none" w:sz="0" w:space="0" w:color="auto"/>
                                    <w:right w:val="none" w:sz="0" w:space="0" w:color="auto"/>
                                  </w:divBdr>
                                  <w:divsChild>
                                    <w:div w:id="575867828">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0158254">
      <w:bodyDiv w:val="1"/>
      <w:marLeft w:val="0"/>
      <w:marRight w:val="0"/>
      <w:marTop w:val="0"/>
      <w:marBottom w:val="0"/>
      <w:divBdr>
        <w:top w:val="none" w:sz="0" w:space="0" w:color="auto"/>
        <w:left w:val="none" w:sz="0" w:space="0" w:color="auto"/>
        <w:bottom w:val="none" w:sz="0" w:space="0" w:color="auto"/>
        <w:right w:val="none" w:sz="0" w:space="0" w:color="auto"/>
      </w:divBdr>
    </w:div>
    <w:div w:id="1100880977">
      <w:bodyDiv w:val="1"/>
      <w:marLeft w:val="0"/>
      <w:marRight w:val="0"/>
      <w:marTop w:val="0"/>
      <w:marBottom w:val="0"/>
      <w:divBdr>
        <w:top w:val="none" w:sz="0" w:space="0" w:color="auto"/>
        <w:left w:val="none" w:sz="0" w:space="0" w:color="auto"/>
        <w:bottom w:val="none" w:sz="0" w:space="0" w:color="auto"/>
        <w:right w:val="none" w:sz="0" w:space="0" w:color="auto"/>
      </w:divBdr>
    </w:div>
    <w:div w:id="1139884780">
      <w:bodyDiv w:val="1"/>
      <w:marLeft w:val="0"/>
      <w:marRight w:val="0"/>
      <w:marTop w:val="0"/>
      <w:marBottom w:val="0"/>
      <w:divBdr>
        <w:top w:val="none" w:sz="0" w:space="0" w:color="auto"/>
        <w:left w:val="none" w:sz="0" w:space="0" w:color="auto"/>
        <w:bottom w:val="none" w:sz="0" w:space="0" w:color="auto"/>
        <w:right w:val="none" w:sz="0" w:space="0" w:color="auto"/>
      </w:divBdr>
    </w:div>
    <w:div w:id="1227766907">
      <w:bodyDiv w:val="1"/>
      <w:marLeft w:val="0"/>
      <w:marRight w:val="0"/>
      <w:marTop w:val="0"/>
      <w:marBottom w:val="0"/>
      <w:divBdr>
        <w:top w:val="none" w:sz="0" w:space="0" w:color="auto"/>
        <w:left w:val="none" w:sz="0" w:space="0" w:color="auto"/>
        <w:bottom w:val="none" w:sz="0" w:space="0" w:color="auto"/>
        <w:right w:val="none" w:sz="0" w:space="0" w:color="auto"/>
      </w:divBdr>
    </w:div>
    <w:div w:id="1346446425">
      <w:bodyDiv w:val="1"/>
      <w:marLeft w:val="0"/>
      <w:marRight w:val="0"/>
      <w:marTop w:val="0"/>
      <w:marBottom w:val="0"/>
      <w:divBdr>
        <w:top w:val="none" w:sz="0" w:space="0" w:color="auto"/>
        <w:left w:val="none" w:sz="0" w:space="0" w:color="auto"/>
        <w:bottom w:val="none" w:sz="0" w:space="0" w:color="auto"/>
        <w:right w:val="none" w:sz="0" w:space="0" w:color="auto"/>
      </w:divBdr>
    </w:div>
    <w:div w:id="1613365797">
      <w:bodyDiv w:val="1"/>
      <w:marLeft w:val="0"/>
      <w:marRight w:val="0"/>
      <w:marTop w:val="0"/>
      <w:marBottom w:val="0"/>
      <w:divBdr>
        <w:top w:val="none" w:sz="0" w:space="0" w:color="auto"/>
        <w:left w:val="none" w:sz="0" w:space="0" w:color="auto"/>
        <w:bottom w:val="none" w:sz="0" w:space="0" w:color="auto"/>
        <w:right w:val="none" w:sz="0" w:space="0" w:color="auto"/>
      </w:divBdr>
    </w:div>
    <w:div w:id="1930188804">
      <w:bodyDiv w:val="1"/>
      <w:marLeft w:val="0"/>
      <w:marRight w:val="0"/>
      <w:marTop w:val="0"/>
      <w:marBottom w:val="0"/>
      <w:divBdr>
        <w:top w:val="none" w:sz="0" w:space="0" w:color="auto"/>
        <w:left w:val="none" w:sz="0" w:space="0" w:color="auto"/>
        <w:bottom w:val="none" w:sz="0" w:space="0" w:color="auto"/>
        <w:right w:val="none" w:sz="0" w:space="0" w:color="auto"/>
      </w:divBdr>
    </w:div>
    <w:div w:id="2007780141">
      <w:bodyDiv w:val="1"/>
      <w:marLeft w:val="0"/>
      <w:marRight w:val="0"/>
      <w:marTop w:val="0"/>
      <w:marBottom w:val="0"/>
      <w:divBdr>
        <w:top w:val="none" w:sz="0" w:space="0" w:color="auto"/>
        <w:left w:val="none" w:sz="0" w:space="0" w:color="auto"/>
        <w:bottom w:val="none" w:sz="0" w:space="0" w:color="auto"/>
        <w:right w:val="none" w:sz="0" w:space="0" w:color="auto"/>
      </w:divBdr>
    </w:div>
    <w:div w:id="2133404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iff"/><Relationship Id="rId18" Type="http://schemas.openxmlformats.org/officeDocument/2006/relationships/image" Target="media/image9.emf"/><Relationship Id="rId26"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image" Target="media/image15.emf"/><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4.emf"/><Relationship Id="rId28" Type="http://schemas.openxmlformats.org/officeDocument/2006/relationships/image" Target="media/image19.emf"/><Relationship Id="rId10" Type="http://schemas.openxmlformats.org/officeDocument/2006/relationships/image" Target="media/image1.tiff"/><Relationship Id="rId19" Type="http://schemas.openxmlformats.org/officeDocument/2006/relationships/image" Target="media/image10.emf"/><Relationship Id="rId31" Type="http://schemas.openxmlformats.org/officeDocument/2006/relationships/image" Target="media/image22.tiff"/><Relationship Id="rId4" Type="http://schemas.openxmlformats.org/officeDocument/2006/relationships/settings" Target="settings.xml"/><Relationship Id="rId9" Type="http://schemas.openxmlformats.org/officeDocument/2006/relationships/hyperlink" Target="http://creativecommons.org/licenses/by-nc/4.0/" TargetMode="External"/><Relationship Id="rId14" Type="http://schemas.openxmlformats.org/officeDocument/2006/relationships/image" Target="media/image5.tif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tiff"/><Relationship Id="rId8" Type="http://schemas.openxmlformats.org/officeDocument/2006/relationships/hyperlink" Target="http://orcid.org/0000-0001-7994-564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A8C08F-C760-4B4B-901E-B63B02ADC2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190093</Words>
  <Characters>1083533</Characters>
  <Application>Microsoft Office Word</Application>
  <DocSecurity>0</DocSecurity>
  <Lines>9029</Lines>
  <Paragraphs>2542</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
  <LinksUpToDate>false</LinksUpToDate>
  <CharactersWithSpaces>1271084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predrag.sikiric</dc:creator>
  <cp:lastModifiedBy>Lian-Sheng Ma</cp:lastModifiedBy>
  <cp:revision>3</cp:revision>
  <dcterms:created xsi:type="dcterms:W3CDTF">2018-12-01T03:37:00Z</dcterms:created>
  <dcterms:modified xsi:type="dcterms:W3CDTF">2018-12-01T03:37:00Z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ba2049c9-765f-34ba-bfeb-f45a0df307ac</vt:lpwstr>
  </property>
  <property fmtid="{D5CDD505-2E9C-101B-9397-08002B2CF9AE}" pid="4" name="Mendeley Recent Style Id 0_1">
    <vt:lpwstr>http://www.zotero.org/styles/acta-orthopaedica</vt:lpwstr>
  </property>
  <property fmtid="{D5CDD505-2E9C-101B-9397-08002B2CF9AE}" pid="5" name="Mendeley Recent Style Name 0_1">
    <vt:lpwstr>Acta Orthopaedica</vt:lpwstr>
  </property>
  <property fmtid="{D5CDD505-2E9C-101B-9397-08002B2CF9AE}" pid="6" name="Mendeley Recent Style Id 1_1">
    <vt:lpwstr>http://www.zotero.org/styles/american-medical-association-no-et-al</vt:lpwstr>
  </property>
  <property fmtid="{D5CDD505-2E9C-101B-9397-08002B2CF9AE}" pid="7" name="Mendeley Recent Style Name 1_1">
    <vt:lpwstr>American Medical Association (no "et al.")</vt:lpwstr>
  </property>
  <property fmtid="{D5CDD505-2E9C-101B-9397-08002B2CF9AE}" pid="8" name="Mendeley Recent Style Id 2_1">
    <vt:lpwstr>http://www.zotero.org/styles/american-political-science-association</vt:lpwstr>
  </property>
  <property fmtid="{D5CDD505-2E9C-101B-9397-08002B2CF9AE}" pid="9" name="Mendeley Recent Style Name 2_1">
    <vt:lpwstr>American Political Science Association</vt:lpwstr>
  </property>
  <property fmtid="{D5CDD505-2E9C-101B-9397-08002B2CF9AE}" pid="10" name="Mendeley Recent Style Id 3_1">
    <vt:lpwstr>http://www.zotero.org/styles/european-journal-of-pharmacology</vt:lpwstr>
  </property>
  <property fmtid="{D5CDD505-2E9C-101B-9397-08002B2CF9AE}" pid="11" name="Mendeley Recent Style Name 3_1">
    <vt:lpwstr>European Journal of Pharmacology</vt:lpwstr>
  </property>
  <property fmtid="{D5CDD505-2E9C-101B-9397-08002B2CF9AE}" pid="12" name="Mendeley Recent Style Id 4_1">
    <vt:lpwstr>http://www.zotero.org/styles/journal-of-pharmacological-sciences</vt:lpwstr>
  </property>
  <property fmtid="{D5CDD505-2E9C-101B-9397-08002B2CF9AE}" pid="13" name="Mendeley Recent Style Name 4_1">
    <vt:lpwstr>Journal of Pharmacological Sciences</vt:lpwstr>
  </property>
  <property fmtid="{D5CDD505-2E9C-101B-9397-08002B2CF9AE}" pid="14" name="Mendeley Recent Style Id 5_1">
    <vt:lpwstr>http://www.zotero.org/styles/modern-humanities-research-association</vt:lpwstr>
  </property>
  <property fmtid="{D5CDD505-2E9C-101B-9397-08002B2CF9AE}" pid="15" name="Mendeley Recent Style Name 5_1">
    <vt:lpwstr>Modern Humanities Research Association 3rd edition (note with bibliography)</vt:lpwstr>
  </property>
  <property fmtid="{D5CDD505-2E9C-101B-9397-08002B2CF9AE}" pid="16" name="Mendeley Recent Style Id 6_1">
    <vt:lpwstr>http://www.zotero.org/styles/surgery</vt:lpwstr>
  </property>
  <property fmtid="{D5CDD505-2E9C-101B-9397-08002B2CF9AE}" pid="17" name="Mendeley Recent Style Name 6_1">
    <vt:lpwstr>Surgery</vt:lpwstr>
  </property>
  <property fmtid="{D5CDD505-2E9C-101B-9397-08002B2CF9AE}" pid="18" name="Mendeley Recent Style Id 7_1">
    <vt:lpwstr>http://www.zotero.org/styles/thrombosis-and-haemostasis</vt:lpwstr>
  </property>
  <property fmtid="{D5CDD505-2E9C-101B-9397-08002B2CF9AE}" pid="19" name="Mendeley Recent Style Name 7_1">
    <vt:lpwstr>Thrombosis and Haemostasis</vt:lpwstr>
  </property>
  <property fmtid="{D5CDD505-2E9C-101B-9397-08002B2CF9AE}" pid="20" name="Mendeley Recent Style Id 8_1">
    <vt:lpwstr>http://www.zotero.org/styles/urologia-internationalis</vt:lpwstr>
  </property>
  <property fmtid="{D5CDD505-2E9C-101B-9397-08002B2CF9AE}" pid="21" name="Mendeley Recent Style Name 8_1">
    <vt:lpwstr>Urologia Internationalis</vt:lpwstr>
  </property>
  <property fmtid="{D5CDD505-2E9C-101B-9397-08002B2CF9AE}" pid="22" name="Mendeley Recent Style Id 9_1">
    <vt:lpwstr>http://www.zotero.org/styles/world-journal-of-gastroenterology</vt:lpwstr>
  </property>
  <property fmtid="{D5CDD505-2E9C-101B-9397-08002B2CF9AE}" pid="23" name="Mendeley Recent Style Name 9_1">
    <vt:lpwstr>World Journal of Gastroenterology</vt:lpwstr>
  </property>
  <property fmtid="{D5CDD505-2E9C-101B-9397-08002B2CF9AE}" pid="24" name="Mendeley Citation Style_1">
    <vt:lpwstr>http://www.zotero.org/styles/world-journal-of-gastroenterology</vt:lpwstr>
  </property>
  <property fmtid="{D5CDD505-2E9C-101B-9397-08002B2CF9AE}" pid="25" name="LastTick">
    <vt:r8>43391.9218055556</vt:r8>
  </property>
  <property fmtid="{D5CDD505-2E9C-101B-9397-08002B2CF9AE}" pid="26" name="UseTimer">
    <vt:bool>false</vt:bool>
  </property>
</Properties>
</file>