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202D5" w14:textId="77777777" w:rsidR="006C466C" w:rsidRPr="00BF2AAC" w:rsidRDefault="006C466C" w:rsidP="00BF2AAC">
      <w:pPr>
        <w:pStyle w:val="1"/>
        <w:adjustRightInd w:val="0"/>
        <w:snapToGrid w:val="0"/>
        <w:spacing w:line="360" w:lineRule="auto"/>
        <w:jc w:val="both"/>
        <w:outlineLvl w:val="0"/>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BF2AAC">
        <w:rPr>
          <w:rFonts w:ascii="Book Antiqua" w:hAnsi="Book Antiqua" w:cs="Times New Roman"/>
          <w:b/>
          <w:sz w:val="24"/>
          <w:szCs w:val="24"/>
          <w:highlight w:val="white"/>
          <w:lang w:val="en-US" w:eastAsia="zh-CN"/>
        </w:rPr>
        <w:t xml:space="preserve">Name of </w:t>
      </w:r>
      <w:r w:rsidRPr="00BF2AAC">
        <w:rPr>
          <w:rFonts w:ascii="Book Antiqua" w:hAnsi="Book Antiqua" w:cs="Times New Roman"/>
          <w:b/>
          <w:caps/>
          <w:sz w:val="24"/>
          <w:szCs w:val="24"/>
          <w:highlight w:val="white"/>
          <w:lang w:val="en-US" w:eastAsia="zh-CN"/>
        </w:rPr>
        <w:t>j</w:t>
      </w:r>
      <w:r w:rsidRPr="00BF2AAC">
        <w:rPr>
          <w:rFonts w:ascii="Book Antiqua" w:hAnsi="Book Antiqua" w:cs="Times New Roman"/>
          <w:b/>
          <w:sz w:val="24"/>
          <w:szCs w:val="24"/>
          <w:highlight w:val="white"/>
          <w:lang w:val="en-US" w:eastAsia="zh-CN"/>
        </w:rPr>
        <w:t xml:space="preserve">ournal: </w:t>
      </w:r>
      <w:bookmarkStart w:id="11" w:name="OLE_LINK718"/>
      <w:bookmarkStart w:id="12" w:name="OLE_LINK719"/>
      <w:r w:rsidRPr="00BF2AAC">
        <w:rPr>
          <w:rFonts w:ascii="Book Antiqua" w:hAnsi="Book Antiqua" w:cs="Times New Roman"/>
          <w:b/>
          <w:i/>
          <w:sz w:val="24"/>
          <w:szCs w:val="24"/>
          <w:highlight w:val="white"/>
          <w:lang w:val="en-US" w:eastAsia="zh-CN"/>
        </w:rPr>
        <w:t>World Journal of Gastroenterology</w:t>
      </w:r>
      <w:bookmarkEnd w:id="11"/>
      <w:bookmarkEnd w:id="12"/>
    </w:p>
    <w:p w14:paraId="2CB20AF5" w14:textId="30C74D44" w:rsidR="006C466C" w:rsidRPr="00BF2AAC" w:rsidRDefault="006C466C" w:rsidP="00BF2AAC">
      <w:pPr>
        <w:pStyle w:val="1"/>
        <w:adjustRightInd w:val="0"/>
        <w:snapToGrid w:val="0"/>
        <w:spacing w:line="360" w:lineRule="auto"/>
        <w:jc w:val="both"/>
        <w:outlineLvl w:val="0"/>
        <w:rPr>
          <w:rFonts w:ascii="Book Antiqua" w:hAnsi="Book Antiqua" w:cs="Times New Roman"/>
          <w:b/>
          <w:sz w:val="24"/>
          <w:szCs w:val="24"/>
          <w:lang w:eastAsia="zh-CN"/>
        </w:rPr>
      </w:pPr>
      <w:bookmarkStart w:id="13" w:name="OLE_LINK485"/>
      <w:bookmarkStart w:id="14" w:name="OLE_LINK486"/>
      <w:bookmarkStart w:id="15" w:name="OLE_LINK661"/>
      <w:bookmarkStart w:id="16" w:name="OLE_LINK768"/>
      <w:bookmarkStart w:id="17" w:name="OLE_LINK514"/>
      <w:bookmarkStart w:id="18" w:name="OLE_LINK515"/>
      <w:r w:rsidRPr="00BF2AAC">
        <w:rPr>
          <w:rFonts w:ascii="Book Antiqua" w:hAnsi="Book Antiqua" w:cs="Times New Roman"/>
          <w:b/>
          <w:sz w:val="24"/>
          <w:szCs w:val="24"/>
          <w:highlight w:val="white"/>
          <w:lang w:eastAsia="zh-CN"/>
        </w:rPr>
        <w:t>Manuscript NO:</w:t>
      </w:r>
      <w:bookmarkEnd w:id="13"/>
      <w:bookmarkEnd w:id="14"/>
      <w:bookmarkEnd w:id="15"/>
      <w:bookmarkEnd w:id="16"/>
      <w:r w:rsidRPr="00BF2AAC">
        <w:rPr>
          <w:rFonts w:ascii="Book Antiqua" w:hAnsi="Book Antiqua" w:cs="Times New Roman"/>
          <w:b/>
          <w:sz w:val="24"/>
          <w:szCs w:val="24"/>
          <w:highlight w:val="white"/>
          <w:lang w:eastAsia="zh-CN"/>
        </w:rPr>
        <w:t xml:space="preserve"> </w:t>
      </w:r>
      <w:r w:rsidRPr="00BF2AAC">
        <w:rPr>
          <w:rFonts w:ascii="Book Antiqua" w:hAnsi="Book Antiqua" w:cs="Times New Roman"/>
          <w:b/>
          <w:sz w:val="24"/>
          <w:szCs w:val="24"/>
          <w:lang w:eastAsia="zh-CN"/>
        </w:rPr>
        <w:t>40417</w:t>
      </w:r>
    </w:p>
    <w:bookmarkEnd w:id="17"/>
    <w:bookmarkEnd w:id="18"/>
    <w:p w14:paraId="29E03BD3" w14:textId="77777777" w:rsidR="006C466C" w:rsidRPr="00BF2AAC" w:rsidRDefault="006C466C" w:rsidP="00BF2AAC">
      <w:pPr>
        <w:adjustRightInd w:val="0"/>
        <w:snapToGrid w:val="0"/>
        <w:spacing w:after="0" w:line="360" w:lineRule="auto"/>
        <w:jc w:val="both"/>
        <w:outlineLvl w:val="0"/>
        <w:rPr>
          <w:rFonts w:ascii="Book Antiqua" w:hAnsi="Book Antiqua"/>
          <w:b/>
          <w:color w:val="000000"/>
          <w:sz w:val="24"/>
          <w:szCs w:val="24"/>
          <w:lang w:val="it-IT"/>
        </w:rPr>
      </w:pPr>
      <w:r w:rsidRPr="00BF2AAC">
        <w:rPr>
          <w:rFonts w:ascii="Book Antiqua" w:hAnsi="Book Antiqua"/>
          <w:b/>
          <w:color w:val="000000"/>
          <w:sz w:val="24"/>
          <w:szCs w:val="24"/>
          <w:highlight w:val="white"/>
          <w:lang w:val="it-IT"/>
        </w:rPr>
        <w:t xml:space="preserve">Manuscript </w:t>
      </w:r>
      <w:r w:rsidRPr="00BF2AAC">
        <w:rPr>
          <w:rFonts w:ascii="Book Antiqua" w:hAnsi="Book Antiqua"/>
          <w:b/>
          <w:caps/>
          <w:color w:val="000000"/>
          <w:sz w:val="24"/>
          <w:szCs w:val="24"/>
          <w:highlight w:val="white"/>
        </w:rPr>
        <w:t>t</w:t>
      </w:r>
      <w:r w:rsidRPr="00BF2AAC">
        <w:rPr>
          <w:rFonts w:ascii="Book Antiqua" w:hAnsi="Book Antiqua"/>
          <w:b/>
          <w:color w:val="000000"/>
          <w:sz w:val="24"/>
          <w:szCs w:val="24"/>
          <w:highlight w:val="white"/>
          <w:lang w:val="it-IT"/>
        </w:rPr>
        <w:t>ype</w:t>
      </w:r>
      <w:r w:rsidRPr="00BF2AAC">
        <w:rPr>
          <w:rFonts w:ascii="Book Antiqua" w:hAnsi="Book Antiqua"/>
          <w:b/>
          <w:color w:val="000000"/>
          <w:sz w:val="24"/>
          <w:szCs w:val="24"/>
          <w:lang w:val="it-IT"/>
        </w:rPr>
        <w:t>:</w:t>
      </w:r>
      <w:bookmarkEnd w:id="0"/>
      <w:bookmarkEnd w:id="1"/>
      <w:bookmarkEnd w:id="2"/>
      <w:bookmarkEnd w:id="3"/>
      <w:bookmarkEnd w:id="4"/>
      <w:bookmarkEnd w:id="5"/>
      <w:bookmarkEnd w:id="6"/>
      <w:bookmarkEnd w:id="7"/>
      <w:bookmarkEnd w:id="8"/>
      <w:bookmarkEnd w:id="9"/>
      <w:bookmarkEnd w:id="10"/>
      <w:r w:rsidRPr="00BF2AAC">
        <w:rPr>
          <w:rFonts w:ascii="Book Antiqua" w:hAnsi="Book Antiqua"/>
          <w:b/>
          <w:color w:val="000000"/>
          <w:sz w:val="24"/>
          <w:szCs w:val="24"/>
          <w:lang w:val="it-IT"/>
        </w:rPr>
        <w:t xml:space="preserve"> ORIGINAL ARTICLE</w:t>
      </w:r>
    </w:p>
    <w:p w14:paraId="778448BA" w14:textId="77777777" w:rsidR="006C466C" w:rsidRPr="00BF2AAC" w:rsidRDefault="006C466C" w:rsidP="00BF2AAC">
      <w:pPr>
        <w:adjustRightInd w:val="0"/>
        <w:snapToGrid w:val="0"/>
        <w:spacing w:after="0" w:line="360" w:lineRule="auto"/>
        <w:jc w:val="both"/>
        <w:rPr>
          <w:rFonts w:ascii="Book Antiqua" w:hAnsi="Book Antiqua"/>
          <w:b/>
          <w:color w:val="000000"/>
          <w:sz w:val="24"/>
          <w:szCs w:val="24"/>
        </w:rPr>
      </w:pPr>
    </w:p>
    <w:p w14:paraId="5EC21E5A" w14:textId="12F7169D" w:rsidR="006C466C" w:rsidRPr="00BF2AAC" w:rsidRDefault="006C466C"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eastAsia="YouYuan" w:hAnsi="Book Antiqua"/>
          <w:b/>
          <w:i/>
          <w:sz w:val="24"/>
          <w:szCs w:val="24"/>
        </w:rPr>
        <w:t>Retrospective Cohort Study</w:t>
      </w:r>
      <w:r w:rsidRPr="00BF2AAC">
        <w:rPr>
          <w:rFonts w:ascii="Book Antiqua" w:hAnsi="Book Antiqua" w:cs="Times New Roman"/>
          <w:b/>
          <w:sz w:val="24"/>
          <w:szCs w:val="24"/>
          <w:lang w:val="en-GB"/>
        </w:rPr>
        <w:t xml:space="preserve"> </w:t>
      </w:r>
    </w:p>
    <w:p w14:paraId="0D09D3EE" w14:textId="54177377"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 xml:space="preserve">Risk of lymph node metastases in patients with </w:t>
      </w:r>
      <w:r w:rsidR="00F454EF" w:rsidRPr="00BF2AAC">
        <w:rPr>
          <w:rFonts w:ascii="Book Antiqua" w:hAnsi="Book Antiqua" w:cs="Times New Roman"/>
          <w:b/>
          <w:sz w:val="24"/>
          <w:szCs w:val="24"/>
          <w:lang w:val="en-GB"/>
        </w:rPr>
        <w:t>T1b oesophageal adenocarcinoma: A</w:t>
      </w:r>
      <w:r w:rsidRPr="00BF2AAC">
        <w:rPr>
          <w:rFonts w:ascii="Book Antiqua" w:hAnsi="Book Antiqua" w:cs="Times New Roman"/>
          <w:b/>
          <w:sz w:val="24"/>
          <w:szCs w:val="24"/>
          <w:lang w:val="en-GB"/>
        </w:rPr>
        <w:t xml:space="preserve"> retrospective single centre experience</w:t>
      </w:r>
    </w:p>
    <w:p w14:paraId="7F384E43" w14:textId="2E1F5A06"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p>
    <w:p w14:paraId="4D140263" w14:textId="47F8086E" w:rsidR="00711D84" w:rsidRPr="00BF2AAC" w:rsidRDefault="00F454EF" w:rsidP="00BF2AAC">
      <w:pPr>
        <w:adjustRightInd w:val="0"/>
        <w:snapToGrid w:val="0"/>
        <w:spacing w:after="0" w:line="360" w:lineRule="auto"/>
        <w:jc w:val="both"/>
        <w:outlineLvl w:val="0"/>
        <w:rPr>
          <w:rFonts w:ascii="Book Antiqua" w:hAnsi="Book Antiqua" w:cs="Times New Roman"/>
          <w:sz w:val="24"/>
          <w:szCs w:val="24"/>
          <w:lang w:val="en-GB"/>
        </w:rPr>
      </w:pPr>
      <w:r w:rsidRPr="00BF2AAC">
        <w:rPr>
          <w:rFonts w:ascii="Book Antiqua" w:hAnsi="Book Antiqua" w:cs="Times New Roman"/>
          <w:sz w:val="24"/>
          <w:szCs w:val="24"/>
          <w:lang w:val="en-GB"/>
        </w:rPr>
        <w:t xml:space="preserve">Graham D </w:t>
      </w:r>
      <w:r w:rsidRPr="00BF2AAC">
        <w:rPr>
          <w:rFonts w:ascii="Book Antiqua" w:hAnsi="Book Antiqua" w:cs="Times New Roman"/>
          <w:i/>
          <w:sz w:val="24"/>
          <w:szCs w:val="24"/>
          <w:lang w:val="en-GB"/>
        </w:rPr>
        <w:t>et al</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Submucosal </w:t>
      </w:r>
      <w:r w:rsidR="00DA785B">
        <w:rPr>
          <w:rFonts w:ascii="Book Antiqua" w:hAnsi="Book Antiqua" w:cs="Times New Roman"/>
          <w:sz w:val="24"/>
          <w:szCs w:val="24"/>
          <w:lang w:val="en-GB"/>
        </w:rPr>
        <w:t>OAC</w:t>
      </w:r>
      <w:r w:rsidR="00711D84" w:rsidRPr="00BF2AAC">
        <w:rPr>
          <w:rFonts w:ascii="Book Antiqua" w:hAnsi="Book Antiqua" w:cs="Times New Roman"/>
          <w:sz w:val="24"/>
          <w:szCs w:val="24"/>
          <w:lang w:val="en-GB"/>
        </w:rPr>
        <w:t xml:space="preserve"> treatment strategies </w:t>
      </w:r>
    </w:p>
    <w:p w14:paraId="0102BA37"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5BE78D07" w14:textId="270D8114" w:rsidR="00711D84" w:rsidRPr="00BF2AAC" w:rsidRDefault="00EC3981" w:rsidP="00BF2AAC">
      <w:pPr>
        <w:adjustRightInd w:val="0"/>
        <w:snapToGrid w:val="0"/>
        <w:spacing w:after="0" w:line="360" w:lineRule="auto"/>
        <w:jc w:val="both"/>
        <w:rPr>
          <w:rFonts w:ascii="Book Antiqua" w:hAnsi="Book Antiqua" w:cs="Times New Roman"/>
          <w:sz w:val="24"/>
          <w:szCs w:val="24"/>
          <w:vertAlign w:val="superscript"/>
          <w:lang w:val="en-GB"/>
        </w:rPr>
      </w:pPr>
      <w:r w:rsidRPr="00BF2AAC">
        <w:rPr>
          <w:rFonts w:ascii="Book Antiqua" w:hAnsi="Book Antiqua" w:cs="Times New Roman"/>
          <w:sz w:val="24"/>
          <w:szCs w:val="24"/>
          <w:lang w:val="en-GB"/>
        </w:rPr>
        <w:t xml:space="preserve">David Graham, </w:t>
      </w:r>
      <w:r w:rsidR="00711D84" w:rsidRPr="00BF2AAC">
        <w:rPr>
          <w:rFonts w:ascii="Book Antiqua" w:hAnsi="Book Antiqua" w:cs="Times New Roman"/>
          <w:sz w:val="24"/>
          <w:szCs w:val="24"/>
          <w:lang w:val="en-GB"/>
        </w:rPr>
        <w:t xml:space="preserve">Nejc Sever, </w:t>
      </w:r>
      <w:r w:rsidR="002910E4" w:rsidRPr="00BF2AAC">
        <w:rPr>
          <w:rFonts w:ascii="Book Antiqua" w:hAnsi="Book Antiqua" w:cs="Times New Roman"/>
          <w:sz w:val="24"/>
          <w:szCs w:val="24"/>
          <w:lang w:val="en-GB"/>
        </w:rPr>
        <w:t xml:space="preserve">Cormac Magee, </w:t>
      </w:r>
      <w:r w:rsidR="00711D84" w:rsidRPr="00BF2AAC">
        <w:rPr>
          <w:rFonts w:ascii="Book Antiqua" w:hAnsi="Book Antiqua" w:cs="Times New Roman"/>
          <w:sz w:val="24"/>
          <w:szCs w:val="24"/>
          <w:lang w:val="en-GB"/>
        </w:rPr>
        <w:t>William Waddingham</w:t>
      </w:r>
      <w:r w:rsidR="00F454EF"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Matthew Banks, Rami Sweis</w:t>
      </w:r>
      <w:r w:rsidR="00631587"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Hannah Al-Yousuf, Miriam Mitchison, Durayd Alzoubaidi, Manuel Rodriguez-Justo, Laurence Lovat, Marco Novelli, Marnix Jansen, Rehan Haidry</w:t>
      </w:r>
    </w:p>
    <w:p w14:paraId="504C4C17" w14:textId="77777777"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p>
    <w:p w14:paraId="6EB8FE6E" w14:textId="506BA413" w:rsidR="00711D84" w:rsidRPr="00BF2AAC" w:rsidRDefault="00F454E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t>David Graham, Nejc Sever, Cormac Magee, William Waddingham, Matthew Banks, Rami Sweis, Hannah Al-Yousuf, Miriam Mitchison, Durayd Alzoubaidi, Manuel Rodriguez-Justo, Laurence Lovat, Marco Novelli, Marnix Jansen, Rehan Haidry,</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GI Services, University College London Hospital, </w:t>
      </w:r>
      <w:r w:rsidRPr="00BF2AAC">
        <w:rPr>
          <w:rFonts w:ascii="Book Antiqua" w:hAnsi="Book Antiqua" w:cs="Times New Roman"/>
          <w:sz w:val="24"/>
          <w:szCs w:val="24"/>
          <w:lang w:val="en-GB"/>
        </w:rPr>
        <w:t>London</w:t>
      </w:r>
      <w:r w:rsidR="00EC3981" w:rsidRPr="00BF2AAC">
        <w:rPr>
          <w:rFonts w:ascii="Book Antiqua" w:hAnsi="Book Antiqua" w:cs="Times New Roman"/>
          <w:sz w:val="24"/>
          <w:szCs w:val="24"/>
          <w:lang w:val="en-GB"/>
        </w:rPr>
        <w:t xml:space="preserve"> NW1 2BU, </w:t>
      </w:r>
      <w:r w:rsidR="00711D84" w:rsidRPr="00BF2AAC">
        <w:rPr>
          <w:rFonts w:ascii="Book Antiqua" w:hAnsi="Book Antiqua" w:cs="Times New Roman"/>
          <w:sz w:val="24"/>
          <w:szCs w:val="24"/>
          <w:lang w:val="en-GB"/>
        </w:rPr>
        <w:t>United Kingdom</w:t>
      </w:r>
    </w:p>
    <w:p w14:paraId="1BF82372" w14:textId="77777777" w:rsidR="00F454EF" w:rsidRPr="00BF2AAC" w:rsidRDefault="00F454EF" w:rsidP="00BF2AAC">
      <w:pPr>
        <w:adjustRightInd w:val="0"/>
        <w:snapToGrid w:val="0"/>
        <w:spacing w:after="0" w:line="360" w:lineRule="auto"/>
        <w:jc w:val="both"/>
        <w:rPr>
          <w:rFonts w:ascii="Book Antiqua" w:hAnsi="Book Antiqua" w:cs="Times New Roman"/>
          <w:sz w:val="24"/>
          <w:szCs w:val="24"/>
          <w:lang w:val="en-GB"/>
        </w:rPr>
      </w:pPr>
    </w:p>
    <w:p w14:paraId="4A05ADB5" w14:textId="3BE3C414" w:rsidR="00711D84" w:rsidRPr="00BF2AAC" w:rsidRDefault="00F454E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t xml:space="preserve">David Graham, William Waddingham, Laurence Lovat, Marnix Jansen, Rehan Haidry, </w:t>
      </w:r>
      <w:r w:rsidR="00711D84" w:rsidRPr="00BF2AAC">
        <w:rPr>
          <w:rFonts w:ascii="Book Antiqua" w:hAnsi="Book Antiqua" w:cs="Times New Roman"/>
          <w:sz w:val="24"/>
          <w:szCs w:val="24"/>
          <w:lang w:val="en-GB"/>
        </w:rPr>
        <w:t xml:space="preserve">Division of Surgery and Science, University College London, </w:t>
      </w:r>
      <w:r w:rsidRPr="00BF2AAC">
        <w:rPr>
          <w:rFonts w:ascii="Book Antiqua" w:hAnsi="Book Antiqua" w:cs="Times New Roman"/>
          <w:sz w:val="24"/>
          <w:szCs w:val="24"/>
          <w:lang w:val="en-GB"/>
        </w:rPr>
        <w:t>London</w:t>
      </w:r>
      <w:r w:rsidR="00EC3981" w:rsidRPr="00BF2AAC">
        <w:rPr>
          <w:rFonts w:ascii="Book Antiqua" w:hAnsi="Book Antiqua" w:cs="Times New Roman"/>
          <w:sz w:val="24"/>
          <w:szCs w:val="24"/>
          <w:lang w:val="en-GB"/>
        </w:rPr>
        <w:t xml:space="preserve"> WC1E 6BT, </w:t>
      </w:r>
      <w:r w:rsidR="00711D84" w:rsidRPr="00BF2AAC">
        <w:rPr>
          <w:rFonts w:ascii="Book Antiqua" w:hAnsi="Book Antiqua" w:cs="Times New Roman"/>
          <w:sz w:val="24"/>
          <w:szCs w:val="24"/>
          <w:lang w:val="en-GB"/>
        </w:rPr>
        <w:t>United Kingdom</w:t>
      </w:r>
    </w:p>
    <w:p w14:paraId="2BE5F7AD" w14:textId="77777777" w:rsidR="00F454EF" w:rsidRPr="00BF2AAC" w:rsidRDefault="00F454EF" w:rsidP="00BF2AAC">
      <w:pPr>
        <w:adjustRightInd w:val="0"/>
        <w:snapToGrid w:val="0"/>
        <w:spacing w:after="0" w:line="360" w:lineRule="auto"/>
        <w:jc w:val="both"/>
        <w:rPr>
          <w:rFonts w:ascii="Book Antiqua" w:hAnsi="Book Antiqua" w:cs="Times New Roman"/>
          <w:sz w:val="24"/>
          <w:szCs w:val="24"/>
          <w:lang w:val="en-GB"/>
        </w:rPr>
      </w:pPr>
    </w:p>
    <w:p w14:paraId="56E5DA62" w14:textId="31C893B5" w:rsidR="00711D84" w:rsidRPr="00BF2AAC" w:rsidRDefault="00F454E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t>Nejc Sever,</w:t>
      </w:r>
      <w:r w:rsidRPr="00BF2AAC">
        <w:rPr>
          <w:rFonts w:ascii="Book Antiqua" w:hAnsi="Book Antiqua" w:cs="Times New Roman"/>
          <w:sz w:val="24"/>
          <w:szCs w:val="24"/>
          <w:lang w:val="en-GB"/>
        </w:rPr>
        <w:t xml:space="preserve"> </w:t>
      </w:r>
      <w:r w:rsidR="00EC3981" w:rsidRPr="00BF2AAC">
        <w:rPr>
          <w:rFonts w:ascii="Book Antiqua" w:hAnsi="Book Antiqua" w:cs="Times New Roman"/>
          <w:sz w:val="24"/>
          <w:szCs w:val="24"/>
          <w:lang w:val="en-GB"/>
        </w:rPr>
        <w:t>Gastroenterology Department, U</w:t>
      </w:r>
      <w:r w:rsidR="00711D84" w:rsidRPr="00BF2AAC">
        <w:rPr>
          <w:rFonts w:ascii="Book Antiqua" w:hAnsi="Book Antiqua" w:cs="Times New Roman"/>
          <w:sz w:val="24"/>
          <w:szCs w:val="24"/>
          <w:lang w:val="en-GB"/>
        </w:rPr>
        <w:t>niversity Medical Center Ljubljana, Slovenia</w:t>
      </w:r>
    </w:p>
    <w:p w14:paraId="76D7659C" w14:textId="77777777" w:rsidR="00F454EF" w:rsidRPr="00BF2AAC" w:rsidRDefault="00F454EF" w:rsidP="00BF2AAC">
      <w:pPr>
        <w:adjustRightInd w:val="0"/>
        <w:snapToGrid w:val="0"/>
        <w:spacing w:after="0" w:line="360" w:lineRule="auto"/>
        <w:jc w:val="both"/>
        <w:rPr>
          <w:rFonts w:ascii="Book Antiqua" w:hAnsi="Book Antiqua" w:cs="Times New Roman"/>
          <w:sz w:val="24"/>
          <w:szCs w:val="24"/>
          <w:lang w:val="en-GB"/>
        </w:rPr>
      </w:pPr>
    </w:p>
    <w:p w14:paraId="5B4211B4" w14:textId="3D3BA8A1" w:rsidR="00EC3981" w:rsidRPr="00BF2AAC" w:rsidRDefault="00F454E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t xml:space="preserve">Cormac Magee, </w:t>
      </w:r>
      <w:r w:rsidR="00711D84" w:rsidRPr="00BF2AAC">
        <w:rPr>
          <w:rFonts w:ascii="Book Antiqua" w:hAnsi="Book Antiqua" w:cs="Times New Roman"/>
          <w:sz w:val="24"/>
          <w:szCs w:val="24"/>
          <w:lang w:val="en-GB"/>
        </w:rPr>
        <w:t xml:space="preserve">Department of Metabolism and Experimental Therapeutics, University College London, </w:t>
      </w:r>
      <w:r w:rsidR="00EC3981" w:rsidRPr="00BF2AAC">
        <w:rPr>
          <w:rFonts w:ascii="Book Antiqua" w:hAnsi="Book Antiqua" w:cs="Times New Roman"/>
          <w:sz w:val="24"/>
          <w:szCs w:val="24"/>
          <w:lang w:val="en-GB"/>
        </w:rPr>
        <w:t>Lon</w:t>
      </w:r>
      <w:r w:rsidRPr="00BF2AAC">
        <w:rPr>
          <w:rFonts w:ascii="Book Antiqua" w:hAnsi="Book Antiqua" w:cs="Times New Roman"/>
          <w:sz w:val="24"/>
          <w:szCs w:val="24"/>
          <w:lang w:val="en-GB"/>
        </w:rPr>
        <w:t>don</w:t>
      </w:r>
      <w:r w:rsidR="00EC3981" w:rsidRPr="00BF2AAC">
        <w:rPr>
          <w:rFonts w:ascii="Book Antiqua" w:hAnsi="Book Antiqua" w:cs="Times New Roman"/>
          <w:sz w:val="24"/>
          <w:szCs w:val="24"/>
          <w:lang w:val="en-GB"/>
        </w:rPr>
        <w:t xml:space="preserve"> WC1E 6BT, United Kingdom</w:t>
      </w:r>
    </w:p>
    <w:p w14:paraId="20C422D9" w14:textId="10AE0C85"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5CBF2044" w14:textId="236CC52E" w:rsidR="00EC3981" w:rsidRPr="00BF2AAC" w:rsidRDefault="00EC3981"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lastRenderedPageBreak/>
        <w:t xml:space="preserve">ORCID number: </w:t>
      </w:r>
      <w:r w:rsidR="00F454EF" w:rsidRPr="00BF2AAC">
        <w:rPr>
          <w:rFonts w:ascii="Book Antiqua" w:hAnsi="Book Antiqua" w:cs="Times New Roman"/>
          <w:sz w:val="24"/>
          <w:szCs w:val="24"/>
          <w:lang w:val="en-GB"/>
        </w:rPr>
        <w:t>David Graham (0000-0002-7288-8251); Nejc Sever (0000-0003-2356-600x); Cormac Magee (0000-0003-2063-1857); William Waddingham (0000-0002-9440-8810); Matthew Banks (0000-0002-9137-2779​); Rami Sweis (0000-0002-3742-5163); Hannah Al-Yousuf (​0000-0002-2942-1867); Miriam Mitchison (0000-0003-2520-2744​); Durayd Alzoubaidi (0000-0001-8308-1667); Manuel Rodriguez-Justo (0000-0001-5007-1761); Laurence Lovat (0000-0003-4542-3915); Marco Novelli (0000-0001-6429-9134); Marnix Jansen (0000-0003-0645-564X); Rehan Haidry (0000-0002-4660-4382).</w:t>
      </w:r>
    </w:p>
    <w:p w14:paraId="125238F6" w14:textId="776002EA" w:rsidR="00EC3981" w:rsidRPr="00BF2AAC" w:rsidRDefault="00EC3981" w:rsidP="00BF2AAC">
      <w:pPr>
        <w:adjustRightInd w:val="0"/>
        <w:snapToGrid w:val="0"/>
        <w:spacing w:after="0" w:line="360" w:lineRule="auto"/>
        <w:jc w:val="both"/>
        <w:rPr>
          <w:rFonts w:ascii="Book Antiqua" w:hAnsi="Book Antiqua" w:cs="Times New Roman"/>
          <w:sz w:val="24"/>
          <w:szCs w:val="24"/>
          <w:lang w:val="en-GB"/>
        </w:rPr>
      </w:pPr>
    </w:p>
    <w:p w14:paraId="3BD2CEE9" w14:textId="08DCF98A" w:rsidR="00EC3981" w:rsidRPr="00BF2AAC" w:rsidRDefault="00EC3981"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Author contributions:</w:t>
      </w:r>
      <w:r w:rsidR="00F454EF" w:rsidRPr="00BF2AAC">
        <w:rPr>
          <w:rFonts w:ascii="Book Antiqua" w:hAnsi="Book Antiqua" w:cs="Times New Roman"/>
          <w:b/>
          <w:sz w:val="24"/>
          <w:szCs w:val="24"/>
          <w:lang w:val="en-GB"/>
        </w:rPr>
        <w:t xml:space="preserve"> </w:t>
      </w:r>
      <w:r w:rsidRPr="00BF2AAC">
        <w:rPr>
          <w:rFonts w:ascii="Book Antiqua" w:hAnsi="Book Antiqua" w:cs="Times New Roman"/>
          <w:sz w:val="24"/>
          <w:szCs w:val="24"/>
          <w:lang w:val="en-GB"/>
        </w:rPr>
        <w:t>Graham D</w:t>
      </w:r>
      <w:r w:rsidR="00F454EF"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F454EF" w:rsidRPr="00BF2AAC">
        <w:rPr>
          <w:rFonts w:ascii="Book Antiqua" w:hAnsi="Book Antiqua" w:cs="Times New Roman"/>
          <w:sz w:val="24"/>
          <w:szCs w:val="24"/>
          <w:lang w:val="en-GB"/>
        </w:rPr>
        <w:t>Sever N</w:t>
      </w:r>
      <w:r w:rsidR="00224BE1" w:rsidRPr="00BF2AAC">
        <w:rPr>
          <w:rFonts w:ascii="Book Antiqua" w:hAnsi="Book Antiqua" w:cs="Times New Roman"/>
          <w:sz w:val="24"/>
          <w:szCs w:val="24"/>
          <w:lang w:val="en-GB"/>
        </w:rPr>
        <w:t xml:space="preserve"> and Haidry R</w:t>
      </w:r>
      <w:r w:rsidRPr="00BF2AAC">
        <w:rPr>
          <w:rFonts w:ascii="Book Antiqua" w:hAnsi="Book Antiqua" w:cs="Times New Roman"/>
          <w:sz w:val="24"/>
          <w:szCs w:val="24"/>
          <w:lang w:val="en-GB"/>
        </w:rPr>
        <w:t xml:space="preserve"> designed the research, analysed data and wrote the paper</w:t>
      </w:r>
      <w:r w:rsidR="00224BE1" w:rsidRPr="00BF2AAC">
        <w:rPr>
          <w:rFonts w:ascii="Book Antiqua" w:hAnsi="Book Antiqua" w:cs="Times New Roman"/>
          <w:sz w:val="24"/>
          <w:szCs w:val="24"/>
          <w:lang w:val="en-GB"/>
        </w:rPr>
        <w:t xml:space="preserve">; </w:t>
      </w:r>
      <w:r w:rsidR="002910E4" w:rsidRPr="00BF2AAC">
        <w:rPr>
          <w:rFonts w:ascii="Book Antiqua" w:hAnsi="Book Antiqua" w:cs="Times New Roman"/>
          <w:sz w:val="24"/>
          <w:szCs w:val="24"/>
          <w:lang w:val="en-GB"/>
        </w:rPr>
        <w:t>Magee C</w:t>
      </w:r>
      <w:r w:rsidR="00224BE1" w:rsidRPr="00BF2AAC">
        <w:rPr>
          <w:rFonts w:ascii="Book Antiqua" w:hAnsi="Book Antiqua" w:cs="Times New Roman"/>
          <w:sz w:val="24"/>
          <w:szCs w:val="24"/>
          <w:lang w:val="en-GB"/>
        </w:rPr>
        <w:t>, Banks M, Sweis R, Lovat L,</w:t>
      </w:r>
      <w:r w:rsidR="002910E4" w:rsidRPr="00BF2AAC">
        <w:rPr>
          <w:rFonts w:ascii="Book Antiqua" w:hAnsi="Book Antiqua" w:cs="Times New Roman"/>
          <w:sz w:val="24"/>
          <w:szCs w:val="24"/>
          <w:lang w:val="en-GB"/>
        </w:rPr>
        <w:t xml:space="preserve"> </w:t>
      </w:r>
      <w:r w:rsidR="00224BE1" w:rsidRPr="00BF2AAC">
        <w:rPr>
          <w:rFonts w:ascii="Book Antiqua" w:hAnsi="Book Antiqua" w:cs="Times New Roman"/>
          <w:sz w:val="24"/>
          <w:szCs w:val="24"/>
          <w:lang w:val="en-GB"/>
        </w:rPr>
        <w:t>Novelli M, Jansen M and Haidry R</w:t>
      </w:r>
      <w:r w:rsidR="002910E4" w:rsidRPr="00BF2AAC">
        <w:rPr>
          <w:rFonts w:ascii="Book Antiqua" w:hAnsi="Book Antiqua" w:cs="Times New Roman"/>
          <w:sz w:val="24"/>
          <w:szCs w:val="24"/>
          <w:lang w:val="en-GB"/>
        </w:rPr>
        <w:t xml:space="preserve"> designed the research, analysed data and reviewed paper</w:t>
      </w:r>
      <w:r w:rsidR="00224BE1" w:rsidRPr="00BF2AAC">
        <w:rPr>
          <w:rFonts w:ascii="Book Antiqua" w:hAnsi="Book Antiqua" w:cs="Times New Roman"/>
          <w:sz w:val="24"/>
          <w:szCs w:val="24"/>
          <w:lang w:val="en-GB"/>
        </w:rPr>
        <w:t>;</w:t>
      </w:r>
      <w:r w:rsidR="00224BE1" w:rsidRPr="00BF2AAC">
        <w:rPr>
          <w:rFonts w:ascii="Book Antiqua" w:hAnsi="Book Antiqua" w:cs="Times New Roman"/>
          <w:b/>
          <w:sz w:val="24"/>
          <w:szCs w:val="24"/>
          <w:lang w:val="en-GB"/>
        </w:rPr>
        <w:t xml:space="preserve"> </w:t>
      </w:r>
      <w:r w:rsidRPr="00BF2AAC">
        <w:rPr>
          <w:rFonts w:ascii="Book Antiqua" w:hAnsi="Book Antiqua" w:cs="Times New Roman"/>
          <w:sz w:val="24"/>
          <w:szCs w:val="24"/>
          <w:lang w:val="en-GB"/>
        </w:rPr>
        <w:t>Waddingham W</w:t>
      </w:r>
      <w:r w:rsidR="00224BE1" w:rsidRPr="00BF2AAC">
        <w:rPr>
          <w:rFonts w:ascii="Book Antiqua" w:hAnsi="Book Antiqua" w:cs="Times New Roman"/>
          <w:sz w:val="24"/>
          <w:szCs w:val="24"/>
          <w:lang w:val="en-GB"/>
        </w:rPr>
        <w:t>, Al-Yousuf H, Mitchison M and Rodriguez-Justo M</w:t>
      </w:r>
      <w:r w:rsidRPr="00BF2AAC">
        <w:rPr>
          <w:rFonts w:ascii="Book Antiqua" w:hAnsi="Book Antiqua" w:cs="Times New Roman"/>
          <w:sz w:val="24"/>
          <w:szCs w:val="24"/>
          <w:lang w:val="en-GB"/>
        </w:rPr>
        <w:t xml:space="preserve"> designed the research and analysed data.</w:t>
      </w:r>
    </w:p>
    <w:p w14:paraId="1A07E32B" w14:textId="1C769B98"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0D3BD4CA" w14:textId="3D9B840D" w:rsidR="00ED1353" w:rsidRPr="00BF2AAC" w:rsidRDefault="00ED1353"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t xml:space="preserve">Institutional review board statement: </w:t>
      </w:r>
      <w:r w:rsidR="006C78C9" w:rsidRPr="00BF2AAC">
        <w:rPr>
          <w:rFonts w:ascii="Book Antiqua" w:hAnsi="Book Antiqua" w:cs="Times New Roman"/>
          <w:sz w:val="24"/>
          <w:szCs w:val="24"/>
          <w:lang w:val="en-GB"/>
        </w:rPr>
        <w:t>The institutional review board approval was waived. However, this work was undertaken as a retrospective audit of patient care as part of service evaluation under the authorization of our local audit and governance guidelines.</w:t>
      </w:r>
    </w:p>
    <w:p w14:paraId="14318B74" w14:textId="4CF196BF" w:rsidR="00ED1353" w:rsidRPr="00BF2AAC" w:rsidRDefault="00ED1353" w:rsidP="00BF2AAC">
      <w:pPr>
        <w:adjustRightInd w:val="0"/>
        <w:snapToGrid w:val="0"/>
        <w:spacing w:after="0" w:line="360" w:lineRule="auto"/>
        <w:jc w:val="both"/>
        <w:rPr>
          <w:rFonts w:ascii="Book Antiqua" w:hAnsi="Book Antiqua" w:cs="Times New Roman"/>
          <w:sz w:val="24"/>
          <w:szCs w:val="24"/>
          <w:lang w:val="en-GB"/>
        </w:rPr>
      </w:pPr>
    </w:p>
    <w:p w14:paraId="6B30EDC8" w14:textId="563C9EEB" w:rsidR="00ED1353" w:rsidRPr="00BF2AAC" w:rsidRDefault="00ED1353" w:rsidP="00BF2AAC">
      <w:pPr>
        <w:adjustRightInd w:val="0"/>
        <w:snapToGrid w:val="0"/>
        <w:spacing w:after="0" w:line="360" w:lineRule="auto"/>
        <w:jc w:val="both"/>
        <w:rPr>
          <w:rFonts w:ascii="Book Antiqua" w:hAnsi="Book Antiqua" w:cs="Times New Roman"/>
          <w:sz w:val="24"/>
          <w:szCs w:val="24"/>
        </w:rPr>
      </w:pPr>
      <w:r w:rsidRPr="00BF2AAC">
        <w:rPr>
          <w:rFonts w:ascii="Book Antiqua" w:hAnsi="Book Antiqua" w:cs="Times New Roman"/>
          <w:b/>
          <w:sz w:val="24"/>
          <w:szCs w:val="24"/>
          <w:lang w:val="en-GB"/>
        </w:rPr>
        <w:t xml:space="preserve">Informed consent statement: </w:t>
      </w:r>
      <w:r w:rsidR="00224BE1" w:rsidRPr="00BF2AAC">
        <w:rPr>
          <w:rFonts w:ascii="Book Antiqua" w:hAnsi="Book Antiqua" w:cs="Times New Roman"/>
          <w:sz w:val="24"/>
          <w:szCs w:val="24"/>
        </w:rPr>
        <w:t>Patients were not required to give informed consent to this study as the analysis used anonymous data that were obtained after each patient had agreed to to treatment by written consent.</w:t>
      </w:r>
    </w:p>
    <w:p w14:paraId="756A5D30" w14:textId="77777777" w:rsidR="00ED1353" w:rsidRPr="00BF2AAC" w:rsidRDefault="00ED1353" w:rsidP="00BF2AAC">
      <w:pPr>
        <w:adjustRightInd w:val="0"/>
        <w:snapToGrid w:val="0"/>
        <w:spacing w:after="0" w:line="360" w:lineRule="auto"/>
        <w:jc w:val="both"/>
        <w:rPr>
          <w:rFonts w:ascii="Book Antiqua" w:hAnsi="Book Antiqua" w:cs="Times New Roman"/>
          <w:sz w:val="24"/>
          <w:szCs w:val="24"/>
          <w:lang w:val="en-GB"/>
        </w:rPr>
      </w:pPr>
    </w:p>
    <w:p w14:paraId="3BA2B9FE" w14:textId="4AF8F080" w:rsidR="00711D84" w:rsidRPr="00BF2AAC" w:rsidRDefault="00224BE1" w:rsidP="00BF2AAC">
      <w:pPr>
        <w:adjustRightInd w:val="0"/>
        <w:snapToGrid w:val="0"/>
        <w:spacing w:after="0" w:line="360" w:lineRule="auto"/>
        <w:jc w:val="both"/>
        <w:outlineLvl w:val="0"/>
        <w:rPr>
          <w:rFonts w:ascii="Book Antiqua" w:hAnsi="Book Antiqua" w:cs="Times New Roman"/>
          <w:sz w:val="24"/>
          <w:szCs w:val="24"/>
          <w:lang w:val="en-GB" w:eastAsia="zh-CN"/>
        </w:rPr>
      </w:pPr>
      <w:r w:rsidRPr="00BF2AAC">
        <w:rPr>
          <w:rFonts w:ascii="Book Antiqua" w:hAnsi="Book Antiqua" w:cs="Times New Roman"/>
          <w:b/>
          <w:sz w:val="24"/>
          <w:szCs w:val="24"/>
          <w:lang w:val="en-GB"/>
        </w:rPr>
        <w:t>Conflict-of-</w:t>
      </w:r>
      <w:r w:rsidR="00711D84" w:rsidRPr="00BF2AAC">
        <w:rPr>
          <w:rFonts w:ascii="Book Antiqua" w:hAnsi="Book Antiqua" w:cs="Times New Roman"/>
          <w:b/>
          <w:sz w:val="24"/>
          <w:szCs w:val="24"/>
          <w:lang w:val="en-GB"/>
        </w:rPr>
        <w:t>interest statement:</w:t>
      </w:r>
      <w:r w:rsidR="00711D84" w:rsidRPr="00BF2AAC">
        <w:rPr>
          <w:rFonts w:ascii="Book Antiqua" w:hAnsi="Book Antiqua" w:cs="Times New Roman"/>
          <w:sz w:val="24"/>
          <w:szCs w:val="24"/>
          <w:lang w:val="en-GB"/>
        </w:rPr>
        <w:t xml:space="preserve"> The authors declare no conflicts of interest</w:t>
      </w:r>
      <w:r w:rsidR="00451DA5">
        <w:rPr>
          <w:rFonts w:ascii="Book Antiqua" w:hAnsi="Book Antiqua" w:cs="Times New Roman" w:hint="eastAsia"/>
          <w:sz w:val="24"/>
          <w:szCs w:val="24"/>
          <w:lang w:val="en-GB" w:eastAsia="zh-CN"/>
        </w:rPr>
        <w:t>.</w:t>
      </w:r>
    </w:p>
    <w:p w14:paraId="02D9D0FF" w14:textId="68E00B88"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46E91BD2" w14:textId="42407ACF" w:rsidR="00711D84" w:rsidRPr="00BF2AAC" w:rsidRDefault="00224BE1" w:rsidP="00BF2AAC">
      <w:pPr>
        <w:adjustRightInd w:val="0"/>
        <w:snapToGrid w:val="0"/>
        <w:spacing w:after="0" w:line="360" w:lineRule="auto"/>
        <w:jc w:val="both"/>
        <w:rPr>
          <w:rFonts w:ascii="Book Antiqua" w:hAnsi="Book Antiqua" w:cs="Times New Roman"/>
          <w:sz w:val="24"/>
          <w:szCs w:val="24"/>
        </w:rPr>
      </w:pPr>
      <w:r w:rsidRPr="00BF2AAC">
        <w:rPr>
          <w:rFonts w:ascii="Book Antiqua" w:hAnsi="Book Antiqua" w:cs="Times New Roman"/>
          <w:b/>
          <w:sz w:val="24"/>
          <w:szCs w:val="24"/>
          <w:lang w:val="en-GB"/>
        </w:rPr>
        <w:t xml:space="preserve">STROBE </w:t>
      </w:r>
      <w:r w:rsidR="00451DA5" w:rsidRPr="00BF2AAC">
        <w:rPr>
          <w:rFonts w:ascii="Book Antiqua" w:hAnsi="Book Antiqua" w:cs="Times New Roman"/>
          <w:b/>
          <w:sz w:val="24"/>
          <w:szCs w:val="24"/>
          <w:lang w:val="en-GB"/>
        </w:rPr>
        <w:t>s</w:t>
      </w:r>
      <w:r w:rsidRPr="00BF2AAC">
        <w:rPr>
          <w:rFonts w:ascii="Book Antiqua" w:hAnsi="Book Antiqua" w:cs="Times New Roman"/>
          <w:b/>
          <w:sz w:val="24"/>
          <w:szCs w:val="24"/>
          <w:lang w:val="en-GB"/>
        </w:rPr>
        <w:t xml:space="preserve">tatement: </w:t>
      </w:r>
      <w:r w:rsidR="00711D84" w:rsidRPr="00BF2AAC">
        <w:rPr>
          <w:rFonts w:ascii="Book Antiqua" w:hAnsi="Book Antiqua" w:cs="Times New Roman"/>
          <w:sz w:val="24"/>
          <w:szCs w:val="24"/>
        </w:rPr>
        <w:t>I, Dr Rehan Haidry, Consultant Gastroenterologist and Honorary Senior Lecturer at University College Hospital, London confirm that our article contains all relevant features outlined in the STROBE checklist.</w:t>
      </w:r>
    </w:p>
    <w:p w14:paraId="4B926075" w14:textId="77777777" w:rsidR="006C78C9" w:rsidRPr="00BF2AAC" w:rsidRDefault="006C78C9" w:rsidP="00BF2AAC">
      <w:pPr>
        <w:adjustRightInd w:val="0"/>
        <w:snapToGrid w:val="0"/>
        <w:spacing w:after="0" w:line="360" w:lineRule="auto"/>
        <w:jc w:val="both"/>
        <w:rPr>
          <w:rFonts w:ascii="Book Antiqua" w:hAnsi="Book Antiqua" w:cs="Times New Roman"/>
          <w:sz w:val="24"/>
          <w:szCs w:val="24"/>
        </w:rPr>
      </w:pPr>
    </w:p>
    <w:p w14:paraId="498B541A" w14:textId="77777777" w:rsidR="006C78C9" w:rsidRPr="00BF2AAC" w:rsidRDefault="006C78C9" w:rsidP="00BF2AAC">
      <w:pPr>
        <w:adjustRightInd w:val="0"/>
        <w:snapToGrid w:val="0"/>
        <w:spacing w:after="0" w:line="360" w:lineRule="auto"/>
        <w:jc w:val="both"/>
        <w:rPr>
          <w:rFonts w:ascii="Book Antiqua" w:hAnsi="Book Antiqua"/>
          <w:sz w:val="24"/>
          <w:szCs w:val="24"/>
        </w:rPr>
      </w:pPr>
      <w:r w:rsidRPr="00BF2AAC">
        <w:rPr>
          <w:rFonts w:ascii="Book Antiqua" w:hAnsi="Book Antiqua"/>
          <w:b/>
          <w:color w:val="000000"/>
          <w:sz w:val="24"/>
          <w:szCs w:val="24"/>
        </w:rPr>
        <w:lastRenderedPageBreak/>
        <w:t xml:space="preserve">Open-Access: </w:t>
      </w:r>
      <w:r w:rsidRPr="00BF2AAC">
        <w:rPr>
          <w:rFonts w:ascii="Book Antiqua" w:hAnsi="Book Antiqua"/>
          <w:color w:val="000000"/>
          <w:sz w:val="24"/>
          <w:szCs w:val="24"/>
        </w:rPr>
        <w:t xml:space="preserve">This is an </w:t>
      </w:r>
      <w:r w:rsidRPr="00BF2AAC">
        <w:rPr>
          <w:rFonts w:ascii="Book Antiqua" w:hAnsi="Book Antiqua" w:cs="SimSun"/>
          <w:sz w:val="24"/>
          <w:szCs w:val="24"/>
        </w:rPr>
        <w:t xml:space="preserve">open-access article that was </w:t>
      </w:r>
      <w:r w:rsidRPr="00BF2AAC">
        <w:rPr>
          <w:rFonts w:ascii="Book Antiqua" w:hAnsi="Book Antiqua"/>
          <w:sz w:val="24"/>
          <w:szCs w:val="24"/>
        </w:rPr>
        <w:t xml:space="preserve">selected by an in-house editor and fully peer-reviewed by external reviewers. It is </w:t>
      </w:r>
      <w:r w:rsidRPr="00BF2AAC">
        <w:rPr>
          <w:rFonts w:ascii="Book Antiqua" w:hAnsi="Book Antiqua" w:cs="SimSun"/>
          <w:sz w:val="24"/>
          <w:szCs w:val="24"/>
        </w:rPr>
        <w:t xml:space="preserve">distributed in accordance with </w:t>
      </w:r>
      <w:r w:rsidRPr="00BF2AAC">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BF2AAC">
          <w:rPr>
            <w:rStyle w:val="Hyperlink"/>
            <w:rFonts w:ascii="Book Antiqua" w:hAnsi="Book Antiqua"/>
            <w:sz w:val="24"/>
            <w:szCs w:val="24"/>
          </w:rPr>
          <w:t>http://creativecommons.org/licenses/by-nc/4.0/</w:t>
        </w:r>
      </w:hyperlink>
    </w:p>
    <w:p w14:paraId="01263CFF" w14:textId="77777777" w:rsidR="006C78C9" w:rsidRPr="00BF2AAC" w:rsidRDefault="006C78C9" w:rsidP="00BF2AAC">
      <w:pPr>
        <w:adjustRightInd w:val="0"/>
        <w:snapToGrid w:val="0"/>
        <w:spacing w:after="0" w:line="360" w:lineRule="auto"/>
        <w:jc w:val="both"/>
        <w:rPr>
          <w:rFonts w:ascii="Book Antiqua" w:hAnsi="Book Antiqua"/>
          <w:sz w:val="24"/>
          <w:szCs w:val="24"/>
        </w:rPr>
      </w:pPr>
    </w:p>
    <w:p w14:paraId="32FEA40E" w14:textId="77777777" w:rsidR="006C78C9" w:rsidRPr="00BF2AAC" w:rsidRDefault="006C78C9" w:rsidP="00BF2AAC">
      <w:pPr>
        <w:pStyle w:val="1"/>
        <w:adjustRightInd w:val="0"/>
        <w:snapToGrid w:val="0"/>
        <w:spacing w:line="360" w:lineRule="auto"/>
        <w:jc w:val="both"/>
        <w:outlineLvl w:val="0"/>
        <w:rPr>
          <w:rFonts w:ascii="Book Antiqua" w:hAnsi="Book Antiqua" w:cs="Times New Roman"/>
          <w:b/>
          <w:bCs/>
          <w:color w:val="auto"/>
          <w:sz w:val="24"/>
          <w:szCs w:val="24"/>
          <w:highlight w:val="white"/>
          <w:lang w:val="en-US"/>
        </w:rPr>
      </w:pPr>
      <w:bookmarkStart w:id="19" w:name="OLE_LINK11"/>
      <w:r w:rsidRPr="00BF2AAC">
        <w:rPr>
          <w:rFonts w:ascii="Book Antiqua" w:hAnsi="Book Antiqua" w:cs="Times New Roman"/>
          <w:b/>
          <w:bCs/>
          <w:color w:val="auto"/>
          <w:sz w:val="24"/>
          <w:szCs w:val="24"/>
          <w:highlight w:val="white"/>
          <w:lang w:val="en-US"/>
        </w:rPr>
        <w:t>Manuscript source:</w:t>
      </w:r>
      <w:r w:rsidRPr="00BF2AAC">
        <w:rPr>
          <w:rFonts w:ascii="Book Antiqua" w:hAnsi="Book Antiqua" w:cs="Times New Roman"/>
          <w:b/>
          <w:bCs/>
          <w:color w:val="auto"/>
          <w:sz w:val="24"/>
          <w:szCs w:val="24"/>
          <w:highlight w:val="white"/>
          <w:lang w:val="en-US" w:eastAsia="zh-CN"/>
        </w:rPr>
        <w:t xml:space="preserve"> </w:t>
      </w:r>
      <w:r w:rsidRPr="00BF2AAC">
        <w:rPr>
          <w:rFonts w:ascii="Book Antiqua" w:hAnsi="Book Antiqua" w:cs="Times New Roman"/>
          <w:bCs/>
          <w:color w:val="auto"/>
          <w:sz w:val="24"/>
          <w:szCs w:val="24"/>
          <w:highlight w:val="white"/>
          <w:lang w:val="en-US"/>
        </w:rPr>
        <w:t>Unsolicited manuscript</w:t>
      </w:r>
      <w:bookmarkEnd w:id="19"/>
      <w:r w:rsidRPr="00BF2AAC">
        <w:rPr>
          <w:rFonts w:ascii="Book Antiqua" w:hAnsi="Book Antiqua" w:cs="Times New Roman"/>
          <w:bCs/>
          <w:color w:val="auto"/>
          <w:sz w:val="24"/>
          <w:szCs w:val="24"/>
          <w:highlight w:val="white"/>
          <w:lang w:val="en-US"/>
        </w:rPr>
        <w:t xml:space="preserve"> </w:t>
      </w:r>
    </w:p>
    <w:p w14:paraId="47C278B7" w14:textId="77777777" w:rsidR="00224BE1" w:rsidRPr="00BF2AAC" w:rsidRDefault="00224BE1" w:rsidP="00BF2AAC">
      <w:pPr>
        <w:adjustRightInd w:val="0"/>
        <w:snapToGrid w:val="0"/>
        <w:spacing w:after="0" w:line="360" w:lineRule="auto"/>
        <w:jc w:val="both"/>
        <w:rPr>
          <w:rFonts w:ascii="Book Antiqua" w:hAnsi="Book Antiqua" w:cs="Times New Roman"/>
          <w:sz w:val="24"/>
          <w:szCs w:val="24"/>
        </w:rPr>
      </w:pPr>
    </w:p>
    <w:p w14:paraId="2EEBAE05" w14:textId="287F8772" w:rsidR="00224BE1" w:rsidRPr="00BF2AAC" w:rsidRDefault="00224BE1" w:rsidP="00BF2AAC">
      <w:pPr>
        <w:adjustRightInd w:val="0"/>
        <w:snapToGrid w:val="0"/>
        <w:spacing w:after="0" w:line="360" w:lineRule="auto"/>
        <w:jc w:val="both"/>
        <w:rPr>
          <w:rStyle w:val="Hyperlink"/>
          <w:rFonts w:ascii="Book Antiqua" w:hAnsi="Book Antiqua" w:cs="Times New Roman"/>
          <w:sz w:val="24"/>
          <w:szCs w:val="24"/>
          <w:u w:val="none"/>
          <w:lang w:val="en-GB"/>
        </w:rPr>
      </w:pPr>
      <w:r w:rsidRPr="00BF2AAC">
        <w:rPr>
          <w:rFonts w:ascii="Book Antiqua" w:hAnsi="Book Antiqua" w:cs="Times New Roman"/>
          <w:b/>
          <w:sz w:val="24"/>
          <w:szCs w:val="24"/>
          <w:lang w:val="en-GB"/>
        </w:rPr>
        <w:t>Correspondence to:</w:t>
      </w:r>
      <w:r w:rsidRPr="00BF2AAC">
        <w:rPr>
          <w:rFonts w:ascii="Book Antiqua" w:hAnsi="Book Antiqua" w:cs="Times New Roman"/>
          <w:sz w:val="24"/>
          <w:szCs w:val="24"/>
          <w:lang w:val="en-GB"/>
        </w:rPr>
        <w:t xml:space="preserve"> </w:t>
      </w:r>
      <w:r w:rsidR="006C78C9" w:rsidRPr="00BF2AAC">
        <w:rPr>
          <w:rFonts w:ascii="Book Antiqua" w:hAnsi="Book Antiqua" w:cs="Times New Roman"/>
          <w:b/>
          <w:sz w:val="24"/>
          <w:szCs w:val="24"/>
          <w:lang w:val="en-GB"/>
        </w:rPr>
        <w:t xml:space="preserve">David Graham, </w:t>
      </w:r>
      <w:r w:rsidR="00400147" w:rsidRPr="00BF2AAC">
        <w:rPr>
          <w:rFonts w:ascii="Book Antiqua" w:hAnsi="Book Antiqua" w:cs="Times New Roman"/>
          <w:b/>
          <w:sz w:val="24"/>
          <w:szCs w:val="24"/>
          <w:lang w:val="en-GB"/>
        </w:rPr>
        <w:t xml:space="preserve">BSc, MBBS, MRCP, Doctor, </w:t>
      </w:r>
      <w:r w:rsidR="006C78C9" w:rsidRPr="00BF2AAC">
        <w:rPr>
          <w:rFonts w:ascii="Book Antiqua" w:hAnsi="Book Antiqua" w:cs="Times New Roman"/>
          <w:sz w:val="24"/>
          <w:szCs w:val="24"/>
          <w:lang w:val="en-GB"/>
        </w:rPr>
        <w:t xml:space="preserve">GI Services, University College London Hospital, </w:t>
      </w:r>
      <w:r w:rsidR="00400147" w:rsidRPr="00BF2AAC">
        <w:rPr>
          <w:rFonts w:ascii="Book Antiqua" w:hAnsi="Book Antiqua" w:cs="Times New Roman"/>
          <w:sz w:val="24"/>
          <w:szCs w:val="24"/>
          <w:lang w:val="en-GB"/>
        </w:rPr>
        <w:t xml:space="preserve">235 Euston Road, </w:t>
      </w:r>
      <w:r w:rsidR="006C78C9" w:rsidRPr="00BF2AAC">
        <w:rPr>
          <w:rFonts w:ascii="Book Antiqua" w:hAnsi="Book Antiqua" w:cs="Times New Roman"/>
          <w:sz w:val="24"/>
          <w:szCs w:val="24"/>
          <w:lang w:val="en-GB"/>
        </w:rPr>
        <w:t>London NW1 2BU, United Kingdom. david.graham14@nhs.net</w:t>
      </w:r>
    </w:p>
    <w:p w14:paraId="0548FBBB" w14:textId="77777777" w:rsidR="00224BE1" w:rsidRPr="00BF2AAC" w:rsidRDefault="00224BE1" w:rsidP="00BF2AAC">
      <w:pPr>
        <w:adjustRightInd w:val="0"/>
        <w:snapToGrid w:val="0"/>
        <w:spacing w:after="0" w:line="360" w:lineRule="auto"/>
        <w:jc w:val="both"/>
        <w:rPr>
          <w:rStyle w:val="Hyperlink"/>
          <w:rFonts w:ascii="Book Antiqua" w:hAnsi="Book Antiqua" w:cs="Times New Roman"/>
          <w:color w:val="000000" w:themeColor="text1"/>
          <w:sz w:val="24"/>
          <w:szCs w:val="24"/>
          <w:u w:val="none"/>
          <w:lang w:val="en-GB" w:eastAsia="zh-CN"/>
        </w:rPr>
      </w:pPr>
      <w:r w:rsidRPr="00BF2AAC">
        <w:rPr>
          <w:rStyle w:val="Hyperlink"/>
          <w:rFonts w:ascii="Book Antiqua" w:hAnsi="Book Antiqua" w:cs="Times New Roman"/>
          <w:b/>
          <w:color w:val="000000" w:themeColor="text1"/>
          <w:sz w:val="24"/>
          <w:szCs w:val="24"/>
          <w:u w:val="none"/>
          <w:lang w:val="en-GB"/>
        </w:rPr>
        <w:t>Telephone:</w:t>
      </w:r>
      <w:r w:rsidRPr="00BF2AAC">
        <w:rPr>
          <w:rStyle w:val="Hyperlink"/>
          <w:rFonts w:ascii="Book Antiqua" w:hAnsi="Book Antiqua" w:cs="Times New Roman"/>
          <w:color w:val="000000" w:themeColor="text1"/>
          <w:sz w:val="24"/>
          <w:szCs w:val="24"/>
          <w:u w:val="none"/>
          <w:lang w:val="en-GB"/>
        </w:rPr>
        <w:t xml:space="preserve"> </w:t>
      </w:r>
      <w:bookmarkStart w:id="20" w:name="OLE_LINK2"/>
      <w:r w:rsidRPr="00BF2AAC">
        <w:rPr>
          <w:rStyle w:val="Hyperlink"/>
          <w:rFonts w:ascii="Book Antiqua" w:hAnsi="Book Antiqua" w:cs="Times New Roman"/>
          <w:color w:val="000000" w:themeColor="text1"/>
          <w:sz w:val="24"/>
          <w:szCs w:val="24"/>
          <w:u w:val="none"/>
          <w:lang w:val="en-GB"/>
        </w:rPr>
        <w:t>+</w:t>
      </w:r>
      <w:r w:rsidRPr="00BF2AAC">
        <w:rPr>
          <w:rStyle w:val="Hyperlink"/>
          <w:rFonts w:ascii="Book Antiqua" w:hAnsi="Book Antiqua" w:cs="Times New Roman"/>
          <w:color w:val="000000" w:themeColor="text1"/>
          <w:sz w:val="24"/>
          <w:szCs w:val="24"/>
          <w:u w:val="none"/>
          <w:lang w:val="en-GB" w:eastAsia="zh-CN"/>
        </w:rPr>
        <w:t>44-</w:t>
      </w:r>
      <w:r w:rsidRPr="00BF2AAC">
        <w:rPr>
          <w:rStyle w:val="Hyperlink"/>
          <w:rFonts w:ascii="Book Antiqua" w:hAnsi="Book Antiqua" w:cs="Times New Roman"/>
          <w:color w:val="000000" w:themeColor="text1"/>
          <w:sz w:val="24"/>
          <w:szCs w:val="24"/>
          <w:u w:val="none"/>
          <w:lang w:val="en-GB"/>
        </w:rPr>
        <w:t>203-4477488</w:t>
      </w:r>
      <w:bookmarkEnd w:id="20"/>
      <w:r w:rsidRPr="00BF2AAC">
        <w:rPr>
          <w:rStyle w:val="Hyperlink"/>
          <w:rFonts w:ascii="Book Antiqua" w:hAnsi="Book Antiqua" w:cs="Times New Roman"/>
          <w:color w:val="000000" w:themeColor="text1"/>
          <w:sz w:val="24"/>
          <w:szCs w:val="24"/>
          <w:u w:val="none"/>
          <w:lang w:val="en-GB"/>
        </w:rPr>
        <w:t xml:space="preserve"> </w:t>
      </w:r>
    </w:p>
    <w:p w14:paraId="7EF1E419" w14:textId="1CFAF83F" w:rsidR="00224BE1" w:rsidRPr="00BF2AAC" w:rsidRDefault="00224BE1" w:rsidP="00BF2AAC">
      <w:pPr>
        <w:adjustRightInd w:val="0"/>
        <w:snapToGrid w:val="0"/>
        <w:spacing w:after="0" w:line="360" w:lineRule="auto"/>
        <w:jc w:val="both"/>
        <w:rPr>
          <w:rFonts w:ascii="Book Antiqua" w:hAnsi="Book Antiqua" w:cs="Times New Roman"/>
          <w:color w:val="0563C1" w:themeColor="hyperlink"/>
          <w:sz w:val="24"/>
          <w:szCs w:val="24"/>
          <w:lang w:val="en-GB"/>
        </w:rPr>
      </w:pPr>
      <w:r w:rsidRPr="00BF2AAC">
        <w:rPr>
          <w:rStyle w:val="Hyperlink"/>
          <w:rFonts w:ascii="Book Antiqua" w:hAnsi="Book Antiqua" w:cs="Times New Roman"/>
          <w:b/>
          <w:color w:val="000000" w:themeColor="text1"/>
          <w:sz w:val="24"/>
          <w:szCs w:val="24"/>
          <w:u w:val="none"/>
          <w:lang w:val="en-GB"/>
        </w:rPr>
        <w:t xml:space="preserve">Fax: </w:t>
      </w:r>
      <w:r w:rsidRPr="00BF2AAC">
        <w:rPr>
          <w:rStyle w:val="Hyperlink"/>
          <w:rFonts w:ascii="Book Antiqua" w:hAnsi="Book Antiqua" w:cs="Times New Roman"/>
          <w:color w:val="000000" w:themeColor="text1"/>
          <w:sz w:val="24"/>
          <w:szCs w:val="24"/>
          <w:u w:val="none"/>
          <w:lang w:val="en-GB"/>
        </w:rPr>
        <w:t>+44-203-4479217</w:t>
      </w:r>
    </w:p>
    <w:p w14:paraId="0A9DDC60" w14:textId="77777777" w:rsidR="00224BE1" w:rsidRPr="00BF2AAC" w:rsidRDefault="00224BE1" w:rsidP="00BF2AAC">
      <w:pPr>
        <w:adjustRightInd w:val="0"/>
        <w:snapToGrid w:val="0"/>
        <w:spacing w:after="0" w:line="360" w:lineRule="auto"/>
        <w:jc w:val="both"/>
        <w:rPr>
          <w:rFonts w:ascii="Book Antiqua" w:hAnsi="Book Antiqua" w:cs="Times New Roman"/>
          <w:b/>
          <w:sz w:val="24"/>
          <w:szCs w:val="24"/>
          <w:lang w:val="en-GB"/>
        </w:rPr>
      </w:pPr>
    </w:p>
    <w:p w14:paraId="20A250D8" w14:textId="00BB3796" w:rsidR="00400147" w:rsidRPr="00BF2AAC" w:rsidRDefault="00400147" w:rsidP="00BF2AAC">
      <w:pPr>
        <w:adjustRightInd w:val="0"/>
        <w:snapToGrid w:val="0"/>
        <w:spacing w:after="0" w:line="360" w:lineRule="auto"/>
        <w:jc w:val="both"/>
        <w:outlineLvl w:val="0"/>
        <w:rPr>
          <w:rFonts w:ascii="Book Antiqua" w:hAnsi="Book Antiqua"/>
          <w:b/>
          <w:sz w:val="24"/>
          <w:szCs w:val="24"/>
        </w:rPr>
      </w:pPr>
      <w:bookmarkStart w:id="21" w:name="OLE_LINK14"/>
      <w:bookmarkStart w:id="22" w:name="OLE_LINK16"/>
      <w:bookmarkStart w:id="23" w:name="OLE_LINK51"/>
      <w:r w:rsidRPr="00BF2AAC">
        <w:rPr>
          <w:rFonts w:ascii="Book Antiqua" w:hAnsi="Book Antiqua"/>
          <w:b/>
          <w:sz w:val="24"/>
          <w:szCs w:val="24"/>
        </w:rPr>
        <w:t xml:space="preserve">Received: </w:t>
      </w:r>
      <w:r w:rsidRPr="00BF2AAC">
        <w:rPr>
          <w:rFonts w:ascii="Book Antiqua" w:hAnsi="Book Antiqua"/>
          <w:sz w:val="24"/>
          <w:szCs w:val="24"/>
        </w:rPr>
        <w:t>August</w:t>
      </w:r>
      <w:r w:rsidRPr="00BF2AAC">
        <w:rPr>
          <w:rFonts w:ascii="Book Antiqua" w:eastAsia="DengXian" w:hAnsi="Book Antiqua"/>
          <w:sz w:val="24"/>
          <w:szCs w:val="24"/>
        </w:rPr>
        <w:t xml:space="preserve"> 1, 2018</w:t>
      </w:r>
      <w:r w:rsidRPr="00BF2AAC">
        <w:rPr>
          <w:rFonts w:ascii="Book Antiqua" w:hAnsi="Book Antiqua"/>
          <w:b/>
          <w:sz w:val="24"/>
          <w:szCs w:val="24"/>
        </w:rPr>
        <w:t xml:space="preserve">  </w:t>
      </w:r>
    </w:p>
    <w:p w14:paraId="0E044491" w14:textId="5AEE0F27" w:rsidR="00400147" w:rsidRPr="00BF2AAC" w:rsidRDefault="00400147" w:rsidP="00BF2AAC">
      <w:pPr>
        <w:adjustRightInd w:val="0"/>
        <w:snapToGrid w:val="0"/>
        <w:spacing w:after="0" w:line="360" w:lineRule="auto"/>
        <w:jc w:val="both"/>
        <w:outlineLvl w:val="0"/>
        <w:rPr>
          <w:rFonts w:ascii="Book Antiqua" w:eastAsia="DengXian" w:hAnsi="Book Antiqua"/>
          <w:b/>
          <w:sz w:val="24"/>
          <w:szCs w:val="24"/>
        </w:rPr>
      </w:pPr>
      <w:r w:rsidRPr="00BF2AAC">
        <w:rPr>
          <w:rFonts w:ascii="Book Antiqua" w:hAnsi="Book Antiqua"/>
          <w:b/>
          <w:sz w:val="24"/>
          <w:szCs w:val="24"/>
        </w:rPr>
        <w:t>Peer-review started:</w:t>
      </w:r>
      <w:r w:rsidRPr="00BF2AAC">
        <w:rPr>
          <w:rFonts w:ascii="Book Antiqua" w:eastAsia="DengXian" w:hAnsi="Book Antiqua"/>
          <w:b/>
          <w:sz w:val="24"/>
          <w:szCs w:val="24"/>
        </w:rPr>
        <w:t xml:space="preserve"> </w:t>
      </w:r>
      <w:r w:rsidRPr="00BF2AAC">
        <w:rPr>
          <w:rFonts w:ascii="Book Antiqua" w:hAnsi="Book Antiqua"/>
          <w:sz w:val="24"/>
          <w:szCs w:val="24"/>
        </w:rPr>
        <w:t>August</w:t>
      </w:r>
      <w:r w:rsidRPr="00BF2AAC">
        <w:rPr>
          <w:rFonts w:ascii="Book Antiqua" w:eastAsia="DengXian" w:hAnsi="Book Antiqua"/>
          <w:sz w:val="24"/>
          <w:szCs w:val="24"/>
        </w:rPr>
        <w:t xml:space="preserve"> 1, 2018</w:t>
      </w:r>
    </w:p>
    <w:p w14:paraId="54C716D6" w14:textId="4227B4C9" w:rsidR="00400147" w:rsidRPr="00BF2AAC" w:rsidRDefault="00400147" w:rsidP="00BF2AAC">
      <w:pPr>
        <w:adjustRightInd w:val="0"/>
        <w:snapToGrid w:val="0"/>
        <w:spacing w:after="0" w:line="360" w:lineRule="auto"/>
        <w:jc w:val="both"/>
        <w:outlineLvl w:val="0"/>
        <w:rPr>
          <w:rFonts w:ascii="Book Antiqua" w:eastAsia="DengXian" w:hAnsi="Book Antiqua"/>
          <w:b/>
          <w:sz w:val="24"/>
          <w:szCs w:val="24"/>
        </w:rPr>
      </w:pPr>
      <w:r w:rsidRPr="00BF2AAC">
        <w:rPr>
          <w:rFonts w:ascii="Book Antiqua" w:hAnsi="Book Antiqua"/>
          <w:b/>
          <w:sz w:val="24"/>
          <w:szCs w:val="24"/>
        </w:rPr>
        <w:t>First decision:</w:t>
      </w:r>
      <w:r w:rsidRPr="00BF2AAC">
        <w:rPr>
          <w:rFonts w:ascii="Book Antiqua" w:eastAsia="DengXian" w:hAnsi="Book Antiqua"/>
          <w:b/>
          <w:sz w:val="24"/>
          <w:szCs w:val="24"/>
        </w:rPr>
        <w:t xml:space="preserve"> </w:t>
      </w:r>
      <w:r w:rsidRPr="00BF2AAC">
        <w:rPr>
          <w:rFonts w:ascii="Book Antiqua" w:hAnsi="Book Antiqua"/>
          <w:sz w:val="24"/>
          <w:szCs w:val="24"/>
        </w:rPr>
        <w:t>August</w:t>
      </w:r>
      <w:r w:rsidRPr="00BF2AAC">
        <w:rPr>
          <w:rFonts w:ascii="Book Antiqua" w:eastAsia="DengXian" w:hAnsi="Book Antiqua"/>
          <w:sz w:val="24"/>
          <w:szCs w:val="24"/>
        </w:rPr>
        <w:t xml:space="preserve"> 24, 2018</w:t>
      </w:r>
    </w:p>
    <w:p w14:paraId="74C3F75D" w14:textId="2F2ED882" w:rsidR="00400147" w:rsidRPr="00BF2AAC" w:rsidRDefault="00400147" w:rsidP="00BF2AAC">
      <w:pPr>
        <w:adjustRightInd w:val="0"/>
        <w:snapToGrid w:val="0"/>
        <w:spacing w:after="0" w:line="360" w:lineRule="auto"/>
        <w:jc w:val="both"/>
        <w:rPr>
          <w:rFonts w:ascii="Book Antiqua" w:hAnsi="Book Antiqua"/>
          <w:b/>
          <w:sz w:val="24"/>
          <w:szCs w:val="24"/>
        </w:rPr>
      </w:pPr>
      <w:r w:rsidRPr="00BF2AAC">
        <w:rPr>
          <w:rFonts w:ascii="Book Antiqua" w:hAnsi="Book Antiqua"/>
          <w:b/>
          <w:sz w:val="24"/>
          <w:szCs w:val="24"/>
        </w:rPr>
        <w:t xml:space="preserve">Revised: </w:t>
      </w:r>
      <w:r w:rsidRPr="00BF2AAC">
        <w:rPr>
          <w:rFonts w:ascii="Book Antiqua" w:hAnsi="Book Antiqua"/>
          <w:sz w:val="24"/>
          <w:szCs w:val="24"/>
        </w:rPr>
        <w:t xml:space="preserve">September 29, 2018 </w:t>
      </w:r>
    </w:p>
    <w:p w14:paraId="1CF5B302" w14:textId="5ED10814" w:rsidR="00400147" w:rsidRPr="00BF2AAC" w:rsidRDefault="00400147" w:rsidP="00BF2AAC">
      <w:pPr>
        <w:adjustRightInd w:val="0"/>
        <w:snapToGrid w:val="0"/>
        <w:spacing w:after="0" w:line="360" w:lineRule="auto"/>
        <w:jc w:val="both"/>
        <w:outlineLvl w:val="0"/>
        <w:rPr>
          <w:rFonts w:ascii="Book Antiqua" w:hAnsi="Book Antiqua"/>
          <w:b/>
          <w:sz w:val="24"/>
          <w:szCs w:val="24"/>
        </w:rPr>
      </w:pPr>
      <w:r w:rsidRPr="00BF2AAC">
        <w:rPr>
          <w:rFonts w:ascii="Book Antiqua" w:hAnsi="Book Antiqua"/>
          <w:b/>
          <w:sz w:val="24"/>
          <w:szCs w:val="24"/>
        </w:rPr>
        <w:t>Accepted:</w:t>
      </w:r>
      <w:r w:rsidR="00564443" w:rsidRPr="00564443">
        <w:t xml:space="preserve"> </w:t>
      </w:r>
      <w:r w:rsidR="00564443" w:rsidRPr="00564443">
        <w:rPr>
          <w:rFonts w:ascii="Book Antiqua" w:hAnsi="Book Antiqua"/>
          <w:sz w:val="24"/>
          <w:szCs w:val="24"/>
        </w:rPr>
        <w:t>October 16, 2018</w:t>
      </w:r>
      <w:r w:rsidRPr="00BF2AAC">
        <w:rPr>
          <w:rFonts w:ascii="Book Antiqua" w:hAnsi="Book Antiqua"/>
          <w:b/>
          <w:sz w:val="24"/>
          <w:szCs w:val="24"/>
        </w:rPr>
        <w:t xml:space="preserve"> </w:t>
      </w:r>
    </w:p>
    <w:p w14:paraId="18E10FE6" w14:textId="77777777" w:rsidR="00400147" w:rsidRPr="00BF2AAC" w:rsidRDefault="00400147" w:rsidP="00BF2AAC">
      <w:pPr>
        <w:adjustRightInd w:val="0"/>
        <w:snapToGrid w:val="0"/>
        <w:spacing w:after="0" w:line="360" w:lineRule="auto"/>
        <w:jc w:val="both"/>
        <w:outlineLvl w:val="0"/>
        <w:rPr>
          <w:rFonts w:ascii="Book Antiqua" w:hAnsi="Book Antiqua"/>
          <w:b/>
          <w:sz w:val="24"/>
          <w:szCs w:val="24"/>
        </w:rPr>
      </w:pPr>
      <w:r w:rsidRPr="00BF2AAC">
        <w:rPr>
          <w:rFonts w:ascii="Book Antiqua" w:hAnsi="Book Antiqua"/>
          <w:b/>
          <w:sz w:val="24"/>
          <w:szCs w:val="24"/>
        </w:rPr>
        <w:t>Article in press:</w:t>
      </w:r>
    </w:p>
    <w:p w14:paraId="3F7BD9CF" w14:textId="3334B77D" w:rsidR="00400147" w:rsidRPr="00BF2AAC" w:rsidRDefault="00400147" w:rsidP="00BF2AAC">
      <w:pPr>
        <w:adjustRightInd w:val="0"/>
        <w:snapToGrid w:val="0"/>
        <w:spacing w:after="0" w:line="360" w:lineRule="auto"/>
        <w:jc w:val="both"/>
        <w:outlineLvl w:val="0"/>
        <w:rPr>
          <w:rFonts w:ascii="Book Antiqua" w:hAnsi="Book Antiqua"/>
          <w:color w:val="000000"/>
          <w:sz w:val="24"/>
          <w:szCs w:val="24"/>
        </w:rPr>
      </w:pPr>
      <w:r w:rsidRPr="00BF2AAC">
        <w:rPr>
          <w:rFonts w:ascii="Book Antiqua" w:hAnsi="Book Antiqua"/>
          <w:b/>
          <w:sz w:val="24"/>
          <w:szCs w:val="24"/>
        </w:rPr>
        <w:t>Published online:</w:t>
      </w:r>
      <w:bookmarkEnd w:id="21"/>
      <w:bookmarkEnd w:id="22"/>
      <w:bookmarkEnd w:id="23"/>
    </w:p>
    <w:p w14:paraId="010F286B"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br w:type="page"/>
      </w:r>
    </w:p>
    <w:p w14:paraId="3D8E4ED6" w14:textId="4B5904B0" w:rsidR="00711D84" w:rsidRPr="00BF2AAC" w:rsidRDefault="00400147"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lastRenderedPageBreak/>
        <w:t>Abstract</w:t>
      </w:r>
    </w:p>
    <w:p w14:paraId="086FFC19" w14:textId="77DEB43F" w:rsidR="00400147" w:rsidRPr="00BF2AAC" w:rsidRDefault="00400147"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AIM</w:t>
      </w:r>
    </w:p>
    <w:p w14:paraId="5E8FC489" w14:textId="2C9FF295" w:rsidR="00ED1353" w:rsidRPr="00BF2AAC" w:rsidRDefault="00ED1353"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To</w:t>
      </w:r>
      <w:r w:rsidR="00F44261" w:rsidRPr="00BF2AAC">
        <w:rPr>
          <w:rFonts w:ascii="Book Antiqua" w:hAnsi="Book Antiqua" w:cs="Times New Roman"/>
          <w:sz w:val="24"/>
          <w:szCs w:val="24"/>
          <w:lang w:val="en-GB"/>
        </w:rPr>
        <w:t xml:space="preserve"> assess clinical outcomes for submucosal (T1b) </w:t>
      </w:r>
      <w:r w:rsidR="00400147" w:rsidRPr="00BF2AAC">
        <w:rPr>
          <w:rFonts w:ascii="Book Antiqua" w:hAnsi="Book Antiqua" w:cs="Times New Roman"/>
          <w:sz w:val="24"/>
          <w:szCs w:val="24"/>
          <w:lang w:val="en-GB"/>
        </w:rPr>
        <w:t xml:space="preserve">oesophageal adenocarcinoma (OAC) patients </w:t>
      </w:r>
      <w:r w:rsidR="00F44261" w:rsidRPr="00BF2AAC">
        <w:rPr>
          <w:rFonts w:ascii="Book Antiqua" w:hAnsi="Book Antiqua" w:cs="Times New Roman"/>
          <w:sz w:val="24"/>
          <w:szCs w:val="24"/>
          <w:lang w:val="en-GB"/>
        </w:rPr>
        <w:t>managed with either surgery or endoscopic eradication therapy</w:t>
      </w:r>
    </w:p>
    <w:p w14:paraId="3CE6DFE9"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31B84982" w14:textId="488462AB" w:rsidR="00400147" w:rsidRPr="00BF2AAC" w:rsidRDefault="00400147"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METHODS</w:t>
      </w:r>
    </w:p>
    <w:p w14:paraId="0028C1F1" w14:textId="05E8DF2A"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Patients found to have T1b OAC following endoscopic resection between January 2008 to February 2016 at University College London Hospital were retrospectively analysed. Patients were split into low-risk and high-risk groups according to established histopathological criteria and were then further categorised according to whether they underwent surgical resection or conservative management. Study outcomes include the presence of lymph-node metastases, disease-specific mortality and overall survival. </w:t>
      </w:r>
    </w:p>
    <w:p w14:paraId="36A4FB4A"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0F2A05EA" w14:textId="6B394925" w:rsidR="00400147" w:rsidRPr="00BF2AAC" w:rsidRDefault="00400147"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RESULTS</w:t>
      </w:r>
    </w:p>
    <w:p w14:paraId="72491D53" w14:textId="43924599"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A total of 60 patients were included; 22 patients were surgically managed (1 low-risk and 21 high-risk patients) whilst 38 patients were treated conservatively (12 low-risk and 26 high risk). Overall, lymph node metastases (LNM) were detected in 10 patients (17%); </w:t>
      </w:r>
      <w:r w:rsidR="00400147" w:rsidRPr="00BF2AAC">
        <w:rPr>
          <w:rFonts w:ascii="Book Antiqua" w:hAnsi="Book Antiqua" w:cs="Times New Roman"/>
          <w:sz w:val="24"/>
          <w:szCs w:val="24"/>
          <w:lang w:val="en-GB"/>
        </w:rPr>
        <w:t>six</w:t>
      </w:r>
      <w:r w:rsidRPr="00BF2AAC">
        <w:rPr>
          <w:rFonts w:ascii="Book Antiqua" w:hAnsi="Book Antiqua" w:cs="Times New Roman"/>
          <w:sz w:val="24"/>
          <w:szCs w:val="24"/>
          <w:lang w:val="en-GB"/>
        </w:rPr>
        <w:t xml:space="preserve"> of these patients had undergone conservative management and LNM were detected at a median of 4 mo after </w:t>
      </w:r>
      <w:r w:rsidR="00400147" w:rsidRPr="00BF2AAC">
        <w:rPr>
          <w:rFonts w:ascii="Book Antiqua" w:hAnsi="Book Antiqua" w:cs="Times New Roman"/>
          <w:sz w:val="24"/>
          <w:szCs w:val="24"/>
          <w:lang w:val="en-GB"/>
        </w:rPr>
        <w:t>endoscopic mucosal resection (</w:t>
      </w:r>
      <w:r w:rsidRPr="00BF2AAC">
        <w:rPr>
          <w:rFonts w:ascii="Book Antiqua" w:hAnsi="Book Antiqua" w:cs="Times New Roman"/>
          <w:sz w:val="24"/>
          <w:szCs w:val="24"/>
          <w:lang w:val="en-GB"/>
        </w:rPr>
        <w:t>EMR</w:t>
      </w:r>
      <w:r w:rsidR="00400147" w:rsidRPr="00BF2AAC">
        <w:rPr>
          <w:rFonts w:ascii="Book Antiqua" w:hAnsi="Book Antiqua" w:cs="Times New Roman"/>
          <w:sz w:val="24"/>
          <w:szCs w:val="24"/>
          <w:lang w:val="en-GB"/>
        </w:rPr>
        <w:t>)</w:t>
      </w:r>
      <w:r w:rsidRPr="00BF2AAC">
        <w:rPr>
          <w:rFonts w:ascii="Book Antiqua" w:hAnsi="Book Antiqua" w:cs="Times New Roman"/>
          <w:sz w:val="24"/>
          <w:szCs w:val="24"/>
          <w:lang w:val="en-GB"/>
        </w:rPr>
        <w:t>. All LNM occurred in patients with high-risk lesions and this represented 21% of the total high-risk lesions. Importantly, there was no statistically significant difference in tumor-related deaths between those treated surgically or conservatively (</w:t>
      </w:r>
      <w:r w:rsidR="00400147" w:rsidRPr="00BF2AAC">
        <w:rPr>
          <w:rFonts w:ascii="Book Antiqua" w:hAnsi="Book Antiqua" w:cs="Times New Roman"/>
          <w:i/>
          <w:sz w:val="24"/>
          <w:szCs w:val="24"/>
          <w:lang w:val="en-GB"/>
        </w:rPr>
        <w:t>P</w:t>
      </w:r>
      <w:r w:rsidR="00400147"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0.636) and disease-specific survival time was also comparable between the two treatment strategies (</w:t>
      </w:r>
      <w:r w:rsidR="00400147" w:rsidRPr="00BF2AAC">
        <w:rPr>
          <w:rFonts w:ascii="Book Antiqua" w:hAnsi="Book Antiqua" w:cs="Times New Roman"/>
          <w:i/>
          <w:sz w:val="24"/>
          <w:szCs w:val="24"/>
          <w:lang w:val="en-GB"/>
        </w:rPr>
        <w:t>P</w:t>
      </w:r>
      <w:r w:rsidR="00400147"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0.376).</w:t>
      </w:r>
    </w:p>
    <w:p w14:paraId="79F6E066"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5D84DCD7" w14:textId="35410C78" w:rsidR="00400147" w:rsidRPr="00BF2AAC" w:rsidRDefault="00400147"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CONCLUSION</w:t>
      </w:r>
    </w:p>
    <w:p w14:paraId="0CCA2394" w14:textId="1B8833E8" w:rsidR="00581FF0"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T1b tumours without histopathological high-risk markers of LNM can be treated end</w:t>
      </w:r>
      <w:r w:rsidR="005E4C9C" w:rsidRPr="00BF2AAC">
        <w:rPr>
          <w:rFonts w:ascii="Book Antiqua" w:hAnsi="Book Antiqua" w:cs="Times New Roman"/>
          <w:sz w:val="24"/>
          <w:szCs w:val="24"/>
          <w:lang w:val="en-GB"/>
        </w:rPr>
        <w:t>oscopically with good outcomes. In selected patients, endoscopic therapy may be appropriate for high-risk lesions.</w:t>
      </w:r>
    </w:p>
    <w:p w14:paraId="533C1CBA" w14:textId="77777777" w:rsidR="00400147" w:rsidRPr="00BF2AAC" w:rsidRDefault="00400147" w:rsidP="00BF2AAC">
      <w:pPr>
        <w:adjustRightInd w:val="0"/>
        <w:snapToGrid w:val="0"/>
        <w:spacing w:after="0" w:line="360" w:lineRule="auto"/>
        <w:jc w:val="both"/>
        <w:rPr>
          <w:rFonts w:ascii="Book Antiqua" w:hAnsi="Book Antiqua" w:cs="Times New Roman"/>
          <w:sz w:val="24"/>
          <w:szCs w:val="24"/>
          <w:lang w:val="en-GB"/>
        </w:rPr>
      </w:pPr>
    </w:p>
    <w:p w14:paraId="76273E10" w14:textId="19364D0B" w:rsidR="005E4C9C" w:rsidRPr="00BF2AAC" w:rsidRDefault="005E4C9C"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b/>
          <w:sz w:val="24"/>
          <w:szCs w:val="24"/>
          <w:lang w:val="en-GB"/>
        </w:rPr>
        <w:t>Key</w:t>
      </w:r>
      <w:r w:rsidR="00400147" w:rsidRPr="00BF2AAC">
        <w:rPr>
          <w:rFonts w:ascii="Book Antiqua" w:hAnsi="Book Antiqua" w:cs="Times New Roman"/>
          <w:b/>
          <w:sz w:val="24"/>
          <w:szCs w:val="24"/>
          <w:lang w:val="en-GB"/>
        </w:rPr>
        <w:t xml:space="preserve"> </w:t>
      </w:r>
      <w:r w:rsidRPr="00BF2AAC">
        <w:rPr>
          <w:rFonts w:ascii="Book Antiqua" w:hAnsi="Book Antiqua" w:cs="Times New Roman"/>
          <w:b/>
          <w:sz w:val="24"/>
          <w:szCs w:val="24"/>
          <w:lang w:val="en-GB"/>
        </w:rPr>
        <w:t>words:</w:t>
      </w:r>
      <w:r w:rsidR="00400147" w:rsidRPr="00BF2AAC">
        <w:rPr>
          <w:rFonts w:ascii="Book Antiqua" w:hAnsi="Book Antiqua" w:cs="Times New Roman"/>
          <w:sz w:val="24"/>
          <w:szCs w:val="24"/>
          <w:lang w:val="en-GB"/>
        </w:rPr>
        <w:t xml:space="preserve"> Oesophageal adenocarcinoma; S</w:t>
      </w:r>
      <w:r w:rsidRPr="00BF2AAC">
        <w:rPr>
          <w:rFonts w:ascii="Book Antiqua" w:hAnsi="Book Antiqua" w:cs="Times New Roman"/>
          <w:sz w:val="24"/>
          <w:szCs w:val="24"/>
          <w:lang w:val="en-GB"/>
        </w:rPr>
        <w:t>ubmucos</w:t>
      </w:r>
      <w:r w:rsidR="00400147" w:rsidRPr="00BF2AAC">
        <w:rPr>
          <w:rFonts w:ascii="Book Antiqua" w:hAnsi="Book Antiqua" w:cs="Times New Roman"/>
          <w:sz w:val="24"/>
          <w:szCs w:val="24"/>
          <w:lang w:val="en-GB"/>
        </w:rPr>
        <w:t>al invasion; T1b; Lymph node metastasis; Risk prediction; E</w:t>
      </w:r>
      <w:r w:rsidRPr="00BF2AAC">
        <w:rPr>
          <w:rFonts w:ascii="Book Antiqua" w:hAnsi="Book Antiqua" w:cs="Times New Roman"/>
          <w:sz w:val="24"/>
          <w:szCs w:val="24"/>
          <w:lang w:val="en-GB"/>
        </w:rPr>
        <w:t>ndoscopy</w:t>
      </w:r>
    </w:p>
    <w:p w14:paraId="4F29868C" w14:textId="77777777"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p>
    <w:p w14:paraId="64C996CA" w14:textId="5917B7D8" w:rsidR="00581FF0" w:rsidRPr="00BF2AAC" w:rsidRDefault="00400147" w:rsidP="00BF2AAC">
      <w:pPr>
        <w:adjustRightInd w:val="0"/>
        <w:snapToGrid w:val="0"/>
        <w:spacing w:after="0" w:line="360" w:lineRule="auto"/>
        <w:jc w:val="both"/>
        <w:rPr>
          <w:rFonts w:ascii="Book Antiqua" w:hAnsi="Book Antiqua"/>
          <w:sz w:val="24"/>
          <w:szCs w:val="24"/>
        </w:rPr>
      </w:pPr>
      <w:bookmarkStart w:id="24" w:name="OLE_LINK58"/>
      <w:bookmarkStart w:id="25" w:name="OLE_LINK59"/>
      <w:r w:rsidRPr="00BF2AAC">
        <w:rPr>
          <w:rFonts w:ascii="Book Antiqua" w:hAnsi="Book Antiqua"/>
          <w:b/>
          <w:sz w:val="24"/>
          <w:szCs w:val="24"/>
        </w:rPr>
        <w:t xml:space="preserve">© The Author(s) 2018. </w:t>
      </w:r>
      <w:r w:rsidRPr="00BF2AAC">
        <w:rPr>
          <w:rFonts w:ascii="Book Antiqua" w:hAnsi="Book Antiqua"/>
          <w:sz w:val="24"/>
          <w:szCs w:val="24"/>
        </w:rPr>
        <w:t xml:space="preserve">Published by Baishideng Publishing Group Inc. All rights reserved. </w:t>
      </w:r>
      <w:bookmarkEnd w:id="24"/>
      <w:bookmarkEnd w:id="25"/>
    </w:p>
    <w:p w14:paraId="44AE33B8" w14:textId="77777777" w:rsidR="00581FF0" w:rsidRPr="00BF2AAC" w:rsidRDefault="00581FF0" w:rsidP="00BF2AAC">
      <w:pPr>
        <w:adjustRightInd w:val="0"/>
        <w:snapToGrid w:val="0"/>
        <w:spacing w:after="0" w:line="360" w:lineRule="auto"/>
        <w:jc w:val="both"/>
        <w:rPr>
          <w:rFonts w:ascii="Book Antiqua" w:hAnsi="Book Antiqua" w:cs="Times New Roman"/>
          <w:b/>
          <w:sz w:val="24"/>
          <w:szCs w:val="24"/>
          <w:lang w:val="en-GB"/>
        </w:rPr>
      </w:pPr>
    </w:p>
    <w:p w14:paraId="3A37C32E" w14:textId="64859B5A" w:rsidR="00F44261" w:rsidRPr="00BF2AAC" w:rsidRDefault="00BC1CD1"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 xml:space="preserve">Core tip: </w:t>
      </w:r>
      <w:r w:rsidR="002C68E5" w:rsidRPr="00BF2AAC">
        <w:rPr>
          <w:rFonts w:ascii="Book Antiqua" w:hAnsi="Book Antiqua" w:cs="Times New Roman"/>
          <w:sz w:val="24"/>
          <w:szCs w:val="24"/>
          <w:lang w:val="en-GB"/>
        </w:rPr>
        <w:t>Our retrospective cohort data supports previously published work demonstrating that endoscopic therapy is a safe and effective option for T1b oesophageal adenocarcinoma without markers of high-risk for lymph-node me</w:t>
      </w:r>
      <w:r w:rsidR="008547C4" w:rsidRPr="00BF2AAC">
        <w:rPr>
          <w:rFonts w:ascii="Book Antiqua" w:hAnsi="Book Antiqua" w:cs="Times New Roman"/>
          <w:sz w:val="24"/>
          <w:szCs w:val="24"/>
          <w:lang w:val="en-GB"/>
        </w:rPr>
        <w:t>tastasis. Furthermore</w:t>
      </w:r>
      <w:r w:rsidRPr="00BF2AAC">
        <w:rPr>
          <w:rFonts w:ascii="Book Antiqua" w:hAnsi="Book Antiqua" w:cs="Times New Roman"/>
          <w:sz w:val="24"/>
          <w:szCs w:val="24"/>
          <w:lang w:val="en-GB"/>
        </w:rPr>
        <w:t>,</w:t>
      </w:r>
      <w:r w:rsidR="008547C4" w:rsidRPr="00BF2AAC">
        <w:rPr>
          <w:rFonts w:ascii="Book Antiqua" w:hAnsi="Book Antiqua" w:cs="Times New Roman"/>
          <w:sz w:val="24"/>
          <w:szCs w:val="24"/>
          <w:lang w:val="en-GB"/>
        </w:rPr>
        <w:t xml:space="preserve"> our work suggests that endoscopic therapy is a viable alternative to surgery in selected patients</w:t>
      </w:r>
      <w:r w:rsidR="00D31428" w:rsidRPr="00BF2AAC">
        <w:rPr>
          <w:rFonts w:ascii="Book Antiqua" w:hAnsi="Book Antiqua" w:cs="Times New Roman"/>
          <w:sz w:val="24"/>
          <w:szCs w:val="24"/>
          <w:lang w:val="en-GB"/>
        </w:rPr>
        <w:t xml:space="preserve"> with high-risk lesions</w:t>
      </w:r>
      <w:r w:rsidR="008547C4" w:rsidRPr="00BF2AAC">
        <w:rPr>
          <w:rFonts w:ascii="Book Antiqua" w:hAnsi="Book Antiqua" w:cs="Times New Roman"/>
          <w:sz w:val="24"/>
          <w:szCs w:val="24"/>
          <w:lang w:val="en-GB"/>
        </w:rPr>
        <w:t xml:space="preserve"> (particularly those with poor performance status) and </w:t>
      </w:r>
      <w:r w:rsidR="00637ABE" w:rsidRPr="00BF2AAC">
        <w:rPr>
          <w:rFonts w:ascii="Book Antiqua" w:hAnsi="Book Antiqua" w:cs="Times New Roman"/>
          <w:sz w:val="24"/>
          <w:szCs w:val="24"/>
          <w:lang w:val="en-GB"/>
        </w:rPr>
        <w:t>highlights the need for further work exploring whether endoscopic therapy could be a viable option for all submucosal lesions.</w:t>
      </w:r>
    </w:p>
    <w:p w14:paraId="166115AE" w14:textId="77777777" w:rsidR="00BC1CD1" w:rsidRPr="00BF2AAC" w:rsidRDefault="00BC1CD1" w:rsidP="00BF2AAC">
      <w:pPr>
        <w:adjustRightInd w:val="0"/>
        <w:snapToGrid w:val="0"/>
        <w:spacing w:after="0" w:line="360" w:lineRule="auto"/>
        <w:jc w:val="both"/>
        <w:rPr>
          <w:rFonts w:ascii="Book Antiqua" w:hAnsi="Book Antiqua" w:cs="Times New Roman"/>
          <w:b/>
          <w:sz w:val="24"/>
          <w:szCs w:val="24"/>
          <w:lang w:val="en-GB"/>
        </w:rPr>
      </w:pPr>
    </w:p>
    <w:p w14:paraId="54BE969B" w14:textId="77777777" w:rsidR="00506602" w:rsidRPr="00BF2AAC" w:rsidRDefault="00BC1CD1"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sz w:val="24"/>
          <w:szCs w:val="24"/>
          <w:lang w:val="en-GB"/>
        </w:rPr>
        <w:t>Graham D, Sever N, Magee C, Waddingham W, Banks M, Sweis R, Al-Yousuf H, Mitchison M, Alzoubaidi D, Rodriguez-Justo M, Lovat L, Novelli M, Jansen M, Haidry R.</w:t>
      </w:r>
      <w:r w:rsidR="00506602" w:rsidRPr="00BF2AAC">
        <w:rPr>
          <w:rFonts w:ascii="Book Antiqua" w:hAnsi="Book Antiqua" w:cs="Times New Roman"/>
          <w:sz w:val="24"/>
          <w:szCs w:val="24"/>
          <w:lang w:val="en-GB"/>
        </w:rPr>
        <w:t xml:space="preserve"> Risk of lymph node metastases in patients with T1b oesophageal adenocarcinoma: A retrospective single centre experience. </w:t>
      </w:r>
      <w:bookmarkStart w:id="26" w:name="OLE_LINK1105"/>
      <w:bookmarkStart w:id="27" w:name="OLE_LINK1107"/>
      <w:r w:rsidR="00506602" w:rsidRPr="00BF2AAC">
        <w:rPr>
          <w:rFonts w:ascii="Book Antiqua" w:hAnsi="Book Antiqua"/>
          <w:i/>
          <w:color w:val="000000"/>
          <w:sz w:val="24"/>
          <w:szCs w:val="24"/>
        </w:rPr>
        <w:t xml:space="preserve">World J Gastroenterol </w:t>
      </w:r>
      <w:r w:rsidR="00506602" w:rsidRPr="00BF2AAC">
        <w:rPr>
          <w:rFonts w:ascii="Book Antiqua" w:hAnsi="Book Antiqua"/>
          <w:color w:val="000000"/>
          <w:sz w:val="24"/>
          <w:szCs w:val="24"/>
        </w:rPr>
        <w:t>2018; In press</w:t>
      </w:r>
      <w:bookmarkEnd w:id="26"/>
      <w:bookmarkEnd w:id="27"/>
    </w:p>
    <w:p w14:paraId="071B9283" w14:textId="2EA4A448"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br w:type="page"/>
      </w:r>
    </w:p>
    <w:p w14:paraId="47D06369" w14:textId="77777777" w:rsidR="00711D84" w:rsidRPr="00BF2AAC" w:rsidRDefault="00711D84"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lastRenderedPageBreak/>
        <w:t>INTRODUCTION</w:t>
      </w:r>
    </w:p>
    <w:p w14:paraId="20829959" w14:textId="113865BF"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Endoscopic eradication therapy (EET) for the treatment of early neoplasia arising in Barrett's oesophagus (BE) is widely established to avoid progression to advanced oesophageal adenocarcinoma (OAC). This approach is safe and highly effective with data demonstrating minimal risk to patients with durable long- term disease free survival. Prospective data from several high-volume studies demonstrate our ability to successfully treat BE-related neoplasia has markedly improved over the past 10 years. Following EET the complete resolution of dysplasia is above 90% and the complete resolution of intestinal metaplasia is above 80% at one year</w:t>
      </w:r>
      <w:r w:rsidR="005A27F2"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{"citationItems":[{"id":"ITEM-1","itemData":{"DOI":"10.1053/j.gastro.2013.11.006","ISSN":"0016-5085","abstract":"Background &amp; Aims Barrett's esophagus-associated high-grade dysplasia is commonly treated by endoscopy. However, most guidelines offer no recommendations for endoscopic treatment of mucosal adenocarcinoma of the esophagus (mAC). We investigated the efficacy and safety of endoscopic resection in a large series of patients with mAC. Methods We collected data from 1000 consecutive patients (mean age, 69.1 ± 10.7 years; 861 men) with mAC (481 with short-segment and 519 with long-segment Barrett's esophagus) who presented at a tertiary care center from October 1996 to September 2010. Patients with low-grade and high-grade dysplasia and submucosal or more advanced cancer were excluded. All patients underwent endoscopic resection of mACs. Patients found to have submucosal cancer at their first endoscopy examination were excluded from the analysis. Results After a mean follow-up period of 56.6 ± 33.4 months, 963 patients (96.3%) had achieved a complete response; surgery was necessary in 12 patients (3.7%) after endoscopic therapy failed. Metachronous lesions or recurrence of cancer developed during the follow-up period in 140 patients (14.5%) but endoscopic re-treatment was successful in 115, resulting in a long-term complete remission rate of 93.8%; 111 died of concomitant disease and 2 of Barrett's esophagus-associated cancer. The calculated 10-year survival rate of patients who underwent endoscopic resection of mACs was 75%. Major complications developed in 15 patients (1.5%) but could be managed conservatively. Conclusions Endoscopic therapy is highly effective and safe for patients with mAC, with excellent long-term results. In an almost 5-year follow-up of 1000 patients treated with endoscopic resection, there was no mortality and less than 2% had major complications. Endoscopic therapy should become the standard of care for patients with mAC. © 2014 by the AGA Institute.","author":[{"dropping-particle":"","family":"Pech","given":"O","non-dropping-particle":"","parse-names":false,"suffix":""},{"dropping-particle":"","family":"May","given":"A","non-dropping-particle":"","parse-names":false,"suffix":""},{"dropping-particle":"","family":"Manner","given":"H","non-dropping-particle":"","parse-names":false,"suffix":""},{"dropping-particle":"","family":"Behrens","given":"A","non-dropping-particle":"","parse-names":false,"suffix":""},{"dropping-particle":"","family":"Pohl","given":"J","non-dropping-particle":"","parse-names":false,"suffix":""},{"dropping-particle":"","family":"Weferling","given":"M","non-dropping-particle":"","parse-names":false,"suffix":""},{"dropping-particle":"","family":"Hartmann","given":"U","non-dropping-particle":"","parse-names":false,"suffix":""},{"dropping-particle":"","family":"Manner","given":"N","non-dropping-particle":"","parse-names":false,"suffix":""},{"dropping-particle":"","family":"Huijsmans","given":"J","non-dropping-particle":"","parse-names":false,"suffix":""},{"dropping-particle":"","family":"Gossner","given":"L","non-dropping-particle":"","parse-names":false,"suffix":""},{"dropping-particle":"","family":"Rabenstein","given":"T","non-dropping-particle":"","parse-names":false,"suffix":""},{"dropping-particle":"","family":"Vieth","given":"M","non-dropping-particle":"","parse-names":false,"suffix":""},{"dropping-particle":"","family":"Stolte","given":"M","non-dropping-particle":"","parse-names":false,"suffix":""},{"dropping-particle":"","family":"Ell","given":"C","non-dropping-particle":"","parse-names":false,"suffix":""}],"container-title":"Gastroenterology","id":"ITEM-1","issue":"3","issued":{"date-parts":[["2014"]]},"page":"652-660e1","title":"Long-term efficacy and safety of endoscopic resection for patients with mucosal adenocarcinoma of the esophagus","type":"article-journal","volume":"146"},"uris":["http://www.mendeley.com/documents/?uuid=262d6ade-0c0e-4840-a7d5-fba9bf7068ce","http://www.mendeley.com/documents/?uuid=13fc142e-6054-4f25-8913-f285a6cae98d"]},{"id":"ITEM-2","itemData":{"DOI":"10.1053/j.gastro.2013.03.045","ISBN":"1528-0012 (Electronic)\\n0016-5085 (Linking)","ISSN":"00165085","PMID":"23542069","abstract":"Background &amp; Aims: Patients with Barrett's esophagus (BE) and high-grade dysplasia (HGD) or early neoplasia increasingly receive endoscopic mucosal resection and radiofrequency ablation (RFA) therapy. We analyzed data from a UK registry that follows the outcomes of patients with BE who have undergone RFA for neoplasia. Methods: We collected data on 335 patients with BE and neoplasia (72% with HGD, 24% with intramucosal cancer, 4% with low-grade dysplasia [mean age, 69 years; 81% male]), treated at 19 centers in the United Kingdom from July 2008 through August 2012. Mean length of BE segments was 5.8 cm (range, 1-20 cm). Patients' nodules were removed by endoscopic mucosal resection, and the patients then underwent RFA every 3 months until all areas of BE were ablated or cancer developed. Biopsies were collected 12 months after the first RFA; clearance of HGD, dysplasia, and BE were assessed. Results: HGD was cleared from 86% of patients, all dysplasia from 81%, and BE from 62% at the 12-month time point, after a mean of 2.5 (range, 2-6) RFA procedures. Complete reversal dysplasia was 15% less likely for every 1-cm increment in BE length (odds ratio = 1.156; SE = 0.048; 95% confidence interval: 1.07-1.26; P &lt;.001). Endoscopic mucosal resection before RFA did not provide any benefit. Invasive cancer developed in 10 patients (3%) by the 12-month time point and disease had progressed in 17 patients (5.1%) after a median follow-up time of 19 months. Symptomatic strictures developed in 9% of patients and were treated by endoscopic dilatation. Nineteen months after therapy began, 94% of patients remained clear of dysplasia. Conclusions: We analyzed data from a large series of patients in the United Kingdom who underwent RFA for BE-related neoplasia and found that by 12 months after treatment, dysplasia was cleared from 81%. Shorter segments of BE respond better to RFA; http://www.controlled-trials.com, number ISRCTN93069556. © 2013 by the AGA Institute.","author":[{"dropping-particle":"","family":"Haidry","given":"Rehan J.","non-dropping-particle":"","parse-names":false,"suffix":""},{"dropping-particle":"","family":"Dunn","given":"Jason M.","non-dropping-particle":"","parse-names":false,"suffix":""},{"dropping-particle":"","family":"Butt","given":"Mohammed A.","non-dropping-particle":"","parse-names":false,"suffix":""},{"dropping-particle":"","family":"Burnell","given":"Matthew G.","non-dropping-particle":"","parse-names":false,"suffix":""},{"dropping-particle":"","family":"Gupta","given":"Abhinav","non-dropping-particle":"","parse-names":false,"suffix":""},{"dropping-particle":"","family":"Green","given":"Sarah","non-dropping-particle":"","parse-names":false,"suffix":""},{"dropping-particle":"","family":"Miah","given":"Haroon","non-dropping-particle":"","parse-names":false,"suffix":""},{"dropping-particle":"","family":"Smart","given":"Howard L.","non-dropping-particle":"","parse-names":false,"suffix":""},{"dropping-particle":"","family":"Bhandari","given":"Pradeep","non-dropping-particle":"","parse-names":false,"suffix":""},{"dropping-particle":"","family":"Smith","given":"Lesley Ann","non-dropping-particle":"","parse-names":false,"suffix":""},{"dropping-particle":"","family":"Willert","given":"Robert","non-dropping-particle":"","parse-names":false,"suffix":""},{"dropping-particle":"","family":"Fullarton","given":"Grant","non-dropping-particle":"","parse-names":false,"suffix":""},{"dropping-particle":"","family":"Morris","given":"John","non-dropping-particle":"","parse-names":false,"suffix":""},{"dropping-particle":"","family":"Pietro","given":"Massimo","non-dropping-particle":"Di","parse-names":false,"suffix":""},{"dropping-particle":"","family":"Gordon","given":"Charles","non-dropping-particle":"","parse-names":false,"suffix":""},{"dropping-particle":"","family":"Penman","given":"Ian","non-dropping-particle":"","parse-names":false,"suffix":""},{"dropping-particle":"","family":"Barr","given":"Hugh","non-dropping-particle":"","parse-names":false,"suffix":""},{"dropping-particle":"","family":"Patel","given":"Praful","non-dropping-particle":"","parse-names":false,"suffix":""},{"dropping-particle":"","family":"Boger","given":"Philip","non-dropping-particle":"","parse-names":false,"suffix":""},{"dropping-particle":"","family":"Kapoor","given":"Neel","non-dropping-particle":"","parse-names":false,"suffix":""},{"dropping-particle":"","family":"Mahon","given":"Brinder","non-dropping-particle":"","parse-names":false,"suffix":""},{"dropping-particle":"","family":"Hoare","given":"Jonathon","non-dropping-particle":"","parse-names":false,"suffix":""},{"dropping-particle":"","family":"Narayanasamy","given":"Ravi","non-dropping-particle":"","parse-names":false,"suffix":""},{"dropping-particle":"","family":"O'Toole","given":"Dermot","non-dropping-particle":"","parse-names":false,"suffix":""},{"dropping-particle":"","family":"Cheong","given":"Edward","non-dropping-particle":"","parse-names":false,"suffix":""},{"dropping-particle":"","family":"Direkze","given":"Natalie C.","non-dropping-particle":"","parse-names":false,"suffix":""},{"dropping-particle":"","family":"Ang","given":"Yeng","non-dropping-particle":"","parse-names":false,"suffix":""},{"dropping-particle":"","family":"Novelli","given":"Marco","non-dropping-particle":"","parse-names":false,"suffix":""},{"dropping-particle":"","family":"Banks","given":"Matthew R.","non-dropping-particle":"","parse-names":false,"suffix":""},{"dropping-particle":"","family":"Lovat","given":"Laurence Bruce","non-dropping-particle":"","parse-names":false,"suffix":""}],"container-title":"Gastroenterology","id":"ITEM-2","issue":"1","issued":{"date-parts":[["2013"]]},"page":"87-95","publisher":"Elsevier, Inc","title":"Radiofrequency ablation and endoscopic mucosal resection for dysplastic Barrett's esophagus and early esophageal adenocarcinoma: Outcomes of the UK national halo RFA registry","type":"article-journal","volume":"145"},"uris":["http://www.mendeley.com/documents/?uuid=b8975dcb-da00-4dc5-be62-1f6550731bd6","http://www.mendeley.com/documents/?uuid=794884be-b47d-4363-b3de-218080cdd6c2"]},{"id":"ITEM-3","itemData":{"DOI":"10.1136/gutjnl-2014-308501","ISBN":"0017-5749","ISSN":"14683288","PMID":"2015334841","abstract":"Background: Barrett's oesophagus (BE) is a premalignant condition leading to oesophageal adenocarcinoma (OAC). Treatment of neoplasia at an early stage is desirable. Combined endoscopic mucosal resection (EMR) followed by radiofrequency ablation (RFA) is an alternative to surgery for patients with BE-related neoplasia. Methods: We examined prospective data from the UK registry of patients undergoing RFA/EMR for BE-related neoplasia from 2008 to 2013. Before RFA, visible lesions were removed by EMR. Thereafter, patients had RFA 3-monthly until all BE was ablated or cancer developed (endpoints). End of treatment biopsies were recommended at around 12 months from first RFA treatment or when endpoints were reached. Outcomes for clearance of dysplasia (CR-D) and BE (CR-IM) at end of treatment were assessed over two time periods (2008-2010 and 2011-2013). Durability of successful treatment and progression to OAC were also evaluated. Results: 508 patients have completed treatment. CR-D and CR-IM improved significantly between the former and later time periods, from 77% and 56% to 92% and 83%, respectively (p&lt;0.0001). EMR for visible lesions prior to RFA increased from 48% to 60% (p=0.013). Rescue EMR after RFA decreased from 13% to 2% (p&lt;0.0001). Progression to OAC at 12 months is not significantly different (3.6% vs 2.1%, p=0.51). Conclusions: Clinical outcomes for BE neoplasia have improved significantly over the past 6 years with improved lesion recognition and aggressive resection of visible lesions before RFA. Despite advances in technique, the rate of cancer progression remains 2-4% at 1 year in these high-risk patients. Trial registration number ISRCTN93069556.","author":[{"dropping-particle":"","family":"Haidry","given":"R. J.","non-dropping-particle":"","parse-names":false,"suffix":""},{"dropping-particle":"","family":"Butt","given":"M. A.","non-dropping-particle":"","parse-names":false,"suffix":""},{"dropping-particle":"","family":"Dunn","given":"J. M.","non-dropping-particle":"","parse-names":false,"suffix":""},{"dropping-particle":"","family":"Gupta","given":"A.","non-dropping-particle":"","parse-names":false,"suffix":""},{"dropping-particle":"","family":"Lipman","given":"G.","non-dropping-particle":"","parse-names":false,"suffix":""},{"dropping-particle":"","family":"Smart","given":"H. L.","non-dropping-particle":"","parse-names":false,"suffix":""},{"dropping-particle":"","family":"Bhandari","given":"P.","non-dropping-particle":"","parse-names":false,"suffix":""},{"dropping-particle":"","family":"Smith","given":"L.","non-dropping-particle":"","parse-names":false,"suffix":""},{"dropping-particle":"","family":"Willert","given":"R.","non-dropping-particle":"","parse-names":false,"suffix":""},{"dropping-particle":"","family":"Fullarton","given":"G.","non-dropping-particle":"","parse-names":false,"suffix":""},{"dropping-particle":"","family":"Pietro","given":"M.","non-dropping-particle":"Di","parse-names":false,"suffix":""},{"dropping-particle":"","family":"Gordon","given":"C.","non-dropping-particle":"","parse-names":false,"suffix":""},{"dropping-particle":"","family":"Penman","given":"I.","non-dropping-particle":"","parse-names":false,"suffix":""},{"dropping-particle":"","family":"Barr","given":"H.","non-dropping-particle":"","parse-names":false,"suffix":""},{"dropping-particle":"","family":"Patel","given":"P.","non-dropping-particle":"","parse-names":false,"suffix":""},{"dropping-particle":"","family":"Kapoor","given":"N.","non-dropping-particle":"","parse-names":false,"suffix":""},{"dropping-particle":"","family":"Hoare","given":"J.","non-dropping-particle":"","parse-names":false,"suffix":""},{"dropping-particle":"","family":"Narayanasamy","given":"R.","non-dropping-particle":"","parse-names":false,"suffix":""},{"dropping-particle":"","family":"Ang","given":"Y.","non-dropping-particle":"","parse-names":false,"suffix":""},{"dropping-particle":"","family":"Veitch","given":"A.","non-dropping-particle":"","parse-names":false,"suffix":""},{"dropping-particle":"","family":"Ragunath","given":"K.","non-dropping-particle":"","parse-names":false,"suffix":""},{"dropping-particle":"","family":"Novelli","given":"M.","non-dropping-particle":"","parse-names":false,"suffix":""},{"dropping-particle":"","family":"Lovat","given":"L. B.","non-dropping-particle":"","parse-names":false,"suffix":""},{"dropping-particle":"","family":"Banks","given":"Matthew","non-dropping-particle":"","parse-names":false,"suffix":""},{"dropping-particle":"","family":"Sehgal","given":"Vinay","non-dropping-particle":"","parse-names":false,"suffix":""},{"dropping-particle":"","family":"Graham","given":"David","non-dropping-particle":"","parse-names":false,"suffix":""},{"dropping-particle":"","family":"Sweis","given":"Rami","non-dropping-particle":"","parse-names":false,"suffix":""},{"dropping-particle":"","family":"Miah","given":"Haroon","non-dropping-particle":"","parse-names":false,"suffix":""},{"dropping-particle":"","family":"Morris","given":"Danielle","non-dropping-particle":"","parse-names":false,"suffix":""},{"dropping-particle":"","family":"Boger","given":"Philip","non-dropping-particle":"","parse-names":false,"suffix":""},{"dropping-particle":"","family":"Morris","given":"John","non-dropping-particle":"","parse-names":false,"suffix":""},{"dropping-particle":"","family":"O'Toole","given":"Dermot","non-dropping-particle":"","parse-names":false,"suffix":""},{"dropping-particle":"","family":"Cheong","given":"Edward","non-dropping-particle":"","parse-names":false,"suffix":""},{"dropping-particle":"","family":"Direkze","given":"Natalie","non-dropping-particle":"","parse-names":false,"suffix":""},{"dropping-particle":"","family":"Dhar","given":"Anjan","non-dropping-particle":"","parse-names":false,"suffix":""},{"dropping-particle":"","family":"Nylander","given":"David","non-dropping-particle":"","parse-names":false,"suffix":""},{"dropping-particle":"","family":"Mahon","given":"Brinder","non-dropping-particle":"","parse-names":false,"suffix":""}],"container-title":"Gut","id":"ITEM-3","issue":"8","issued":{"date-parts":[["2015"]]},"page":"1192-1199","title":"Improvement over time in outcomes for patients undergoing endoscopic therapy for Barrett's oesophagus-related neoplasia: 6-year experience from the first 500 patients treated in the UK patient registry","type":"article-journal","volume":"64"},"uris":["http://www.mendeley.com/documents/?uuid=481dda96-b0fb-4006-b4ec-51c083cc1789","http://www.mendeley.com/documents/?uuid=be42ddee-67aa-4a75-89a5-95f5ee910072"]},{"id":"ITEM-4","itemData":{"DOI":"10.1155/2016/4249510","ISSN":"1687630X","abstract":"Barrett’s esophagus is a condition in which the normal squamous lining of the esophagus has been replaced by columnar epithelium containing intestinal metaplasia induced by recurrent mucosal injury related to gastroesophageal reflux disease. Barrett’s esophagus is a premalignant condition that can progress through a dysplasia-carcinoma sequence to esophageal adenocarcinoma. Multiple endoscopic ablative techniques have been developed with the goal of eradicating Barrett’s esophagus and preventing neoplastic progression to esophageal adenocarcinoma. For patients with high-grade dysplasia or intramucosal neoplasia, radiofrequency ablation with or without endoscopic resection for visible lesions is currently the most effective and safe treatment available. Recent data demonstrate that, in patients with Barrett’s esophagus and low-grade dysplasia confirmed by a second pathologist, ablative therapy results in a statistically significant reduction in progression to high-grade dysplasia and esophageal adenocarcinoma. Treatment of dysplastic Barrett’s esophagus with radiofrequency ablation results in complete eradication of both dysplasia and of intestinal metaplasia in a high proportion of patients with a low incidence of adverse events. A high proportion of treated patients maintain the neosquamous epithelium after successful treatment without recurrence of intestinal metaplasia. Following successful endoscopic treatment, endoscopic surveillance should be continued to detect any recurrent intestinal metaplasia and/or dysplasia. This paper reviews all relevant publications on the endoscopic management of Barrett’s esophagus using radiofrequency ablation.","author":[{"dropping-particle":"","family":"Luigiano","given":"Carmelo","non-dropping-particle":"","parse-names":false,"suffix":""},{"dropping-particle":"","family":"Iabichino","given":"Giuseppe","non-dropping-particle":"","parse-names":false,"suffix":""},{"dropping-particle":"","family":"Eusebi","given":"Leonardo Henry","non-dropping-particle":"","parse-names":false,"suffix":""},{"dropping-particle":"","family":"Arena","given":"Monica","non-dropping-particle":"","parse-names":false,"suffix":""},{"dropping-particle":"","family":"Consolo","given":"Pierluigi","non-dropping-particle":"","parse-names":false,"suffix":""},{"dropping-particle":"","family":"Morace","given":"Carmela","non-dropping-particle":"","parse-names":false,"suffix":""},{"dropping-particle":"","family":"Opocher","given":"Enrico","non-dropping-particle":"","parse-names":false,"suffix":""},{"dropping-particle":"","family":"Mangiavillano","given":"Benedetto","non-dropping-particle":"","parse-names":false,"suffix":""}],"container-title":"Gastroenterology Research and Practice","id":"ITEM-4","issued":{"date-parts":[["2016"]]},"title":"Outcomes of Radiofrequency Ablation for Dysplastic Barrett's Esophagus: A Comprehensive Review","type":"article-journal","volume":"2016"},"uris":["http://www.mendeley.com/documents/?uuid=c52af8ac-b0da-4481-b86c-a8b37d7afe85","http://www.mendeley.com/documents/?uuid=002311e9-f383-488c-af88-d97f3ff63529"]}],"mendeley":{"formattedCitation":"&lt;sup&gt;1–4&lt;/sup&gt;","plainTextFormattedCitation":"1–4","previouslyFormattedCitation":"&lt;sup&gt;1–4&lt;/sup&gt;"},"properties":{"noteIndex":0},"schema":"https://github.com/citation-style-language/schema/raw/master/csl-citation.json"}</w:instrText>
      </w:r>
      <w:r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1–4</w:t>
      </w:r>
      <w:r w:rsidRPr="00BF2AAC">
        <w:rPr>
          <w:rFonts w:ascii="Book Antiqua" w:hAnsi="Book Antiqua" w:cs="Times New Roman"/>
          <w:sz w:val="24"/>
          <w:szCs w:val="24"/>
          <w:lang w:val="en-GB"/>
        </w:rPr>
        <w:fldChar w:fldCharType="end"/>
      </w:r>
      <w:r w:rsidR="005A27F2"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t>. Endoscopic resection and subsequent field ablation with radiofrequency ablation (RFA) is the established standard of care for the majority of patients with BE-related neoplasia confined to the mucosa (dysplasia and T1a OAC)</w:t>
      </w:r>
      <w:r w:rsidR="005A27F2"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{"citationItems":[{"id":"ITEM-1","itemData":{"DOI":"10.1136/gutjnl-2013-305372","ISBN":"1468-3288 (Electronic)\\r0017-5749 (Linking)","ISSN":"1468-3288","PMID":"24165758","abstract":"These guidelines provide a practical and evidence-based resource for the management of patients with Barrett's oesophagus and related early neoplasia. The Appraisal of Guidelines for Research and Evaluation (AGREE II) instrument was followed to provide a methodological strategy for the guideline development. A systematic review of the literature was performed for English language articles published up until December 2012 in order to address controversial issues in Barrett's oesophagus including definition, screening and diagnosis, surveillance, pathological grading for dysplasia, management of dysplasia, and early cancer including training requirements. The rigour and quality of the studies was evaluated using the SIGN checklist system. Recommendations on each topic were scored by each author using a five-tier system (A+, strong agreement, to D+, strongly disagree). Statements that failed to reach substantial agreement among authors, defined as &gt;80% agreement (A or A+), were revisited and modified until substantial agreement (&gt;80%) was reached. In formulating these guidelines, we took into consideration benefits and risks for the population and national health system, as well as patient perspectives. For the first time, we have suggested stratification of patients according to their estimated cancer risk based on clinical and histopathological criteria. In order to improve communication between clinicians, we recommend the use of minimum datasets for reporting endoscopic and pathological findings. We advocate endoscopic therapy for high-grade dysplasia and early cancer, which should be performed in high-volume centres. We hope that these guidelines will standardise and improve management for patients with Barrett's oesophagus and related neoplasia.","author":[{"dropping-particle":"","family":"Fitzgerald","given":"R C","non-dropping-particle":"","parse-names":false,"suffix":""},{"dropping-particle":"","family":"Pietro","given":"M","non-dropping-particle":"di","parse-names":false,"suffix":""},{"dropping-particle":"","family":"Ragunath","given":"K","non-dropping-particle":"","parse-names":false,"suffix":""},{"dropping-particle":"","family":"Ang","given":"Y","non-dropping-particle":"","parse-names":false,"suffix":""},{"dropping-particle":"","family":"Kang","given":"J Y","non-dropping-particle":"","parse-names":false,"suffix":""},{"dropping-particle":"","family":"Watson","given":"P","non-dropping-particle":"","parse-names":false,"suffix":""},{"dropping-particle":"","family":"Trudgill","given":"N","non-dropping-particle":"","parse-names":false,"suffix":""},{"dropping-particle":"","family":"Patel","given":"P","non-dropping-particle":"","parse-names":false,"suffix":""},{"dropping-particle":"V","family":"Kaye","given":"P","non-dropping-particle":"","parse-names":false,"suffix":""},{"dropping-particle":"","family":"Sanders","given":"S","non-dropping-particle":"","parse-names":false,"suffix":""},{"dropping-particle":"","family":"O'Donovan","given":"M","non-dropping-particle":"","parse-names":false,"suffix":""},{"dropping-particle":"","family":"Bird-Lieberman","given":"E","non-dropping-particle":"","parse-names":false,"suffix":""},{"dropping-particle":"","family":"Bhandari","given":"P","non-dropping-particle":"","parse-names":false,"suffix":""},{"dropping-particle":"","family":"Jankowski","given":"J a","non-dropping-particle":"","parse-names":false,"suffix":""},{"dropping-particle":"","family":"Attwood","given":"S","non-dropping-particle":"","parse-names":false,"suffix":""},{"dropping-particle":"","family":"Parsons","given":"S L","non-dropping-particle":"","parse-names":false,"suffix":""},{"dropping-particle":"","family":"Loft","given":"D","non-dropping-particle":"","parse-names":false,"suffix":""},{"dropping-particle":"","family":"Lagergren","given":"J","non-dropping-particle":"","parse-names":false,"suffix":""},{"dropping-particle":"","family":"Moayyedi","given":"P","non-dropping-particle":"","parse-names":false,"suffix":""},{"dropping-particle":"","family":"Lyratzopoulos","given":"G","non-dropping-particle":"","parse-names":false,"suffix":""},{"dropping-particle":"","family":"Caestecker","given":"J","non-dropping-particle":"de","parse-names":false,"suffix":""}],"container-title":"Gut","id":"ITEM-1","issue":"1","issued":{"date-parts":[["2014"]]},"page":"7-42","title":"British Society of Gastroenterology guidelines on the diagnosis and management of Barrett's oesophagus","type":"article-journal","volume":"63"},"uris":["http://www.mendeley.com/documents/?uuid=a2be711d-6e72-4aa2-b816-38ad4fe06c99","http://www.mendeley.com/documents/?uuid=06ebadbc-4e2f-42ad-a38e-60a0beff4d58"]},{"id":"ITEM-2","itemData":{"DOI":"10.1055/s-0042-122140","ISSN":"0013-726X","PMID":"28122386","abstract":"Current practices for the management of Barrett’s esophagus (BE) vary across Europe, as several national European guidelines exist. This Position Statement from the European Society of Gastrointestinal Endoscopy (ESGE) is an attempt to homogenize recommendations and, hence, patient management according to the best scientific evidence and other considerations (e.g. health policy). A Working Group developed consensus statements, using the existing national guidelines as a starting point and considering new evidence in the literature. The Position Statement wishes to contribute to a more cost-effective approach to the care of patients with BE by reducing the number of surveillance endoscopies for patients with a low risk of malignant progression and centralizing care in expert centers for those with high progression rates. Main statements MS1 The diagnosis of BE is made if the distal esophagus is lined with columnar epithelium with a minimum length of 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(tongues or circular) containing specialized intestinal metaplasia at histopathological examination. MS2 The ESGE recommends varying surveillance intervals for different BE lengths. For patients with an irregular Z-line/columnar-lined esophagus of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 xml:space="preserve">cm, no routine biopsies or endoscopic surveillance is advised. For BE </w:instrText>
      </w:r>
      <w:r w:rsidR="00903BF1" w:rsidRPr="00BF2AAC">
        <w:rPr>
          <w:rFonts w:ascii="Book Antiqua" w:hAnsi="Book Antiqua" w:cs="Book Antiqua"/>
          <w:sz w:val="24"/>
          <w:szCs w:val="24"/>
          <w:lang w:val="en-GB"/>
        </w:rPr>
        <w:instrTex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and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3</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BE surveillance should be repeated every 5 years. For BE</w:instrText>
      </w:r>
      <w:r w:rsidR="00903BF1" w:rsidRPr="00BF2AAC">
        <w:rPr>
          <w:rFonts w:ascii="Calibri" w:eastAsia="Calibri" w:hAnsi="Calibri" w:cs="Calibri"/>
          <w:sz w:val="24"/>
          <w:szCs w:val="24"/>
          <w:lang w:val="en-GB"/>
        </w:rPr>
        <w:instrText> </w:instrText>
      </w:r>
      <w:r w:rsidR="00903BF1" w:rsidRPr="00BF2AAC">
        <w:rPr>
          <w:rFonts w:ascii="Book Antiqua" w:hAnsi="Book Antiqua" w:cs="Book Antiqua"/>
          <w:sz w:val="24"/>
          <w:szCs w:val="24"/>
          <w:lang w:val="en-GB"/>
        </w:rPr>
        <w:instrTex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3</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and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the interval for endoscopic surveillance should be 3 years. Patients with BE with a maximum extent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should be referred to a BE expert center for surveillance endoscopies. Patients with limited life expectancy and advanced age should be discharged from endoscopic surveillance. MS3 The diagnosis of any degree of dysplasia (including “indefinite for dysplasia”) in BE requires confirmation by an expert gastrointestinal pathologist. MS4</w:instrText>
      </w:r>
      <w:r w:rsidR="00903BF1" w:rsidRPr="00BF2AAC">
        <w:rPr>
          <w:rFonts w:ascii="Book Antiqua" w:eastAsia="Calibri" w:hAnsi="Book Antiqua" w:cs="Calibri"/>
          <w:sz w:val="24"/>
          <w:szCs w:val="24"/>
          <w:lang w:val="en-GB"/>
        </w:rPr>
        <w:instrText> </w:instrText>
      </w:r>
      <w:r w:rsidR="00903BF1" w:rsidRPr="00BF2AAC">
        <w:rPr>
          <w:rFonts w:ascii="Book Antiqua" w:hAnsi="Book Antiqua" w:cs="Times New Roman"/>
          <w:sz w:val="24"/>
          <w:szCs w:val="24"/>
          <w:lang w:val="en-GB"/>
        </w:rPr>
        <w:instrText>Patients with visible lesions in BE diagnosed as dysplasia or early cancer should be referred to a BE expert center. All visible abnormalities, regardless of the degree of dysplasia, should be removed by means of endoscopic resection techniques in order to obtain optimal histopathological staging MS5 All patients with a BE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 xml:space="preserve">10 cm, a confirmed diagnosis of low grade dysplasia, high grade dysplasia (HGD), or early cancer should be referred to a BE expert center for surveillance and/or treatment. BE expert centers should meet the following criteria: annual case load of </w:instrText>
      </w:r>
      <w:r w:rsidR="00903BF1" w:rsidRPr="00BF2AAC">
        <w:rPr>
          <w:rFonts w:ascii="Book Antiqua" w:hAnsi="Book Antiqua" w:cs="Book Antiqua"/>
          <w:sz w:val="24"/>
          <w:szCs w:val="24"/>
          <w:lang w:val="en-GB"/>
        </w:rPr>
        <w:instrText>≥</w:instrText>
      </w:r>
      <w:r w:rsidR="00903BF1" w:rsidRPr="00BF2AAC">
        <w:rPr>
          <w:rFonts w:ascii="Book Antiqua" w:hAnsi="Book Antiqua" w:cs="Times New Roman"/>
          <w:sz w:val="24"/>
          <w:szCs w:val="24"/>
          <w:lang w:val="en-GB"/>
        </w:rPr>
        <w:instrText>10 new patients undergoing endoscopic treatment for HGD or early carcinoma per BE expert endo…","author":[{"dropping-particle":"","family":"Weusten","given":"Bas","non-dropping-particle":"","parse-names":false,"suffix":""},{"dropping-particle":"","family":"Bisschops","given":"Raf","non-dropping-particle":"","parse-names":false,"suffix":""},{"dropping-particle":"","family":"Coron","given":"Emanuel","non-dropping-particle":"","parse-names":false,"suffix":""},{"dropping-particle":"","family":"Dinis-Ribeiro","given":"Mário","non-dropping-particle":"","parse-names":false,"suffix":""},{"dropping-particle":"","family":"Dumonceau","given":"Jean-Marc","non-dropping-particle":"","parse-names":false,"suffix":""},{"dropping-particle":"","family":"Esteban","given":"José-Miguel","non-dropping-particle":"","parse-names":false,"suffix":""},{"dropping-particle":"","family":"Hassan","given":"Cesare","non-dropping-particle":"","parse-names":false,"suffix":""},{"dropping-particle":"","family":"Pech","given":"Oliver","non-dropping-particle":"","parse-names":false,"suffix":""},{"dropping-particle":"","family":"Repici","given":"Alessandro","non-dropping-particle":"","parse-names":false,"suffix":""},{"dropping-particle":"","family":"Bergman","given":"Jacques","non-dropping-particle":"","parse-names":false,"suffix":""},{"dropping-particle":"","family":"Pietro","given":"Massimiliano","non-dropping-particle":"di","parse-names":false,"suffix":""}],"container-title":"Endoscopy","id":"ITEM-2","issue":"02","issued":{"date-parts":[["2017"]]},"page":"191-198","title":"Endoscopic management of Barrett’s esophagus: European Society of Gastrointestinal Endoscopy (ESGE) Position Statement","type":"article-journal","volume":"49"},"uris":["http://www.mendeley.com/documents/?uuid=1a0eb2ab-f6a2-4953-b983-5379a9a01c2e","http://www.mendeley.com/documents/?uuid=3b8ec387-e769-4284-9cda-0a6c647757ad"]},{"id":"ITEM-3","itemData":{"DOI":"10.1038/ajg.2015.322","ISBN":"0002-9270","ISSN":"0002-9270","PMID":"26526079","abstract":"Achalasia is a primary motor disorder of the esophagus characterized by insufficient lower esophageal sphincter relaxation and loss of esophageal peristalsis. This results in patients&amp;#039; complaints of dysphagia to solids and liquids, regurgitation, and occasional chest pain with or without weight loss. Endoscopic finding of retained saliva with puckered gastroesophageal junction or barium swallow showing dilated esophagus with birds beaking in a symptomatic patient should prompt appropriate diagnostic and therapeutic strategies. In this ACG guideline the authors present an evidence-based approach in patients with achalasia based on a comprehensive review of the pertinent evidence and examination of relevant published data.","author":[{"dropping-particle":"","family":"Shaheen","given":"Nicholas J","non-dropping-particle":"","parse-names":false,"suffix":""},{"dropping-particle":"","family":"Falk","given":"Gary W","non-dropping-particle":"","parse-names":false,"suffix":""},{"dropping-particle":"","family":"Iyer","given":"Prasad G","non-dropping-particle":"","parse-names":false,"suffix":""},{"dropping-particle":"","family":"Gerson","given":"Lauren","non-dropping-particle":"","parse-names":false,"suffix":""}],"container-title":"Am J Gastroenterol","id":"ITEM-3","issue":"8","issued":{"date-parts":[["2015"]]},"page":"1238-1249","title":"ACG Clinical Guideline: Diagnosis and Management of Barrett's Esophagus.","type":"article-journal","volume":"108"},"uris":["http://www.mendeley.com/documents/?uuid=5c2c088e-29db-4247-ad02-10834b532ab5","http://www.mendeley.com/documents/?uuid=f2412d56-854f-4b4a-85e9-5875dd351ef9"]}],"mendeley":{"formattedCitation":"&lt;sup&gt;5–7&lt;/sup&gt;","plainTextFormattedCitation":"5–7","previouslyFormattedCitation":"&lt;sup&gt;5–7&lt;/sup&gt;"},"properties":{"noteIndex":0},"schema":"https://github.com/citation-style-language/schema/raw/master/csl-citation.json"}</w:instrText>
      </w:r>
      <w:r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5–7</w:t>
      </w:r>
      <w:r w:rsidRPr="00BF2AAC">
        <w:rPr>
          <w:rFonts w:ascii="Book Antiqua" w:hAnsi="Book Antiqua" w:cs="Times New Roman"/>
          <w:sz w:val="24"/>
          <w:szCs w:val="24"/>
          <w:lang w:val="en-GB"/>
        </w:rPr>
        <w:fldChar w:fldCharType="end"/>
      </w:r>
      <w:r w:rsidR="005A27F2"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t>.</w:t>
      </w:r>
    </w:p>
    <w:p w14:paraId="4D41BBE1" w14:textId="0FC9325C" w:rsidR="00711D84" w:rsidRPr="00BF2AAC" w:rsidRDefault="005A27F2"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Compared to T1a OAC, the decision making and optimal management strategy for patients with BE neoplasia where lesions have submucosal invasion (T1b) is less well-defined (Figure 1). Historically, these lesions are thought to be associated with a significantly higher risk of subsequent loco-regional lymph node metastases (LNM) compared to T1a OAC and therefore surgery with oesophagectomy and nodal clearance is offered</w:t>
      </w:r>
      <w:r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{"citationItems":[{"id":"ITEM-1","itemData":{"DOI":"10.1002/bjs.1800841035","ISBN":"0007-1323 (Print)\\n0007-1323 (Linking)","ISSN":"00071323","PMID":"9361616","abstract":"BACKGROUND The results of surgical treatment in 41 patients with early adenocarcinoma of the oesophagus were analysed retrospectively. METHODS The treatment of choice was transhiatal radical subtotal oesophagectomy (n = 38); in three patients with adenocarcinoma in the mid or upper thoracic portion of the oesophagus, right transthoracic en bloc oesophagectomy was performed. RESULTS One patient died within 30 days and another within 90 days (4.8 per cent). All tumours were resected completely. Multicentricity of adenocarcinoma in Barrett's oesophagus was detected in six cases and high-grade dysplasia in 28. Some 31 patients had infiltration of the submucosa, whereas in ten, carcinoma was limited to the mucosa. No patient with mucosal adenocarcinoma had lymph node metastases, whereas five of the 31 with submucosal infiltration showed lymph node involvement. The 5-year survival rate of the total group of 41 patients, including postoperative mortality, was 83 per cent. All ten patients with adenocarcinoma limited to the mucosa (pT1a) were alive at 5 years; of 31 with submucosal infiltration (pT1b) 79 per cent survived to 5 years (P not significant). Patients without lymph node metastasis had a 5-year survival rate of 81 per cent, compared with 50 per cent for those in the pN1 category (P not significant). CONCLUSION Oesophagectomy for early oesophageal adenocarcinoma is safe and leads to a favourable long-term prognosis.","author":[{"dropping-particle":"","family":"Hölscher","given":"A. H.","non-dropping-particle":"","parse-names":false,"suffix":""},{"dropping-particle":"","family":"Bollschweiler","given":"E.","non-dropping-particle":"","parse-names":false,"suffix":""},{"dropping-particle":"","family":"Schneider","given":"P. M.","non-dropping-particle":"","parse-names":false,"suffix":""},{"dropping-particle":"","family":"Siewert","given":"J. R.","non-dropping-particle":"","parse-names":false,"suffix":""}],"container-title":"British Journal of Surgery","id":"ITEM-1","issue":"10","issued":{"date-parts":[["1997"]]},"page":"1470-1473","title":"Early adenocarcinoma in Barrett's oesophagus","type":"article-journal","volume":"84"},"uris":["http://www.mendeley.com/documents/?uuid=ad5684c9-172d-4ca6-9873-b0d46f440b11","http://www.mendeley.com/documents/?uuid=c9d1561f-158e-4d20-8fbd-b0c5258907b1"]},{"id":"ITEM-2","itemData":{"DOI":"10.1016/S0003-4975(97)01387-8","ISSN":"0003-4975","PMID":"9527214","abstract":"BACKGROUND: The depth of tumor invasion (T) and regional lymph node status (N) are two factors that define the stage of an esophageal carcinoma. However, the arrangement of staging groups assumes that these factors are independent variables. A retrospective review of 359 consecutive patients undergoing esophageal resection was conducted to define the relationship between T and N and to determine whether T is a significant predictor of regional lymph node metastasis (N1). METHODS: Primary treatment was operation without preoperative therapy. There were 295 (82%) adenocarcinomas, 55 (15%) squamous cell carcinomas, and 9 (3%) adenosquamous carcinomas. T status was Tis in 29 (8%) patients, T1 in 65 (18%), T2 in 37 (10%), T3 in 219 (61%), and T4 in 9 (3%). N status was N0 in 161 (45%) patients and N1 in 198 (55%). M status was M0 in 327 (91%) patients and M1 in 32 (9%). Stage was 0 in 29 (8%) patients, I in 58 (16%), IIA in 70 (20%), IIB in 22 (6%), III in 148 (41%), and IV in 32 (9%). RESULTS: The likelihood of N1 disease occurring with increasing T was tested using the trend test. The percentage of patients with N1 disease is 0% for Tis, 11% for T1, 43% for T2, 77% for T3, and 67% for T4 (p &lt; 0.001). This relationship existed for both adenocarcinoma and squamous cell carcinoma. Multivariable analysis identified increasing T, adenocarcinoma, and lack of well-differentiated histologic features as significant predictors of N1 disease. Compared with a T1 patient, a T2 patient is 6 times more likely to have N1 disease, a T3 patient 23 times, and a T4 patient 35 times. CONCLUSIONS: We conclude that for patients with esophageal carcinoma, T is an important predictor of N and this association should be included with other established factors used in clinical staging and treatment decisions.","author":[{"dropping-particle":"","family":"Rice","given":"T W","non-dropping-particle":"","parse-names":false,"suffix":""},{"dropping-particle":"","family":"Zuccaro","given":"G","non-dropping-particle":"","parse-names":false,"suffix":""},{"dropping-particle":"","family":"Adelstein","given":"D J","non-dropping-particle":"","parse-names":false,"suffix":""},{"dropping-particle":"","family":"Rybicki","given":"L A","non-dropping-particle":"","parse-names":false,"suffix":""},{"dropping-particle":"","family":"Blackstone","given":"E H","non-dropping-particle":"","parse-names":false,"suffix":""},{"dropping-particle":"","family":"Goldblum","given":"J R","non-dropping-particle":"","parse-names":false,"suffix":""}],"container-title":"The Annals of thoracic surgery","id":"ITEM-2","issue":"3","issued":{"date-parts":[["1998"]]},"page":"787-792","title":"Esophageal carcinoma: depth of tumor invasion is predictive of regional lymph node status.","type":"article-journal","volume":"65"},"uris":["http://www.mendeley.com/documents/?uuid=5e403182-0d9a-493e-8541-8fdb2ca8e616","http://www.mendeley.com/documents/?uuid=f44da26b-3829-47e3-bbe4-c247901f5c14"]},{"id":"ITEM-3","itemData":{"DOI":"10.1097/01.sla.0000184211.75970.85","ISBN":"0003-4932 (Print)\\n0003-4932","ISSN":"0003-4932","PMID":"16192817","abstract":"OBJECTIVE: The objective of this study was to assess the prevalence and pattern of lymphatic spread in patients with early squamous cell and adenocarcinoma and identify prognostic factors for long-term survival after resection and lymphadenectomy.\\n\\nSUMMARY BACKGROUND DATA: Limited endoscopic approaches without lymphadenectomy are increasingly applied in patients with early esophageal cancer.\\n\\nMATERIAL AND METHODS: A total of 290 patients with early esophageal cancer (157 adenocarcinoma, 133 squamous cell cancer) had surgical resection with systematic lymphadenectomy. Specimens were assessed for prevalence and pattern of lymphatic spread. Prognostic factors were determined by multivariate analysis.\\n\\nRESULTS: None of the 70 patients with adenocarcinoma limited to themucosa had lymphatic spread, as compared with 2 of 26 with mucosal squamous cell cancer. Lymphatic spread was more common in patients with submucosal squamous cell cancer as compared with submucosal adenocarcinoma (36.4% versus 20.7%). Although lymph node metastases were usually limited to locoregional lymph node stations in early adenocarcinoma, distant lymphatic spread was frequent in early squamous cell cancer. On multivariate analysis, only histologic tumor type and the presence of lymph node metastases were independent predictors of long-term survival. Five-year survival rate was 83.4% for early adenocarcinoma versus 62.9% for early squamous cell cancer and 48.2% versus 79.5% for patients with/without lymphatic spread.\\n\\nDISCUSSION: Prevalence and pattern of lymphatic spread as well as long-term prognosis differ markedly between early esophageal squamous cell and adenocarcinoma. Limited resection techniques and individualized lymphadenectomy strategies appear applicable in patients with early adenocarcinoma.","author":[{"dropping-particle":"","family":"Stein","given":"Hubert J","non-dropping-particle":"","parse-names":false,"suffix":""},{"dropping-particle":"","family":"Feith","given":"Marcus","non-dropping-particle":"","parse-names":false,"suffix":""},{"dropping-particle":"","family":"Bruecher","given":"Bjorn L D M","non-dropping-particle":"","parse-names":false,"suffix":""},{"dropping-particle":"","family":"Naehrig","given":"Jorg","non-dropping-particle":"","parse-names":false,"suffix":""},{"dropping-particle":"","family":"Sarbia","given":"Mario","non-dropping-particle":"","parse-names":false,"suffix":""},{"dropping-particle":"","family":"Siewert","given":"J Rudiger","non-dropping-particle":"","parse-names":false,"suffix":""}],"container-title":"Annals of surgery","id":"ITEM-3","issue":"4","issued":{"date-parts":[["2005"]]},"page":"566-73; discussion 573-5","title":"Early esophageal cancer: pattern of lymphatic spread and prognostic factors for long-term survival after surgical resection.","type":"article-journal","volume":"242"},"uris":["http://www.mendeley.com/documents/?uuid=b35a6451-336b-4d2d-83f6-6e3880224838","http://www.mendeley.com/documents/?uuid=4d55aea3-29c6-4569-8031-8e7e50581543"]},{"id":"ITEM-4","itemData":{"DOI":"10.1245/s10434-008-0065-1","ISBN":"1534-4681 (Electronic)\\n1068-9265 (Linking)","ISSN":"1068-9265","PMID":"18726651","abstract":"BACKGROUND: Esophageal carcinoma is among the cancers with the worst prognosis. Real chances for cure depend on both early recognition and early treatment. The ability to predict lymph node involvement allows early curative treatment with less invasive approaches. AIMS: To determine clinicohistopathological criteria correlated with lymph node involvement in patients with early esophageal cancer (T1) and to identify the best candidate patients for local endoscopic or less invasive surgical treatments. METHODS: A total of 98 patients with pT1 esophageal cancer [67 with squamous cell carcinomas (SCC) and 31 with adenocarcinomas (ADK)] underwent Ivor-Lewis or McKeown esophagectomy in the period between 1980 and 2006 at our institution. Based on the depth of invasion, lesions were classified as m1, m2, or m3 if mucosal, and sm1, sm2, or sm3 if submucosal. RESULTS: The rates of lymph node metastasis were 0% for the 27 mucosal carcinomas (T1m) and 28% for the 71 submucosal (T1sm) carcinomas (P &lt; 0.001). Sm1 carcinomas were associated with a lower rate of lymph-node metastasis (8.3% versus 49 % sm2/3, P = 0.003). As for histotype, the rates of lymph node metastasis for sm1 were 0% for ADK and 12.5% for SCC; for sm2/3 there were no significant differences. On multivariate analysis, depth of infiltration, lymphocytic infiltrate, angiolymphatic and neural invasion were significantly associated with lymph node involvement. Neural invasion was the single parameter with the greatest accuracy (82%); depth of infiltration and angiolymphatic invasion had 75% accuracy. Altogether these three parameters had an accuracy of 97%. Five-year survival rate was 56.7% overall: 77.7% for T1m and 53.3% for T1sm (P = 0.048). CONCLUSIONS: The most important factors for predicting lymph node metastasis in early esophageal cancer are depth of tumor infiltration, angiolymphatic invasion, neural invasion and grade of lymphocytic infiltration. The best candidates for endoscopic therapy are tumors with high-grade lymphocytic infiltration, no angiolymphatic or neural invasion, mucosal infiltration or sm1 (only for ADK), and tumor &lt;1 cm in size. For sm SCC and sm2/3 ADK the treatment of choice remains esophagectomy with standard lymphadenectomy.","author":[{"dropping-particle":"","family":"Ancona","given":"Ermanno","non-dropping-particle":"","parse-names":false,"suffix":""},{"dropping-particle":"","family":"Rampado","given":"Sabrina","non-dropping-particle":"","parse-names":false,"suffix":""},{"dropping-particle":"","family":"Cassaro","given":"Mauro","non-dropping-particle":"","parse-names":false,"suffix":""},{"dropping-particle":"","family":"Battaglia","given":"Giorgio","non-dropping-particle":"","parse-names":false,"suffix":""},{"dropping-particle":"","family":"Ruol","given":"Alberto","non-dropping-particle":"","parse-names":false,"suffix":""},{"dropping-particle":"","family":"Castoro","given":"Carlo","non-dropping-particle":"","parse-names":false,"suffix":""},{"dropping-particle":"","family":"Portale","given":"Giuseppe","non-dropping-particle":"","parse-names":false,"suffix":""},{"dropping-particle":"","family":"Cavallin","given":"Francesco","non-dropping-particle":"","parse-names":false,"suffix":""},{"dropping-particle":"","family":"Rugge","given":"Massimo","non-dropping-particle":"","parse-names":false,"suffix":""}],"container-title":"Annals of surgical oncology","id":"ITEM-4","issue":"11","issued":{"date-parts":[["2008"]]},"page":"3278-3288","title":"Prediction of lymph node status in superficial esophageal carcinoma.","type":"article-journal","volume":"15"},"uris":["http://www.mendeley.com/documents/?uuid=206ef281-26b3-4b6c-8ba3-385510825d65","http://www.mendeley.com/documents/?uuid=15f4ebce-6958-4ece-8765-ffc63580aae4"]},{"id":"ITEM-5","itemData":{"DOI":"10.1016/j.cgh.2009.11.016","ISSN":"15423565","abstract":"Background &amp; Aims: There is controversy over the outcomes of esophageal adenocarcinoma with superficial submucosal invasion. We evaluated the impact of depth of submucosal invasion on the presence of metastatic lymphadenopathy and survival in patients with esophageal adenocarcinoma. Methods: Pathology reports of esophagectomy samples collected from 1997 to 2007 were reviewed. Specimens from patients with esophageal adenocarcinoma and submucosal invasion were reviewed and classified as superficial (upper 1 third, sm1) or deep (middle third, sm2 or deepest third, sm3) invasion. Outcomes studied were presence of metastatic lymphadenopathy and overall survival. Variables of interest were analyzed as factors that affect overall and cancer-free survival using Cox proportional hazards modeling. A multivariate model was constructed to establish independent associations with survival. Results: The study included 80 patients; 31 (39%) had sm1 carcinoma, 23 (29%) had sm2 carcinoma, and 26 (33%) had sm3 carcinoma. Superficial and deep submucosal invasion were associated with substantial rates of metastatic lymphadenopathy (12.9% and 20.4%, respectively). The mean follow-up time was 40.5 ± 4 months and the mean overall unadjusted survival time was 53.8 ± 4.1 months. Factors significantly associated with reduced survival time included the presence of metastatic lymph nodes (hazard ratio [HR], 2.89; confidence interval [CI], 1.13-6.88) and esophageal cancer recurrence (HR 6.39, CI 2.40-16.14), but not depth of submucosal invasion. Conclusions: Patients with sm1 esophageal carcinoma have substantial rates of metastatic lymphadenopathy. Endoscopic treatment of superficial submucosal adenocarcinoma is not advised for patients that are candidates for surgery. © 2010 AGA Institute.","author":[{"dropping-particle":"","family":"Badreddine","given":"Rami J.","non-dropping-particle":"","parse-names":false,"suffix":""},{"dropping-particle":"","family":"Prasad","given":"Ganapathy A.","non-dropping-particle":"","parse-names":false,"suffix":""},{"dropping-particle":"","family":"Lewis","given":"Jason T.","non-dropping-particle":"","parse-names":false,"suffix":""},{"dropping-particle":"","family":"Lutzke","given":"Lori S.","non-dropping-particle":"","parse-names":false,"suffix":""},{"dropping-particle":"","family":"Borkenhagen","given":"Lynn S.","non-dropping-particle":"","parse-names":false,"suffix":""},{"dropping-particle":"","family":"Dunagan","given":"Kelly T.","non-dropping-particle":"","parse-names":false,"suffix":""},{"dropping-particle":"","family":"Wang","given":"Kenneth K.","non-dropping-particle":"","parse-names":false,"suffix":""}],"container-title":"Clinical Gastroenterology and Hepatology","id":"ITEM-5","issue":"3","issued":{"date-parts":[["2010"]]},"page":"248-253","publisher":"Elsevier Inc.","title":"Depth of Submucosal Invasion Does Not Predict Lymph Node Metastasis and Survival of Patients With Esophageal Carcinoma","type":"article-journal","volume":"8"},"uris":["http://www.mendeley.com/documents/?uuid=ba9db989-a893-4883-9f79-5b27689e532a","http://www.mendeley.com/documents/?uuid=f3029465-8b21-4271-bffc-fde05d8882f5"]},{"id":"ITEM-6","itemData":{"DOI":"10.1097/SLA.0b013e3181fbad42","ISBN":"1528-1140 (Electronic)\\r0003-4932 (Linking)","ISSN":"1528-1140","PMID":"21119508","abstract":"Knowledge of the risk of lymph node metastases is critical to planning therapy for T1 esophageal adenocarcinoma. This study retrospectively reviews 75 T1a and 51 T1b tumors and correlates lymph node metastases with depth of tumor invasion, tumor size, presence of lymphovascular invasion, and tumor grade.","author":[{"dropping-particle":"","family":"Leers","given":"Jessica M","non-dropping-particle":"","parse-names":false,"suffix":""},{"dropping-particle":"","family":"DeMeester","given":"Steven R","non-dropping-particle":"","parse-names":false,"suffix":""},{"dropping-particle":"","family":"Oezcelik","given":"Arzu","non-dropping-particle":"","parse-names":false,"suffix":""},{"dropping-particle":"","family":"Klipfel","given":"Nancy","non-dropping-particle":"","parse-names":false,"suffix":""},{"dropping-particle":"","family":"Ayazi","given":"Shahin","non-dropping-particle":"","parse-names":false,"suffix":""},{"dropping-particle":"","family":"Abate","given":"Emmanuele","non-dropping-particle":"","parse-names":false,"suffix":""},{"dropping-particle":"","family":"Zehetner","given":"Jörg","non-dropping-particle":"","parse-names":false,"suffix":""},{"dropping-particle":"","family":"Lipham","given":"John C","non-dropping-particle":"","parse-names":false,"suffix":""},{"dropping-particle":"","family":"Chan","given":"Linda","non-dropping-particle":"","parse-names":false,"suffix":""},{"dropping-particle":"","family":"Hagen","given":"Jeffrey a","non-dropping-particle":"","parse-names":false,"suffix":""},{"dropping-particle":"","family":"DeMeester","given":"Tom R","non-dropping-particle":"","parse-names":false,"suffix":""}],"container-title":"Annals of surgery","id":"ITEM-6","issue":"2","issued":{"date-parts":[["2011"]]},"page":"271-278","title":"The prevalence of lymph node metastases in patients with T1 esophageal adenocarcinoma a retrospective review of esophagectomy specimens.","type":"article-journal","volume":"253"},"uris":["http://www.mendeley.com/documents/?uuid=59d9aa09-83c4-4585-8d6a-342891330b87","http://www.mendeley.com/documents/?uuid=6f73d146-b8a4-48b7-9b77-98dd66f91d07"]}],"mendeley":{"formattedCitation":"&lt;sup&gt;8–13&lt;/sup&gt;","plainTextFormattedCitation":"8–13","previouslyFormattedCitation":"&lt;sup&gt;8–13&lt;/sup&gt;"},"properties":{"noteIndex":0},"schema":"https://github.com/citation-style-language/schema/raw/master/csl-citation.json"}</w:instrText>
      </w:r>
      <w:r w:rsidR="00711D84"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8–13</w:t>
      </w:r>
      <w:r w:rsidR="00711D84" w:rsidRPr="00BF2AAC">
        <w:rPr>
          <w:rFonts w:ascii="Book Antiqua" w:hAnsi="Book Antiqua" w:cs="Times New Roman"/>
          <w:sz w:val="24"/>
          <w:szCs w:val="24"/>
          <w:lang w:val="en-GB"/>
        </w:rPr>
        <w:fldChar w:fldCharType="end"/>
      </w:r>
      <w:r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t>. However, emerging data suggest that lesions confined to the uppermost layer of the submucosa (T1bSm1) with low-risk histological features (complete resection, lack of poor tumour differentiation and no lymphovascular invasion) may have a rate of LNM comparable to the 30-d mortality of surgery with oesophagectomy</w:t>
      </w:r>
      <w:r w:rsidR="00B35B41"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leaving aside the surgery related morbidity and reduced quality of life that those who undergo this operation endure</w:t>
      </w:r>
      <w:r w:rsidR="0050405F"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{"citationItems":[{"id":"ITEM-1","itemData":{"DOI":"10.1007/s00464-006-0009-4","ISBN":"0930-2794\\r1432-2218","ISSN":"09302794","PMID":"16960662","abstract":"BACKGROUND: Surgical treatment of esophageal cancer is associated with a high rate of morbidity and mortality even in specialized centers. Minimally invasive surgery has been proposed to decrease these complications. METHODS: The authors present their results regarding postoperative complications and the survival rate at 3 years, comparing the classic open procedures (transthoracic or transhiatal esophagectomy) with minimally invasive surgery. Surgical procedures were performed according to procedures published elsewhere. RESULTS: The study enrolled 166 patients who underwent surgery between 1990 and 2003. Open transthoracic surgery was performed for 60 patients. In this group of patients, postoperative mortality was observed in 11% of the cases. Major, minor, and late complications were observed in 61.6% of the patients, and the 3-year survival rate was 30% for this group. Open transhiatal surgery was performed for 59 patients. The morbidity, mortality, and 3-year rate were almost the same as for the transthoracic surgery group. For the 47 patients submitted to minimally invasive procedures (thoracoscopic and laparoscopic), the complications and mortality rates were significantly reduced (38.2% and 6.4%, respectively). For the patients submitted to minimally invasive surgery, the 3-year survival rate was 45.4%. It is important to clarify that the patients submitted to minimally invasive surgery manifested early stages of the diseases, and that this the reason why the morbimortality and survival rates were better. CONCLUSIONS: The transthoracic and transhiatal open approaches have similar early and late results. Minimally invasive surgery is an option for patients with esophageal carcinoma, with reported results similar to those for open surgery. This approach is indicated mainly for selected patients with early stages of the disease.","author":[{"dropping-particle":"","family":"Braghetto","given":"I.","non-dropping-particle":"","parse-names":false,"suffix":""},{"dropping-particle":"","family":"Csendes","given":"A.","non-dropping-particle":"","parse-names":false,"suffix":""},{"dropping-particle":"","family":"Cardemil","given":"G.","non-dropping-particle":"","parse-names":false,"suffix":""},{"dropping-particle":"","family":"Burdiles","given":"P.","non-dropping-particle":"","parse-names":false,"suffix":""},{"dropping-particle":"","family":"Korn","given":"O.","non-dropping-particle":"","parse-names":false,"suffix":""},{"dropping-particle":"","family":"Valladares","given":"H.","non-dropping-particle":"","parse-names":false,"suffix":""}],"container-title":"Surgical Endoscopy and Other Interventional Techniques","id":"ITEM-1","issue":"11","issued":{"date-parts":[["2006"]]},"page":"1681-1686","title":"Open transthoracic or transhiatal esophagectomy versus minimally invasive esophagectomy in terms of morbidity, mortality and survival","type":"article-journal","volume":"20"},"uris":["http://www.mendeley.com/documents/?uuid=d1202421-6240-4786-a4d3-b0947cac1e63","http://www.mendeley.com/documents/?uuid=e04ae562-dd26-415e-82f1-bff86b6de820"]},{"id":"ITEM-2","itemData":{"DOI":"10.1177/2050640615581965","ISBN":"2050-6406","ISSN":"20506414","PMID":"26668743","abstract":"BACKGROUND Due to the high mortality and morbidity rates of esophagectomy, endoscopic mucosal resection (EMR) is increasingly used for the curative treatment of early low risk Barrett's adenocarcinoma. OBJECTIVE This retrospective cohort study aimed to assess the prevalence of lymph node metastases (LNM) in submucosal (T1b) esophageal adenocarcinomas (EAC) in relation to the absolute depth of submucosal tumor invasion and demonstrate the efficacy of EMR for low risk (well and moderately differentiated without lymphovascular invasion) EAC with sm1 invasion (submucosal invasion ≤500 µm) according to the Paris classification. METHODS The pathology reports of patients undergoing endoscopic resection and surgery from January 1994 until December 2013 at one center were reviewed and 54 patients with submucosal invasion were included. LNM were evaluated in surgical specimens and by follow up examinations in case of EMR. RESULTS No LNM were observed in 10 patients with sm1 adenocarcinomas that underwent endoscopic resection. Three of them underwent supplementary endoscopic eradication therapy with a median follow up of 27 months for patients with sm1 tumors. In the surgical series two patients (29%) with sm1 invasion according to the pragmatic classification (subdivision of the submucosa into three equal thirds), staged as sm2-3 in the Paris classification, had LNM. The rate of LNM for surgical patients with low risk sm1 tumors was 10% according to the pragmatic classification and 0% according to Paris classification. CONCLUSION Different classifications of the tumor invasion depth lead to different LNM risks and treatment strategies for sm1 adenocarcinomas. Patients with low risk sm1 adenocarcinomas appear to be suitable candidates for EMR.","author":[{"dropping-particle":"","family":"Fotis","given":"Dimitrios","non-dropping-particle":"","parse-names":false,"suffix":""},{"dropping-particle":"","family":"Doukas","given":"Michael","non-dropping-particle":"","parse-names":false,"suffix":""},{"dropping-particle":"","family":"Wijnhoven","given":"Bas P.L.","non-dropping-particle":"","parse-names":false,"suffix":""},{"dropping-particle":"","family":"Didden","given":"Paul","non-dropping-particle":"","parse-names":false,"suffix":""},{"dropping-particle":"","family":"Biermann","given":"Katharina","non-dropping-particle":"","parse-names":false,"suffix":""},{"dropping-particle":"","family":"Bruno","given":"Marco J.","non-dropping-particle":"","parse-names":false,"suffix":""},{"dropping-particle":"","family":"Koch","given":"Arjun D.","non-dropping-particle":"","parse-names":false,"suffix":""}],"container-title":"United European Gastroenterology Journal","id":"ITEM-2","issue":"6","issued":{"date-parts":[["2015"]]},"page":"505-513","title":"Submucosal invasion and risk of lymph node invasion in early barrett’s cancer: Potential impact of different classification systems on patient management","type":"article-journal","volume":"3"},"uris":["http://www.mendeley.com/documents/?uuid=83a243fb-3a44-481d-9da9-922708e4f664","http://www.mendeley.com/documents/?uuid=48bb1bb8-8774-40f6-8d5c-4d6769d8c242"]},{"id":"ITEM-3","itemData":{"DOI":"10.1007/s00464-014-3881-3","ISBN":"0046401438813","ISSN":"14322218","PMID":"25294553","abstract":"BACKGROUND: A prerequisite for endoscopic treatment (ET) of not only mucosal, but also submucosal early adenocarcinoma of the esophagus (EAC) would be a rate of lymph node (LN) metastasis below the mortality rate of esophagectomy (2-5 %). The aim of the present study was to evaluate the rate of LN metastasis in patients with pT1b sm1 EAC.\\n\\nMETHODS: 1996-2010, 1,718 patients with suspicion of EAC were referred to the Department of Internal Medicine II at HSK Wiesbaden. In 123/1718 patients, the suspicion (endoscopic ultrasound, EUS) or definitive diagnosis of sm1 EAC (ER/surgery) was made. Rate of LN metastasis was analyzed separately for low-risk (LR; G1-2, L0, V0) and high-risk lesions (HR; G3, L1, V1; ≥ 1 risk factor). LN metastasis was only evaluated in patients who had a proven maximum invasion depth of sm1 (ER and/or surgery), and who in case of ET had a follow-up (FU) by EUS of at least 24 months.\\n\\nRESULTS: Of the 72/123 patients included into the study, 49 patients had LR (68 %) and 23 HR lesions (32 %). In endoscopically treated LR patients (37/49), mean EUS-FU was 60 ± 30 mo (range 25-146); in HR patients undergoing ET (6/23), it was 63 ± 17 mo (46-86; p = 0.4). Mean number of resected LN was 27 ± 16 (12-62) in operated LR patients and 27 ± 10 (12-47) in HR-patients. The rate of LN metastasis was 2 % in the LR (1 patient) and 9 % in the HR group (2 patients; p = 0.24). Mortality of esophagectomy was 3 %.\\n\\nCONCLUSIONS: The rate of LN metastasis in pT1b sm1 early adenocarcinoma with histological LR pattern was lower than the mortality rate of esophagectomy. ER may therefore be used alternatively to surgery in this group of patients.","author":[{"dropping-particle":"","family":"Manner","given":"Hendrik","non-dropping-particle":"","parse-names":false,"suffix":""},{"dropping-particle":"","family":"Pech","given":"Oliver","non-dropping-particle":"","parse-names":false,"suffix":""},{"dropping-particle":"","family":"Heldmann","given":"Yvonne","non-dropping-particle":"","parse-names":false,"suffix":""},{"dropping-particle":"","family":"May","given":"Andrea","non-dropping-particle":"","parse-names":false,"suffix":""},{"dropping-particle":"","family":"Pauthner","given":"Michael","non-dropping-particle":"","parse-names":false,"suffix":""},{"dropping-particle":"","family":"Lorenz","given":"Dietmar","non-dropping-particle":"","parse-names":false,"suffix":""},{"dropping-particle":"","family":"Fisseler-Eckhoff","given":"Annette","non-dropping-particle":"","parse-names":false,"suffix":""},{"dropping-particle":"","family":"Stolte","given":"Manfred","non-dropping-particle":"","parse-names":false,"suffix":""},{"dropping-particle":"","family":"Vieth","given":"Michael","non-dropping-particle":"","parse-names":false,"suffix":""},{"dropping-particle":"","family":"Ell","given":"Christian","non-dropping-particle":"","parse-names":false,"suffix":""}],"container-title":"Surgical Endoscopy and Other Interventional Techniques","id":"ITEM-3","issued":{"date-parts":[["2015"]]},"title":"The frequency of lymph node metastasis in early-stage adenocarcinoma of the esophagus with incipient submucosal invasion (pT1b sm1) depending on histological risk patterns","type":"article-journal"},"uris":["http://www.mendeley.com/documents/?uuid=d2e00b0e-50ad-3d17-990d-8b2e9d7e60c9","http://www.mendeley.com/documents/?uuid=d5f7fb23-c212-438d-9943-e3b57f070354"]},{"id":"ITEM-4","itemData":{"author":[{"dropping-particle":"","family":"Chadwick","given":"G","non-dropping-particle":"","parse-names":false,"suffix":""},{"dropping-particle":"","family":"Varagunam","given":"M","non-dropping-particle":"","parse-names":false,"suffix":""},{"dropping-particle":"","family":"Brand","given":"C","non-dropping-particle":"","parse-names":false,"suffix":""},{"dropping-particle":"","family":"Cromwell","given":"D","non-dropping-particle":"","parse-names":false,"suffix":""},{"dropping-particle":"","family":"Maynard","given":"M","non-dropping-particle":"","parse-names":false,"suffix":""},{"dropping-particle":"","family":"Riley","given":"S","non-dropping-particle":"","parse-names":false,"suffix":""},{"dropping-particle":"","family":"Crosby","given":"T","non-dropping-particle":"","parse-names":false,"suffix":""},{"dropping-particle":"","family":"Michalowski","given":"J","non-dropping-particle":"","parse-names":false,"suffix":""}],"container-title":"The Royal College of Surgeons England","id":"ITEM-4","issued":{"date-parts":[["2016"]]},"title":"National Oesophago- Gastric Cancer Audit 2016","type":"article-journal"},"uris":["http://www.mendeley.com/documents/?uuid=177977ec-e37d-4ac0-8487-90b6e008c60f","http://www.mendeley.com/documents/?uuid=41f24562-3325-4ea4-81a9-bda5dd5ff204"]},{"id":"ITEM-5","itemData":{"DOI":"10.1007/s00464-016-5071-y","ISSN":"1432-2218","PMID":"27357927","abstract":"BACKGROUND Esophagectomy for submucosal (T1b) esophageal adenocarcinoma (EAC) is performed in order to optimize patient outcomes given the risk of concurrent lymph node metastases (LNM). However, not seldom, comorbidity precludes these patients from surgery. Therefore, the aim of our study was to assess the course of follow-up after treatment in submucosal EAC patients undergoing surgery versus conservative therapy and to evaluate the incidence of metastatic disease. METHODS Between 2001 and 2012, all patients undergoing diagnostic endoscopic resection for EAC in two centers were reviewed. Only patients with histopathologically proven submucosal tumor invasion were included. Submucosal EACs were divided into tumors that were removed radically (R0) and irradically (R1). Subsequently, in the R0 group, EACs were classified as either low risk (LR; submucosal invasion &lt;500 nm, G1-G2, no LVI) or high risk (HR; deep submucosal invasion &gt;500 nm, G3-G4 and/or LVI). Metastatic disease was defined as LNM in surgical resection specimen and/or evidence of malignant disease during follow-up (FU). RESULTS Sixty-nine patients with a submucosal EAC were included [23 R1-resections and 46 R0-resection (14 R0-LR and 32 R0-HR)]. Twenty-six patients underwent surgical treatment (1 R0-LR, 12 R0-HR and 13 R1). None of the 14 R0-LR patients developed metastatic disease after a median FU of 60 months. In the R0-HR group and R1 group, metastatic disease was diagnosed in 16 and 30 % of patients, respectively. Surgical patients tended to have a better overall survival than non-surgical patients (p = 0.09). Tumor-related deaths, however, were 12 % in both groups. CONCLUSIONS In LR submucosal EAC, the risk of metastatic disease appears to be very low. In deep submucosal EAC (either R0- or R1-resection), the rate of metastatic disease is lower than reported in earlier surgical series. Given the reasonable disease-free survival and high background mortality, conservative management of these patients seems to be a valid alternative for surgery in selected cases.","author":[{"dropping-particle":"","family":"Schölvinck","given":"Dirk","non-dropping-particle":"","parse-names":false,"suffix":""},{"dropping-particle":"","family":"Künzli","given":"Hannah","non-dropping-particle":"","parse-names":false,"suffix":""},{"dropping-particle":"","family":"Meijer","given":"Sybren","non-dropping-particle":"","parse-names":false,"suffix":""},{"dropping-particle":"","family":"Seldenrijk","given":"Kees","non-dropping-particle":"","parse-names":false,"suffix":""},{"dropping-particle":"","family":"Berge Henegouwen","given":"Mark","non-dropping-particle":"van","parse-names":false,"suffix":""},{"dropping-particle":"","family":"Bergman","given":"Jacques","non-dropping-particle":"","parse-names":false,"suffix":""},{"dropping-particle":"","family":"Weusten","given":"Bas","non-dropping-particle":"","parse-names":false,"suffix":""}],"container-title":"Surgical endoscopy","id":"ITEM-5","issued":{"date-parts":[["2016"]]},"page":"4102-4113","title":"Management of patients with T1b esophageal adenocarcinoma: a retrospective cohort study on patient management and risk of metastatic disease.","type":"article-journal"},"uris":["http://www.mendeley.com/documents/?uuid=580c44cf-f84c-489b-8167-6b23cd4340af","http://www.mendeley.com/documents/?uuid=dc99269a-d6e9-43a5-afa6-6c355344e0c1"]},{"id":"ITEM-6","itemData":{"DOI":"10.1111/dote.12462","ISSN":"14422050","PMID":"26952572","abstract":"The rate of lymph-node (LN) metastasis in early adenocarcinoma (EAC) of the esophagus with mid to deep submucosal invasion (pT1b sm2/3) has not yet been precisely defined. The aim of the this study was to evaluate the rate of LN metastasis in pT1b sm2/3 EAC depending on macroscopic and histological risk patterns to find out whether there may also be options for endoscopic therapy as in cancers limited to the mucosa and the upper third of the submucosa. A total of 1.718 pt with suspicion of EAC were referred for endoscopic treatment (ET) to the Dept. of Internal Medicine II at HSK Wiesbaden 1996-2010. In 230/1.718 pt, the suspicion (endoscopic ultrasound, EUS) or definitive diagnosis of pT1b EAC (ER/surgery) was made. Of these, 38 pt had sm2 lesions, and 69 sm3. Rate of LN metastasis was analyzed depending on risk patterns: histologically low-risk (hisLR): G1-2, L0, V0; histologically high-risk (hisHR): ≥1 criterion not fulfilled; macroscopically low-risk (macLR): gross tumor type I-II, tumor size ≤2 cm; macroscopically high-risk (macHR): ≥1 criterion not fulfilled; combined low-risk (combLR): hisLR+macLR; combined high-risk (combHR): at least 1 risk factor. LN rate was only evaluated in pt who had proven maximum invasion depth of sm2/sm3, and who in case of ET had a follow-up (FU) by EUS of at least 24 months. 23/38 pt with pT1b sm2 lesions and 39/69 pt with sm3 lesions fulfilled our inclusion criteria. In the pT1b sm2 group, rate of LN metastasis in the hisLR, hisHR, combLR, and combHR groups were 8.3% (1/12), 36.3% (4/11), 0% (0/5), and 27.8% (5/18). In the pT1b sm3 group, rate of LN metastasis in the hisLR, hisHR, combLR and combHR groups were 28.6% (2/7), 37.5% (12/32), 25% (1/4), and 37.1% (13/35). 30-day mortality of surgery was 1.7% (1/58 pt). In EAC with pT1b sm2/3 invasion, the frequency of LN metastasis depends on macroscopic and histological risk patterns. Surgery remains the standard treatment, because the rate of LN metastasis appears to be higher than the mortality risk of surgery. Whether a highly selected group of pT1b sm2 patients with a favourable risk pattern may be candidates for endoscopic therapy cannot be decided until the results of larger case volumes are available.","author":[{"dropping-particle":"","family":"Manner","given":"H.","non-dropping-particle":"","parse-names":false,"suffix":""},{"dropping-particle":"","family":"Wetzka","given":"J.","non-dropping-particle":"","parse-names":false,"suffix":""},{"dropping-particle":"","family":"May","given":"A.","non-dropping-particle":"","parse-names":false,"suffix":""},{"dropping-particle":"","family":"Pauthner","given":"M.","non-dropping-particle":"","parse-names":false,"suffix":""},{"dropping-particle":"","family":"Pech","given":"O.","non-dropping-particle":"","parse-names":false,"suffix":""},{"dropping-particle":"","family":"Fisseler-Eckhoff","given":"A.","non-dropping-particle":"","parse-names":false,"suffix":""},{"dropping-particle":"","family":"Stolte","given":"M.","non-dropping-particle":"","parse-names":false,"suffix":""},{"dropping-particle":"","family":"Vieth","given":"M.","non-dropping-particle":"","parse-names":false,"suffix":""},{"dropping-particle":"","family":"Lorenz","given":"D.","non-dropping-particle":"","parse-names":false,"suffix":""},{"dropping-particle":"","family":"Ell","given":"C.","non-dropping-particle":"","parse-names":false,"suffix":""}],"container-title":"Diseases of the Esophagus","id":"ITEM-6","issued":{"date-parts":[["2016"]]},"page":"1-11","title":"Early-stage adenocarcinoma of the esophagus with mid to deep submucosal invasion (pT1b sm2-3): The frequency of lymph-node metastasis depends on macroscopic and histological risk patterns","type":"article-journal"},"uris":["http://www.mendeley.com/documents/?uuid=95fd486c-9691-4798-af08-54c6069514c0","http://www.mendeley.com/documents/?uuid=6ef91c8a-5d72-4aac-94fb-1382c9a58ae1"]},{"id":"ITEM-7","itemData":{"DOI":"10.1002/bjs.1800841035","ISBN":"0007-1323 (Print)\\n0007-1323 (Linking)","ISSN":"00071323","PMID":"9361616","abstract":"BACKGROUND The results of surgical treatment in 41 patients with early adenocarcinoma of the oesophagus were analysed retrospectively. METHODS The treatment of choice was transhiatal radical subtotal oesophagectomy (n = 38); in three patients with adenocarcinoma in the mid or upper thoracic portion of the oesophagus, right transthoracic en bloc oesophagectomy was performed. RESULTS One patient died within 30 days and another within 90 days (4.8 per cent). All tumours were resected completely. Multicentricity of adenocarcinoma in Barrett's oesophagus was detected in six cases and high-grade dysplasia in 28. Some 31 patients had infiltration of the submucosa, whereas in ten, carcinoma was limited to the mucosa. No patient with mucosal adenocarcinoma had lymph node metastases, whereas five of the 31 with submucosal infiltration showed lymph node involvement. The 5-year survival rate of the total group of 41 patients, including postoperative mortality, was 83 per cent. All ten patients with adenocarcinoma limited to the mucosa (pT1a) were alive at 5 years; of 31 with submucosal infiltration (pT1b) 79 per cent survived to 5 years (P not significant). Patients without lymph node metastasis had a 5-year survival rate of 81 per cent, compared with 50 per cent for those in the pN1 category (P not significant). CONCLUSION Oesophagectomy for early oesophageal adenocarcinoma is safe and leads to a favourable long-term prognosis.","author":[{"dropping-particle":"","family":"Hölscher","given":"A. H.","non-dropping-particle":"","parse-names":false,"suffix":""},{"dropping-particle":"","family":"Bollschweiler","given":"E.","non-dropping-particle":"","parse-names":false,"suffix":""},{"dropping-particle":"","family":"Schneider","given":"P. M.","non-dropping-particle":"","parse-names":false,"suffix":""},{"dropping-particle":"","family":"Siewert","given":"J. R.","non-dropping-particle":"","parse-names":false,"suffix":""}],"container-title":"British Journal of Surgery","id":"ITEM-7","issue":"10","issued":{"date-parts":[["1997"]]},"page":"1470-1473","title":"Early adenocarcinoma in Barrett's oesophagus","type":"article-journal","volume":"84"},"uris":["http://www.mendeley.com/documents/?uuid=c9d1561f-158e-4d20-8fbd-b0c5258907b1","http://www.mendeley.com/documents/?uuid=ad5684c9-172d-4ca6-9873-b0d46f440b11"]},{"id":"ITEM-8","itemData":{"DOI":"10.1097/01.sla.0000184211.75970.85","ISBN":"0003-4932 (Print)\\n0003-4932","ISSN":"0003-4932","PMID":"16192817","abstract":"OBJECTIVE: The objective of this study was to assess the prevalence and pattern of lymphatic spread in patients with early squamous cell and adenocarcinoma and identify prognostic factors for long-term survival after resection and lymphadenectomy.\\n\\nSUMMARY BACKGROUND DATA: Limited endoscopic approaches without lymphadenectomy are increasingly applied in patients with early esophageal cancer.\\n\\nMATERIAL AND METHODS: A total of 290 patients with early esophageal cancer (157 adenocarcinoma, 133 squamous cell cancer) had surgical resection with systematic lymphadenectomy. Specimens were assessed for prevalence and pattern of lymphatic spread. Prognostic factors were determined by multivariate analysis.\\n\\nRESULTS: None of the 70 patients with adenocarcinoma limited to themucosa had lymphatic spread, as compared with 2 of 26 with mucosal squamous cell cancer. Lymphatic spread was more common in patients with submucosal squamous cell cancer as compared with submucosal adenocarcinoma (36.4% versus 20.7%). Although lymph node metastases were usually limited to locoregional lymph node stations in early adenocarcinoma, distant lymphatic spread was frequent in early squamous cell cancer. On multivariate analysis, only histologic tumor type and the presence of lymph node metastases were independent predictors of long-term survival. Five-year survival rate was 83.4% for early adenocarcinoma versus 62.9% for early squamous cell cancer and 48.2% versus 79.5% for patients with/without lymphatic spread.\\n\\nDISCUSSION: Prevalence and pattern of lymphatic spread as well as long-term prognosis differ markedly between early esophageal squamous cell and adenocarcinoma. Limited resection techniques and individualized lymphadenectomy strategies appear applicable in patients with early adenocarcinoma.","author":[{"dropping-particle":"","family":"Stein","given":"Hubert J","non-dropping-particle":"","parse-names":false,"suffix":""},{"dropping-particle":"","family":"Feith","given":"Marcus","non-dropping-particle":"","parse-names":false,"suffix":""},{"dropping-particle":"","family":"Bruecher","given":"Bjorn L D M","non-dropping-particle":"","parse-names":false,"suffix":""},{"dropping-particle":"","family":"Naehrig","given":"Jorg","non-dropping-particle":"","parse-names":false,"suffix":""},{"dropping-particle":"","family":"Sarbia","given":"Mario","non-dropping-particle":"","parse-names":false,"suffix":""},{"dropping-particle":"","family":"Siewert","given":"J Rudiger","non-dropping-particle":"","parse-names":false,"suffix":""}],"container-title":"Annals of surgery","id":"ITEM-8","issue":"4","issued":{"date-parts":[["2005"]]},"page":"566-73; discussion 573-5","title":"Early esophageal cancer: pattern of lymphatic spread and prognostic factors for long-term survival after surgical resection.","type":"article-journal","volume":"242"},"uris":["http://www.mendeley.com/documents/?uuid=4d55aea3-29c6-4569-8031-8e7e50581543","http://www.mendeley.com/documents/?uuid=b35a6451-336b-4d2d-83f6-6e3880224838","http://www.mendeley.com/documents/?uuid=36f46d27-741f-44a1-9668-bd221d4b3873"]}],"mendeley":{"formattedCitation":"&lt;sup&gt;8,10,14–19&lt;/sup&gt;","plainTextFormattedCitation":"8,10,14–19","previouslyFormattedCitation":"&lt;sup&gt;8,10,14–19&lt;/sup&gt;"},"properties":{"noteIndex":0},"schema":"https://github.com/citation-style-language/schema/raw/master/csl-citation.json"}</w:instrText>
      </w:r>
      <w:r w:rsidR="00711D84"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8,10,14–19</w:t>
      </w:r>
      <w:r w:rsidR="00711D84" w:rsidRPr="00BF2AAC">
        <w:rPr>
          <w:rFonts w:ascii="Book Antiqua" w:hAnsi="Book Antiqua" w:cs="Times New Roman"/>
          <w:sz w:val="24"/>
          <w:szCs w:val="24"/>
          <w:lang w:val="en-GB"/>
        </w:rPr>
        <w:fldChar w:fldCharType="end"/>
      </w:r>
      <w:r w:rsidR="0050405F"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t>. Given these figures EET with endoscopic follow-up may therefore be appropriate treatment for these patients with low-risk T1b OAC. Although solid clinical data are lacking, several societies now advocate this conservative management approach for low-risk T1bSm1 OAC patients</w:t>
      </w:r>
      <w:r w:rsidR="0050405F"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{"citationItems":[{"id":"ITEM-1","itemData":{"DOI":"10.1136/gutjnl-2013-305372","ISBN":"1468-3288 (Electronic)\\r0017-5749 (Linking)","ISSN":"1468-3288","PMID":"24165758","abstract":"These guidelines provide a practical and evidence-based resource for the management of patients with Barrett's oesophagus and related early neoplasia. The Appraisal of Guidelines for Research and Evaluation (AGREE II) instrument was followed to provide a methodological strategy for the guideline development. A systematic review of the literature was performed for English language articles published up until December 2012 in order to address controversial issues in Barrett's oesophagus including definition, screening and diagnosis, surveillance, pathological grading for dysplasia, management of dysplasia, and early cancer including training requirements. The rigour and quality of the studies was evaluated using the SIGN checklist system. Recommendations on each topic were scored by each author using a five-tier system (A+, strong agreement, to D+, strongly disagree). Statements that failed to reach substantial agreement among authors, defined as &gt;80% agreement (A or A+), were revisited and modified until substantial agreement (&gt;80%) was reached. In formulating these guidelines, we took into consideration benefits and risks for the population and national health system, as well as patient perspectives. For the first time, we have suggested stratification of patients according to their estimated cancer risk based on clinical and histopathological criteria. In order to improve communication between clinicians, we recommend the use of minimum datasets for reporting endoscopic and pathological findings. We advocate endoscopic therapy for high-grade dysplasia and early cancer, which should be performed in high-volume centres. We hope that these guidelines will standardise and improve management for patients with Barrett's oesophagus and related neoplasia.","author":[{"dropping-particle":"","family":"Fitzgerald","given":"R C","non-dropping-particle":"","parse-names":false,"suffix":""},{"dropping-particle":"","family":"Pietro","given":"M","non-dropping-particle":"di","parse-names":false,"suffix":""},{"dropping-particle":"","family":"Ragunath","given":"K","non-dropping-particle":"","parse-names":false,"suffix":""},{"dropping-particle":"","family":"Ang","given":"Y","non-dropping-particle":"","parse-names":false,"suffix":""},{"dropping-particle":"","family":"Kang","given":"J Y","non-dropping-particle":"","parse-names":false,"suffix":""},{"dropping-particle":"","family":"Watson","given":"P","non-dropping-particle":"","parse-names":false,"suffix":""},{"dropping-particle":"","family":"Trudgill","given":"N","non-dropping-particle":"","parse-names":false,"suffix":""},{"dropping-particle":"","family":"Patel","given":"P","non-dropping-particle":"","parse-names":false,"suffix":""},{"dropping-particle":"V","family":"Kaye","given":"P","non-dropping-particle":"","parse-names":false,"suffix":""},{"dropping-particle":"","family":"Sanders","given":"S","non-dropping-particle":"","parse-names":false,"suffix":""},{"dropping-particle":"","family":"O'Donovan","given":"M","non-dropping-particle":"","parse-names":false,"suffix":""},{"dropping-particle":"","family":"Bird-Lieberman","given":"E","non-dropping-particle":"","parse-names":false,"suffix":""},{"dropping-particle":"","family":"Bhandari","given":"P","non-dropping-particle":"","parse-names":false,"suffix":""},{"dropping-particle":"","family":"Jankowski","given":"J a","non-dropping-particle":"","parse-names":false,"suffix":""},{"dropping-particle":"","family":"Attwood","given":"S","non-dropping-particle":"","parse-names":false,"suffix":""},{"dropping-particle":"","family":"Parsons","given":"S L","non-dropping-particle":"","parse-names":false,"suffix":""},{"dropping-particle":"","family":"Loft","given":"D","non-dropping-particle":"","parse-names":false,"suffix":""},{"dropping-particle":"","family":"Lagergren","given":"J","non-dropping-particle":"","parse-names":false,"suffix":""},{"dropping-particle":"","family":"Moayyedi","given":"P","non-dropping-particle":"","parse-names":false,"suffix":""},{"dropping-particle":"","family":"Lyratzopoulos","given":"G","non-dropping-particle":"","parse-names":false,"suffix":""},{"dropping-particle":"","family":"Caestecker","given":"J","non-dropping-particle":"de","parse-names":false,"suffix":""}],"container-title":"Gut","id":"ITEM-1","issue":"1","issued":{"date-parts":[["2014"]]},"page":"7-42","title":"British Society of Gastroenterology guidelines on the diagnosis and management of Barrett's oesophagus","type":"article-journal","volume":"63"},"uris":["http://www.mendeley.com/documents/?uuid=06ebadbc-4e2f-42ad-a38e-60a0beff4d58","http://www.mendeley.com/documents/?uuid=a2be711d-6e72-4aa2-b816-38ad4fe06c99"]},{"id":"ITEM-2","itemData":{"DOI":"10.1038/ajg.2015.322","ISBN":"0002-9270","ISSN":"0002-9270","PMID":"26526079","abstract":"Achalasia is a primary motor disorder of the esophagus characterized by insufficient lower esophageal sphincter relaxation and loss of esophageal peristalsis. This results in patients&amp;#039; complaints of dysphagia to solids and liquids, regurgitation, and occasional chest pain with or without weight loss. Endoscopic finding of retained saliva with puckered gastroesophageal junction or barium swallow showing dilated esophagus with birds beaking in a symptomatic patient should prompt appropriate diagnostic and therapeutic strategies. In this ACG guideline the authors present an evidence-based approach in patients with achalasia based on a comprehensive review of the pertinent evidence and examination of relevant published data.","author":[{"dropping-particle":"","family":"Shaheen","given":"Nicholas J","non-dropping-particle":"","parse-names":false,"suffix":""},{"dropping-particle":"","family":"Falk","given":"Gary W","non-dropping-particle":"","parse-names":false,"suffix":""},{"dropping-particle":"","family":"Iyer","given":"Prasad G","non-dropping-particle":"","parse-names":false,"suffix":""},{"dropping-particle":"","family":"Gerson","given":"Lauren","non-dropping-particle":"","parse-names":false,"suffix":""}],"container-title":"Am J Gastroenterol","id":"ITEM-2","issue":"8","issued":{"date-parts":[["2015"]]},"page":"1238-1249","title":"ACG Clinical Guideline: Diagnosis and Management of Barrett's Esophagus.","type":"article-journal","volume":"108"},"uris":["http://www.mendeley.com/documents/?uuid=f2412d56-854f-4b4a-85e9-5875dd351ef9","http://www.mendeley.com/documents/?uuid=5c2c088e-29db-4247-ad02-10834b532ab5","http://www.mendeley.com/documents/?uuid=124aff29-c8a9-448e-a8ce-1295dcbe04d1"]},{"id":"ITEM-3","itemData":{"DOI":"10.1055/s-0042-122140","ISSN":"0013-726X","PMID":"28122386","abstract":"Current practices for the management of Barrett’s esophagus (BE) vary across Europe, as several national European guidelines exist. This Position Statement from the European Society of Gastrointestinal Endoscopy (ESGE) is an attempt to homogenize recommendations and, hence, patient management according to the best scientific evidence and other considerations (e.g. health policy). A Working Group developed consensus statements, using the existing national guidelines as a starting point and considering new evidence in the literature. The Position Statement wishes to contribute to a more cost-effective approach to the care of patients with BE by reducing the number of surveillance endoscopies for patients with a low risk of malignant progression and centralizing care in expert centers for those with high progression rates. Main statements MS1 The diagnosis of BE is made if the distal esophagus is lined with columnar epithelium with a minimum length of 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(tongues or circular) containing specialized intestinal metaplasia at histopathological examination. MS2 The ESGE recommends varying surveillance intervals for different BE lengths. For patients with an irregular Z-line/columnar-lined esophagus of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no routine biopsies or endoscopic surveillance is advised. For BE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and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3</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BE surveillance should be repeated every 5 years. For BE</w:instrText>
      </w:r>
      <w:r w:rsidR="00903BF1" w:rsidRPr="00BF2AAC">
        <w:rPr>
          <w:rFonts w:ascii="Calibri" w:eastAsia="Calibri" w:hAnsi="Calibri" w:cs="Calibri"/>
          <w:sz w:val="24"/>
          <w:szCs w:val="24"/>
          <w:lang w:val="en-GB"/>
        </w:rPr>
        <w:instrText> </w:instrText>
      </w:r>
      <w:r w:rsidR="00903BF1" w:rsidRPr="00BF2AAC">
        <w:rPr>
          <w:rFonts w:ascii="Book Antiqua" w:hAnsi="Book Antiqua" w:cs="Book Antiqua"/>
          <w:sz w:val="24"/>
          <w:szCs w:val="24"/>
          <w:lang w:val="en-GB"/>
        </w:rPr>
        <w:instrTex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3</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and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the interval for endoscopic surveillance should be 3 years. Patients with BE with a maximum extent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 xml:space="preserve">cm should be referred to a BE expert center for surveillance endoscopies. Patients with limited life expectancy and advanced age should be discharged from endoscopic surveillance. MS3 The diagnosis of any degree of dysplasia (including </w:instrText>
      </w:r>
      <w:r w:rsidR="00903BF1" w:rsidRPr="00BF2AAC">
        <w:rPr>
          <w:rFonts w:ascii="Book Antiqua" w:hAnsi="Book Antiqua" w:cs="Book Antiqua"/>
          <w:sz w:val="24"/>
          <w:szCs w:val="24"/>
          <w:lang w:val="en-GB"/>
        </w:rPr>
        <w:instrText>“</w:instrText>
      </w:r>
      <w:r w:rsidR="00903BF1" w:rsidRPr="00BF2AAC">
        <w:rPr>
          <w:rFonts w:ascii="Book Antiqua" w:hAnsi="Book Antiqua" w:cs="Times New Roman"/>
          <w:sz w:val="24"/>
          <w:szCs w:val="24"/>
          <w:lang w:val="en-GB"/>
        </w:rPr>
        <w:instrText>indefinite for dysplasia”) in BE requires confirmation by an expert gastrointestinal pathologist. MS4</w:instrText>
      </w:r>
      <w:r w:rsidR="00903BF1" w:rsidRPr="00BF2AAC">
        <w:rPr>
          <w:rFonts w:ascii="Book Antiqua" w:eastAsia="Calibri" w:hAnsi="Book Antiqua" w:cs="Calibri"/>
          <w:sz w:val="24"/>
          <w:szCs w:val="24"/>
          <w:lang w:val="en-GB"/>
        </w:rPr>
        <w:instrText> </w:instrText>
      </w:r>
      <w:r w:rsidR="00903BF1" w:rsidRPr="00BF2AAC">
        <w:rPr>
          <w:rFonts w:ascii="Book Antiqua" w:hAnsi="Book Antiqua" w:cs="Times New Roman"/>
          <w:sz w:val="24"/>
          <w:szCs w:val="24"/>
          <w:lang w:val="en-GB"/>
        </w:rPr>
        <w:instrText>Patients with visible lesions in BE diagnosed as dysplasia or early cancer should be referred to a BE expert center. All visible abnormalities, regardless of the degree of dysplasia, should be removed by means of endoscopic resection techniques in order to obtain optimal histopathological staging MS5 All patients with a BE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 cm, a confirmed diagnosis of low grade dysplasia, high grade dysplasia (HGD), or early cancer should be referred to a BE expert center for surveillance and/or treatment. BE expert centers should meet the following criteria: annual case load of ≥10 new patients undergoing endoscopic treatment for HGD or early carcinoma per BE expert endo…","author":[{"dropping-particle":"","family":"Weusten","given":"Bas","non-dropping-particle":"","parse-names":false,"suffix":""},{"dropping-particle":"","family":"Bisschops","given":"Raf","non-dropping-particle":"","parse-names":false,"suffix":""},{"dropping-particle":"","family":"Coron","given":"Emanuel","non-dropping-particle":"","parse-names":false,"suffix":""},{"dropping-particle":"","family":"Dinis-Ribeiro","given":"Mário","non-dropping-particle":"","parse-names":false,"suffix":""},{"dropping-particle":"","family":"Dumonceau","given":"Jean-Marc","non-dropping-particle":"","parse-names":false,"suffix":""},{"dropping-particle":"","family":"Esteban","given":"José-Miguel","non-dropping-particle":"","parse-names":false,"suffix":""},{"dropping-particle":"","family":"Hassan","given":"Cesare","non-dropping-particle":"","parse-names":false,"suffix":""},{"dropping-particle":"","family":"Pech","given":"Oliver","non-dropping-particle":"","parse-names":false,"suffix":""},{"dropping-particle":"","family":"Repici","given":"Alessandro","non-dropping-particle":"","parse-names":false,"suffix":""},{"dropping-particle":"","family":"Bergman","given":"Jacques","non-dropping-particle":"","parse-names":false,"suffix":""},{"dropping-particle":"","family":"Pietro","given":"Massimiliano","non-dropping-particle":"di","parse-names":false,"suffix":""}],"container-title":"Endoscopy","id":"ITEM-3","issue":"02","issued":{"date-parts":[["2017"]]},"page":"191-198","title":"Endoscopic management of Barrett’s esophagus: European Society of Gastrointestinal Endoscopy (ESGE) Position Statement","type":"article-journal","volume":"49"},"uris":["http://www.mendeley.com/documents/?uuid=3b8ec387-e769-4284-9cda-0a6c647757ad","http://www.mendeley.com/documents/?uuid=1a0eb2ab-f6a2-4953-b983-5379a9a01c2e","http://www.mendeley.com/documents/?uuid=719057e3-a958-4e47-8924-c8ec2e1b72fe"]}],"mendeley":{"formattedCitation":"&lt;sup&gt;5–7&lt;/sup&gt;","plainTextFormattedCitation":"5–7","previouslyFormattedCitation":"&lt;sup&gt;5–7&lt;/sup&gt;"},"properties":{"noteIndex":0},"schema":"https://github.com/citation-style-language/schema/raw/master/csl-citation.json"}</w:instrText>
      </w:r>
      <w:r w:rsidR="00711D84"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5–7</w:t>
      </w:r>
      <w:r w:rsidR="00711D84" w:rsidRPr="00BF2AAC">
        <w:rPr>
          <w:rFonts w:ascii="Book Antiqua" w:hAnsi="Book Antiqua" w:cs="Times New Roman"/>
          <w:sz w:val="24"/>
          <w:szCs w:val="24"/>
          <w:lang w:val="en-GB"/>
        </w:rPr>
        <w:fldChar w:fldCharType="end"/>
      </w:r>
      <w:r w:rsidR="0050405F"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t xml:space="preserve">. Surgical resection remains the gold standard treatment for patients who have T1bSm1 lesions with high-risk histological features or in whom the lesion extends beyond the uppermost layer of the submucosa (Sm2/3) in view of the significantly higher rate of </w:t>
      </w:r>
      <w:r w:rsidR="00711D84" w:rsidRPr="00BF2AAC">
        <w:rPr>
          <w:rFonts w:ascii="Book Antiqua" w:hAnsi="Book Antiqua" w:cs="Times New Roman"/>
          <w:sz w:val="24"/>
          <w:szCs w:val="24"/>
          <w:lang w:val="en-GB"/>
        </w:rPr>
        <w:lastRenderedPageBreak/>
        <w:t>subsequent LNM. Emerging data suggest that in selected high risk T1b patients, most notably those deemed unfit to undergo surgical management, conservative follow-up may be a valid alternative although again larger prospective high-quality studies are lacking</w:t>
      </w:r>
      <w:r w:rsidR="0050405F"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{"citationItems":[{"id":"ITEM-1","itemData":{"DOI":"10.1007/s00464-014-3881-3","ISBN":"0046401438813","ISSN":"14322218","PMID":"25294553","abstract":"BACKGROUND: A prerequisite for endoscopic treatment (ET) of not only mucosal, but also submucosal early adenocarcinoma of the esophagus (EAC) would be a rate of lymph node (LN) metastasis below the mortality rate of esophagectomy (2-5 %). The aim of the present study was to evaluate the rate of LN metastasis in patients with pT1b sm1 EAC.\\n\\nMETHODS: 1996-2010, 1,718 patients with suspicion of EAC were referred to the Department of Internal Medicine II at HSK Wiesbaden. In 123/1718 patients, the suspicion (endoscopic ultrasound, EUS) or definitive diagnosis of sm1 EAC (ER/surgery) was made. Rate of LN metastasis was analyzed separately for low-risk (LR; G1-2, L0, V0) and high-risk lesions (HR; G3, L1, V1; ≥ 1 risk factor). LN metastasis was only evaluated in patients who had a proven maximum invasion depth of sm1 (ER and/or surgery), and who in case of ET had a follow-up (FU) by EUS of at least 24 months.\\n\\nRESULTS: Of the 72/123 patients included into the study, 49 patients had LR (68 %) and 23 HR lesions (32 %). In endoscopically treated LR patients (37/49), mean EUS-FU was 60 ± 30 mo (range 25-146); in HR patients undergoing ET (6/23), it was 63 ± 17 mo (46-86; p = 0.4). Mean number of resected LN was 27 ± 16 (12-62) in operated LR patients and 27 ± 10 (12-47) in HR-patients. The rate of LN metastasis was 2 % in the LR (1 patient) and 9 % in the HR group (2 patients; p = 0.24). Mortality of esophagectomy was 3 %.\\n\\nCONCLUSIONS: The rate of LN metastasis in pT1b sm1 early adenocarcinoma with histological LR pattern was lower than the mortality rate of esophagectomy. ER may therefore be used alternatively to surgery in this group of patients.","author":[{"dropping-particle":"","family":"Manner","given":"Hendrik","non-dropping-particle":"","parse-names":false,"suffix":""},{"dropping-particle":"","family":"Pech","given":"Oliver","non-dropping-particle":"","parse-names":false,"suffix":""},{"dropping-particle":"","family":"Heldmann","given":"Yvonne","non-dropping-particle":"","parse-names":false,"suffix":""},{"dropping-particle":"","family":"May","given":"Andrea","non-dropping-particle":"","parse-names":false,"suffix":""},{"dropping-particle":"","family":"Pauthner","given":"Michael","non-dropping-particle":"","parse-names":false,"suffix":""},{"dropping-particle":"","family":"Lorenz","given":"Dietmar","non-dropping-particle":"","parse-names":false,"suffix":""},{"dropping-particle":"","family":"Fisseler-Eckhoff","given":"Annette","non-dropping-particle":"","parse-names":false,"suffix":""},{"dropping-particle":"","family":"Stolte","given":"Manfred","non-dropping-particle":"","parse-names":false,"suffix":""},{"dropping-particle":"","family":"Vieth","given":"Michael","non-dropping-particle":"","parse-names":false,"suffix":""},{"dropping-particle":"","family":"Ell","given":"Christian","non-dropping-particle":"","parse-names":false,"suffix":""}],"container-title":"Surgical Endoscopy and Other Interventional Techniques","id":"ITEM-1","issued":{"date-parts":[["2015"]]},"title":"The frequency of lymph node metastasis in early-stage adenocarcinoma of the esophagus with incipient submucosal invasion (pT1b sm1) depending on histological risk patterns","type":"article-journal"},"uris":["http://www.mendeley.com/documents/?uuid=d5f7fb23-c212-438d-9943-e3b57f070354","http://www.mendeley.com/documents/?uuid=d2e00b0e-50ad-3d17-990d-8b2e9d7e60c9"]},{"id":"ITEM-2","itemData":{"DOI":"10.1007/s00464-016-5071-y","ISSN":"1432-2218","PMID":"27357927","abstract":"BACKGROUND Esophagectomy for submucosal (T1b) esophageal adenocarcinoma (EAC) is performed in order to optimize patient outcomes given the risk of concurrent lymph node metastases (LNM). However, not seldom, comorbidity precludes these patients from surgery. Therefore, the aim of our study was to assess the course of follow-up after treatment in submucosal EAC patients undergoing surgery versus conservative therapy and to evaluate the incidence of metastatic disease. METHODS Between 2001 and 2012, all patients undergoing diagnostic endoscopic resection for EAC in two centers were reviewed. Only patients with histopathologically proven submucosal tumor invasion were included. Submucosal EACs were divided into tumors that were removed radically (R0) and irradically (R1). Subsequently, in the R0 group, EACs were classified as either low risk (LR; submucosal invasion &lt;500 nm, G1-G2, no LVI) or high risk (HR; deep submucosal invasion &gt;500 nm, G3-G4 and/or LVI). Metastatic disease was defined as LNM in surgical resection specimen and/or evidence of malignant disease during follow-up (FU). RESULTS Sixty-nine patients with a submucosal EAC were included [23 R1-resections and 46 R0-resection (14 R0-LR and 32 R0-HR)]. Twenty-six patients underwent surgical treatment (1 R0-LR, 12 R0-HR and 13 R1). None of the 14 R0-LR patients developed metastatic disease after a median FU of 60 months. In the R0-HR group and R1 group, metastatic disease was diagnosed in 16 and 30 % of patients, respectively. Surgical patients tended to have a better overall survival than non-surgical patients (p = 0.09). Tumor-related deaths, however, were 12 % in both groups. CONCLUSIONS In LR submucosal EAC, the risk of metastatic disease appears to be very low. In deep submucosal EAC (either R0- or R1-resection), the rate of metastatic disease is lower than reported in earlier surgical series. Given the reasonable disease-free survival and high background mortality, conservative management of these patients seems to be a valid alternative for surgery in selected cases.","author":[{"dropping-particle":"","family":"Schölvinck","given":"Dirk","non-dropping-particle":"","parse-names":false,"suffix":""},{"dropping-particle":"","family":"Künzli","given":"Hannah","non-dropping-particle":"","parse-names":false,"suffix":""},{"dropping-particle":"","family":"Meijer","given":"Sybren","non-dropping-particle":"","parse-names":false,"suffix":""},{"dropping-particle":"","family":"Seldenrijk","given":"Kees","non-dropping-particle":"","parse-names":false,"suffix":""},{"dropping-particle":"","family":"Berge Henegouwen","given":"Mark","non-dropping-particle":"van","parse-names":false,"suffix":""},{"dropping-particle":"","family":"Bergman","given":"Jacques","non-dropping-particle":"","parse-names":false,"suffix":""},{"dropping-particle":"","family":"Weusten","given":"Bas","non-dropping-particle":"","parse-names":false,"suffix":""}],"container-title":"Surgical endoscopy","id":"ITEM-2","issued":{"date-parts":[["2016"]]},"page":"4102-4113","title":"Management of patients with T1b esophageal adenocarcinoma: a retrospective cohort study on patient management and risk of metastatic disease.","type":"article-journal"},"uris":["http://www.mendeley.com/documents/?uuid=dc99269a-d6e9-43a5-afa6-6c355344e0c1","http://www.mendeley.com/documents/?uuid=580c44cf-f84c-489b-8167-6b23cd4340af","http://www.mendeley.com/documents/?uuid=36984536-6671-4545-a0da-8246a61d4501"]},{"id":"ITEM-3","itemData":{"DOI":"10.1111/dote.12462","ISSN":"14422050","PMID":"26952572","abstract":"The rate of lymph-node (LN) metastasis in early adenocarcinoma (EAC) of the esophagus with mid to deep submucosal invasion (pT1b sm2/3) has not yet been precisely defined. The aim of the this study was to evaluate the rate of LN metastasis in pT1b sm2/3 EAC depending on macroscopic and histological risk patterns to find out whether there may also be options for endoscopic therapy as in cancers limited to the mucosa and the upper third of the submucosa. A total of 1.718 pt with suspicion of EAC were referred for endoscopic treatment (ET) to the Dept. of Internal Medicine II at HSK Wiesbaden 1996-2010. In 230/1.718 pt, the suspicion (endoscopic ultrasound, EUS) or definitive diagnosis of pT1b EAC (ER/surgery) was made. Of these, 38 pt had sm2 lesions, and 69 sm3. Rate of LN metastasis was analyzed depending on risk patterns: histologically low-risk (hisLR): G1-2, L0, V0; histologically high-risk (hisHR): ≥1 criterion not fulfilled; macroscopically low-risk (macLR): gross tumor type I-II, tumor size ≤2 cm; macroscopically high-risk (macHR): ≥1 criterion not fulfilled; combined low-risk (combLR): hisLR+macLR; combined high-risk (combHR): at least 1 risk factor. LN rate was only evaluated in pt who had proven maximum invasion depth of sm2/sm3, and who in case of ET had a follow-up (FU) by EUS of at least 24 months. 23/38 pt with pT1b sm2 lesions and 39/69 pt with sm3 lesions fulfilled our inclusion criteria. In the pT1b sm2 group, rate of LN metastasis in the hisLR, hisHR, combLR, and combHR groups were 8.3% (1/12), 36.3% (4/11), 0% (0/5), and 27.8% (5/18). In the pT1b sm3 group, rate of LN metastasis in the hisLR, hisHR, combLR and combHR groups were 28.6% (2/7), 37.5% (12/32), 25% (1/4), and 37.1% (13/35). 30-day mortality of surgery was 1.7% (1/58 pt). In EAC with pT1b sm2/3 invasion, the frequency of LN metastasis depends on macroscopic and histological risk patterns. Surgery remains the standard treatment, because the rate of LN metastasis appears to be higher than the mortality risk of surgery. Whether a highly selected group of pT1b sm2 patients with a favourable risk pattern may be candidates for endoscopic therapy cannot be decided until the results of larger case volumes are available.","author":[{"dropping-particle":"","family":"Manner","given":"H.","non-dropping-particle":"","parse-names":false,"suffix":""},{"dropping-particle":"","family":"Wetzka","given":"J.","non-dropping-particle":"","parse-names":false,"suffix":""},{"dropping-particle":"","family":"May","given":"A.","non-dropping-particle":"","parse-names":false,"suffix":""},{"dropping-particle":"","family":"Pauthner","given":"M.","non-dropping-particle":"","parse-names":false,"suffix":""},{"dropping-particle":"","family":"Pech","given":"O.","non-dropping-particle":"","parse-names":false,"suffix":""},{"dropping-particle":"","family":"Fisseler-Eckhoff","given":"A.","non-dropping-particle":"","parse-names":false,"suffix":""},{"dropping-particle":"","family":"Stolte","given":"M.","non-dropping-particle":"","parse-names":false,"suffix":""},{"dropping-particle":"","family":"Vieth","given":"M.","non-dropping-particle":"","parse-names":false,"suffix":""},{"dropping-particle":"","family":"Lorenz","given":"D.","non-dropping-particle":"","parse-names":false,"suffix":""},{"dropping-particle":"","family":"Ell","given":"C.","non-dropping-particle":"","parse-names":false,"suffix":""}],"container-title":"Diseases of the Esophagus","id":"ITEM-3","issued":{"date-parts":[["2016"]]},"page":"1-11","title":"Early-stage adenocarcinoma of the esophagus with mid to deep submucosal invasion (pT1b sm2-3): The frequency of lymph-node metastasis depends on macroscopic and histological risk patterns","type":"article-journal"},"uris":["http://www.mendeley.com/documents/?uuid=6ef91c8a-5d72-4aac-94fb-1382c9a58ae1","http://www.mendeley.com/documents/?uuid=95fd486c-9691-4798-af08-54c6069514c0","http://www.mendeley.com/documents/?uuid=0ec4980d-0510-4eef-a192-d128903eac94"]}],"mendeley":{"formattedCitation":"&lt;sup&gt;16,18,19&lt;/sup&gt;","plainTextFormattedCitation":"16,18,19","previouslyFormattedCitation":"&lt;sup&gt;16,18,19&lt;/sup&gt;"},"properties":{"noteIndex":0},"schema":"https://github.com/citation-style-language/schema/raw/master/csl-citation.json"}</w:instrText>
      </w:r>
      <w:r w:rsidR="00711D84"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16,18,19</w:t>
      </w:r>
      <w:r w:rsidR="00711D84" w:rsidRPr="00BF2AAC">
        <w:rPr>
          <w:rFonts w:ascii="Book Antiqua" w:hAnsi="Book Antiqua" w:cs="Times New Roman"/>
          <w:sz w:val="24"/>
          <w:szCs w:val="24"/>
          <w:lang w:val="en-GB"/>
        </w:rPr>
        <w:fldChar w:fldCharType="end"/>
      </w:r>
      <w:r w:rsidR="0050405F"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t>.</w:t>
      </w:r>
    </w:p>
    <w:p w14:paraId="6DD18AB1" w14:textId="349DA04E" w:rsidR="00711D84" w:rsidRPr="00BF2AAC" w:rsidRDefault="0050405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The aim of this single-centre retrospective cohort study was to assess the risk of LNM in consecutive patients found to have T1b OAC following endoscopic resection and evaluate the short and long term clinical outcomes. </w:t>
      </w:r>
    </w:p>
    <w:p w14:paraId="1AC28DFB"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34CD9C64" w14:textId="4E42439E" w:rsidR="00711D84" w:rsidRPr="00BF2AAC" w:rsidRDefault="0050405F"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t xml:space="preserve">MATERIALS AND </w:t>
      </w:r>
      <w:r w:rsidR="00711D84" w:rsidRPr="00BF2AAC">
        <w:rPr>
          <w:rFonts w:ascii="Book Antiqua" w:hAnsi="Book Antiqua" w:cs="Times New Roman"/>
          <w:b/>
          <w:sz w:val="24"/>
          <w:szCs w:val="24"/>
          <w:lang w:val="en-GB"/>
        </w:rPr>
        <w:t>METHODS</w:t>
      </w:r>
    </w:p>
    <w:p w14:paraId="4EF589BC"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Patients</w:t>
      </w:r>
    </w:p>
    <w:p w14:paraId="3CB1D03B" w14:textId="1FA278A2"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Consecutive patients who were found to have a T1b OAC on endoscopic resection specimen at University College London Hospital from January 2008 to February 2016 were retrospectively analysed for this study. Patients were included if they had OAC </w:t>
      </w:r>
      <w:r w:rsidRPr="00BF2AAC">
        <w:rPr>
          <w:rFonts w:ascii="Book Antiqua" w:hAnsi="Book Antiqua"/>
          <w:sz w:val="24"/>
          <w:szCs w:val="24"/>
          <w:lang w:val="en-GB"/>
        </w:rPr>
        <w:t>arising within BE with submucosal invasion on endoscopic resection specimen.</w:t>
      </w:r>
      <w:r w:rsidRPr="00BF2AAC">
        <w:rPr>
          <w:rFonts w:ascii="Book Antiqua" w:hAnsi="Book Antiqua" w:cs="Times New Roman"/>
          <w:sz w:val="24"/>
          <w:szCs w:val="24"/>
          <w:lang w:val="en-GB"/>
        </w:rPr>
        <w:t xml:space="preserve"> Exclusion criteria were the </w:t>
      </w:r>
      <w:r w:rsidRPr="00BF2AAC">
        <w:rPr>
          <w:rFonts w:ascii="Book Antiqua" w:hAnsi="Book Antiqua"/>
          <w:sz w:val="24"/>
          <w:szCs w:val="24"/>
          <w:lang w:val="en-GB"/>
        </w:rPr>
        <w:t xml:space="preserve">presence of LNM at baseline staging prior to </w:t>
      </w:r>
      <w:r w:rsidR="00316626" w:rsidRPr="00BF2AAC">
        <w:rPr>
          <w:rFonts w:ascii="Book Antiqua" w:hAnsi="Book Antiqua" w:cs="Times New Roman"/>
          <w:sz w:val="24"/>
          <w:szCs w:val="24"/>
          <w:lang w:val="en-GB"/>
        </w:rPr>
        <w:t>endoscopic mucosal resection (EMR)</w:t>
      </w:r>
      <w:r w:rsidRPr="00BF2AAC">
        <w:rPr>
          <w:rFonts w:ascii="Book Antiqua" w:hAnsi="Book Antiqua"/>
          <w:sz w:val="24"/>
          <w:szCs w:val="24"/>
          <w:lang w:val="en-GB"/>
        </w:rPr>
        <w:t xml:space="preserve"> or distant metastases on diagnostic staging with adjunct imaging </w:t>
      </w:r>
      <w:r w:rsidR="0050405F" w:rsidRPr="00BF2AAC">
        <w:rPr>
          <w:rFonts w:ascii="Book Antiqua" w:hAnsi="Book Antiqua"/>
          <w:sz w:val="24"/>
          <w:szCs w:val="24"/>
          <w:lang w:val="en-GB"/>
        </w:rPr>
        <w:t>[endoscopic ultrasonography (</w:t>
      </w:r>
      <w:r w:rsidRPr="00BF2AAC">
        <w:rPr>
          <w:rFonts w:ascii="Book Antiqua" w:hAnsi="Book Antiqua"/>
          <w:sz w:val="24"/>
          <w:szCs w:val="24"/>
          <w:lang w:val="en-GB"/>
        </w:rPr>
        <w:t>EUS</w:t>
      </w:r>
      <w:r w:rsidR="0050405F" w:rsidRPr="00BF2AAC">
        <w:rPr>
          <w:rFonts w:ascii="Book Antiqua" w:hAnsi="Book Antiqua"/>
          <w:sz w:val="24"/>
          <w:szCs w:val="24"/>
          <w:lang w:val="en-GB"/>
        </w:rPr>
        <w:t>)</w:t>
      </w:r>
      <w:r w:rsidRPr="00BF2AAC">
        <w:rPr>
          <w:rFonts w:ascii="Book Antiqua" w:hAnsi="Book Antiqua"/>
          <w:sz w:val="24"/>
          <w:szCs w:val="24"/>
          <w:lang w:val="en-GB"/>
        </w:rPr>
        <w:t xml:space="preserve">, </w:t>
      </w:r>
      <w:r w:rsidR="0050405F" w:rsidRPr="00BF2AAC">
        <w:rPr>
          <w:rFonts w:ascii="Book Antiqua" w:hAnsi="Book Antiqua"/>
          <w:sz w:val="24"/>
          <w:szCs w:val="24"/>
          <w:lang w:val="en-GB"/>
        </w:rPr>
        <w:t>computed tomography (</w:t>
      </w:r>
      <w:r w:rsidRPr="00BF2AAC">
        <w:rPr>
          <w:rFonts w:ascii="Book Antiqua" w:hAnsi="Book Antiqua"/>
          <w:sz w:val="24"/>
          <w:szCs w:val="24"/>
          <w:lang w:val="en-GB"/>
        </w:rPr>
        <w:t>CT</w:t>
      </w:r>
      <w:r w:rsidR="0050405F" w:rsidRPr="00BF2AAC">
        <w:rPr>
          <w:rFonts w:ascii="Book Antiqua" w:hAnsi="Book Antiqua"/>
          <w:sz w:val="24"/>
          <w:szCs w:val="24"/>
          <w:lang w:val="en-GB"/>
        </w:rPr>
        <w:t>)</w:t>
      </w:r>
      <w:r w:rsidRPr="00BF2AAC">
        <w:rPr>
          <w:rFonts w:ascii="Book Antiqua" w:hAnsi="Book Antiqua"/>
          <w:sz w:val="24"/>
          <w:szCs w:val="24"/>
          <w:lang w:val="en-GB"/>
        </w:rPr>
        <w:t xml:space="preserve">, </w:t>
      </w:r>
      <w:r w:rsidR="0050405F" w:rsidRPr="00BF2AAC">
        <w:rPr>
          <w:rFonts w:ascii="Book Antiqua" w:hAnsi="Book Antiqua"/>
          <w:sz w:val="24"/>
          <w:szCs w:val="24"/>
          <w:lang w:val="en-GB"/>
        </w:rPr>
        <w:t>positron emission tomography (</w:t>
      </w:r>
      <w:r w:rsidRPr="00BF2AAC">
        <w:rPr>
          <w:rFonts w:ascii="Book Antiqua" w:hAnsi="Book Antiqua"/>
          <w:sz w:val="24"/>
          <w:szCs w:val="24"/>
          <w:lang w:val="en-GB"/>
        </w:rPr>
        <w:t>PET</w:t>
      </w:r>
      <w:r w:rsidR="0050405F" w:rsidRPr="00BF2AAC">
        <w:rPr>
          <w:rFonts w:ascii="Book Antiqua" w:hAnsi="Book Antiqua"/>
          <w:sz w:val="24"/>
          <w:szCs w:val="24"/>
          <w:lang w:val="en-GB"/>
        </w:rPr>
        <w:t>)</w:t>
      </w:r>
      <w:r w:rsidRPr="00BF2AAC">
        <w:rPr>
          <w:rFonts w:ascii="Book Antiqua" w:hAnsi="Book Antiqua"/>
          <w:sz w:val="24"/>
          <w:szCs w:val="24"/>
          <w:lang w:val="en-GB"/>
        </w:rPr>
        <w:t>-CT</w:t>
      </w:r>
      <w:r w:rsidR="0050405F" w:rsidRPr="00BF2AAC">
        <w:rPr>
          <w:rFonts w:ascii="Book Antiqua" w:hAnsi="Book Antiqua"/>
          <w:sz w:val="24"/>
          <w:szCs w:val="24"/>
          <w:lang w:val="en-GB"/>
        </w:rPr>
        <w:t xml:space="preserve">], </w:t>
      </w:r>
      <w:r w:rsidRPr="00BF2AAC">
        <w:rPr>
          <w:rFonts w:ascii="Book Antiqua" w:hAnsi="Book Antiqua"/>
          <w:sz w:val="24"/>
          <w:szCs w:val="24"/>
          <w:lang w:val="en-GB"/>
        </w:rPr>
        <w:t>follow-up time shorter than 24 mo, and insufficient or incomplete follow-up data.</w:t>
      </w:r>
      <w:r w:rsidRPr="00BF2AAC">
        <w:rPr>
          <w:rFonts w:ascii="Book Antiqua" w:hAnsi="Book Antiqua" w:cs="Times New Roman"/>
          <w:sz w:val="24"/>
          <w:szCs w:val="24"/>
          <w:lang w:val="en-GB"/>
        </w:rPr>
        <w:t xml:space="preserve"> For example if patients with a high risk visible lesion (large polypoid lesion or ulcerated lesion) would undergo EUS, PET</w:t>
      </w:r>
      <w:r w:rsidR="00316626" w:rsidRPr="00BF2AAC">
        <w:rPr>
          <w:rFonts w:ascii="Book Antiqua" w:hAnsi="Book Antiqua" w:cs="Times New Roman"/>
          <w:sz w:val="24"/>
          <w:szCs w:val="24"/>
          <w:lang w:val="en-GB"/>
        </w:rPr>
        <w:t>-CT</w:t>
      </w:r>
      <w:r w:rsidRPr="00BF2AAC">
        <w:rPr>
          <w:rFonts w:ascii="Book Antiqua" w:hAnsi="Book Antiqua" w:cs="Times New Roman"/>
          <w:sz w:val="24"/>
          <w:szCs w:val="24"/>
          <w:lang w:val="en-GB"/>
        </w:rPr>
        <w:t xml:space="preserve"> and CT scan. If any were found to have LNM then they would not undergo EMR. Patients were not excluded if they had received previous EET for dysplasia within BE </w:t>
      </w:r>
      <w:r w:rsidR="00316626" w:rsidRPr="00BF2AAC">
        <w:rPr>
          <w:rFonts w:ascii="Book Antiqua" w:hAnsi="Book Antiqua" w:cs="Times New Roman"/>
          <w:sz w:val="24"/>
          <w:szCs w:val="24"/>
          <w:lang w:val="en-GB"/>
        </w:rPr>
        <w:t>[</w:t>
      </w:r>
      <w:r w:rsidRPr="00BF2AAC">
        <w:rPr>
          <w:rFonts w:ascii="Book Antiqua" w:hAnsi="Book Antiqua" w:cs="Times New Roman"/>
          <w:sz w:val="24"/>
          <w:szCs w:val="24"/>
          <w:lang w:val="en-GB"/>
        </w:rPr>
        <w:t>including photodynamic therapy, argon plasma coagulation (APC), radiofrequency ablation (RFA) or endoscopic resection</w:t>
      </w:r>
      <w:r w:rsidR="00316626"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xml:space="preserve">prior to the T1b OAC diagnosis. </w:t>
      </w:r>
    </w:p>
    <w:p w14:paraId="6DB215BE"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0C8E4699"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Endoscopic resection</w:t>
      </w:r>
    </w:p>
    <w:p w14:paraId="493702EB"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All endoscopic resections were performed by endoscopic mucosal resection (EMR) with multiband mucosectomy technique (Duette, Cook Endoscopy or Captivator, Boston Scientific).</w:t>
      </w:r>
    </w:p>
    <w:p w14:paraId="63F8FC1A"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5E77D912"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Histopathology</w:t>
      </w:r>
    </w:p>
    <w:p w14:paraId="36CF705D" w14:textId="36FAB0AD"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Resected specimens were reviewed by two expert gastrointestinal pathologists, who reported on each of the following tumour characteristics: depth of submucosal invasion</w:t>
      </w:r>
      <w:r w:rsidR="00316626"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{"citationItems":[{"id":"ITEM-1","itemData":{"DOI":"10.1177/2050640615581965","ISBN":"2050-6406","ISSN":"20506414","PMID":"26668743","abstract":"BACKGROUND Due to the high mortality and morbidity rates of esophagectomy, endoscopic mucosal resection (EMR) is increasingly used for the curative treatment of early low risk Barrett's adenocarcinoma. OBJECTIVE This retrospective cohort study aimed to assess the prevalence of lymph node metastases (LNM) in submucosal (T1b) esophageal adenocarcinomas (EAC) in relation to the absolute depth of submucosal tumor invasion and demonstrate the efficacy of EMR for low risk (well and moderately differentiated without lymphovascular invasion) EAC with sm1 invasion (submucosal invasion ≤500 µm) according to the Paris classification. METHODS The pathology reports of patients undergoing endoscopic resection and surgery from January 1994 until December 2013 at one center were reviewed and 54 patients with submucosal invasion were included. LNM were evaluated in surgical specimens and by follow up examinations in case of EMR. RESULTS No LNM were observed in 10 patients with sm1 adenocarcinomas that underwent endoscopic resection. Three of them underwent supplementary endoscopic eradication therapy with a median follow up of 27 months for patients with sm1 tumors. In the surgical series two patients (29%) with sm1 invasion according to the pragmatic classification (subdivision of the submucosa into three equal thirds), staged as sm2-3 in the Paris classification, had LNM. The rate of LNM for surgical patients with low risk sm1 tumors was 10% according to the pragmatic classification and 0% according to Paris classification. CONCLUSION Different classifications of the tumor invasion depth lead to different LNM risks and treatment strategies for sm1 adenocarcinomas. Patients with low risk sm1 adenocarcinomas appear to be suitable candidates for EMR.","author":[{"dropping-particle":"","family":"Fotis","given":"Dimitrios","non-dropping-particle":"","parse-names":false,"suffix":""},{"dropping-particle":"","family":"Doukas","given":"Michael","non-dropping-particle":"","parse-names":false,"suffix":""},{"dropping-particle":"","family":"Wijnhoven","given":"Bas P.L.","non-dropping-particle":"","parse-names":false,"suffix":""},{"dropping-particle":"","family":"Didden","given":"Paul","non-dropping-particle":"","parse-names":false,"suffix":""},{"dropping-particle":"","family":"Biermann","given":"Katharina","non-dropping-particle":"","parse-names":false,"suffix":""},{"dropping-particle":"","family":"Bruno","given":"Marco J.","non-dropping-particle":"","parse-names":false,"suffix":""},{"dropping-particle":"","family":"Koch","given":"Arjun D.","non-dropping-particle":"","parse-names":false,"suffix":""}],"container-title":"United European Gastroenterology Journal","id":"ITEM-1","issue":"6","issued":{"date-parts":[["2015"]]},"page":"505-513","title":"Submucosal invasion and risk of lymph node invasion in early barrett’s cancer: Potential impact of different classification systems on patient management","type":"article-journal","volume":"3"},"uris":["http://www.mendeley.com/documents/?uuid=48bb1bb8-8774-40f6-8d5c-4d6769d8c242","http://www.mendeley.com/documents/?uuid=83a243fb-3a44-481d-9da9-922708e4f664"]}],"mendeley":{"formattedCitation":"&lt;sup&gt;15&lt;/sup&gt;","plainTextFormattedCitation":"15","previouslyFormattedCitation":"&lt;sup&gt;15&lt;/sup&gt;"},"properties":{"noteIndex":0},"schema":"https://github.com/citation-style-language/schema/raw/master/csl-citation.json"}</w:instrText>
      </w:r>
      <w:r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15</w:t>
      </w:r>
      <w:r w:rsidRPr="00BF2AAC">
        <w:rPr>
          <w:rFonts w:ascii="Book Antiqua" w:hAnsi="Book Antiqua" w:cs="Times New Roman"/>
          <w:sz w:val="24"/>
          <w:szCs w:val="24"/>
          <w:lang w:val="en-GB"/>
        </w:rPr>
        <w:fldChar w:fldCharType="end"/>
      </w:r>
      <w:r w:rsidR="00316626"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t>, tumour differentiation, lymphovascular invasion, and presence of tumour cells within or less than 1000 µm from the vertical resection margin. If the initial histopathology report was incomplete or made by a non-expert gastrointestinal histopathologist, the slides were reviewed by a third expert gastrointestinal pathologist for the purpose of this study before the patient was included or excluded. If a tumour characteristic was inconclusive despite re-evaluation it was reported as such and considered a high-risk feature in further assessment.</w:t>
      </w:r>
    </w:p>
    <w:p w14:paraId="2FC6A581"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4F167E0B"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Treatment after initial EMR</w:t>
      </w:r>
    </w:p>
    <w:p w14:paraId="2CEE592B"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All patients were discussed at a multidisciplinary meeting (MDM) attended by gastroenterologists, upper gastrointestinal surgeons, oncologists, radiologists and histopathologists. Further treatment plans were formulated based on </w:t>
      </w:r>
      <w:r w:rsidRPr="00BF2AAC">
        <w:rPr>
          <w:rFonts w:ascii="Book Antiqua" w:hAnsi="Book Antiqua"/>
          <w:sz w:val="24"/>
          <w:szCs w:val="24"/>
          <w:lang w:val="en-GB"/>
        </w:rPr>
        <w:t>tumour histopathological characteristics found on EMR specimen, diagnostic staging (EUS and/or CT and/or PET-CT), and a patient's surgical fitness, medical history and preferences.</w:t>
      </w:r>
      <w:r w:rsidRPr="00BF2AAC">
        <w:rPr>
          <w:rFonts w:ascii="Book Antiqua" w:hAnsi="Book Antiqua" w:cs="Times New Roman"/>
          <w:sz w:val="24"/>
          <w:szCs w:val="24"/>
          <w:lang w:val="en-GB"/>
        </w:rPr>
        <w:t xml:space="preserve"> Patients, with OAC T1b, who were eligible for surgery underwent oesophagectomy with lymphadenectomy. After histopathologic review of surgically resected specimen, some patients received chemoradiotherapy (CRT) if they were upstaged or if there was evidence of LNM on pathology. Conservative treatment included additional endoscopic eradication therapy with field ablation (RFA, APC) or further EMR in an attempt to eradicate residual flat dysplasia and metaplastic BE mucosa.</w:t>
      </w:r>
    </w:p>
    <w:p w14:paraId="72C8106A"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4EDF930C"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Follow-up</w:t>
      </w:r>
    </w:p>
    <w:p w14:paraId="721917B0" w14:textId="4A589DCF"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After the planned EET was concluded and successful eradication of disease histologically confirmed, patients received follow up by one or more of the following </w:t>
      </w:r>
      <w:r w:rsidRPr="00BF2AAC">
        <w:rPr>
          <w:rFonts w:ascii="Book Antiqua" w:hAnsi="Book Antiqua" w:cs="Times New Roman"/>
          <w:sz w:val="24"/>
          <w:szCs w:val="24"/>
          <w:lang w:val="en-GB"/>
        </w:rPr>
        <w:lastRenderedPageBreak/>
        <w:t xml:space="preserve">modalities: upper GI endoscopy with biopsies, EUS, CT and/or PET-CT in order to exclude local recurrence, LNM or distant metastases. Patients who had achieved complete eradication of BE-related neoplasia were followed-up endoscopically by 3, 6, 9, 12, 18 and 24 mo intervals and then annually thereafter. </w:t>
      </w:r>
    </w:p>
    <w:p w14:paraId="7F8CF3A7"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47AE9D18"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Data collection</w:t>
      </w:r>
    </w:p>
    <w:p w14:paraId="10CD79C3"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Data were collected from March 2000 until July 2017 or until death of the patient. Information sources included medical history, endoscopic procedures, histopathology reports, imaging studies, outpatient clinic reports, MDM records and correspondence with referring hospitals and general practitioners.</w:t>
      </w:r>
    </w:p>
    <w:p w14:paraId="5D6C507E"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35C4F1BA"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Patient groups</w:t>
      </w:r>
    </w:p>
    <w:p w14:paraId="5F7A35C6" w14:textId="7876FAB4"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For the purpose of our study, patients were divided into 2 tumour risk groups based on the histopathological assessment of the initial EMR specimens: low-risk (LR group) and high-risk (HR group). The characteristics of the OAC lesions within the low-risk (LR group) were </w:t>
      </w:r>
      <w:r w:rsidRPr="00BF2AAC">
        <w:rPr>
          <w:rFonts w:ascii="Book Antiqua" w:hAnsi="Book Antiqua"/>
          <w:sz w:val="24"/>
          <w:szCs w:val="24"/>
          <w:lang w:val="en-GB"/>
        </w:rPr>
        <w:t>superficial submucosal invasion (Sm1, &lt;</w:t>
      </w:r>
      <w:r w:rsidR="00316626" w:rsidRPr="00BF2AAC">
        <w:rPr>
          <w:rFonts w:ascii="Book Antiqua" w:hAnsi="Book Antiqua"/>
          <w:sz w:val="24"/>
          <w:szCs w:val="24"/>
          <w:lang w:val="en-GB"/>
        </w:rPr>
        <w:t xml:space="preserve"> </w:t>
      </w:r>
      <w:r w:rsidRPr="00BF2AAC">
        <w:rPr>
          <w:rFonts w:ascii="Book Antiqua" w:hAnsi="Book Antiqua"/>
          <w:sz w:val="24"/>
          <w:szCs w:val="24"/>
          <w:lang w:val="en-GB"/>
        </w:rPr>
        <w:t>500 µm), well or moderate tumour differentiation (G1-2), complete resection (R0), and absence of lymphovascular invasion (LVI-).</w:t>
      </w:r>
      <w:r w:rsidRPr="00BF2AAC">
        <w:rPr>
          <w:rFonts w:ascii="Book Antiqua" w:hAnsi="Book Antiqua" w:cs="Times New Roman"/>
          <w:sz w:val="24"/>
          <w:szCs w:val="24"/>
          <w:lang w:val="en-GB"/>
        </w:rPr>
        <w:t xml:space="preserve"> These features have previously been demonstrated to be independent risk factors carrying a f</w:t>
      </w:r>
      <w:r w:rsidR="00540E7D">
        <w:rPr>
          <w:rFonts w:ascii="Book Antiqua" w:hAnsi="Book Antiqua" w:cs="Times New Roman"/>
          <w:sz w:val="24"/>
          <w:szCs w:val="24"/>
          <w:lang w:val="en-GB"/>
        </w:rPr>
        <w:t xml:space="preserve">avourable prognosis due to </w:t>
      </w:r>
      <w:r w:rsidRPr="00BF2AAC">
        <w:rPr>
          <w:rFonts w:ascii="Book Antiqua" w:hAnsi="Book Antiqua" w:cs="Times New Roman"/>
          <w:sz w:val="24"/>
          <w:szCs w:val="24"/>
          <w:lang w:val="en-GB"/>
        </w:rPr>
        <w:t>a low propensity for metastases</w:t>
      </w:r>
      <w:r w:rsidR="00316626"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{"citationItems":[{"id":"ITEM-1","itemData":{"DOI":"10.1007/s11605-015-2950-9","ISSN":"1091255X","PMID":"26408330","abstract":"Endoscopic resection (ER) allows for local therapy of superficial esophageal cancers. Factors reported to be associated with an increased risk of lymph node metastases in patients with adenocarcinoma are poor differentiation, lymphovascular invasion (LVI), and submucosal invasion &gt;500 μ. The aim of this study was to determine whether depth of invasion and tumor characteristics in an ER specimen can be used to gauge the risk of lymph node metastases in patients with superficial esophageal adenocarcinoma. Patients from seven US centers that had ER of an adenocarcinoma followed by an esophagectomy were identified. The ER pathology slides were rereviewed by three experienced GI pathologists for depth of invasion, presence of LVI, and tumor differentiation. The findings from the ER specimen were correlated with the presence and number of lymph node metastases in the final esophagectomy specimen. There were 19 T1a and 23 T1b tumors. A median of 24 nodes were resected per patient. None of the T1a tumors had involved lymph nodes despite the presence of LVI in 5 % and poor differentiation in 21 % of patients. In contrast, 26 % of T1b tumors had involved nodes. None of the four patients with submucosal invasion ≤500 μ, no LVI, and no poor differentiation had involved nodes. However, with an increasing number of risk factors, the likelihood of involved lymph nodes increased, reaching 50 % when all three factors were present. Endoscopic therapy appears appropriate for intramucosal tumors and may be an option for low-risk T1b tumors. Esophagectomy is preferred for patients with submucosal invasion and one or more risk factors.","author":[{"dropping-particle":"","family":"Boys","given":"Joshua A.","non-dropping-particle":"","parse-names":false,"suffix":""},{"dropping-particle":"","family":"Worrell","given":"Stephanie G.","non-dropping-particle":"","parse-names":false,"suffix":""},{"dropping-particle":"","family":"Chandrasoma","given":"Parakrama","non-dropping-particle":"","parse-names":false,"suffix":""},{"dropping-particle":"","family":"Vallone","given":"John G.","non-dropping-particle":"","parse-names":false,"suffix":""},{"dropping-particle":"","family":"Maru","given":"Dipen M.","non-dropping-particle":"","parse-names":false,"suffix":""},{"dropping-particle":"","family":"Zhang","given":"Lizhi","non-dropping-particle":"","parse-names":false,"suffix":""},{"dropping-particle":"","family":"Blackmon","given":"Shanda H.","non-dropping-particle":"","parse-names":false,"suffix":""},{"dropping-particle":"","family":"Dickinson","given":"Karen J.","non-dropping-particle":"","parse-names":false,"suffix":""},{"dropping-particle":"","family":"Dunst","given":"Christy M.","non-dropping-particle":"","parse-names":false,"suffix":""},{"dropping-particle":"","family":"Hofstetter","given":"Wayne L.","non-dropping-particle":"","parse-names":false,"suffix":""},{"dropping-particle":"","family":"Lada","given":"Michael J.","non-dropping-particle":"","parse-names":false,"suffix":""},{"dropping-particle":"","family":"Louie","given":"Brian E.","non-dropping-particle":"","parse-names":false,"suffix":""},{"dropping-particle":"","family":"Molena","given":"Daniela","non-dropping-particle":"","parse-names":false,"suffix":""},{"dropping-particle":"","family":"Watson","given":"Thomas J.","non-dropping-particle":"","parse-names":false,"suffix":""},{"dropping-particle":"","family":"DeMeester","given":"Steven R.","non-dropping-particle":"","parse-names":false,"suffix":""}],"container-title":"Journal of Gastrointestinal Surgery","id":"ITEM-1","issue":"1","issued":{"date-parts":[["2016"]]},"page":"6-12","title":"Can the Risk of Lymph Node Metastases Be Gauged in Endoscopically Resected Submucosal Esophageal Adenocarcinomas? A Multi-Center Study","type":"article-journal","volume":"20"},"uris":["http://www.mendeley.com/documents/?uuid=93dd163b-cc2e-48a2-a4fe-ed5a5ed93c5b","http://www.mendeley.com/documents/?uuid=b6c77b12-56a8-436d-ad17-d7b6a10dacf2"]},{"id":"ITEM-2","itemData":{"DOI":"10.1245/s10434-008-0065-1","ISBN":"1534-4681 (Electronic)\\n1068-9265 (Linking)","ISSN":"1068-9265","PMID":"18726651","abstract":"BACKGROUND: Esophageal carcinoma is among the cancers with the worst prognosis. Real chances for cure depend on both early recognition and early treatment. The ability to predict lymph node involvement allows early curative treatment with less invasive approaches. AIMS: To determine clinicohistopathological criteria correlated with lymph node involvement in patients with early esophageal cancer (T1) and to identify the best candidate patients for local endoscopic or less invasive surgical treatments. METHODS: A total of 98 patients with pT1 esophageal cancer [67 with squamous cell carcinomas (SCC) and 31 with adenocarcinomas (ADK)] underwent Ivor-Lewis or McKeown esophagectomy in the period between 1980 and 2006 at our institution. Based on the depth of invasion, lesions were classified as m1, m2, or m3 if mucosal, and sm1, sm2, or sm3 if submucosal. RESULTS: The rates of lymph node metastasis were 0% for the 27 mucosal carcinomas (T1m) and 28% for the 71 submucosal (T1sm) carcinomas (P &lt; 0.001). Sm1 carcinomas were associated with a lower rate of lymph-node metastasis (8.3% versus 49 % sm2/3, P = 0.003). As for histotype, the rates of lymph node metastasis for sm1 were 0% for ADK and 12.5% for SCC; for sm2/3 there were no significant differences. On multivariate analysis, depth of infiltration, lymphocytic infiltrate, angiolymphatic and neural invasion were significantly associated with lymph node involvement. Neural invasion was the single parameter with the greatest accuracy (82%); depth of infiltration and angiolymphatic invasion had 75% accuracy. Altogether these three parameters had an accuracy of 97%. Five-year survival rate was 56.7% overall: 77.7% for T1m and 53.3% for T1sm (P = 0.048). CONCLUSIONS: The most important factors for predicting lymph node metastasis in early esophageal cancer are depth of tumor infiltration, angiolymphatic invasion, neural invasion and grade of lymphocytic infiltration. The best candidates for endoscopic therapy are tumors with high-grade lymphocytic infiltration, no angiolymphatic or neural invasion, mucosal infiltration or sm1 (only for ADK), and tumor &lt;1 cm in size. For sm SCC and sm2/3 ADK the treatment of choice remains esophagectomy with standard lymphadenectomy.","author":[{"dropping-particle":"","family":"Ancona","given":"Ermanno","non-dropping-particle":"","parse-names":false,"suffix":""},{"dropping-particle":"","family":"Rampado","given":"Sabrina","non-dropping-particle":"","parse-names":false,"suffix":""},{"dropping-particle":"","family":"Cassaro","given":"Mauro","non-dropping-particle":"","parse-names":false,"suffix":""},{"dropping-particle":"","family":"Battaglia","given":"Giorgio","non-dropping-particle":"","parse-names":false,"suffix":""},{"dropping-particle":"","family":"Ruol","given":"Alberto","non-dropping-particle":"","parse-names":false,"suffix":""},{"dropping-particle":"","family":"Castoro","given":"Carlo","non-dropping-particle":"","parse-names":false,"suffix":""},{"dropping-particle":"","family":"Portale","given":"Giuseppe","non-dropping-particle":"","parse-names":false,"suffix":""},{"dropping-particle":"","family":"Cavallin","given":"Francesco","non-dropping-particle":"","parse-names":false,"suffix":""},{"dropping-particle":"","family":"Rugge","given":"Massimo","non-dropping-particle":"","parse-names":false,"suffix":""}],"container-title":"Annals of surgical oncology","id":"ITEM-2","issue":"11","issued":{"date-parts":[["2008"]]},"page":"3278-3288","title":"Prediction of lymph node status in superficial esophageal carcinoma.","type":"article-journal","volume":"15"},"uris":["http://www.mendeley.com/documents/?uuid=15f4ebce-6958-4ece-8765-ffc63580aae4","http://www.mendeley.com/documents/?uuid=206ef281-26b3-4b6c-8ba3-385510825d65"]},{"id":"ITEM-3","itemData":{"DOI":"10.1097/SLA.0b013e3181fbad42","ISBN":"1528-1140 (Electronic)\\r0003-4932 (Linking)","ISSN":"1528-1140","PMID":"21119508","abstract":"Knowledge of the risk of lymph node metastases is critical to planning therapy for T1 esophageal adenocarcinoma. This study retrospectively reviews 75 T1a and 51 T1b tumors and correlates lymph node metastases with depth of tumor invasion, tumor size, presence of lymphovascular invasion, and tumor grade.","author":[{"dropping-particle":"","family":"Leers","given":"Jessica M","non-dropping-particle":"","parse-names":false,"suffix":""},{"dropping-particle":"","family":"DeMeester","given":"Steven R","non-dropping-particle":"","parse-names":false,"suffix":""},{"dropping-particle":"","family":"Oezcelik","given":"Arzu","non-dropping-particle":"","parse-names":false,"suffix":""},{"dropping-particle":"","family":"Klipfel","given":"Nancy","non-dropping-particle":"","parse-names":false,"suffix":""},{"dropping-particle":"","family":"Ayazi","given":"Shahin","non-dropping-particle":"","parse-names":false,"suffix":""},{"dropping-particle":"","family":"Abate","given":"Emmanuele","non-dropping-particle":"","parse-names":false,"suffix":""},{"dropping-particle":"","family":"Zehetner","given":"Jörg","non-dropping-particle":"","parse-names":false,"suffix":""},{"dropping-particle":"","family":"Lipham","given":"John C","non-dropping-particle":"","parse-names":false,"suffix":""},{"dropping-particle":"","family":"Chan","given":"Linda","non-dropping-particle":"","parse-names":false,"suffix":""},{"dropping-particle":"","family":"Hagen","given":"Jeffrey a","non-dropping-particle":"","parse-names":false,"suffix":""},{"dropping-particle":"","family":"DeMeester","given":"Tom R","non-dropping-particle":"","parse-names":false,"suffix":""}],"container-title":"Annals of surgery","id":"ITEM-3","issue":"2","issued":{"date-parts":[["2011"]]},"page":"271-278","title":"The prevalence of lymph node metastases in patients with T1 esophageal adenocarcinoma a retrospective review of esophagectomy specimens.","type":"article-journal","volume":"253"},"uris":["http://www.mendeley.com/documents/?uuid=6f73d146-b8a4-48b7-9b77-98dd66f91d07","http://www.mendeley.com/documents/?uuid=59d9aa09-83c4-4585-8d6a-342891330b87","http://www.mendeley.com/documents/?uuid=f6d8c671-5a3e-4be0-931f-b405871c8dac"]}],"mendeley":{"formattedCitation":"&lt;sup&gt;11,13,20&lt;/sup&gt;","plainTextFormattedCitation":"11,13,20","previouslyFormattedCitation":"&lt;sup&gt;11,13,20&lt;/sup&gt;"},"properties":{"noteIndex":0},"schema":"https://github.com/citation-style-language/schema/raw/master/csl-citation.json"}</w:instrText>
      </w:r>
      <w:r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11,13,20</w:t>
      </w:r>
      <w:r w:rsidRPr="00BF2AAC">
        <w:rPr>
          <w:rFonts w:ascii="Book Antiqua" w:hAnsi="Book Antiqua" w:cs="Times New Roman"/>
          <w:sz w:val="24"/>
          <w:szCs w:val="24"/>
          <w:lang w:val="en-GB"/>
        </w:rPr>
        <w:fldChar w:fldCharType="end"/>
      </w:r>
      <w:r w:rsidR="00316626"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t>. British, European and American BE neoplasia guidelines employ similar criteria if a conservative approach over surgery is considered, especially in patients who are poor candidates for oesophagectomy</w:t>
      </w:r>
      <w:r w:rsidR="00316626"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{"citationItems":[{"id":"ITEM-1","itemData":{"DOI":"10.1136/gutjnl-2013-305372","ISBN":"1468-3288 (Electronic)\\r0017-5749 (Linking)","ISSN":"1468-3288","PMID":"24165758","abstract":"These guidelines provide a practical and evidence-based resource for the management of patients with Barrett's oesophagus and related early neoplasia. The Appraisal of Guidelines for Research and Evaluation (AGREE II) instrument was followed to provide a methodological strategy for the guideline development. A systematic review of the literature was performed for English language articles published up until December 2012 in order to address controversial issues in Barrett's oesophagus including definition, screening and diagnosis, surveillance, pathological grading for dysplasia, management of dysplasia, and early cancer including training requirements. The rigour and quality of the studies was evaluated using the SIGN checklist system. Recommendations on each topic were scored by each author using a five-tier system (A+, strong agreement, to D+, strongly disagree). Statements that failed to reach substantial agreement among authors, defined as &gt;80% agreement (A or A+), were revisited and modified until substantial agreement (&gt;80%) was reached. In formulating these guidelines, we took into consideration benefits and risks for the population and national health system, as well as patient perspectives. For the first time, we have suggested stratification of patients according to their estimated cancer risk based on clinical and histopathological criteria. In order to improve communication between clinicians, we recommend the use of minimum datasets for reporting endoscopic and pathological findings. We advocate endoscopic therapy for high-grade dysplasia and early cancer, which should be performed in high-volume centres. We hope that these guidelines will standardise and improve management for patients with Barrett's oesophagus and related neoplasia.","author":[{"dropping-particle":"","family":"Fitzgerald","given":"R C","non-dropping-particle":"","parse-names":false,"suffix":""},{"dropping-particle":"","family":"Pietro","given":"M","non-dropping-particle":"di","parse-names":false,"suffix":""},{"dropping-particle":"","family":"Ragunath","given":"K","non-dropping-particle":"","parse-names":false,"suffix":""},{"dropping-particle":"","family":"Ang","given":"Y","non-dropping-particle":"","parse-names":false,"suffix":""},{"dropping-particle":"","family":"Kang","given":"J Y","non-dropping-particle":"","parse-names":false,"suffix":""},{"dropping-particle":"","family":"Watson","given":"P","non-dropping-particle":"","parse-names":false,"suffix":""},{"dropping-particle":"","family":"Trudgill","given":"N","non-dropping-particle":"","parse-names":false,"suffix":""},{"dropping-particle":"","family":"Patel","given":"P","non-dropping-particle":"","parse-names":false,"suffix":""},{"dropping-particle":"V","family":"Kaye","given":"P","non-dropping-particle":"","parse-names":false,"suffix":""},{"dropping-particle":"","family":"Sanders","given":"S","non-dropping-particle":"","parse-names":false,"suffix":""},{"dropping-particle":"","family":"O'Donovan","given":"M","non-dropping-particle":"","parse-names":false,"suffix":""},{"dropping-particle":"","family":"Bird-Lieberman","given":"E","non-dropping-particle":"","parse-names":false,"suffix":""},{"dropping-particle":"","family":"Bhandari","given":"P","non-dropping-particle":"","parse-names":false,"suffix":""},{"dropping-particle":"","family":"Jankowski","given":"J a","non-dropping-particle":"","parse-names":false,"suffix":""},{"dropping-particle":"","family":"Attwood","given":"S","non-dropping-particle":"","parse-names":false,"suffix":""},{"dropping-particle":"","family":"Parsons","given":"S L","non-dropping-particle":"","parse-names":false,"suffix":""},{"dropping-particle":"","family":"Loft","given":"D","non-dropping-particle":"","parse-names":false,"suffix":""},{"dropping-particle":"","family":"Lagergren","given":"J","non-dropping-particle":"","parse-names":false,"suffix":""},{"dropping-particle":"","family":"Moayyedi","given":"P","non-dropping-particle":"","parse-names":false,"suffix":""},{"dropping-particle":"","family":"Lyratzopoulos","given":"G","non-dropping-particle":"","parse-names":false,"suffix":""},{"dropping-particle":"","family":"Caestecker","given":"J","non-dropping-particle":"de","parse-names":false,"suffix":""}],"container-title":"Gut","id":"ITEM-1","issue":"1","issued":{"date-parts":[["2014"]]},"page":"7-42","title":"British Society of Gastroenterology guidelines on the diagnosis and management of Barrett's oesophagus","type":"article-journal","volume":"63"},"uris":["http://www.mendeley.com/documents/?uuid=06ebadbc-4e2f-42ad-a38e-60a0beff4d58","http://www.mendeley.com/documents/?uuid=a2be711d-6e72-4aa2-b816-38ad4fe06c99"]},{"id":"ITEM-2","itemData":{"DOI":"10.1038/ajg.2015.322","ISBN":"0002-9270","ISSN":"0002-9270","PMID":"26526079","abstract":"Achalasia is a primary motor disorder of the esophagus characterized by insufficient lower esophageal sphincter relaxation and loss of esophageal peristalsis. This results in patients&amp;#039; complaints of dysphagia to solids and liquids, regurgitation, and occasional chest pain with or without weight loss. Endoscopic finding of retained saliva with puckered gastroesophageal junction or barium swallow showing dilated esophagus with birds beaking in a symptomatic patient should prompt appropriate diagnostic and therapeutic strategies. In this ACG guideline the authors present an evidence-based approach in patients with achalasia based on a comprehensive review of the pertinent evidence and examination of relevant published data.","author":[{"dropping-particle":"","family":"Shaheen","given":"Nicholas J","non-dropping-particle":"","parse-names":false,"suffix":""},{"dropping-particle":"","family":"Falk","given":"Gary W","non-dropping-particle":"","parse-names":false,"suffix":""},{"dropping-particle":"","family":"Iyer","given":"Prasad G","non-dropping-particle":"","parse-names":false,"suffix":""},{"dropping-particle":"","family":"Gerson","given":"Lauren","non-dropping-particle":"","parse-names":false,"suffix":""}],"container-title":"Am J Gastroenterol","id":"ITEM-2","issue":"8","issued":{"date-parts":[["2015"]]},"page":"1238-1249","title":"ACG Clinical Guideline: Diagnosis and Management of Barrett's Esophagus.","type":"article-journal","volume":"108"},"uris":["http://www.mendeley.com/documents/?uuid=f2412d56-854f-4b4a-85e9-5875dd351ef9","http://www.mendeley.com/documents/?uuid=5c2c088e-29db-4247-ad02-10834b532ab5","http://www.mendeley.com/documents/?uuid=b7f00965-ad98-4218-9cca-a6711d878f61"]},{"id":"ITEM-3","itemData":{"DOI":"10.1055/s-0042-122140","ISSN":"0013-726X","PMID":"28122386","abstract":"Current practices for the management of Barrett’s esophagus (BE) vary across Europe, as several national European guidelines exist. This Position Statement from the European Society of Gastrointestinal Endoscopy (ESGE) is an attempt to homogenize recommendations and, hence, patient management according to the best scientific evidence and other considerations (e.g. health policy). A Working Group developed consensus statements, using the existing national guidelines as a starting point and considering new evidence in the literature. The Position Statement wishes to contribute to a more cost-effective approach to the care of patients with BE by reducing the number of surveillance endoscopies for patients with a low risk of malignant progression and centralizing care in expert centers for those with high progression rates. Main statements MS1 The diagnosis of BE is made if the distal esophagus is lined with columnar epithelium with a minimum length of 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(tongues or circular) containing specialized intestinal metaplasia at histopathological examination. MS2 The ESGE recommends varying surveillance intervals for different BE lengths. For patients with an irregular Z-line/columnar-lined esophagus of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no routine biopsies or endoscopic surveillance is advised. For BE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and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3</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BE surveillance should be repeated every 5 years. For BE</w:instrText>
      </w:r>
      <w:r w:rsidR="00903BF1" w:rsidRPr="00BF2AAC">
        <w:rPr>
          <w:rFonts w:ascii="Calibri" w:eastAsia="Calibri" w:hAnsi="Calibri" w:cs="Calibri"/>
          <w:sz w:val="24"/>
          <w:szCs w:val="24"/>
          <w:lang w:val="en-GB"/>
        </w:rPr>
        <w:instrText> </w:instrText>
      </w:r>
      <w:r w:rsidR="00903BF1" w:rsidRPr="00BF2AAC">
        <w:rPr>
          <w:rFonts w:ascii="Book Antiqua" w:hAnsi="Book Antiqua" w:cs="Book Antiqua"/>
          <w:sz w:val="24"/>
          <w:szCs w:val="24"/>
          <w:lang w:val="en-GB"/>
        </w:rPr>
        <w:instrTex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3</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and &lt;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 xml:space="preserve">cm, the interval for endoscopic surveillance should be 3 years. Patients with BE with a maximum extent </w:instrText>
      </w:r>
      <w:r w:rsidR="00903BF1" w:rsidRPr="00BF2AAC">
        <w:rPr>
          <w:rFonts w:ascii="Book Antiqua" w:hAnsi="Book Antiqua" w:cs="Book Antiqua"/>
          <w:sz w:val="24"/>
          <w:szCs w:val="24"/>
          <w:lang w:val="en-GB"/>
        </w:rPr>
        <w:instrText>≥</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cm should be referred to a BE expert center for surveillance endoscopies. Patients with limited life expectancy and advanced age should be discharged from endoscopic surveillance. MS3 The diagnosis of any degree of dysplasia (including “indefinite for dysplasia”) in BE requires confirmation by an expert gastrointestinal pathologist. MS4</w:instrText>
      </w:r>
      <w:r w:rsidR="00903BF1" w:rsidRPr="00BF2AAC">
        <w:rPr>
          <w:rFonts w:ascii="Book Antiqua" w:eastAsia="Calibri" w:hAnsi="Book Antiqua" w:cs="Calibri"/>
          <w:sz w:val="24"/>
          <w:szCs w:val="24"/>
          <w:lang w:val="en-GB"/>
        </w:rPr>
        <w:instrText> </w:instrText>
      </w:r>
      <w:r w:rsidR="00903BF1" w:rsidRPr="00BF2AAC">
        <w:rPr>
          <w:rFonts w:ascii="Book Antiqua" w:hAnsi="Book Antiqua" w:cs="Times New Roman"/>
          <w:sz w:val="24"/>
          <w:szCs w:val="24"/>
          <w:lang w:val="en-GB"/>
        </w:rPr>
        <w:instrText>Patients with visible lesions in BE diagnosed as dysplasia or early cancer should be referred to a BE expert center. All visible abnormalities, regardless of the degree of dysplasia, should be removed by means of endoscopic resection techniques in order to obtain optimal histopathological staging MS5 All patients with a BE ≥</w:instrText>
      </w:r>
      <w:r w:rsidR="00903BF1" w:rsidRPr="00BF2AAC">
        <w:rPr>
          <w:rFonts w:ascii="Calibri" w:eastAsia="Calibri" w:hAnsi="Calibri" w:cs="Calibri"/>
          <w:sz w:val="24"/>
          <w:szCs w:val="24"/>
          <w:lang w:val="en-GB"/>
        </w:rPr>
        <w:instrText> </w:instrText>
      </w:r>
      <w:r w:rsidR="00903BF1" w:rsidRPr="00BF2AAC">
        <w:rPr>
          <w:rFonts w:ascii="Book Antiqua" w:hAnsi="Book Antiqua" w:cs="Times New Roman"/>
          <w:sz w:val="24"/>
          <w:szCs w:val="24"/>
          <w:lang w:val="en-GB"/>
        </w:rPr>
        <w:instrText>10 cm, a confirmed diagnosis of low grade dysplasia, high grade dysplasia (HGD), or early cancer should be referred to a BE expert center for surveillance and/or treatment. BE expert centers should meet the following criteria: annual case load of ≥10 new patients undergoing endoscopic treatment for HGD or early carcinoma per BE expert endo…","author":[{"dropping-particle":"","family":"Weusten","given":"Bas","non-dropping-particle":"","parse-names":false,"suffix":""},{"dropping-particle":"","family":"Bisschops","given":"Raf","non-dropping-particle":"","parse-names":false,"suffix":""},{"dropping-particle":"","family":"Coron","given":"Emanuel","non-dropping-particle":"","parse-names":false,"suffix":""},{"dropping-particle":"","family":"Dinis-Ribeiro","given":"Mário","non-dropping-particle":"","parse-names":false,"suffix":""},{"dropping-particle":"","family":"Dumonceau","given":"Jean-Marc","non-dropping-particle":"","parse-names":false,"suffix":""},{"dropping-particle":"","family":"Esteban","given":"José-Miguel","non-dropping-particle":"","parse-names":false,"suffix":""},{"dropping-particle":"","family":"Hassan","given":"Cesare","non-dropping-particle":"","parse-names":false,"suffix":""},{"dropping-particle":"","family":"Pech","given":"Oliver","non-dropping-particle":"","parse-names":false,"suffix":""},{"dropping-particle":"","family":"Repici","given":"Alessandro","non-dropping-particle":"","parse-names":false,"suffix":""},{"dropping-particle":"","family":"Bergman","given":"Jacques","non-dropping-particle":"","parse-names":false,"suffix":""},{"dropping-particle":"","family":"Pietro","given":"Massimiliano","non-dropping-particle":"di","parse-names":false,"suffix":""}],"container-title":"Endoscopy","id":"ITEM-3","issue":"02","issued":{"date-parts":[["2017"]]},"page":"191-198","title":"Endoscopic management of Barrett’s esophagus: European Society of Gastrointestinal Endoscopy (ESGE) Position Statement","type":"article-journal","volume":"49"},"uris":["http://www.mendeley.com/documents/?uuid=3b8ec387-e769-4284-9cda-0a6c647757ad","http://www.mendeley.com/documents/?uuid=1a0eb2ab-f6a2-4953-b983-5379a9a01c2e","http://www.mendeley.com/documents/?uuid=a9814885-caab-4fb0-a13b-fe1393f48367"]}],"mendeley":{"formattedCitation":"&lt;sup&gt;5–7&lt;/sup&gt;","plainTextFormattedCitation":"5–7","previouslyFormattedCitation":"&lt;sup&gt;5–7&lt;/sup&gt;"},"properties":{"noteIndex":0},"schema":"https://github.com/citation-style-language/schema/raw/master/csl-citation.json"}</w:instrText>
      </w:r>
      <w:r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5–7</w:t>
      </w:r>
      <w:r w:rsidRPr="00BF2AAC">
        <w:rPr>
          <w:rFonts w:ascii="Book Antiqua" w:hAnsi="Book Antiqua" w:cs="Times New Roman"/>
          <w:sz w:val="24"/>
          <w:szCs w:val="24"/>
          <w:lang w:val="en-GB"/>
        </w:rPr>
        <w:fldChar w:fldCharType="end"/>
      </w:r>
      <w:r w:rsidR="00316626" w:rsidRPr="00BF2AAC">
        <w:rPr>
          <w:rFonts w:ascii="Book Antiqua" w:hAnsi="Book Antiqua" w:cs="Times New Roman"/>
          <w:sz w:val="24"/>
          <w:szCs w:val="24"/>
          <w:vertAlign w:val="superscript"/>
          <w:lang w:val="en-GB"/>
        </w:rPr>
        <w:t>]</w:t>
      </w:r>
      <w:r w:rsidRPr="00BF2AAC">
        <w:rPr>
          <w:rFonts w:ascii="Book Antiqua" w:hAnsi="Book Antiqua" w:cs="Times New Roman"/>
          <w:sz w:val="24"/>
          <w:szCs w:val="24"/>
          <w:lang w:val="en-GB"/>
        </w:rPr>
        <w:t>.</w:t>
      </w:r>
    </w:p>
    <w:p w14:paraId="6E6DD886" w14:textId="24BA49B9" w:rsidR="00711D84" w:rsidRPr="00BF2AAC" w:rsidRDefault="00316626"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The OAC lesions within the high-risk (HR group) consisted of tumours exhibiting one or more of the following features: </w:t>
      </w:r>
      <w:r w:rsidR="00711D84" w:rsidRPr="00BF2AAC">
        <w:rPr>
          <w:rFonts w:ascii="Book Antiqua" w:hAnsi="Book Antiqua"/>
          <w:sz w:val="24"/>
          <w:szCs w:val="24"/>
          <w:lang w:val="en-GB"/>
        </w:rPr>
        <w:t>deep submucosal invasion (Sm2/3, &gt;</w:t>
      </w:r>
      <w:r w:rsidRPr="00BF2AAC">
        <w:rPr>
          <w:rFonts w:ascii="Book Antiqua" w:hAnsi="Book Antiqua"/>
          <w:sz w:val="24"/>
          <w:szCs w:val="24"/>
          <w:lang w:val="en-GB"/>
        </w:rPr>
        <w:t xml:space="preserve"> </w:t>
      </w:r>
      <w:r w:rsidR="00711D84" w:rsidRPr="00BF2AAC">
        <w:rPr>
          <w:rFonts w:ascii="Book Antiqua" w:hAnsi="Book Antiqua"/>
          <w:sz w:val="24"/>
          <w:szCs w:val="24"/>
          <w:lang w:val="en-GB"/>
        </w:rPr>
        <w:t xml:space="preserve">500 µm); poor tumour differentiation (G3); lymphovascular invasion (LVI+); or </w:t>
      </w:r>
      <w:r w:rsidR="00711D84" w:rsidRPr="00BF2AAC">
        <w:rPr>
          <w:rFonts w:ascii="Book Antiqua" w:hAnsi="Book Antiqua" w:cs="Times New Roman"/>
          <w:sz w:val="24"/>
          <w:szCs w:val="24"/>
          <w:lang w:val="en-GB"/>
        </w:rPr>
        <w:t>incomplete resection (R1). Tumours were also considered high-risk if any histopathologic feature was indefinite (X), despite re-evaluation by an expert histopathologist.</w:t>
      </w:r>
    </w:p>
    <w:p w14:paraId="07188698" w14:textId="19AAF5E2" w:rsidR="00711D84" w:rsidRPr="00BF2AAC" w:rsidRDefault="00316626" w:rsidP="00BF2AAC">
      <w:pPr>
        <w:adjustRightInd w:val="0"/>
        <w:snapToGrid w:val="0"/>
        <w:spacing w:after="0" w:line="360" w:lineRule="auto"/>
        <w:jc w:val="both"/>
        <w:rPr>
          <w:rFonts w:ascii="Book Antiqua" w:hAnsi="Book Antiqua"/>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When combining risk groups with treatment modalities, patients were further divided into </w:t>
      </w:r>
      <w:r w:rsidR="00711D84" w:rsidRPr="00BF2AAC">
        <w:rPr>
          <w:rFonts w:ascii="Book Antiqua" w:hAnsi="Book Antiqua"/>
          <w:sz w:val="24"/>
          <w:szCs w:val="24"/>
          <w:lang w:val="en-GB"/>
        </w:rPr>
        <w:t>LR – conservative treatment (LR-conservative), LR – surgical treatment (LR-</w:t>
      </w:r>
      <w:r w:rsidR="00711D84" w:rsidRPr="00BF2AAC">
        <w:rPr>
          <w:rFonts w:ascii="Book Antiqua" w:hAnsi="Book Antiqua"/>
          <w:sz w:val="24"/>
          <w:szCs w:val="24"/>
          <w:lang w:val="en-GB"/>
        </w:rPr>
        <w:lastRenderedPageBreak/>
        <w:t>surgery),</w:t>
      </w:r>
      <w:r w:rsidR="00711D84" w:rsidRPr="00BF2AAC">
        <w:rPr>
          <w:rFonts w:ascii="Book Antiqua" w:hAnsi="Book Antiqua" w:cs="Times New Roman"/>
          <w:sz w:val="24"/>
          <w:szCs w:val="24"/>
          <w:lang w:val="en-GB"/>
        </w:rPr>
        <w:t xml:space="preserve"> HR – conservative treatment (HR-conservative), and </w:t>
      </w:r>
      <w:r w:rsidR="00711D84" w:rsidRPr="00BF2AAC">
        <w:rPr>
          <w:rFonts w:ascii="Book Antiqua" w:hAnsi="Book Antiqua"/>
          <w:sz w:val="24"/>
          <w:szCs w:val="24"/>
          <w:lang w:val="en-GB"/>
        </w:rPr>
        <w:t>HR – surgical treatment (HR-surgery). A study flowchart is depicted in Figure 2.</w:t>
      </w:r>
    </w:p>
    <w:p w14:paraId="31176097" w14:textId="77777777" w:rsidR="00316626" w:rsidRPr="00BF2AAC" w:rsidRDefault="00316626" w:rsidP="00BF2AAC">
      <w:pPr>
        <w:adjustRightInd w:val="0"/>
        <w:snapToGrid w:val="0"/>
        <w:spacing w:after="0" w:line="360" w:lineRule="auto"/>
        <w:jc w:val="both"/>
        <w:rPr>
          <w:rFonts w:ascii="Book Antiqua" w:hAnsi="Book Antiqua" w:cs="Times New Roman"/>
          <w:b/>
          <w:i/>
          <w:sz w:val="24"/>
          <w:szCs w:val="24"/>
          <w:lang w:val="en-GB"/>
        </w:rPr>
      </w:pPr>
    </w:p>
    <w:p w14:paraId="52F016B6" w14:textId="03433761"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 xml:space="preserve">Clinical </w:t>
      </w:r>
      <w:r w:rsidR="00316626" w:rsidRPr="00BF2AAC">
        <w:rPr>
          <w:rFonts w:ascii="Book Antiqua" w:hAnsi="Book Antiqua" w:cs="Times New Roman"/>
          <w:b/>
          <w:i/>
          <w:sz w:val="24"/>
          <w:szCs w:val="24"/>
          <w:lang w:val="en-GB"/>
        </w:rPr>
        <w:t>o</w:t>
      </w:r>
      <w:r w:rsidRPr="00BF2AAC">
        <w:rPr>
          <w:rFonts w:ascii="Book Antiqua" w:hAnsi="Book Antiqua" w:cs="Times New Roman"/>
          <w:b/>
          <w:i/>
          <w:sz w:val="24"/>
          <w:szCs w:val="24"/>
          <w:lang w:val="en-GB"/>
        </w:rPr>
        <w:t xml:space="preserve">utcomes </w:t>
      </w:r>
    </w:p>
    <w:p w14:paraId="5F3B3D75" w14:textId="0257F1FE" w:rsidR="00711D84" w:rsidRPr="00BF2AAC" w:rsidRDefault="00711D84" w:rsidP="00BF2AAC">
      <w:pPr>
        <w:adjustRightInd w:val="0"/>
        <w:snapToGrid w:val="0"/>
        <w:spacing w:after="0" w:line="360" w:lineRule="auto"/>
        <w:jc w:val="both"/>
        <w:rPr>
          <w:rFonts w:ascii="Book Antiqua" w:hAnsi="Book Antiqua"/>
          <w:sz w:val="24"/>
          <w:szCs w:val="24"/>
          <w:lang w:val="en-GB"/>
        </w:rPr>
      </w:pPr>
      <w:r w:rsidRPr="00BF2AAC">
        <w:rPr>
          <w:rFonts w:ascii="Book Antiqua" w:hAnsi="Book Antiqua" w:cs="Times New Roman"/>
          <w:sz w:val="24"/>
          <w:szCs w:val="24"/>
          <w:lang w:val="en-GB"/>
        </w:rPr>
        <w:t>The following primary outcomes have been assessed in this study:</w:t>
      </w:r>
      <w:r w:rsidR="00316626" w:rsidRPr="00BF2AAC">
        <w:rPr>
          <w:rFonts w:ascii="Book Antiqua" w:hAnsi="Book Antiqua" w:cs="Times New Roman"/>
          <w:sz w:val="24"/>
          <w:szCs w:val="24"/>
          <w:lang w:val="en-GB"/>
        </w:rPr>
        <w:t xml:space="preserve"> (1) </w:t>
      </w:r>
      <w:r w:rsidRPr="00BF2AAC">
        <w:rPr>
          <w:rFonts w:ascii="Book Antiqua" w:hAnsi="Book Antiqua"/>
          <w:sz w:val="24"/>
          <w:szCs w:val="24"/>
          <w:lang w:val="en-GB"/>
        </w:rPr>
        <w:t>Incidence of LNM and/or distant metastases after index EMR</w:t>
      </w:r>
      <w:r w:rsidR="00316626" w:rsidRPr="00BF2AAC">
        <w:rPr>
          <w:rFonts w:ascii="Book Antiqua" w:hAnsi="Book Antiqua"/>
          <w:sz w:val="24"/>
          <w:szCs w:val="24"/>
          <w:lang w:val="en-GB"/>
        </w:rPr>
        <w:t xml:space="preserve">; (2) </w:t>
      </w:r>
      <w:r w:rsidRPr="00BF2AAC">
        <w:rPr>
          <w:rFonts w:ascii="Book Antiqua" w:hAnsi="Book Antiqua"/>
          <w:sz w:val="24"/>
          <w:szCs w:val="24"/>
          <w:lang w:val="en-GB"/>
        </w:rPr>
        <w:t>Survival of patients (time in months from the initial EMR until death or the end of the study)</w:t>
      </w:r>
      <w:r w:rsidR="00316626" w:rsidRPr="00BF2AAC">
        <w:rPr>
          <w:rFonts w:ascii="Book Antiqua" w:hAnsi="Book Antiqua"/>
          <w:sz w:val="24"/>
          <w:szCs w:val="24"/>
          <w:lang w:val="en-GB"/>
        </w:rPr>
        <w:t xml:space="preserve">; and (3) </w:t>
      </w:r>
      <w:r w:rsidRPr="00BF2AAC">
        <w:rPr>
          <w:rFonts w:ascii="Book Antiqua" w:hAnsi="Book Antiqua"/>
          <w:sz w:val="24"/>
          <w:szCs w:val="24"/>
          <w:lang w:val="en-GB"/>
        </w:rPr>
        <w:t>Surgical mortality, OAC-related and non-OAC-related deaths</w:t>
      </w:r>
      <w:r w:rsidR="00316626" w:rsidRPr="00BF2AAC">
        <w:rPr>
          <w:rFonts w:ascii="Book Antiqua" w:hAnsi="Book Antiqua"/>
          <w:sz w:val="24"/>
          <w:szCs w:val="24"/>
          <w:lang w:val="en-GB"/>
        </w:rPr>
        <w:t>.</w:t>
      </w:r>
    </w:p>
    <w:p w14:paraId="0C100E32" w14:textId="77777777" w:rsidR="00316626" w:rsidRPr="00BF2AAC" w:rsidRDefault="00316626" w:rsidP="00BF2AAC">
      <w:pPr>
        <w:adjustRightInd w:val="0"/>
        <w:snapToGrid w:val="0"/>
        <w:spacing w:after="0" w:line="360" w:lineRule="auto"/>
        <w:jc w:val="both"/>
        <w:rPr>
          <w:rFonts w:ascii="Book Antiqua" w:hAnsi="Book Antiqua"/>
          <w:sz w:val="24"/>
          <w:szCs w:val="24"/>
          <w:lang w:val="en-GB"/>
        </w:rPr>
      </w:pPr>
    </w:p>
    <w:p w14:paraId="68EF2681" w14:textId="1B37AB00" w:rsidR="00316626" w:rsidRPr="00BF2AAC" w:rsidRDefault="00316626" w:rsidP="00BF2AAC">
      <w:pPr>
        <w:adjustRightInd w:val="0"/>
        <w:snapToGrid w:val="0"/>
        <w:spacing w:after="0" w:line="360" w:lineRule="auto"/>
        <w:jc w:val="both"/>
        <w:outlineLvl w:val="0"/>
        <w:rPr>
          <w:rFonts w:ascii="Book Antiqua" w:hAnsi="Book Antiqua"/>
          <w:sz w:val="24"/>
          <w:szCs w:val="24"/>
          <w:lang w:val="en-GB"/>
        </w:rPr>
      </w:pPr>
      <w:r w:rsidRPr="00BF2AAC">
        <w:rPr>
          <w:rFonts w:ascii="Book Antiqua" w:hAnsi="Book Antiqua" w:cs="Times New Roman"/>
          <w:b/>
          <w:i/>
          <w:sz w:val="24"/>
          <w:szCs w:val="24"/>
          <w:lang w:val="en-GB"/>
        </w:rPr>
        <w:t>Statistical analysis</w:t>
      </w:r>
    </w:p>
    <w:p w14:paraId="7EB1A03F" w14:textId="1812AC9A"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sz w:val="24"/>
          <w:szCs w:val="24"/>
          <w:lang w:val="en-GB"/>
        </w:rPr>
        <w:t xml:space="preserve">Statistical analysis was performed using SPSS software (IBM, ver. 23). Parameters included Kaplan-Meier estimator compared with log-rank (Mantel-Cox) test for survival and average or median with range and/or interquartile range </w:t>
      </w:r>
      <w:r w:rsidR="001222D0" w:rsidRPr="00BF2AAC">
        <w:rPr>
          <w:rFonts w:ascii="Book Antiqua" w:hAnsi="Book Antiqua" w:cs="Times New Roman"/>
          <w:sz w:val="24"/>
          <w:szCs w:val="24"/>
          <w:lang w:val="en-GB"/>
        </w:rPr>
        <w:t>[</w:t>
      </w:r>
      <w:r w:rsidRPr="00BF2AAC">
        <w:rPr>
          <w:rFonts w:ascii="Book Antiqua" w:hAnsi="Book Antiqua" w:cs="Times New Roman"/>
          <w:sz w:val="24"/>
          <w:szCs w:val="24"/>
          <w:lang w:val="en-GB"/>
        </w:rPr>
        <w:t>IQR</w:t>
      </w:r>
      <w:r w:rsidR="00316626"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first quartile (Q1) – third quartile (Q3</w:t>
      </w:r>
      <w:r w:rsidR="00194DBD" w:rsidRPr="00BF2AAC">
        <w:rPr>
          <w:rFonts w:ascii="Book Antiqua" w:hAnsi="Book Antiqua" w:cs="Times New Roman"/>
          <w:sz w:val="24"/>
          <w:szCs w:val="24"/>
          <w:lang w:val="en-GB"/>
        </w:rPr>
        <w:t>)</w:t>
      </w:r>
      <w:r w:rsidR="001222D0"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for continuous variables compared with long-rank (Mantel-Cox) test or Mann-Whitney-Wilcoxon test in case of non-normal distribution. Categorical variables were expressed as percentages and compared with Pearson Chi-Square or Fischer's exact test.</w:t>
      </w:r>
    </w:p>
    <w:p w14:paraId="7F5D7C8E"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4080548A" w14:textId="77777777" w:rsidR="00711D84" w:rsidRPr="00BF2AAC" w:rsidRDefault="00711D84"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t>RESULTS</w:t>
      </w:r>
    </w:p>
    <w:p w14:paraId="1637FCD7"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Patient demographics</w:t>
      </w:r>
    </w:p>
    <w:p w14:paraId="7CEB7B40" w14:textId="66F2E898"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During the study period 68 potential patients were identified. Eight patients were excluded as they did not meet the inclusion criteria: 6 had short follow up time (&lt;</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24 mo from EMR), one had insufficient follow up data and one patient was upstaged after histopathologic review (T2 - muscularis propria invasion). A total of 60 patients were included in the study, 85% were male and the mean age at the time of the initial EMR was 70 years (range 66-75). The mean length of BE circumference (C)</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xml:space="preserve">at baseline was 5 cm (range 0-13) and maximum (M) 7 cm (range 1-15). </w:t>
      </w:r>
      <w:r w:rsidR="0001781A" w:rsidRPr="00BF2AAC">
        <w:rPr>
          <w:rFonts w:ascii="Book Antiqua" w:hAnsi="Book Antiqua" w:cs="Times New Roman"/>
          <w:sz w:val="24"/>
          <w:szCs w:val="24"/>
          <w:lang w:val="en-GB"/>
        </w:rPr>
        <w:t>Sixty one percent</w:t>
      </w:r>
      <w:r w:rsidRPr="00BF2AAC">
        <w:rPr>
          <w:rFonts w:ascii="Book Antiqua" w:hAnsi="Book Antiqua" w:cs="Times New Roman"/>
          <w:sz w:val="24"/>
          <w:szCs w:val="24"/>
          <w:lang w:val="en-GB"/>
        </w:rPr>
        <w:t xml:space="preserve"> of patients were under endoscopic surveillance for BE when the T1b OAC lesion was detected. The median period of time within the BE surveillance programme was 6 years (IQR 3-9) </w:t>
      </w:r>
      <w:r w:rsidRPr="00BF2AAC">
        <w:rPr>
          <w:rFonts w:ascii="Book Antiqua" w:hAnsi="Book Antiqua" w:cs="Times New Roman"/>
          <w:sz w:val="24"/>
          <w:szCs w:val="24"/>
          <w:lang w:val="en-GB"/>
        </w:rPr>
        <w:lastRenderedPageBreak/>
        <w:t>(Table 1). Based on the aforementioned histopathological criteria, 13/60 (22%) patients had LR tumours and 47/60 (78%) had HR tumours (Table 2).</w:t>
      </w:r>
    </w:p>
    <w:p w14:paraId="70E43A76" w14:textId="77777777" w:rsidR="00711D84" w:rsidRPr="00BF2AAC" w:rsidRDefault="00711D84" w:rsidP="00BF2AAC">
      <w:pPr>
        <w:adjustRightInd w:val="0"/>
        <w:snapToGrid w:val="0"/>
        <w:spacing w:after="0" w:line="360" w:lineRule="auto"/>
        <w:jc w:val="both"/>
        <w:rPr>
          <w:rFonts w:ascii="Book Antiqua" w:hAnsi="Book Antiqua" w:cs="Times New Roman"/>
          <w:i/>
          <w:sz w:val="24"/>
          <w:szCs w:val="24"/>
          <w:lang w:val="en-GB"/>
        </w:rPr>
      </w:pPr>
    </w:p>
    <w:p w14:paraId="7EA3B693" w14:textId="0FD20A08"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Treatment after EMR</w:t>
      </w:r>
    </w:p>
    <w:p w14:paraId="69A03364" w14:textId="07D77D39"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After initial EMR 22/60 (37%) patients underwent oesophagectomy; </w:t>
      </w:r>
      <w:r w:rsidR="0001781A" w:rsidRPr="00BF2AAC">
        <w:rPr>
          <w:rFonts w:ascii="Book Antiqua" w:hAnsi="Book Antiqua" w:cs="Times New Roman"/>
          <w:sz w:val="24"/>
          <w:szCs w:val="24"/>
          <w:lang w:val="en-GB"/>
        </w:rPr>
        <w:t xml:space="preserve">one </w:t>
      </w:r>
      <w:r w:rsidRPr="00BF2AAC">
        <w:rPr>
          <w:rFonts w:ascii="Book Antiqua" w:hAnsi="Book Antiqua" w:cs="Times New Roman"/>
          <w:sz w:val="24"/>
          <w:szCs w:val="24"/>
          <w:lang w:val="en-GB"/>
        </w:rPr>
        <w:t>patient from the LR group and 21 patients from the HR group. There were 38/60 (63%) patients treated conservatively; 12 patients from the LR group and 26 patients from the HR group (Figure 2).</w:t>
      </w:r>
    </w:p>
    <w:p w14:paraId="75AD5E0B"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41E06542"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Surgical treatment</w:t>
      </w:r>
    </w:p>
    <w:p w14:paraId="58997E53" w14:textId="754AC74D"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There was no surgical mortality observed in our cohort. Most patients had an Ivor-Lewis procedure (18/22), 2 patients underwent oesophagogastrectomy, one patient had a three stage oesophagectomy, and one patient had a transhiatal resection. Surgery was performed at an average of 3 mo (range 1-10) after the EMR. Residual OAC after EMR was found in 14/22 (64%) surgically resected specimens and staged as T1a (4 patients), T1b (7 patients), T2 (2 patients) and T3</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(1 patient). All these patients had an incompletely resected (R1) tumour on initial EMR. In 7/22 (32%) patients who underwent surgery, there was no evidence of residual tumour in the surgical resection specimen despite being classified as R1 on initial EMR. One patient with R0 EMR also had no residual cancer in surgical specimen confirming the initial histopathological assessment. One patient went on to have CRT following surgery. This patient had an R1 surgical resection of a T2 tumour with cancer cells present at less than 1 mm from the oesophageal resection margin. Residual dysplasia in the surgical margin was reported in 4/22 (18%) patients. Case specific details are summarized in Table 3.</w:t>
      </w:r>
    </w:p>
    <w:p w14:paraId="13901ED5" w14:textId="50CCBAB9" w:rsidR="00711D84" w:rsidRPr="00BF2AAC" w:rsidRDefault="0001781A" w:rsidP="00BF2AAC">
      <w:pPr>
        <w:adjustRightInd w:val="0"/>
        <w:snapToGrid w:val="0"/>
        <w:spacing w:after="0" w:line="360" w:lineRule="auto"/>
        <w:jc w:val="both"/>
        <w:rPr>
          <w:rFonts w:ascii="Book Antiqua" w:hAnsi="Book Antiqua"/>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A median of 20 lymph nodes (IQR 15-24, range 11-55) were retrieved per surgical patient. LNM were found in 4/22 (18%) of the surgical resection specimens. These four patients all had G3 tumours, three of which showed lymphovascular invasion and one where this could not be determined (LVIX). Two of these four cases were Sm2/3 and the other two were SmX. None of the patients with an Sm1 tumour, regardless of other </w:t>
      </w:r>
      <w:r w:rsidR="00711D84" w:rsidRPr="00BF2AAC">
        <w:rPr>
          <w:rFonts w:ascii="Book Antiqua" w:hAnsi="Book Antiqua" w:cs="Times New Roman"/>
          <w:sz w:val="24"/>
          <w:szCs w:val="24"/>
          <w:lang w:val="en-GB"/>
        </w:rPr>
        <w:lastRenderedPageBreak/>
        <w:t xml:space="preserve">histological markers of risk, was found to have LNM. In addition, none of the patients who did not have lymphovascular invasion on the EMR specimen developed LNM. When stratified by histological high-risk feature, 9/22 had LVI+ or LVIX and of these 9 patients, 4 patients were found to have LNM (44%); </w:t>
      </w:r>
      <w:r w:rsidR="00711D84" w:rsidRPr="00BF2AAC">
        <w:rPr>
          <w:rFonts w:ascii="Book Antiqua" w:hAnsi="Book Antiqua"/>
          <w:sz w:val="24"/>
          <w:szCs w:val="24"/>
          <w:lang w:val="en-GB"/>
        </w:rPr>
        <w:t>16/22 patients had G3 tumours and of these, 4 had LNM (25%). In total 8/22 tumours were G3 and showed LVI+ or LVIX. Thus 4/8 (50%) of these had LNM.</w:t>
      </w:r>
    </w:p>
    <w:p w14:paraId="55CE1F82" w14:textId="3DA3578E" w:rsidR="0001781A" w:rsidRPr="00BF2AAC" w:rsidRDefault="00962A83" w:rsidP="00BF2AAC">
      <w:pPr>
        <w:adjustRightInd w:val="0"/>
        <w:snapToGrid w:val="0"/>
        <w:spacing w:after="0" w:line="360" w:lineRule="auto"/>
        <w:jc w:val="both"/>
        <w:rPr>
          <w:rFonts w:ascii="Book Antiqua" w:hAnsi="Book Antiqua" w:cs="Times New Roman"/>
          <w:sz w:val="24"/>
          <w:szCs w:val="24"/>
          <w:lang w:val="en-GB"/>
        </w:rPr>
      </w:pPr>
      <w:r>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Three of the 4 patients found to have LNM on their surgical resection s</w:t>
      </w:r>
      <w:r w:rsidR="00540E7D">
        <w:rPr>
          <w:rFonts w:ascii="Book Antiqua" w:hAnsi="Book Antiqua" w:cs="Times New Roman"/>
          <w:sz w:val="24"/>
          <w:szCs w:val="24"/>
          <w:lang w:val="en-GB"/>
        </w:rPr>
        <w:t xml:space="preserve">pecimen received adjuvant CRT. </w:t>
      </w:r>
      <w:r w:rsidR="00711D84" w:rsidRPr="00BF2AAC">
        <w:rPr>
          <w:rFonts w:ascii="Book Antiqua" w:hAnsi="Book Antiqua" w:cs="Times New Roman"/>
          <w:sz w:val="24"/>
          <w:szCs w:val="24"/>
          <w:lang w:val="en-GB"/>
        </w:rPr>
        <w:t>Two patients have died of their disease and 2 patients were alive at last follow-up, 87 and 55 mo after their initial EMR.</w:t>
      </w:r>
    </w:p>
    <w:p w14:paraId="1AFB7B57" w14:textId="5F9BA52D"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p>
    <w:p w14:paraId="3CB787A8"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Conservative treatment</w:t>
      </w:r>
    </w:p>
    <w:p w14:paraId="67DC03B5"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A total of 38/60 (63%) patients were treated with conservative endoscopic follow-up. Twelve of these patients had LR disease and 26 had HR disease. It was concluded at the MDM that 11 of 12 patients with LR tumours had been cured of OAC and endoscopic follow-up was indicated. One patient underwent radiotherapy to reduce the risk of metachronous LNM. This patient was alive and disease-free at most recent follow-up.</w:t>
      </w:r>
    </w:p>
    <w:p w14:paraId="7E87221F" w14:textId="1121C9B0"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The main indication for non-surgical treatment of patients with HR tumours (24 of 26 patients) was poor surgical fitness due to co-morbidities and high anaesthetic risk; 2 surgically fit patients chose a conservative approach after discussing the long-term risk for cancer recurrence and LNM. Of the 26 HR tumours, 7 patients had additional RFA and/or EMR of the remaining BE segment, 14 patients received adjuvant CRT, whilst five patients had regular endoscopic follow up alone.</w:t>
      </w:r>
    </w:p>
    <w:p w14:paraId="21350AA1" w14:textId="71929B8C"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In 6/38 (16%) patients treated conservatively, LNM were detected at 3, 4, 4, ,13, 17 and 38 mo after the EMR. These LNM were detected with PET CT and EUS and 4 of the 6 patients had LN sampling to confirm LNM. These were all HR lesions and represent 23% of HR tumours treated conservatively (Table 4). All 6 of these patients received CRT once the LNM were identified. 1 of these 6 also underwent an EMR for a visible oesophageal lesion. This latter patient remains alive after 26</w:t>
      </w:r>
      <w:r w:rsidRPr="00BF2AAC">
        <w:rPr>
          <w:rFonts w:ascii="Book Antiqua" w:hAnsi="Book Antiqua" w:cs="Times New Roman"/>
          <w:sz w:val="24"/>
          <w:szCs w:val="24"/>
          <w:lang w:val="en-GB"/>
        </w:rPr>
        <w:t>-</w:t>
      </w:r>
      <w:r w:rsidR="00711D84" w:rsidRPr="00BF2AAC">
        <w:rPr>
          <w:rFonts w:ascii="Book Antiqua" w:hAnsi="Book Antiqua" w:cs="Times New Roman"/>
          <w:sz w:val="24"/>
          <w:szCs w:val="24"/>
          <w:lang w:val="en-GB"/>
        </w:rPr>
        <w:t xml:space="preserve">mo follow-up, whereas the 5 others have died of their disease. Of these 6 patients, all had an R1 EMR resection </w:t>
      </w:r>
      <w:r w:rsidR="00711D84" w:rsidRPr="00BF2AAC">
        <w:rPr>
          <w:rFonts w:ascii="Book Antiqua" w:hAnsi="Book Antiqua" w:cs="Times New Roman"/>
          <w:sz w:val="24"/>
          <w:szCs w:val="24"/>
          <w:lang w:val="en-GB"/>
        </w:rPr>
        <w:lastRenderedPageBreak/>
        <w:t>specimen; 5 of 6 patients had Sm2/3 tumours; 3 of 6 patients either had LVI+ or were LVIX; and 2 of 6 patients were G3.</w:t>
      </w:r>
    </w:p>
    <w:p w14:paraId="0AE596A3"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24D09E05"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LNM risk prediction</w:t>
      </w:r>
    </w:p>
    <w:p w14:paraId="724ADF22" w14:textId="5A55988C"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LNM were detected in 10 of 60 (17%) patients. With regard to treatment modality, LNM were detected in 4/22 (18%) patients treated surgically and 6/38 (16%) treated conservatively. All patients with LNM had a HR OAC (10 of 47, 21%). None of the 13 patients with a LR lesion developed metastatic disease during follow-up. When stratified by risk factor, 1/25 (4%) of Sm1 cancers compared with 9/35 (26%) of Sm2/3/X lesions showed LNM (</w:t>
      </w:r>
      <w:r w:rsidR="0001781A" w:rsidRPr="00BF2AAC">
        <w:rPr>
          <w:rFonts w:ascii="Book Antiqua" w:hAnsi="Book Antiqua" w:cs="Times New Roman"/>
          <w:i/>
          <w:sz w:val="24"/>
          <w:szCs w:val="24"/>
          <w:lang w:val="en-GB"/>
        </w:rPr>
        <w:t>P</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xml:space="preserve">0.035); </w:t>
      </w:r>
      <w:r w:rsidRPr="00BF2AAC">
        <w:rPr>
          <w:rFonts w:ascii="Book Antiqua" w:hAnsi="Book Antiqua"/>
          <w:sz w:val="24"/>
          <w:szCs w:val="24"/>
          <w:lang w:val="en-GB"/>
        </w:rPr>
        <w:t xml:space="preserve">3/40 (8%) with no LVI </w:t>
      </w:r>
      <w:r w:rsidRPr="00BF2AAC">
        <w:rPr>
          <w:rFonts w:ascii="Book Antiqua" w:hAnsi="Book Antiqua" w:cs="Times New Roman"/>
          <w:sz w:val="24"/>
          <w:szCs w:val="24"/>
          <w:lang w:val="en-GB"/>
        </w:rPr>
        <w:t>compared with</w:t>
      </w:r>
      <w:r w:rsidRPr="00BF2AAC">
        <w:rPr>
          <w:rFonts w:ascii="Book Antiqua" w:hAnsi="Book Antiqua"/>
          <w:sz w:val="24"/>
          <w:szCs w:val="24"/>
          <w:lang w:val="en-GB"/>
        </w:rPr>
        <w:t xml:space="preserve"> 7/20 (35%) positive for LVI/X tumours </w:t>
      </w:r>
      <w:r w:rsidRPr="00BF2AAC">
        <w:rPr>
          <w:rFonts w:ascii="Book Antiqua" w:hAnsi="Book Antiqua" w:cs="Times New Roman"/>
          <w:sz w:val="24"/>
          <w:szCs w:val="24"/>
          <w:lang w:val="en-GB"/>
        </w:rPr>
        <w:t>showed LNM</w:t>
      </w:r>
      <w:r w:rsidRPr="00BF2AAC">
        <w:rPr>
          <w:rFonts w:ascii="Book Antiqua" w:hAnsi="Book Antiqua"/>
          <w:sz w:val="24"/>
          <w:szCs w:val="24"/>
          <w:lang w:val="en-GB"/>
        </w:rPr>
        <w:t xml:space="preserve"> (</w:t>
      </w:r>
      <w:r w:rsidR="0001781A" w:rsidRPr="00BF2AAC">
        <w:rPr>
          <w:rFonts w:ascii="Book Antiqua" w:hAnsi="Book Antiqua"/>
          <w:i/>
          <w:sz w:val="24"/>
          <w:szCs w:val="24"/>
          <w:lang w:val="en-GB"/>
        </w:rPr>
        <w:t>P</w:t>
      </w:r>
      <w:r w:rsidR="0001781A" w:rsidRPr="00BF2AAC">
        <w:rPr>
          <w:rFonts w:ascii="Book Antiqua" w:hAnsi="Book Antiqua"/>
          <w:sz w:val="24"/>
          <w:szCs w:val="24"/>
          <w:lang w:val="en-GB"/>
        </w:rPr>
        <w:t xml:space="preserve"> </w:t>
      </w:r>
      <w:r w:rsidRPr="00BF2AAC">
        <w:rPr>
          <w:rFonts w:ascii="Book Antiqua" w:hAnsi="Book Antiqua"/>
          <w:sz w:val="24"/>
          <w:szCs w:val="24"/>
          <w:lang w:val="en-GB"/>
        </w:rPr>
        <w:t>=</w:t>
      </w:r>
      <w:r w:rsidR="0001781A" w:rsidRPr="00BF2AAC">
        <w:rPr>
          <w:rFonts w:ascii="Book Antiqua" w:hAnsi="Book Antiqua"/>
          <w:sz w:val="24"/>
          <w:szCs w:val="24"/>
          <w:lang w:val="en-GB"/>
        </w:rPr>
        <w:t xml:space="preserve"> </w:t>
      </w:r>
      <w:r w:rsidRPr="00BF2AAC">
        <w:rPr>
          <w:rFonts w:ascii="Book Antiqua" w:hAnsi="Book Antiqua"/>
          <w:sz w:val="24"/>
          <w:szCs w:val="24"/>
          <w:lang w:val="en-GB"/>
        </w:rPr>
        <w:t xml:space="preserve">0.012); 4/30 (13%) of G1/2 tumours </w:t>
      </w:r>
      <w:r w:rsidRPr="00BF2AAC">
        <w:rPr>
          <w:rFonts w:ascii="Book Antiqua" w:hAnsi="Book Antiqua" w:cs="Times New Roman"/>
          <w:sz w:val="24"/>
          <w:szCs w:val="24"/>
          <w:lang w:val="en-GB"/>
        </w:rPr>
        <w:t>compared with</w:t>
      </w:r>
      <w:r w:rsidRPr="00BF2AAC">
        <w:rPr>
          <w:rFonts w:ascii="Book Antiqua" w:hAnsi="Book Antiqua"/>
          <w:sz w:val="24"/>
          <w:szCs w:val="24"/>
          <w:lang w:val="en-GB"/>
        </w:rPr>
        <w:t xml:space="preserve"> 6/30 (20%) of G3 tumours </w:t>
      </w:r>
      <w:r w:rsidRPr="00BF2AAC">
        <w:rPr>
          <w:rFonts w:ascii="Book Antiqua" w:hAnsi="Book Antiqua" w:cs="Times New Roman"/>
          <w:sz w:val="24"/>
          <w:szCs w:val="24"/>
          <w:lang w:val="en-GB"/>
        </w:rPr>
        <w:t>showed LNM</w:t>
      </w:r>
      <w:r w:rsidRPr="00BF2AAC">
        <w:rPr>
          <w:rFonts w:ascii="Book Antiqua" w:hAnsi="Book Antiqua"/>
          <w:sz w:val="24"/>
          <w:szCs w:val="24"/>
          <w:lang w:val="en-GB"/>
        </w:rPr>
        <w:t xml:space="preserve"> (</w:t>
      </w:r>
      <w:r w:rsidR="0001781A" w:rsidRPr="00BF2AAC">
        <w:rPr>
          <w:rFonts w:ascii="Book Antiqua" w:hAnsi="Book Antiqua"/>
          <w:i/>
          <w:sz w:val="24"/>
          <w:szCs w:val="24"/>
          <w:lang w:val="en-GB"/>
        </w:rPr>
        <w:t>P</w:t>
      </w:r>
      <w:r w:rsidR="0001781A" w:rsidRPr="00BF2AAC">
        <w:rPr>
          <w:rFonts w:ascii="Book Antiqua" w:hAnsi="Book Antiqua"/>
          <w:sz w:val="24"/>
          <w:szCs w:val="24"/>
          <w:lang w:val="en-GB"/>
        </w:rPr>
        <w:t xml:space="preserve"> </w:t>
      </w:r>
      <w:r w:rsidRPr="00BF2AAC">
        <w:rPr>
          <w:rFonts w:ascii="Book Antiqua" w:hAnsi="Book Antiqua"/>
          <w:sz w:val="24"/>
          <w:szCs w:val="24"/>
          <w:lang w:val="en-GB"/>
        </w:rPr>
        <w:t>=</w:t>
      </w:r>
      <w:r w:rsidR="0001781A" w:rsidRPr="00BF2AAC">
        <w:rPr>
          <w:rFonts w:ascii="Book Antiqua" w:hAnsi="Book Antiqua"/>
          <w:sz w:val="24"/>
          <w:szCs w:val="24"/>
          <w:lang w:val="en-GB"/>
        </w:rPr>
        <w:t xml:space="preserve"> </w:t>
      </w:r>
      <w:r w:rsidRPr="00BF2AAC">
        <w:rPr>
          <w:rFonts w:ascii="Book Antiqua" w:hAnsi="Book Antiqua"/>
          <w:sz w:val="24"/>
          <w:szCs w:val="24"/>
          <w:lang w:val="en-GB"/>
        </w:rPr>
        <w:t>0.488);</w:t>
      </w:r>
      <w:r w:rsidRPr="00BF2AAC">
        <w:rPr>
          <w:rFonts w:ascii="Book Antiqua" w:hAnsi="Book Antiqua" w:cs="Times New Roman"/>
          <w:b/>
          <w:sz w:val="24"/>
          <w:szCs w:val="24"/>
          <w:lang w:val="en-GB"/>
        </w:rPr>
        <w:t xml:space="preserve"> </w:t>
      </w:r>
      <w:r w:rsidRPr="00BF2AAC">
        <w:rPr>
          <w:rFonts w:ascii="Book Antiqua" w:hAnsi="Book Antiqua" w:cs="Times New Roman"/>
          <w:sz w:val="24"/>
          <w:szCs w:val="24"/>
          <w:lang w:val="en-GB"/>
        </w:rPr>
        <w:t>and 0/17 (0%) of R0 tumours compared with 10/43 (23%) for R1 tumours showed LNM (</w:t>
      </w:r>
      <w:r w:rsidR="0001781A" w:rsidRPr="00BF2AAC">
        <w:rPr>
          <w:rFonts w:ascii="Book Antiqua" w:hAnsi="Book Antiqua" w:cs="Times New Roman"/>
          <w:i/>
          <w:sz w:val="24"/>
          <w:szCs w:val="24"/>
          <w:lang w:val="en-GB"/>
        </w:rPr>
        <w:t>P</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w:t>
      </w:r>
      <w:r w:rsidR="0001781A" w:rsidRPr="00BF2AAC">
        <w:rPr>
          <w:rFonts w:ascii="Book Antiqua" w:hAnsi="Book Antiqua" w:cs="Times New Roman"/>
          <w:sz w:val="24"/>
          <w:szCs w:val="24"/>
          <w:lang w:val="en-GB"/>
        </w:rPr>
        <w:t xml:space="preserve"> </w:t>
      </w:r>
      <w:r w:rsidRPr="00BF2AAC">
        <w:rPr>
          <w:rFonts w:ascii="Book Antiqua" w:hAnsi="Book Antiqua" w:cs="Times New Roman"/>
          <w:sz w:val="24"/>
          <w:szCs w:val="24"/>
          <w:lang w:val="en-GB"/>
        </w:rPr>
        <w:t xml:space="preserve">0.049). An overview of all patients with LNM is provided in Table 4. </w:t>
      </w:r>
    </w:p>
    <w:p w14:paraId="3D5F19D5"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046ECB3C" w14:textId="77777777" w:rsidR="00711D84" w:rsidRPr="00BF2AAC" w:rsidRDefault="00711D84"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Long term clinical outcomes and overall patient survival</w:t>
      </w:r>
    </w:p>
    <w:p w14:paraId="297781E2" w14:textId="0F0BDB60"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At the end of the study 43 of 60 (73%) patients were alive with a median follow-up time of 45 mo (IQR 32-72; range 24-102). The median survival of the 17 of 60 (27%) deceased patients was 24 mo (IQR 9-40; range 3-59) from EMR diagnosis of pT1b OAC. Of these 17 deceased patients, 7 (42%) died of OAC and 10 (58%) died of non-OAC-related conditions: one patient died after a cerebrovascular accident, 2 patients died of renal cancer, and 7 patients died due to complications of ischaemic heart disease. </w:t>
      </w:r>
    </w:p>
    <w:p w14:paraId="68BE80B5" w14:textId="67F54FE1"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Within the HR group 14 of 47 patients (30%) died during the follow-up period. Of these, 7 died of OAC. We found no significant difference for OAC-related deaths during the follow-up period when comparing treatment modality. 5/38 patients treated conservatively (13%) died of OAC whilst 2/22 patients (9%) of those treated surgically died of OAC (</w:t>
      </w:r>
      <w:r w:rsidRPr="00BF2AAC">
        <w:rPr>
          <w:rFonts w:ascii="Book Antiqua" w:hAnsi="Book Antiqua" w:cs="Times New Roman"/>
          <w:i/>
          <w:sz w:val="24"/>
          <w:szCs w:val="24"/>
          <w:lang w:val="en-GB"/>
        </w:rPr>
        <w:t>P</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0.636). Importantly, OAC-related survival time remains comparable (</w:t>
      </w:r>
      <w:r w:rsidRPr="00BF2AAC">
        <w:rPr>
          <w:rFonts w:ascii="Book Antiqua" w:hAnsi="Book Antiqua" w:cs="Times New Roman"/>
          <w:i/>
          <w:sz w:val="24"/>
          <w:szCs w:val="24"/>
          <w:lang w:val="en-GB"/>
        </w:rPr>
        <w:t xml:space="preserve">P </w:t>
      </w:r>
      <w:r w:rsidR="00711D84"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0.436) when one compares only the HR patients that underwent surgery (2/22) to the HR patients that received conservative management (5/26). The median overall </w:t>
      </w:r>
      <w:r w:rsidR="00711D84" w:rsidRPr="00BF2AAC">
        <w:rPr>
          <w:rFonts w:ascii="Book Antiqua" w:hAnsi="Book Antiqua" w:cs="Times New Roman"/>
          <w:sz w:val="24"/>
          <w:szCs w:val="24"/>
          <w:lang w:val="en-GB"/>
        </w:rPr>
        <w:lastRenderedPageBreak/>
        <w:t>survival of patients in the surgery group compared to patients in the conservative group was better, 45 mo (IQR 32-56; range 8-102) and 39 mo (IQR 24-50; range 3-94), respectively (</w:t>
      </w:r>
      <w:r w:rsidRPr="00BF2AAC">
        <w:rPr>
          <w:rFonts w:ascii="Book Antiqua" w:hAnsi="Book Antiqua" w:cs="Times New Roman"/>
          <w:i/>
          <w:sz w:val="24"/>
          <w:szCs w:val="24"/>
          <w:lang w:val="en-GB"/>
        </w:rPr>
        <w:t>P</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0.019). However, after excluding patients who died of non-OAC-related causes (disease-specific survival), the difference was no longer statistically significant (</w:t>
      </w:r>
      <w:r w:rsidRPr="00BF2AAC">
        <w:rPr>
          <w:rFonts w:ascii="Book Antiqua" w:hAnsi="Book Antiqua" w:cs="Times New Roman"/>
          <w:i/>
          <w:sz w:val="24"/>
          <w:szCs w:val="24"/>
          <w:lang w:val="en-GB"/>
        </w:rPr>
        <w:t>P</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0.376) (Figure 3). Patients in HR-surgery group similarly had a better overall survival compared to patients in HR-conservative group: median of 44 mo (IQR 31-55, range 8-102) and 36 mo (IQR 23-50, range 3-94), respectively (</w:t>
      </w:r>
      <w:r w:rsidRPr="00BF2AAC">
        <w:rPr>
          <w:rFonts w:ascii="Book Antiqua" w:hAnsi="Book Antiqua" w:cs="Times New Roman"/>
          <w:i/>
          <w:sz w:val="24"/>
          <w:szCs w:val="24"/>
          <w:lang w:val="en-GB"/>
        </w:rPr>
        <w:t>P</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0.012). Again, after excluding patients who died of non-OAC-related causes, the difference was no longer statistically significant (</w:t>
      </w:r>
      <w:r w:rsidRPr="00BF2AAC">
        <w:rPr>
          <w:rFonts w:ascii="Book Antiqua" w:hAnsi="Book Antiqua" w:cs="Times New Roman"/>
          <w:i/>
          <w:sz w:val="24"/>
          <w:szCs w:val="24"/>
          <w:lang w:val="en-GB"/>
        </w:rPr>
        <w:t xml:space="preserve">P </w:t>
      </w:r>
      <w:r w:rsidR="00711D84"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0.181) (Figure 4).</w:t>
      </w:r>
    </w:p>
    <w:p w14:paraId="6F5C9623" w14:textId="56C24D46"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 xml:space="preserve">During the follow-up period 3/60 (5%) patients developed a local recurrence, 1 patient from the LR group and 2 patients from the HR group. The patient within the LR group had undergone an oesophagectomy as baseline therapy. The surgical resection specimen </w:t>
      </w:r>
      <w:r w:rsidR="00711D84" w:rsidRPr="00BF2AAC">
        <w:rPr>
          <w:rFonts w:ascii="Book Antiqua" w:hAnsi="Book Antiqua" w:cs="Times New Roman"/>
          <w:noProof/>
          <w:sz w:val="24"/>
          <w:szCs w:val="24"/>
          <w:lang w:val="en-GB"/>
        </w:rPr>
        <w:t>demonstrated</w:t>
      </w:r>
      <w:r w:rsidR="00711D84" w:rsidRPr="00BF2AAC">
        <w:rPr>
          <w:rFonts w:ascii="Book Antiqua" w:hAnsi="Book Antiqua" w:cs="Times New Roman"/>
          <w:sz w:val="24"/>
          <w:szCs w:val="24"/>
          <w:lang w:val="en-GB"/>
        </w:rPr>
        <w:t xml:space="preserve"> residual HGD and the patient developed a T1a M3 tumour at the anastomosis after 47 mo. This was successfully resected by EMR and the patient has survived to 50 mo at the end of the study. In the HR group, two patients with an R1 EMR specimen who were treated conservatively developed T1a and T1bSm1 tumours at the site of previous resection after 6 and 10 mo, respectively. Both tumours were successfully resected by EMR. One of these individuals was also found to have LNM and received CRT. Both of these patients were alive at last follow-up.</w:t>
      </w:r>
    </w:p>
    <w:p w14:paraId="4DF8BC9E" w14:textId="6F674747"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One</w:t>
      </w:r>
      <w:r w:rsidR="00711D84" w:rsidRPr="00BF2AAC">
        <w:rPr>
          <w:rFonts w:ascii="Book Antiqua" w:hAnsi="Book Antiqua" w:cs="Times New Roman"/>
          <w:sz w:val="24"/>
          <w:szCs w:val="24"/>
          <w:lang w:val="en-GB"/>
        </w:rPr>
        <w:t xml:space="preserve"> of 12 patients within the LR-conservative group received CRT following MDT discussion. 9/12 patients remain alive with those who have died doing so from a cause unrelated to OAC (renal cancer, ischaemic heart disease and a cerebrovascular accident).  13 of 26 (50%) patients within the HR-conservative group received CRT. Of those who received CRT 7 have died although 5 (38%) of those were due to OAC. Of those who did not receive CRT 5 patients have died, although none of these deaths were due to OAC. </w:t>
      </w:r>
    </w:p>
    <w:p w14:paraId="5A68D5A2" w14:textId="77777777"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p>
    <w:p w14:paraId="02D898B3" w14:textId="77777777" w:rsidR="00711D84" w:rsidRPr="00BF2AAC" w:rsidRDefault="00711D84"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t>DISCUSSION</w:t>
      </w:r>
    </w:p>
    <w:p w14:paraId="4A66AD45" w14:textId="6DB058F8" w:rsidR="00711D84" w:rsidRPr="00BF2AAC" w:rsidRDefault="00711D84"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lastRenderedPageBreak/>
        <w:t>This single centre retrospective analysis of 60 patients with T1b OAC suggests that patients with Sm1 tumours without high-risk histopathological markers can be treated endoscopically</w:t>
      </w:r>
      <w:r w:rsidR="00540E7D">
        <w:rPr>
          <w:rFonts w:ascii="Book Antiqua" w:hAnsi="Book Antiqua" w:cs="Times New Roman"/>
          <w:sz w:val="24"/>
          <w:szCs w:val="24"/>
          <w:lang w:val="en-GB"/>
        </w:rPr>
        <w:t xml:space="preserve"> with good long-term outcomes. </w:t>
      </w:r>
      <w:r w:rsidRPr="00BF2AAC">
        <w:rPr>
          <w:rFonts w:ascii="Book Antiqua" w:hAnsi="Book Antiqua" w:cs="Times New Roman"/>
          <w:sz w:val="24"/>
          <w:szCs w:val="24"/>
          <w:lang w:val="en-GB"/>
        </w:rPr>
        <w:t>This is in keeping with other recently published studies. Within this LR group, none of the 13 patients had or developed LNM within the follow-up period. 12 patients were treated conservatively and the one patient who had surgical treatment was found to have a local recurrence, successfully endoscopically resected, 47 mon after the initial EMR. These data support the emerging treatment strategy that patients with LR T1b lesions should be offered EET and conservative treatment.</w:t>
      </w:r>
    </w:p>
    <w:p w14:paraId="60120A48" w14:textId="228BE045"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Of the patients with HR lesions that underwent surgical resection, 4 (18%) were found to have LNM within their resection specimens. All 4 of these were G3 tumours with either LVI or were LVIX. Of those who had the combination of both of these high-risk histopathological features 50% (4/8) developed LNM suggesting that these patients are high-risk and EET carries higher risk of LNM and recurrence. None of the Sm1 tumours with only one high-risk histopathological feature had LNM. Although the numbers are too small to recommend changes to the existing treatment strategy, this data suggest that endoscopic resection and conservative management may be an appropriate approach for some patients categorised as high-risk where only one high-risk pathological feature is confirmed. This is highlighted by the fact that only 23% of HR tumours treated conservatively developed LNM during the follow-up period. Further prospective RCT studies of surgical versus conservative treatment strategies with higher patient numbers are required to explore this potential change in treatment paradigm.</w:t>
      </w:r>
    </w:p>
    <w:p w14:paraId="2F215150" w14:textId="442E0FD4" w:rsidR="00711D84" w:rsidRPr="00BF2AAC" w:rsidRDefault="0001781A" w:rsidP="00BF2AAC">
      <w:pPr>
        <w:adjustRightInd w:val="0"/>
        <w:snapToGrid w:val="0"/>
        <w:spacing w:after="0" w:line="360" w:lineRule="auto"/>
        <w:jc w:val="both"/>
        <w:rPr>
          <w:rFonts w:ascii="Book Antiqua" w:hAnsi="Book Antiqua"/>
          <w:sz w:val="24"/>
          <w:szCs w:val="24"/>
          <w:lang w:val="en-GB"/>
        </w:rPr>
      </w:pPr>
      <w:r w:rsidRPr="00BF2AAC">
        <w:rPr>
          <w:rFonts w:ascii="Book Antiqua" w:hAnsi="Book Antiqua"/>
          <w:sz w:val="24"/>
          <w:szCs w:val="24"/>
          <w:lang w:val="en-GB"/>
        </w:rPr>
        <w:t xml:space="preserve">  </w:t>
      </w:r>
      <w:r w:rsidR="00711D84" w:rsidRPr="00BF2AAC">
        <w:rPr>
          <w:rFonts w:ascii="Book Antiqua" w:hAnsi="Book Antiqua"/>
          <w:sz w:val="24"/>
          <w:szCs w:val="24"/>
          <w:lang w:val="en-GB"/>
        </w:rPr>
        <w:t xml:space="preserve">Our data on LR and HR T1b cancers and clinical outcomes are similar to the limited published series on this patient cohort. </w:t>
      </w:r>
      <w:r w:rsidR="00711D84" w:rsidRPr="00540E7D">
        <w:rPr>
          <w:rFonts w:ascii="Book Antiqua" w:hAnsi="Book Antiqua"/>
          <w:sz w:val="24"/>
          <w:szCs w:val="24"/>
          <w:lang w:val="en-GB"/>
        </w:rPr>
        <w:t>Manner</w:t>
      </w:r>
      <w:r w:rsidR="00711D84" w:rsidRPr="00BF2AAC">
        <w:rPr>
          <w:rFonts w:ascii="Book Antiqua" w:hAnsi="Book Antiqua"/>
          <w:i/>
          <w:sz w:val="24"/>
          <w:szCs w:val="24"/>
          <w:lang w:val="en-GB"/>
        </w:rPr>
        <w:t xml:space="preserve"> et al</w:t>
      </w:r>
      <w:r w:rsidRPr="00BF2AAC">
        <w:rPr>
          <w:rFonts w:ascii="Book Antiqua" w:hAnsi="Book Antiqua"/>
          <w:sz w:val="24"/>
          <w:szCs w:val="24"/>
          <w:vertAlign w:val="superscript"/>
          <w:lang w:val="en-GB"/>
        </w:rPr>
        <w:t>[</w:t>
      </w:r>
      <w:r w:rsidR="00711D84" w:rsidRPr="00BF2AAC">
        <w:rPr>
          <w:rFonts w:ascii="Book Antiqua" w:hAnsi="Book Antiqua"/>
          <w:sz w:val="24"/>
          <w:szCs w:val="24"/>
          <w:lang w:val="en-GB"/>
        </w:rPr>
        <w:fldChar w:fldCharType="begin" w:fldLock="1"/>
      </w:r>
      <w:r w:rsidR="00903BF1" w:rsidRPr="00BF2AAC">
        <w:rPr>
          <w:rFonts w:ascii="Book Antiqua" w:hAnsi="Book Antiqua"/>
          <w:sz w:val="24"/>
          <w:szCs w:val="24"/>
          <w:lang w:val="en-GB"/>
        </w:rPr>
        <w:instrText>ADDIN CSL_CITATION {"citationItems":[{"id":"ITEM-1","itemData":{"DOI":"10.1007/s00464-014-3881-3","ISBN":"0046401438813","ISSN":"14322218","PMID":"25294553","abstract":"BACKGROUND: A prerequisite for endoscopic treatment (ET) of not only mucosal, but also submucosal early adenocarcinoma of the esophagus (EAC) would be a rate of lymph node (LN) metastasis below the mortality rate of esophagectomy (2-5 %). The aim of the present study was to evaluate the rate of LN metastasis in patients with pT1b sm1 EAC.\\n\\nMETHODS: 1996-2010, 1,718 patients with suspicion of EAC were referred to the Department of Internal Medicine II at HSK Wiesbaden. In 123/1718 patients, the suspicion (endoscopic ultrasound, EUS) or definitive diagnosis of sm1 EAC (ER/surgery) was made. Rate of LN metastasis was analyzed separately for low-risk (LR; G1-2, L0, V0) and high-risk lesions (HR; G3, L1, V1; ≥ 1 risk factor). LN metastasis was only evaluated in patients who had a proven maximum invasion depth of sm1 (ER and/or surgery), and who in case of ET had a follow-up (FU) by EUS of at least 24 months.\\n\\nRESULTS: Of the 72/123 patients included into the study, 49 patients had LR (68 %) and 23 HR lesions (32 %). In endoscopically treated LR patients (37/49), mean EUS-FU was 60 ± 30 mo (range 25-146); in HR patients undergoing ET (6/23), it was 63 ± 17 mo (46-86; p = 0.4). Mean number of resected LN was 27 ± 16 (12-62) in operated LR patients and 27 ± 10 (12-47) in HR-patients. The rate of LN metastasis was 2 % in the LR (1 patient) and 9 % in the HR group (2 patients; p = 0.24). Mortality of esophagectomy was 3 %.\\n\\nCONCLUSIONS: The rate of LN metastasis in pT1b sm1 early adenocarcinoma with histological LR pattern was lower than the mortality rate of esophagectomy. ER may therefore be used alternatively to surgery in this group of patients.","author":[{"dropping-particle":"","family":"Manner","given":"Hendrik","non-dropping-particle":"","parse-names":false,"suffix":""},{"dropping-particle":"","family":"Pech","given":"Oliver","non-dropping-particle":"","parse-names":false,"suffix":""},{"dropping-particle":"","family":"Heldmann","given":"Yvonne","non-dropping-particle":"","parse-names":false,"suffix":""},{"dropping-particle":"","family":"May","given":"Andrea","non-dropping-particle":"","parse-names":false,"suffix":""},{"dropping-particle":"","family":"Pauthner","given":"Michael","non-dropping-particle":"","parse-names":false,"suffix":""},{"dropping-particle":"","family":"Lorenz","given":"Dietmar","non-dropping-particle":"","parse-names":false,"suffix":""},{"dropping-particle":"","family":"Fisseler-Eckhoff","given":"Annette","non-dropping-particle":"","parse-names":false,"suffix":""},{"dropping-particle":"","family":"Stolte","given":"Manfred","non-dropping-particle":"","parse-names":false,"suffix":""},{"dropping-particle":"","family":"Vieth","given":"Michael","non-dropping-particle":"","parse-names":false,"suffix":""},{"dropping-particle":"","family":"Ell","given":"Christian","non-dropping-particle":"","parse-names":false,"suffix":""}],"container-title":"Surgical Endoscopy and Other Interventional Techniques","id":"ITEM-1","issued":{"date-parts":[["2015"]]},"title":"The frequency of lymph node metastasis in early-stage adenocarcinoma of the esophagus with incipient submucosal invasion (pT1b sm1) depending on histological risk patterns","type":"article-journal"},"uris":["http://www.mendeley.com/documents/?uuid=d5f7fb23-c212-438d-9943-e3b57f070354","http://www.mendeley.com/documents/?uuid=d2e00b0e-50ad-3d17-990d-8b2e9d7e60c9"]}],"mendeley":{"formattedCitation":"&lt;sup&gt;16&lt;/sup&gt;","plainTextFormattedCitation":"16","previouslyFormattedCitation":"&lt;sup&gt;16&lt;/sup&gt;"},"properties":{"noteIndex":0},"schema":"https://github.com/citation-style-language/schema/raw/master/csl-citation.json"}</w:instrText>
      </w:r>
      <w:r w:rsidR="00711D84" w:rsidRPr="00BF2AAC">
        <w:rPr>
          <w:rFonts w:ascii="Book Antiqua" w:hAnsi="Book Antiqua"/>
          <w:sz w:val="24"/>
          <w:szCs w:val="24"/>
          <w:lang w:val="en-GB"/>
        </w:rPr>
        <w:fldChar w:fldCharType="separate"/>
      </w:r>
      <w:r w:rsidR="00903BF1" w:rsidRPr="00BF2AAC">
        <w:rPr>
          <w:rFonts w:ascii="Book Antiqua" w:hAnsi="Book Antiqua"/>
          <w:noProof/>
          <w:sz w:val="24"/>
          <w:szCs w:val="24"/>
          <w:vertAlign w:val="superscript"/>
          <w:lang w:val="en-GB"/>
        </w:rPr>
        <w:t>16</w:t>
      </w:r>
      <w:r w:rsidR="00711D84" w:rsidRPr="00BF2AAC">
        <w:rPr>
          <w:rFonts w:ascii="Book Antiqua" w:hAnsi="Book Antiqua"/>
          <w:sz w:val="24"/>
          <w:szCs w:val="24"/>
          <w:lang w:val="en-GB"/>
        </w:rPr>
        <w:fldChar w:fldCharType="end"/>
      </w:r>
      <w:r w:rsidRPr="00BF2AAC">
        <w:rPr>
          <w:rFonts w:ascii="Book Antiqua" w:hAnsi="Book Antiqua"/>
          <w:sz w:val="24"/>
          <w:szCs w:val="24"/>
          <w:vertAlign w:val="superscript"/>
          <w:lang w:val="en-GB"/>
        </w:rPr>
        <w:t>]</w:t>
      </w:r>
      <w:r w:rsidR="00711D84" w:rsidRPr="00BF2AAC">
        <w:rPr>
          <w:rFonts w:ascii="Book Antiqua" w:hAnsi="Book Antiqua"/>
          <w:sz w:val="24"/>
          <w:szCs w:val="24"/>
          <w:lang w:val="en-GB"/>
        </w:rPr>
        <w:t xml:space="preserve"> examined 72 patients with pT1bSm1 pathology on EMR specimens retrospectively over a 14 year period form their centre. These authors also differentiated LR and HR lesions based on criteria similar to our cohort. In the LR patients (</w:t>
      </w:r>
      <w:r w:rsidR="00711D84" w:rsidRPr="00BF2AAC">
        <w:rPr>
          <w:rFonts w:ascii="Book Antiqua" w:hAnsi="Book Antiqua"/>
          <w:i/>
          <w:sz w:val="24"/>
          <w:szCs w:val="24"/>
          <w:lang w:val="en-GB"/>
        </w:rPr>
        <w:t>n</w:t>
      </w:r>
      <w:r w:rsidRPr="00BF2AAC">
        <w:rPr>
          <w:rFonts w:ascii="Book Antiqua" w:hAnsi="Book Antiqua"/>
          <w:sz w:val="24"/>
          <w:szCs w:val="24"/>
          <w:lang w:val="en-GB"/>
        </w:rPr>
        <w:t xml:space="preserve"> </w:t>
      </w:r>
      <w:r w:rsidR="00711D84" w:rsidRPr="00BF2AAC">
        <w:rPr>
          <w:rFonts w:ascii="Book Antiqua" w:hAnsi="Book Antiqua"/>
          <w:sz w:val="24"/>
          <w:szCs w:val="24"/>
          <w:lang w:val="en-GB"/>
        </w:rPr>
        <w:t>=</w:t>
      </w:r>
      <w:r w:rsidRPr="00BF2AAC">
        <w:rPr>
          <w:rFonts w:ascii="Book Antiqua" w:hAnsi="Book Antiqua"/>
          <w:sz w:val="24"/>
          <w:szCs w:val="24"/>
          <w:lang w:val="en-GB"/>
        </w:rPr>
        <w:t xml:space="preserve"> </w:t>
      </w:r>
      <w:r w:rsidR="00711D84" w:rsidRPr="00BF2AAC">
        <w:rPr>
          <w:rFonts w:ascii="Book Antiqua" w:hAnsi="Book Antiqua"/>
          <w:sz w:val="24"/>
          <w:szCs w:val="24"/>
          <w:lang w:val="en-GB"/>
        </w:rPr>
        <w:t>49) only one patient developed LNM (2%) at follow-up and in the HR group (</w:t>
      </w:r>
      <w:r w:rsidRPr="00BF2AAC">
        <w:rPr>
          <w:rFonts w:ascii="Book Antiqua" w:hAnsi="Book Antiqua"/>
          <w:i/>
          <w:sz w:val="24"/>
          <w:szCs w:val="24"/>
          <w:lang w:val="en-GB"/>
        </w:rPr>
        <w:t>n</w:t>
      </w:r>
      <w:r w:rsidRPr="00BF2AAC" w:rsidDel="0001781A">
        <w:rPr>
          <w:rFonts w:ascii="Book Antiqua" w:hAnsi="Book Antiqua"/>
          <w:sz w:val="24"/>
          <w:szCs w:val="24"/>
          <w:lang w:val="en-GB"/>
        </w:rPr>
        <w:t xml:space="preserve"> </w:t>
      </w:r>
      <w:r w:rsidR="00711D84" w:rsidRPr="00BF2AAC">
        <w:rPr>
          <w:rFonts w:ascii="Book Antiqua" w:hAnsi="Book Antiqua"/>
          <w:sz w:val="24"/>
          <w:szCs w:val="24"/>
          <w:lang w:val="en-GB"/>
        </w:rPr>
        <w:t>=</w:t>
      </w:r>
      <w:r w:rsidRPr="00BF2AAC">
        <w:rPr>
          <w:rFonts w:ascii="Book Antiqua" w:hAnsi="Book Antiqua"/>
          <w:sz w:val="24"/>
          <w:szCs w:val="24"/>
          <w:lang w:val="en-GB"/>
        </w:rPr>
        <w:t xml:space="preserve"> </w:t>
      </w:r>
      <w:r w:rsidR="00711D84" w:rsidRPr="00BF2AAC">
        <w:rPr>
          <w:rFonts w:ascii="Book Antiqua" w:hAnsi="Book Antiqua"/>
          <w:sz w:val="24"/>
          <w:szCs w:val="24"/>
          <w:lang w:val="en-GB"/>
        </w:rPr>
        <w:t xml:space="preserve">22) only two patients developed LNM (8.7%). In a similar </w:t>
      </w:r>
      <w:r w:rsidR="00711D84" w:rsidRPr="00BF2AAC">
        <w:rPr>
          <w:rFonts w:ascii="Book Antiqua" w:hAnsi="Book Antiqua"/>
          <w:sz w:val="24"/>
          <w:szCs w:val="24"/>
          <w:lang w:val="en-GB"/>
        </w:rPr>
        <w:lastRenderedPageBreak/>
        <w:t xml:space="preserve">study, </w:t>
      </w:r>
      <w:r w:rsidR="00711D84" w:rsidRPr="00540E7D">
        <w:rPr>
          <w:rFonts w:ascii="Book Antiqua" w:hAnsi="Book Antiqua"/>
          <w:sz w:val="24"/>
          <w:szCs w:val="24"/>
          <w:lang w:val="en-GB"/>
        </w:rPr>
        <w:t>Scholvinck</w:t>
      </w:r>
      <w:r w:rsidR="00711D84" w:rsidRPr="00BF2AAC">
        <w:rPr>
          <w:rFonts w:ascii="Book Antiqua" w:hAnsi="Book Antiqua"/>
          <w:i/>
          <w:sz w:val="24"/>
          <w:szCs w:val="24"/>
          <w:lang w:val="en-GB"/>
        </w:rPr>
        <w:t xml:space="preserve"> et al</w:t>
      </w:r>
      <w:r w:rsidRPr="00BF2AAC">
        <w:rPr>
          <w:rFonts w:ascii="Book Antiqua" w:hAnsi="Book Antiqua"/>
          <w:i/>
          <w:sz w:val="24"/>
          <w:szCs w:val="24"/>
          <w:vertAlign w:val="superscript"/>
          <w:lang w:val="en-GB"/>
        </w:rPr>
        <w:t>[</w:t>
      </w:r>
      <w:r w:rsidR="00711D84" w:rsidRPr="00BF2AAC">
        <w:rPr>
          <w:rFonts w:ascii="Book Antiqua" w:hAnsi="Book Antiqua"/>
          <w:sz w:val="24"/>
          <w:szCs w:val="24"/>
          <w:lang w:val="en-GB"/>
        </w:rPr>
        <w:fldChar w:fldCharType="begin" w:fldLock="1"/>
      </w:r>
      <w:r w:rsidR="00903BF1" w:rsidRPr="00BF2AAC">
        <w:rPr>
          <w:rFonts w:ascii="Book Antiqua" w:hAnsi="Book Antiqua"/>
          <w:sz w:val="24"/>
          <w:szCs w:val="24"/>
          <w:lang w:val="en-GB"/>
        </w:rPr>
        <w:instrText>ADDIN CSL_CITATION {"citationItems":[{"id":"ITEM-1","itemData":{"DOI":"10.1007/s00464-016-5071-y","ISSN":"1432-2218","PMID":"27357927","abstract":"BACKGROUND Esophagectomy for submucosal (T1b) esophageal adenocarcinoma (EAC) is performed in order to optimize patient outcomes given the risk of concurrent lymph node metastases (LNM). However, not seldom, comorbidity precludes these patients from surgery. Therefore, the aim of our study was to assess the course of follow-up after treatment in submucosal EAC patients undergoing surgery versus conservative therapy and to evaluate the incidence of metastatic disease. METHODS Between 2001 and 2012, all patients undergoing diagnostic endoscopic resection for EAC in two centers were reviewed. Only patients with histopathologically proven submucosal tumor invasion were included. Submucosal EACs were divided into tumors that were removed radically (R0) and irradically (R1). Subsequently, in the R0 group, EACs were classified as either low risk (LR; submucosal invasion &lt;500 nm, G1-G2, no LVI) or high risk (HR; deep submucosal invasion &gt;500 nm, G3-G4 and/or LVI). Metastatic disease was defined as LNM in surgical resection specimen and/or evidence of malignant disease during follow-up (FU). RESULTS Sixty-nine patients with a submucosal EAC were included [23 R1-resections and 46 R0-resection (14 R0-LR and 32 R0-HR)]. Twenty-six patients underwent surgical treatment (1 R0-LR, 12 R0-HR and 13 R1). None of the 14 R0-LR patients developed metastatic disease after a median FU of 60 months. In the R0-HR group and R1 group, metastatic disease was diagnosed in 16 and 30 % of patients, respectively. Surgical patients tended to have a better overall survival than non-surgical patients (p = 0.09). Tumor-related deaths, however, were 12 % in both groups. CONCLUSIONS In LR submucosal EAC, the risk of metastatic disease appears to be very low. In deep submucosal EAC (either R0- or R1-resection), the rate of metastatic disease is lower than reported in earlier surgical series. Given the reasonable disease-free survival and high background mortality, conservative management of these patients seems to be a valid alternative for surgery in selected cases.","author":[{"dropping-particle":"","family":"Schölvinck","given":"Dirk","non-dropping-particle":"","parse-names":false,"suffix":""},{"dropping-particle":"","family":"Künzli","given":"Hannah","non-dropping-particle":"","parse-names":false,"suffix":""},{"dropping-particle":"","family":"Meijer","given":"Sybren","non-dropping-particle":"","parse-names":false,"suffix":""},{"dropping-particle":"","family":"Seldenrijk","given":"Kees","non-dropping-particle":"","parse-names":false,"suffix":""},{"dropping-particle":"","family":"Berge Henegouwen","given":"Mark","non-dropping-particle":"van","parse-names":false,"suffix":""},{"dropping-particle":"","family":"Bergman","given":"Jacques","non-dropping-particle":"","parse-names":false,"suffix":""},{"dropping-particle":"","family":"Weusten","given":"Bas","non-dropping-particle":"","parse-names":false,"suffix":""}],"container-title":"Surgical endoscopy","id":"ITEM-1","issued":{"date-parts":[["2016"]]},"page":"4102-4113","title":"Management of patients with T1b esophageal adenocarcinoma: a retrospective cohort study on patient management and risk of metastatic disease.","type":"article-journal"},"uris":["http://www.mendeley.com/documents/?uuid=dc99269a-d6e9-43a5-afa6-6c355344e0c1","http://www.mendeley.com/documents/?uuid=580c44cf-f84c-489b-8167-6b23cd4340af"]}],"mendeley":{"formattedCitation":"&lt;sup&gt;18&lt;/sup&gt;","plainTextFormattedCitation":"18","previouslyFormattedCitation":"&lt;sup&gt;18&lt;/sup&gt;"},"properties":{"noteIndex":0},"schema":"https://github.com/citation-style-language/schema/raw/master/csl-citation.json"}</w:instrText>
      </w:r>
      <w:r w:rsidR="00711D84" w:rsidRPr="00BF2AAC">
        <w:rPr>
          <w:rFonts w:ascii="Book Antiqua" w:hAnsi="Book Antiqua"/>
          <w:sz w:val="24"/>
          <w:szCs w:val="24"/>
          <w:lang w:val="en-GB"/>
        </w:rPr>
        <w:fldChar w:fldCharType="separate"/>
      </w:r>
      <w:r w:rsidR="00903BF1" w:rsidRPr="00BF2AAC">
        <w:rPr>
          <w:rFonts w:ascii="Book Antiqua" w:hAnsi="Book Antiqua"/>
          <w:noProof/>
          <w:sz w:val="24"/>
          <w:szCs w:val="24"/>
          <w:vertAlign w:val="superscript"/>
          <w:lang w:val="en-GB"/>
        </w:rPr>
        <w:t>18</w:t>
      </w:r>
      <w:r w:rsidR="00711D84" w:rsidRPr="00BF2AAC">
        <w:rPr>
          <w:rFonts w:ascii="Book Antiqua" w:hAnsi="Book Antiqua"/>
          <w:sz w:val="24"/>
          <w:szCs w:val="24"/>
          <w:lang w:val="en-GB"/>
        </w:rPr>
        <w:fldChar w:fldCharType="end"/>
      </w:r>
      <w:r w:rsidRPr="00BF2AAC">
        <w:rPr>
          <w:rFonts w:ascii="Book Antiqua" w:hAnsi="Book Antiqua"/>
          <w:sz w:val="24"/>
          <w:szCs w:val="24"/>
          <w:vertAlign w:val="superscript"/>
          <w:lang w:val="en-GB"/>
        </w:rPr>
        <w:t>]</w:t>
      </w:r>
      <w:r w:rsidR="00711D84" w:rsidRPr="00BF2AAC">
        <w:rPr>
          <w:rFonts w:ascii="Book Antiqua" w:hAnsi="Book Antiqua"/>
          <w:sz w:val="24"/>
          <w:szCs w:val="24"/>
          <w:lang w:val="en-GB"/>
        </w:rPr>
        <w:t xml:space="preserve"> analysed 69 patients with pT1b cancers, with their LR group having no LMN detected at follow-up, whereas the HR group displayed an overall LNM rate of 16% which is similar to our series. </w:t>
      </w:r>
    </w:p>
    <w:p w14:paraId="276B3A95" w14:textId="53CED355" w:rsidR="00711D84" w:rsidRPr="00BF2AAC" w:rsidRDefault="0001781A" w:rsidP="00BF2AAC">
      <w:pPr>
        <w:adjustRightInd w:val="0"/>
        <w:snapToGrid w:val="0"/>
        <w:spacing w:after="0" w:line="360" w:lineRule="auto"/>
        <w:jc w:val="both"/>
        <w:rPr>
          <w:rFonts w:ascii="Book Antiqua" w:hAnsi="Book Antiqua"/>
          <w:sz w:val="24"/>
          <w:szCs w:val="24"/>
        </w:rPr>
      </w:pPr>
      <w:r w:rsidRPr="00BF2AAC">
        <w:rPr>
          <w:rFonts w:ascii="Book Antiqua" w:hAnsi="Book Antiqua"/>
          <w:sz w:val="24"/>
          <w:szCs w:val="24"/>
          <w:lang w:val="en-GB"/>
        </w:rPr>
        <w:t xml:space="preserve">  </w:t>
      </w:r>
      <w:r w:rsidR="00711D84" w:rsidRPr="00BF2AAC">
        <w:rPr>
          <w:rFonts w:ascii="Book Antiqua" w:hAnsi="Book Antiqua"/>
          <w:sz w:val="24"/>
          <w:szCs w:val="24"/>
          <w:lang w:val="en-GB"/>
        </w:rPr>
        <w:t xml:space="preserve">Clearly the </w:t>
      </w:r>
      <w:r w:rsidR="00711D84" w:rsidRPr="00BF2AAC">
        <w:rPr>
          <w:rFonts w:ascii="Book Antiqua" w:hAnsi="Book Antiqua"/>
          <w:sz w:val="24"/>
          <w:szCs w:val="24"/>
        </w:rPr>
        <w:t>decision</w:t>
      </w:r>
      <w:r w:rsidR="00711D84" w:rsidRPr="00BF2AAC">
        <w:rPr>
          <w:rFonts w:ascii="Book Antiqua" w:hAnsi="Book Antiqua"/>
          <w:sz w:val="24"/>
          <w:szCs w:val="24"/>
          <w:lang w:val="en-GB"/>
        </w:rPr>
        <w:t xml:space="preserve">-making in offering patients conservative </w:t>
      </w:r>
      <w:r w:rsidR="00711D84" w:rsidRPr="00BF2AAC">
        <w:rPr>
          <w:rFonts w:ascii="Book Antiqua" w:hAnsi="Book Antiqua"/>
          <w:sz w:val="24"/>
          <w:szCs w:val="24"/>
        </w:rPr>
        <w:t>treatment</w:t>
      </w:r>
      <w:r w:rsidR="00711D84" w:rsidRPr="00BF2AAC">
        <w:rPr>
          <w:rFonts w:ascii="Book Antiqua" w:hAnsi="Book Antiqua"/>
          <w:sz w:val="24"/>
          <w:szCs w:val="24"/>
          <w:lang w:val="en-GB"/>
        </w:rPr>
        <w:t xml:space="preserve"> with EET or more radical therapy with surgery is complex and multifaceted with factors such as a patient’s fitness for surgery and patient preference influencing the final decision. The main advantage of surgery is that the entire organ and draining lymph nodes are cleared minimising LNM risk. However, even in high-volume expert centres, the 30-d</w:t>
      </w:r>
      <w:r w:rsidRPr="00BF2AAC">
        <w:rPr>
          <w:rFonts w:ascii="Book Antiqua" w:hAnsi="Book Antiqua"/>
          <w:sz w:val="24"/>
          <w:szCs w:val="24"/>
          <w:lang w:val="en-GB"/>
        </w:rPr>
        <w:t xml:space="preserve"> </w:t>
      </w:r>
      <w:r w:rsidR="00711D84" w:rsidRPr="00BF2AAC">
        <w:rPr>
          <w:rFonts w:ascii="Book Antiqua" w:hAnsi="Book Antiqua"/>
          <w:sz w:val="24"/>
          <w:szCs w:val="24"/>
          <w:lang w:val="en-GB"/>
        </w:rPr>
        <w:t>mortality from oesophagectomy ranges between 2</w:t>
      </w:r>
      <w:r w:rsidRPr="00BF2AAC">
        <w:rPr>
          <w:rFonts w:ascii="Book Antiqua" w:hAnsi="Book Antiqua"/>
          <w:sz w:val="24"/>
          <w:szCs w:val="24"/>
          <w:lang w:val="en-GB"/>
        </w:rPr>
        <w:t>%</w:t>
      </w:r>
      <w:r w:rsidR="00711D84" w:rsidRPr="00BF2AAC">
        <w:rPr>
          <w:rFonts w:ascii="Book Antiqua" w:hAnsi="Book Antiqua"/>
          <w:sz w:val="24"/>
          <w:szCs w:val="24"/>
          <w:lang w:val="en-GB"/>
        </w:rPr>
        <w:t xml:space="preserve"> and 5 %. There were no surgery-related deaths in our cohort, but the argument for approaching LR T1b OAC with endoscopic therapy is based on the published data where the rate on LNM is lower than that of surgical mortality. </w:t>
      </w:r>
    </w:p>
    <w:p w14:paraId="57B32032" w14:textId="2F242803"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There was no statistically significant disease-specific survival benefit for patients treated surgically compared to patients treated conservatively in our study. Even in the high-risk patient group, although a trend toward better survival of surgery patients was observed, this was not statistically significant. Furthermore, OAC-related deaths were comparable in both groups. Here, we should highlight the high mortality of patients in our cohort due to conditions not related to OAC. There were 26% of patients in the conservative group who died of non-OAC-related disease (none in the surgery group) and only 13% died of OAC. It is important not to over-treat cancer in these patients. Furthermore, we observed that 2 out of 4 patients died of OAC despite oesophagectomy and removal of positive local lymph nodes. Thus, in these data, surgery did not always cure T1b OAC. One possible explanation is that the tumour had spread to lymph nodes outside the surgical resection field. Alternatively, a recently published study on metastatic colorectal cancer proposes a model that some distant metastases might arise independently of lymph node metastases</w:t>
      </w:r>
      <w:r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fldChar w:fldCharType="begin" w:fldLock="1"/>
      </w:r>
      <w:r w:rsidR="00903BF1" w:rsidRPr="00BF2AAC">
        <w:rPr>
          <w:rFonts w:ascii="Book Antiqua" w:hAnsi="Book Antiqua" w:cs="Times New Roman"/>
          <w:sz w:val="24"/>
          <w:szCs w:val="24"/>
          <w:lang w:val="en-GB"/>
        </w:rPr>
        <w:instrText>ADDIN CSL_CITATION {"citationItems":[{"id":"ITEM-1","itemData":{"DOI":"10.1126/science.aai8515","ISSN":"0036-8075","PMID":"28684519","abstract":"The spread of cancer cells from primary tumors to regional lymph nodes is often associated with reduced survival. One prevailing model to explain this association posits that fatal, distant metastases are seeded by lymph node metastases. This view provides a mechanistic basis for the TNM staging system and is the rationale for surgical resection of tumor-draining lymph nodes. Here we examine the evolutionary relationship between primary tumor, lymph node, and distant metastases in human colorectal cancer. Studying 213 archival biopsy samples from 17 patients, we used somatic variants in hypermutable DNA regions to reconstruct high-confidence phylogenetic trees.We found that in 65% of cases, lymphatic and distant metastases arose from independent subclones in the primary tumor, whereas in 35% of cases they shared common subclonal origin. Therefore, two different lineage relationships between lymphatic and distant metastases exist in colorectal cancer.","author":[{"dropping-particle":"","family":"Naxerova","given":"Kamila","non-dropping-particle":"","parse-names":false,"suffix":""},{"dropping-particle":"","family":"Reiter","given":"Johannes G.","non-dropping-particle":"","parse-names":false,"suffix":""},{"dropping-particle":"","family":"Brachtel","given":"Elena","non-dropping-particle":"","parse-names":false,"suffix":""},{"dropping-particle":"","family":"Lennerz","given":"Jochen K.","non-dropping-particle":"","parse-names":false,"suffix":""},{"dropping-particle":"","family":"Wetering","given":"Marc","non-dropping-particle":"van de","parse-names":false,"suffix":""},{"dropping-particle":"","family":"Rowan","given":"Andrew","non-dropping-particle":"","parse-names":false,"suffix":""},{"dropping-particle":"","family":"Cai","given":"Tianxi","non-dropping-particle":"","parse-names":false,"suffix":""},{"dropping-particle":"","family":"Clevers","given":"Hans","non-dropping-particle":"","parse-names":false,"suffix":""},{"dropping-particle":"","family":"Swanton","given":"Charles","non-dropping-particle":"","parse-names":false,"suffix":""},{"dropping-particle":"","family":"Nowak","given":"Martin A.","non-dropping-particle":"","parse-names":false,"suffix":""},{"dropping-particle":"","family":"Elledge","given":"Stephen J.","non-dropping-particle":"","parse-names":false,"suffix":""},{"dropping-particle":"","family":"Jain","given":"Rakesh K.","non-dropping-particle":"","parse-names":false,"suffix":""}],"container-title":"Science","id":"ITEM-1","issue":"6346","issued":{"date-parts":[["2017"]]},"page":"55-60","title":"Origins of lymphatic and distant metastases in human colorectal cancer","type":"article-journal","volume":"357"},"uris":["http://www.mendeley.com/documents/?uuid=81f93378-39f4-474b-a29f-05eeeb97fe56","http://www.mendeley.com/documents/?uuid=1955c742-dd50-4967-9c56-60f02832b978"]}],"mendeley":{"formattedCitation":"&lt;sup&gt;21&lt;/sup&gt;","plainTextFormattedCitation":"21","previouslyFormattedCitation":"&lt;sup&gt;21&lt;/sup&gt;"},"properties":{"noteIndex":0},"schema":"https://github.com/citation-style-language/schema/raw/master/csl-citation.json"}</w:instrText>
      </w:r>
      <w:r w:rsidR="00711D84" w:rsidRPr="00BF2AAC">
        <w:rPr>
          <w:rFonts w:ascii="Book Antiqua" w:hAnsi="Book Antiqua" w:cs="Times New Roman"/>
          <w:sz w:val="24"/>
          <w:szCs w:val="24"/>
          <w:lang w:val="en-GB"/>
        </w:rPr>
        <w:fldChar w:fldCharType="separate"/>
      </w:r>
      <w:r w:rsidR="00903BF1" w:rsidRPr="00BF2AAC">
        <w:rPr>
          <w:rFonts w:ascii="Book Antiqua" w:hAnsi="Book Antiqua" w:cs="Times New Roman"/>
          <w:noProof/>
          <w:sz w:val="24"/>
          <w:szCs w:val="24"/>
          <w:vertAlign w:val="superscript"/>
          <w:lang w:val="en-GB"/>
        </w:rPr>
        <w:t>21</w:t>
      </w:r>
      <w:r w:rsidR="00711D84" w:rsidRPr="00BF2AAC">
        <w:rPr>
          <w:rFonts w:ascii="Book Antiqua" w:hAnsi="Book Antiqua" w:cs="Times New Roman"/>
          <w:sz w:val="24"/>
          <w:szCs w:val="24"/>
          <w:lang w:val="en-GB"/>
        </w:rPr>
        <w:fldChar w:fldCharType="end"/>
      </w:r>
      <w:r w:rsidRPr="00BF2AAC">
        <w:rPr>
          <w:rFonts w:ascii="Book Antiqua" w:hAnsi="Book Antiqua" w:cs="Times New Roman"/>
          <w:sz w:val="24"/>
          <w:szCs w:val="24"/>
          <w:vertAlign w:val="superscript"/>
          <w:lang w:val="en-GB"/>
        </w:rPr>
        <w:t>]</w:t>
      </w:r>
      <w:r w:rsidR="00711D84" w:rsidRPr="00BF2AAC">
        <w:rPr>
          <w:rFonts w:ascii="Book Antiqua" w:hAnsi="Book Antiqua" w:cs="Times New Roman"/>
          <w:sz w:val="24"/>
          <w:szCs w:val="24"/>
          <w:lang w:val="en-GB"/>
        </w:rPr>
        <w:t>. If this were true for OAC, oesophagectomy with nodal clearance would not prevent metastatic disease due to haematogenous cancer spread. In this case (neoadjuvant) chemotherapy might be the preferred treatment.</w:t>
      </w:r>
    </w:p>
    <w:p w14:paraId="0DE7159A" w14:textId="191FCEA3" w:rsidR="00711D84"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lastRenderedPageBreak/>
        <w:t xml:space="preserve">  </w:t>
      </w:r>
      <w:r w:rsidR="00711D84" w:rsidRPr="00BF2AAC">
        <w:rPr>
          <w:rFonts w:ascii="Book Antiqua" w:hAnsi="Book Antiqua" w:cs="Times New Roman"/>
          <w:sz w:val="24"/>
          <w:szCs w:val="24"/>
          <w:lang w:val="en-GB"/>
        </w:rPr>
        <w:t xml:space="preserve">An unexpected feature in our cohort was a high percentage (84%) of incomplete (R1) endoscopic mucosal resections. This was at least partly due to our histopathologic criteria of at least 1 mm clear resection margin, which is difficult to achieve by EMR technique with tumours invading relatively thin oesophageal submucosal layer of approximately 1-1.5 mm. Thus, the percentage of R1 endoscopic resections in our cohort might have been overestimated. The evidence supporting this is that 32% of all patients in the surgery group (7/22) who were classified as R1 on EMR had no residual cancer identified in the surgical resection specimen. In retrospect, even though none of these patients developed metastatic disease, surgery should not be considered over-treatment as all of these tumours, apart from 1, demonstrated other high-risk features. Possible overestimation of R1 endoscopic resections could also explain the relatively low rate of local recurrence and metastatic disease in patients with R1 EMR, who did not undergo additional resection (surgical or endoscopic). </w:t>
      </w:r>
    </w:p>
    <w:p w14:paraId="6ACE23BB" w14:textId="74470AFE" w:rsidR="00637ABE" w:rsidRPr="00BF2AAC" w:rsidRDefault="0001781A"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  </w:t>
      </w:r>
      <w:r w:rsidR="00711D84" w:rsidRPr="00BF2AAC">
        <w:rPr>
          <w:rFonts w:ascii="Book Antiqua" w:hAnsi="Book Antiqua" w:cs="Times New Roman"/>
          <w:sz w:val="24"/>
          <w:szCs w:val="24"/>
          <w:lang w:val="en-GB"/>
        </w:rPr>
        <w:t>In conclusion, endoscopic therapy appears to be equal if not preferable to surgery in submucosal OAC with low-risk histopathologic features. In high-risk OAC, a conservative approach is a viable alternative to surgery, especially for selected patients and those with poor performance status. Further prospective studies are required to provide solid clinical evidence on this important issue.</w:t>
      </w:r>
    </w:p>
    <w:p w14:paraId="2252A175" w14:textId="77777777" w:rsidR="0001781A" w:rsidRPr="00BF2AAC" w:rsidRDefault="0001781A" w:rsidP="00BF2AAC">
      <w:pPr>
        <w:adjustRightInd w:val="0"/>
        <w:snapToGrid w:val="0"/>
        <w:spacing w:after="0" w:line="360" w:lineRule="auto"/>
        <w:jc w:val="both"/>
        <w:rPr>
          <w:rFonts w:ascii="Book Antiqua" w:hAnsi="Book Antiqua" w:cs="Times New Roman"/>
          <w:b/>
          <w:sz w:val="24"/>
          <w:szCs w:val="24"/>
          <w:lang w:val="en-GB"/>
        </w:rPr>
      </w:pPr>
    </w:p>
    <w:p w14:paraId="14CD34D0" w14:textId="77777777" w:rsidR="00637ABE" w:rsidRPr="00BF2AAC" w:rsidRDefault="00637ABE"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t>ARTICLE HIGHLIGHTS</w:t>
      </w:r>
    </w:p>
    <w:p w14:paraId="155C260D" w14:textId="77777777" w:rsidR="00637ABE"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Research background</w:t>
      </w:r>
    </w:p>
    <w:p w14:paraId="448F2D65" w14:textId="09DCEF86" w:rsidR="00637ABE" w:rsidRPr="00BF2AAC" w:rsidRDefault="00C94EE0"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This study provides long-term outcome data on patients with submucosal oesophageal adenocarcinoma.</w:t>
      </w:r>
    </w:p>
    <w:p w14:paraId="5708D155"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11BF49F2" w14:textId="77777777" w:rsidR="00637ABE"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Research motivation</w:t>
      </w:r>
    </w:p>
    <w:p w14:paraId="5EADA51F" w14:textId="301306A9" w:rsidR="00637ABE" w:rsidRPr="00BF2AAC" w:rsidRDefault="00637ABE"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The optimal management of submucosal oesophageal adenocarcinoma is not clearly defined. Data suggests endoscopic therapy may be a viable alternative to surgery</w:t>
      </w:r>
      <w:r w:rsidR="00E4161F" w:rsidRPr="00BF2AAC">
        <w:rPr>
          <w:rFonts w:ascii="Book Antiqua" w:hAnsi="Book Antiqua" w:cs="Times New Roman"/>
          <w:sz w:val="24"/>
          <w:szCs w:val="24"/>
          <w:lang w:val="en-GB"/>
        </w:rPr>
        <w:t xml:space="preserve"> and thus radically change the treatment paradigm. </w:t>
      </w:r>
    </w:p>
    <w:p w14:paraId="08537CD4"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13C4B4CD" w14:textId="77777777" w:rsidR="00637ABE"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lastRenderedPageBreak/>
        <w:t>Research objectives</w:t>
      </w:r>
    </w:p>
    <w:p w14:paraId="753FD9AE" w14:textId="05E8876B" w:rsidR="00637ABE" w:rsidRPr="00BF2AAC" w:rsidRDefault="00E4161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To analyse our data from a large tertiary specialist centre on the management of patients with submucosal oesophageal adenocarcinoma in order to support the potential for endoscopic therapy for these patients. In addition</w:t>
      </w:r>
      <w:r w:rsidR="0001781A"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we feel our work promotes the need for a large-scale multi-centre trial exploring endoscopic therapy for submucosal lesions.</w:t>
      </w:r>
    </w:p>
    <w:p w14:paraId="449FC267"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13CC98CD" w14:textId="77777777" w:rsidR="00637ABE"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Research methods</w:t>
      </w:r>
    </w:p>
    <w:p w14:paraId="25AA4152" w14:textId="6FDB8756" w:rsidR="00C94EE0" w:rsidRPr="00BF2AAC" w:rsidRDefault="00E4161F"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This was a retrospective cohort study that uniquely offers long-term outcomes on patients with high-risk and low-risk oesophageal </w:t>
      </w:r>
      <w:r w:rsidR="00C94EE0" w:rsidRPr="00BF2AAC">
        <w:rPr>
          <w:rFonts w:ascii="Book Antiqua" w:hAnsi="Book Antiqua" w:cs="Times New Roman"/>
          <w:sz w:val="24"/>
          <w:szCs w:val="24"/>
          <w:lang w:val="en-GB"/>
        </w:rPr>
        <w:t>submucosal lesions who received surgery and endoscopic therapy.</w:t>
      </w:r>
    </w:p>
    <w:p w14:paraId="3FF1BB8A"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7FB6326B" w14:textId="77777777" w:rsidR="00637ABE"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Research results</w:t>
      </w:r>
    </w:p>
    <w:p w14:paraId="57EC940C" w14:textId="37FF1278" w:rsidR="00637ABE" w:rsidRPr="00BF2AAC" w:rsidRDefault="006B70A3"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Lymph node metastases were detected in 18% of patients who had undergone conservative management. There was no statistically significant difference in tumour-related deaths between those treated surgically or conservatively and disease-specific survival time was also comparable between the two treatment strategies.</w:t>
      </w:r>
    </w:p>
    <w:p w14:paraId="37B479F8"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1DACCE1C" w14:textId="77777777" w:rsidR="00637ABE"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Research conclusions</w:t>
      </w:r>
    </w:p>
    <w:p w14:paraId="062FD3CA" w14:textId="21B7FAF5" w:rsidR="00637ABE" w:rsidRPr="00BF2AAC" w:rsidRDefault="006B70A3"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This study provides supporting data for the potential of endoscopic therapy in the management of submucosal oesophageal adenocarcinoma. In particular</w:t>
      </w:r>
      <w:r w:rsidR="0001781A" w:rsidRPr="00BF2AAC">
        <w:rPr>
          <w:rFonts w:ascii="Book Antiqua" w:hAnsi="Book Antiqua" w:cs="Times New Roman"/>
          <w:sz w:val="24"/>
          <w:szCs w:val="24"/>
          <w:lang w:val="en-GB"/>
        </w:rPr>
        <w:t>,</w:t>
      </w:r>
      <w:r w:rsidRPr="00BF2AAC">
        <w:rPr>
          <w:rFonts w:ascii="Book Antiqua" w:hAnsi="Book Antiqua" w:cs="Times New Roman"/>
          <w:sz w:val="24"/>
          <w:szCs w:val="24"/>
          <w:lang w:val="en-GB"/>
        </w:rPr>
        <w:t xml:space="preserve"> the work suggests that endoscopic therapy may be a viable alternative to surgery in selected patients. This work could support a change to the treatment strategy for submucosal lesions.</w:t>
      </w:r>
    </w:p>
    <w:p w14:paraId="2A235702" w14:textId="77777777" w:rsidR="0001781A" w:rsidRPr="00BF2AAC" w:rsidRDefault="0001781A" w:rsidP="00BF2AAC">
      <w:pPr>
        <w:adjustRightInd w:val="0"/>
        <w:snapToGrid w:val="0"/>
        <w:spacing w:after="0" w:line="360" w:lineRule="auto"/>
        <w:jc w:val="both"/>
        <w:rPr>
          <w:rFonts w:ascii="Book Antiqua" w:hAnsi="Book Antiqua" w:cs="Times New Roman"/>
          <w:b/>
          <w:i/>
          <w:sz w:val="24"/>
          <w:szCs w:val="24"/>
          <w:lang w:val="en-GB"/>
        </w:rPr>
      </w:pPr>
    </w:p>
    <w:p w14:paraId="7F3183BA" w14:textId="77777777" w:rsidR="00C94EE0" w:rsidRPr="00BF2AAC" w:rsidRDefault="00637ABE" w:rsidP="00BF2AAC">
      <w:pPr>
        <w:adjustRightInd w:val="0"/>
        <w:snapToGrid w:val="0"/>
        <w:spacing w:after="0" w:line="360" w:lineRule="auto"/>
        <w:jc w:val="both"/>
        <w:outlineLvl w:val="0"/>
        <w:rPr>
          <w:rFonts w:ascii="Book Antiqua" w:hAnsi="Book Antiqua" w:cs="Times New Roman"/>
          <w:b/>
          <w:i/>
          <w:sz w:val="24"/>
          <w:szCs w:val="24"/>
          <w:lang w:val="en-GB"/>
        </w:rPr>
      </w:pPr>
      <w:r w:rsidRPr="00BF2AAC">
        <w:rPr>
          <w:rFonts w:ascii="Book Antiqua" w:hAnsi="Book Antiqua" w:cs="Times New Roman"/>
          <w:b/>
          <w:i/>
          <w:sz w:val="24"/>
          <w:szCs w:val="24"/>
          <w:lang w:val="en-GB"/>
        </w:rPr>
        <w:t>Research perspectives</w:t>
      </w:r>
    </w:p>
    <w:p w14:paraId="75347CF3" w14:textId="2C7F442A" w:rsidR="00711D84" w:rsidRPr="00BF2AAC" w:rsidRDefault="00C94EE0"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 xml:space="preserve">Low-risk submucosal lesions can be safely treated endoscopically whilst our research suggests that endoscopic therapy may be a viable option for high-risk lesions. This </w:t>
      </w:r>
      <w:r w:rsidRPr="00BF2AAC">
        <w:rPr>
          <w:rFonts w:ascii="Book Antiqua" w:hAnsi="Book Antiqua" w:cs="Times New Roman"/>
          <w:sz w:val="24"/>
          <w:szCs w:val="24"/>
          <w:lang w:val="en-GB"/>
        </w:rPr>
        <w:lastRenderedPageBreak/>
        <w:t xml:space="preserve">study supports the need for a large-scale multicentre study addressing this uncertainty in the treatment paradigm. </w:t>
      </w:r>
    </w:p>
    <w:p w14:paraId="5396FC44" w14:textId="77777777" w:rsidR="009C069D" w:rsidRPr="00BF2AAC" w:rsidRDefault="009C069D" w:rsidP="00BF2AAC">
      <w:pPr>
        <w:adjustRightInd w:val="0"/>
        <w:snapToGrid w:val="0"/>
        <w:spacing w:after="0" w:line="360" w:lineRule="auto"/>
        <w:rPr>
          <w:rFonts w:ascii="Book Antiqua" w:hAnsi="Book Antiqua" w:cs="Times New Roman"/>
          <w:b/>
          <w:sz w:val="24"/>
          <w:szCs w:val="24"/>
          <w:lang w:val="en-GB"/>
        </w:rPr>
      </w:pPr>
      <w:r w:rsidRPr="00BF2AAC">
        <w:rPr>
          <w:rFonts w:ascii="Book Antiqua" w:hAnsi="Book Antiqua" w:cs="Times New Roman"/>
          <w:b/>
          <w:sz w:val="24"/>
          <w:szCs w:val="24"/>
          <w:lang w:val="en-GB"/>
        </w:rPr>
        <w:br w:type="page"/>
      </w:r>
    </w:p>
    <w:p w14:paraId="69EE2BC2" w14:textId="34FC7165" w:rsidR="00711D84" w:rsidRPr="00BF2AAC" w:rsidRDefault="009C069D"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lastRenderedPageBreak/>
        <w:t>REFERENCES</w:t>
      </w:r>
    </w:p>
    <w:p w14:paraId="0770169B" w14:textId="77777777" w:rsidR="003477C9" w:rsidRPr="00BF2AAC" w:rsidRDefault="00711D84" w:rsidP="00BF2AAC">
      <w:pPr>
        <w:widowControl w:val="0"/>
        <w:autoSpaceDE w:val="0"/>
        <w:autoSpaceDN w:val="0"/>
        <w:adjustRightInd w:val="0"/>
        <w:snapToGrid w:val="0"/>
        <w:spacing w:after="0" w:line="360" w:lineRule="auto"/>
        <w:jc w:val="both"/>
        <w:rPr>
          <w:rFonts w:ascii="Book Antiqua" w:hAnsi="Book Antiqua"/>
          <w:noProof/>
          <w:sz w:val="24"/>
          <w:szCs w:val="24"/>
        </w:rPr>
      </w:pPr>
      <w:r w:rsidRPr="00BF2AAC">
        <w:rPr>
          <w:rFonts w:ascii="Book Antiqua" w:hAnsi="Book Antiqua" w:cs="Times New Roman"/>
          <w:sz w:val="24"/>
          <w:szCs w:val="24"/>
          <w:lang w:val="en-GB"/>
        </w:rPr>
        <w:fldChar w:fldCharType="begin" w:fldLock="1"/>
      </w:r>
      <w:r w:rsidRPr="00BF2AAC">
        <w:rPr>
          <w:rFonts w:ascii="Book Antiqua" w:hAnsi="Book Antiqua" w:cs="Times New Roman"/>
          <w:sz w:val="24"/>
          <w:szCs w:val="24"/>
          <w:lang w:val="en-GB"/>
        </w:rPr>
        <w:instrText xml:space="preserve">ADDIN Mendeley Bibliography CSL_BIBLIOGRAPHY </w:instrText>
      </w:r>
      <w:r w:rsidRPr="00BF2AAC">
        <w:rPr>
          <w:rFonts w:ascii="Book Antiqua" w:hAnsi="Book Antiqua" w:cs="Times New Roman"/>
          <w:sz w:val="24"/>
          <w:szCs w:val="24"/>
          <w:lang w:val="en-GB"/>
        </w:rPr>
        <w:fldChar w:fldCharType="separate"/>
      </w:r>
      <w:r w:rsidR="003477C9" w:rsidRPr="00BF2AAC">
        <w:rPr>
          <w:rFonts w:ascii="Book Antiqua" w:hAnsi="Book Antiqua"/>
          <w:noProof/>
          <w:sz w:val="24"/>
          <w:szCs w:val="24"/>
        </w:rPr>
        <w:t>1 </w:t>
      </w:r>
      <w:r w:rsidR="003477C9" w:rsidRPr="00BF2AAC">
        <w:rPr>
          <w:rFonts w:ascii="Book Antiqua" w:hAnsi="Book Antiqua"/>
          <w:b/>
          <w:bCs/>
          <w:noProof/>
          <w:sz w:val="24"/>
          <w:szCs w:val="24"/>
        </w:rPr>
        <w:t>Pech O</w:t>
      </w:r>
      <w:r w:rsidR="003477C9" w:rsidRPr="00BF2AAC">
        <w:rPr>
          <w:rFonts w:ascii="Book Antiqua" w:hAnsi="Book Antiqua"/>
          <w:noProof/>
          <w:sz w:val="24"/>
          <w:szCs w:val="24"/>
        </w:rPr>
        <w:t>, May A, Manner H, Behrens A, Pohl J, Weferling M, Hartmann U, Manner N, Huijsmans J, Gossner L, Rabenstein T, Vieth M, Stolte M, Ell C. Long-term efficacy and safety of endoscopic resection for patients with mucosal adenocarcinoma of the esophagus. </w:t>
      </w:r>
      <w:r w:rsidR="003477C9" w:rsidRPr="00BF2AAC">
        <w:rPr>
          <w:rFonts w:ascii="Book Antiqua" w:hAnsi="Book Antiqua"/>
          <w:i/>
          <w:iCs/>
          <w:noProof/>
          <w:sz w:val="24"/>
          <w:szCs w:val="24"/>
        </w:rPr>
        <w:t>Gastroenterology</w:t>
      </w:r>
      <w:r w:rsidR="003477C9" w:rsidRPr="00BF2AAC">
        <w:rPr>
          <w:rFonts w:ascii="Book Antiqua" w:hAnsi="Book Antiqua"/>
          <w:noProof/>
          <w:sz w:val="24"/>
          <w:szCs w:val="24"/>
        </w:rPr>
        <w:t> 2014; </w:t>
      </w:r>
      <w:r w:rsidR="003477C9" w:rsidRPr="00BF2AAC">
        <w:rPr>
          <w:rFonts w:ascii="Book Antiqua" w:hAnsi="Book Antiqua"/>
          <w:b/>
          <w:bCs/>
          <w:noProof/>
          <w:sz w:val="24"/>
          <w:szCs w:val="24"/>
        </w:rPr>
        <w:t>146</w:t>
      </w:r>
      <w:r w:rsidR="003477C9" w:rsidRPr="00BF2AAC">
        <w:rPr>
          <w:rFonts w:ascii="Book Antiqua" w:hAnsi="Book Antiqua"/>
          <w:noProof/>
          <w:sz w:val="24"/>
          <w:szCs w:val="24"/>
        </w:rPr>
        <w:t>: 652-660.e1 [PMID: 24269290 DOI: 10.1053/j.gastro.2013.11.006]</w:t>
      </w:r>
    </w:p>
    <w:p w14:paraId="721FEBC8"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2 </w:t>
      </w:r>
      <w:r w:rsidRPr="00BF2AAC">
        <w:rPr>
          <w:rFonts w:ascii="Book Antiqua" w:hAnsi="Book Antiqua" w:cs="Times New Roman"/>
          <w:b/>
          <w:bCs/>
          <w:noProof/>
          <w:sz w:val="24"/>
          <w:szCs w:val="24"/>
        </w:rPr>
        <w:t>Haidry RJ</w:t>
      </w:r>
      <w:r w:rsidRPr="00BF2AAC">
        <w:rPr>
          <w:rFonts w:ascii="Book Antiqua" w:hAnsi="Book Antiqua" w:cs="Times New Roman"/>
          <w:noProof/>
          <w:sz w:val="24"/>
          <w:szCs w:val="24"/>
        </w:rPr>
        <w:t>, Dunn JM, Butt MA, Burnell MG, Gupta A, Green S, Miah H, Smart HL, Bhandari P, Smith LA, Willert R, Fullarton G, Morris J, Di Pietro M, Gordon C, Penman I, Barr H, Patel P, Boger P, Kapoor N, Mahon B, Hoare J, Narayanasamy R, O'Toole D, Cheong E, Direkze NC, Ang Y, Novelli M, Banks MR, Lovat LB. Radiofrequency ablation and endoscopic mucosal resection for dysplastic barrett's esophagus and early esophageal adenocarcinoma: outcomes of the UK National Halo RFA Registry. </w:t>
      </w:r>
      <w:r w:rsidRPr="00BF2AAC">
        <w:rPr>
          <w:rFonts w:ascii="Book Antiqua" w:hAnsi="Book Antiqua" w:cs="Times New Roman"/>
          <w:i/>
          <w:iCs/>
          <w:noProof/>
          <w:sz w:val="24"/>
          <w:szCs w:val="24"/>
        </w:rPr>
        <w:t>Gastroenterology</w:t>
      </w:r>
      <w:r w:rsidRPr="00BF2AAC">
        <w:rPr>
          <w:rFonts w:ascii="Book Antiqua" w:hAnsi="Book Antiqua" w:cs="Times New Roman"/>
          <w:noProof/>
          <w:sz w:val="24"/>
          <w:szCs w:val="24"/>
        </w:rPr>
        <w:t> 2013; </w:t>
      </w:r>
      <w:r w:rsidRPr="00BF2AAC">
        <w:rPr>
          <w:rFonts w:ascii="Book Antiqua" w:hAnsi="Book Antiqua" w:cs="Times New Roman"/>
          <w:b/>
          <w:bCs/>
          <w:noProof/>
          <w:sz w:val="24"/>
          <w:szCs w:val="24"/>
        </w:rPr>
        <w:t>145</w:t>
      </w:r>
      <w:r w:rsidRPr="00BF2AAC">
        <w:rPr>
          <w:rFonts w:ascii="Book Antiqua" w:hAnsi="Book Antiqua" w:cs="Times New Roman"/>
          <w:noProof/>
          <w:sz w:val="24"/>
          <w:szCs w:val="24"/>
        </w:rPr>
        <w:t>: 87-95 [PMID: 23542069 DOI: 10.1053/j.gastro.2013.03.045]</w:t>
      </w:r>
    </w:p>
    <w:p w14:paraId="4DA54FB1" w14:textId="0478766E"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3</w:t>
      </w:r>
      <w:r w:rsidRPr="00BF2AAC">
        <w:rPr>
          <w:rFonts w:ascii="Book Antiqua" w:eastAsia="Times New Roman" w:hAnsi="Book Antiqua" w:cs="Times New Roman"/>
          <w:b/>
          <w:bCs/>
          <w:color w:val="1E395B"/>
          <w:kern w:val="0"/>
          <w:sz w:val="24"/>
          <w:szCs w:val="24"/>
          <w:lang w:eastAsia="zh-CN"/>
        </w:rPr>
        <w:t xml:space="preserve"> </w:t>
      </w:r>
      <w:r w:rsidRPr="00BF2AAC">
        <w:rPr>
          <w:rFonts w:ascii="Book Antiqua" w:hAnsi="Book Antiqua" w:cs="Times New Roman"/>
          <w:b/>
          <w:bCs/>
          <w:noProof/>
          <w:sz w:val="24"/>
          <w:szCs w:val="24"/>
        </w:rPr>
        <w:t>Haidry RJ</w:t>
      </w:r>
      <w:r w:rsidRPr="00BF2AAC">
        <w:rPr>
          <w:rFonts w:ascii="Book Antiqua" w:hAnsi="Book Antiqua" w:cs="Times New Roman"/>
          <w:noProof/>
          <w:sz w:val="24"/>
          <w:szCs w:val="24"/>
        </w:rPr>
        <w:t>, Butt MA, Dunn JM, Gupta A, Lipman G, Smart HL, Bhandari P, Smith L, Willert R, Fullarton G, Di Pietro M, Gordon C, Penman I, Barr H, Patel P, Kapoor N, Hoare J, Narayanasamy R, Ang Y, Veitch A, Ragunath K, Novelli M, Lovat LB; UK RFA Registry. Improvement over time in outcomes for patients undergoing endoscopic therapy for Barrett's oesophagus-related neoplasia: 6-year experience from the first 500 patients treated in the UK patient registry. </w:t>
      </w:r>
      <w:r w:rsidRPr="00BF2AAC">
        <w:rPr>
          <w:rFonts w:ascii="Book Antiqua" w:hAnsi="Book Antiqua" w:cs="Times New Roman"/>
          <w:i/>
          <w:iCs/>
          <w:noProof/>
          <w:sz w:val="24"/>
          <w:szCs w:val="24"/>
        </w:rPr>
        <w:t>Gut</w:t>
      </w:r>
      <w:r w:rsidRPr="00BF2AAC">
        <w:rPr>
          <w:rFonts w:ascii="Book Antiqua" w:hAnsi="Book Antiqua" w:cs="Times New Roman"/>
          <w:noProof/>
          <w:sz w:val="24"/>
          <w:szCs w:val="24"/>
        </w:rPr>
        <w:t> 2015; </w:t>
      </w:r>
      <w:r w:rsidRPr="00BF2AAC">
        <w:rPr>
          <w:rFonts w:ascii="Book Antiqua" w:hAnsi="Book Antiqua" w:cs="Times New Roman"/>
          <w:b/>
          <w:bCs/>
          <w:noProof/>
          <w:sz w:val="24"/>
          <w:szCs w:val="24"/>
        </w:rPr>
        <w:t>64</w:t>
      </w:r>
      <w:r w:rsidRPr="00BF2AAC">
        <w:rPr>
          <w:rFonts w:ascii="Book Antiqua" w:hAnsi="Book Antiqua" w:cs="Times New Roman"/>
          <w:noProof/>
          <w:sz w:val="24"/>
          <w:szCs w:val="24"/>
        </w:rPr>
        <w:t>: 1192-1199 [PMID: 25539672 DOI: 10.1136/gutjnl-2014-308501]</w:t>
      </w:r>
    </w:p>
    <w:p w14:paraId="59EF12D7"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4 </w:t>
      </w:r>
      <w:r w:rsidRPr="00BF2AAC">
        <w:rPr>
          <w:rFonts w:ascii="Book Antiqua" w:hAnsi="Book Antiqua" w:cs="Times New Roman"/>
          <w:b/>
          <w:bCs/>
          <w:noProof/>
          <w:sz w:val="24"/>
          <w:szCs w:val="24"/>
        </w:rPr>
        <w:t>Luigiano C</w:t>
      </w:r>
      <w:r w:rsidRPr="00BF2AAC">
        <w:rPr>
          <w:rFonts w:ascii="Book Antiqua" w:hAnsi="Book Antiqua" w:cs="Times New Roman"/>
          <w:noProof/>
          <w:sz w:val="24"/>
          <w:szCs w:val="24"/>
        </w:rPr>
        <w:t>, Iabichino G, Eusebi LH, Arena M, Consolo P, Morace C, Opocher E, Mangiavillano B. Outcomes of Radiofrequency Ablation for Dysplastic Barrett's Esophagus: A Comprehensive Review. </w:t>
      </w:r>
      <w:r w:rsidRPr="00BF2AAC">
        <w:rPr>
          <w:rFonts w:ascii="Book Antiqua" w:hAnsi="Book Antiqua" w:cs="Times New Roman"/>
          <w:i/>
          <w:iCs/>
          <w:noProof/>
          <w:sz w:val="24"/>
          <w:szCs w:val="24"/>
        </w:rPr>
        <w:t>Gastroenterol Res Pract</w:t>
      </w:r>
      <w:r w:rsidRPr="00BF2AAC">
        <w:rPr>
          <w:rFonts w:ascii="Book Antiqua" w:hAnsi="Book Antiqua" w:cs="Times New Roman"/>
          <w:noProof/>
          <w:sz w:val="24"/>
          <w:szCs w:val="24"/>
        </w:rPr>
        <w:t> 2016; </w:t>
      </w:r>
      <w:r w:rsidRPr="00BF2AAC">
        <w:rPr>
          <w:rFonts w:ascii="Book Antiqua" w:hAnsi="Book Antiqua" w:cs="Times New Roman"/>
          <w:b/>
          <w:bCs/>
          <w:noProof/>
          <w:sz w:val="24"/>
          <w:szCs w:val="24"/>
        </w:rPr>
        <w:t>2016</w:t>
      </w:r>
      <w:r w:rsidRPr="00BF2AAC">
        <w:rPr>
          <w:rFonts w:ascii="Book Antiqua" w:hAnsi="Book Antiqua" w:cs="Times New Roman"/>
          <w:noProof/>
          <w:sz w:val="24"/>
          <w:szCs w:val="24"/>
        </w:rPr>
        <w:t>: 4249510 [PMID: 28070182 DOI: 10.1155/2016/4249510]</w:t>
      </w:r>
    </w:p>
    <w:p w14:paraId="43B29E44"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5 </w:t>
      </w:r>
      <w:r w:rsidRPr="00BF2AAC">
        <w:rPr>
          <w:rFonts w:ascii="Book Antiqua" w:hAnsi="Book Antiqua" w:cs="Times New Roman"/>
          <w:b/>
          <w:bCs/>
          <w:noProof/>
          <w:sz w:val="24"/>
          <w:szCs w:val="24"/>
        </w:rPr>
        <w:t>Fitzgerald RC</w:t>
      </w:r>
      <w:r w:rsidRPr="00BF2AAC">
        <w:rPr>
          <w:rFonts w:ascii="Book Antiqua" w:hAnsi="Book Antiqua" w:cs="Times New Roman"/>
          <w:noProof/>
          <w:sz w:val="24"/>
          <w:szCs w:val="24"/>
        </w:rPr>
        <w:t xml:space="preserve">, di Pietro M, Ragunath K, Ang Y, Kang JY, Watson P, Trudgill N, Patel P, Kaye PV, Sanders S, O'Donovan M, Bird-Lieberman E, Bhandari P, Jankowski JA, Attwood S, Parsons SL, Loft D, Lagergren J, Moayyedi P, Lyratzopoulos G, de Caestecker J; British Society of Gastroenterology. British Society of Gastroenterology </w:t>
      </w:r>
      <w:r w:rsidRPr="00BF2AAC">
        <w:rPr>
          <w:rFonts w:ascii="Book Antiqua" w:hAnsi="Book Antiqua" w:cs="Times New Roman"/>
          <w:noProof/>
          <w:sz w:val="24"/>
          <w:szCs w:val="24"/>
        </w:rPr>
        <w:lastRenderedPageBreak/>
        <w:t>guidelines on the diagnosis and management of Barrett's oesophagus. </w:t>
      </w:r>
      <w:r w:rsidRPr="00BF2AAC">
        <w:rPr>
          <w:rFonts w:ascii="Book Antiqua" w:hAnsi="Book Antiqua" w:cs="Times New Roman"/>
          <w:i/>
          <w:iCs/>
          <w:noProof/>
          <w:sz w:val="24"/>
          <w:szCs w:val="24"/>
        </w:rPr>
        <w:t>Gut</w:t>
      </w:r>
      <w:r w:rsidRPr="00BF2AAC">
        <w:rPr>
          <w:rFonts w:ascii="Book Antiqua" w:hAnsi="Book Antiqua" w:cs="Times New Roman"/>
          <w:noProof/>
          <w:sz w:val="24"/>
          <w:szCs w:val="24"/>
        </w:rPr>
        <w:t> 2014; </w:t>
      </w:r>
      <w:r w:rsidRPr="00BF2AAC">
        <w:rPr>
          <w:rFonts w:ascii="Book Antiqua" w:hAnsi="Book Antiqua" w:cs="Times New Roman"/>
          <w:b/>
          <w:bCs/>
          <w:noProof/>
          <w:sz w:val="24"/>
          <w:szCs w:val="24"/>
        </w:rPr>
        <w:t>63</w:t>
      </w:r>
      <w:r w:rsidRPr="00BF2AAC">
        <w:rPr>
          <w:rFonts w:ascii="Book Antiqua" w:hAnsi="Book Antiqua" w:cs="Times New Roman"/>
          <w:noProof/>
          <w:sz w:val="24"/>
          <w:szCs w:val="24"/>
        </w:rPr>
        <w:t>: 7-42 [PMID: 24165758 DOI: 10.1136/gutjnl-2013-305372]</w:t>
      </w:r>
    </w:p>
    <w:p w14:paraId="366E8094"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6 </w:t>
      </w:r>
      <w:r w:rsidRPr="00BF2AAC">
        <w:rPr>
          <w:rFonts w:ascii="Book Antiqua" w:hAnsi="Book Antiqua" w:cs="Times New Roman"/>
          <w:b/>
          <w:bCs/>
          <w:noProof/>
          <w:sz w:val="24"/>
          <w:szCs w:val="24"/>
        </w:rPr>
        <w:t>Weusten B</w:t>
      </w:r>
      <w:r w:rsidRPr="00BF2AAC">
        <w:rPr>
          <w:rFonts w:ascii="Book Antiqua" w:hAnsi="Book Antiqua" w:cs="Times New Roman"/>
          <w:noProof/>
          <w:sz w:val="24"/>
          <w:szCs w:val="24"/>
        </w:rPr>
        <w:t>, Bisschops R, Coron E, Dinis-Ribeiro M, Dumonceau JM, Esteban JM, Hassan C, Pech O, Repici A, Bergman J, di Pietro M. Endoscopic management of Barrett's esophagus: European Society of Gastrointestinal Endoscopy (ESGE) Position Statement. </w:t>
      </w:r>
      <w:r w:rsidRPr="00BF2AAC">
        <w:rPr>
          <w:rFonts w:ascii="Book Antiqua" w:hAnsi="Book Antiqua" w:cs="Times New Roman"/>
          <w:i/>
          <w:iCs/>
          <w:noProof/>
          <w:sz w:val="24"/>
          <w:szCs w:val="24"/>
        </w:rPr>
        <w:t>Endoscopy</w:t>
      </w:r>
      <w:r w:rsidRPr="00BF2AAC">
        <w:rPr>
          <w:rFonts w:ascii="Book Antiqua" w:hAnsi="Book Antiqua" w:cs="Times New Roman"/>
          <w:noProof/>
          <w:sz w:val="24"/>
          <w:szCs w:val="24"/>
        </w:rPr>
        <w:t> 2017; </w:t>
      </w:r>
      <w:r w:rsidRPr="00BF2AAC">
        <w:rPr>
          <w:rFonts w:ascii="Book Antiqua" w:hAnsi="Book Antiqua" w:cs="Times New Roman"/>
          <w:b/>
          <w:bCs/>
          <w:noProof/>
          <w:sz w:val="24"/>
          <w:szCs w:val="24"/>
        </w:rPr>
        <w:t>49</w:t>
      </w:r>
      <w:r w:rsidRPr="00BF2AAC">
        <w:rPr>
          <w:rFonts w:ascii="Book Antiqua" w:hAnsi="Book Antiqua" w:cs="Times New Roman"/>
          <w:noProof/>
          <w:sz w:val="24"/>
          <w:szCs w:val="24"/>
        </w:rPr>
        <w:t>: 191-198 [PMID: 28122386 DOI: 10.1055/s-0042-122140]</w:t>
      </w:r>
    </w:p>
    <w:p w14:paraId="48477A7E"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7 </w:t>
      </w:r>
      <w:r w:rsidRPr="00BF2AAC">
        <w:rPr>
          <w:rFonts w:ascii="Book Antiqua" w:hAnsi="Book Antiqua" w:cs="Times New Roman"/>
          <w:b/>
          <w:bCs/>
          <w:noProof/>
          <w:sz w:val="24"/>
          <w:szCs w:val="24"/>
        </w:rPr>
        <w:t>Shaheen NJ</w:t>
      </w:r>
      <w:r w:rsidRPr="00BF2AAC">
        <w:rPr>
          <w:rFonts w:ascii="Book Antiqua" w:hAnsi="Book Antiqua" w:cs="Times New Roman"/>
          <w:noProof/>
          <w:sz w:val="24"/>
          <w:szCs w:val="24"/>
        </w:rPr>
        <w:t>, Falk GW, Iyer PG, Gerson LB; American College of Gastroenterology. ACG Clinical Guideline: Diagnosis and Management of Barrett's Esophagus. </w:t>
      </w:r>
      <w:r w:rsidRPr="00BF2AAC">
        <w:rPr>
          <w:rFonts w:ascii="Book Antiqua" w:hAnsi="Book Antiqua" w:cs="Times New Roman"/>
          <w:i/>
          <w:iCs/>
          <w:noProof/>
          <w:sz w:val="24"/>
          <w:szCs w:val="24"/>
        </w:rPr>
        <w:t>Am J Gastroenterol</w:t>
      </w:r>
      <w:r w:rsidRPr="00BF2AAC">
        <w:rPr>
          <w:rFonts w:ascii="Book Antiqua" w:hAnsi="Book Antiqua" w:cs="Times New Roman"/>
          <w:noProof/>
          <w:sz w:val="24"/>
          <w:szCs w:val="24"/>
        </w:rPr>
        <w:t> 2016; </w:t>
      </w:r>
      <w:r w:rsidRPr="00BF2AAC">
        <w:rPr>
          <w:rFonts w:ascii="Book Antiqua" w:hAnsi="Book Antiqua" w:cs="Times New Roman"/>
          <w:b/>
          <w:bCs/>
          <w:noProof/>
          <w:sz w:val="24"/>
          <w:szCs w:val="24"/>
        </w:rPr>
        <w:t>111</w:t>
      </w:r>
      <w:r w:rsidRPr="00BF2AAC">
        <w:rPr>
          <w:rFonts w:ascii="Book Antiqua" w:hAnsi="Book Antiqua" w:cs="Times New Roman"/>
          <w:noProof/>
          <w:sz w:val="24"/>
          <w:szCs w:val="24"/>
        </w:rPr>
        <w:t>: 30-50; quiz 51 [PMID: 26526079 DOI: 10.1038/ajg.2015.322]</w:t>
      </w:r>
    </w:p>
    <w:p w14:paraId="79330D9C"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8 </w:t>
      </w:r>
      <w:r w:rsidRPr="00BF2AAC">
        <w:rPr>
          <w:rFonts w:ascii="Book Antiqua" w:hAnsi="Book Antiqua" w:cs="Times New Roman"/>
          <w:b/>
          <w:bCs/>
          <w:noProof/>
          <w:sz w:val="24"/>
          <w:szCs w:val="24"/>
        </w:rPr>
        <w:t>Hölscher AH</w:t>
      </w:r>
      <w:r w:rsidRPr="00BF2AAC">
        <w:rPr>
          <w:rFonts w:ascii="Book Antiqua" w:hAnsi="Book Antiqua" w:cs="Times New Roman"/>
          <w:noProof/>
          <w:sz w:val="24"/>
          <w:szCs w:val="24"/>
        </w:rPr>
        <w:t>, Bollschweiler E, Schneider PM, Siewert JR. Early adenocarcinoma in Barrett's oesophagus. </w:t>
      </w:r>
      <w:r w:rsidRPr="00BF2AAC">
        <w:rPr>
          <w:rFonts w:ascii="Book Antiqua" w:hAnsi="Book Antiqua" w:cs="Times New Roman"/>
          <w:i/>
          <w:iCs/>
          <w:noProof/>
          <w:sz w:val="24"/>
          <w:szCs w:val="24"/>
        </w:rPr>
        <w:t>Br J Surg</w:t>
      </w:r>
      <w:r w:rsidRPr="00BF2AAC">
        <w:rPr>
          <w:rFonts w:ascii="Book Antiqua" w:hAnsi="Book Antiqua" w:cs="Times New Roman"/>
          <w:noProof/>
          <w:sz w:val="24"/>
          <w:szCs w:val="24"/>
        </w:rPr>
        <w:t> 1997; </w:t>
      </w:r>
      <w:r w:rsidRPr="00BF2AAC">
        <w:rPr>
          <w:rFonts w:ascii="Book Antiqua" w:hAnsi="Book Antiqua" w:cs="Times New Roman"/>
          <w:b/>
          <w:bCs/>
          <w:noProof/>
          <w:sz w:val="24"/>
          <w:szCs w:val="24"/>
        </w:rPr>
        <w:t>84</w:t>
      </w:r>
      <w:r w:rsidRPr="00BF2AAC">
        <w:rPr>
          <w:rFonts w:ascii="Book Antiqua" w:hAnsi="Book Antiqua" w:cs="Times New Roman"/>
          <w:noProof/>
          <w:sz w:val="24"/>
          <w:szCs w:val="24"/>
        </w:rPr>
        <w:t>: 1470-1473 [PMID: 9361616 DOI: 10.1002/bjs.1800841035]</w:t>
      </w:r>
    </w:p>
    <w:p w14:paraId="369E11B5"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9 </w:t>
      </w:r>
      <w:r w:rsidRPr="00BF2AAC">
        <w:rPr>
          <w:rFonts w:ascii="Book Antiqua" w:hAnsi="Book Antiqua" w:cs="Times New Roman"/>
          <w:b/>
          <w:bCs/>
          <w:noProof/>
          <w:sz w:val="24"/>
          <w:szCs w:val="24"/>
        </w:rPr>
        <w:t>Rice TW</w:t>
      </w:r>
      <w:r w:rsidRPr="00BF2AAC">
        <w:rPr>
          <w:rFonts w:ascii="Book Antiqua" w:hAnsi="Book Antiqua" w:cs="Times New Roman"/>
          <w:noProof/>
          <w:sz w:val="24"/>
          <w:szCs w:val="24"/>
        </w:rPr>
        <w:t>, Zuccaro G Jr, Adelstein DJ, Rybicki LA, Blackstone EH, Goldblum JR. Esophageal carcinoma: depth of tumor invasion is predictive of regional lymph node status. </w:t>
      </w:r>
      <w:r w:rsidRPr="00BF2AAC">
        <w:rPr>
          <w:rFonts w:ascii="Book Antiqua" w:hAnsi="Book Antiqua" w:cs="Times New Roman"/>
          <w:i/>
          <w:iCs/>
          <w:noProof/>
          <w:sz w:val="24"/>
          <w:szCs w:val="24"/>
        </w:rPr>
        <w:t>Ann Thorac Surg</w:t>
      </w:r>
      <w:r w:rsidRPr="00BF2AAC">
        <w:rPr>
          <w:rFonts w:ascii="Book Antiqua" w:hAnsi="Book Antiqua" w:cs="Times New Roman"/>
          <w:noProof/>
          <w:sz w:val="24"/>
          <w:szCs w:val="24"/>
        </w:rPr>
        <w:t> 1998; </w:t>
      </w:r>
      <w:r w:rsidRPr="00BF2AAC">
        <w:rPr>
          <w:rFonts w:ascii="Book Antiqua" w:hAnsi="Book Antiqua" w:cs="Times New Roman"/>
          <w:b/>
          <w:bCs/>
          <w:noProof/>
          <w:sz w:val="24"/>
          <w:szCs w:val="24"/>
        </w:rPr>
        <w:t>65</w:t>
      </w:r>
      <w:r w:rsidRPr="00BF2AAC">
        <w:rPr>
          <w:rFonts w:ascii="Book Antiqua" w:hAnsi="Book Antiqua" w:cs="Times New Roman"/>
          <w:noProof/>
          <w:sz w:val="24"/>
          <w:szCs w:val="24"/>
        </w:rPr>
        <w:t>: 787-792 [PMID: 9527214 DOI: 10.1016/S0003-4975(97)01387-8]</w:t>
      </w:r>
    </w:p>
    <w:p w14:paraId="691A264B"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10 </w:t>
      </w:r>
      <w:r w:rsidRPr="00BF2AAC">
        <w:rPr>
          <w:rFonts w:ascii="Book Antiqua" w:hAnsi="Book Antiqua" w:cs="Times New Roman"/>
          <w:b/>
          <w:bCs/>
          <w:noProof/>
          <w:sz w:val="24"/>
          <w:szCs w:val="24"/>
        </w:rPr>
        <w:t>Stein HJ</w:t>
      </w:r>
      <w:r w:rsidRPr="00BF2AAC">
        <w:rPr>
          <w:rFonts w:ascii="Book Antiqua" w:hAnsi="Book Antiqua" w:cs="Times New Roman"/>
          <w:noProof/>
          <w:sz w:val="24"/>
          <w:szCs w:val="24"/>
        </w:rPr>
        <w:t>, Feith M, Bruecher BL, Naehrig J, Sarbia M, Siewert JR. Early esophageal cancer: pattern of lymphatic spread and prognostic factors for long-term survival after surgical resection. </w:t>
      </w:r>
      <w:r w:rsidRPr="00BF2AAC">
        <w:rPr>
          <w:rFonts w:ascii="Book Antiqua" w:hAnsi="Book Antiqua" w:cs="Times New Roman"/>
          <w:i/>
          <w:iCs/>
          <w:noProof/>
          <w:sz w:val="24"/>
          <w:szCs w:val="24"/>
        </w:rPr>
        <w:t>Ann Surg</w:t>
      </w:r>
      <w:r w:rsidRPr="00BF2AAC">
        <w:rPr>
          <w:rFonts w:ascii="Book Antiqua" w:hAnsi="Book Antiqua" w:cs="Times New Roman"/>
          <w:noProof/>
          <w:sz w:val="24"/>
          <w:szCs w:val="24"/>
        </w:rPr>
        <w:t> 2005; </w:t>
      </w:r>
      <w:r w:rsidRPr="00BF2AAC">
        <w:rPr>
          <w:rFonts w:ascii="Book Antiqua" w:hAnsi="Book Antiqua" w:cs="Times New Roman"/>
          <w:b/>
          <w:bCs/>
          <w:noProof/>
          <w:sz w:val="24"/>
          <w:szCs w:val="24"/>
        </w:rPr>
        <w:t>242</w:t>
      </w:r>
      <w:r w:rsidRPr="00BF2AAC">
        <w:rPr>
          <w:rFonts w:ascii="Book Antiqua" w:hAnsi="Book Antiqua" w:cs="Times New Roman"/>
          <w:noProof/>
          <w:sz w:val="24"/>
          <w:szCs w:val="24"/>
        </w:rPr>
        <w:t>: 566-73; discussion 573-5 [PMID: 16192817 DOI: 10.1097/01.sla.0000184211.75970.85]</w:t>
      </w:r>
    </w:p>
    <w:p w14:paraId="2B3BE769"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11 </w:t>
      </w:r>
      <w:r w:rsidRPr="00BF2AAC">
        <w:rPr>
          <w:rFonts w:ascii="Book Antiqua" w:hAnsi="Book Antiqua" w:cs="Times New Roman"/>
          <w:b/>
          <w:bCs/>
          <w:noProof/>
          <w:sz w:val="24"/>
          <w:szCs w:val="24"/>
        </w:rPr>
        <w:t>Ancona E</w:t>
      </w:r>
      <w:r w:rsidRPr="00BF2AAC">
        <w:rPr>
          <w:rFonts w:ascii="Book Antiqua" w:hAnsi="Book Antiqua" w:cs="Times New Roman"/>
          <w:noProof/>
          <w:sz w:val="24"/>
          <w:szCs w:val="24"/>
        </w:rPr>
        <w:t>, Rampado S, Cassaro M, Battaglia G, Ruol A, Castoro C, Portale G, Cavallin F, Rugge M. Prediction of lymph node status in superficial esophageal carcinoma. </w:t>
      </w:r>
      <w:r w:rsidRPr="00BF2AAC">
        <w:rPr>
          <w:rFonts w:ascii="Book Antiqua" w:hAnsi="Book Antiqua" w:cs="Times New Roman"/>
          <w:i/>
          <w:iCs/>
          <w:noProof/>
          <w:sz w:val="24"/>
          <w:szCs w:val="24"/>
        </w:rPr>
        <w:t>Ann Surg Oncol</w:t>
      </w:r>
      <w:r w:rsidRPr="00BF2AAC">
        <w:rPr>
          <w:rFonts w:ascii="Book Antiqua" w:hAnsi="Book Antiqua" w:cs="Times New Roman"/>
          <w:noProof/>
          <w:sz w:val="24"/>
          <w:szCs w:val="24"/>
        </w:rPr>
        <w:t> 2008; </w:t>
      </w:r>
      <w:r w:rsidRPr="00BF2AAC">
        <w:rPr>
          <w:rFonts w:ascii="Book Antiqua" w:hAnsi="Book Antiqua" w:cs="Times New Roman"/>
          <w:b/>
          <w:bCs/>
          <w:noProof/>
          <w:sz w:val="24"/>
          <w:szCs w:val="24"/>
        </w:rPr>
        <w:t>15</w:t>
      </w:r>
      <w:r w:rsidRPr="00BF2AAC">
        <w:rPr>
          <w:rFonts w:ascii="Book Antiqua" w:hAnsi="Book Antiqua" w:cs="Times New Roman"/>
          <w:noProof/>
          <w:sz w:val="24"/>
          <w:szCs w:val="24"/>
        </w:rPr>
        <w:t>: 3278-3288 [PMID: 18726651 DOI: 10.1245/s10434-008-0065-1]</w:t>
      </w:r>
    </w:p>
    <w:p w14:paraId="34296AA8"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12 </w:t>
      </w:r>
      <w:r w:rsidRPr="00BF2AAC">
        <w:rPr>
          <w:rFonts w:ascii="Book Antiqua" w:hAnsi="Book Antiqua" w:cs="Times New Roman"/>
          <w:b/>
          <w:bCs/>
          <w:noProof/>
          <w:sz w:val="24"/>
          <w:szCs w:val="24"/>
        </w:rPr>
        <w:t>Badreddine RJ</w:t>
      </w:r>
      <w:r w:rsidRPr="00BF2AAC">
        <w:rPr>
          <w:rFonts w:ascii="Book Antiqua" w:hAnsi="Book Antiqua" w:cs="Times New Roman"/>
          <w:noProof/>
          <w:sz w:val="24"/>
          <w:szCs w:val="24"/>
        </w:rPr>
        <w:t>, Prasad GA, Lewis JT, Lutzke LS, Borkenhagen LS, Dunagan KT, Wang KK. Depth of submucosal invasion does not predict lymph node metastasis and survival of patients with esophageal carcinoma. </w:t>
      </w:r>
      <w:r w:rsidRPr="00BF2AAC">
        <w:rPr>
          <w:rFonts w:ascii="Book Antiqua" w:hAnsi="Book Antiqua" w:cs="Times New Roman"/>
          <w:i/>
          <w:iCs/>
          <w:noProof/>
          <w:sz w:val="24"/>
          <w:szCs w:val="24"/>
        </w:rPr>
        <w:t>Clin Gastroenterol Hepatol</w:t>
      </w:r>
      <w:r w:rsidRPr="00BF2AAC">
        <w:rPr>
          <w:rFonts w:ascii="Book Antiqua" w:hAnsi="Book Antiqua" w:cs="Times New Roman"/>
          <w:noProof/>
          <w:sz w:val="24"/>
          <w:szCs w:val="24"/>
        </w:rPr>
        <w:t> 2010; </w:t>
      </w:r>
      <w:r w:rsidRPr="00BF2AAC">
        <w:rPr>
          <w:rFonts w:ascii="Book Antiqua" w:hAnsi="Book Antiqua" w:cs="Times New Roman"/>
          <w:b/>
          <w:bCs/>
          <w:noProof/>
          <w:sz w:val="24"/>
          <w:szCs w:val="24"/>
        </w:rPr>
        <w:t>8</w:t>
      </w:r>
      <w:r w:rsidRPr="00BF2AAC">
        <w:rPr>
          <w:rFonts w:ascii="Book Antiqua" w:hAnsi="Book Antiqua" w:cs="Times New Roman"/>
          <w:noProof/>
          <w:sz w:val="24"/>
          <w:szCs w:val="24"/>
        </w:rPr>
        <w:t>: 248-253 [PMID: 19948247 DOI: 10.1016/j.cgh.2009.11.016]</w:t>
      </w:r>
    </w:p>
    <w:p w14:paraId="33ED7BC2"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13 </w:t>
      </w:r>
      <w:r w:rsidRPr="00BF2AAC">
        <w:rPr>
          <w:rFonts w:ascii="Book Antiqua" w:hAnsi="Book Antiqua" w:cs="Times New Roman"/>
          <w:b/>
          <w:bCs/>
          <w:noProof/>
          <w:sz w:val="24"/>
          <w:szCs w:val="24"/>
        </w:rPr>
        <w:t>Leers JM</w:t>
      </w:r>
      <w:r w:rsidRPr="00BF2AAC">
        <w:rPr>
          <w:rFonts w:ascii="Book Antiqua" w:hAnsi="Book Antiqua" w:cs="Times New Roman"/>
          <w:noProof/>
          <w:sz w:val="24"/>
          <w:szCs w:val="24"/>
        </w:rPr>
        <w:t xml:space="preserve">, DeMeester SR, Oezcelik A, Klipfel N, Ayazi S, Abate E, Zehetner J, Lipham </w:t>
      </w:r>
      <w:r w:rsidRPr="00BF2AAC">
        <w:rPr>
          <w:rFonts w:ascii="Book Antiqua" w:hAnsi="Book Antiqua" w:cs="Times New Roman"/>
          <w:noProof/>
          <w:sz w:val="24"/>
          <w:szCs w:val="24"/>
        </w:rPr>
        <w:lastRenderedPageBreak/>
        <w:t>JC, Chan L, Hagen JA, DeMeester TR. The prevalence of lymph node metastases in patients with T1 esophageal adenocarcinoma a retrospective review of esophagectomy specimens. </w:t>
      </w:r>
      <w:r w:rsidRPr="00BF2AAC">
        <w:rPr>
          <w:rFonts w:ascii="Book Antiqua" w:hAnsi="Book Antiqua" w:cs="Times New Roman"/>
          <w:i/>
          <w:iCs/>
          <w:noProof/>
          <w:sz w:val="24"/>
          <w:szCs w:val="24"/>
        </w:rPr>
        <w:t>Ann Surg</w:t>
      </w:r>
      <w:r w:rsidRPr="00BF2AAC">
        <w:rPr>
          <w:rFonts w:ascii="Book Antiqua" w:hAnsi="Book Antiqua" w:cs="Times New Roman"/>
          <w:noProof/>
          <w:sz w:val="24"/>
          <w:szCs w:val="24"/>
        </w:rPr>
        <w:t> 2011; </w:t>
      </w:r>
      <w:r w:rsidRPr="00BF2AAC">
        <w:rPr>
          <w:rFonts w:ascii="Book Antiqua" w:hAnsi="Book Antiqua" w:cs="Times New Roman"/>
          <w:b/>
          <w:bCs/>
          <w:noProof/>
          <w:sz w:val="24"/>
          <w:szCs w:val="24"/>
        </w:rPr>
        <w:t>253</w:t>
      </w:r>
      <w:r w:rsidRPr="00BF2AAC">
        <w:rPr>
          <w:rFonts w:ascii="Book Antiqua" w:hAnsi="Book Antiqua" w:cs="Times New Roman"/>
          <w:noProof/>
          <w:sz w:val="24"/>
          <w:szCs w:val="24"/>
        </w:rPr>
        <w:t>: 271-278 [PMID: 21119508 DOI: 10.1097/SLA.0b013e3181fbad42]</w:t>
      </w:r>
    </w:p>
    <w:p w14:paraId="38B19B51"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14 </w:t>
      </w:r>
      <w:r w:rsidRPr="00BF2AAC">
        <w:rPr>
          <w:rFonts w:ascii="Book Antiqua" w:hAnsi="Book Antiqua" w:cs="Times New Roman"/>
          <w:b/>
          <w:bCs/>
          <w:noProof/>
          <w:sz w:val="24"/>
          <w:szCs w:val="24"/>
        </w:rPr>
        <w:t>Braghetto I</w:t>
      </w:r>
      <w:r w:rsidRPr="00BF2AAC">
        <w:rPr>
          <w:rFonts w:ascii="Book Antiqua" w:hAnsi="Book Antiqua" w:cs="Times New Roman"/>
          <w:noProof/>
          <w:sz w:val="24"/>
          <w:szCs w:val="24"/>
        </w:rPr>
        <w:t>, Csendes A, Cardemil G, Burdiles P, Korn O, Valladares H. Open transthoracic or transhiatal esophagectomy versus minimally invasive esophagectomy in terms of morbidity, mortality and survival. </w:t>
      </w:r>
      <w:r w:rsidRPr="00BF2AAC">
        <w:rPr>
          <w:rFonts w:ascii="Book Antiqua" w:hAnsi="Book Antiqua" w:cs="Times New Roman"/>
          <w:i/>
          <w:iCs/>
          <w:noProof/>
          <w:sz w:val="24"/>
          <w:szCs w:val="24"/>
        </w:rPr>
        <w:t>Surg Endosc</w:t>
      </w:r>
      <w:r w:rsidRPr="00BF2AAC">
        <w:rPr>
          <w:rFonts w:ascii="Book Antiqua" w:hAnsi="Book Antiqua" w:cs="Times New Roman"/>
          <w:noProof/>
          <w:sz w:val="24"/>
          <w:szCs w:val="24"/>
        </w:rPr>
        <w:t> 2006; </w:t>
      </w:r>
      <w:r w:rsidRPr="00BF2AAC">
        <w:rPr>
          <w:rFonts w:ascii="Book Antiqua" w:hAnsi="Book Antiqua" w:cs="Times New Roman"/>
          <w:b/>
          <w:bCs/>
          <w:noProof/>
          <w:sz w:val="24"/>
          <w:szCs w:val="24"/>
        </w:rPr>
        <w:t>20</w:t>
      </w:r>
      <w:r w:rsidRPr="00BF2AAC">
        <w:rPr>
          <w:rFonts w:ascii="Book Antiqua" w:hAnsi="Book Antiqua" w:cs="Times New Roman"/>
          <w:noProof/>
          <w:sz w:val="24"/>
          <w:szCs w:val="24"/>
        </w:rPr>
        <w:t>: 1681-1686 [PMID: 16960662 DOI: 10.1007/s00464-006-0009-4]</w:t>
      </w:r>
    </w:p>
    <w:p w14:paraId="10A0441A"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15 </w:t>
      </w:r>
      <w:r w:rsidRPr="00BF2AAC">
        <w:rPr>
          <w:rFonts w:ascii="Book Antiqua" w:hAnsi="Book Antiqua" w:cs="Times New Roman"/>
          <w:b/>
          <w:bCs/>
          <w:noProof/>
          <w:sz w:val="24"/>
          <w:szCs w:val="24"/>
        </w:rPr>
        <w:t>Fotis D</w:t>
      </w:r>
      <w:r w:rsidRPr="00BF2AAC">
        <w:rPr>
          <w:rFonts w:ascii="Book Antiqua" w:hAnsi="Book Antiqua" w:cs="Times New Roman"/>
          <w:noProof/>
          <w:sz w:val="24"/>
          <w:szCs w:val="24"/>
        </w:rPr>
        <w:t>, Doukas M, Wijnhoven BP, Didden P, Biermann K, Bruno MJ, Koch AD. Submucosal invasion and risk of lymph node invasion in early Barrett's cancer: potential impact of different classification systems on patient management. </w:t>
      </w:r>
      <w:r w:rsidRPr="00BF2AAC">
        <w:rPr>
          <w:rFonts w:ascii="Book Antiqua" w:hAnsi="Book Antiqua" w:cs="Times New Roman"/>
          <w:i/>
          <w:iCs/>
          <w:noProof/>
          <w:sz w:val="24"/>
          <w:szCs w:val="24"/>
        </w:rPr>
        <w:t>United European Gastroenterol J</w:t>
      </w:r>
      <w:r w:rsidRPr="00BF2AAC">
        <w:rPr>
          <w:rFonts w:ascii="Book Antiqua" w:hAnsi="Book Antiqua" w:cs="Times New Roman"/>
          <w:noProof/>
          <w:sz w:val="24"/>
          <w:szCs w:val="24"/>
        </w:rPr>
        <w:t> 2015; </w:t>
      </w:r>
      <w:r w:rsidRPr="00BF2AAC">
        <w:rPr>
          <w:rFonts w:ascii="Book Antiqua" w:hAnsi="Book Antiqua" w:cs="Times New Roman"/>
          <w:b/>
          <w:bCs/>
          <w:noProof/>
          <w:sz w:val="24"/>
          <w:szCs w:val="24"/>
        </w:rPr>
        <w:t>3</w:t>
      </w:r>
      <w:r w:rsidRPr="00BF2AAC">
        <w:rPr>
          <w:rFonts w:ascii="Book Antiqua" w:hAnsi="Book Antiqua" w:cs="Times New Roman"/>
          <w:noProof/>
          <w:sz w:val="24"/>
          <w:szCs w:val="24"/>
        </w:rPr>
        <w:t>: 505-513 [PMID: 26668743 DOI: 10.1177/2050640615581965]</w:t>
      </w:r>
    </w:p>
    <w:p w14:paraId="6F614C78"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16 </w:t>
      </w:r>
      <w:r w:rsidRPr="00BF2AAC">
        <w:rPr>
          <w:rFonts w:ascii="Book Antiqua" w:hAnsi="Book Antiqua" w:cs="Times New Roman"/>
          <w:b/>
          <w:bCs/>
          <w:noProof/>
          <w:sz w:val="24"/>
          <w:szCs w:val="24"/>
        </w:rPr>
        <w:t>Manner H</w:t>
      </w:r>
      <w:r w:rsidRPr="00BF2AAC">
        <w:rPr>
          <w:rFonts w:ascii="Book Antiqua" w:hAnsi="Book Antiqua" w:cs="Times New Roman"/>
          <w:noProof/>
          <w:sz w:val="24"/>
          <w:szCs w:val="24"/>
        </w:rPr>
        <w:t>, Pech O, Heldmann Y, May A, Pauthner M, Lorenz D, Fisseler-Eckhoff A, Stolte M, Vieth M, Ell C. The frequency of lymph node metastasis in early-stage adenocarcinoma of the esophagus with incipient submucosal invasion (pT1b sm1) depending on histological risk patterns. </w:t>
      </w:r>
      <w:r w:rsidRPr="00BF2AAC">
        <w:rPr>
          <w:rFonts w:ascii="Book Antiqua" w:hAnsi="Book Antiqua" w:cs="Times New Roman"/>
          <w:i/>
          <w:iCs/>
          <w:noProof/>
          <w:sz w:val="24"/>
          <w:szCs w:val="24"/>
        </w:rPr>
        <w:t>Surg Endosc</w:t>
      </w:r>
      <w:r w:rsidRPr="00BF2AAC">
        <w:rPr>
          <w:rFonts w:ascii="Book Antiqua" w:hAnsi="Book Antiqua" w:cs="Times New Roman"/>
          <w:noProof/>
          <w:sz w:val="24"/>
          <w:szCs w:val="24"/>
        </w:rPr>
        <w:t> 2015; </w:t>
      </w:r>
      <w:r w:rsidRPr="00BF2AAC">
        <w:rPr>
          <w:rFonts w:ascii="Book Antiqua" w:hAnsi="Book Antiqua" w:cs="Times New Roman"/>
          <w:b/>
          <w:bCs/>
          <w:noProof/>
          <w:sz w:val="24"/>
          <w:szCs w:val="24"/>
        </w:rPr>
        <w:t>29</w:t>
      </w:r>
      <w:r w:rsidRPr="00BF2AAC">
        <w:rPr>
          <w:rFonts w:ascii="Book Antiqua" w:hAnsi="Book Antiqua" w:cs="Times New Roman"/>
          <w:noProof/>
          <w:sz w:val="24"/>
          <w:szCs w:val="24"/>
        </w:rPr>
        <w:t>: 1888-1896 [PMID: 25294553 DOI: 10.1007/s00464-014-3881-3]</w:t>
      </w:r>
    </w:p>
    <w:p w14:paraId="02BF8C30"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17 </w:t>
      </w:r>
      <w:r w:rsidRPr="00BF2AAC">
        <w:rPr>
          <w:rFonts w:ascii="Book Antiqua" w:hAnsi="Book Antiqua" w:cs="Times New Roman"/>
          <w:b/>
          <w:bCs/>
          <w:noProof/>
          <w:sz w:val="24"/>
          <w:szCs w:val="24"/>
        </w:rPr>
        <w:t>Chadwick G,</w:t>
      </w:r>
      <w:r w:rsidRPr="00BF2AAC">
        <w:rPr>
          <w:rFonts w:ascii="Book Antiqua" w:hAnsi="Book Antiqua" w:cs="Times New Roman"/>
          <w:noProof/>
          <w:sz w:val="24"/>
          <w:szCs w:val="24"/>
        </w:rPr>
        <w:t xml:space="preserve"> Varagunam M, Brand C, Cromwell D, Maynard M, Riley S, Crosby T, Michalowski J. National Oesophago-Gastric Cancer Audit 2016. </w:t>
      </w:r>
      <w:r w:rsidRPr="00BF2AAC">
        <w:rPr>
          <w:rFonts w:ascii="Book Antiqua" w:hAnsi="Book Antiqua" w:cs="Times New Roman"/>
          <w:i/>
          <w:noProof/>
          <w:sz w:val="24"/>
          <w:szCs w:val="24"/>
        </w:rPr>
        <w:t xml:space="preserve">R Coll Surg Engl </w:t>
      </w:r>
      <w:r w:rsidRPr="00BF2AAC">
        <w:rPr>
          <w:rFonts w:ascii="Book Antiqua" w:hAnsi="Book Antiqua" w:cs="Times New Roman"/>
          <w:noProof/>
          <w:sz w:val="24"/>
          <w:szCs w:val="24"/>
        </w:rPr>
        <w:t>2016</w:t>
      </w:r>
    </w:p>
    <w:p w14:paraId="0971B2D5"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18 </w:t>
      </w:r>
      <w:r w:rsidRPr="00BF2AAC">
        <w:rPr>
          <w:rFonts w:ascii="Book Antiqua" w:hAnsi="Book Antiqua" w:cs="Times New Roman"/>
          <w:b/>
          <w:bCs/>
          <w:noProof/>
          <w:sz w:val="24"/>
          <w:szCs w:val="24"/>
        </w:rPr>
        <w:t>Schölvinck D</w:t>
      </w:r>
      <w:r w:rsidRPr="00BF2AAC">
        <w:rPr>
          <w:rFonts w:ascii="Book Antiqua" w:hAnsi="Book Antiqua" w:cs="Times New Roman"/>
          <w:noProof/>
          <w:sz w:val="24"/>
          <w:szCs w:val="24"/>
        </w:rPr>
        <w:t>, Künzli H, Meijer S, Seldenrijk K, van Berge Henegouwen M, Bergman J, Weusten B. Management of patients with T1b esophageal adenocarcinoma: a retrospective cohort study on patient management and risk of metastatic disease. </w:t>
      </w:r>
      <w:r w:rsidRPr="00BF2AAC">
        <w:rPr>
          <w:rFonts w:ascii="Book Antiqua" w:hAnsi="Book Antiqua" w:cs="Times New Roman"/>
          <w:i/>
          <w:iCs/>
          <w:noProof/>
          <w:sz w:val="24"/>
          <w:szCs w:val="24"/>
        </w:rPr>
        <w:t>Surg Endosc</w:t>
      </w:r>
      <w:r w:rsidRPr="00BF2AAC">
        <w:rPr>
          <w:rFonts w:ascii="Book Antiqua" w:hAnsi="Book Antiqua" w:cs="Times New Roman"/>
          <w:noProof/>
          <w:sz w:val="24"/>
          <w:szCs w:val="24"/>
        </w:rPr>
        <w:t> 2016; </w:t>
      </w:r>
      <w:r w:rsidRPr="00BF2AAC">
        <w:rPr>
          <w:rFonts w:ascii="Book Antiqua" w:hAnsi="Book Antiqua" w:cs="Times New Roman"/>
          <w:b/>
          <w:bCs/>
          <w:noProof/>
          <w:sz w:val="24"/>
          <w:szCs w:val="24"/>
        </w:rPr>
        <w:t>30</w:t>
      </w:r>
      <w:r w:rsidRPr="00BF2AAC">
        <w:rPr>
          <w:rFonts w:ascii="Book Antiqua" w:hAnsi="Book Antiqua" w:cs="Times New Roman"/>
          <w:noProof/>
          <w:sz w:val="24"/>
          <w:szCs w:val="24"/>
        </w:rPr>
        <w:t>: 4102-4113 [PMID: 27357927 DOI: 10.1007/s00464-016-5071-y]</w:t>
      </w:r>
    </w:p>
    <w:p w14:paraId="69E63AFE"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19 </w:t>
      </w:r>
      <w:r w:rsidRPr="00BF2AAC">
        <w:rPr>
          <w:rFonts w:ascii="Book Antiqua" w:hAnsi="Book Antiqua" w:cs="Times New Roman"/>
          <w:b/>
          <w:bCs/>
          <w:noProof/>
          <w:sz w:val="24"/>
          <w:szCs w:val="24"/>
        </w:rPr>
        <w:t>Manner H</w:t>
      </w:r>
      <w:r w:rsidRPr="00BF2AAC">
        <w:rPr>
          <w:rFonts w:ascii="Book Antiqua" w:hAnsi="Book Antiqua" w:cs="Times New Roman"/>
          <w:noProof/>
          <w:sz w:val="24"/>
          <w:szCs w:val="24"/>
        </w:rPr>
        <w:t>, Wetzka J, May A, Pauthner M, Pech O, Fisseler-Eckhoff A, Stolte M, Vieth M, Lorenz D, Ell C. Early-stage adenocarcinoma of the esophagus with mid to deep submucosal invasion (pT1b sm2-3): the frequency of lymph-node metastasis depends on macroscopic and histological risk patterns. </w:t>
      </w:r>
      <w:r w:rsidRPr="00BF2AAC">
        <w:rPr>
          <w:rFonts w:ascii="Book Antiqua" w:hAnsi="Book Antiqua" w:cs="Times New Roman"/>
          <w:i/>
          <w:iCs/>
          <w:noProof/>
          <w:sz w:val="24"/>
          <w:szCs w:val="24"/>
        </w:rPr>
        <w:t>Dis Esophagus</w:t>
      </w:r>
      <w:r w:rsidRPr="00BF2AAC">
        <w:rPr>
          <w:rFonts w:ascii="Book Antiqua" w:hAnsi="Book Antiqua" w:cs="Times New Roman"/>
          <w:noProof/>
          <w:sz w:val="24"/>
          <w:szCs w:val="24"/>
        </w:rPr>
        <w:t> 2017; </w:t>
      </w:r>
      <w:r w:rsidRPr="00BF2AAC">
        <w:rPr>
          <w:rFonts w:ascii="Book Antiqua" w:hAnsi="Book Antiqua" w:cs="Times New Roman"/>
          <w:b/>
          <w:bCs/>
          <w:noProof/>
          <w:sz w:val="24"/>
          <w:szCs w:val="24"/>
        </w:rPr>
        <w:t>30</w:t>
      </w:r>
      <w:r w:rsidRPr="00BF2AAC">
        <w:rPr>
          <w:rFonts w:ascii="Book Antiqua" w:hAnsi="Book Antiqua" w:cs="Times New Roman"/>
          <w:noProof/>
          <w:sz w:val="24"/>
          <w:szCs w:val="24"/>
        </w:rPr>
        <w:t>: 1-11 [PMID: 26952572 DOI: 10.1111/dote.12462]</w:t>
      </w:r>
    </w:p>
    <w:p w14:paraId="40721A26" w14:textId="77777777" w:rsidR="003477C9"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lastRenderedPageBreak/>
        <w:t>20 </w:t>
      </w:r>
      <w:r w:rsidRPr="00BF2AAC">
        <w:rPr>
          <w:rFonts w:ascii="Book Antiqua" w:hAnsi="Book Antiqua" w:cs="Times New Roman"/>
          <w:b/>
          <w:bCs/>
          <w:noProof/>
          <w:sz w:val="24"/>
          <w:szCs w:val="24"/>
        </w:rPr>
        <w:t>Boys JA</w:t>
      </w:r>
      <w:r w:rsidRPr="00BF2AAC">
        <w:rPr>
          <w:rFonts w:ascii="Book Antiqua" w:hAnsi="Book Antiqua" w:cs="Times New Roman"/>
          <w:noProof/>
          <w:sz w:val="24"/>
          <w:szCs w:val="24"/>
        </w:rPr>
        <w:t>, Worrell SG, Chandrasoma P, Vallone JG, Maru DM, Zhang L, Blackmon SH, Dickinson KJ, Dunst CM, Hofstetter WL, Lada MJ, Louie BE, Molena D, Watson TJ, DeMeester SR. Can the Risk of Lymph Node Metastases Be Gauged in Endoscopically Resected Submucosal Esophageal Adenocarcinomas? A Multi-Center Study. </w:t>
      </w:r>
      <w:r w:rsidRPr="00BF2AAC">
        <w:rPr>
          <w:rFonts w:ascii="Book Antiqua" w:hAnsi="Book Antiqua" w:cs="Times New Roman"/>
          <w:i/>
          <w:iCs/>
          <w:noProof/>
          <w:sz w:val="24"/>
          <w:szCs w:val="24"/>
        </w:rPr>
        <w:t>J Gastrointest Surg</w:t>
      </w:r>
      <w:r w:rsidRPr="00BF2AAC">
        <w:rPr>
          <w:rFonts w:ascii="Book Antiqua" w:hAnsi="Book Antiqua" w:cs="Times New Roman"/>
          <w:noProof/>
          <w:sz w:val="24"/>
          <w:szCs w:val="24"/>
        </w:rPr>
        <w:t> 2016; </w:t>
      </w:r>
      <w:r w:rsidRPr="00BF2AAC">
        <w:rPr>
          <w:rFonts w:ascii="Book Antiqua" w:hAnsi="Book Antiqua" w:cs="Times New Roman"/>
          <w:b/>
          <w:bCs/>
          <w:noProof/>
          <w:sz w:val="24"/>
          <w:szCs w:val="24"/>
        </w:rPr>
        <w:t>20</w:t>
      </w:r>
      <w:r w:rsidRPr="00BF2AAC">
        <w:rPr>
          <w:rFonts w:ascii="Book Antiqua" w:hAnsi="Book Antiqua" w:cs="Times New Roman"/>
          <w:noProof/>
          <w:sz w:val="24"/>
          <w:szCs w:val="24"/>
        </w:rPr>
        <w:t>: 6-12; discussion 12 [PMID: 26408330 DOI: 10.1007/s11605-015-2950-9]</w:t>
      </w:r>
    </w:p>
    <w:p w14:paraId="3A422594" w14:textId="5F5003A3" w:rsidR="0068435F" w:rsidRPr="00BF2AAC" w:rsidRDefault="003477C9"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r w:rsidRPr="00BF2AAC">
        <w:rPr>
          <w:rFonts w:ascii="Book Antiqua" w:hAnsi="Book Antiqua" w:cs="Times New Roman"/>
          <w:noProof/>
          <w:sz w:val="24"/>
          <w:szCs w:val="24"/>
        </w:rPr>
        <w:t>21 </w:t>
      </w:r>
      <w:r w:rsidRPr="00BF2AAC">
        <w:rPr>
          <w:rFonts w:ascii="Book Antiqua" w:hAnsi="Book Antiqua" w:cs="Times New Roman"/>
          <w:b/>
          <w:bCs/>
          <w:noProof/>
          <w:sz w:val="24"/>
          <w:szCs w:val="24"/>
        </w:rPr>
        <w:t>Naxerova K</w:t>
      </w:r>
      <w:r w:rsidRPr="00BF2AAC">
        <w:rPr>
          <w:rFonts w:ascii="Book Antiqua" w:hAnsi="Book Antiqua" w:cs="Times New Roman"/>
          <w:noProof/>
          <w:sz w:val="24"/>
          <w:szCs w:val="24"/>
        </w:rPr>
        <w:t>, Reiter JG, Brachtel E, Lennerz JK, van de Wetering M, Rowan A, Cai T, Clevers H, Swanton C, Nowak MA, Elledge SJ, Jain RK. Origins of lymphatic and distant metastases in human colorectal cancer. </w:t>
      </w:r>
      <w:r w:rsidRPr="00BF2AAC">
        <w:rPr>
          <w:rFonts w:ascii="Book Antiqua" w:hAnsi="Book Antiqua" w:cs="Times New Roman"/>
          <w:i/>
          <w:iCs/>
          <w:noProof/>
          <w:sz w:val="24"/>
          <w:szCs w:val="24"/>
        </w:rPr>
        <w:t>Science</w:t>
      </w:r>
      <w:r w:rsidRPr="00BF2AAC">
        <w:rPr>
          <w:rFonts w:ascii="Book Antiqua" w:hAnsi="Book Antiqua" w:cs="Times New Roman"/>
          <w:noProof/>
          <w:sz w:val="24"/>
          <w:szCs w:val="24"/>
        </w:rPr>
        <w:t> 2017; </w:t>
      </w:r>
      <w:r w:rsidRPr="00BF2AAC">
        <w:rPr>
          <w:rFonts w:ascii="Book Antiqua" w:hAnsi="Book Antiqua" w:cs="Times New Roman"/>
          <w:b/>
          <w:bCs/>
          <w:noProof/>
          <w:sz w:val="24"/>
          <w:szCs w:val="24"/>
        </w:rPr>
        <w:t>357</w:t>
      </w:r>
      <w:r w:rsidRPr="00BF2AAC">
        <w:rPr>
          <w:rFonts w:ascii="Book Antiqua" w:hAnsi="Book Antiqua" w:cs="Times New Roman"/>
          <w:noProof/>
          <w:sz w:val="24"/>
          <w:szCs w:val="24"/>
        </w:rPr>
        <w:t>: 55-60 [PMID: 28684519 DOI: 10.1126/science.aai8515]</w:t>
      </w:r>
    </w:p>
    <w:p w14:paraId="500AFD91" w14:textId="77777777" w:rsidR="009C069D" w:rsidRPr="00BF2AAC" w:rsidRDefault="009C069D" w:rsidP="00BF2AAC">
      <w:pPr>
        <w:widowControl w:val="0"/>
        <w:autoSpaceDE w:val="0"/>
        <w:autoSpaceDN w:val="0"/>
        <w:adjustRightInd w:val="0"/>
        <w:snapToGrid w:val="0"/>
        <w:spacing w:after="0" w:line="360" w:lineRule="auto"/>
        <w:jc w:val="both"/>
        <w:rPr>
          <w:rFonts w:ascii="Book Antiqua" w:hAnsi="Book Antiqua" w:cs="Times New Roman"/>
          <w:noProof/>
          <w:sz w:val="24"/>
          <w:szCs w:val="24"/>
        </w:rPr>
      </w:pPr>
    </w:p>
    <w:p w14:paraId="582F5176" w14:textId="0057DAC1" w:rsidR="009C069D" w:rsidRPr="00BF2AAC" w:rsidRDefault="009C069D" w:rsidP="00BF2AAC">
      <w:pPr>
        <w:adjustRightInd w:val="0"/>
        <w:snapToGrid w:val="0"/>
        <w:spacing w:after="0" w:line="360" w:lineRule="auto"/>
        <w:jc w:val="right"/>
        <w:rPr>
          <w:rFonts w:ascii="Book Antiqua" w:hAnsi="Book Antiqua"/>
          <w:b/>
          <w:bCs/>
          <w:sz w:val="24"/>
          <w:szCs w:val="24"/>
        </w:rPr>
      </w:pPr>
      <w:bookmarkStart w:id="28" w:name="OLE_LINK148"/>
      <w:bookmarkStart w:id="29" w:name="OLE_LINK320"/>
      <w:bookmarkStart w:id="30" w:name="OLE_LINK387"/>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r w:rsidRPr="00BF2AAC">
        <w:rPr>
          <w:rFonts w:ascii="Book Antiqua" w:hAnsi="Book Antiqua"/>
          <w:b/>
          <w:bCs/>
          <w:sz w:val="24"/>
          <w:szCs w:val="24"/>
        </w:rPr>
        <w:t xml:space="preserve">P-Reviewer: </w:t>
      </w:r>
      <w:r w:rsidRPr="00BF2AAC">
        <w:rPr>
          <w:rFonts w:ascii="Book Antiqua" w:hAnsi="Book Antiqua"/>
          <w:bCs/>
          <w:sz w:val="24"/>
          <w:szCs w:val="24"/>
        </w:rPr>
        <w:t>Bratlie SO, Dinç T</w:t>
      </w:r>
    </w:p>
    <w:p w14:paraId="2A54F136" w14:textId="77777777" w:rsidR="009C069D" w:rsidRPr="00BF2AAC" w:rsidRDefault="009C069D" w:rsidP="00BF2AAC">
      <w:pPr>
        <w:adjustRightInd w:val="0"/>
        <w:snapToGrid w:val="0"/>
        <w:spacing w:after="0" w:line="360" w:lineRule="auto"/>
        <w:jc w:val="right"/>
        <w:rPr>
          <w:rFonts w:ascii="Book Antiqua" w:hAnsi="Book Antiqua"/>
          <w:sz w:val="24"/>
          <w:szCs w:val="24"/>
        </w:rPr>
      </w:pPr>
      <w:r w:rsidRPr="00BF2AAC">
        <w:rPr>
          <w:rFonts w:ascii="Book Antiqua" w:hAnsi="Book Antiqua"/>
          <w:b/>
          <w:bCs/>
          <w:sz w:val="24"/>
          <w:szCs w:val="24"/>
        </w:rPr>
        <w:t>S-Editor:</w:t>
      </w:r>
      <w:r w:rsidRPr="00BF2AAC">
        <w:rPr>
          <w:rFonts w:ascii="Book Antiqua" w:hAnsi="Book Antiqua"/>
          <w:sz w:val="24"/>
          <w:szCs w:val="24"/>
        </w:rPr>
        <w:t xml:space="preserve"> Ma RY </w:t>
      </w:r>
      <w:r w:rsidRPr="00BF2AAC">
        <w:rPr>
          <w:rFonts w:ascii="Book Antiqua" w:hAnsi="Book Antiqua"/>
          <w:b/>
          <w:bCs/>
          <w:sz w:val="24"/>
          <w:szCs w:val="24"/>
        </w:rPr>
        <w:t>L-Editor:</w:t>
      </w:r>
      <w:r w:rsidRPr="00BF2AAC">
        <w:rPr>
          <w:rFonts w:ascii="Book Antiqua" w:hAnsi="Book Antiqua"/>
          <w:sz w:val="24"/>
          <w:szCs w:val="24"/>
        </w:rPr>
        <w:t xml:space="preserve"> </w:t>
      </w:r>
      <w:r w:rsidRPr="00BF2AAC">
        <w:rPr>
          <w:rFonts w:ascii="Book Antiqua" w:hAnsi="Book Antiqua"/>
          <w:b/>
          <w:bCs/>
          <w:sz w:val="24"/>
          <w:szCs w:val="24"/>
        </w:rPr>
        <w:t>E-Editor:</w:t>
      </w:r>
    </w:p>
    <w:p w14:paraId="17B67A30" w14:textId="77777777" w:rsidR="009C069D" w:rsidRPr="00BF2AAC" w:rsidRDefault="009C069D" w:rsidP="00BF2AAC">
      <w:pPr>
        <w:shd w:val="clear" w:color="auto" w:fill="FFFFFF"/>
        <w:adjustRightInd w:val="0"/>
        <w:snapToGrid w:val="0"/>
        <w:spacing w:after="0" w:line="360" w:lineRule="auto"/>
        <w:jc w:val="both"/>
        <w:rPr>
          <w:rFonts w:ascii="Book Antiqua" w:hAnsi="Book Antiqua" w:cs="Helvetica"/>
          <w:b/>
          <w:sz w:val="24"/>
          <w:szCs w:val="24"/>
        </w:rPr>
      </w:pPr>
      <w:bookmarkStart w:id="127" w:name="OLE_LINK880"/>
      <w:bookmarkStart w:id="128" w:name="OLE_LINK881"/>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BF2AAC">
        <w:rPr>
          <w:rFonts w:ascii="Book Antiqua" w:hAnsi="Book Antiqua" w:cs="Helvetica"/>
          <w:b/>
          <w:sz w:val="24"/>
          <w:szCs w:val="24"/>
        </w:rPr>
        <w:t xml:space="preserve">Specialty type: </w:t>
      </w:r>
      <w:r w:rsidRPr="00BF2AAC">
        <w:rPr>
          <w:rFonts w:ascii="Book Antiqua" w:hAnsi="Book Antiqua" w:cs="Helvetica"/>
          <w:sz w:val="24"/>
          <w:szCs w:val="24"/>
        </w:rPr>
        <w:t>Gastroenterology and hepatology</w:t>
      </w:r>
    </w:p>
    <w:p w14:paraId="4E7A478C" w14:textId="6EBCB489" w:rsidR="009C069D" w:rsidRPr="00BF2AAC" w:rsidRDefault="009C069D" w:rsidP="00BF2AAC">
      <w:pPr>
        <w:shd w:val="clear" w:color="auto" w:fill="FFFFFF"/>
        <w:adjustRightInd w:val="0"/>
        <w:snapToGrid w:val="0"/>
        <w:spacing w:after="0" w:line="360" w:lineRule="auto"/>
        <w:jc w:val="both"/>
        <w:rPr>
          <w:rFonts w:ascii="Book Antiqua" w:hAnsi="Book Antiqua" w:cs="Helvetica"/>
          <w:b/>
          <w:sz w:val="24"/>
          <w:szCs w:val="24"/>
        </w:rPr>
      </w:pPr>
      <w:r w:rsidRPr="00BF2AAC">
        <w:rPr>
          <w:rFonts w:ascii="Book Antiqua" w:hAnsi="Book Antiqua" w:cs="Helvetica"/>
          <w:b/>
          <w:sz w:val="24"/>
          <w:szCs w:val="24"/>
        </w:rPr>
        <w:t xml:space="preserve">Country of origin: </w:t>
      </w:r>
      <w:r w:rsidRPr="00BF2AAC">
        <w:rPr>
          <w:rFonts w:ascii="Book Antiqua" w:hAnsi="Book Antiqua" w:cs="Helvetica"/>
          <w:sz w:val="24"/>
          <w:szCs w:val="24"/>
          <w:lang w:val="en-CA"/>
        </w:rPr>
        <w:t>United Kingdom</w:t>
      </w:r>
    </w:p>
    <w:p w14:paraId="4417A3F8" w14:textId="77777777" w:rsidR="009C069D" w:rsidRPr="00BF2AAC" w:rsidRDefault="009C069D" w:rsidP="00BF2AAC">
      <w:pPr>
        <w:shd w:val="clear" w:color="auto" w:fill="FFFFFF"/>
        <w:adjustRightInd w:val="0"/>
        <w:snapToGrid w:val="0"/>
        <w:spacing w:after="0" w:line="360" w:lineRule="auto"/>
        <w:jc w:val="both"/>
        <w:rPr>
          <w:rFonts w:ascii="Book Antiqua" w:hAnsi="Book Antiqua" w:cs="Helvetica"/>
          <w:b/>
          <w:sz w:val="24"/>
          <w:szCs w:val="24"/>
        </w:rPr>
      </w:pPr>
      <w:r w:rsidRPr="00BF2AAC">
        <w:rPr>
          <w:rFonts w:ascii="Book Antiqua" w:hAnsi="Book Antiqua" w:cs="Helvetica"/>
          <w:b/>
          <w:sz w:val="24"/>
          <w:szCs w:val="24"/>
        </w:rPr>
        <w:t>Peer-review report classification</w:t>
      </w:r>
    </w:p>
    <w:p w14:paraId="59FA4054" w14:textId="77777777" w:rsidR="009C069D" w:rsidRPr="00BF2AAC" w:rsidRDefault="009C069D" w:rsidP="00BF2AAC">
      <w:pPr>
        <w:shd w:val="clear" w:color="auto" w:fill="FFFFFF"/>
        <w:adjustRightInd w:val="0"/>
        <w:snapToGrid w:val="0"/>
        <w:spacing w:after="0" w:line="360" w:lineRule="auto"/>
        <w:jc w:val="both"/>
        <w:rPr>
          <w:rFonts w:ascii="Book Antiqua" w:hAnsi="Book Antiqua" w:cs="Helvetica"/>
          <w:sz w:val="24"/>
          <w:szCs w:val="24"/>
        </w:rPr>
      </w:pPr>
      <w:r w:rsidRPr="00BF2AAC">
        <w:rPr>
          <w:rFonts w:ascii="Book Antiqua" w:hAnsi="Book Antiqua" w:cs="Helvetica"/>
          <w:sz w:val="24"/>
          <w:szCs w:val="24"/>
        </w:rPr>
        <w:t>Grade A (Excellent): 0</w:t>
      </w:r>
    </w:p>
    <w:p w14:paraId="7082AB2F" w14:textId="77777777" w:rsidR="009C069D" w:rsidRPr="00BF2AAC" w:rsidRDefault="009C069D" w:rsidP="00BF2AAC">
      <w:pPr>
        <w:shd w:val="clear" w:color="auto" w:fill="FFFFFF"/>
        <w:adjustRightInd w:val="0"/>
        <w:snapToGrid w:val="0"/>
        <w:spacing w:after="0" w:line="360" w:lineRule="auto"/>
        <w:jc w:val="both"/>
        <w:rPr>
          <w:rFonts w:ascii="Book Antiqua" w:hAnsi="Book Antiqua" w:cs="Helvetica"/>
          <w:sz w:val="24"/>
          <w:szCs w:val="24"/>
        </w:rPr>
      </w:pPr>
      <w:r w:rsidRPr="00BF2AAC">
        <w:rPr>
          <w:rFonts w:ascii="Book Antiqua" w:hAnsi="Book Antiqua" w:cs="Helvetica"/>
          <w:sz w:val="24"/>
          <w:szCs w:val="24"/>
        </w:rPr>
        <w:t>Grade B (Very good): B</w:t>
      </w:r>
    </w:p>
    <w:p w14:paraId="5FEE0DA7" w14:textId="7B0DD41A" w:rsidR="009C069D" w:rsidRPr="00BF2AAC" w:rsidRDefault="009C069D" w:rsidP="00BF2AAC">
      <w:pPr>
        <w:shd w:val="clear" w:color="auto" w:fill="FFFFFF"/>
        <w:adjustRightInd w:val="0"/>
        <w:snapToGrid w:val="0"/>
        <w:spacing w:after="0" w:line="360" w:lineRule="auto"/>
        <w:jc w:val="both"/>
        <w:rPr>
          <w:rFonts w:ascii="Book Antiqua" w:hAnsi="Book Antiqua" w:cs="Helvetica"/>
          <w:sz w:val="24"/>
          <w:szCs w:val="24"/>
        </w:rPr>
      </w:pPr>
      <w:r w:rsidRPr="00BF2AAC">
        <w:rPr>
          <w:rFonts w:ascii="Book Antiqua" w:hAnsi="Book Antiqua" w:cs="Helvetica"/>
          <w:sz w:val="24"/>
          <w:szCs w:val="24"/>
        </w:rPr>
        <w:t>Grade C (Good): C</w:t>
      </w:r>
    </w:p>
    <w:p w14:paraId="4A8EA8F1" w14:textId="77777777" w:rsidR="009C069D" w:rsidRPr="00BF2AAC" w:rsidRDefault="009C069D" w:rsidP="00BF2AAC">
      <w:pPr>
        <w:shd w:val="clear" w:color="auto" w:fill="FFFFFF"/>
        <w:adjustRightInd w:val="0"/>
        <w:snapToGrid w:val="0"/>
        <w:spacing w:after="0" w:line="360" w:lineRule="auto"/>
        <w:jc w:val="both"/>
        <w:rPr>
          <w:rFonts w:ascii="Book Antiqua" w:hAnsi="Book Antiqua" w:cs="Helvetica"/>
          <w:sz w:val="24"/>
          <w:szCs w:val="24"/>
        </w:rPr>
      </w:pPr>
      <w:r w:rsidRPr="00BF2AAC">
        <w:rPr>
          <w:rFonts w:ascii="Book Antiqua" w:hAnsi="Book Antiqua" w:cs="Helvetica"/>
          <w:sz w:val="24"/>
          <w:szCs w:val="24"/>
        </w:rPr>
        <w:t>Grade D (Fair): 0</w:t>
      </w:r>
    </w:p>
    <w:p w14:paraId="5DF40741" w14:textId="77777777" w:rsidR="009C069D" w:rsidRPr="00BF2AAC" w:rsidRDefault="009C069D" w:rsidP="00BF2AAC">
      <w:pPr>
        <w:adjustRightInd w:val="0"/>
        <w:snapToGrid w:val="0"/>
        <w:spacing w:after="0" w:line="360" w:lineRule="auto"/>
        <w:jc w:val="both"/>
        <w:rPr>
          <w:rFonts w:ascii="Book Antiqua" w:hAnsi="Book Antiqua"/>
          <w:b/>
          <w:iCs/>
          <w:sz w:val="24"/>
          <w:szCs w:val="24"/>
        </w:rPr>
      </w:pPr>
      <w:r w:rsidRPr="00BF2AAC">
        <w:rPr>
          <w:rFonts w:ascii="Book Antiqua" w:hAnsi="Book Antiqua" w:cs="Helvetica"/>
          <w:sz w:val="24"/>
          <w:szCs w:val="24"/>
        </w:rPr>
        <w:t>Grade E (Poor): 0</w:t>
      </w:r>
      <w:bookmarkEnd w:id="127"/>
      <w:bookmarkEnd w:id="128"/>
    </w:p>
    <w:p w14:paraId="50AE78F2" w14:textId="77777777" w:rsidR="009C069D" w:rsidRPr="00BF2AAC" w:rsidRDefault="009C069D" w:rsidP="00BF2AAC">
      <w:pPr>
        <w:widowControl w:val="0"/>
        <w:autoSpaceDE w:val="0"/>
        <w:autoSpaceDN w:val="0"/>
        <w:adjustRightInd w:val="0"/>
        <w:snapToGrid w:val="0"/>
        <w:spacing w:after="0" w:line="360" w:lineRule="auto"/>
        <w:jc w:val="both"/>
        <w:rPr>
          <w:rFonts w:ascii="Book Antiqua" w:hAnsi="Book Antiqua"/>
          <w:noProof/>
          <w:sz w:val="24"/>
          <w:szCs w:val="24"/>
        </w:rPr>
      </w:pPr>
    </w:p>
    <w:p w14:paraId="2057407A" w14:textId="6F2B13B4" w:rsidR="009C069D" w:rsidRPr="00BF2AAC" w:rsidRDefault="00711D84"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sz w:val="24"/>
          <w:szCs w:val="24"/>
          <w:lang w:val="en-GB"/>
        </w:rPr>
        <w:fldChar w:fldCharType="end"/>
      </w:r>
      <w:r w:rsidRPr="00BF2AAC">
        <w:rPr>
          <w:rFonts w:ascii="Book Antiqua" w:hAnsi="Book Antiqua" w:cs="Times New Roman"/>
          <w:sz w:val="24"/>
          <w:szCs w:val="24"/>
          <w:lang w:val="en-GB"/>
        </w:rPr>
        <w:br w:type="page"/>
      </w:r>
      <w:r w:rsidR="009C069D" w:rsidRPr="00BF2AAC">
        <w:rPr>
          <w:rFonts w:ascii="Book Antiqua" w:hAnsi="Book Antiqua" w:cs="Times New Roman"/>
          <w:b/>
          <w:color w:val="000000" w:themeColor="text1"/>
          <w:sz w:val="24"/>
          <w:szCs w:val="24"/>
        </w:rPr>
        <w:lastRenderedPageBreak/>
        <w:t xml:space="preserve">Table </w:t>
      </w:r>
      <w:r w:rsidR="009C069D" w:rsidRPr="00BF2AAC">
        <w:rPr>
          <w:rFonts w:ascii="Book Antiqua" w:hAnsi="Book Antiqua" w:cs="Times New Roman"/>
          <w:b/>
          <w:color w:val="000000" w:themeColor="text1"/>
          <w:sz w:val="24"/>
          <w:szCs w:val="24"/>
        </w:rPr>
        <w:fldChar w:fldCharType="begin"/>
      </w:r>
      <w:r w:rsidR="009C069D" w:rsidRPr="00BF2AAC">
        <w:rPr>
          <w:rFonts w:ascii="Book Antiqua" w:hAnsi="Book Antiqua" w:cs="Times New Roman"/>
          <w:b/>
          <w:color w:val="000000" w:themeColor="text1"/>
          <w:sz w:val="24"/>
          <w:szCs w:val="24"/>
        </w:rPr>
        <w:instrText xml:space="preserve"> SEQ Tabela \* ARABIC </w:instrText>
      </w:r>
      <w:r w:rsidR="009C069D" w:rsidRPr="00BF2AAC">
        <w:rPr>
          <w:rFonts w:ascii="Book Antiqua" w:hAnsi="Book Antiqua" w:cs="Times New Roman"/>
          <w:b/>
          <w:color w:val="000000" w:themeColor="text1"/>
          <w:sz w:val="24"/>
          <w:szCs w:val="24"/>
        </w:rPr>
        <w:fldChar w:fldCharType="separate"/>
      </w:r>
      <w:r w:rsidR="009C069D" w:rsidRPr="00BF2AAC">
        <w:rPr>
          <w:rFonts w:ascii="Book Antiqua" w:hAnsi="Book Antiqua" w:cs="Times New Roman"/>
          <w:b/>
          <w:noProof/>
          <w:color w:val="000000" w:themeColor="text1"/>
          <w:sz w:val="24"/>
          <w:szCs w:val="24"/>
        </w:rPr>
        <w:t>1</w:t>
      </w:r>
      <w:r w:rsidR="009C069D" w:rsidRPr="00BF2AAC">
        <w:rPr>
          <w:rFonts w:ascii="Book Antiqua" w:hAnsi="Book Antiqua" w:cs="Times New Roman"/>
          <w:b/>
          <w:color w:val="000000" w:themeColor="text1"/>
          <w:sz w:val="24"/>
          <w:szCs w:val="24"/>
        </w:rPr>
        <w:fldChar w:fldCharType="end"/>
      </w:r>
      <w:r w:rsidR="009C069D" w:rsidRPr="00BF2AAC">
        <w:rPr>
          <w:rFonts w:ascii="Book Antiqua" w:hAnsi="Book Antiqua" w:cs="Times New Roman"/>
          <w:b/>
          <w:color w:val="000000" w:themeColor="text1"/>
          <w:sz w:val="24"/>
          <w:szCs w:val="24"/>
        </w:rPr>
        <w:t xml:space="preserve"> </w:t>
      </w:r>
      <w:r w:rsidR="009C069D" w:rsidRPr="00BF2AAC">
        <w:rPr>
          <w:rFonts w:ascii="Book Antiqua" w:hAnsi="Book Antiqua" w:cs="Times New Roman"/>
          <w:b/>
          <w:color w:val="000000" w:themeColor="text1"/>
          <w:sz w:val="24"/>
          <w:szCs w:val="24"/>
          <w:lang w:val="sl-SI"/>
        </w:rPr>
        <w:t>Patient demographics</w:t>
      </w:r>
      <w:r w:rsidR="009C069D" w:rsidRPr="00BF2AAC" w:rsidDel="0001781A">
        <w:rPr>
          <w:rFonts w:ascii="Book Antiqua" w:hAnsi="Book Antiqua" w:cs="Times New Roman"/>
          <w:b/>
          <w:sz w:val="24"/>
          <w:szCs w:val="24"/>
          <w:lang w:val="en-GB"/>
        </w:rPr>
        <w:t xml:space="preserve"> </w:t>
      </w:r>
    </w:p>
    <w:tbl>
      <w:tblPr>
        <w:tblStyle w:val="TableGrid"/>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786"/>
        <w:gridCol w:w="4111"/>
      </w:tblGrid>
      <w:tr w:rsidR="009C069D" w:rsidRPr="00BF2AAC" w14:paraId="53DF2E9D" w14:textId="77777777" w:rsidTr="002B151A">
        <w:trPr>
          <w:trHeight w:val="275"/>
        </w:trPr>
        <w:tc>
          <w:tcPr>
            <w:tcW w:w="4786" w:type="dxa"/>
            <w:tcBorders>
              <w:top w:val="single" w:sz="4" w:space="0" w:color="auto"/>
              <w:bottom w:val="single" w:sz="4" w:space="0" w:color="auto"/>
              <w:right w:val="nil"/>
            </w:tcBorders>
            <w:shd w:val="clear" w:color="auto" w:fill="auto"/>
            <w:vAlign w:val="center"/>
          </w:tcPr>
          <w:p w14:paraId="4E514A7B"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sl-SI"/>
              </w:rPr>
            </w:pPr>
            <w:r w:rsidRPr="00BF2AAC">
              <w:rPr>
                <w:rFonts w:ascii="Book Antiqua" w:hAnsi="Book Antiqua" w:cs="Times New Roman"/>
                <w:b/>
                <w:sz w:val="24"/>
                <w:szCs w:val="24"/>
                <w:lang w:val="sl-SI"/>
              </w:rPr>
              <w:t>Patients</w:t>
            </w:r>
          </w:p>
        </w:tc>
        <w:tc>
          <w:tcPr>
            <w:tcW w:w="4111" w:type="dxa"/>
            <w:tcBorders>
              <w:top w:val="single" w:sz="4" w:space="0" w:color="auto"/>
              <w:left w:val="nil"/>
              <w:bottom w:val="single" w:sz="4" w:space="0" w:color="auto"/>
            </w:tcBorders>
            <w:shd w:val="clear" w:color="auto" w:fill="auto"/>
            <w:vAlign w:val="center"/>
          </w:tcPr>
          <w:p w14:paraId="1FA33970"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sl-SI"/>
              </w:rPr>
            </w:pPr>
          </w:p>
        </w:tc>
      </w:tr>
      <w:tr w:rsidR="009C069D" w:rsidRPr="00BF2AAC" w14:paraId="656D5A86" w14:textId="77777777" w:rsidTr="002B151A">
        <w:trPr>
          <w:trHeight w:val="284"/>
        </w:trPr>
        <w:tc>
          <w:tcPr>
            <w:tcW w:w="4786" w:type="dxa"/>
            <w:tcBorders>
              <w:top w:val="single" w:sz="4" w:space="0" w:color="auto"/>
              <w:bottom w:val="nil"/>
              <w:right w:val="nil"/>
            </w:tcBorders>
            <w:shd w:val="clear" w:color="auto" w:fill="auto"/>
            <w:vAlign w:val="center"/>
          </w:tcPr>
          <w:p w14:paraId="340C2E54"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 xml:space="preserve">Total, </w:t>
            </w:r>
            <w:r w:rsidRPr="00BF2AAC">
              <w:rPr>
                <w:rFonts w:ascii="Book Antiqua" w:hAnsi="Book Antiqua" w:cs="Times New Roman"/>
                <w:i/>
                <w:sz w:val="24"/>
                <w:szCs w:val="24"/>
                <w:lang w:val="sl-SI"/>
              </w:rPr>
              <w:t>n</w:t>
            </w:r>
          </w:p>
        </w:tc>
        <w:tc>
          <w:tcPr>
            <w:tcW w:w="4111" w:type="dxa"/>
            <w:tcBorders>
              <w:top w:val="single" w:sz="4" w:space="0" w:color="auto"/>
              <w:left w:val="nil"/>
              <w:bottom w:val="nil"/>
            </w:tcBorders>
            <w:shd w:val="clear" w:color="auto" w:fill="auto"/>
            <w:vAlign w:val="center"/>
          </w:tcPr>
          <w:p w14:paraId="525A189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60 (100%)</w:t>
            </w:r>
          </w:p>
        </w:tc>
      </w:tr>
      <w:tr w:rsidR="009C069D" w:rsidRPr="00BF2AAC" w14:paraId="5EA17018" w14:textId="77777777" w:rsidTr="002B151A">
        <w:trPr>
          <w:trHeight w:val="284"/>
        </w:trPr>
        <w:tc>
          <w:tcPr>
            <w:tcW w:w="4786" w:type="dxa"/>
            <w:tcBorders>
              <w:top w:val="nil"/>
              <w:bottom w:val="nil"/>
              <w:right w:val="nil"/>
            </w:tcBorders>
            <w:shd w:val="clear" w:color="auto" w:fill="auto"/>
            <w:vAlign w:val="center"/>
          </w:tcPr>
          <w:p w14:paraId="2F36BD71"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Average age at EMR (IQR)</w:t>
            </w:r>
          </w:p>
        </w:tc>
        <w:tc>
          <w:tcPr>
            <w:tcW w:w="4111" w:type="dxa"/>
            <w:tcBorders>
              <w:top w:val="nil"/>
              <w:left w:val="nil"/>
              <w:bottom w:val="nil"/>
            </w:tcBorders>
            <w:shd w:val="clear" w:color="auto" w:fill="auto"/>
            <w:vAlign w:val="center"/>
          </w:tcPr>
          <w:p w14:paraId="620E6E1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70 (66-75)</w:t>
            </w:r>
          </w:p>
        </w:tc>
      </w:tr>
      <w:tr w:rsidR="009C069D" w:rsidRPr="00BF2AAC" w14:paraId="3A671E18" w14:textId="77777777" w:rsidTr="002B151A">
        <w:trPr>
          <w:trHeight w:val="275"/>
        </w:trPr>
        <w:tc>
          <w:tcPr>
            <w:tcW w:w="4786" w:type="dxa"/>
            <w:tcBorders>
              <w:top w:val="nil"/>
              <w:bottom w:val="nil"/>
              <w:right w:val="nil"/>
            </w:tcBorders>
            <w:shd w:val="clear" w:color="auto" w:fill="auto"/>
            <w:vAlign w:val="center"/>
          </w:tcPr>
          <w:p w14:paraId="72563476"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Gender</w:t>
            </w:r>
          </w:p>
        </w:tc>
        <w:tc>
          <w:tcPr>
            <w:tcW w:w="4111" w:type="dxa"/>
            <w:tcBorders>
              <w:top w:val="nil"/>
              <w:left w:val="nil"/>
              <w:bottom w:val="nil"/>
            </w:tcBorders>
            <w:shd w:val="clear" w:color="auto" w:fill="auto"/>
            <w:vAlign w:val="center"/>
          </w:tcPr>
          <w:p w14:paraId="70279AB6"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p>
        </w:tc>
      </w:tr>
      <w:tr w:rsidR="009C069D" w:rsidRPr="00BF2AAC" w14:paraId="4DB82820" w14:textId="77777777" w:rsidTr="002B151A">
        <w:trPr>
          <w:trHeight w:val="284"/>
        </w:trPr>
        <w:tc>
          <w:tcPr>
            <w:tcW w:w="4786" w:type="dxa"/>
            <w:tcBorders>
              <w:top w:val="nil"/>
              <w:bottom w:val="nil"/>
              <w:right w:val="nil"/>
            </w:tcBorders>
            <w:shd w:val="clear" w:color="auto" w:fill="auto"/>
            <w:vAlign w:val="center"/>
          </w:tcPr>
          <w:p w14:paraId="20FA60CD"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Male</w:t>
            </w:r>
          </w:p>
        </w:tc>
        <w:tc>
          <w:tcPr>
            <w:tcW w:w="4111" w:type="dxa"/>
            <w:tcBorders>
              <w:top w:val="nil"/>
              <w:left w:val="nil"/>
              <w:bottom w:val="nil"/>
            </w:tcBorders>
            <w:shd w:val="clear" w:color="auto" w:fill="auto"/>
            <w:vAlign w:val="center"/>
          </w:tcPr>
          <w:p w14:paraId="4060696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51 (85%)</w:t>
            </w:r>
          </w:p>
        </w:tc>
      </w:tr>
      <w:tr w:rsidR="009C069D" w:rsidRPr="00BF2AAC" w14:paraId="5A4BB519" w14:textId="77777777" w:rsidTr="002B151A">
        <w:trPr>
          <w:trHeight w:val="284"/>
        </w:trPr>
        <w:tc>
          <w:tcPr>
            <w:tcW w:w="4786" w:type="dxa"/>
            <w:tcBorders>
              <w:top w:val="nil"/>
              <w:bottom w:val="single" w:sz="4" w:space="0" w:color="auto"/>
              <w:right w:val="nil"/>
            </w:tcBorders>
            <w:shd w:val="clear" w:color="auto" w:fill="auto"/>
            <w:vAlign w:val="center"/>
          </w:tcPr>
          <w:p w14:paraId="2CE824B3"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Female</w:t>
            </w:r>
          </w:p>
        </w:tc>
        <w:tc>
          <w:tcPr>
            <w:tcW w:w="4111" w:type="dxa"/>
            <w:tcBorders>
              <w:top w:val="nil"/>
              <w:left w:val="nil"/>
              <w:bottom w:val="single" w:sz="4" w:space="0" w:color="auto"/>
            </w:tcBorders>
            <w:shd w:val="clear" w:color="auto" w:fill="auto"/>
            <w:vAlign w:val="center"/>
          </w:tcPr>
          <w:p w14:paraId="60D4AF0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9 (15%)</w:t>
            </w:r>
          </w:p>
        </w:tc>
      </w:tr>
      <w:tr w:rsidR="009C069D" w:rsidRPr="00BF2AAC" w14:paraId="78D6DC1E" w14:textId="77777777" w:rsidTr="002B151A">
        <w:trPr>
          <w:trHeight w:val="275"/>
        </w:trPr>
        <w:tc>
          <w:tcPr>
            <w:tcW w:w="4786" w:type="dxa"/>
            <w:tcBorders>
              <w:top w:val="single" w:sz="4" w:space="0" w:color="auto"/>
              <w:bottom w:val="single" w:sz="4" w:space="0" w:color="auto"/>
              <w:right w:val="nil"/>
            </w:tcBorders>
            <w:shd w:val="clear" w:color="auto" w:fill="auto"/>
            <w:vAlign w:val="center"/>
          </w:tcPr>
          <w:p w14:paraId="256F6F34"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sl-SI"/>
              </w:rPr>
            </w:pPr>
            <w:r w:rsidRPr="00BF2AAC">
              <w:rPr>
                <w:rFonts w:ascii="Book Antiqua" w:hAnsi="Book Antiqua" w:cs="Times New Roman"/>
                <w:b/>
                <w:sz w:val="24"/>
                <w:szCs w:val="24"/>
                <w:lang w:val="sl-SI"/>
              </w:rPr>
              <w:t>Barrett's oesophagus</w:t>
            </w:r>
          </w:p>
        </w:tc>
        <w:tc>
          <w:tcPr>
            <w:tcW w:w="4111" w:type="dxa"/>
            <w:tcBorders>
              <w:top w:val="single" w:sz="4" w:space="0" w:color="auto"/>
              <w:left w:val="nil"/>
              <w:bottom w:val="single" w:sz="4" w:space="0" w:color="auto"/>
            </w:tcBorders>
            <w:shd w:val="clear" w:color="auto" w:fill="auto"/>
            <w:vAlign w:val="center"/>
          </w:tcPr>
          <w:p w14:paraId="3F09DFAE"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sl-SI"/>
              </w:rPr>
            </w:pPr>
          </w:p>
        </w:tc>
      </w:tr>
      <w:tr w:rsidR="009C069D" w:rsidRPr="00BF2AAC" w14:paraId="2755BDEC" w14:textId="77777777" w:rsidTr="002B151A">
        <w:trPr>
          <w:trHeight w:val="284"/>
        </w:trPr>
        <w:tc>
          <w:tcPr>
            <w:tcW w:w="4786" w:type="dxa"/>
            <w:tcBorders>
              <w:top w:val="single" w:sz="4" w:space="0" w:color="auto"/>
              <w:bottom w:val="nil"/>
              <w:right w:val="nil"/>
            </w:tcBorders>
            <w:shd w:val="clear" w:color="auto" w:fill="auto"/>
            <w:vAlign w:val="center"/>
          </w:tcPr>
          <w:p w14:paraId="65C756CB"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Circumference (range)</w:t>
            </w:r>
          </w:p>
        </w:tc>
        <w:tc>
          <w:tcPr>
            <w:tcW w:w="4111" w:type="dxa"/>
            <w:tcBorders>
              <w:top w:val="single" w:sz="4" w:space="0" w:color="auto"/>
              <w:left w:val="nil"/>
              <w:bottom w:val="nil"/>
            </w:tcBorders>
            <w:shd w:val="clear" w:color="auto" w:fill="auto"/>
            <w:vAlign w:val="center"/>
          </w:tcPr>
          <w:p w14:paraId="2B59992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5 (0-13)</w:t>
            </w:r>
          </w:p>
        </w:tc>
      </w:tr>
      <w:tr w:rsidR="009C069D" w:rsidRPr="00BF2AAC" w14:paraId="4B0C606E" w14:textId="77777777" w:rsidTr="002B151A">
        <w:trPr>
          <w:trHeight w:val="284"/>
        </w:trPr>
        <w:tc>
          <w:tcPr>
            <w:tcW w:w="4786" w:type="dxa"/>
            <w:tcBorders>
              <w:top w:val="nil"/>
              <w:bottom w:val="nil"/>
              <w:right w:val="nil"/>
            </w:tcBorders>
            <w:shd w:val="clear" w:color="auto" w:fill="auto"/>
            <w:vAlign w:val="center"/>
          </w:tcPr>
          <w:p w14:paraId="1F63BC29"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Maximum (range)</w:t>
            </w:r>
          </w:p>
        </w:tc>
        <w:tc>
          <w:tcPr>
            <w:tcW w:w="4111" w:type="dxa"/>
            <w:tcBorders>
              <w:top w:val="nil"/>
              <w:left w:val="nil"/>
              <w:bottom w:val="nil"/>
            </w:tcBorders>
            <w:shd w:val="clear" w:color="auto" w:fill="auto"/>
            <w:vAlign w:val="center"/>
          </w:tcPr>
          <w:p w14:paraId="503637ED"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7 (1-15)</w:t>
            </w:r>
          </w:p>
        </w:tc>
      </w:tr>
      <w:tr w:rsidR="009C069D" w:rsidRPr="00BF2AAC" w14:paraId="4A85CC90" w14:textId="77777777" w:rsidTr="002B151A">
        <w:trPr>
          <w:trHeight w:val="275"/>
        </w:trPr>
        <w:tc>
          <w:tcPr>
            <w:tcW w:w="4786" w:type="dxa"/>
            <w:tcBorders>
              <w:top w:val="nil"/>
              <w:bottom w:val="nil"/>
              <w:right w:val="nil"/>
            </w:tcBorders>
            <w:shd w:val="clear" w:color="auto" w:fill="auto"/>
            <w:vAlign w:val="center"/>
          </w:tcPr>
          <w:p w14:paraId="34DC33EE"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In surveillance program</w:t>
            </w:r>
          </w:p>
        </w:tc>
        <w:tc>
          <w:tcPr>
            <w:tcW w:w="4111" w:type="dxa"/>
            <w:tcBorders>
              <w:top w:val="nil"/>
              <w:left w:val="nil"/>
              <w:bottom w:val="nil"/>
            </w:tcBorders>
            <w:shd w:val="clear" w:color="auto" w:fill="auto"/>
            <w:vAlign w:val="center"/>
          </w:tcPr>
          <w:p w14:paraId="7EC0EE6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p>
        </w:tc>
      </w:tr>
      <w:tr w:rsidR="009C069D" w:rsidRPr="00BF2AAC" w14:paraId="1115C722" w14:textId="77777777" w:rsidTr="002B151A">
        <w:trPr>
          <w:trHeight w:val="284"/>
        </w:trPr>
        <w:tc>
          <w:tcPr>
            <w:tcW w:w="4786" w:type="dxa"/>
            <w:tcBorders>
              <w:top w:val="nil"/>
              <w:bottom w:val="nil"/>
              <w:right w:val="nil"/>
            </w:tcBorders>
            <w:shd w:val="clear" w:color="auto" w:fill="auto"/>
            <w:vAlign w:val="center"/>
          </w:tcPr>
          <w:p w14:paraId="0A059B8A"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Yes, median years (IQR)</w:t>
            </w:r>
          </w:p>
        </w:tc>
        <w:tc>
          <w:tcPr>
            <w:tcW w:w="4111" w:type="dxa"/>
            <w:tcBorders>
              <w:top w:val="nil"/>
              <w:left w:val="nil"/>
              <w:bottom w:val="nil"/>
            </w:tcBorders>
            <w:shd w:val="clear" w:color="auto" w:fill="auto"/>
            <w:vAlign w:val="center"/>
          </w:tcPr>
          <w:p w14:paraId="142CADD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36 (61%), 6 (3-9)</w:t>
            </w:r>
          </w:p>
        </w:tc>
      </w:tr>
      <w:tr w:rsidR="009C069D" w:rsidRPr="00BF2AAC" w14:paraId="20202168" w14:textId="77777777" w:rsidTr="002B151A">
        <w:trPr>
          <w:trHeight w:val="284"/>
        </w:trPr>
        <w:tc>
          <w:tcPr>
            <w:tcW w:w="4786" w:type="dxa"/>
            <w:tcBorders>
              <w:top w:val="nil"/>
              <w:bottom w:val="nil"/>
              <w:right w:val="nil"/>
            </w:tcBorders>
            <w:shd w:val="clear" w:color="auto" w:fill="auto"/>
            <w:vAlign w:val="center"/>
          </w:tcPr>
          <w:p w14:paraId="0B851568"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No, new finding</w:t>
            </w:r>
          </w:p>
        </w:tc>
        <w:tc>
          <w:tcPr>
            <w:tcW w:w="4111" w:type="dxa"/>
            <w:tcBorders>
              <w:top w:val="nil"/>
              <w:left w:val="nil"/>
              <w:bottom w:val="nil"/>
            </w:tcBorders>
            <w:shd w:val="clear" w:color="auto" w:fill="auto"/>
            <w:vAlign w:val="center"/>
          </w:tcPr>
          <w:p w14:paraId="0B92F726"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19 (32%)</w:t>
            </w:r>
          </w:p>
        </w:tc>
      </w:tr>
      <w:tr w:rsidR="009C069D" w:rsidRPr="00BF2AAC" w14:paraId="3CD6D00C" w14:textId="77777777" w:rsidTr="002B151A">
        <w:trPr>
          <w:trHeight w:val="275"/>
        </w:trPr>
        <w:tc>
          <w:tcPr>
            <w:tcW w:w="4786" w:type="dxa"/>
            <w:tcBorders>
              <w:top w:val="nil"/>
              <w:bottom w:val="single" w:sz="4" w:space="0" w:color="auto"/>
              <w:right w:val="nil"/>
            </w:tcBorders>
            <w:shd w:val="clear" w:color="auto" w:fill="auto"/>
            <w:vAlign w:val="center"/>
          </w:tcPr>
          <w:p w14:paraId="0BAE59E4"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sl-SI"/>
              </w:rPr>
            </w:pPr>
            <w:r w:rsidRPr="00BF2AAC">
              <w:rPr>
                <w:rFonts w:ascii="Book Antiqua" w:hAnsi="Book Antiqua" w:cs="Times New Roman"/>
                <w:sz w:val="24"/>
                <w:szCs w:val="24"/>
                <w:lang w:val="sl-SI"/>
              </w:rPr>
              <w:t>Data N/A</w:t>
            </w:r>
          </w:p>
        </w:tc>
        <w:tc>
          <w:tcPr>
            <w:tcW w:w="4111" w:type="dxa"/>
            <w:tcBorders>
              <w:top w:val="nil"/>
              <w:left w:val="nil"/>
              <w:bottom w:val="single" w:sz="4" w:space="0" w:color="auto"/>
            </w:tcBorders>
            <w:shd w:val="clear" w:color="auto" w:fill="auto"/>
            <w:vAlign w:val="center"/>
          </w:tcPr>
          <w:p w14:paraId="3ABB41C4"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sl-SI"/>
              </w:rPr>
            </w:pPr>
            <w:r w:rsidRPr="00BF2AAC">
              <w:rPr>
                <w:rFonts w:ascii="Book Antiqua" w:hAnsi="Book Antiqua" w:cs="Times New Roman"/>
                <w:sz w:val="24"/>
                <w:szCs w:val="24"/>
                <w:lang w:val="sl-SI"/>
              </w:rPr>
              <w:t>5 (7%)</w:t>
            </w:r>
          </w:p>
        </w:tc>
      </w:tr>
    </w:tbl>
    <w:p w14:paraId="17F84004"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 xml:space="preserve"> </w:t>
      </w:r>
      <w:r w:rsidRPr="00BF2AAC">
        <w:rPr>
          <w:rFonts w:ascii="Book Antiqua" w:hAnsi="Book Antiqua" w:cs="Times New Roman"/>
          <w:sz w:val="24"/>
          <w:szCs w:val="24"/>
          <w:lang w:val="sl-SI"/>
        </w:rPr>
        <w:t>EMR: Endoscopic mucosal resection; IQR: Interquartile range; N/A: Not available.</w:t>
      </w:r>
      <w:r w:rsidRPr="00BF2AAC" w:rsidDel="00847301">
        <w:rPr>
          <w:rFonts w:ascii="Book Antiqua" w:hAnsi="Book Antiqua" w:cs="Times New Roman"/>
          <w:b/>
          <w:sz w:val="24"/>
          <w:szCs w:val="24"/>
          <w:lang w:val="en-GB"/>
        </w:rPr>
        <w:t xml:space="preserve"> </w:t>
      </w:r>
    </w:p>
    <w:p w14:paraId="29BCA342" w14:textId="77777777" w:rsidR="009C069D" w:rsidRPr="00BF2AAC" w:rsidRDefault="009C069D" w:rsidP="00BF2AAC">
      <w:pPr>
        <w:adjustRightInd w:val="0"/>
        <w:snapToGrid w:val="0"/>
        <w:spacing w:after="0" w:line="360" w:lineRule="auto"/>
        <w:rPr>
          <w:rFonts w:ascii="Book Antiqua" w:hAnsi="Book Antiqua" w:cs="Times New Roman"/>
          <w:b/>
          <w:sz w:val="24"/>
          <w:szCs w:val="24"/>
          <w:lang w:val="en-GB"/>
        </w:rPr>
      </w:pPr>
      <w:r w:rsidRPr="00BF2AAC">
        <w:rPr>
          <w:rFonts w:ascii="Book Antiqua" w:hAnsi="Book Antiqua" w:cs="Times New Roman"/>
          <w:b/>
          <w:sz w:val="24"/>
          <w:szCs w:val="24"/>
          <w:lang w:val="en-GB"/>
        </w:rPr>
        <w:br w:type="page"/>
      </w:r>
    </w:p>
    <w:p w14:paraId="44CFF198" w14:textId="77777777" w:rsidR="009C069D" w:rsidRPr="00BF2AAC" w:rsidRDefault="009C069D" w:rsidP="00BF2AAC">
      <w:pPr>
        <w:adjustRightInd w:val="0"/>
        <w:snapToGrid w:val="0"/>
        <w:spacing w:after="0" w:line="360" w:lineRule="auto"/>
        <w:jc w:val="both"/>
        <w:outlineLvl w:val="0"/>
        <w:rPr>
          <w:rFonts w:ascii="Book Antiqua" w:hAnsi="Book Antiqua" w:cs="Times New Roman"/>
          <w:b/>
          <w:sz w:val="24"/>
          <w:szCs w:val="24"/>
          <w:lang w:val="en-GB"/>
        </w:rPr>
      </w:pPr>
      <w:r w:rsidRPr="00BF2AAC">
        <w:rPr>
          <w:rFonts w:ascii="Book Antiqua" w:hAnsi="Book Antiqua" w:cs="Times New Roman"/>
          <w:b/>
          <w:sz w:val="24"/>
          <w:szCs w:val="24"/>
          <w:lang w:val="en-GB"/>
        </w:rPr>
        <w:lastRenderedPageBreak/>
        <w:t>Table 2 Tumour index endoscopic mucosal resection</w:t>
      </w:r>
      <w:r w:rsidRPr="00BF2AAC" w:rsidDel="00095222">
        <w:rPr>
          <w:rFonts w:ascii="Book Antiqua" w:hAnsi="Book Antiqua" w:cs="Times New Roman"/>
          <w:b/>
          <w:sz w:val="24"/>
          <w:szCs w:val="24"/>
          <w:lang w:val="en-GB"/>
        </w:rPr>
        <w:t xml:space="preserve"> </w:t>
      </w:r>
      <w:r w:rsidRPr="00BF2AAC">
        <w:rPr>
          <w:rFonts w:ascii="Book Antiqua" w:hAnsi="Book Antiqua" w:cs="Times New Roman"/>
          <w:b/>
          <w:sz w:val="24"/>
          <w:szCs w:val="24"/>
          <w:lang w:val="en-GB"/>
        </w:rPr>
        <w:t xml:space="preserve">characteristics </w:t>
      </w:r>
      <w:r w:rsidRPr="00BF2AAC">
        <w:rPr>
          <w:rFonts w:ascii="Book Antiqua" w:hAnsi="Book Antiqua" w:cs="Times New Roman"/>
          <w:b/>
          <w:i/>
          <w:sz w:val="24"/>
          <w:szCs w:val="24"/>
          <w:lang w:val="en-GB"/>
        </w:rPr>
        <w:t>n</w:t>
      </w:r>
      <w:r w:rsidRPr="00BF2AAC">
        <w:rPr>
          <w:rFonts w:ascii="Book Antiqua" w:hAnsi="Book Antiqua" w:cs="Times New Roman"/>
          <w:b/>
          <w:sz w:val="24"/>
          <w:szCs w:val="24"/>
          <w:lang w:val="en-GB"/>
        </w:rPr>
        <w:t xml:space="preserve"> (%)</w:t>
      </w:r>
    </w:p>
    <w:tbl>
      <w:tblPr>
        <w:tblStyle w:val="TableGrid"/>
        <w:tblW w:w="85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3910"/>
      </w:tblGrid>
      <w:tr w:rsidR="009C069D" w:rsidRPr="00BF2AAC" w14:paraId="2BF1D31D" w14:textId="77777777" w:rsidTr="002B151A">
        <w:trPr>
          <w:trHeight w:val="340"/>
        </w:trPr>
        <w:tc>
          <w:tcPr>
            <w:tcW w:w="4625" w:type="dxa"/>
            <w:tcBorders>
              <w:top w:val="single" w:sz="4" w:space="0" w:color="auto"/>
              <w:bottom w:val="single" w:sz="4" w:space="0" w:color="auto"/>
            </w:tcBorders>
            <w:shd w:val="clear" w:color="auto" w:fill="auto"/>
          </w:tcPr>
          <w:p w14:paraId="78742D28"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Tumour location</w:t>
            </w:r>
          </w:p>
        </w:tc>
        <w:tc>
          <w:tcPr>
            <w:tcW w:w="3910" w:type="dxa"/>
            <w:tcBorders>
              <w:top w:val="single" w:sz="4" w:space="0" w:color="auto"/>
              <w:bottom w:val="single" w:sz="4" w:space="0" w:color="auto"/>
            </w:tcBorders>
            <w:shd w:val="clear" w:color="auto" w:fill="auto"/>
          </w:tcPr>
          <w:p w14:paraId="1BF548AD"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p>
        </w:tc>
      </w:tr>
      <w:tr w:rsidR="009C069D" w:rsidRPr="00BF2AAC" w14:paraId="71BD1A7E" w14:textId="77777777" w:rsidTr="002B151A">
        <w:trPr>
          <w:trHeight w:val="340"/>
        </w:trPr>
        <w:tc>
          <w:tcPr>
            <w:tcW w:w="4625" w:type="dxa"/>
            <w:tcBorders>
              <w:top w:val="single" w:sz="4" w:space="0" w:color="auto"/>
            </w:tcBorders>
            <w:shd w:val="clear" w:color="auto" w:fill="auto"/>
          </w:tcPr>
          <w:p w14:paraId="773CD733"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Oesophagus</w:t>
            </w:r>
          </w:p>
        </w:tc>
        <w:tc>
          <w:tcPr>
            <w:tcW w:w="3910" w:type="dxa"/>
            <w:tcBorders>
              <w:top w:val="single" w:sz="4" w:space="0" w:color="auto"/>
            </w:tcBorders>
            <w:shd w:val="clear" w:color="auto" w:fill="auto"/>
          </w:tcPr>
          <w:p w14:paraId="7418AD4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55 (92)</w:t>
            </w:r>
          </w:p>
        </w:tc>
      </w:tr>
      <w:tr w:rsidR="009C069D" w:rsidRPr="00BF2AAC" w14:paraId="4D93B8A2" w14:textId="77777777" w:rsidTr="002B151A">
        <w:trPr>
          <w:trHeight w:val="340"/>
        </w:trPr>
        <w:tc>
          <w:tcPr>
            <w:tcW w:w="4625" w:type="dxa"/>
            <w:tcBorders>
              <w:bottom w:val="single" w:sz="4" w:space="0" w:color="auto"/>
            </w:tcBorders>
            <w:shd w:val="clear" w:color="auto" w:fill="auto"/>
          </w:tcPr>
          <w:p w14:paraId="7EAE4489"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Cardia (Siewert 1 lesions)</w:t>
            </w:r>
          </w:p>
        </w:tc>
        <w:tc>
          <w:tcPr>
            <w:tcW w:w="3910" w:type="dxa"/>
            <w:tcBorders>
              <w:bottom w:val="single" w:sz="4" w:space="0" w:color="auto"/>
            </w:tcBorders>
            <w:shd w:val="clear" w:color="auto" w:fill="auto"/>
          </w:tcPr>
          <w:p w14:paraId="7E884A34"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5 (8)</w:t>
            </w:r>
          </w:p>
        </w:tc>
      </w:tr>
      <w:tr w:rsidR="009C069D" w:rsidRPr="00BF2AAC" w14:paraId="6E41062F" w14:textId="77777777" w:rsidTr="002B151A">
        <w:trPr>
          <w:trHeight w:val="340"/>
        </w:trPr>
        <w:tc>
          <w:tcPr>
            <w:tcW w:w="4625" w:type="dxa"/>
            <w:tcBorders>
              <w:top w:val="single" w:sz="4" w:space="0" w:color="auto"/>
              <w:bottom w:val="single" w:sz="4" w:space="0" w:color="auto"/>
            </w:tcBorders>
            <w:shd w:val="clear" w:color="auto" w:fill="auto"/>
          </w:tcPr>
          <w:p w14:paraId="371EEF8D"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Tumour histopathology</w:t>
            </w:r>
          </w:p>
        </w:tc>
        <w:tc>
          <w:tcPr>
            <w:tcW w:w="3910" w:type="dxa"/>
            <w:tcBorders>
              <w:top w:val="single" w:sz="4" w:space="0" w:color="auto"/>
              <w:bottom w:val="single" w:sz="4" w:space="0" w:color="auto"/>
            </w:tcBorders>
            <w:shd w:val="clear" w:color="auto" w:fill="auto"/>
          </w:tcPr>
          <w:p w14:paraId="38D8BFC0"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p>
        </w:tc>
      </w:tr>
      <w:tr w:rsidR="009C069D" w:rsidRPr="00BF2AAC" w14:paraId="1C420A07" w14:textId="77777777" w:rsidTr="002B151A">
        <w:trPr>
          <w:trHeight w:val="340"/>
        </w:trPr>
        <w:tc>
          <w:tcPr>
            <w:tcW w:w="4625" w:type="dxa"/>
            <w:tcBorders>
              <w:top w:val="single" w:sz="4" w:space="0" w:color="auto"/>
            </w:tcBorders>
            <w:shd w:val="clear" w:color="auto" w:fill="auto"/>
          </w:tcPr>
          <w:p w14:paraId="4F972652"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Differentiation</w:t>
            </w:r>
          </w:p>
        </w:tc>
        <w:tc>
          <w:tcPr>
            <w:tcW w:w="3910" w:type="dxa"/>
            <w:tcBorders>
              <w:top w:val="single" w:sz="4" w:space="0" w:color="auto"/>
            </w:tcBorders>
            <w:shd w:val="clear" w:color="auto" w:fill="auto"/>
          </w:tcPr>
          <w:p w14:paraId="74A5EB5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p>
        </w:tc>
      </w:tr>
      <w:tr w:rsidR="009C069D" w:rsidRPr="00BF2AAC" w14:paraId="6C6C82EC" w14:textId="77777777" w:rsidTr="002B151A">
        <w:trPr>
          <w:trHeight w:val="340"/>
        </w:trPr>
        <w:tc>
          <w:tcPr>
            <w:tcW w:w="4625" w:type="dxa"/>
            <w:shd w:val="clear" w:color="auto" w:fill="auto"/>
          </w:tcPr>
          <w:p w14:paraId="2C87629F"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Well (G1)</w:t>
            </w:r>
          </w:p>
        </w:tc>
        <w:tc>
          <w:tcPr>
            <w:tcW w:w="3910" w:type="dxa"/>
            <w:shd w:val="clear" w:color="auto" w:fill="auto"/>
          </w:tcPr>
          <w:p w14:paraId="60DF2A74"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 (3)</w:t>
            </w:r>
          </w:p>
        </w:tc>
      </w:tr>
      <w:tr w:rsidR="009C069D" w:rsidRPr="00BF2AAC" w14:paraId="2A4576E3" w14:textId="77777777" w:rsidTr="002B151A">
        <w:trPr>
          <w:trHeight w:val="340"/>
        </w:trPr>
        <w:tc>
          <w:tcPr>
            <w:tcW w:w="4625" w:type="dxa"/>
            <w:shd w:val="clear" w:color="auto" w:fill="auto"/>
          </w:tcPr>
          <w:p w14:paraId="19E78F53"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Moderate (G2)</w:t>
            </w:r>
          </w:p>
        </w:tc>
        <w:tc>
          <w:tcPr>
            <w:tcW w:w="3910" w:type="dxa"/>
            <w:shd w:val="clear" w:color="auto" w:fill="auto"/>
          </w:tcPr>
          <w:p w14:paraId="637212B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28 (47)</w:t>
            </w:r>
          </w:p>
        </w:tc>
      </w:tr>
      <w:tr w:rsidR="009C069D" w:rsidRPr="00BF2AAC" w14:paraId="1B87CFF4" w14:textId="77777777" w:rsidTr="002B151A">
        <w:trPr>
          <w:trHeight w:val="340"/>
        </w:trPr>
        <w:tc>
          <w:tcPr>
            <w:tcW w:w="4625" w:type="dxa"/>
            <w:shd w:val="clear" w:color="auto" w:fill="auto"/>
          </w:tcPr>
          <w:p w14:paraId="45EEABF8"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Poor (G3)</w:t>
            </w:r>
          </w:p>
        </w:tc>
        <w:tc>
          <w:tcPr>
            <w:tcW w:w="3910" w:type="dxa"/>
            <w:shd w:val="clear" w:color="auto" w:fill="auto"/>
          </w:tcPr>
          <w:p w14:paraId="70482A33"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29 (49)</w:t>
            </w:r>
          </w:p>
        </w:tc>
      </w:tr>
      <w:tr w:rsidR="009C069D" w:rsidRPr="00BF2AAC" w14:paraId="7FDF0180" w14:textId="77777777" w:rsidTr="002B151A">
        <w:trPr>
          <w:trHeight w:val="340"/>
        </w:trPr>
        <w:tc>
          <w:tcPr>
            <w:tcW w:w="4625" w:type="dxa"/>
            <w:shd w:val="clear" w:color="auto" w:fill="auto"/>
          </w:tcPr>
          <w:p w14:paraId="44418CFF"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X (GX)</w:t>
            </w:r>
          </w:p>
        </w:tc>
        <w:tc>
          <w:tcPr>
            <w:tcW w:w="3910" w:type="dxa"/>
            <w:shd w:val="clear" w:color="auto" w:fill="auto"/>
          </w:tcPr>
          <w:p w14:paraId="21CAE5C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 (1)</w:t>
            </w:r>
          </w:p>
        </w:tc>
      </w:tr>
      <w:tr w:rsidR="009C069D" w:rsidRPr="00BF2AAC" w14:paraId="4A799475" w14:textId="77777777" w:rsidTr="002B151A">
        <w:trPr>
          <w:trHeight w:val="340"/>
        </w:trPr>
        <w:tc>
          <w:tcPr>
            <w:tcW w:w="4625" w:type="dxa"/>
            <w:shd w:val="clear" w:color="auto" w:fill="auto"/>
          </w:tcPr>
          <w:p w14:paraId="29497A65"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Depth of submucosal invasion</w:t>
            </w:r>
          </w:p>
        </w:tc>
        <w:tc>
          <w:tcPr>
            <w:tcW w:w="3910" w:type="dxa"/>
            <w:shd w:val="clear" w:color="auto" w:fill="auto"/>
          </w:tcPr>
          <w:p w14:paraId="02E947F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p>
        </w:tc>
      </w:tr>
      <w:tr w:rsidR="009C069D" w:rsidRPr="00BF2AAC" w14:paraId="708E938D" w14:textId="77777777" w:rsidTr="002B151A">
        <w:trPr>
          <w:trHeight w:val="340"/>
        </w:trPr>
        <w:tc>
          <w:tcPr>
            <w:tcW w:w="4625" w:type="dxa"/>
            <w:shd w:val="clear" w:color="auto" w:fill="auto"/>
          </w:tcPr>
          <w:p w14:paraId="35413748"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Sm1 (&lt; 500</w:t>
            </w:r>
            <w:r w:rsidRPr="00BF2AAC">
              <w:rPr>
                <w:rFonts w:ascii="Book Antiqua" w:hAnsi="Book Antiqua"/>
                <w:sz w:val="24"/>
                <w:szCs w:val="24"/>
                <w:lang w:val="en-GB"/>
              </w:rPr>
              <w:t xml:space="preserve"> µm)</w:t>
            </w:r>
          </w:p>
        </w:tc>
        <w:tc>
          <w:tcPr>
            <w:tcW w:w="3910" w:type="dxa"/>
            <w:shd w:val="clear" w:color="auto" w:fill="auto"/>
          </w:tcPr>
          <w:p w14:paraId="21F2896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25 (42)</w:t>
            </w:r>
          </w:p>
        </w:tc>
      </w:tr>
      <w:tr w:rsidR="009C069D" w:rsidRPr="00BF2AAC" w14:paraId="47D14B7B" w14:textId="77777777" w:rsidTr="002B151A">
        <w:trPr>
          <w:trHeight w:val="340"/>
        </w:trPr>
        <w:tc>
          <w:tcPr>
            <w:tcW w:w="4625" w:type="dxa"/>
            <w:shd w:val="clear" w:color="auto" w:fill="auto"/>
          </w:tcPr>
          <w:p w14:paraId="28BF8594"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Sm2/3 (&gt; 500</w:t>
            </w:r>
            <w:r w:rsidRPr="00BF2AAC">
              <w:rPr>
                <w:rFonts w:ascii="Book Antiqua" w:hAnsi="Book Antiqua"/>
                <w:sz w:val="24"/>
                <w:szCs w:val="24"/>
                <w:lang w:val="en-GB"/>
              </w:rPr>
              <w:t xml:space="preserve"> µm)</w:t>
            </w:r>
          </w:p>
        </w:tc>
        <w:tc>
          <w:tcPr>
            <w:tcW w:w="3910" w:type="dxa"/>
            <w:shd w:val="clear" w:color="auto" w:fill="auto"/>
          </w:tcPr>
          <w:p w14:paraId="56745442"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25 (42)</w:t>
            </w:r>
          </w:p>
        </w:tc>
      </w:tr>
      <w:tr w:rsidR="009C069D" w:rsidRPr="00BF2AAC" w14:paraId="6D6636D6" w14:textId="77777777" w:rsidTr="002B151A">
        <w:trPr>
          <w:trHeight w:val="340"/>
        </w:trPr>
        <w:tc>
          <w:tcPr>
            <w:tcW w:w="4625" w:type="dxa"/>
            <w:shd w:val="clear" w:color="auto" w:fill="auto"/>
          </w:tcPr>
          <w:p w14:paraId="43498FEA"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X</w:t>
            </w:r>
          </w:p>
        </w:tc>
        <w:tc>
          <w:tcPr>
            <w:tcW w:w="3910" w:type="dxa"/>
            <w:shd w:val="clear" w:color="auto" w:fill="auto"/>
          </w:tcPr>
          <w:p w14:paraId="7822E2DD"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10 (16)</w:t>
            </w:r>
          </w:p>
        </w:tc>
      </w:tr>
      <w:tr w:rsidR="009C069D" w:rsidRPr="00BF2AAC" w14:paraId="660F6357" w14:textId="77777777" w:rsidTr="002B151A">
        <w:trPr>
          <w:trHeight w:val="340"/>
        </w:trPr>
        <w:tc>
          <w:tcPr>
            <w:tcW w:w="4625" w:type="dxa"/>
            <w:shd w:val="clear" w:color="auto" w:fill="auto"/>
          </w:tcPr>
          <w:p w14:paraId="0552A802"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Lymphovascular invasion</w:t>
            </w:r>
          </w:p>
        </w:tc>
        <w:tc>
          <w:tcPr>
            <w:tcW w:w="3910" w:type="dxa"/>
            <w:shd w:val="clear" w:color="auto" w:fill="auto"/>
          </w:tcPr>
          <w:p w14:paraId="4F03F65E"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p>
        </w:tc>
      </w:tr>
      <w:tr w:rsidR="009C069D" w:rsidRPr="00BF2AAC" w14:paraId="18E3B37C" w14:textId="77777777" w:rsidTr="002B151A">
        <w:trPr>
          <w:trHeight w:val="340"/>
        </w:trPr>
        <w:tc>
          <w:tcPr>
            <w:tcW w:w="4625" w:type="dxa"/>
            <w:shd w:val="clear" w:color="auto" w:fill="auto"/>
          </w:tcPr>
          <w:p w14:paraId="7762EFB9"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Negative (LVI-)</w:t>
            </w:r>
          </w:p>
        </w:tc>
        <w:tc>
          <w:tcPr>
            <w:tcW w:w="3910" w:type="dxa"/>
            <w:shd w:val="clear" w:color="auto" w:fill="auto"/>
          </w:tcPr>
          <w:p w14:paraId="2993745C"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40 (67)</w:t>
            </w:r>
          </w:p>
        </w:tc>
      </w:tr>
      <w:tr w:rsidR="009C069D" w:rsidRPr="00BF2AAC" w14:paraId="3FD2C274" w14:textId="77777777" w:rsidTr="002B151A">
        <w:trPr>
          <w:trHeight w:val="340"/>
        </w:trPr>
        <w:tc>
          <w:tcPr>
            <w:tcW w:w="4625" w:type="dxa"/>
            <w:shd w:val="clear" w:color="auto" w:fill="auto"/>
          </w:tcPr>
          <w:p w14:paraId="72694927"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Positive (LVI+)</w:t>
            </w:r>
          </w:p>
        </w:tc>
        <w:tc>
          <w:tcPr>
            <w:tcW w:w="3910" w:type="dxa"/>
            <w:shd w:val="clear" w:color="auto" w:fill="auto"/>
          </w:tcPr>
          <w:p w14:paraId="4C28445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14 (23)</w:t>
            </w:r>
          </w:p>
        </w:tc>
      </w:tr>
      <w:tr w:rsidR="009C069D" w:rsidRPr="00BF2AAC" w14:paraId="2BAD1537" w14:textId="77777777" w:rsidTr="002B151A">
        <w:trPr>
          <w:trHeight w:val="340"/>
        </w:trPr>
        <w:tc>
          <w:tcPr>
            <w:tcW w:w="4625" w:type="dxa"/>
            <w:shd w:val="clear" w:color="auto" w:fill="auto"/>
          </w:tcPr>
          <w:p w14:paraId="137AB7DB"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X (LVX)</w:t>
            </w:r>
          </w:p>
        </w:tc>
        <w:tc>
          <w:tcPr>
            <w:tcW w:w="3910" w:type="dxa"/>
            <w:shd w:val="clear" w:color="auto" w:fill="auto"/>
          </w:tcPr>
          <w:p w14:paraId="65EC0C9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6 (10)</w:t>
            </w:r>
          </w:p>
        </w:tc>
      </w:tr>
      <w:tr w:rsidR="009C069D" w:rsidRPr="00BF2AAC" w14:paraId="01314B0A" w14:textId="77777777" w:rsidTr="002B151A">
        <w:trPr>
          <w:trHeight w:val="340"/>
        </w:trPr>
        <w:tc>
          <w:tcPr>
            <w:tcW w:w="4625" w:type="dxa"/>
            <w:shd w:val="clear" w:color="auto" w:fill="auto"/>
          </w:tcPr>
          <w:p w14:paraId="2A13B693"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Resection (vertical margin)</w:t>
            </w:r>
          </w:p>
        </w:tc>
        <w:tc>
          <w:tcPr>
            <w:tcW w:w="3910" w:type="dxa"/>
            <w:shd w:val="clear" w:color="auto" w:fill="auto"/>
          </w:tcPr>
          <w:p w14:paraId="514FE5D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p>
        </w:tc>
      </w:tr>
      <w:tr w:rsidR="009C069D" w:rsidRPr="00BF2AAC" w14:paraId="42187BB1" w14:textId="77777777" w:rsidTr="002B151A">
        <w:trPr>
          <w:trHeight w:val="340"/>
        </w:trPr>
        <w:tc>
          <w:tcPr>
            <w:tcW w:w="4625" w:type="dxa"/>
            <w:shd w:val="clear" w:color="auto" w:fill="auto"/>
          </w:tcPr>
          <w:p w14:paraId="5B18819E"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Complete (R0)</w:t>
            </w:r>
          </w:p>
        </w:tc>
        <w:tc>
          <w:tcPr>
            <w:tcW w:w="3910" w:type="dxa"/>
            <w:shd w:val="clear" w:color="auto" w:fill="auto"/>
          </w:tcPr>
          <w:p w14:paraId="56317313"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17 (28)</w:t>
            </w:r>
          </w:p>
        </w:tc>
      </w:tr>
      <w:tr w:rsidR="009C069D" w:rsidRPr="00BF2AAC" w14:paraId="551E3195" w14:textId="77777777" w:rsidTr="002B151A">
        <w:trPr>
          <w:trHeight w:val="340"/>
        </w:trPr>
        <w:tc>
          <w:tcPr>
            <w:tcW w:w="4625" w:type="dxa"/>
            <w:tcBorders>
              <w:bottom w:val="single" w:sz="4" w:space="0" w:color="auto"/>
            </w:tcBorders>
            <w:shd w:val="clear" w:color="auto" w:fill="auto"/>
          </w:tcPr>
          <w:p w14:paraId="404DFC55"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Incomplete (R1)</w:t>
            </w:r>
          </w:p>
        </w:tc>
        <w:tc>
          <w:tcPr>
            <w:tcW w:w="3910" w:type="dxa"/>
            <w:tcBorders>
              <w:bottom w:val="single" w:sz="4" w:space="0" w:color="auto"/>
            </w:tcBorders>
            <w:shd w:val="clear" w:color="auto" w:fill="auto"/>
          </w:tcPr>
          <w:p w14:paraId="0AD62A3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43 (84)</w:t>
            </w:r>
          </w:p>
        </w:tc>
      </w:tr>
      <w:tr w:rsidR="009C069D" w:rsidRPr="00BF2AAC" w14:paraId="2AF2CFD2" w14:textId="77777777" w:rsidTr="002B151A">
        <w:trPr>
          <w:trHeight w:val="340"/>
        </w:trPr>
        <w:tc>
          <w:tcPr>
            <w:tcW w:w="4625" w:type="dxa"/>
            <w:tcBorders>
              <w:top w:val="single" w:sz="4" w:space="0" w:color="auto"/>
              <w:bottom w:val="single" w:sz="4" w:space="0" w:color="auto"/>
            </w:tcBorders>
            <w:shd w:val="clear" w:color="auto" w:fill="auto"/>
          </w:tcPr>
          <w:p w14:paraId="0261046A"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Tumour risk group</w:t>
            </w:r>
          </w:p>
        </w:tc>
        <w:tc>
          <w:tcPr>
            <w:tcW w:w="3910" w:type="dxa"/>
            <w:tcBorders>
              <w:top w:val="single" w:sz="4" w:space="0" w:color="auto"/>
              <w:bottom w:val="single" w:sz="4" w:space="0" w:color="auto"/>
            </w:tcBorders>
            <w:shd w:val="clear" w:color="auto" w:fill="auto"/>
          </w:tcPr>
          <w:p w14:paraId="5EF2FD78"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p>
        </w:tc>
      </w:tr>
      <w:tr w:rsidR="009C069D" w:rsidRPr="00BF2AAC" w14:paraId="36C8573F" w14:textId="77777777" w:rsidTr="002B151A">
        <w:trPr>
          <w:trHeight w:val="340"/>
        </w:trPr>
        <w:tc>
          <w:tcPr>
            <w:tcW w:w="4625" w:type="dxa"/>
            <w:tcBorders>
              <w:top w:val="single" w:sz="4" w:space="0" w:color="auto"/>
            </w:tcBorders>
            <w:shd w:val="clear" w:color="auto" w:fill="auto"/>
          </w:tcPr>
          <w:p w14:paraId="401B72FF"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Low-risk (LR)</w:t>
            </w:r>
          </w:p>
        </w:tc>
        <w:tc>
          <w:tcPr>
            <w:tcW w:w="3910" w:type="dxa"/>
            <w:tcBorders>
              <w:top w:val="single" w:sz="4" w:space="0" w:color="auto"/>
            </w:tcBorders>
            <w:shd w:val="clear" w:color="auto" w:fill="auto"/>
          </w:tcPr>
          <w:p w14:paraId="781773F4"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13 (22)</w:t>
            </w:r>
          </w:p>
        </w:tc>
      </w:tr>
      <w:tr w:rsidR="009C069D" w:rsidRPr="00BF2AAC" w14:paraId="47A39B16" w14:textId="77777777" w:rsidTr="002B151A">
        <w:trPr>
          <w:trHeight w:val="340"/>
        </w:trPr>
        <w:tc>
          <w:tcPr>
            <w:tcW w:w="4625" w:type="dxa"/>
            <w:shd w:val="clear" w:color="auto" w:fill="auto"/>
          </w:tcPr>
          <w:p w14:paraId="3EC7CC40"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High-risk (HR)</w:t>
            </w:r>
          </w:p>
        </w:tc>
        <w:tc>
          <w:tcPr>
            <w:tcW w:w="3910" w:type="dxa"/>
            <w:shd w:val="clear" w:color="auto" w:fill="auto"/>
          </w:tcPr>
          <w:p w14:paraId="11F38E3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47 (78)</w:t>
            </w:r>
          </w:p>
        </w:tc>
      </w:tr>
    </w:tbl>
    <w:p w14:paraId="6A81834A" w14:textId="77777777" w:rsidR="009C069D" w:rsidRPr="00BF2AAC" w:rsidRDefault="009C069D" w:rsidP="00BF2AAC">
      <w:pPr>
        <w:adjustRightInd w:val="0"/>
        <w:snapToGrid w:val="0"/>
        <w:spacing w:after="0" w:line="360" w:lineRule="auto"/>
        <w:jc w:val="both"/>
        <w:rPr>
          <w:rFonts w:ascii="Book Antiqua" w:hAnsi="Book Antiqua"/>
          <w:sz w:val="24"/>
          <w:szCs w:val="24"/>
        </w:rPr>
      </w:pPr>
      <w:r w:rsidRPr="00BF2AAC">
        <w:rPr>
          <w:rFonts w:ascii="Book Antiqua" w:hAnsi="Book Antiqua" w:cs="Times New Roman"/>
          <w:sz w:val="24"/>
          <w:szCs w:val="24"/>
          <w:lang w:val="sl-SI"/>
        </w:rPr>
        <w:t>EMR: Endoscopic mucosal resection; IQR: Interquartile range; X: Indefinite.</w:t>
      </w:r>
    </w:p>
    <w:p w14:paraId="0596A818" w14:textId="77777777" w:rsidR="009C069D" w:rsidRPr="00BF2AAC" w:rsidRDefault="009C069D" w:rsidP="00BF2AAC">
      <w:pPr>
        <w:adjustRightInd w:val="0"/>
        <w:snapToGrid w:val="0"/>
        <w:spacing w:after="0" w:line="360" w:lineRule="auto"/>
        <w:rPr>
          <w:rFonts w:ascii="Book Antiqua" w:hAnsi="Book Antiqua"/>
          <w:sz w:val="24"/>
          <w:szCs w:val="24"/>
        </w:rPr>
      </w:pPr>
      <w:r w:rsidRPr="00BF2AAC">
        <w:rPr>
          <w:rFonts w:ascii="Book Antiqua" w:hAnsi="Book Antiqua"/>
          <w:sz w:val="24"/>
          <w:szCs w:val="24"/>
        </w:rPr>
        <w:br w:type="page"/>
      </w:r>
      <w:r w:rsidRPr="00BF2AAC">
        <w:rPr>
          <w:rFonts w:ascii="Book Antiqua" w:hAnsi="Book Antiqua" w:cs="Times New Roman"/>
          <w:b/>
          <w:sz w:val="24"/>
          <w:szCs w:val="24"/>
          <w:lang w:val="en-GB"/>
        </w:rPr>
        <w:lastRenderedPageBreak/>
        <w:t>Table 3 Histopathologic tumour characteristics of all patients with T1b oesophageal adenocarcinoma on endoscopic mucosal resection who underwent surgery - comparison of endoscopic and surgical resection specimens’ pathology report</w:t>
      </w:r>
    </w:p>
    <w:tbl>
      <w:tblPr>
        <w:tblStyle w:val="TableGrid"/>
        <w:tblW w:w="887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3208"/>
        <w:gridCol w:w="2790"/>
        <w:gridCol w:w="2141"/>
      </w:tblGrid>
      <w:tr w:rsidR="009C069D" w:rsidRPr="00BF2AAC" w14:paraId="68F8C8BF" w14:textId="77777777" w:rsidTr="002B151A">
        <w:trPr>
          <w:trHeight w:val="394"/>
        </w:trPr>
        <w:tc>
          <w:tcPr>
            <w:tcW w:w="736" w:type="dxa"/>
            <w:tcBorders>
              <w:top w:val="single" w:sz="4" w:space="0" w:color="auto"/>
              <w:bottom w:val="single" w:sz="4" w:space="0" w:color="auto"/>
            </w:tcBorders>
            <w:shd w:val="clear" w:color="auto" w:fill="auto"/>
          </w:tcPr>
          <w:p w14:paraId="7FBB5E02"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Case</w:t>
            </w:r>
          </w:p>
        </w:tc>
        <w:tc>
          <w:tcPr>
            <w:tcW w:w="3208" w:type="dxa"/>
            <w:tcBorders>
              <w:top w:val="single" w:sz="4" w:space="0" w:color="auto"/>
              <w:bottom w:val="single" w:sz="4" w:space="0" w:color="auto"/>
            </w:tcBorders>
            <w:shd w:val="clear" w:color="auto" w:fill="auto"/>
          </w:tcPr>
          <w:p w14:paraId="521262E5"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Endoscopic resection specimen</w:t>
            </w:r>
          </w:p>
        </w:tc>
        <w:tc>
          <w:tcPr>
            <w:tcW w:w="2790" w:type="dxa"/>
            <w:tcBorders>
              <w:top w:val="single" w:sz="4" w:space="0" w:color="auto"/>
              <w:bottom w:val="single" w:sz="4" w:space="0" w:color="auto"/>
            </w:tcBorders>
            <w:shd w:val="clear" w:color="auto" w:fill="auto"/>
          </w:tcPr>
          <w:p w14:paraId="2668C1E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Surgical resection specimen</w:t>
            </w:r>
          </w:p>
        </w:tc>
        <w:tc>
          <w:tcPr>
            <w:tcW w:w="2141" w:type="dxa"/>
            <w:tcBorders>
              <w:top w:val="single" w:sz="4" w:space="0" w:color="auto"/>
              <w:bottom w:val="single" w:sz="4" w:space="0" w:color="auto"/>
            </w:tcBorders>
            <w:shd w:val="clear" w:color="auto" w:fill="auto"/>
          </w:tcPr>
          <w:p w14:paraId="1BE2DB0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Note</w:t>
            </w:r>
          </w:p>
        </w:tc>
      </w:tr>
      <w:tr w:rsidR="009C069D" w:rsidRPr="00BF2AAC" w14:paraId="50C3705E" w14:textId="77777777" w:rsidTr="002B151A">
        <w:tc>
          <w:tcPr>
            <w:tcW w:w="736" w:type="dxa"/>
            <w:tcBorders>
              <w:top w:val="single" w:sz="4" w:space="0" w:color="auto"/>
            </w:tcBorders>
            <w:shd w:val="clear" w:color="auto" w:fill="auto"/>
          </w:tcPr>
          <w:p w14:paraId="2B3A2C3E"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w:t>
            </w:r>
          </w:p>
        </w:tc>
        <w:tc>
          <w:tcPr>
            <w:tcW w:w="3208" w:type="dxa"/>
            <w:tcBorders>
              <w:top w:val="single" w:sz="4" w:space="0" w:color="auto"/>
            </w:tcBorders>
            <w:shd w:val="clear" w:color="auto" w:fill="auto"/>
          </w:tcPr>
          <w:p w14:paraId="71C00CBB"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G3, LVI-, R1</w:t>
            </w:r>
          </w:p>
        </w:tc>
        <w:tc>
          <w:tcPr>
            <w:tcW w:w="2790" w:type="dxa"/>
            <w:tcBorders>
              <w:top w:val="single" w:sz="4" w:space="0" w:color="auto"/>
            </w:tcBorders>
            <w:shd w:val="clear" w:color="auto" w:fill="auto"/>
          </w:tcPr>
          <w:p w14:paraId="6FB54356"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T1a, LVI-, R0</w:t>
            </w:r>
          </w:p>
        </w:tc>
        <w:tc>
          <w:tcPr>
            <w:tcW w:w="2141" w:type="dxa"/>
            <w:tcBorders>
              <w:top w:val="single" w:sz="4" w:space="0" w:color="auto"/>
            </w:tcBorders>
            <w:shd w:val="clear" w:color="auto" w:fill="auto"/>
          </w:tcPr>
          <w:p w14:paraId="17E53F8B"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5E1C14AD" w14:textId="77777777" w:rsidTr="002B151A">
        <w:tc>
          <w:tcPr>
            <w:tcW w:w="736" w:type="dxa"/>
            <w:shd w:val="clear" w:color="auto" w:fill="auto"/>
          </w:tcPr>
          <w:p w14:paraId="74BA9AD1"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2</w:t>
            </w:r>
          </w:p>
        </w:tc>
        <w:tc>
          <w:tcPr>
            <w:tcW w:w="3208" w:type="dxa"/>
            <w:shd w:val="clear" w:color="auto" w:fill="auto"/>
          </w:tcPr>
          <w:p w14:paraId="35D2278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G3, LVI-, R1</w:t>
            </w:r>
          </w:p>
        </w:tc>
        <w:tc>
          <w:tcPr>
            <w:tcW w:w="2790" w:type="dxa"/>
            <w:shd w:val="clear" w:color="auto" w:fill="auto"/>
          </w:tcPr>
          <w:p w14:paraId="5A42692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T1b Sm1, G3, R0</w:t>
            </w:r>
          </w:p>
        </w:tc>
        <w:tc>
          <w:tcPr>
            <w:tcW w:w="2141" w:type="dxa"/>
            <w:shd w:val="clear" w:color="auto" w:fill="auto"/>
          </w:tcPr>
          <w:p w14:paraId="40C8456C"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3DF3A539" w14:textId="77777777" w:rsidTr="002B151A">
        <w:tc>
          <w:tcPr>
            <w:tcW w:w="736" w:type="dxa"/>
            <w:shd w:val="clear" w:color="auto" w:fill="auto"/>
          </w:tcPr>
          <w:p w14:paraId="765225E2"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3</w:t>
            </w:r>
          </w:p>
        </w:tc>
        <w:tc>
          <w:tcPr>
            <w:tcW w:w="3208" w:type="dxa"/>
            <w:shd w:val="clear" w:color="auto" w:fill="auto"/>
          </w:tcPr>
          <w:p w14:paraId="488444AA"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SmX, G2, LVI-, R1</w:t>
            </w:r>
          </w:p>
        </w:tc>
        <w:tc>
          <w:tcPr>
            <w:tcW w:w="2790" w:type="dxa"/>
            <w:shd w:val="clear" w:color="auto" w:fill="auto"/>
          </w:tcPr>
          <w:p w14:paraId="154B077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T1b, G3, LVI-, R0</w:t>
            </w:r>
          </w:p>
        </w:tc>
        <w:tc>
          <w:tcPr>
            <w:tcW w:w="2141" w:type="dxa"/>
            <w:shd w:val="clear" w:color="auto" w:fill="auto"/>
          </w:tcPr>
          <w:p w14:paraId="7A698A8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7E71817A" w14:textId="77777777" w:rsidTr="002B151A">
        <w:tc>
          <w:tcPr>
            <w:tcW w:w="736" w:type="dxa"/>
            <w:shd w:val="clear" w:color="auto" w:fill="auto"/>
          </w:tcPr>
          <w:p w14:paraId="47164942"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4</w:t>
            </w:r>
          </w:p>
        </w:tc>
        <w:tc>
          <w:tcPr>
            <w:tcW w:w="3208" w:type="dxa"/>
            <w:shd w:val="clear" w:color="auto" w:fill="auto"/>
          </w:tcPr>
          <w:p w14:paraId="3D0542BE"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0DDE3DBB"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21F2E615"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LGD in surgical margin</w:t>
            </w:r>
          </w:p>
        </w:tc>
      </w:tr>
      <w:tr w:rsidR="009C069D" w:rsidRPr="00BF2AAC" w14:paraId="36A49C37" w14:textId="77777777" w:rsidTr="002B151A">
        <w:tc>
          <w:tcPr>
            <w:tcW w:w="736" w:type="dxa"/>
            <w:shd w:val="clear" w:color="auto" w:fill="auto"/>
          </w:tcPr>
          <w:p w14:paraId="63811AF5"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5</w:t>
            </w:r>
          </w:p>
        </w:tc>
        <w:tc>
          <w:tcPr>
            <w:tcW w:w="3208" w:type="dxa"/>
            <w:shd w:val="clear" w:color="auto" w:fill="auto"/>
          </w:tcPr>
          <w:p w14:paraId="6AF409BC"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G2, LVI-, R1</w:t>
            </w:r>
          </w:p>
        </w:tc>
        <w:tc>
          <w:tcPr>
            <w:tcW w:w="2790" w:type="dxa"/>
            <w:shd w:val="clear" w:color="auto" w:fill="auto"/>
          </w:tcPr>
          <w:p w14:paraId="2F265E3E"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6DFA4E8E"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HGD in surgical margin</w:t>
            </w:r>
          </w:p>
        </w:tc>
      </w:tr>
      <w:tr w:rsidR="009C069D" w:rsidRPr="00BF2AAC" w14:paraId="7DCC92B6" w14:textId="77777777" w:rsidTr="002B151A">
        <w:tc>
          <w:tcPr>
            <w:tcW w:w="736" w:type="dxa"/>
            <w:shd w:val="clear" w:color="auto" w:fill="auto"/>
          </w:tcPr>
          <w:p w14:paraId="6409C2EB"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6</w:t>
            </w:r>
          </w:p>
        </w:tc>
        <w:tc>
          <w:tcPr>
            <w:tcW w:w="3208" w:type="dxa"/>
            <w:shd w:val="clear" w:color="auto" w:fill="auto"/>
          </w:tcPr>
          <w:p w14:paraId="6587A28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G3, LVI-, R1</w:t>
            </w:r>
          </w:p>
        </w:tc>
        <w:tc>
          <w:tcPr>
            <w:tcW w:w="2790" w:type="dxa"/>
            <w:shd w:val="clear" w:color="auto" w:fill="auto"/>
          </w:tcPr>
          <w:p w14:paraId="1F72601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T1b, G2, R0</w:t>
            </w:r>
          </w:p>
        </w:tc>
        <w:tc>
          <w:tcPr>
            <w:tcW w:w="2141" w:type="dxa"/>
            <w:shd w:val="clear" w:color="auto" w:fill="auto"/>
          </w:tcPr>
          <w:p w14:paraId="01DC5C46"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26308AF7" w14:textId="77777777" w:rsidTr="002B151A">
        <w:tc>
          <w:tcPr>
            <w:tcW w:w="736" w:type="dxa"/>
            <w:shd w:val="clear" w:color="auto" w:fill="auto"/>
          </w:tcPr>
          <w:p w14:paraId="2C25538C"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7</w:t>
            </w:r>
          </w:p>
        </w:tc>
        <w:tc>
          <w:tcPr>
            <w:tcW w:w="3208" w:type="dxa"/>
            <w:shd w:val="clear" w:color="auto" w:fill="auto"/>
          </w:tcPr>
          <w:p w14:paraId="2F02DCFB"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1BE448BA"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T1a, G3, R0</w:t>
            </w:r>
          </w:p>
        </w:tc>
        <w:tc>
          <w:tcPr>
            <w:tcW w:w="2141" w:type="dxa"/>
            <w:shd w:val="clear" w:color="auto" w:fill="auto"/>
          </w:tcPr>
          <w:p w14:paraId="1FC6BC3F"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Positive for LNM (2/16)</w:t>
            </w:r>
          </w:p>
        </w:tc>
      </w:tr>
      <w:tr w:rsidR="009C069D" w:rsidRPr="00BF2AAC" w14:paraId="2CBD0F0A" w14:textId="77777777" w:rsidTr="002B151A">
        <w:tc>
          <w:tcPr>
            <w:tcW w:w="736" w:type="dxa"/>
            <w:shd w:val="clear" w:color="auto" w:fill="auto"/>
          </w:tcPr>
          <w:p w14:paraId="2F4FE38C"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8</w:t>
            </w:r>
          </w:p>
        </w:tc>
        <w:tc>
          <w:tcPr>
            <w:tcW w:w="3208" w:type="dxa"/>
            <w:shd w:val="clear" w:color="auto" w:fill="auto"/>
          </w:tcPr>
          <w:p w14:paraId="26D94615"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G2, LVI-, R1</w:t>
            </w:r>
          </w:p>
        </w:tc>
        <w:tc>
          <w:tcPr>
            <w:tcW w:w="2790" w:type="dxa"/>
            <w:shd w:val="clear" w:color="auto" w:fill="auto"/>
          </w:tcPr>
          <w:p w14:paraId="78624D65"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6E401D9D"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LGD in surgical margin</w:t>
            </w:r>
          </w:p>
        </w:tc>
      </w:tr>
      <w:tr w:rsidR="009C069D" w:rsidRPr="00BF2AAC" w14:paraId="03932600" w14:textId="77777777" w:rsidTr="002B151A">
        <w:tc>
          <w:tcPr>
            <w:tcW w:w="736" w:type="dxa"/>
            <w:shd w:val="clear" w:color="auto" w:fill="auto"/>
          </w:tcPr>
          <w:p w14:paraId="6BF6C7F9"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9</w:t>
            </w:r>
          </w:p>
        </w:tc>
        <w:tc>
          <w:tcPr>
            <w:tcW w:w="3208" w:type="dxa"/>
            <w:shd w:val="clear" w:color="auto" w:fill="auto"/>
          </w:tcPr>
          <w:p w14:paraId="7562976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62569B96"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2F9BB59D"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2DAB3163" w14:textId="77777777" w:rsidTr="002B151A">
        <w:tc>
          <w:tcPr>
            <w:tcW w:w="736" w:type="dxa"/>
            <w:shd w:val="clear" w:color="auto" w:fill="auto"/>
          </w:tcPr>
          <w:p w14:paraId="3F2578EF"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10</w:t>
            </w:r>
          </w:p>
        </w:tc>
        <w:tc>
          <w:tcPr>
            <w:tcW w:w="3208" w:type="dxa"/>
            <w:shd w:val="clear" w:color="auto" w:fill="auto"/>
          </w:tcPr>
          <w:p w14:paraId="1B9D45BD"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7B892020"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T1a, G3, LVI+, R0</w:t>
            </w:r>
          </w:p>
        </w:tc>
        <w:tc>
          <w:tcPr>
            <w:tcW w:w="2141" w:type="dxa"/>
            <w:shd w:val="clear" w:color="auto" w:fill="auto"/>
          </w:tcPr>
          <w:p w14:paraId="56A25BDE"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36F874F0" w14:textId="77777777" w:rsidTr="002B151A">
        <w:tc>
          <w:tcPr>
            <w:tcW w:w="736" w:type="dxa"/>
            <w:shd w:val="clear" w:color="auto" w:fill="auto"/>
          </w:tcPr>
          <w:p w14:paraId="1B925F5C"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11</w:t>
            </w:r>
          </w:p>
        </w:tc>
        <w:tc>
          <w:tcPr>
            <w:tcW w:w="3208" w:type="dxa"/>
            <w:shd w:val="clear" w:color="auto" w:fill="auto"/>
          </w:tcPr>
          <w:p w14:paraId="59610F55"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LVIX, R1</w:t>
            </w:r>
          </w:p>
        </w:tc>
        <w:tc>
          <w:tcPr>
            <w:tcW w:w="2790" w:type="dxa"/>
            <w:shd w:val="clear" w:color="auto" w:fill="auto"/>
          </w:tcPr>
          <w:p w14:paraId="7B961195"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T1b, G2, R0</w:t>
            </w:r>
          </w:p>
        </w:tc>
        <w:tc>
          <w:tcPr>
            <w:tcW w:w="2141" w:type="dxa"/>
            <w:shd w:val="clear" w:color="auto" w:fill="auto"/>
          </w:tcPr>
          <w:p w14:paraId="472D7BF0"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Positive for LNM (3/12)</w:t>
            </w:r>
          </w:p>
        </w:tc>
      </w:tr>
      <w:tr w:rsidR="009C069D" w:rsidRPr="00BF2AAC" w14:paraId="1E595B3A" w14:textId="77777777" w:rsidTr="002B151A">
        <w:tc>
          <w:tcPr>
            <w:tcW w:w="736" w:type="dxa"/>
            <w:shd w:val="clear" w:color="auto" w:fill="auto"/>
          </w:tcPr>
          <w:p w14:paraId="74AAF15A"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12</w:t>
            </w:r>
          </w:p>
        </w:tc>
        <w:tc>
          <w:tcPr>
            <w:tcW w:w="3208" w:type="dxa"/>
            <w:shd w:val="clear" w:color="auto" w:fill="auto"/>
          </w:tcPr>
          <w:p w14:paraId="5CFA058D"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7EB3D5CD"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T2, G3, R1</w:t>
            </w:r>
          </w:p>
        </w:tc>
        <w:tc>
          <w:tcPr>
            <w:tcW w:w="2141" w:type="dxa"/>
            <w:shd w:val="clear" w:color="auto" w:fill="auto"/>
          </w:tcPr>
          <w:p w14:paraId="541E02AC"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R1, negative for LNM (16), preop EUS T1b</w:t>
            </w:r>
          </w:p>
        </w:tc>
      </w:tr>
      <w:tr w:rsidR="009C069D" w:rsidRPr="00BF2AAC" w14:paraId="709EAAB8" w14:textId="77777777" w:rsidTr="002B151A">
        <w:tc>
          <w:tcPr>
            <w:tcW w:w="736" w:type="dxa"/>
            <w:shd w:val="clear" w:color="auto" w:fill="auto"/>
          </w:tcPr>
          <w:p w14:paraId="650D7245"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13</w:t>
            </w:r>
          </w:p>
        </w:tc>
        <w:tc>
          <w:tcPr>
            <w:tcW w:w="3208" w:type="dxa"/>
            <w:shd w:val="clear" w:color="auto" w:fill="auto"/>
          </w:tcPr>
          <w:p w14:paraId="4FE5B5BB"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G2, LVI+, R1</w:t>
            </w:r>
          </w:p>
        </w:tc>
        <w:tc>
          <w:tcPr>
            <w:tcW w:w="2790" w:type="dxa"/>
            <w:shd w:val="clear" w:color="auto" w:fill="auto"/>
          </w:tcPr>
          <w:p w14:paraId="3A7999A8"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660889E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70029C28" w14:textId="77777777" w:rsidTr="002B151A">
        <w:tc>
          <w:tcPr>
            <w:tcW w:w="736" w:type="dxa"/>
            <w:shd w:val="clear" w:color="auto" w:fill="auto"/>
          </w:tcPr>
          <w:p w14:paraId="12084C35"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14</w:t>
            </w:r>
          </w:p>
        </w:tc>
        <w:tc>
          <w:tcPr>
            <w:tcW w:w="3208" w:type="dxa"/>
            <w:shd w:val="clear" w:color="auto" w:fill="auto"/>
          </w:tcPr>
          <w:p w14:paraId="63604E5D"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G3, LVI+, R1</w:t>
            </w:r>
          </w:p>
        </w:tc>
        <w:tc>
          <w:tcPr>
            <w:tcW w:w="2790" w:type="dxa"/>
            <w:shd w:val="clear" w:color="auto" w:fill="auto"/>
          </w:tcPr>
          <w:p w14:paraId="00AB401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T1b, G1, LVI-, R0</w:t>
            </w:r>
          </w:p>
        </w:tc>
        <w:tc>
          <w:tcPr>
            <w:tcW w:w="2141" w:type="dxa"/>
            <w:shd w:val="clear" w:color="auto" w:fill="auto"/>
          </w:tcPr>
          <w:p w14:paraId="44C5B6CC"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18F9049A" w14:textId="77777777" w:rsidTr="002B151A">
        <w:tc>
          <w:tcPr>
            <w:tcW w:w="736" w:type="dxa"/>
            <w:shd w:val="clear" w:color="auto" w:fill="auto"/>
          </w:tcPr>
          <w:p w14:paraId="2F2D8CFD"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15</w:t>
            </w:r>
          </w:p>
        </w:tc>
        <w:tc>
          <w:tcPr>
            <w:tcW w:w="3208" w:type="dxa"/>
            <w:shd w:val="clear" w:color="auto" w:fill="auto"/>
          </w:tcPr>
          <w:p w14:paraId="01869377"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SmX, G3, LVI+, R1</w:t>
            </w:r>
          </w:p>
        </w:tc>
        <w:tc>
          <w:tcPr>
            <w:tcW w:w="2790" w:type="dxa"/>
            <w:shd w:val="clear" w:color="auto" w:fill="auto"/>
          </w:tcPr>
          <w:p w14:paraId="22D3EFA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T1b, G3, R0</w:t>
            </w:r>
          </w:p>
        </w:tc>
        <w:tc>
          <w:tcPr>
            <w:tcW w:w="2141" w:type="dxa"/>
            <w:shd w:val="clear" w:color="auto" w:fill="auto"/>
          </w:tcPr>
          <w:p w14:paraId="379CE48F"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Positive for LNM (1/23)</w:t>
            </w:r>
          </w:p>
        </w:tc>
      </w:tr>
      <w:tr w:rsidR="009C069D" w:rsidRPr="00BF2AAC" w14:paraId="0EBCB7CA" w14:textId="77777777" w:rsidTr="002B151A">
        <w:tc>
          <w:tcPr>
            <w:tcW w:w="736" w:type="dxa"/>
            <w:shd w:val="clear" w:color="auto" w:fill="auto"/>
          </w:tcPr>
          <w:p w14:paraId="24323E0C"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16</w:t>
            </w:r>
          </w:p>
        </w:tc>
        <w:tc>
          <w:tcPr>
            <w:tcW w:w="3208" w:type="dxa"/>
            <w:shd w:val="clear" w:color="auto" w:fill="auto"/>
          </w:tcPr>
          <w:p w14:paraId="36830B61"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5C586AD8"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4707BBCE"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3F9E6D0D" w14:textId="77777777" w:rsidTr="002B151A">
        <w:tc>
          <w:tcPr>
            <w:tcW w:w="736" w:type="dxa"/>
            <w:shd w:val="clear" w:color="auto" w:fill="auto"/>
          </w:tcPr>
          <w:p w14:paraId="78E36DB6"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lastRenderedPageBreak/>
              <w:t>17</w:t>
            </w:r>
          </w:p>
        </w:tc>
        <w:tc>
          <w:tcPr>
            <w:tcW w:w="3208" w:type="dxa"/>
            <w:shd w:val="clear" w:color="auto" w:fill="auto"/>
          </w:tcPr>
          <w:p w14:paraId="47F4DB3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G3, LVIX, R1</w:t>
            </w:r>
          </w:p>
        </w:tc>
        <w:tc>
          <w:tcPr>
            <w:tcW w:w="2790" w:type="dxa"/>
            <w:shd w:val="clear" w:color="auto" w:fill="auto"/>
          </w:tcPr>
          <w:p w14:paraId="178A0594"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T2, R0</w:t>
            </w:r>
          </w:p>
        </w:tc>
        <w:tc>
          <w:tcPr>
            <w:tcW w:w="2141" w:type="dxa"/>
            <w:shd w:val="clear" w:color="auto" w:fill="auto"/>
          </w:tcPr>
          <w:p w14:paraId="2504AE46"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Preop EUS T1 stage</w:t>
            </w:r>
          </w:p>
        </w:tc>
      </w:tr>
      <w:tr w:rsidR="009C069D" w:rsidRPr="00BF2AAC" w14:paraId="2105081E" w14:textId="77777777" w:rsidTr="002B151A">
        <w:tc>
          <w:tcPr>
            <w:tcW w:w="736" w:type="dxa"/>
            <w:shd w:val="clear" w:color="auto" w:fill="auto"/>
          </w:tcPr>
          <w:p w14:paraId="3BCA5959"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18</w:t>
            </w:r>
          </w:p>
        </w:tc>
        <w:tc>
          <w:tcPr>
            <w:tcW w:w="3208" w:type="dxa"/>
            <w:shd w:val="clear" w:color="auto" w:fill="auto"/>
          </w:tcPr>
          <w:p w14:paraId="5CD28C10"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SmX, G3, LVI+, R1</w:t>
            </w:r>
          </w:p>
        </w:tc>
        <w:tc>
          <w:tcPr>
            <w:tcW w:w="2790" w:type="dxa"/>
            <w:shd w:val="clear" w:color="auto" w:fill="auto"/>
          </w:tcPr>
          <w:p w14:paraId="14542EC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T3, G3, R0</w:t>
            </w:r>
          </w:p>
        </w:tc>
        <w:tc>
          <w:tcPr>
            <w:tcW w:w="2141" w:type="dxa"/>
            <w:shd w:val="clear" w:color="auto" w:fill="auto"/>
          </w:tcPr>
          <w:p w14:paraId="7C92A65C"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Positive for LNM (3/78), preop EUS T1b</w:t>
            </w:r>
          </w:p>
        </w:tc>
      </w:tr>
      <w:tr w:rsidR="009C069D" w:rsidRPr="00BF2AAC" w14:paraId="507C3A7F" w14:textId="77777777" w:rsidTr="002B151A">
        <w:tc>
          <w:tcPr>
            <w:tcW w:w="736" w:type="dxa"/>
            <w:shd w:val="clear" w:color="auto" w:fill="auto"/>
          </w:tcPr>
          <w:p w14:paraId="59152191"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19</w:t>
            </w:r>
          </w:p>
        </w:tc>
        <w:tc>
          <w:tcPr>
            <w:tcW w:w="3208" w:type="dxa"/>
            <w:shd w:val="clear" w:color="auto" w:fill="auto"/>
          </w:tcPr>
          <w:p w14:paraId="1AB59A2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2790" w:type="dxa"/>
            <w:shd w:val="clear" w:color="auto" w:fill="auto"/>
          </w:tcPr>
          <w:p w14:paraId="43E6D7C1"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T1a, G3, R0</w:t>
            </w:r>
          </w:p>
        </w:tc>
        <w:tc>
          <w:tcPr>
            <w:tcW w:w="2141" w:type="dxa"/>
            <w:shd w:val="clear" w:color="auto" w:fill="auto"/>
          </w:tcPr>
          <w:p w14:paraId="09EFD2F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71A1E330" w14:textId="77777777" w:rsidTr="002B151A">
        <w:tc>
          <w:tcPr>
            <w:tcW w:w="736" w:type="dxa"/>
            <w:shd w:val="clear" w:color="auto" w:fill="auto"/>
          </w:tcPr>
          <w:p w14:paraId="48DCF6E6"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20</w:t>
            </w:r>
          </w:p>
        </w:tc>
        <w:tc>
          <w:tcPr>
            <w:tcW w:w="3208" w:type="dxa"/>
            <w:shd w:val="clear" w:color="auto" w:fill="auto"/>
          </w:tcPr>
          <w:p w14:paraId="5FF8AA7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G2, LVI-, R1</w:t>
            </w:r>
          </w:p>
        </w:tc>
        <w:tc>
          <w:tcPr>
            <w:tcW w:w="2790" w:type="dxa"/>
            <w:shd w:val="clear" w:color="auto" w:fill="auto"/>
          </w:tcPr>
          <w:p w14:paraId="61AFCFE6"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T1, R0</w:t>
            </w:r>
          </w:p>
        </w:tc>
        <w:tc>
          <w:tcPr>
            <w:tcW w:w="2141" w:type="dxa"/>
            <w:shd w:val="clear" w:color="auto" w:fill="auto"/>
          </w:tcPr>
          <w:p w14:paraId="30C78764"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0DE45C91" w14:textId="77777777" w:rsidTr="002B151A">
        <w:tc>
          <w:tcPr>
            <w:tcW w:w="736" w:type="dxa"/>
            <w:shd w:val="clear" w:color="auto" w:fill="auto"/>
          </w:tcPr>
          <w:p w14:paraId="6A959CCD"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21</w:t>
            </w:r>
          </w:p>
        </w:tc>
        <w:tc>
          <w:tcPr>
            <w:tcW w:w="3208" w:type="dxa"/>
            <w:shd w:val="clear" w:color="auto" w:fill="auto"/>
          </w:tcPr>
          <w:p w14:paraId="08AD41C3"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SmX, G3, LVI-, R1</w:t>
            </w:r>
          </w:p>
        </w:tc>
        <w:tc>
          <w:tcPr>
            <w:tcW w:w="2790" w:type="dxa"/>
            <w:shd w:val="clear" w:color="auto" w:fill="auto"/>
          </w:tcPr>
          <w:p w14:paraId="79C08EC8"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6B3290A8"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r>
      <w:tr w:rsidR="009C069D" w:rsidRPr="00BF2AAC" w14:paraId="191AD9B7" w14:textId="77777777" w:rsidTr="002B151A">
        <w:tc>
          <w:tcPr>
            <w:tcW w:w="736" w:type="dxa"/>
            <w:shd w:val="clear" w:color="auto" w:fill="auto"/>
          </w:tcPr>
          <w:p w14:paraId="0CBFF0EF" w14:textId="77777777" w:rsidR="009C069D" w:rsidRPr="00BF2AAC" w:rsidRDefault="009C069D" w:rsidP="00BF2AAC">
            <w:pPr>
              <w:pBdr>
                <w:bar w:val="single" w:sz="4" w:color="auto"/>
              </w:pBd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22</w:t>
            </w:r>
          </w:p>
        </w:tc>
        <w:tc>
          <w:tcPr>
            <w:tcW w:w="3208" w:type="dxa"/>
            <w:shd w:val="clear" w:color="auto" w:fill="auto"/>
          </w:tcPr>
          <w:p w14:paraId="3A8AB487"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G2, LVI-, R0</w:t>
            </w:r>
          </w:p>
        </w:tc>
        <w:tc>
          <w:tcPr>
            <w:tcW w:w="2790" w:type="dxa"/>
            <w:shd w:val="clear" w:color="auto" w:fill="auto"/>
          </w:tcPr>
          <w:p w14:paraId="763C5F41"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 residual cancer</w:t>
            </w:r>
          </w:p>
        </w:tc>
        <w:tc>
          <w:tcPr>
            <w:tcW w:w="2141" w:type="dxa"/>
            <w:shd w:val="clear" w:color="auto" w:fill="auto"/>
          </w:tcPr>
          <w:p w14:paraId="051F3402" w14:textId="77777777" w:rsidR="009C069D" w:rsidRPr="00BF2AAC" w:rsidRDefault="009C069D" w:rsidP="00BF2AAC">
            <w:pPr>
              <w:pBdr>
                <w:bar w:val="single" w:sz="4" w:color="auto"/>
              </w:pBd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LR tumour, HGD in surgical margin</w:t>
            </w:r>
          </w:p>
        </w:tc>
      </w:tr>
    </w:tbl>
    <w:p w14:paraId="361F02AB" w14:textId="77777777" w:rsidR="009C069D" w:rsidRPr="00BF2AAC" w:rsidRDefault="009C069D" w:rsidP="00BF2AAC">
      <w:pPr>
        <w:adjustRightInd w:val="0"/>
        <w:snapToGrid w:val="0"/>
        <w:spacing w:after="0" w:line="360" w:lineRule="auto"/>
        <w:jc w:val="both"/>
        <w:rPr>
          <w:rFonts w:ascii="Book Antiqua" w:hAnsi="Book Antiqua"/>
          <w:sz w:val="24"/>
          <w:szCs w:val="24"/>
        </w:rPr>
      </w:pPr>
      <w:r w:rsidRPr="00BF2AAC">
        <w:rPr>
          <w:rFonts w:ascii="Book Antiqua" w:hAnsi="Book Antiqua" w:cs="Times New Roman"/>
          <w:sz w:val="24"/>
          <w:szCs w:val="24"/>
          <w:lang w:val="en-GB"/>
        </w:rPr>
        <w:t>Sm1: Submucosal invasion &lt; 500 µm; Sm2/3: Submucosal invasion &gt; 500 µm; G1: Well differentiated tumour; G2: Moderately differentiated tumour; G3: Poorly differentiated tumour; LVI: Lymphovascular invasion; R0: Complete resection; R1: Incomplete resection; X: Indefinite; LNM: Lymph node metastases; LGD: Low grade dysplasia; HGD: High grade dysplasia; LR: Low-risk tumour; HR: High-risk tumour.</w:t>
      </w:r>
    </w:p>
    <w:p w14:paraId="5EB63502" w14:textId="77777777" w:rsidR="009C069D" w:rsidRPr="00BF2AAC" w:rsidRDefault="009C069D" w:rsidP="00BF2AAC">
      <w:pPr>
        <w:adjustRightInd w:val="0"/>
        <w:snapToGrid w:val="0"/>
        <w:spacing w:after="0" w:line="360" w:lineRule="auto"/>
        <w:jc w:val="both"/>
        <w:rPr>
          <w:rFonts w:ascii="Book Antiqua" w:hAnsi="Book Antiqua"/>
          <w:sz w:val="24"/>
          <w:szCs w:val="24"/>
        </w:rPr>
      </w:pPr>
      <w:r w:rsidRPr="00BF2AAC">
        <w:rPr>
          <w:rFonts w:ascii="Book Antiqua" w:hAnsi="Book Antiqua"/>
          <w:sz w:val="24"/>
          <w:szCs w:val="24"/>
        </w:rPr>
        <w:br w:type="page"/>
      </w:r>
    </w:p>
    <w:p w14:paraId="0F1C743B" w14:textId="77777777" w:rsidR="009C069D" w:rsidRPr="00BF2AAC" w:rsidRDefault="009C069D" w:rsidP="00BF2AAC">
      <w:pPr>
        <w:adjustRightInd w:val="0"/>
        <w:snapToGrid w:val="0"/>
        <w:spacing w:after="0" w:line="360" w:lineRule="auto"/>
        <w:jc w:val="both"/>
        <w:outlineLvl w:val="0"/>
        <w:rPr>
          <w:rFonts w:ascii="Book Antiqua" w:hAnsi="Book Antiqua"/>
          <w:sz w:val="24"/>
          <w:szCs w:val="24"/>
        </w:rPr>
      </w:pPr>
      <w:r w:rsidRPr="00BF2AAC">
        <w:rPr>
          <w:rFonts w:ascii="Book Antiqua" w:hAnsi="Book Antiqua" w:cs="Times New Roman"/>
          <w:b/>
          <w:sz w:val="24"/>
          <w:szCs w:val="24"/>
          <w:lang w:val="en-GB"/>
        </w:rPr>
        <w:lastRenderedPageBreak/>
        <w:t xml:space="preserve">Table 4 Patients with metastatic T1b </w:t>
      </w:r>
      <w:bookmarkStart w:id="129" w:name="OLE_LINK1"/>
      <w:r w:rsidRPr="00BF2AAC">
        <w:rPr>
          <w:rFonts w:ascii="Book Antiqua" w:hAnsi="Book Antiqua" w:cs="Times New Roman"/>
          <w:b/>
          <w:sz w:val="24"/>
          <w:szCs w:val="24"/>
          <w:lang w:val="en-GB"/>
        </w:rPr>
        <w:t>oesophageal adenocarcinoma</w:t>
      </w:r>
      <w:bookmarkEnd w:id="129"/>
    </w:p>
    <w:tbl>
      <w:tblPr>
        <w:tblStyle w:val="TableGrid"/>
        <w:tblW w:w="9606" w:type="dxa"/>
        <w:jc w:val="righ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1560"/>
        <w:gridCol w:w="1275"/>
        <w:gridCol w:w="1418"/>
        <w:gridCol w:w="1559"/>
        <w:gridCol w:w="1134"/>
        <w:gridCol w:w="992"/>
        <w:gridCol w:w="993"/>
      </w:tblGrid>
      <w:tr w:rsidR="009C069D" w:rsidRPr="00BF2AAC" w14:paraId="0B962A5A" w14:textId="77777777" w:rsidTr="002B151A">
        <w:trPr>
          <w:trHeight w:val="1779"/>
          <w:jc w:val="right"/>
        </w:trPr>
        <w:tc>
          <w:tcPr>
            <w:tcW w:w="675" w:type="dxa"/>
            <w:tcBorders>
              <w:top w:val="single" w:sz="4" w:space="0" w:color="auto"/>
              <w:bottom w:val="single" w:sz="4" w:space="0" w:color="auto"/>
            </w:tcBorders>
            <w:shd w:val="clear" w:color="auto" w:fill="auto"/>
            <w:vAlign w:val="center"/>
          </w:tcPr>
          <w:p w14:paraId="51A3C17E" w14:textId="77777777" w:rsidR="009C069D" w:rsidRPr="00BF2AAC" w:rsidRDefault="009C069D"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t>Case</w:t>
            </w:r>
          </w:p>
        </w:tc>
        <w:tc>
          <w:tcPr>
            <w:tcW w:w="1560" w:type="dxa"/>
            <w:tcBorders>
              <w:top w:val="single" w:sz="4" w:space="0" w:color="auto"/>
              <w:bottom w:val="single" w:sz="4" w:space="0" w:color="auto"/>
            </w:tcBorders>
            <w:shd w:val="clear" w:color="auto" w:fill="auto"/>
            <w:vAlign w:val="center"/>
          </w:tcPr>
          <w:p w14:paraId="1242D23F"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EMR tumour histopathology</w:t>
            </w:r>
          </w:p>
        </w:tc>
        <w:tc>
          <w:tcPr>
            <w:tcW w:w="1275" w:type="dxa"/>
            <w:tcBorders>
              <w:top w:val="single" w:sz="4" w:space="0" w:color="auto"/>
              <w:bottom w:val="single" w:sz="4" w:space="0" w:color="auto"/>
            </w:tcBorders>
            <w:shd w:val="clear" w:color="auto" w:fill="auto"/>
            <w:vAlign w:val="center"/>
          </w:tcPr>
          <w:p w14:paraId="28887BB4"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Treatment after index EMR</w:t>
            </w:r>
          </w:p>
        </w:tc>
        <w:tc>
          <w:tcPr>
            <w:tcW w:w="1418" w:type="dxa"/>
            <w:tcBorders>
              <w:top w:val="single" w:sz="4" w:space="0" w:color="auto"/>
              <w:bottom w:val="single" w:sz="4" w:space="0" w:color="auto"/>
            </w:tcBorders>
            <w:shd w:val="clear" w:color="auto" w:fill="auto"/>
            <w:vAlign w:val="center"/>
          </w:tcPr>
          <w:p w14:paraId="16FE6071"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Time till metastases</w:t>
            </w:r>
            <w:r w:rsidRPr="00BF2AAC">
              <w:rPr>
                <w:rFonts w:ascii="Book Antiqua" w:hAnsi="Book Antiqua" w:cs="Times New Roman"/>
                <w:b/>
                <w:sz w:val="24"/>
                <w:szCs w:val="24"/>
                <w:lang w:val="en-GB"/>
              </w:rPr>
              <w:br/>
              <w:t>(mo)</w:t>
            </w:r>
            <w:r w:rsidRPr="00BF2AAC">
              <w:rPr>
                <w:rFonts w:ascii="Book Antiqua" w:hAnsi="Book Antiqua" w:cs="Times New Roman"/>
                <w:b/>
                <w:sz w:val="24"/>
                <w:szCs w:val="24"/>
                <w:vertAlign w:val="superscript"/>
                <w:lang w:val="en-GB"/>
              </w:rPr>
              <w:t>1</w:t>
            </w:r>
          </w:p>
        </w:tc>
        <w:tc>
          <w:tcPr>
            <w:tcW w:w="1559" w:type="dxa"/>
            <w:tcBorders>
              <w:top w:val="single" w:sz="4" w:space="0" w:color="auto"/>
              <w:bottom w:val="single" w:sz="4" w:space="0" w:color="auto"/>
            </w:tcBorders>
            <w:shd w:val="clear" w:color="auto" w:fill="auto"/>
            <w:vAlign w:val="center"/>
          </w:tcPr>
          <w:p w14:paraId="37C67D6F"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Additional treatment</w:t>
            </w:r>
          </w:p>
        </w:tc>
        <w:tc>
          <w:tcPr>
            <w:tcW w:w="1134" w:type="dxa"/>
            <w:tcBorders>
              <w:top w:val="single" w:sz="4" w:space="0" w:color="auto"/>
              <w:bottom w:val="single" w:sz="4" w:space="0" w:color="auto"/>
            </w:tcBorders>
            <w:shd w:val="clear" w:color="auto" w:fill="auto"/>
            <w:vAlign w:val="center"/>
          </w:tcPr>
          <w:p w14:paraId="54C6CF82"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End study outcome</w:t>
            </w:r>
          </w:p>
        </w:tc>
        <w:tc>
          <w:tcPr>
            <w:tcW w:w="992" w:type="dxa"/>
            <w:tcBorders>
              <w:top w:val="single" w:sz="4" w:space="0" w:color="auto"/>
              <w:bottom w:val="single" w:sz="4" w:space="0" w:color="auto"/>
            </w:tcBorders>
            <w:shd w:val="clear" w:color="auto" w:fill="auto"/>
            <w:vAlign w:val="center"/>
          </w:tcPr>
          <w:p w14:paraId="6A13934D"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Cause of death</w:t>
            </w:r>
          </w:p>
        </w:tc>
        <w:tc>
          <w:tcPr>
            <w:tcW w:w="993" w:type="dxa"/>
            <w:tcBorders>
              <w:top w:val="single" w:sz="4" w:space="0" w:color="auto"/>
              <w:bottom w:val="single" w:sz="4" w:space="0" w:color="auto"/>
            </w:tcBorders>
            <w:shd w:val="clear" w:color="auto" w:fill="auto"/>
            <w:vAlign w:val="center"/>
          </w:tcPr>
          <w:p w14:paraId="0C06F274"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Survival</w:t>
            </w:r>
            <w:r w:rsidRPr="00BF2AAC">
              <w:rPr>
                <w:rFonts w:ascii="Book Antiqua" w:hAnsi="Book Antiqua" w:cs="Times New Roman"/>
                <w:b/>
                <w:sz w:val="24"/>
                <w:szCs w:val="24"/>
                <w:vertAlign w:val="superscript"/>
                <w:lang w:val="en-GB"/>
              </w:rPr>
              <w:t>2</w:t>
            </w:r>
          </w:p>
          <w:p w14:paraId="018FFAD3" w14:textId="77777777" w:rsidR="009C069D" w:rsidRPr="00BF2AAC" w:rsidRDefault="009C069D" w:rsidP="00BF2AAC">
            <w:pPr>
              <w:adjustRightInd w:val="0"/>
              <w:snapToGrid w:val="0"/>
              <w:spacing w:after="0" w:line="360" w:lineRule="auto"/>
              <w:jc w:val="center"/>
              <w:rPr>
                <w:rFonts w:ascii="Book Antiqua" w:hAnsi="Book Antiqua" w:cs="Times New Roman"/>
                <w:b/>
                <w:sz w:val="24"/>
                <w:szCs w:val="24"/>
                <w:lang w:val="en-GB"/>
              </w:rPr>
            </w:pPr>
            <w:r w:rsidRPr="00BF2AAC">
              <w:rPr>
                <w:rFonts w:ascii="Book Antiqua" w:hAnsi="Book Antiqua" w:cs="Times New Roman"/>
                <w:b/>
                <w:sz w:val="24"/>
                <w:szCs w:val="24"/>
                <w:lang w:val="en-GB"/>
              </w:rPr>
              <w:t>(mo)</w:t>
            </w:r>
          </w:p>
        </w:tc>
      </w:tr>
      <w:tr w:rsidR="00BF2AAC" w:rsidRPr="00BF2AAC" w14:paraId="482C0A27" w14:textId="77777777" w:rsidTr="002B151A">
        <w:trPr>
          <w:jc w:val="right"/>
        </w:trPr>
        <w:tc>
          <w:tcPr>
            <w:tcW w:w="675" w:type="dxa"/>
            <w:tcBorders>
              <w:top w:val="single" w:sz="4" w:space="0" w:color="auto"/>
            </w:tcBorders>
            <w:shd w:val="clear" w:color="auto" w:fill="auto"/>
            <w:vAlign w:val="center"/>
          </w:tcPr>
          <w:p w14:paraId="1AE36CEE"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w:t>
            </w:r>
          </w:p>
        </w:tc>
        <w:tc>
          <w:tcPr>
            <w:tcW w:w="1560" w:type="dxa"/>
            <w:tcBorders>
              <w:top w:val="single" w:sz="4" w:space="0" w:color="auto"/>
            </w:tcBorders>
            <w:shd w:val="clear" w:color="auto" w:fill="auto"/>
            <w:vAlign w:val="center"/>
          </w:tcPr>
          <w:p w14:paraId="21D6A836"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LVIX, R1</w:t>
            </w:r>
          </w:p>
        </w:tc>
        <w:tc>
          <w:tcPr>
            <w:tcW w:w="1275" w:type="dxa"/>
            <w:tcBorders>
              <w:top w:val="single" w:sz="4" w:space="0" w:color="auto"/>
            </w:tcBorders>
            <w:shd w:val="clear" w:color="auto" w:fill="auto"/>
            <w:vAlign w:val="center"/>
          </w:tcPr>
          <w:p w14:paraId="42FFF539"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Surgery</w:t>
            </w:r>
          </w:p>
        </w:tc>
        <w:tc>
          <w:tcPr>
            <w:tcW w:w="1418" w:type="dxa"/>
            <w:tcBorders>
              <w:top w:val="single" w:sz="4" w:space="0" w:color="auto"/>
            </w:tcBorders>
            <w:shd w:val="clear" w:color="auto" w:fill="auto"/>
            <w:vAlign w:val="center"/>
          </w:tcPr>
          <w:p w14:paraId="706F667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w:t>
            </w:r>
          </w:p>
        </w:tc>
        <w:tc>
          <w:tcPr>
            <w:tcW w:w="1559" w:type="dxa"/>
            <w:tcBorders>
              <w:top w:val="single" w:sz="4" w:space="0" w:color="auto"/>
            </w:tcBorders>
            <w:shd w:val="clear" w:color="auto" w:fill="auto"/>
            <w:vAlign w:val="center"/>
          </w:tcPr>
          <w:p w14:paraId="7CBB6BE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Chemotherapy</w:t>
            </w:r>
          </w:p>
        </w:tc>
        <w:tc>
          <w:tcPr>
            <w:tcW w:w="1134" w:type="dxa"/>
            <w:tcBorders>
              <w:top w:val="single" w:sz="4" w:space="0" w:color="auto"/>
            </w:tcBorders>
            <w:shd w:val="clear" w:color="auto" w:fill="auto"/>
            <w:vAlign w:val="center"/>
          </w:tcPr>
          <w:p w14:paraId="3D265F7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tcBorders>
              <w:top w:val="single" w:sz="4" w:space="0" w:color="auto"/>
            </w:tcBorders>
            <w:shd w:val="clear" w:color="auto" w:fill="auto"/>
            <w:vAlign w:val="center"/>
          </w:tcPr>
          <w:p w14:paraId="042A4D0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tcBorders>
              <w:top w:val="single" w:sz="4" w:space="0" w:color="auto"/>
            </w:tcBorders>
            <w:shd w:val="clear" w:color="auto" w:fill="auto"/>
            <w:vAlign w:val="center"/>
          </w:tcPr>
          <w:p w14:paraId="65D8C5E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45</w:t>
            </w:r>
          </w:p>
        </w:tc>
      </w:tr>
      <w:tr w:rsidR="00BF2AAC" w:rsidRPr="00BF2AAC" w14:paraId="5C498B53" w14:textId="77777777" w:rsidTr="002B151A">
        <w:trPr>
          <w:jc w:val="right"/>
        </w:trPr>
        <w:tc>
          <w:tcPr>
            <w:tcW w:w="675" w:type="dxa"/>
            <w:shd w:val="clear" w:color="auto" w:fill="auto"/>
            <w:vAlign w:val="center"/>
          </w:tcPr>
          <w:p w14:paraId="5C8E4399"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2</w:t>
            </w:r>
          </w:p>
        </w:tc>
        <w:tc>
          <w:tcPr>
            <w:tcW w:w="1560" w:type="dxa"/>
            <w:shd w:val="clear" w:color="auto" w:fill="auto"/>
            <w:vAlign w:val="center"/>
          </w:tcPr>
          <w:p w14:paraId="58C41EB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SmX, G3, LVI+, R1</w:t>
            </w:r>
          </w:p>
        </w:tc>
        <w:tc>
          <w:tcPr>
            <w:tcW w:w="1275" w:type="dxa"/>
            <w:shd w:val="clear" w:color="auto" w:fill="auto"/>
            <w:vAlign w:val="center"/>
          </w:tcPr>
          <w:p w14:paraId="76DB6663"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Surgery</w:t>
            </w:r>
          </w:p>
        </w:tc>
        <w:tc>
          <w:tcPr>
            <w:tcW w:w="1418" w:type="dxa"/>
            <w:shd w:val="clear" w:color="auto" w:fill="auto"/>
            <w:vAlign w:val="center"/>
          </w:tcPr>
          <w:p w14:paraId="59F3D33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w:t>
            </w:r>
          </w:p>
        </w:tc>
        <w:tc>
          <w:tcPr>
            <w:tcW w:w="1559" w:type="dxa"/>
            <w:shd w:val="clear" w:color="auto" w:fill="auto"/>
            <w:vAlign w:val="center"/>
          </w:tcPr>
          <w:p w14:paraId="79FB749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None</w:t>
            </w:r>
          </w:p>
        </w:tc>
        <w:tc>
          <w:tcPr>
            <w:tcW w:w="1134" w:type="dxa"/>
            <w:shd w:val="clear" w:color="auto" w:fill="auto"/>
            <w:vAlign w:val="center"/>
          </w:tcPr>
          <w:p w14:paraId="3EB4D63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Alive</w:t>
            </w:r>
          </w:p>
        </w:tc>
        <w:tc>
          <w:tcPr>
            <w:tcW w:w="992" w:type="dxa"/>
            <w:shd w:val="clear" w:color="auto" w:fill="auto"/>
            <w:vAlign w:val="center"/>
          </w:tcPr>
          <w:p w14:paraId="3A8AE482"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c>
          <w:tcPr>
            <w:tcW w:w="993" w:type="dxa"/>
            <w:shd w:val="clear" w:color="auto" w:fill="auto"/>
            <w:vAlign w:val="center"/>
          </w:tcPr>
          <w:p w14:paraId="7D6D119C"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87</w:t>
            </w:r>
          </w:p>
        </w:tc>
      </w:tr>
      <w:tr w:rsidR="00BF2AAC" w:rsidRPr="00BF2AAC" w14:paraId="201158D6" w14:textId="77777777" w:rsidTr="002B151A">
        <w:trPr>
          <w:jc w:val="right"/>
        </w:trPr>
        <w:tc>
          <w:tcPr>
            <w:tcW w:w="675" w:type="dxa"/>
            <w:shd w:val="clear" w:color="auto" w:fill="auto"/>
            <w:vAlign w:val="center"/>
          </w:tcPr>
          <w:p w14:paraId="0C72E086"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3</w:t>
            </w:r>
          </w:p>
        </w:tc>
        <w:tc>
          <w:tcPr>
            <w:tcW w:w="1560" w:type="dxa"/>
            <w:shd w:val="clear" w:color="auto" w:fill="auto"/>
            <w:vAlign w:val="center"/>
          </w:tcPr>
          <w:p w14:paraId="2E1C215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SmX, G3, LVI+, R1</w:t>
            </w:r>
          </w:p>
        </w:tc>
        <w:tc>
          <w:tcPr>
            <w:tcW w:w="1275" w:type="dxa"/>
            <w:shd w:val="clear" w:color="auto" w:fill="auto"/>
            <w:vAlign w:val="center"/>
          </w:tcPr>
          <w:p w14:paraId="0837C3FA"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Surgery</w:t>
            </w:r>
          </w:p>
        </w:tc>
        <w:tc>
          <w:tcPr>
            <w:tcW w:w="1418" w:type="dxa"/>
            <w:shd w:val="clear" w:color="auto" w:fill="auto"/>
            <w:vAlign w:val="center"/>
          </w:tcPr>
          <w:p w14:paraId="5E65F83A"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w:t>
            </w:r>
          </w:p>
        </w:tc>
        <w:tc>
          <w:tcPr>
            <w:tcW w:w="1559" w:type="dxa"/>
            <w:shd w:val="clear" w:color="auto" w:fill="auto"/>
            <w:vAlign w:val="center"/>
          </w:tcPr>
          <w:p w14:paraId="08F0C1E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CRT</w:t>
            </w:r>
          </w:p>
        </w:tc>
        <w:tc>
          <w:tcPr>
            <w:tcW w:w="1134" w:type="dxa"/>
            <w:shd w:val="clear" w:color="auto" w:fill="auto"/>
            <w:vAlign w:val="center"/>
          </w:tcPr>
          <w:p w14:paraId="174CA0C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shd w:val="clear" w:color="auto" w:fill="auto"/>
            <w:vAlign w:val="center"/>
          </w:tcPr>
          <w:p w14:paraId="71C0B98C"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shd w:val="clear" w:color="auto" w:fill="auto"/>
            <w:vAlign w:val="center"/>
          </w:tcPr>
          <w:p w14:paraId="099B261A"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8</w:t>
            </w:r>
          </w:p>
        </w:tc>
      </w:tr>
      <w:tr w:rsidR="00BF2AAC" w:rsidRPr="00BF2AAC" w14:paraId="7F738C9B" w14:textId="77777777" w:rsidTr="002B151A">
        <w:trPr>
          <w:jc w:val="right"/>
        </w:trPr>
        <w:tc>
          <w:tcPr>
            <w:tcW w:w="675" w:type="dxa"/>
            <w:shd w:val="clear" w:color="auto" w:fill="auto"/>
            <w:vAlign w:val="center"/>
          </w:tcPr>
          <w:p w14:paraId="5489D5B8"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4</w:t>
            </w:r>
          </w:p>
        </w:tc>
        <w:tc>
          <w:tcPr>
            <w:tcW w:w="1560" w:type="dxa"/>
            <w:shd w:val="clear" w:color="auto" w:fill="auto"/>
            <w:vAlign w:val="center"/>
          </w:tcPr>
          <w:p w14:paraId="46D8D4BA"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1275" w:type="dxa"/>
            <w:shd w:val="clear" w:color="auto" w:fill="auto"/>
            <w:vAlign w:val="center"/>
          </w:tcPr>
          <w:p w14:paraId="0765B81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Surgery</w:t>
            </w:r>
          </w:p>
        </w:tc>
        <w:tc>
          <w:tcPr>
            <w:tcW w:w="1418" w:type="dxa"/>
            <w:shd w:val="clear" w:color="auto" w:fill="auto"/>
            <w:vAlign w:val="center"/>
          </w:tcPr>
          <w:p w14:paraId="64541FF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w:t>
            </w:r>
          </w:p>
        </w:tc>
        <w:tc>
          <w:tcPr>
            <w:tcW w:w="1559" w:type="dxa"/>
            <w:shd w:val="clear" w:color="auto" w:fill="auto"/>
            <w:vAlign w:val="center"/>
          </w:tcPr>
          <w:p w14:paraId="0A5C6B1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Chemotherapy</w:t>
            </w:r>
          </w:p>
        </w:tc>
        <w:tc>
          <w:tcPr>
            <w:tcW w:w="1134" w:type="dxa"/>
            <w:shd w:val="clear" w:color="auto" w:fill="auto"/>
            <w:vAlign w:val="center"/>
          </w:tcPr>
          <w:p w14:paraId="1684B842"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Alive</w:t>
            </w:r>
          </w:p>
        </w:tc>
        <w:tc>
          <w:tcPr>
            <w:tcW w:w="992" w:type="dxa"/>
            <w:shd w:val="clear" w:color="auto" w:fill="auto"/>
            <w:vAlign w:val="center"/>
          </w:tcPr>
          <w:p w14:paraId="7C9D753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c>
          <w:tcPr>
            <w:tcW w:w="993" w:type="dxa"/>
            <w:shd w:val="clear" w:color="auto" w:fill="auto"/>
            <w:vAlign w:val="center"/>
          </w:tcPr>
          <w:p w14:paraId="3FA6DCD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55</w:t>
            </w:r>
          </w:p>
        </w:tc>
      </w:tr>
      <w:tr w:rsidR="00BF2AAC" w:rsidRPr="00BF2AAC" w14:paraId="21E77024" w14:textId="77777777" w:rsidTr="002B151A">
        <w:trPr>
          <w:jc w:val="right"/>
        </w:trPr>
        <w:tc>
          <w:tcPr>
            <w:tcW w:w="675" w:type="dxa"/>
            <w:shd w:val="clear" w:color="auto" w:fill="auto"/>
            <w:vAlign w:val="center"/>
          </w:tcPr>
          <w:p w14:paraId="0EE6085A"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5</w:t>
            </w:r>
          </w:p>
        </w:tc>
        <w:tc>
          <w:tcPr>
            <w:tcW w:w="1560" w:type="dxa"/>
            <w:shd w:val="clear" w:color="auto" w:fill="auto"/>
            <w:vAlign w:val="center"/>
          </w:tcPr>
          <w:p w14:paraId="29DB29DB"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LVIX, R1</w:t>
            </w:r>
          </w:p>
        </w:tc>
        <w:tc>
          <w:tcPr>
            <w:tcW w:w="1275" w:type="dxa"/>
            <w:shd w:val="clear" w:color="auto" w:fill="auto"/>
            <w:vAlign w:val="center"/>
          </w:tcPr>
          <w:p w14:paraId="57E18322"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Conservative</w:t>
            </w:r>
          </w:p>
        </w:tc>
        <w:tc>
          <w:tcPr>
            <w:tcW w:w="1418" w:type="dxa"/>
            <w:shd w:val="clear" w:color="auto" w:fill="auto"/>
            <w:vAlign w:val="center"/>
          </w:tcPr>
          <w:p w14:paraId="0170A19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38</w:t>
            </w:r>
          </w:p>
        </w:tc>
        <w:tc>
          <w:tcPr>
            <w:tcW w:w="1559" w:type="dxa"/>
            <w:shd w:val="clear" w:color="auto" w:fill="auto"/>
            <w:vAlign w:val="center"/>
          </w:tcPr>
          <w:p w14:paraId="58F5045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CRT</w:t>
            </w:r>
          </w:p>
        </w:tc>
        <w:tc>
          <w:tcPr>
            <w:tcW w:w="1134" w:type="dxa"/>
            <w:shd w:val="clear" w:color="auto" w:fill="auto"/>
            <w:vAlign w:val="center"/>
          </w:tcPr>
          <w:p w14:paraId="4AB349B4"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shd w:val="clear" w:color="auto" w:fill="auto"/>
            <w:vAlign w:val="center"/>
          </w:tcPr>
          <w:p w14:paraId="5B1F5F1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shd w:val="clear" w:color="auto" w:fill="auto"/>
            <w:vAlign w:val="center"/>
          </w:tcPr>
          <w:p w14:paraId="5D91153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40</w:t>
            </w:r>
          </w:p>
        </w:tc>
      </w:tr>
      <w:tr w:rsidR="00BF2AAC" w:rsidRPr="00BF2AAC" w14:paraId="43B17E11" w14:textId="77777777" w:rsidTr="002B151A">
        <w:trPr>
          <w:jc w:val="right"/>
        </w:trPr>
        <w:tc>
          <w:tcPr>
            <w:tcW w:w="675" w:type="dxa"/>
            <w:shd w:val="clear" w:color="auto" w:fill="auto"/>
            <w:vAlign w:val="center"/>
          </w:tcPr>
          <w:p w14:paraId="46C5DF68"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6</w:t>
            </w:r>
          </w:p>
        </w:tc>
        <w:tc>
          <w:tcPr>
            <w:tcW w:w="1560" w:type="dxa"/>
            <w:shd w:val="clear" w:color="auto" w:fill="auto"/>
            <w:vAlign w:val="center"/>
          </w:tcPr>
          <w:p w14:paraId="301879D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G2, LVI+, R1</w:t>
            </w:r>
          </w:p>
        </w:tc>
        <w:tc>
          <w:tcPr>
            <w:tcW w:w="1275" w:type="dxa"/>
            <w:shd w:val="clear" w:color="auto" w:fill="auto"/>
            <w:vAlign w:val="center"/>
          </w:tcPr>
          <w:p w14:paraId="3606030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Conservative</w:t>
            </w:r>
          </w:p>
        </w:tc>
        <w:tc>
          <w:tcPr>
            <w:tcW w:w="1418" w:type="dxa"/>
            <w:shd w:val="clear" w:color="auto" w:fill="auto"/>
            <w:vAlign w:val="center"/>
          </w:tcPr>
          <w:p w14:paraId="1FAEA43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w:t>
            </w:r>
          </w:p>
        </w:tc>
        <w:tc>
          <w:tcPr>
            <w:tcW w:w="1559" w:type="dxa"/>
            <w:shd w:val="clear" w:color="auto" w:fill="auto"/>
            <w:vAlign w:val="center"/>
          </w:tcPr>
          <w:p w14:paraId="09DEC42D"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CRT</w:t>
            </w:r>
          </w:p>
        </w:tc>
        <w:tc>
          <w:tcPr>
            <w:tcW w:w="1134" w:type="dxa"/>
            <w:shd w:val="clear" w:color="auto" w:fill="auto"/>
            <w:vAlign w:val="center"/>
          </w:tcPr>
          <w:p w14:paraId="42189EEE"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shd w:val="clear" w:color="auto" w:fill="auto"/>
            <w:vAlign w:val="center"/>
          </w:tcPr>
          <w:p w14:paraId="4595ED39"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shd w:val="clear" w:color="auto" w:fill="auto"/>
            <w:vAlign w:val="center"/>
          </w:tcPr>
          <w:p w14:paraId="23BA789A"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9</w:t>
            </w:r>
          </w:p>
        </w:tc>
      </w:tr>
      <w:tr w:rsidR="00BF2AAC" w:rsidRPr="00BF2AAC" w14:paraId="5595FDC2" w14:textId="77777777" w:rsidTr="002B151A">
        <w:trPr>
          <w:jc w:val="right"/>
        </w:trPr>
        <w:tc>
          <w:tcPr>
            <w:tcW w:w="675" w:type="dxa"/>
            <w:shd w:val="clear" w:color="auto" w:fill="auto"/>
            <w:vAlign w:val="center"/>
          </w:tcPr>
          <w:p w14:paraId="0B3E2F04"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7</w:t>
            </w:r>
          </w:p>
        </w:tc>
        <w:tc>
          <w:tcPr>
            <w:tcW w:w="1560" w:type="dxa"/>
            <w:shd w:val="clear" w:color="auto" w:fill="auto"/>
            <w:vAlign w:val="center"/>
          </w:tcPr>
          <w:p w14:paraId="6B9E61F3"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G2, LVI-, R1</w:t>
            </w:r>
          </w:p>
        </w:tc>
        <w:tc>
          <w:tcPr>
            <w:tcW w:w="1275" w:type="dxa"/>
            <w:shd w:val="clear" w:color="auto" w:fill="auto"/>
            <w:vAlign w:val="center"/>
          </w:tcPr>
          <w:p w14:paraId="36209BA4"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Conservative</w:t>
            </w:r>
          </w:p>
        </w:tc>
        <w:tc>
          <w:tcPr>
            <w:tcW w:w="1418" w:type="dxa"/>
            <w:shd w:val="clear" w:color="auto" w:fill="auto"/>
            <w:vAlign w:val="center"/>
          </w:tcPr>
          <w:p w14:paraId="1BFFBFDE"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3</w:t>
            </w:r>
          </w:p>
        </w:tc>
        <w:tc>
          <w:tcPr>
            <w:tcW w:w="1559" w:type="dxa"/>
            <w:shd w:val="clear" w:color="auto" w:fill="auto"/>
            <w:vAlign w:val="center"/>
          </w:tcPr>
          <w:p w14:paraId="3D70609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CRT</w:t>
            </w:r>
          </w:p>
        </w:tc>
        <w:tc>
          <w:tcPr>
            <w:tcW w:w="1134" w:type="dxa"/>
            <w:shd w:val="clear" w:color="auto" w:fill="auto"/>
            <w:vAlign w:val="center"/>
          </w:tcPr>
          <w:p w14:paraId="1B3682DC"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shd w:val="clear" w:color="auto" w:fill="auto"/>
            <w:vAlign w:val="center"/>
          </w:tcPr>
          <w:p w14:paraId="1546EB0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shd w:val="clear" w:color="auto" w:fill="auto"/>
            <w:vAlign w:val="center"/>
          </w:tcPr>
          <w:p w14:paraId="5CB2E20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31</w:t>
            </w:r>
          </w:p>
        </w:tc>
      </w:tr>
      <w:tr w:rsidR="00BF2AAC" w:rsidRPr="00BF2AAC" w14:paraId="37694033" w14:textId="77777777" w:rsidTr="002B151A">
        <w:trPr>
          <w:jc w:val="right"/>
        </w:trPr>
        <w:tc>
          <w:tcPr>
            <w:tcW w:w="675" w:type="dxa"/>
            <w:shd w:val="clear" w:color="auto" w:fill="auto"/>
            <w:vAlign w:val="center"/>
          </w:tcPr>
          <w:p w14:paraId="7634E5CC"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8</w:t>
            </w:r>
          </w:p>
        </w:tc>
        <w:tc>
          <w:tcPr>
            <w:tcW w:w="1560" w:type="dxa"/>
            <w:shd w:val="clear" w:color="auto" w:fill="auto"/>
            <w:vAlign w:val="center"/>
          </w:tcPr>
          <w:p w14:paraId="6660B9A5"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G2, LVI+, R1</w:t>
            </w:r>
          </w:p>
        </w:tc>
        <w:tc>
          <w:tcPr>
            <w:tcW w:w="1275" w:type="dxa"/>
            <w:shd w:val="clear" w:color="auto" w:fill="auto"/>
            <w:vAlign w:val="center"/>
          </w:tcPr>
          <w:p w14:paraId="27BED692"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Conservative</w:t>
            </w:r>
          </w:p>
        </w:tc>
        <w:tc>
          <w:tcPr>
            <w:tcW w:w="1418" w:type="dxa"/>
            <w:shd w:val="clear" w:color="auto" w:fill="auto"/>
            <w:vAlign w:val="center"/>
          </w:tcPr>
          <w:p w14:paraId="5F3A5A8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4</w:t>
            </w:r>
          </w:p>
        </w:tc>
        <w:tc>
          <w:tcPr>
            <w:tcW w:w="1559" w:type="dxa"/>
            <w:shd w:val="clear" w:color="auto" w:fill="auto"/>
            <w:vAlign w:val="center"/>
          </w:tcPr>
          <w:p w14:paraId="5CAFF5C9"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CRT</w:t>
            </w:r>
          </w:p>
        </w:tc>
        <w:tc>
          <w:tcPr>
            <w:tcW w:w="1134" w:type="dxa"/>
            <w:shd w:val="clear" w:color="auto" w:fill="auto"/>
            <w:vAlign w:val="center"/>
          </w:tcPr>
          <w:p w14:paraId="65750CD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shd w:val="clear" w:color="auto" w:fill="auto"/>
            <w:vAlign w:val="center"/>
          </w:tcPr>
          <w:p w14:paraId="56797DE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shd w:val="clear" w:color="auto" w:fill="auto"/>
            <w:vAlign w:val="center"/>
          </w:tcPr>
          <w:p w14:paraId="0DDECCF3"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18</w:t>
            </w:r>
          </w:p>
        </w:tc>
      </w:tr>
      <w:tr w:rsidR="00BF2AAC" w:rsidRPr="00BF2AAC" w14:paraId="1878569D" w14:textId="77777777" w:rsidTr="002B151A">
        <w:trPr>
          <w:jc w:val="right"/>
        </w:trPr>
        <w:tc>
          <w:tcPr>
            <w:tcW w:w="675" w:type="dxa"/>
            <w:tcBorders>
              <w:bottom w:val="nil"/>
            </w:tcBorders>
            <w:shd w:val="clear" w:color="auto" w:fill="auto"/>
            <w:vAlign w:val="center"/>
          </w:tcPr>
          <w:p w14:paraId="5BD0A7A9"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9</w:t>
            </w:r>
          </w:p>
        </w:tc>
        <w:tc>
          <w:tcPr>
            <w:tcW w:w="1560" w:type="dxa"/>
            <w:tcBorders>
              <w:bottom w:val="nil"/>
            </w:tcBorders>
            <w:shd w:val="clear" w:color="auto" w:fill="auto"/>
            <w:vAlign w:val="center"/>
          </w:tcPr>
          <w:p w14:paraId="6EBCF50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Sm1, G2, LVI-, R1</w:t>
            </w:r>
          </w:p>
        </w:tc>
        <w:tc>
          <w:tcPr>
            <w:tcW w:w="1275" w:type="dxa"/>
            <w:tcBorders>
              <w:bottom w:val="nil"/>
            </w:tcBorders>
            <w:shd w:val="clear" w:color="auto" w:fill="auto"/>
            <w:vAlign w:val="center"/>
          </w:tcPr>
          <w:p w14:paraId="621015CE"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Conservative</w:t>
            </w:r>
          </w:p>
        </w:tc>
        <w:tc>
          <w:tcPr>
            <w:tcW w:w="1418" w:type="dxa"/>
            <w:tcBorders>
              <w:bottom w:val="nil"/>
            </w:tcBorders>
            <w:shd w:val="clear" w:color="auto" w:fill="auto"/>
            <w:vAlign w:val="center"/>
          </w:tcPr>
          <w:p w14:paraId="1E217626"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17</w:t>
            </w:r>
          </w:p>
        </w:tc>
        <w:tc>
          <w:tcPr>
            <w:tcW w:w="1559" w:type="dxa"/>
            <w:tcBorders>
              <w:bottom w:val="nil"/>
            </w:tcBorders>
            <w:shd w:val="clear" w:color="auto" w:fill="auto"/>
            <w:vAlign w:val="center"/>
          </w:tcPr>
          <w:p w14:paraId="04BE626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EMR T1a, CRT</w:t>
            </w:r>
          </w:p>
        </w:tc>
        <w:tc>
          <w:tcPr>
            <w:tcW w:w="1134" w:type="dxa"/>
            <w:tcBorders>
              <w:bottom w:val="nil"/>
            </w:tcBorders>
            <w:shd w:val="clear" w:color="auto" w:fill="auto"/>
            <w:vAlign w:val="center"/>
          </w:tcPr>
          <w:p w14:paraId="16D0DD29"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Alive</w:t>
            </w:r>
          </w:p>
        </w:tc>
        <w:tc>
          <w:tcPr>
            <w:tcW w:w="992" w:type="dxa"/>
            <w:tcBorders>
              <w:bottom w:val="nil"/>
            </w:tcBorders>
            <w:shd w:val="clear" w:color="auto" w:fill="auto"/>
            <w:vAlign w:val="center"/>
          </w:tcPr>
          <w:p w14:paraId="65C13107"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w:t>
            </w:r>
          </w:p>
        </w:tc>
        <w:tc>
          <w:tcPr>
            <w:tcW w:w="993" w:type="dxa"/>
            <w:tcBorders>
              <w:bottom w:val="nil"/>
            </w:tcBorders>
            <w:shd w:val="clear" w:color="auto" w:fill="auto"/>
            <w:vAlign w:val="center"/>
          </w:tcPr>
          <w:p w14:paraId="3F82D028"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26</w:t>
            </w:r>
          </w:p>
        </w:tc>
      </w:tr>
      <w:tr w:rsidR="00BF2AAC" w:rsidRPr="00BF2AAC" w14:paraId="56BA668A" w14:textId="77777777" w:rsidTr="002B151A">
        <w:trPr>
          <w:jc w:val="right"/>
        </w:trPr>
        <w:tc>
          <w:tcPr>
            <w:tcW w:w="675" w:type="dxa"/>
            <w:tcBorders>
              <w:top w:val="nil"/>
              <w:bottom w:val="single" w:sz="4" w:space="0" w:color="auto"/>
            </w:tcBorders>
            <w:shd w:val="clear" w:color="auto" w:fill="auto"/>
            <w:vAlign w:val="center"/>
          </w:tcPr>
          <w:p w14:paraId="5B9F94D5"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en-GB"/>
              </w:rPr>
              <w:t>10</w:t>
            </w:r>
          </w:p>
        </w:tc>
        <w:tc>
          <w:tcPr>
            <w:tcW w:w="1560" w:type="dxa"/>
            <w:tcBorders>
              <w:top w:val="nil"/>
              <w:bottom w:val="single" w:sz="4" w:space="0" w:color="auto"/>
            </w:tcBorders>
            <w:shd w:val="clear" w:color="auto" w:fill="auto"/>
            <w:vAlign w:val="center"/>
          </w:tcPr>
          <w:p w14:paraId="141D9A61"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Sm2/3, G3, LVI-, R1</w:t>
            </w:r>
          </w:p>
        </w:tc>
        <w:tc>
          <w:tcPr>
            <w:tcW w:w="1275" w:type="dxa"/>
            <w:tcBorders>
              <w:top w:val="nil"/>
              <w:bottom w:val="single" w:sz="4" w:space="0" w:color="auto"/>
            </w:tcBorders>
            <w:shd w:val="clear" w:color="auto" w:fill="auto"/>
            <w:vAlign w:val="center"/>
          </w:tcPr>
          <w:p w14:paraId="4EB83D66"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Conservative</w:t>
            </w:r>
          </w:p>
        </w:tc>
        <w:tc>
          <w:tcPr>
            <w:tcW w:w="1418" w:type="dxa"/>
            <w:tcBorders>
              <w:top w:val="nil"/>
              <w:bottom w:val="single" w:sz="4" w:space="0" w:color="auto"/>
            </w:tcBorders>
            <w:shd w:val="clear" w:color="auto" w:fill="auto"/>
            <w:vAlign w:val="center"/>
          </w:tcPr>
          <w:p w14:paraId="0D185ACF"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13</w:t>
            </w:r>
          </w:p>
        </w:tc>
        <w:tc>
          <w:tcPr>
            <w:tcW w:w="1559" w:type="dxa"/>
            <w:tcBorders>
              <w:top w:val="nil"/>
              <w:bottom w:val="single" w:sz="4" w:space="0" w:color="auto"/>
            </w:tcBorders>
            <w:shd w:val="clear" w:color="auto" w:fill="auto"/>
            <w:vAlign w:val="center"/>
          </w:tcPr>
          <w:p w14:paraId="7A606820"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Radiotherapy</w:t>
            </w:r>
          </w:p>
        </w:tc>
        <w:tc>
          <w:tcPr>
            <w:tcW w:w="1134" w:type="dxa"/>
            <w:tcBorders>
              <w:top w:val="nil"/>
              <w:bottom w:val="single" w:sz="4" w:space="0" w:color="auto"/>
            </w:tcBorders>
            <w:shd w:val="clear" w:color="auto" w:fill="auto"/>
            <w:vAlign w:val="center"/>
          </w:tcPr>
          <w:p w14:paraId="5F8784EA"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Deceased</w:t>
            </w:r>
          </w:p>
        </w:tc>
        <w:tc>
          <w:tcPr>
            <w:tcW w:w="992" w:type="dxa"/>
            <w:tcBorders>
              <w:top w:val="nil"/>
              <w:bottom w:val="single" w:sz="4" w:space="0" w:color="auto"/>
            </w:tcBorders>
            <w:shd w:val="clear" w:color="auto" w:fill="auto"/>
            <w:vAlign w:val="center"/>
          </w:tcPr>
          <w:p w14:paraId="6D02F76C"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OAC</w:t>
            </w:r>
          </w:p>
        </w:tc>
        <w:tc>
          <w:tcPr>
            <w:tcW w:w="993" w:type="dxa"/>
            <w:tcBorders>
              <w:top w:val="nil"/>
              <w:bottom w:val="single" w:sz="4" w:space="0" w:color="auto"/>
            </w:tcBorders>
            <w:shd w:val="clear" w:color="auto" w:fill="auto"/>
            <w:vAlign w:val="center"/>
          </w:tcPr>
          <w:p w14:paraId="25DAD216" w14:textId="77777777" w:rsidR="009C069D" w:rsidRPr="00BF2AAC" w:rsidRDefault="009C069D" w:rsidP="00BF2AAC">
            <w:pPr>
              <w:adjustRightInd w:val="0"/>
              <w:snapToGrid w:val="0"/>
              <w:spacing w:after="0" w:line="360" w:lineRule="auto"/>
              <w:jc w:val="center"/>
              <w:rPr>
                <w:rFonts w:ascii="Book Antiqua" w:hAnsi="Book Antiqua" w:cs="Times New Roman"/>
                <w:sz w:val="24"/>
                <w:szCs w:val="24"/>
                <w:lang w:val="en-GB"/>
              </w:rPr>
            </w:pPr>
            <w:r w:rsidRPr="00BF2AAC">
              <w:rPr>
                <w:rFonts w:ascii="Book Antiqua" w:hAnsi="Book Antiqua" w:cs="Times New Roman"/>
                <w:sz w:val="24"/>
                <w:szCs w:val="24"/>
                <w:lang w:val="en-GB"/>
              </w:rPr>
              <w:t>30</w:t>
            </w:r>
          </w:p>
        </w:tc>
      </w:tr>
    </w:tbl>
    <w:p w14:paraId="47FCA016"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vertAlign w:val="superscript"/>
          <w:lang w:val="en-GB"/>
        </w:rPr>
        <w:t>1</w:t>
      </w:r>
      <w:r w:rsidRPr="00BF2AAC">
        <w:rPr>
          <w:rFonts w:ascii="Book Antiqua" w:hAnsi="Book Antiqua" w:cs="Times New Roman"/>
          <w:sz w:val="24"/>
          <w:szCs w:val="24"/>
          <w:lang w:val="en-GB"/>
        </w:rPr>
        <w:t xml:space="preserve">Time from index EMR until LNM/metastatic disease; </w:t>
      </w:r>
    </w:p>
    <w:p w14:paraId="419651AC"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vertAlign w:val="superscript"/>
          <w:lang w:val="en-GB"/>
        </w:rPr>
        <w:t>2</w:t>
      </w:r>
      <w:r w:rsidRPr="00BF2AAC">
        <w:rPr>
          <w:rFonts w:ascii="Book Antiqua" w:hAnsi="Book Antiqua" w:cs="Times New Roman"/>
          <w:sz w:val="24"/>
          <w:szCs w:val="24"/>
          <w:lang w:val="en-GB"/>
        </w:rPr>
        <w:t xml:space="preserve">Time from index EMR until the end of the study or death of the patient. </w:t>
      </w:r>
    </w:p>
    <w:p w14:paraId="3EC7F99E" w14:textId="64936B08"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cs="Times New Roman"/>
          <w:sz w:val="24"/>
          <w:szCs w:val="24"/>
          <w:lang w:val="sl-SI"/>
        </w:rPr>
        <w:t xml:space="preserve">EMR: Endoscopic mucosal resection; </w:t>
      </w:r>
      <w:r w:rsidRPr="00BF2AAC">
        <w:rPr>
          <w:rFonts w:ascii="Book Antiqua" w:hAnsi="Book Antiqua" w:cs="Times New Roman"/>
          <w:sz w:val="24"/>
          <w:szCs w:val="24"/>
          <w:lang w:val="en-GB"/>
        </w:rPr>
        <w:t xml:space="preserve">LNM: Lymph node metastases; Sm1: Submucosal invasion &lt; 500 µm; Sm2/3: Submucosal invasion &gt; 500 µm; G2: Moderately </w:t>
      </w:r>
      <w:r w:rsidRPr="00BF2AAC">
        <w:rPr>
          <w:rFonts w:ascii="Book Antiqua" w:hAnsi="Book Antiqua" w:cs="Times New Roman"/>
          <w:sz w:val="24"/>
          <w:szCs w:val="24"/>
          <w:lang w:val="en-GB"/>
        </w:rPr>
        <w:lastRenderedPageBreak/>
        <w:t>differentiated tumour; G3: Poorly differentiated tumour;</w:t>
      </w:r>
      <w:r w:rsidR="00540E7D">
        <w:rPr>
          <w:rFonts w:ascii="Book Antiqua" w:hAnsi="Book Antiqua" w:cs="Times New Roman"/>
          <w:sz w:val="24"/>
          <w:szCs w:val="24"/>
          <w:lang w:val="en-GB"/>
        </w:rPr>
        <w:t xml:space="preserve"> </w:t>
      </w:r>
      <w:r w:rsidRPr="00BF2AAC">
        <w:rPr>
          <w:rFonts w:ascii="Book Antiqua" w:hAnsi="Book Antiqua" w:cs="Times New Roman"/>
          <w:sz w:val="24"/>
          <w:szCs w:val="24"/>
          <w:lang w:val="en-GB"/>
        </w:rPr>
        <w:t>LVI: Lymphovascular invasion; R0: Complete resection; R1: Incomplete resection; X: Indefinite; CRT: Chemoradiation therapy; OAC: Oesophageal adenocarcinoma; N/A: Not available.</w:t>
      </w:r>
    </w:p>
    <w:p w14:paraId="18BFFCD7" w14:textId="77777777" w:rsidR="009C069D" w:rsidRPr="00BF2AAC" w:rsidRDefault="009C069D" w:rsidP="00BF2AAC">
      <w:pPr>
        <w:adjustRightInd w:val="0"/>
        <w:snapToGrid w:val="0"/>
        <w:spacing w:after="0" w:line="360" w:lineRule="auto"/>
        <w:jc w:val="both"/>
        <w:rPr>
          <w:rFonts w:ascii="Book Antiqua" w:hAnsi="Book Antiqua" w:cs="Times New Roman"/>
          <w:sz w:val="24"/>
          <w:szCs w:val="24"/>
          <w:lang w:val="en-GB"/>
        </w:rPr>
      </w:pPr>
      <w:r w:rsidRPr="00BF2AAC">
        <w:rPr>
          <w:rFonts w:ascii="Book Antiqua" w:hAnsi="Book Antiqua"/>
          <w:sz w:val="24"/>
          <w:szCs w:val="24"/>
        </w:rPr>
        <w:t xml:space="preserve"> </w:t>
      </w:r>
      <w:r w:rsidRPr="00BF2AAC">
        <w:rPr>
          <w:rFonts w:ascii="Book Antiqua" w:hAnsi="Book Antiqua"/>
          <w:sz w:val="24"/>
          <w:szCs w:val="24"/>
        </w:rPr>
        <w:br w:type="page"/>
      </w:r>
    </w:p>
    <w:p w14:paraId="4A788065" w14:textId="1F1E41D0" w:rsidR="00711D84" w:rsidRPr="00BF2AAC" w:rsidRDefault="00315505"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noProof/>
          <w:sz w:val="24"/>
          <w:szCs w:val="24"/>
          <w:lang w:eastAsia="zh-CN"/>
        </w:rPr>
        <w:lastRenderedPageBreak/>
        <w:drawing>
          <wp:anchor distT="0" distB="0" distL="114300" distR="114300" simplePos="0" relativeHeight="251662336" behindDoc="0" locked="0" layoutInCell="1" allowOverlap="1" wp14:anchorId="6403A4D9" wp14:editId="076B3904">
            <wp:simplePos x="0" y="0"/>
            <wp:positionH relativeFrom="margin">
              <wp:posOffset>-287655</wp:posOffset>
            </wp:positionH>
            <wp:positionV relativeFrom="margin">
              <wp:posOffset>113030</wp:posOffset>
            </wp:positionV>
            <wp:extent cx="6403975" cy="1979930"/>
            <wp:effectExtent l="0" t="0" r="0" b="1270"/>
            <wp:wrapTopAndBottom/>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 fig-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3975" cy="1979930"/>
                    </a:xfrm>
                    <a:prstGeom prst="rect">
                      <a:avLst/>
                    </a:prstGeom>
                  </pic:spPr>
                </pic:pic>
              </a:graphicData>
            </a:graphic>
            <wp14:sizeRelH relativeFrom="margin">
              <wp14:pctWidth>0</wp14:pctWidth>
            </wp14:sizeRelH>
            <wp14:sizeRelV relativeFrom="margin">
              <wp14:pctHeight>0</wp14:pctHeight>
            </wp14:sizeRelV>
          </wp:anchor>
        </w:drawing>
      </w:r>
      <w:r w:rsidRPr="00BF2AAC">
        <w:rPr>
          <w:rFonts w:ascii="Book Antiqua" w:hAnsi="Book Antiqua"/>
          <w:b/>
          <w:sz w:val="24"/>
          <w:szCs w:val="24"/>
        </w:rPr>
        <w:t xml:space="preserve">Figure 1 Superficially invasive T1b </w:t>
      </w:r>
      <w:r w:rsidRPr="00BF2AAC">
        <w:rPr>
          <w:rFonts w:ascii="Book Antiqua" w:hAnsi="Book Antiqua" w:cs="Times New Roman"/>
          <w:b/>
          <w:sz w:val="24"/>
          <w:szCs w:val="24"/>
          <w:lang w:val="en-GB"/>
        </w:rPr>
        <w:t>oesophageal adenocarcinoma</w:t>
      </w:r>
      <w:r w:rsidRPr="00BF2AAC">
        <w:rPr>
          <w:rFonts w:ascii="Book Antiqua" w:hAnsi="Book Antiqua"/>
          <w:b/>
          <w:sz w:val="24"/>
          <w:szCs w:val="24"/>
        </w:rPr>
        <w:t>.</w:t>
      </w:r>
      <w:r w:rsidRPr="00BF2AAC">
        <w:rPr>
          <w:rFonts w:ascii="Book Antiqua" w:hAnsi="Book Antiqua"/>
          <w:sz w:val="24"/>
          <w:szCs w:val="24"/>
        </w:rPr>
        <w:t xml:space="preserve"> A: Low power overview of the lesion. A moderately differentiated oesophageal adenocarcinoma (OAC) is located at the squamocolumnar junction. This is a piecemeal excision of this lesion. The deep margin is clear (R0). There was no lymphovascular invasion or poor differentiation. Boxed area shown in B. B: High power of the invasive front showing a tumour gland just penetrating the original muscularis mucosae (asterisk). </w:t>
      </w:r>
    </w:p>
    <w:p w14:paraId="0BE273EB" w14:textId="77777777" w:rsidR="00711D84" w:rsidRPr="00BF2AAC" w:rsidRDefault="00711D84" w:rsidP="00BF2AAC">
      <w:pPr>
        <w:adjustRightInd w:val="0"/>
        <w:snapToGrid w:val="0"/>
        <w:spacing w:after="0" w:line="360" w:lineRule="auto"/>
        <w:jc w:val="both"/>
        <w:rPr>
          <w:rFonts w:ascii="Book Antiqua" w:hAnsi="Book Antiqua" w:cs="Times New Roman"/>
          <w:b/>
          <w:sz w:val="24"/>
          <w:szCs w:val="24"/>
          <w:lang w:val="en-GB"/>
        </w:rPr>
      </w:pPr>
      <w:r w:rsidRPr="00BF2AAC">
        <w:rPr>
          <w:rFonts w:ascii="Book Antiqua" w:hAnsi="Book Antiqua" w:cs="Times New Roman"/>
          <w:b/>
          <w:sz w:val="24"/>
          <w:szCs w:val="24"/>
          <w:lang w:val="en-GB"/>
        </w:rPr>
        <w:br w:type="page"/>
      </w:r>
    </w:p>
    <w:p w14:paraId="0F15F24C" w14:textId="510DAADA" w:rsidR="00711D84" w:rsidRPr="00BF2AAC" w:rsidRDefault="00315505" w:rsidP="00BF2AAC">
      <w:pPr>
        <w:adjustRightInd w:val="0"/>
        <w:snapToGrid w:val="0"/>
        <w:spacing w:after="0" w:line="360" w:lineRule="auto"/>
        <w:jc w:val="both"/>
        <w:rPr>
          <w:rFonts w:ascii="Book Antiqua" w:hAnsi="Book Antiqua" w:cs="Times New Roman"/>
          <w:b/>
          <w:sz w:val="24"/>
          <w:szCs w:val="24"/>
          <w:lang w:val="sl-SI"/>
        </w:rPr>
      </w:pPr>
      <w:r w:rsidRPr="00BF2AAC">
        <w:rPr>
          <w:rFonts w:ascii="Book Antiqua" w:hAnsi="Book Antiqua" w:cs="Times New Roman"/>
          <w:b/>
          <w:noProof/>
          <w:sz w:val="24"/>
          <w:szCs w:val="24"/>
          <w:lang w:eastAsia="zh-CN"/>
        </w:rPr>
        <w:lastRenderedPageBreak/>
        <w:drawing>
          <wp:anchor distT="0" distB="0" distL="114300" distR="114300" simplePos="0" relativeHeight="251663360" behindDoc="0" locked="0" layoutInCell="1" allowOverlap="1" wp14:anchorId="5EB07C8C" wp14:editId="675D3A7E">
            <wp:simplePos x="0" y="0"/>
            <wp:positionH relativeFrom="column">
              <wp:posOffset>-64770</wp:posOffset>
            </wp:positionH>
            <wp:positionV relativeFrom="paragraph">
              <wp:posOffset>114300</wp:posOffset>
            </wp:positionV>
            <wp:extent cx="5817235" cy="5644515"/>
            <wp:effectExtent l="0" t="0" r="0" b="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an_T1b-01.png"/>
                    <pic:cNvPicPr/>
                  </pic:nvPicPr>
                  <pic:blipFill rotWithShape="1">
                    <a:blip r:embed="rId10" cstate="print">
                      <a:extLst>
                        <a:ext uri="{28A0092B-C50C-407E-A947-70E740481C1C}">
                          <a14:useLocalDpi xmlns:a14="http://schemas.microsoft.com/office/drawing/2010/main" val="0"/>
                        </a:ext>
                      </a:extLst>
                    </a:blip>
                    <a:srcRect t="16346" b="15061"/>
                    <a:stretch/>
                  </pic:blipFill>
                  <pic:spPr bwMode="auto">
                    <a:xfrm>
                      <a:off x="0" y="0"/>
                      <a:ext cx="5817235" cy="564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2AAC">
        <w:rPr>
          <w:rFonts w:ascii="Book Antiqua" w:hAnsi="Book Antiqua"/>
          <w:b/>
          <w:sz w:val="24"/>
          <w:szCs w:val="24"/>
        </w:rPr>
        <w:t>Figure 2</w:t>
      </w:r>
      <w:r w:rsidRPr="00BF2AAC">
        <w:rPr>
          <w:rFonts w:ascii="Book Antiqua" w:hAnsi="Book Antiqua"/>
          <w:sz w:val="24"/>
          <w:szCs w:val="24"/>
        </w:rPr>
        <w:t xml:space="preserve"> </w:t>
      </w:r>
      <w:r w:rsidRPr="00BF2AAC">
        <w:rPr>
          <w:rFonts w:ascii="Book Antiqua" w:hAnsi="Book Antiqua"/>
          <w:b/>
          <w:sz w:val="24"/>
          <w:szCs w:val="24"/>
        </w:rPr>
        <w:t>Flowchart depicting patient subgroups and outcomes.</w:t>
      </w:r>
      <w:r w:rsidRPr="00BF2AAC">
        <w:rPr>
          <w:rFonts w:ascii="Book Antiqua" w:hAnsi="Book Antiqua"/>
          <w:sz w:val="24"/>
          <w:szCs w:val="24"/>
        </w:rPr>
        <w:t xml:space="preserve"> </w:t>
      </w:r>
      <w:r w:rsidRPr="00BF2AAC">
        <w:rPr>
          <w:rFonts w:ascii="Book Antiqua" w:hAnsi="Book Antiqua" w:cs="Times New Roman"/>
          <w:sz w:val="24"/>
          <w:szCs w:val="24"/>
          <w:lang w:val="sl-SI"/>
        </w:rPr>
        <w:t xml:space="preserve">Overall median follow-up 41 mo (IQR 26-53). OAC: </w:t>
      </w:r>
      <w:r w:rsidRPr="00BF2AAC">
        <w:rPr>
          <w:rFonts w:ascii="Book Antiqua" w:hAnsi="Book Antiqua"/>
          <w:sz w:val="24"/>
          <w:szCs w:val="24"/>
        </w:rPr>
        <w:t xml:space="preserve">Oesophageal adenocarcinoma; </w:t>
      </w:r>
      <w:r w:rsidRPr="00BF2AAC">
        <w:rPr>
          <w:rFonts w:ascii="Book Antiqua" w:hAnsi="Book Antiqua" w:cs="Times New Roman"/>
          <w:sz w:val="24"/>
          <w:szCs w:val="24"/>
          <w:lang w:val="en-GB"/>
        </w:rPr>
        <w:t xml:space="preserve">LR: Low-risk tumour; HR: High-risk tumour; </w:t>
      </w:r>
      <w:r w:rsidRPr="00BF2AAC">
        <w:rPr>
          <w:rFonts w:ascii="Book Antiqua" w:hAnsi="Book Antiqua" w:cs="Times New Roman"/>
          <w:sz w:val="24"/>
          <w:szCs w:val="24"/>
          <w:lang w:val="sl-SI"/>
        </w:rPr>
        <w:t>IQR: Interquartile range.</w:t>
      </w:r>
    </w:p>
    <w:p w14:paraId="57FD10AB" w14:textId="77777777" w:rsidR="00711D84" w:rsidRPr="00BF2AAC" w:rsidRDefault="00711D84" w:rsidP="00BF2AAC">
      <w:pPr>
        <w:adjustRightInd w:val="0"/>
        <w:snapToGrid w:val="0"/>
        <w:spacing w:after="0" w:line="360" w:lineRule="auto"/>
        <w:jc w:val="both"/>
        <w:rPr>
          <w:rFonts w:ascii="Book Antiqua" w:hAnsi="Book Antiqua"/>
          <w:sz w:val="24"/>
          <w:szCs w:val="24"/>
        </w:rPr>
      </w:pPr>
      <w:r w:rsidRPr="00BF2AAC">
        <w:rPr>
          <w:rFonts w:ascii="Book Antiqua" w:hAnsi="Book Antiqua"/>
          <w:sz w:val="24"/>
          <w:szCs w:val="24"/>
        </w:rPr>
        <w:br w:type="page"/>
      </w:r>
    </w:p>
    <w:p w14:paraId="6DB42385" w14:textId="652DAAF9" w:rsidR="00711D84" w:rsidRPr="00BF2AAC" w:rsidRDefault="00693A14" w:rsidP="00BF2AAC">
      <w:pPr>
        <w:adjustRightInd w:val="0"/>
        <w:snapToGrid w:val="0"/>
        <w:spacing w:after="0" w:line="360" w:lineRule="auto"/>
        <w:jc w:val="both"/>
        <w:rPr>
          <w:rFonts w:ascii="Book Antiqua" w:hAnsi="Book Antiqua"/>
          <w:sz w:val="24"/>
          <w:szCs w:val="24"/>
        </w:rPr>
      </w:pPr>
      <w:r w:rsidRPr="00BF2AAC">
        <w:rPr>
          <w:rFonts w:ascii="Book Antiqua" w:hAnsi="Book Antiqua"/>
          <w:noProof/>
          <w:sz w:val="24"/>
          <w:szCs w:val="24"/>
          <w:lang w:eastAsia="zh-CN"/>
        </w:rPr>
        <w:lastRenderedPageBreak/>
        <w:drawing>
          <wp:anchor distT="0" distB="0" distL="114300" distR="114300" simplePos="0" relativeHeight="251661312" behindDoc="0" locked="0" layoutInCell="1" allowOverlap="1" wp14:anchorId="66A7BE86" wp14:editId="1F430A08">
            <wp:simplePos x="0" y="0"/>
            <wp:positionH relativeFrom="margin">
              <wp:align>center</wp:align>
            </wp:positionH>
            <wp:positionV relativeFrom="paragraph">
              <wp:posOffset>180340</wp:posOffset>
            </wp:positionV>
            <wp:extent cx="5320665" cy="431990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20800" cy="4320000"/>
                    </a:xfrm>
                    <a:prstGeom prst="rect">
                      <a:avLst/>
                    </a:prstGeom>
                  </pic:spPr>
                </pic:pic>
              </a:graphicData>
            </a:graphic>
            <wp14:sizeRelH relativeFrom="margin">
              <wp14:pctWidth>0</wp14:pctWidth>
            </wp14:sizeRelH>
            <wp14:sizeRelV relativeFrom="margin">
              <wp14:pctHeight>0</wp14:pctHeight>
            </wp14:sizeRelV>
          </wp:anchor>
        </w:drawing>
      </w:r>
      <w:r w:rsidR="00315505" w:rsidRPr="00BF2AAC">
        <w:rPr>
          <w:rFonts w:ascii="Book Antiqua" w:hAnsi="Book Antiqua"/>
          <w:b/>
          <w:sz w:val="24"/>
          <w:szCs w:val="24"/>
        </w:rPr>
        <w:t>Figure 3</w:t>
      </w:r>
      <w:r w:rsidR="00315505" w:rsidRPr="00BF2AAC">
        <w:rPr>
          <w:rFonts w:ascii="Book Antiqua" w:hAnsi="Book Antiqua"/>
          <w:sz w:val="24"/>
          <w:szCs w:val="24"/>
        </w:rPr>
        <w:t xml:space="preserve"> </w:t>
      </w:r>
      <w:r w:rsidR="00315505" w:rsidRPr="00BF2AAC">
        <w:rPr>
          <w:rFonts w:ascii="Book Antiqua" w:hAnsi="Book Antiqua"/>
          <w:b/>
          <w:sz w:val="24"/>
          <w:szCs w:val="24"/>
        </w:rPr>
        <w:t xml:space="preserve">Kaplan-Meier disease-specific survival curve of all patients treated </w:t>
      </w:r>
      <w:bookmarkStart w:id="130" w:name="_GoBack"/>
      <w:bookmarkEnd w:id="130"/>
      <w:r w:rsidR="00315505" w:rsidRPr="00BF2AAC">
        <w:rPr>
          <w:rFonts w:ascii="Book Antiqua" w:hAnsi="Book Antiqua"/>
          <w:b/>
          <w:sz w:val="24"/>
          <w:szCs w:val="24"/>
        </w:rPr>
        <w:t>conservatively and surgically.</w:t>
      </w:r>
      <w:r w:rsidR="00315505" w:rsidRPr="00BF2AAC">
        <w:rPr>
          <w:rFonts w:ascii="Book Antiqua" w:hAnsi="Book Antiqua"/>
          <w:sz w:val="24"/>
          <w:szCs w:val="24"/>
        </w:rPr>
        <w:t xml:space="preserve"> There was no statistically significant difference (excluded were 10 patients from conser</w:t>
      </w:r>
      <w:r w:rsidR="002657E4">
        <w:rPr>
          <w:rFonts w:ascii="Book Antiqua" w:hAnsi="Book Antiqua"/>
          <w:sz w:val="24"/>
          <w:szCs w:val="24"/>
        </w:rPr>
        <w:t>vative group who died of non-</w:t>
      </w:r>
      <w:r w:rsidR="002657E4" w:rsidRPr="00BF2AAC">
        <w:rPr>
          <w:rFonts w:ascii="Book Antiqua" w:hAnsi="Book Antiqua"/>
          <w:sz w:val="24"/>
          <w:szCs w:val="24"/>
        </w:rPr>
        <w:t>o</w:t>
      </w:r>
      <w:r w:rsidR="002657E4" w:rsidRPr="00BF2AAC">
        <w:rPr>
          <w:rFonts w:ascii="Book Antiqua" w:hAnsi="Book Antiqua"/>
          <w:sz w:val="24"/>
          <w:szCs w:val="24"/>
        </w:rPr>
        <w:t>esophageal adenocarcinoma</w:t>
      </w:r>
      <w:r w:rsidR="00315505" w:rsidRPr="00BF2AAC">
        <w:rPr>
          <w:rFonts w:ascii="Book Antiqua" w:hAnsi="Book Antiqua"/>
          <w:sz w:val="24"/>
          <w:szCs w:val="24"/>
        </w:rPr>
        <w:t>-related cause).</w:t>
      </w:r>
      <w:r w:rsidR="009C069D" w:rsidRPr="00BF2AAC">
        <w:rPr>
          <w:rFonts w:ascii="Book Antiqua" w:hAnsi="Book Antiqua"/>
          <w:sz w:val="24"/>
          <w:szCs w:val="24"/>
        </w:rPr>
        <w:t xml:space="preserve"> </w:t>
      </w:r>
    </w:p>
    <w:p w14:paraId="32C38E38" w14:textId="77777777" w:rsidR="00711D84" w:rsidRPr="00BF2AAC" w:rsidRDefault="00711D84" w:rsidP="00BF2AAC">
      <w:pPr>
        <w:adjustRightInd w:val="0"/>
        <w:snapToGrid w:val="0"/>
        <w:spacing w:after="0" w:line="360" w:lineRule="auto"/>
        <w:jc w:val="both"/>
        <w:rPr>
          <w:rFonts w:ascii="Book Antiqua" w:hAnsi="Book Antiqua"/>
          <w:sz w:val="24"/>
          <w:szCs w:val="24"/>
        </w:rPr>
      </w:pPr>
      <w:r w:rsidRPr="00BF2AAC">
        <w:rPr>
          <w:rFonts w:ascii="Book Antiqua" w:hAnsi="Book Antiqua"/>
          <w:sz w:val="24"/>
          <w:szCs w:val="24"/>
        </w:rPr>
        <w:br w:type="page"/>
      </w:r>
    </w:p>
    <w:p w14:paraId="06C10211" w14:textId="6AF5687C" w:rsidR="000F100C" w:rsidRPr="00BF2AAC" w:rsidRDefault="009C069D" w:rsidP="00BF2AAC">
      <w:pPr>
        <w:adjustRightInd w:val="0"/>
        <w:snapToGrid w:val="0"/>
        <w:spacing w:after="0" w:line="360" w:lineRule="auto"/>
        <w:jc w:val="both"/>
        <w:rPr>
          <w:rFonts w:ascii="Book Antiqua" w:hAnsi="Book Antiqua"/>
          <w:sz w:val="24"/>
          <w:szCs w:val="24"/>
        </w:rPr>
      </w:pPr>
      <w:r w:rsidRPr="00BF2AAC">
        <w:rPr>
          <w:rFonts w:ascii="Book Antiqua" w:hAnsi="Book Antiqua"/>
          <w:b/>
          <w:noProof/>
          <w:sz w:val="24"/>
          <w:szCs w:val="24"/>
          <w:lang w:eastAsia="zh-CN"/>
        </w:rPr>
        <w:lastRenderedPageBreak/>
        <w:drawing>
          <wp:anchor distT="0" distB="0" distL="114300" distR="114300" simplePos="0" relativeHeight="251660288" behindDoc="0" locked="0" layoutInCell="1" allowOverlap="1" wp14:anchorId="1070356F" wp14:editId="0772DC5A">
            <wp:simplePos x="0" y="0"/>
            <wp:positionH relativeFrom="margin">
              <wp:posOffset>163830</wp:posOffset>
            </wp:positionH>
            <wp:positionV relativeFrom="paragraph">
              <wp:posOffset>112395</wp:posOffset>
            </wp:positionV>
            <wp:extent cx="5172710" cy="4319905"/>
            <wp:effectExtent l="0" t="0" r="889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710" cy="4319905"/>
                    </a:xfrm>
                    <a:prstGeom prst="rect">
                      <a:avLst/>
                    </a:prstGeom>
                  </pic:spPr>
                </pic:pic>
              </a:graphicData>
            </a:graphic>
            <wp14:sizeRelH relativeFrom="margin">
              <wp14:pctWidth>0</wp14:pctWidth>
            </wp14:sizeRelH>
            <wp14:sizeRelV relativeFrom="margin">
              <wp14:pctHeight>0</wp14:pctHeight>
            </wp14:sizeRelV>
          </wp:anchor>
        </w:drawing>
      </w:r>
      <w:r w:rsidRPr="00BF2AAC">
        <w:rPr>
          <w:rFonts w:ascii="Book Antiqua" w:hAnsi="Book Antiqua"/>
          <w:b/>
          <w:sz w:val="24"/>
          <w:szCs w:val="24"/>
        </w:rPr>
        <w:t>Figure 4 Kaplan-Meier disease-specific survival curve of patients with high-risk tumours treated conservatively and surgically (excluded were 7 patients from high-risk-conservative group who died of non-</w:t>
      </w:r>
      <w:r w:rsidRPr="00BF2AAC">
        <w:rPr>
          <w:rFonts w:ascii="Book Antiqua" w:hAnsi="Book Antiqua" w:cs="Times New Roman"/>
          <w:b/>
          <w:sz w:val="24"/>
          <w:szCs w:val="24"/>
          <w:lang w:val="en-GB"/>
        </w:rPr>
        <w:t>oesophageal adenocarcinoma</w:t>
      </w:r>
      <w:r w:rsidRPr="00BF2AAC">
        <w:rPr>
          <w:rFonts w:ascii="Book Antiqua" w:hAnsi="Book Antiqua"/>
          <w:b/>
          <w:sz w:val="24"/>
          <w:szCs w:val="24"/>
        </w:rPr>
        <w:t xml:space="preserve">-related cause). </w:t>
      </w:r>
      <w:r w:rsidRPr="00BF2AAC">
        <w:rPr>
          <w:rFonts w:ascii="Book Antiqua" w:hAnsi="Book Antiqua"/>
          <w:sz w:val="24"/>
          <w:szCs w:val="24"/>
        </w:rPr>
        <w:t xml:space="preserve">There was no statistically significant difference, although a trend towards a better survival of surgery patients is observed. </w:t>
      </w:r>
    </w:p>
    <w:sectPr w:rsidR="000F100C" w:rsidRPr="00BF2AAC" w:rsidSect="00711D84">
      <w:footerReference w:type="even" r:id="rId13"/>
      <w:footerReference w:type="default" r:id="rId14"/>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252CC0" w14:textId="77777777" w:rsidR="00DE0586" w:rsidRDefault="00DE0586">
      <w:pPr>
        <w:spacing w:after="0" w:line="240" w:lineRule="auto"/>
      </w:pPr>
      <w:r>
        <w:separator/>
      </w:r>
    </w:p>
  </w:endnote>
  <w:endnote w:type="continuationSeparator" w:id="0">
    <w:p w14:paraId="0F0304F3" w14:textId="77777777" w:rsidR="00DE0586" w:rsidRDefault="00DE0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YouYuan">
    <w:altName w:val="宋体"/>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93C62" w14:textId="77777777" w:rsidR="00F454EF" w:rsidRDefault="00F454EF" w:rsidP="00711D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5E452F" w14:textId="77777777" w:rsidR="00F454EF" w:rsidRDefault="00F454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94D52" w14:textId="77777777" w:rsidR="00F454EF" w:rsidRPr="00B9245B" w:rsidRDefault="00F454EF" w:rsidP="00711D84">
    <w:pPr>
      <w:pStyle w:val="Footer"/>
      <w:framePr w:wrap="around" w:vAnchor="text" w:hAnchor="margin" w:xAlign="center" w:y="1"/>
      <w:rPr>
        <w:rStyle w:val="PageNumber"/>
        <w:rFonts w:ascii="Calibri" w:hAnsi="Calibri"/>
        <w:sz w:val="18"/>
        <w:szCs w:val="18"/>
      </w:rPr>
    </w:pPr>
    <w:r w:rsidRPr="00B9245B">
      <w:rPr>
        <w:rStyle w:val="PageNumber"/>
        <w:rFonts w:ascii="Calibri" w:hAnsi="Calibri"/>
        <w:sz w:val="18"/>
        <w:szCs w:val="18"/>
      </w:rPr>
      <w:fldChar w:fldCharType="begin"/>
    </w:r>
    <w:r w:rsidRPr="00B9245B">
      <w:rPr>
        <w:rStyle w:val="PageNumber"/>
        <w:rFonts w:ascii="Calibri" w:hAnsi="Calibri"/>
        <w:sz w:val="18"/>
        <w:szCs w:val="18"/>
      </w:rPr>
      <w:instrText xml:space="preserve">PAGE  </w:instrText>
    </w:r>
    <w:r w:rsidRPr="00B9245B">
      <w:rPr>
        <w:rStyle w:val="PageNumber"/>
        <w:rFonts w:ascii="Calibri" w:hAnsi="Calibri"/>
        <w:sz w:val="18"/>
        <w:szCs w:val="18"/>
      </w:rPr>
      <w:fldChar w:fldCharType="separate"/>
    </w:r>
    <w:r w:rsidR="0062067E">
      <w:rPr>
        <w:rStyle w:val="PageNumber"/>
        <w:rFonts w:ascii="Calibri" w:hAnsi="Calibri"/>
        <w:noProof/>
        <w:sz w:val="18"/>
        <w:szCs w:val="18"/>
      </w:rPr>
      <w:t>33</w:t>
    </w:r>
    <w:r w:rsidRPr="00B9245B">
      <w:rPr>
        <w:rStyle w:val="PageNumber"/>
        <w:rFonts w:ascii="Calibri" w:hAnsi="Calibri"/>
        <w:sz w:val="18"/>
        <w:szCs w:val="18"/>
      </w:rPr>
      <w:fldChar w:fldCharType="end"/>
    </w:r>
  </w:p>
  <w:p w14:paraId="473832CF" w14:textId="77777777" w:rsidR="00F454EF" w:rsidRPr="00B9245B" w:rsidRDefault="00F454EF">
    <w:pPr>
      <w:pStyle w:val="Footer"/>
      <w:rPr>
        <w:rFonts w:ascii="Calibri" w:hAnsi="Calibr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F9087" w14:textId="77777777" w:rsidR="00DE0586" w:rsidRDefault="00DE0586">
      <w:pPr>
        <w:spacing w:after="0" w:line="240" w:lineRule="auto"/>
      </w:pPr>
      <w:r>
        <w:separator/>
      </w:r>
    </w:p>
  </w:footnote>
  <w:footnote w:type="continuationSeparator" w:id="0">
    <w:p w14:paraId="724BE599" w14:textId="77777777" w:rsidR="00DE0586" w:rsidRDefault="00DE05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B473A"/>
    <w:multiLevelType w:val="hybridMultilevel"/>
    <w:tmpl w:val="8AB4B0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6569A"/>
    <w:multiLevelType w:val="hybridMultilevel"/>
    <w:tmpl w:val="BE9CF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F60E1"/>
    <w:multiLevelType w:val="hybridMultilevel"/>
    <w:tmpl w:val="D742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055BF"/>
    <w:multiLevelType w:val="hybridMultilevel"/>
    <w:tmpl w:val="7E16A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411D95"/>
    <w:multiLevelType w:val="hybridMultilevel"/>
    <w:tmpl w:val="3DAED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B6CF3"/>
    <w:multiLevelType w:val="hybridMultilevel"/>
    <w:tmpl w:val="F02E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60547A"/>
    <w:multiLevelType w:val="hybridMultilevel"/>
    <w:tmpl w:val="3D428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5F2A28"/>
    <w:multiLevelType w:val="hybridMultilevel"/>
    <w:tmpl w:val="CC0091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FD0897"/>
    <w:multiLevelType w:val="hybridMultilevel"/>
    <w:tmpl w:val="962A5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A350C7"/>
    <w:multiLevelType w:val="hybridMultilevel"/>
    <w:tmpl w:val="AC3611A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FC6678"/>
    <w:multiLevelType w:val="hybridMultilevel"/>
    <w:tmpl w:val="92403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D536AA"/>
    <w:multiLevelType w:val="hybridMultilevel"/>
    <w:tmpl w:val="9594B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AB6327"/>
    <w:multiLevelType w:val="hybridMultilevel"/>
    <w:tmpl w:val="16922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7E2303"/>
    <w:multiLevelType w:val="hybridMultilevel"/>
    <w:tmpl w:val="E990CB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8"/>
  </w:num>
  <w:num w:numId="4">
    <w:abstractNumId w:val="11"/>
  </w:num>
  <w:num w:numId="5">
    <w:abstractNumId w:val="4"/>
  </w:num>
  <w:num w:numId="6">
    <w:abstractNumId w:val="10"/>
  </w:num>
  <w:num w:numId="7">
    <w:abstractNumId w:val="2"/>
  </w:num>
  <w:num w:numId="8">
    <w:abstractNumId w:val="5"/>
  </w:num>
  <w:num w:numId="9">
    <w:abstractNumId w:val="3"/>
  </w:num>
  <w:num w:numId="10">
    <w:abstractNumId w:val="1"/>
  </w:num>
  <w:num w:numId="11">
    <w:abstractNumId w:val="0"/>
  </w:num>
  <w:num w:numId="12">
    <w:abstractNumId w:val="12"/>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D84"/>
    <w:rsid w:val="0001781A"/>
    <w:rsid w:val="000644D3"/>
    <w:rsid w:val="000650F3"/>
    <w:rsid w:val="00095222"/>
    <w:rsid w:val="000C45CE"/>
    <w:rsid w:val="000E2EE8"/>
    <w:rsid w:val="000F100C"/>
    <w:rsid w:val="001222D0"/>
    <w:rsid w:val="0017268F"/>
    <w:rsid w:val="00194DBD"/>
    <w:rsid w:val="00197215"/>
    <w:rsid w:val="001B2539"/>
    <w:rsid w:val="00224BE1"/>
    <w:rsid w:val="002649A2"/>
    <w:rsid w:val="002657E4"/>
    <w:rsid w:val="002910E4"/>
    <w:rsid w:val="002C68E5"/>
    <w:rsid w:val="002F5E12"/>
    <w:rsid w:val="00303EC6"/>
    <w:rsid w:val="00315505"/>
    <w:rsid w:val="00316626"/>
    <w:rsid w:val="00342745"/>
    <w:rsid w:val="00343FF2"/>
    <w:rsid w:val="003477C9"/>
    <w:rsid w:val="00353561"/>
    <w:rsid w:val="00375600"/>
    <w:rsid w:val="003876B6"/>
    <w:rsid w:val="003E7C3B"/>
    <w:rsid w:val="00400147"/>
    <w:rsid w:val="00407CFF"/>
    <w:rsid w:val="004112CE"/>
    <w:rsid w:val="00451DA5"/>
    <w:rsid w:val="00456EEA"/>
    <w:rsid w:val="0050405F"/>
    <w:rsid w:val="00506602"/>
    <w:rsid w:val="00540E7D"/>
    <w:rsid w:val="005503D3"/>
    <w:rsid w:val="00564443"/>
    <w:rsid w:val="00581FF0"/>
    <w:rsid w:val="005A27F2"/>
    <w:rsid w:val="005C4CDA"/>
    <w:rsid w:val="005E4C9C"/>
    <w:rsid w:val="00616EE5"/>
    <w:rsid w:val="0062067E"/>
    <w:rsid w:val="006251BE"/>
    <w:rsid w:val="00631587"/>
    <w:rsid w:val="00637ABE"/>
    <w:rsid w:val="00640C19"/>
    <w:rsid w:val="0068435F"/>
    <w:rsid w:val="00693A14"/>
    <w:rsid w:val="006B70A3"/>
    <w:rsid w:val="006C466C"/>
    <w:rsid w:val="006C78C9"/>
    <w:rsid w:val="006E40B5"/>
    <w:rsid w:val="00711D84"/>
    <w:rsid w:val="007D189D"/>
    <w:rsid w:val="008009F8"/>
    <w:rsid w:val="00847301"/>
    <w:rsid w:val="008547C4"/>
    <w:rsid w:val="008835C1"/>
    <w:rsid w:val="00903BF1"/>
    <w:rsid w:val="00906D40"/>
    <w:rsid w:val="00962A83"/>
    <w:rsid w:val="0097193E"/>
    <w:rsid w:val="009C069D"/>
    <w:rsid w:val="00A44AAB"/>
    <w:rsid w:val="00A55BE0"/>
    <w:rsid w:val="00A92964"/>
    <w:rsid w:val="00A92BE7"/>
    <w:rsid w:val="00AC667E"/>
    <w:rsid w:val="00B17A52"/>
    <w:rsid w:val="00B27BCC"/>
    <w:rsid w:val="00B35B41"/>
    <w:rsid w:val="00B8047A"/>
    <w:rsid w:val="00BA5B53"/>
    <w:rsid w:val="00BC1CD1"/>
    <w:rsid w:val="00BC538D"/>
    <w:rsid w:val="00BD6635"/>
    <w:rsid w:val="00BF2AAC"/>
    <w:rsid w:val="00C03C28"/>
    <w:rsid w:val="00C3030E"/>
    <w:rsid w:val="00C72946"/>
    <w:rsid w:val="00C72BC9"/>
    <w:rsid w:val="00C94EE0"/>
    <w:rsid w:val="00CA2396"/>
    <w:rsid w:val="00D035F1"/>
    <w:rsid w:val="00D31428"/>
    <w:rsid w:val="00D85190"/>
    <w:rsid w:val="00DA16F6"/>
    <w:rsid w:val="00DA2404"/>
    <w:rsid w:val="00DA785B"/>
    <w:rsid w:val="00DB610A"/>
    <w:rsid w:val="00DC63B8"/>
    <w:rsid w:val="00DE0586"/>
    <w:rsid w:val="00E4161F"/>
    <w:rsid w:val="00E43C72"/>
    <w:rsid w:val="00EA19E1"/>
    <w:rsid w:val="00EA74E7"/>
    <w:rsid w:val="00EC3981"/>
    <w:rsid w:val="00ED1353"/>
    <w:rsid w:val="00ED6DC3"/>
    <w:rsid w:val="00EE2AE0"/>
    <w:rsid w:val="00F15DDC"/>
    <w:rsid w:val="00F21C0C"/>
    <w:rsid w:val="00F44261"/>
    <w:rsid w:val="00F454EF"/>
    <w:rsid w:val="00F90DB4"/>
    <w:rsid w:val="00FC401C"/>
    <w:rsid w:val="00FD42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BE9D8"/>
  <w15:docId w15:val="{726FA0E6-026C-47EF-AD3D-1D266A298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D84"/>
    <w:pPr>
      <w:spacing w:after="200" w:line="276" w:lineRule="auto"/>
    </w:pPr>
    <w:rPr>
      <w:rFonts w:ascii="Times New Roman" w:hAnsi="Times New Roman"/>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D84"/>
    <w:pPr>
      <w:ind w:left="720"/>
      <w:contextualSpacing/>
    </w:pPr>
  </w:style>
  <w:style w:type="table" w:styleId="TableGrid">
    <w:name w:val="Table Grid"/>
    <w:basedOn w:val="TableNormal"/>
    <w:uiPriority w:val="59"/>
    <w:rsid w:val="00711D84"/>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11D84"/>
    <w:pPr>
      <w:spacing w:line="240" w:lineRule="auto"/>
    </w:pPr>
    <w:rPr>
      <w:b/>
      <w:bCs/>
      <w:color w:val="4472C4" w:themeColor="accent1"/>
      <w:sz w:val="18"/>
      <w:szCs w:val="18"/>
    </w:rPr>
  </w:style>
  <w:style w:type="paragraph" w:styleId="NormalWeb">
    <w:name w:val="Normal (Web)"/>
    <w:basedOn w:val="Normal"/>
    <w:uiPriority w:val="99"/>
    <w:unhideWhenUsed/>
    <w:rsid w:val="00711D84"/>
    <w:pPr>
      <w:spacing w:before="100" w:beforeAutospacing="1" w:after="100" w:afterAutospacing="1" w:line="240" w:lineRule="auto"/>
    </w:pPr>
    <w:rPr>
      <w:rFonts w:cs="Times New Roman"/>
      <w:sz w:val="24"/>
      <w:szCs w:val="24"/>
    </w:rPr>
  </w:style>
  <w:style w:type="paragraph" w:styleId="BalloonText">
    <w:name w:val="Balloon Text"/>
    <w:basedOn w:val="Normal"/>
    <w:link w:val="BalloonTextChar"/>
    <w:uiPriority w:val="99"/>
    <w:semiHidden/>
    <w:unhideWhenUsed/>
    <w:rsid w:val="0071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84"/>
    <w:rPr>
      <w:rFonts w:ascii="Tahoma" w:hAnsi="Tahoma" w:cs="Tahoma"/>
      <w:sz w:val="16"/>
      <w:szCs w:val="16"/>
      <w:lang w:val="en-US"/>
    </w:rPr>
  </w:style>
  <w:style w:type="paragraph" w:styleId="Header">
    <w:name w:val="header"/>
    <w:basedOn w:val="Normal"/>
    <w:link w:val="HeaderChar"/>
    <w:uiPriority w:val="99"/>
    <w:unhideWhenUsed/>
    <w:rsid w:val="00711D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1D84"/>
    <w:rPr>
      <w:rFonts w:ascii="Times New Roman" w:hAnsi="Times New Roman"/>
      <w:sz w:val="22"/>
      <w:szCs w:val="22"/>
      <w:lang w:val="en-US"/>
    </w:rPr>
  </w:style>
  <w:style w:type="paragraph" w:styleId="Footer">
    <w:name w:val="footer"/>
    <w:basedOn w:val="Normal"/>
    <w:link w:val="FooterChar"/>
    <w:uiPriority w:val="99"/>
    <w:unhideWhenUsed/>
    <w:rsid w:val="00711D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1D84"/>
    <w:rPr>
      <w:rFonts w:ascii="Times New Roman" w:hAnsi="Times New Roman"/>
      <w:sz w:val="22"/>
      <w:szCs w:val="22"/>
      <w:lang w:val="en-US"/>
    </w:rPr>
  </w:style>
  <w:style w:type="character" w:styleId="CommentReference">
    <w:name w:val="annotation reference"/>
    <w:basedOn w:val="DefaultParagraphFont"/>
    <w:uiPriority w:val="99"/>
    <w:semiHidden/>
    <w:unhideWhenUsed/>
    <w:rsid w:val="00711D84"/>
    <w:rPr>
      <w:sz w:val="18"/>
      <w:szCs w:val="18"/>
    </w:rPr>
  </w:style>
  <w:style w:type="paragraph" w:styleId="CommentText">
    <w:name w:val="annotation text"/>
    <w:basedOn w:val="Normal"/>
    <w:link w:val="CommentTextChar"/>
    <w:uiPriority w:val="99"/>
    <w:semiHidden/>
    <w:unhideWhenUsed/>
    <w:rsid w:val="00711D84"/>
    <w:pPr>
      <w:spacing w:line="240" w:lineRule="auto"/>
    </w:pPr>
    <w:rPr>
      <w:sz w:val="24"/>
      <w:szCs w:val="24"/>
    </w:rPr>
  </w:style>
  <w:style w:type="character" w:customStyle="1" w:styleId="CommentTextChar">
    <w:name w:val="Comment Text Char"/>
    <w:basedOn w:val="DefaultParagraphFont"/>
    <w:link w:val="CommentText"/>
    <w:uiPriority w:val="99"/>
    <w:semiHidden/>
    <w:rsid w:val="00711D84"/>
    <w:rPr>
      <w:rFonts w:ascii="Times New Roman" w:hAnsi="Times New Roman"/>
      <w:lang w:val="en-US"/>
    </w:rPr>
  </w:style>
  <w:style w:type="character" w:customStyle="1" w:styleId="CommentSubjectChar">
    <w:name w:val="Comment Subject Char"/>
    <w:basedOn w:val="CommentTextChar"/>
    <w:link w:val="CommentSubject"/>
    <w:uiPriority w:val="99"/>
    <w:semiHidden/>
    <w:rsid w:val="00711D84"/>
    <w:rPr>
      <w:rFonts w:ascii="Times New Roman" w:hAnsi="Times New Roman"/>
      <w:b/>
      <w:bCs/>
      <w:sz w:val="20"/>
      <w:szCs w:val="20"/>
      <w:lang w:val="en-US"/>
    </w:rPr>
  </w:style>
  <w:style w:type="paragraph" w:styleId="CommentSubject">
    <w:name w:val="annotation subject"/>
    <w:basedOn w:val="CommentText"/>
    <w:next w:val="CommentText"/>
    <w:link w:val="CommentSubjectChar"/>
    <w:uiPriority w:val="99"/>
    <w:semiHidden/>
    <w:unhideWhenUsed/>
    <w:rsid w:val="00711D84"/>
    <w:rPr>
      <w:b/>
      <w:bCs/>
      <w:sz w:val="20"/>
      <w:szCs w:val="20"/>
    </w:rPr>
  </w:style>
  <w:style w:type="paragraph" w:styleId="EndnoteText">
    <w:name w:val="endnote text"/>
    <w:basedOn w:val="Normal"/>
    <w:link w:val="EndnoteTextChar"/>
    <w:uiPriority w:val="99"/>
    <w:unhideWhenUsed/>
    <w:rsid w:val="00711D84"/>
    <w:pPr>
      <w:spacing w:after="0" w:line="240" w:lineRule="auto"/>
    </w:pPr>
    <w:rPr>
      <w:sz w:val="24"/>
      <w:szCs w:val="24"/>
    </w:rPr>
  </w:style>
  <w:style w:type="character" w:customStyle="1" w:styleId="EndnoteTextChar">
    <w:name w:val="Endnote Text Char"/>
    <w:basedOn w:val="DefaultParagraphFont"/>
    <w:link w:val="EndnoteText"/>
    <w:uiPriority w:val="99"/>
    <w:rsid w:val="00711D84"/>
    <w:rPr>
      <w:rFonts w:ascii="Times New Roman" w:hAnsi="Times New Roman"/>
      <w:lang w:val="en-US"/>
    </w:rPr>
  </w:style>
  <w:style w:type="character" w:styleId="EndnoteReference">
    <w:name w:val="endnote reference"/>
    <w:basedOn w:val="DefaultParagraphFont"/>
    <w:uiPriority w:val="99"/>
    <w:unhideWhenUsed/>
    <w:rsid w:val="00711D84"/>
    <w:rPr>
      <w:vertAlign w:val="superscript"/>
    </w:rPr>
  </w:style>
  <w:style w:type="paragraph" w:customStyle="1" w:styleId="p1">
    <w:name w:val="p1"/>
    <w:basedOn w:val="Normal"/>
    <w:rsid w:val="00711D84"/>
    <w:pPr>
      <w:spacing w:after="0" w:line="240" w:lineRule="auto"/>
    </w:pPr>
    <w:rPr>
      <w:rFonts w:ascii="Times" w:hAnsi="Times" w:cs="Times New Roman"/>
      <w:sz w:val="15"/>
      <w:szCs w:val="15"/>
      <w:lang w:val="en-GB" w:eastAsia="en-GB"/>
    </w:rPr>
  </w:style>
  <w:style w:type="character" w:customStyle="1" w:styleId="apple-converted-space">
    <w:name w:val="apple-converted-space"/>
    <w:basedOn w:val="DefaultParagraphFont"/>
    <w:rsid w:val="00711D84"/>
  </w:style>
  <w:style w:type="paragraph" w:customStyle="1" w:styleId="EndNoteBibliographyTitle">
    <w:name w:val="EndNote Bibliography Title"/>
    <w:basedOn w:val="Normal"/>
    <w:rsid w:val="00711D84"/>
    <w:pPr>
      <w:spacing w:after="0"/>
      <w:jc w:val="center"/>
    </w:pPr>
    <w:rPr>
      <w:rFonts w:cs="Times New Roman"/>
    </w:rPr>
  </w:style>
  <w:style w:type="paragraph" w:customStyle="1" w:styleId="EndNoteBibliography">
    <w:name w:val="EndNote Bibliography"/>
    <w:basedOn w:val="Normal"/>
    <w:rsid w:val="00711D84"/>
    <w:pPr>
      <w:spacing w:line="240" w:lineRule="auto"/>
    </w:pPr>
    <w:rPr>
      <w:rFonts w:cs="Times New Roman"/>
    </w:rPr>
  </w:style>
  <w:style w:type="character" w:styleId="PageNumber">
    <w:name w:val="page number"/>
    <w:basedOn w:val="DefaultParagraphFont"/>
    <w:uiPriority w:val="99"/>
    <w:semiHidden/>
    <w:unhideWhenUsed/>
    <w:rsid w:val="00711D84"/>
  </w:style>
  <w:style w:type="character" w:styleId="Hyperlink">
    <w:name w:val="Hyperlink"/>
    <w:basedOn w:val="DefaultParagraphFont"/>
    <w:uiPriority w:val="99"/>
    <w:unhideWhenUsed/>
    <w:rsid w:val="00711D84"/>
    <w:rPr>
      <w:color w:val="0563C1" w:themeColor="hyperlink"/>
      <w:u w:val="single"/>
    </w:rPr>
  </w:style>
  <w:style w:type="character" w:customStyle="1" w:styleId="DocumentMapChar">
    <w:name w:val="Document Map Char"/>
    <w:basedOn w:val="DefaultParagraphFont"/>
    <w:link w:val="DocumentMap"/>
    <w:uiPriority w:val="99"/>
    <w:semiHidden/>
    <w:rsid w:val="00711D84"/>
    <w:rPr>
      <w:rFonts w:ascii="Lucida Grande" w:hAnsi="Lucida Grande" w:cs="Lucida Grande"/>
      <w:lang w:val="en-US"/>
    </w:rPr>
  </w:style>
  <w:style w:type="paragraph" w:styleId="DocumentMap">
    <w:name w:val="Document Map"/>
    <w:basedOn w:val="Normal"/>
    <w:link w:val="DocumentMapChar"/>
    <w:uiPriority w:val="99"/>
    <w:semiHidden/>
    <w:unhideWhenUsed/>
    <w:rsid w:val="00711D84"/>
    <w:pPr>
      <w:spacing w:after="0" w:line="240" w:lineRule="auto"/>
    </w:pPr>
    <w:rPr>
      <w:rFonts w:ascii="Lucida Grande" w:hAnsi="Lucida Grande" w:cs="Lucida Grande"/>
      <w:sz w:val="24"/>
      <w:szCs w:val="24"/>
    </w:rPr>
  </w:style>
  <w:style w:type="character" w:customStyle="1" w:styleId="UnresolvedMention">
    <w:name w:val="Unresolved Mention"/>
    <w:basedOn w:val="DefaultParagraphFont"/>
    <w:uiPriority w:val="99"/>
    <w:rsid w:val="00ED1353"/>
    <w:rPr>
      <w:color w:val="605E5C"/>
      <w:shd w:val="clear" w:color="auto" w:fill="E1DFDD"/>
    </w:rPr>
  </w:style>
  <w:style w:type="paragraph" w:customStyle="1" w:styleId="1">
    <w:name w:val="正文1"/>
    <w:uiPriority w:val="99"/>
    <w:rsid w:val="006C466C"/>
    <w:pPr>
      <w:spacing w:line="276" w:lineRule="auto"/>
    </w:pPr>
    <w:rPr>
      <w:rFonts w:ascii="Arial" w:eastAsia="SimSun" w:hAnsi="Arial" w:cs="Arial"/>
      <w:color w:val="000000"/>
      <w:sz w:val="22"/>
      <w:szCs w:val="20"/>
      <w:lang w:val="pl-PL" w:eastAsia="pl-PL"/>
    </w:rPr>
  </w:style>
  <w:style w:type="paragraph" w:styleId="Revision">
    <w:name w:val="Revision"/>
    <w:hidden/>
    <w:uiPriority w:val="99"/>
    <w:semiHidden/>
    <w:rsid w:val="000650F3"/>
    <w:rPr>
      <w:rFonts w:ascii="Times New Roman" w:hAnsi="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211160">
      <w:bodyDiv w:val="1"/>
      <w:marLeft w:val="0"/>
      <w:marRight w:val="0"/>
      <w:marTop w:val="0"/>
      <w:marBottom w:val="0"/>
      <w:divBdr>
        <w:top w:val="none" w:sz="0" w:space="0" w:color="auto"/>
        <w:left w:val="none" w:sz="0" w:space="0" w:color="auto"/>
        <w:bottom w:val="none" w:sz="0" w:space="0" w:color="auto"/>
        <w:right w:val="none" w:sz="0" w:space="0" w:color="auto"/>
      </w:divBdr>
    </w:div>
    <w:div w:id="267398213">
      <w:bodyDiv w:val="1"/>
      <w:marLeft w:val="0"/>
      <w:marRight w:val="0"/>
      <w:marTop w:val="0"/>
      <w:marBottom w:val="0"/>
      <w:divBdr>
        <w:top w:val="none" w:sz="0" w:space="0" w:color="auto"/>
        <w:left w:val="none" w:sz="0" w:space="0" w:color="auto"/>
        <w:bottom w:val="none" w:sz="0" w:space="0" w:color="auto"/>
        <w:right w:val="none" w:sz="0" w:space="0" w:color="auto"/>
      </w:divBdr>
    </w:div>
    <w:div w:id="306591657">
      <w:bodyDiv w:val="1"/>
      <w:marLeft w:val="0"/>
      <w:marRight w:val="0"/>
      <w:marTop w:val="0"/>
      <w:marBottom w:val="0"/>
      <w:divBdr>
        <w:top w:val="none" w:sz="0" w:space="0" w:color="auto"/>
        <w:left w:val="none" w:sz="0" w:space="0" w:color="auto"/>
        <w:bottom w:val="none" w:sz="0" w:space="0" w:color="auto"/>
        <w:right w:val="none" w:sz="0" w:space="0" w:color="auto"/>
      </w:divBdr>
    </w:div>
    <w:div w:id="358556899">
      <w:bodyDiv w:val="1"/>
      <w:marLeft w:val="0"/>
      <w:marRight w:val="0"/>
      <w:marTop w:val="0"/>
      <w:marBottom w:val="0"/>
      <w:divBdr>
        <w:top w:val="none" w:sz="0" w:space="0" w:color="auto"/>
        <w:left w:val="none" w:sz="0" w:space="0" w:color="auto"/>
        <w:bottom w:val="none" w:sz="0" w:space="0" w:color="auto"/>
        <w:right w:val="none" w:sz="0" w:space="0" w:color="auto"/>
      </w:divBdr>
    </w:div>
    <w:div w:id="363794360">
      <w:bodyDiv w:val="1"/>
      <w:marLeft w:val="0"/>
      <w:marRight w:val="0"/>
      <w:marTop w:val="0"/>
      <w:marBottom w:val="0"/>
      <w:divBdr>
        <w:top w:val="none" w:sz="0" w:space="0" w:color="auto"/>
        <w:left w:val="none" w:sz="0" w:space="0" w:color="auto"/>
        <w:bottom w:val="none" w:sz="0" w:space="0" w:color="auto"/>
        <w:right w:val="none" w:sz="0" w:space="0" w:color="auto"/>
      </w:divBdr>
    </w:div>
    <w:div w:id="440223579">
      <w:bodyDiv w:val="1"/>
      <w:marLeft w:val="0"/>
      <w:marRight w:val="0"/>
      <w:marTop w:val="0"/>
      <w:marBottom w:val="0"/>
      <w:divBdr>
        <w:top w:val="none" w:sz="0" w:space="0" w:color="auto"/>
        <w:left w:val="none" w:sz="0" w:space="0" w:color="auto"/>
        <w:bottom w:val="none" w:sz="0" w:space="0" w:color="auto"/>
        <w:right w:val="none" w:sz="0" w:space="0" w:color="auto"/>
      </w:divBdr>
    </w:div>
    <w:div w:id="550309627">
      <w:bodyDiv w:val="1"/>
      <w:marLeft w:val="0"/>
      <w:marRight w:val="0"/>
      <w:marTop w:val="0"/>
      <w:marBottom w:val="0"/>
      <w:divBdr>
        <w:top w:val="none" w:sz="0" w:space="0" w:color="auto"/>
        <w:left w:val="none" w:sz="0" w:space="0" w:color="auto"/>
        <w:bottom w:val="none" w:sz="0" w:space="0" w:color="auto"/>
        <w:right w:val="none" w:sz="0" w:space="0" w:color="auto"/>
      </w:divBdr>
    </w:div>
    <w:div w:id="553784393">
      <w:bodyDiv w:val="1"/>
      <w:marLeft w:val="0"/>
      <w:marRight w:val="0"/>
      <w:marTop w:val="0"/>
      <w:marBottom w:val="0"/>
      <w:divBdr>
        <w:top w:val="none" w:sz="0" w:space="0" w:color="auto"/>
        <w:left w:val="none" w:sz="0" w:space="0" w:color="auto"/>
        <w:bottom w:val="none" w:sz="0" w:space="0" w:color="auto"/>
        <w:right w:val="none" w:sz="0" w:space="0" w:color="auto"/>
      </w:divBdr>
    </w:div>
    <w:div w:id="744373063">
      <w:bodyDiv w:val="1"/>
      <w:marLeft w:val="0"/>
      <w:marRight w:val="0"/>
      <w:marTop w:val="0"/>
      <w:marBottom w:val="0"/>
      <w:divBdr>
        <w:top w:val="none" w:sz="0" w:space="0" w:color="auto"/>
        <w:left w:val="none" w:sz="0" w:space="0" w:color="auto"/>
        <w:bottom w:val="none" w:sz="0" w:space="0" w:color="auto"/>
        <w:right w:val="none" w:sz="0" w:space="0" w:color="auto"/>
      </w:divBdr>
    </w:div>
    <w:div w:id="795100873">
      <w:bodyDiv w:val="1"/>
      <w:marLeft w:val="0"/>
      <w:marRight w:val="0"/>
      <w:marTop w:val="0"/>
      <w:marBottom w:val="0"/>
      <w:divBdr>
        <w:top w:val="none" w:sz="0" w:space="0" w:color="auto"/>
        <w:left w:val="none" w:sz="0" w:space="0" w:color="auto"/>
        <w:bottom w:val="none" w:sz="0" w:space="0" w:color="auto"/>
        <w:right w:val="none" w:sz="0" w:space="0" w:color="auto"/>
      </w:divBdr>
    </w:div>
    <w:div w:id="823353026">
      <w:bodyDiv w:val="1"/>
      <w:marLeft w:val="0"/>
      <w:marRight w:val="0"/>
      <w:marTop w:val="0"/>
      <w:marBottom w:val="0"/>
      <w:divBdr>
        <w:top w:val="none" w:sz="0" w:space="0" w:color="auto"/>
        <w:left w:val="none" w:sz="0" w:space="0" w:color="auto"/>
        <w:bottom w:val="none" w:sz="0" w:space="0" w:color="auto"/>
        <w:right w:val="none" w:sz="0" w:space="0" w:color="auto"/>
      </w:divBdr>
    </w:div>
    <w:div w:id="922489201">
      <w:bodyDiv w:val="1"/>
      <w:marLeft w:val="0"/>
      <w:marRight w:val="0"/>
      <w:marTop w:val="0"/>
      <w:marBottom w:val="0"/>
      <w:divBdr>
        <w:top w:val="none" w:sz="0" w:space="0" w:color="auto"/>
        <w:left w:val="none" w:sz="0" w:space="0" w:color="auto"/>
        <w:bottom w:val="none" w:sz="0" w:space="0" w:color="auto"/>
        <w:right w:val="none" w:sz="0" w:space="0" w:color="auto"/>
      </w:divBdr>
    </w:div>
    <w:div w:id="945623398">
      <w:bodyDiv w:val="1"/>
      <w:marLeft w:val="0"/>
      <w:marRight w:val="0"/>
      <w:marTop w:val="0"/>
      <w:marBottom w:val="0"/>
      <w:divBdr>
        <w:top w:val="none" w:sz="0" w:space="0" w:color="auto"/>
        <w:left w:val="none" w:sz="0" w:space="0" w:color="auto"/>
        <w:bottom w:val="none" w:sz="0" w:space="0" w:color="auto"/>
        <w:right w:val="none" w:sz="0" w:space="0" w:color="auto"/>
      </w:divBdr>
    </w:div>
    <w:div w:id="990253504">
      <w:bodyDiv w:val="1"/>
      <w:marLeft w:val="0"/>
      <w:marRight w:val="0"/>
      <w:marTop w:val="0"/>
      <w:marBottom w:val="0"/>
      <w:divBdr>
        <w:top w:val="none" w:sz="0" w:space="0" w:color="auto"/>
        <w:left w:val="none" w:sz="0" w:space="0" w:color="auto"/>
        <w:bottom w:val="none" w:sz="0" w:space="0" w:color="auto"/>
        <w:right w:val="none" w:sz="0" w:space="0" w:color="auto"/>
      </w:divBdr>
    </w:div>
    <w:div w:id="1051225122">
      <w:bodyDiv w:val="1"/>
      <w:marLeft w:val="0"/>
      <w:marRight w:val="0"/>
      <w:marTop w:val="0"/>
      <w:marBottom w:val="0"/>
      <w:divBdr>
        <w:top w:val="none" w:sz="0" w:space="0" w:color="auto"/>
        <w:left w:val="none" w:sz="0" w:space="0" w:color="auto"/>
        <w:bottom w:val="none" w:sz="0" w:space="0" w:color="auto"/>
        <w:right w:val="none" w:sz="0" w:space="0" w:color="auto"/>
      </w:divBdr>
    </w:div>
    <w:div w:id="1080099630">
      <w:bodyDiv w:val="1"/>
      <w:marLeft w:val="0"/>
      <w:marRight w:val="0"/>
      <w:marTop w:val="0"/>
      <w:marBottom w:val="0"/>
      <w:divBdr>
        <w:top w:val="none" w:sz="0" w:space="0" w:color="auto"/>
        <w:left w:val="none" w:sz="0" w:space="0" w:color="auto"/>
        <w:bottom w:val="none" w:sz="0" w:space="0" w:color="auto"/>
        <w:right w:val="none" w:sz="0" w:space="0" w:color="auto"/>
      </w:divBdr>
    </w:div>
    <w:div w:id="1098018381">
      <w:bodyDiv w:val="1"/>
      <w:marLeft w:val="0"/>
      <w:marRight w:val="0"/>
      <w:marTop w:val="0"/>
      <w:marBottom w:val="0"/>
      <w:divBdr>
        <w:top w:val="none" w:sz="0" w:space="0" w:color="auto"/>
        <w:left w:val="none" w:sz="0" w:space="0" w:color="auto"/>
        <w:bottom w:val="none" w:sz="0" w:space="0" w:color="auto"/>
        <w:right w:val="none" w:sz="0" w:space="0" w:color="auto"/>
      </w:divBdr>
    </w:div>
    <w:div w:id="1123961874">
      <w:bodyDiv w:val="1"/>
      <w:marLeft w:val="0"/>
      <w:marRight w:val="0"/>
      <w:marTop w:val="0"/>
      <w:marBottom w:val="0"/>
      <w:divBdr>
        <w:top w:val="none" w:sz="0" w:space="0" w:color="auto"/>
        <w:left w:val="none" w:sz="0" w:space="0" w:color="auto"/>
        <w:bottom w:val="none" w:sz="0" w:space="0" w:color="auto"/>
        <w:right w:val="none" w:sz="0" w:space="0" w:color="auto"/>
      </w:divBdr>
    </w:div>
    <w:div w:id="1143503179">
      <w:bodyDiv w:val="1"/>
      <w:marLeft w:val="0"/>
      <w:marRight w:val="0"/>
      <w:marTop w:val="0"/>
      <w:marBottom w:val="0"/>
      <w:divBdr>
        <w:top w:val="none" w:sz="0" w:space="0" w:color="auto"/>
        <w:left w:val="none" w:sz="0" w:space="0" w:color="auto"/>
        <w:bottom w:val="none" w:sz="0" w:space="0" w:color="auto"/>
        <w:right w:val="none" w:sz="0" w:space="0" w:color="auto"/>
      </w:divBdr>
    </w:div>
    <w:div w:id="1230073486">
      <w:bodyDiv w:val="1"/>
      <w:marLeft w:val="0"/>
      <w:marRight w:val="0"/>
      <w:marTop w:val="0"/>
      <w:marBottom w:val="0"/>
      <w:divBdr>
        <w:top w:val="none" w:sz="0" w:space="0" w:color="auto"/>
        <w:left w:val="none" w:sz="0" w:space="0" w:color="auto"/>
        <w:bottom w:val="none" w:sz="0" w:space="0" w:color="auto"/>
        <w:right w:val="none" w:sz="0" w:space="0" w:color="auto"/>
      </w:divBdr>
    </w:div>
    <w:div w:id="1234315399">
      <w:bodyDiv w:val="1"/>
      <w:marLeft w:val="0"/>
      <w:marRight w:val="0"/>
      <w:marTop w:val="0"/>
      <w:marBottom w:val="0"/>
      <w:divBdr>
        <w:top w:val="none" w:sz="0" w:space="0" w:color="auto"/>
        <w:left w:val="none" w:sz="0" w:space="0" w:color="auto"/>
        <w:bottom w:val="none" w:sz="0" w:space="0" w:color="auto"/>
        <w:right w:val="none" w:sz="0" w:space="0" w:color="auto"/>
      </w:divBdr>
    </w:div>
    <w:div w:id="1351493524">
      <w:bodyDiv w:val="1"/>
      <w:marLeft w:val="0"/>
      <w:marRight w:val="0"/>
      <w:marTop w:val="0"/>
      <w:marBottom w:val="0"/>
      <w:divBdr>
        <w:top w:val="none" w:sz="0" w:space="0" w:color="auto"/>
        <w:left w:val="none" w:sz="0" w:space="0" w:color="auto"/>
        <w:bottom w:val="none" w:sz="0" w:space="0" w:color="auto"/>
        <w:right w:val="none" w:sz="0" w:space="0" w:color="auto"/>
      </w:divBdr>
    </w:div>
    <w:div w:id="1396317659">
      <w:bodyDiv w:val="1"/>
      <w:marLeft w:val="0"/>
      <w:marRight w:val="0"/>
      <w:marTop w:val="0"/>
      <w:marBottom w:val="0"/>
      <w:divBdr>
        <w:top w:val="none" w:sz="0" w:space="0" w:color="auto"/>
        <w:left w:val="none" w:sz="0" w:space="0" w:color="auto"/>
        <w:bottom w:val="none" w:sz="0" w:space="0" w:color="auto"/>
        <w:right w:val="none" w:sz="0" w:space="0" w:color="auto"/>
      </w:divBdr>
    </w:div>
    <w:div w:id="1443570020">
      <w:bodyDiv w:val="1"/>
      <w:marLeft w:val="0"/>
      <w:marRight w:val="0"/>
      <w:marTop w:val="0"/>
      <w:marBottom w:val="0"/>
      <w:divBdr>
        <w:top w:val="none" w:sz="0" w:space="0" w:color="auto"/>
        <w:left w:val="none" w:sz="0" w:space="0" w:color="auto"/>
        <w:bottom w:val="none" w:sz="0" w:space="0" w:color="auto"/>
        <w:right w:val="none" w:sz="0" w:space="0" w:color="auto"/>
      </w:divBdr>
    </w:div>
    <w:div w:id="1505899836">
      <w:bodyDiv w:val="1"/>
      <w:marLeft w:val="0"/>
      <w:marRight w:val="0"/>
      <w:marTop w:val="0"/>
      <w:marBottom w:val="0"/>
      <w:divBdr>
        <w:top w:val="none" w:sz="0" w:space="0" w:color="auto"/>
        <w:left w:val="none" w:sz="0" w:space="0" w:color="auto"/>
        <w:bottom w:val="none" w:sz="0" w:space="0" w:color="auto"/>
        <w:right w:val="none" w:sz="0" w:space="0" w:color="auto"/>
      </w:divBdr>
    </w:div>
    <w:div w:id="1525903248">
      <w:bodyDiv w:val="1"/>
      <w:marLeft w:val="0"/>
      <w:marRight w:val="0"/>
      <w:marTop w:val="0"/>
      <w:marBottom w:val="0"/>
      <w:divBdr>
        <w:top w:val="none" w:sz="0" w:space="0" w:color="auto"/>
        <w:left w:val="none" w:sz="0" w:space="0" w:color="auto"/>
        <w:bottom w:val="none" w:sz="0" w:space="0" w:color="auto"/>
        <w:right w:val="none" w:sz="0" w:space="0" w:color="auto"/>
      </w:divBdr>
    </w:div>
    <w:div w:id="1531990154">
      <w:bodyDiv w:val="1"/>
      <w:marLeft w:val="0"/>
      <w:marRight w:val="0"/>
      <w:marTop w:val="0"/>
      <w:marBottom w:val="0"/>
      <w:divBdr>
        <w:top w:val="none" w:sz="0" w:space="0" w:color="auto"/>
        <w:left w:val="none" w:sz="0" w:space="0" w:color="auto"/>
        <w:bottom w:val="none" w:sz="0" w:space="0" w:color="auto"/>
        <w:right w:val="none" w:sz="0" w:space="0" w:color="auto"/>
      </w:divBdr>
    </w:div>
    <w:div w:id="1706057249">
      <w:bodyDiv w:val="1"/>
      <w:marLeft w:val="0"/>
      <w:marRight w:val="0"/>
      <w:marTop w:val="0"/>
      <w:marBottom w:val="0"/>
      <w:divBdr>
        <w:top w:val="none" w:sz="0" w:space="0" w:color="auto"/>
        <w:left w:val="none" w:sz="0" w:space="0" w:color="auto"/>
        <w:bottom w:val="none" w:sz="0" w:space="0" w:color="auto"/>
        <w:right w:val="none" w:sz="0" w:space="0" w:color="auto"/>
      </w:divBdr>
    </w:div>
    <w:div w:id="1709407830">
      <w:bodyDiv w:val="1"/>
      <w:marLeft w:val="0"/>
      <w:marRight w:val="0"/>
      <w:marTop w:val="0"/>
      <w:marBottom w:val="0"/>
      <w:divBdr>
        <w:top w:val="none" w:sz="0" w:space="0" w:color="auto"/>
        <w:left w:val="none" w:sz="0" w:space="0" w:color="auto"/>
        <w:bottom w:val="none" w:sz="0" w:space="0" w:color="auto"/>
        <w:right w:val="none" w:sz="0" w:space="0" w:color="auto"/>
      </w:divBdr>
    </w:div>
    <w:div w:id="1781682343">
      <w:bodyDiv w:val="1"/>
      <w:marLeft w:val="0"/>
      <w:marRight w:val="0"/>
      <w:marTop w:val="0"/>
      <w:marBottom w:val="0"/>
      <w:divBdr>
        <w:top w:val="none" w:sz="0" w:space="0" w:color="auto"/>
        <w:left w:val="none" w:sz="0" w:space="0" w:color="auto"/>
        <w:bottom w:val="none" w:sz="0" w:space="0" w:color="auto"/>
        <w:right w:val="none" w:sz="0" w:space="0" w:color="auto"/>
      </w:divBdr>
    </w:div>
    <w:div w:id="1790926662">
      <w:bodyDiv w:val="1"/>
      <w:marLeft w:val="0"/>
      <w:marRight w:val="0"/>
      <w:marTop w:val="0"/>
      <w:marBottom w:val="0"/>
      <w:divBdr>
        <w:top w:val="none" w:sz="0" w:space="0" w:color="auto"/>
        <w:left w:val="none" w:sz="0" w:space="0" w:color="auto"/>
        <w:bottom w:val="none" w:sz="0" w:space="0" w:color="auto"/>
        <w:right w:val="none" w:sz="0" w:space="0" w:color="auto"/>
      </w:divBdr>
    </w:div>
    <w:div w:id="1857764867">
      <w:bodyDiv w:val="1"/>
      <w:marLeft w:val="0"/>
      <w:marRight w:val="0"/>
      <w:marTop w:val="0"/>
      <w:marBottom w:val="0"/>
      <w:divBdr>
        <w:top w:val="none" w:sz="0" w:space="0" w:color="auto"/>
        <w:left w:val="none" w:sz="0" w:space="0" w:color="auto"/>
        <w:bottom w:val="none" w:sz="0" w:space="0" w:color="auto"/>
        <w:right w:val="none" w:sz="0" w:space="0" w:color="auto"/>
      </w:divBdr>
    </w:div>
    <w:div w:id="193960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EBCDA-C40E-4075-9451-B02ED4D4C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26895</Words>
  <Characters>153302</Characters>
  <Application>Microsoft Office Word</Application>
  <DocSecurity>0</DocSecurity>
  <Lines>1277</Lines>
  <Paragraphs>359</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179838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Graham</dc:creator>
  <cp:keywords/>
  <dc:description/>
  <cp:lastModifiedBy>Na Ma</cp:lastModifiedBy>
  <cp:revision>3</cp:revision>
  <dcterms:created xsi:type="dcterms:W3CDTF">2018-10-15T17:29:00Z</dcterms:created>
  <dcterms:modified xsi:type="dcterms:W3CDTF">2018-10-15T17:29:00Z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fe74a3a7-1c56-3b88-9b24-caaf7b1599b9</vt:lpwstr>
  </property>
  <property fmtid="{D5CDD505-2E9C-101B-9397-08002B2CF9AE}" pid="4" name="Mendeley Citation Style_1">
    <vt:lpwstr>https://csl.mendeley.com/styles/58458991/JAMAallAuthors</vt:lpwstr>
  </property>
  <property fmtid="{D5CDD505-2E9C-101B-9397-08002B2CF9AE}" pid="5" name="Mendeley Recent Style Id 0_1">
    <vt:lpwstr>https://csl.mendeley.com/styles/58458991/JAMAallAuthors</vt:lpwstr>
  </property>
  <property fmtid="{D5CDD505-2E9C-101B-9397-08002B2CF9AE}" pid="6" name="Mendeley Recent Style Name 0_1">
    <vt:lpwstr>American Medical Association - James Howard</vt:lpwstr>
  </property>
  <property fmtid="{D5CDD505-2E9C-101B-9397-08002B2CF9AE}" pid="7" name="Mendeley Recent Style Id 1_1">
    <vt:lpwstr>http://csl.mendeley.com/styles/58458991/JAMAallAuthors</vt:lpwstr>
  </property>
  <property fmtid="{D5CDD505-2E9C-101B-9397-08002B2CF9AE}" pid="8" name="Mendeley Recent Style Name 1_1">
    <vt:lpwstr>American Medical Association - James Howard</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http://www.zotero.org/styles/circulation</vt:lpwstr>
  </property>
  <property fmtid="{D5CDD505-2E9C-101B-9397-08002B2CF9AE}" pid="16" name="Mendeley Recent Style Name 5_1">
    <vt:lpwstr>Circulation</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http://www.zotero.org/styles/jama</vt:lpwstr>
  </property>
  <property fmtid="{D5CDD505-2E9C-101B-9397-08002B2CF9AE}" pid="22" name="Mendeley Recent Style Name 8_1">
    <vt:lpwstr>JAMA (The Journal of the American Medical Association)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