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72" w:rsidRPr="00313BA1" w:rsidRDefault="00E91C72" w:rsidP="00313BA1">
      <w:pPr>
        <w:pStyle w:val="NoSpacing"/>
        <w:spacing w:line="360" w:lineRule="auto"/>
        <w:ind w:right="-565"/>
        <w:jc w:val="both"/>
        <w:rPr>
          <w:rFonts w:ascii="Book Antiqua" w:hAnsi="Book Antiqua" w:cs="Arial"/>
          <w:b/>
          <w:i/>
          <w:sz w:val="24"/>
          <w:szCs w:val="24"/>
        </w:rPr>
      </w:pPr>
      <w:r w:rsidRPr="00313BA1">
        <w:rPr>
          <w:rFonts w:ascii="Book Antiqua" w:hAnsi="Book Antiqua"/>
          <w:b/>
          <w:iCs/>
          <w:sz w:val="24"/>
          <w:szCs w:val="24"/>
        </w:rPr>
        <w:t xml:space="preserve">Name of Journal: </w:t>
      </w:r>
      <w:r w:rsidRPr="00313BA1">
        <w:rPr>
          <w:rFonts w:ascii="Book Antiqua" w:hAnsi="Book Antiqua" w:cs="Arial"/>
          <w:b/>
          <w:i/>
          <w:sz w:val="24"/>
          <w:szCs w:val="24"/>
        </w:rPr>
        <w:t>World Journal of Clinical Cases</w:t>
      </w:r>
    </w:p>
    <w:p w:rsidR="00E91C72" w:rsidRPr="00313BA1" w:rsidRDefault="00E91C72" w:rsidP="00313BA1">
      <w:pPr>
        <w:pStyle w:val="NoSpacing"/>
        <w:spacing w:line="360" w:lineRule="auto"/>
        <w:ind w:right="-565"/>
        <w:jc w:val="both"/>
        <w:rPr>
          <w:rFonts w:ascii="Book Antiqua" w:hAnsi="Book Antiqua" w:cs="Arial"/>
          <w:b/>
          <w:sz w:val="24"/>
          <w:szCs w:val="24"/>
        </w:rPr>
      </w:pPr>
      <w:r w:rsidRPr="00313BA1">
        <w:rPr>
          <w:rFonts w:ascii="Book Antiqua" w:hAnsi="Book Antiqua" w:cs="Arial"/>
          <w:b/>
          <w:sz w:val="24"/>
          <w:szCs w:val="24"/>
        </w:rPr>
        <w:t>Manuscript NO:</w:t>
      </w:r>
      <w:r w:rsidRPr="00313BA1">
        <w:rPr>
          <w:rFonts w:ascii="Book Antiqua" w:hAnsi="Book Antiqua" w:cs="Arial"/>
          <w:sz w:val="24"/>
          <w:szCs w:val="24"/>
        </w:rPr>
        <w:t xml:space="preserve"> 40840</w:t>
      </w:r>
    </w:p>
    <w:p w:rsidR="00E91C72" w:rsidRPr="00313BA1" w:rsidRDefault="00E91C72" w:rsidP="00313BA1">
      <w:pPr>
        <w:pStyle w:val="NoSpacing"/>
        <w:spacing w:line="360" w:lineRule="auto"/>
        <w:ind w:right="-565"/>
        <w:jc w:val="both"/>
        <w:rPr>
          <w:rFonts w:ascii="Book Antiqua" w:hAnsi="Book Antiqua" w:cs="Arial"/>
          <w:b/>
          <w:sz w:val="24"/>
          <w:szCs w:val="24"/>
        </w:rPr>
      </w:pPr>
      <w:r w:rsidRPr="00313BA1">
        <w:rPr>
          <w:rFonts w:ascii="Book Antiqua" w:hAnsi="Book Antiqua" w:cs="Arial"/>
          <w:b/>
          <w:sz w:val="24"/>
          <w:szCs w:val="24"/>
        </w:rPr>
        <w:t xml:space="preserve">Manuscript Type: </w:t>
      </w:r>
      <w:r w:rsidRPr="00313BA1">
        <w:rPr>
          <w:rFonts w:ascii="Book Antiqua" w:hAnsi="Book Antiqua" w:cs="Arial"/>
          <w:sz w:val="24"/>
          <w:szCs w:val="24"/>
        </w:rPr>
        <w:t>CASE REPORT</w:t>
      </w:r>
    </w:p>
    <w:p w:rsidR="00E91C72" w:rsidRPr="00313BA1" w:rsidRDefault="00E91C72" w:rsidP="00313BA1">
      <w:pPr>
        <w:pStyle w:val="NoSpacing"/>
        <w:spacing w:line="360" w:lineRule="auto"/>
        <w:ind w:right="-565"/>
        <w:jc w:val="both"/>
        <w:rPr>
          <w:rFonts w:ascii="Book Antiqua" w:hAnsi="Book Antiqua" w:cs="Arial"/>
          <w:sz w:val="24"/>
          <w:szCs w:val="24"/>
        </w:rPr>
      </w:pPr>
    </w:p>
    <w:p w:rsidR="00E91C72" w:rsidRPr="00313BA1" w:rsidRDefault="00E91C72" w:rsidP="00313BA1">
      <w:pPr>
        <w:pStyle w:val="NoSpacing"/>
        <w:spacing w:line="360" w:lineRule="auto"/>
        <w:ind w:right="-565"/>
        <w:jc w:val="both"/>
        <w:rPr>
          <w:rFonts w:ascii="Book Antiqua" w:hAnsi="Book Antiqua" w:cs="Arial"/>
          <w:b/>
          <w:sz w:val="24"/>
          <w:szCs w:val="24"/>
        </w:rPr>
      </w:pPr>
      <w:r w:rsidRPr="00313BA1">
        <w:rPr>
          <w:rFonts w:ascii="Book Antiqua" w:hAnsi="Book Antiqua" w:cs="Arial"/>
          <w:b/>
          <w:sz w:val="24"/>
          <w:szCs w:val="24"/>
        </w:rPr>
        <w:t>Full-term pregnancy in breast cancer survivor with fertility preservation: A case report and review of literature</w:t>
      </w:r>
    </w:p>
    <w:p w:rsidR="00E91C72" w:rsidRPr="00313BA1" w:rsidRDefault="00E91C72" w:rsidP="00313BA1">
      <w:pPr>
        <w:pStyle w:val="NoSpacing"/>
        <w:spacing w:line="360" w:lineRule="auto"/>
        <w:ind w:right="-565"/>
        <w:jc w:val="both"/>
        <w:rPr>
          <w:rFonts w:ascii="Book Antiqua" w:hAnsi="Book Antiqua" w:cs="Arial"/>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sz w:val="24"/>
          <w:szCs w:val="24"/>
        </w:rPr>
        <w:t xml:space="preserve">Garrido-Marín </w:t>
      </w:r>
      <w:r w:rsidRPr="00313BA1">
        <w:rPr>
          <w:rFonts w:ascii="Book Antiqua" w:hAnsi="Book Antiqua" w:cs="Arial"/>
          <w:i/>
          <w:sz w:val="24"/>
          <w:szCs w:val="24"/>
        </w:rPr>
        <w:t>et al.</w:t>
      </w:r>
      <w:r w:rsidRPr="00313BA1">
        <w:rPr>
          <w:rFonts w:ascii="Book Antiqua" w:hAnsi="Book Antiqua" w:cs="Arial"/>
          <w:sz w:val="24"/>
          <w:szCs w:val="24"/>
        </w:rPr>
        <w:t xml:space="preserve"> Pregnancy success of a cancer survivor</w:t>
      </w:r>
    </w:p>
    <w:p w:rsidR="00E91C72" w:rsidRPr="00313BA1" w:rsidRDefault="00E91C72" w:rsidP="00313BA1">
      <w:pPr>
        <w:pStyle w:val="NoSpacing"/>
        <w:spacing w:line="360" w:lineRule="auto"/>
        <w:ind w:right="-565"/>
        <w:jc w:val="both"/>
        <w:rPr>
          <w:rFonts w:ascii="Book Antiqua" w:hAnsi="Book Antiqua" w:cs="Arial"/>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sz w:val="24"/>
          <w:szCs w:val="24"/>
        </w:rPr>
        <w:t xml:space="preserve">Marta Garrido-Marín, Pedro Maria </w:t>
      </w:r>
      <w:proofErr w:type="spellStart"/>
      <w:r w:rsidRPr="00313BA1">
        <w:rPr>
          <w:rFonts w:ascii="Book Antiqua" w:hAnsi="Book Antiqua" w:cs="Arial"/>
          <w:sz w:val="24"/>
          <w:szCs w:val="24"/>
        </w:rPr>
        <w:t>Argacha</w:t>
      </w:r>
      <w:proofErr w:type="spellEnd"/>
      <w:r w:rsidRPr="00313BA1">
        <w:rPr>
          <w:rFonts w:ascii="Book Antiqua" w:hAnsi="Book Antiqua" w:cs="Arial"/>
          <w:sz w:val="24"/>
          <w:szCs w:val="24"/>
        </w:rPr>
        <w:t xml:space="preserve">, Luís Fernández, Florencia </w:t>
      </w:r>
      <w:proofErr w:type="spellStart"/>
      <w:r w:rsidRPr="00313BA1">
        <w:rPr>
          <w:rFonts w:ascii="Book Antiqua" w:hAnsi="Book Antiqua" w:cs="Arial"/>
          <w:sz w:val="24"/>
          <w:szCs w:val="24"/>
        </w:rPr>
        <w:t>Molfino</w:t>
      </w:r>
      <w:proofErr w:type="spellEnd"/>
      <w:r w:rsidRPr="00313BA1">
        <w:rPr>
          <w:rFonts w:ascii="Book Antiqua" w:hAnsi="Book Antiqua" w:cs="Arial"/>
          <w:sz w:val="24"/>
          <w:szCs w:val="24"/>
        </w:rPr>
        <w:t xml:space="preserve">, Fina Martínez-Soler, Avelina </w:t>
      </w:r>
      <w:proofErr w:type="spellStart"/>
      <w:r w:rsidRPr="00313BA1">
        <w:rPr>
          <w:rFonts w:ascii="Book Antiqua" w:hAnsi="Book Antiqua" w:cs="Arial"/>
          <w:sz w:val="24"/>
          <w:szCs w:val="24"/>
        </w:rPr>
        <w:t>Tortosa</w:t>
      </w:r>
      <w:proofErr w:type="spellEnd"/>
      <w:r w:rsidRPr="00313BA1">
        <w:rPr>
          <w:rFonts w:ascii="Book Antiqua" w:hAnsi="Book Antiqua" w:cs="Arial"/>
          <w:sz w:val="24"/>
          <w:szCs w:val="24"/>
        </w:rPr>
        <w:t>, Pepita Gimenez-</w:t>
      </w:r>
      <w:proofErr w:type="spellStart"/>
      <w:r w:rsidRPr="00313BA1">
        <w:rPr>
          <w:rFonts w:ascii="Book Antiqua" w:hAnsi="Book Antiqua" w:cs="Arial"/>
          <w:sz w:val="24"/>
          <w:szCs w:val="24"/>
        </w:rPr>
        <w:t>Bonafé</w:t>
      </w:r>
      <w:proofErr w:type="spellEnd"/>
      <w:r w:rsidRPr="00313BA1">
        <w:rPr>
          <w:rFonts w:ascii="Book Antiqua" w:hAnsi="Book Antiqua" w:cs="Arial"/>
          <w:sz w:val="24"/>
          <w:szCs w:val="24"/>
        </w:rPr>
        <w:t xml:space="preserve"> </w:t>
      </w:r>
    </w:p>
    <w:p w:rsidR="00E91C72" w:rsidRPr="00313BA1" w:rsidRDefault="00E91C72" w:rsidP="00313BA1">
      <w:pPr>
        <w:pStyle w:val="NoSpacing"/>
        <w:spacing w:line="360" w:lineRule="auto"/>
        <w:ind w:right="-565"/>
        <w:jc w:val="both"/>
        <w:rPr>
          <w:rFonts w:ascii="Book Antiqua" w:hAnsi="Book Antiqua" w:cs="Arial"/>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b/>
          <w:sz w:val="24"/>
          <w:szCs w:val="24"/>
        </w:rPr>
        <w:t>Marta Garrido-Marín, Pepita Gimenez-</w:t>
      </w:r>
      <w:proofErr w:type="spellStart"/>
      <w:r w:rsidRPr="00313BA1">
        <w:rPr>
          <w:rFonts w:ascii="Book Antiqua" w:hAnsi="Book Antiqua" w:cs="Arial"/>
          <w:b/>
          <w:sz w:val="24"/>
          <w:szCs w:val="24"/>
        </w:rPr>
        <w:t>Bonafé</w:t>
      </w:r>
      <w:proofErr w:type="spellEnd"/>
      <w:r w:rsidRPr="00313BA1">
        <w:rPr>
          <w:rFonts w:ascii="Book Antiqua" w:hAnsi="Book Antiqua" w:cs="Arial"/>
          <w:b/>
          <w:sz w:val="24"/>
          <w:szCs w:val="24"/>
        </w:rPr>
        <w:t>,</w:t>
      </w:r>
      <w:r w:rsidRPr="00313BA1">
        <w:rPr>
          <w:rFonts w:ascii="Book Antiqua" w:hAnsi="Book Antiqua" w:cs="Arial"/>
          <w:sz w:val="24"/>
          <w:szCs w:val="24"/>
        </w:rPr>
        <w:t xml:space="preserve"> </w:t>
      </w:r>
      <w:proofErr w:type="spellStart"/>
      <w:r w:rsidRPr="00313BA1">
        <w:rPr>
          <w:rFonts w:ascii="Book Antiqua" w:hAnsi="Book Antiqua" w:cs="Arial"/>
          <w:sz w:val="24"/>
          <w:szCs w:val="24"/>
        </w:rPr>
        <w:t>Departament</w:t>
      </w:r>
      <w:proofErr w:type="spellEnd"/>
      <w:r w:rsidRPr="00313BA1">
        <w:rPr>
          <w:rFonts w:ascii="Book Antiqua" w:hAnsi="Book Antiqua" w:cs="Arial"/>
          <w:sz w:val="24"/>
          <w:szCs w:val="24"/>
        </w:rPr>
        <w:t xml:space="preserve"> of Physiological Sciences, Physiology Unit, Faculty of Medicine and Health Sciences, </w:t>
      </w:r>
      <w:proofErr w:type="spellStart"/>
      <w:r w:rsidRPr="00313BA1">
        <w:rPr>
          <w:rFonts w:ascii="Book Antiqua" w:hAnsi="Book Antiqua" w:cs="Arial"/>
          <w:sz w:val="24"/>
          <w:szCs w:val="24"/>
        </w:rPr>
        <w:t>Bellvitge</w:t>
      </w:r>
      <w:proofErr w:type="spellEnd"/>
      <w:r w:rsidRPr="00313BA1">
        <w:rPr>
          <w:rFonts w:ascii="Book Antiqua" w:hAnsi="Book Antiqua" w:cs="Arial"/>
          <w:sz w:val="24"/>
          <w:szCs w:val="24"/>
        </w:rPr>
        <w:t xml:space="preserve"> Campus, </w:t>
      </w:r>
      <w:proofErr w:type="spellStart"/>
      <w:r w:rsidRPr="00313BA1">
        <w:rPr>
          <w:rFonts w:ascii="Book Antiqua" w:hAnsi="Book Antiqua" w:cs="Arial"/>
          <w:sz w:val="24"/>
          <w:szCs w:val="24"/>
        </w:rPr>
        <w:t>Universitat</w:t>
      </w:r>
      <w:proofErr w:type="spellEnd"/>
      <w:r w:rsidRPr="00313BA1">
        <w:rPr>
          <w:rFonts w:ascii="Book Antiqua" w:hAnsi="Book Antiqua" w:cs="Arial"/>
          <w:sz w:val="24"/>
          <w:szCs w:val="24"/>
        </w:rPr>
        <w:t xml:space="preserve"> de Barcelona, IDIBELL, </w:t>
      </w:r>
      <w:proofErr w:type="spellStart"/>
      <w:r w:rsidRPr="00313BA1">
        <w:rPr>
          <w:rFonts w:ascii="Book Antiqua" w:hAnsi="Book Antiqua" w:cs="Arial"/>
          <w:sz w:val="24"/>
          <w:szCs w:val="24"/>
        </w:rPr>
        <w:t>L</w:t>
      </w:r>
      <w:r w:rsidR="00CF0874">
        <w:rPr>
          <w:rFonts w:ascii="Book Antiqua" w:eastAsia="SimSun" w:hAnsi="Book Antiqua" w:cs="Arial"/>
          <w:sz w:val="24"/>
          <w:szCs w:val="24"/>
        </w:rPr>
        <w:t>’</w:t>
      </w:r>
      <w:r w:rsidRPr="00313BA1">
        <w:rPr>
          <w:rFonts w:ascii="Book Antiqua" w:hAnsi="Book Antiqua" w:cs="Arial"/>
          <w:sz w:val="24"/>
          <w:szCs w:val="24"/>
        </w:rPr>
        <w:t>Hospitalet</w:t>
      </w:r>
      <w:proofErr w:type="spellEnd"/>
      <w:r w:rsidRPr="00313BA1">
        <w:rPr>
          <w:rFonts w:ascii="Book Antiqua" w:hAnsi="Book Antiqua" w:cs="Arial"/>
          <w:sz w:val="24"/>
          <w:szCs w:val="24"/>
        </w:rPr>
        <w:t xml:space="preserve"> del </w:t>
      </w:r>
      <w:proofErr w:type="spellStart"/>
      <w:r w:rsidRPr="00313BA1">
        <w:rPr>
          <w:rFonts w:ascii="Book Antiqua" w:hAnsi="Book Antiqua" w:cs="Arial"/>
          <w:sz w:val="24"/>
          <w:szCs w:val="24"/>
        </w:rPr>
        <w:t>Llobregat</w:t>
      </w:r>
      <w:proofErr w:type="spellEnd"/>
      <w:r w:rsidRPr="00313BA1">
        <w:rPr>
          <w:rFonts w:ascii="Book Antiqua" w:hAnsi="Book Antiqua" w:cs="Arial"/>
          <w:sz w:val="24"/>
          <w:szCs w:val="24"/>
        </w:rPr>
        <w:t>, Barcelona 08907, Spain</w:t>
      </w:r>
    </w:p>
    <w:p w:rsidR="00E91C72" w:rsidRPr="00313BA1" w:rsidRDefault="00E91C72" w:rsidP="00313BA1">
      <w:pPr>
        <w:pStyle w:val="NoSpacing"/>
        <w:spacing w:line="360" w:lineRule="auto"/>
        <w:ind w:right="-565"/>
        <w:jc w:val="both"/>
        <w:rPr>
          <w:rFonts w:ascii="Book Antiqua" w:hAnsi="Book Antiqua" w:cs="Arial"/>
          <w:b/>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b/>
          <w:sz w:val="24"/>
          <w:szCs w:val="24"/>
        </w:rPr>
        <w:t xml:space="preserve">Pedro Maria </w:t>
      </w:r>
      <w:proofErr w:type="spellStart"/>
      <w:r w:rsidRPr="00313BA1">
        <w:rPr>
          <w:rFonts w:ascii="Book Antiqua" w:hAnsi="Book Antiqua" w:cs="Arial"/>
          <w:b/>
          <w:sz w:val="24"/>
          <w:szCs w:val="24"/>
        </w:rPr>
        <w:t>Argacha</w:t>
      </w:r>
      <w:proofErr w:type="spellEnd"/>
      <w:r w:rsidRPr="00313BA1">
        <w:rPr>
          <w:rFonts w:ascii="Book Antiqua" w:hAnsi="Book Antiqua" w:cs="Arial"/>
          <w:b/>
          <w:sz w:val="24"/>
          <w:szCs w:val="24"/>
        </w:rPr>
        <w:t>,</w:t>
      </w:r>
      <w:r w:rsidRPr="00313BA1">
        <w:rPr>
          <w:rFonts w:ascii="Book Antiqua" w:hAnsi="Book Antiqua" w:cs="Arial"/>
          <w:sz w:val="24"/>
          <w:szCs w:val="24"/>
        </w:rPr>
        <w:t xml:space="preserve"> Hospital </w:t>
      </w:r>
      <w:proofErr w:type="spellStart"/>
      <w:r w:rsidRPr="00313BA1">
        <w:rPr>
          <w:rFonts w:ascii="Book Antiqua" w:hAnsi="Book Antiqua" w:cs="Arial"/>
          <w:sz w:val="24"/>
          <w:szCs w:val="24"/>
        </w:rPr>
        <w:t>Universitari</w:t>
      </w:r>
      <w:proofErr w:type="spellEnd"/>
      <w:r w:rsidRPr="00313BA1">
        <w:rPr>
          <w:rFonts w:ascii="Book Antiqua" w:hAnsi="Book Antiqua" w:cs="Arial"/>
          <w:sz w:val="24"/>
          <w:szCs w:val="24"/>
        </w:rPr>
        <w:t xml:space="preserve"> General de Catalunya, Barcelona 08190, Spain</w:t>
      </w:r>
    </w:p>
    <w:p w:rsidR="00E91C72" w:rsidRPr="00313BA1" w:rsidRDefault="00E91C72" w:rsidP="00313BA1">
      <w:pPr>
        <w:pStyle w:val="NoSpacing"/>
        <w:spacing w:line="360" w:lineRule="auto"/>
        <w:ind w:right="-565"/>
        <w:jc w:val="both"/>
        <w:rPr>
          <w:rFonts w:ascii="Book Antiqua" w:hAnsi="Book Antiqua" w:cs="Arial"/>
          <w:b/>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b/>
          <w:sz w:val="24"/>
          <w:szCs w:val="24"/>
        </w:rPr>
        <w:t>Luís Fernández,</w:t>
      </w:r>
      <w:r w:rsidRPr="00313BA1">
        <w:rPr>
          <w:rFonts w:ascii="Book Antiqua" w:hAnsi="Book Antiqua" w:cs="Arial"/>
          <w:sz w:val="24"/>
          <w:szCs w:val="24"/>
        </w:rPr>
        <w:t xml:space="preserve"> </w:t>
      </w:r>
      <w:proofErr w:type="spellStart"/>
      <w:r w:rsidRPr="00313BA1">
        <w:rPr>
          <w:rFonts w:ascii="Book Antiqua" w:hAnsi="Book Antiqua" w:cs="Arial"/>
          <w:sz w:val="24"/>
          <w:szCs w:val="24"/>
        </w:rPr>
        <w:t>Servicio</w:t>
      </w:r>
      <w:proofErr w:type="spellEnd"/>
      <w:r w:rsidRPr="00313BA1">
        <w:rPr>
          <w:rFonts w:ascii="Book Antiqua" w:hAnsi="Book Antiqua" w:cs="Arial"/>
          <w:sz w:val="24"/>
          <w:szCs w:val="24"/>
        </w:rPr>
        <w:t xml:space="preserve"> de </w:t>
      </w:r>
      <w:proofErr w:type="spellStart"/>
      <w:r w:rsidRPr="00313BA1">
        <w:rPr>
          <w:rFonts w:ascii="Book Antiqua" w:hAnsi="Book Antiqua" w:cs="Arial"/>
          <w:sz w:val="24"/>
          <w:szCs w:val="24"/>
        </w:rPr>
        <w:t>Oncología</w:t>
      </w:r>
      <w:proofErr w:type="spellEnd"/>
      <w:r w:rsidRPr="00313BA1">
        <w:rPr>
          <w:rFonts w:ascii="Book Antiqua" w:hAnsi="Book Antiqua" w:cs="Arial"/>
          <w:sz w:val="24"/>
          <w:szCs w:val="24"/>
        </w:rPr>
        <w:t xml:space="preserve"> </w:t>
      </w:r>
      <w:proofErr w:type="spellStart"/>
      <w:r w:rsidRPr="00313BA1">
        <w:rPr>
          <w:rFonts w:ascii="Book Antiqua" w:hAnsi="Book Antiqua" w:cs="Arial"/>
          <w:sz w:val="24"/>
          <w:szCs w:val="24"/>
        </w:rPr>
        <w:t>Médica</w:t>
      </w:r>
      <w:proofErr w:type="spellEnd"/>
      <w:r w:rsidRPr="00313BA1">
        <w:rPr>
          <w:rFonts w:ascii="Book Antiqua" w:hAnsi="Book Antiqua" w:cs="Arial"/>
          <w:sz w:val="24"/>
          <w:szCs w:val="24"/>
        </w:rPr>
        <w:t xml:space="preserve">, </w:t>
      </w:r>
      <w:proofErr w:type="spellStart"/>
      <w:r w:rsidRPr="00313BA1">
        <w:rPr>
          <w:rFonts w:ascii="Book Antiqua" w:hAnsi="Book Antiqua" w:cs="Arial"/>
          <w:sz w:val="24"/>
          <w:szCs w:val="24"/>
        </w:rPr>
        <w:t>Consorcio</w:t>
      </w:r>
      <w:proofErr w:type="spellEnd"/>
      <w:r w:rsidRPr="00313BA1">
        <w:rPr>
          <w:rFonts w:ascii="Book Antiqua" w:hAnsi="Book Antiqua" w:cs="Arial"/>
          <w:sz w:val="24"/>
          <w:szCs w:val="24"/>
        </w:rPr>
        <w:t xml:space="preserve"> </w:t>
      </w:r>
      <w:proofErr w:type="spellStart"/>
      <w:r w:rsidRPr="00313BA1">
        <w:rPr>
          <w:rFonts w:ascii="Book Antiqua" w:hAnsi="Book Antiqua" w:cs="Arial"/>
          <w:sz w:val="24"/>
          <w:szCs w:val="24"/>
        </w:rPr>
        <w:t>Corporación</w:t>
      </w:r>
      <w:proofErr w:type="spellEnd"/>
      <w:r w:rsidRPr="00313BA1">
        <w:rPr>
          <w:rFonts w:ascii="Book Antiqua" w:hAnsi="Book Antiqua" w:cs="Arial"/>
          <w:sz w:val="24"/>
          <w:szCs w:val="24"/>
        </w:rPr>
        <w:t xml:space="preserve"> Sanitaria Parc </w:t>
      </w:r>
      <w:proofErr w:type="spellStart"/>
      <w:r w:rsidRPr="00313BA1">
        <w:rPr>
          <w:rFonts w:ascii="Book Antiqua" w:hAnsi="Book Antiqua" w:cs="Arial"/>
          <w:sz w:val="24"/>
          <w:szCs w:val="24"/>
        </w:rPr>
        <w:t>Taulí</w:t>
      </w:r>
      <w:proofErr w:type="spellEnd"/>
      <w:r w:rsidRPr="00313BA1">
        <w:rPr>
          <w:rFonts w:ascii="Book Antiqua" w:hAnsi="Book Antiqua" w:cs="Arial"/>
          <w:sz w:val="24"/>
          <w:szCs w:val="24"/>
        </w:rPr>
        <w:t>, Barcelona, Sabadell 08208, Spain</w:t>
      </w:r>
    </w:p>
    <w:p w:rsidR="00E91C72" w:rsidRPr="00313BA1" w:rsidRDefault="00E91C72" w:rsidP="00313BA1">
      <w:pPr>
        <w:pStyle w:val="NoSpacing"/>
        <w:spacing w:line="360" w:lineRule="auto"/>
        <w:ind w:right="-565"/>
        <w:jc w:val="both"/>
        <w:rPr>
          <w:rFonts w:ascii="Book Antiqua" w:hAnsi="Book Antiqua" w:cs="Arial"/>
          <w:b/>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b/>
          <w:sz w:val="24"/>
          <w:szCs w:val="24"/>
        </w:rPr>
        <w:t xml:space="preserve">Florencia </w:t>
      </w:r>
      <w:proofErr w:type="spellStart"/>
      <w:r w:rsidRPr="00313BA1">
        <w:rPr>
          <w:rFonts w:ascii="Book Antiqua" w:hAnsi="Book Antiqua" w:cs="Arial"/>
          <w:b/>
          <w:sz w:val="24"/>
          <w:szCs w:val="24"/>
        </w:rPr>
        <w:t>Molfino</w:t>
      </w:r>
      <w:proofErr w:type="spellEnd"/>
      <w:r w:rsidRPr="00313BA1">
        <w:rPr>
          <w:rFonts w:ascii="Book Antiqua" w:hAnsi="Book Antiqua" w:cs="Arial"/>
          <w:b/>
          <w:sz w:val="24"/>
          <w:szCs w:val="24"/>
        </w:rPr>
        <w:t>,</w:t>
      </w:r>
      <w:r w:rsidRPr="00313BA1">
        <w:rPr>
          <w:rFonts w:ascii="Book Antiqua" w:hAnsi="Book Antiqua" w:cs="Arial"/>
          <w:sz w:val="24"/>
          <w:szCs w:val="24"/>
        </w:rPr>
        <w:t xml:space="preserve"> Instituto de </w:t>
      </w:r>
      <w:proofErr w:type="spellStart"/>
      <w:r w:rsidRPr="00313BA1">
        <w:rPr>
          <w:rFonts w:ascii="Book Antiqua" w:hAnsi="Book Antiqua" w:cs="Arial"/>
          <w:sz w:val="24"/>
          <w:szCs w:val="24"/>
        </w:rPr>
        <w:t>Reproducción</w:t>
      </w:r>
      <w:proofErr w:type="spellEnd"/>
      <w:r w:rsidRPr="00313BA1">
        <w:rPr>
          <w:rFonts w:ascii="Book Antiqua" w:hAnsi="Book Antiqua" w:cs="Arial"/>
          <w:sz w:val="24"/>
          <w:szCs w:val="24"/>
        </w:rPr>
        <w:t xml:space="preserve"> </w:t>
      </w:r>
      <w:proofErr w:type="spellStart"/>
      <w:r w:rsidRPr="00313BA1">
        <w:rPr>
          <w:rFonts w:ascii="Book Antiqua" w:hAnsi="Book Antiqua" w:cs="Arial"/>
          <w:sz w:val="24"/>
          <w:szCs w:val="24"/>
        </w:rPr>
        <w:t>Cefer</w:t>
      </w:r>
      <w:proofErr w:type="spellEnd"/>
      <w:r w:rsidRPr="00313BA1">
        <w:rPr>
          <w:rFonts w:ascii="Book Antiqua" w:hAnsi="Book Antiqua" w:cs="Arial"/>
          <w:sz w:val="24"/>
          <w:szCs w:val="24"/>
        </w:rPr>
        <w:t>, Barcelona 08017, Spain</w:t>
      </w:r>
    </w:p>
    <w:p w:rsidR="00E91C72" w:rsidRPr="00313BA1" w:rsidRDefault="00E91C72" w:rsidP="00313BA1">
      <w:pPr>
        <w:pStyle w:val="NoSpacing"/>
        <w:spacing w:line="360" w:lineRule="auto"/>
        <w:ind w:right="-565"/>
        <w:jc w:val="both"/>
        <w:rPr>
          <w:rFonts w:ascii="Book Antiqua" w:hAnsi="Book Antiqua" w:cs="Arial"/>
          <w:b/>
          <w:sz w:val="24"/>
          <w:szCs w:val="24"/>
        </w:rPr>
      </w:pPr>
    </w:p>
    <w:p w:rsidR="00E91C72" w:rsidRPr="00313BA1" w:rsidRDefault="00E91C72" w:rsidP="00313BA1">
      <w:pPr>
        <w:pStyle w:val="NoSpacing"/>
        <w:spacing w:line="360" w:lineRule="auto"/>
        <w:ind w:right="-565"/>
        <w:jc w:val="both"/>
        <w:rPr>
          <w:rFonts w:ascii="Book Antiqua" w:hAnsi="Book Antiqua" w:cs="Arial"/>
          <w:sz w:val="24"/>
          <w:szCs w:val="24"/>
        </w:rPr>
      </w:pPr>
      <w:r w:rsidRPr="00313BA1">
        <w:rPr>
          <w:rFonts w:ascii="Book Antiqua" w:hAnsi="Book Antiqua" w:cs="Arial"/>
          <w:b/>
          <w:sz w:val="24"/>
          <w:szCs w:val="24"/>
        </w:rPr>
        <w:t xml:space="preserve">Fina Martínez-Soler, Avelina </w:t>
      </w:r>
      <w:proofErr w:type="spellStart"/>
      <w:r w:rsidRPr="00313BA1">
        <w:rPr>
          <w:rFonts w:ascii="Book Antiqua" w:hAnsi="Book Antiqua" w:cs="Arial"/>
          <w:b/>
          <w:sz w:val="24"/>
          <w:szCs w:val="24"/>
        </w:rPr>
        <w:t>Tortosa</w:t>
      </w:r>
      <w:proofErr w:type="spellEnd"/>
      <w:r w:rsidRPr="00313BA1">
        <w:rPr>
          <w:rFonts w:ascii="Book Antiqua" w:hAnsi="Book Antiqua" w:cs="Arial"/>
          <w:b/>
          <w:sz w:val="24"/>
          <w:szCs w:val="24"/>
        </w:rPr>
        <w:t>,</w:t>
      </w:r>
      <w:r w:rsidRPr="00313BA1">
        <w:rPr>
          <w:rFonts w:ascii="Book Antiqua" w:hAnsi="Book Antiqua" w:cs="Arial"/>
          <w:sz w:val="24"/>
          <w:szCs w:val="24"/>
        </w:rPr>
        <w:t xml:space="preserve"> Department of Basic Nursing, Faculty of Medicine and Health Sciences, </w:t>
      </w:r>
      <w:proofErr w:type="spellStart"/>
      <w:r w:rsidRPr="00313BA1">
        <w:rPr>
          <w:rFonts w:ascii="Book Antiqua" w:hAnsi="Book Antiqua" w:cs="Arial"/>
          <w:sz w:val="24"/>
          <w:szCs w:val="24"/>
        </w:rPr>
        <w:t>Universitat</w:t>
      </w:r>
      <w:proofErr w:type="spellEnd"/>
      <w:r w:rsidRPr="00313BA1">
        <w:rPr>
          <w:rFonts w:ascii="Book Antiqua" w:hAnsi="Book Antiqua" w:cs="Arial"/>
          <w:sz w:val="24"/>
          <w:szCs w:val="24"/>
        </w:rPr>
        <w:t xml:space="preserve"> de Barcelona, IDIBELL, </w:t>
      </w:r>
      <w:proofErr w:type="spellStart"/>
      <w:r w:rsidRPr="00313BA1">
        <w:rPr>
          <w:rFonts w:ascii="Book Antiqua" w:hAnsi="Book Antiqua" w:cs="Arial"/>
          <w:sz w:val="24"/>
          <w:szCs w:val="24"/>
        </w:rPr>
        <w:t>L'Hospitalet</w:t>
      </w:r>
      <w:proofErr w:type="spellEnd"/>
      <w:r w:rsidRPr="00313BA1">
        <w:rPr>
          <w:rFonts w:ascii="Book Antiqua" w:hAnsi="Book Antiqua" w:cs="Arial"/>
          <w:sz w:val="24"/>
          <w:szCs w:val="24"/>
        </w:rPr>
        <w:t xml:space="preserve"> del </w:t>
      </w:r>
      <w:proofErr w:type="spellStart"/>
      <w:r w:rsidRPr="00313BA1">
        <w:rPr>
          <w:rFonts w:ascii="Book Antiqua" w:hAnsi="Book Antiqua" w:cs="Arial"/>
          <w:sz w:val="24"/>
          <w:szCs w:val="24"/>
        </w:rPr>
        <w:t>Llobregat</w:t>
      </w:r>
      <w:proofErr w:type="spellEnd"/>
      <w:r w:rsidRPr="00313BA1">
        <w:rPr>
          <w:rFonts w:ascii="Book Antiqua" w:hAnsi="Book Antiqua" w:cs="Arial"/>
          <w:sz w:val="24"/>
          <w:szCs w:val="24"/>
        </w:rPr>
        <w:t>, Barcelona 08907, Spain</w:t>
      </w:r>
    </w:p>
    <w:p w:rsidR="00E91C72" w:rsidRPr="00313BA1" w:rsidRDefault="00E91C72" w:rsidP="00313BA1">
      <w:pPr>
        <w:pStyle w:val="NoSpacing"/>
        <w:spacing w:line="360" w:lineRule="auto"/>
        <w:ind w:right="-565"/>
        <w:jc w:val="both"/>
        <w:rPr>
          <w:rFonts w:ascii="Book Antiqua" w:hAnsi="Book Antiqua" w:cs="Arial"/>
          <w:sz w:val="24"/>
          <w:szCs w:val="24"/>
        </w:rPr>
      </w:pPr>
    </w:p>
    <w:p w:rsidR="00E91C72" w:rsidRPr="00313BA1" w:rsidRDefault="00050295" w:rsidP="00313BA1">
      <w:pPr>
        <w:pStyle w:val="NoSpacing"/>
        <w:spacing w:line="360" w:lineRule="auto"/>
        <w:ind w:right="-565"/>
        <w:jc w:val="both"/>
        <w:rPr>
          <w:rFonts w:ascii="Book Antiqua" w:eastAsia="SimSun" w:hAnsi="Book Antiqua" w:cs="Arial"/>
          <w:sz w:val="24"/>
          <w:szCs w:val="24"/>
        </w:rPr>
      </w:pPr>
      <w:r w:rsidRPr="00313BA1">
        <w:rPr>
          <w:rFonts w:ascii="Book Antiqua" w:hAnsi="Book Antiqua"/>
          <w:b/>
          <w:sz w:val="24"/>
          <w:szCs w:val="24"/>
        </w:rPr>
        <w:lastRenderedPageBreak/>
        <w:t>ORCID number:</w:t>
      </w:r>
      <w:r w:rsidR="00E91C72" w:rsidRPr="00313BA1">
        <w:rPr>
          <w:rFonts w:ascii="Book Antiqua" w:hAnsi="Book Antiqua" w:cs="Arial"/>
          <w:sz w:val="24"/>
          <w:szCs w:val="24"/>
        </w:rPr>
        <w:t xml:space="preserve"> Marta Garrido-Marín (0000-0002-5144-7334); Pedro Maria </w:t>
      </w:r>
      <w:proofErr w:type="spellStart"/>
      <w:r w:rsidR="00E91C72" w:rsidRPr="00313BA1">
        <w:rPr>
          <w:rFonts w:ascii="Book Antiqua" w:hAnsi="Book Antiqua" w:cs="Arial"/>
          <w:sz w:val="24"/>
          <w:szCs w:val="24"/>
        </w:rPr>
        <w:t>Argacha</w:t>
      </w:r>
      <w:proofErr w:type="spellEnd"/>
      <w:r w:rsidR="00E91C72" w:rsidRPr="00313BA1">
        <w:rPr>
          <w:rFonts w:ascii="Book Antiqua" w:hAnsi="Book Antiqua" w:cs="Arial"/>
          <w:sz w:val="24"/>
          <w:szCs w:val="24"/>
        </w:rPr>
        <w:t xml:space="preserve"> (0000-0003-1444-1977); Luís Fernández (0000-0003-2120-6457); Florencia </w:t>
      </w:r>
      <w:proofErr w:type="spellStart"/>
      <w:r w:rsidR="00E91C72" w:rsidRPr="00313BA1">
        <w:rPr>
          <w:rFonts w:ascii="Book Antiqua" w:hAnsi="Book Antiqua" w:cs="Arial"/>
          <w:sz w:val="24"/>
          <w:szCs w:val="24"/>
        </w:rPr>
        <w:t>Molfino</w:t>
      </w:r>
      <w:proofErr w:type="spellEnd"/>
      <w:r w:rsidR="00E91C72" w:rsidRPr="00313BA1">
        <w:rPr>
          <w:rFonts w:ascii="Book Antiqua" w:hAnsi="Book Antiqua" w:cs="Arial"/>
          <w:sz w:val="24"/>
          <w:szCs w:val="24"/>
        </w:rPr>
        <w:t xml:space="preserve"> (0000-0002-2842-9584); Fina Martínez-Soler (0000-0002-0940-1025); Avelina </w:t>
      </w:r>
      <w:proofErr w:type="spellStart"/>
      <w:r w:rsidR="00E91C72" w:rsidRPr="00313BA1">
        <w:rPr>
          <w:rFonts w:ascii="Book Antiqua" w:hAnsi="Book Antiqua" w:cs="Arial"/>
          <w:sz w:val="24"/>
          <w:szCs w:val="24"/>
        </w:rPr>
        <w:t>Tortosa</w:t>
      </w:r>
      <w:proofErr w:type="spellEnd"/>
      <w:r w:rsidR="00E91C72" w:rsidRPr="00313BA1">
        <w:rPr>
          <w:rFonts w:ascii="Book Antiqua" w:hAnsi="Book Antiqua" w:cs="Arial"/>
          <w:sz w:val="24"/>
          <w:szCs w:val="24"/>
        </w:rPr>
        <w:t xml:space="preserve"> (0000-0002-9080-2976); Pepita Gimenez-</w:t>
      </w:r>
      <w:proofErr w:type="spellStart"/>
      <w:r w:rsidR="00E91C72" w:rsidRPr="00313BA1">
        <w:rPr>
          <w:rFonts w:ascii="Book Antiqua" w:hAnsi="Book Antiqua" w:cs="Arial"/>
          <w:sz w:val="24"/>
          <w:szCs w:val="24"/>
        </w:rPr>
        <w:t>Bonafé</w:t>
      </w:r>
      <w:proofErr w:type="spellEnd"/>
      <w:r w:rsidR="00E91C72" w:rsidRPr="00313BA1">
        <w:rPr>
          <w:rFonts w:ascii="Book Antiqua" w:hAnsi="Book Antiqua" w:cs="Arial"/>
          <w:sz w:val="24"/>
          <w:szCs w:val="24"/>
        </w:rPr>
        <w:t xml:space="preserve"> (0000-0002-4713-903X).</w:t>
      </w:r>
    </w:p>
    <w:p w:rsidR="00E91C72" w:rsidRPr="00313BA1" w:rsidRDefault="00E91C72" w:rsidP="00313BA1">
      <w:pPr>
        <w:pStyle w:val="NoSpacing"/>
        <w:spacing w:line="360" w:lineRule="auto"/>
        <w:ind w:right="-565"/>
        <w:jc w:val="both"/>
        <w:rPr>
          <w:rFonts w:ascii="Book Antiqua" w:eastAsia="SimSun" w:hAnsi="Book Antiqua" w:cs="Arial"/>
          <w:sz w:val="24"/>
          <w:szCs w:val="24"/>
        </w:rPr>
      </w:pPr>
    </w:p>
    <w:p w:rsidR="00E91C72" w:rsidRPr="00313BA1" w:rsidRDefault="00050295" w:rsidP="00313BA1">
      <w:pPr>
        <w:spacing w:after="0" w:line="360" w:lineRule="auto"/>
        <w:ind w:right="-565"/>
        <w:jc w:val="both"/>
        <w:textAlignment w:val="baseline"/>
        <w:rPr>
          <w:rFonts w:ascii="Book Antiqua" w:hAnsi="Book Antiqua" w:cs="Arial"/>
          <w:sz w:val="24"/>
          <w:szCs w:val="24"/>
          <w:lang w:val="en-US"/>
        </w:rPr>
      </w:pPr>
      <w:r w:rsidRPr="00313BA1">
        <w:rPr>
          <w:rFonts w:ascii="Book Antiqua" w:eastAsia="SimHei" w:hAnsi="Book Antiqua"/>
          <w:b/>
          <w:sz w:val="24"/>
          <w:szCs w:val="24"/>
        </w:rPr>
        <w:t>Author contributions:</w:t>
      </w:r>
      <w:r w:rsidR="00E91C72" w:rsidRPr="00313BA1">
        <w:rPr>
          <w:rFonts w:ascii="Book Antiqua" w:eastAsia="Times New Roman" w:hAnsi="Book Antiqua" w:cs="Arial"/>
          <w:b/>
          <w:sz w:val="24"/>
          <w:szCs w:val="24"/>
          <w:lang w:val="en-US"/>
        </w:rPr>
        <w:t xml:space="preserve"> </w:t>
      </w:r>
      <w:r w:rsidR="00E91C72" w:rsidRPr="00313BA1">
        <w:rPr>
          <w:rFonts w:ascii="Book Antiqua" w:hAnsi="Book Antiqua" w:cs="Arial"/>
          <w:sz w:val="24"/>
          <w:szCs w:val="24"/>
        </w:rPr>
        <w:t>Garrido-Marín</w:t>
      </w:r>
      <w:r w:rsidR="00E91C72" w:rsidRPr="00313BA1" w:rsidDel="007D5A3E">
        <w:rPr>
          <w:rFonts w:ascii="Book Antiqua" w:hAnsi="Book Antiqua" w:cs="Arial"/>
          <w:sz w:val="24"/>
          <w:szCs w:val="24"/>
          <w:lang w:val="en-US"/>
        </w:rPr>
        <w:t xml:space="preserve"> </w:t>
      </w:r>
      <w:r w:rsidR="00E91C72" w:rsidRPr="00313BA1">
        <w:rPr>
          <w:rFonts w:ascii="Book Antiqua" w:hAnsi="Book Antiqua" w:cs="Arial"/>
          <w:sz w:val="24"/>
          <w:szCs w:val="24"/>
          <w:lang w:val="en-US"/>
        </w:rPr>
        <w:t xml:space="preserve">M was in charge of collecting the data from the different centers involved in the case report, as well as writing of the manuscript; </w:t>
      </w:r>
      <w:r w:rsidR="00E91C72" w:rsidRPr="00313BA1">
        <w:rPr>
          <w:rFonts w:ascii="Book Antiqua" w:hAnsi="Book Antiqua" w:cs="Arial"/>
          <w:sz w:val="24"/>
          <w:szCs w:val="24"/>
        </w:rPr>
        <w:t>Argacha</w:t>
      </w:r>
      <w:r w:rsidR="00E91C72" w:rsidRPr="00313BA1">
        <w:rPr>
          <w:rFonts w:ascii="Book Antiqua" w:hAnsi="Book Antiqua" w:cs="Arial"/>
          <w:sz w:val="24"/>
          <w:szCs w:val="24"/>
          <w:lang w:eastAsia="zh-CN"/>
        </w:rPr>
        <w:t xml:space="preserve"> PM</w:t>
      </w:r>
      <w:r w:rsidR="00E91C72" w:rsidRPr="00313BA1">
        <w:rPr>
          <w:rFonts w:ascii="Book Antiqua" w:hAnsi="Book Antiqua" w:cs="Arial"/>
          <w:sz w:val="24"/>
          <w:szCs w:val="24"/>
          <w:lang w:val="en-US"/>
        </w:rPr>
        <w:t xml:space="preserve">, </w:t>
      </w:r>
      <w:r w:rsidR="00E91C72" w:rsidRPr="00313BA1">
        <w:rPr>
          <w:rFonts w:ascii="Book Antiqua" w:hAnsi="Book Antiqua" w:cs="Arial"/>
          <w:sz w:val="24"/>
          <w:szCs w:val="24"/>
        </w:rPr>
        <w:t>Fernández</w:t>
      </w:r>
      <w:r w:rsidR="00E91C72" w:rsidRPr="00313BA1">
        <w:rPr>
          <w:rFonts w:ascii="Book Antiqua" w:hAnsi="Book Antiqua" w:cs="Arial"/>
          <w:sz w:val="24"/>
          <w:szCs w:val="24"/>
          <w:lang w:eastAsia="zh-CN"/>
        </w:rPr>
        <w:t xml:space="preserve"> L</w:t>
      </w:r>
      <w:r w:rsidR="00E91C72" w:rsidRPr="00313BA1">
        <w:rPr>
          <w:rFonts w:ascii="Book Antiqua" w:hAnsi="Book Antiqua" w:cs="Arial"/>
          <w:sz w:val="24"/>
          <w:szCs w:val="24"/>
          <w:lang w:val="en-US"/>
        </w:rPr>
        <w:t xml:space="preserve">, and </w:t>
      </w:r>
      <w:r w:rsidR="00E91C72" w:rsidRPr="00313BA1">
        <w:rPr>
          <w:rFonts w:ascii="Book Antiqua" w:hAnsi="Book Antiqua" w:cs="Arial"/>
          <w:sz w:val="24"/>
          <w:szCs w:val="24"/>
        </w:rPr>
        <w:t>Molfino</w:t>
      </w:r>
      <w:r w:rsidR="00E91C72" w:rsidRPr="00313BA1">
        <w:rPr>
          <w:rFonts w:ascii="Book Antiqua" w:hAnsi="Book Antiqua" w:cs="Arial"/>
          <w:sz w:val="24"/>
          <w:szCs w:val="24"/>
          <w:lang w:eastAsia="zh-CN"/>
        </w:rPr>
        <w:t xml:space="preserve"> F</w:t>
      </w:r>
      <w:r w:rsidR="00E91C72" w:rsidRPr="00313BA1">
        <w:rPr>
          <w:rFonts w:ascii="Book Antiqua" w:hAnsi="Book Antiqua" w:cs="Arial"/>
          <w:sz w:val="24"/>
          <w:szCs w:val="24"/>
          <w:lang w:val="en-US"/>
        </w:rPr>
        <w:t xml:space="preserve"> collected the data from their files and helped with the chronological organization of all the clinical events of the patient;</w:t>
      </w:r>
      <w:r w:rsidR="003C1D65" w:rsidRPr="00313BA1">
        <w:rPr>
          <w:rFonts w:ascii="Book Antiqua" w:hAnsi="Book Antiqua" w:cs="Arial"/>
          <w:sz w:val="24"/>
          <w:szCs w:val="24"/>
          <w:lang w:val="en-US"/>
        </w:rPr>
        <w:t xml:space="preserve"> </w:t>
      </w:r>
      <w:r w:rsidR="00E91C72" w:rsidRPr="00313BA1">
        <w:rPr>
          <w:rFonts w:ascii="Book Antiqua" w:hAnsi="Book Antiqua" w:cs="Arial"/>
          <w:sz w:val="24"/>
          <w:szCs w:val="24"/>
        </w:rPr>
        <w:t>Martínez-Soler</w:t>
      </w:r>
      <w:r w:rsidR="00E91C72" w:rsidRPr="00313BA1">
        <w:rPr>
          <w:rFonts w:ascii="Book Antiqua" w:hAnsi="Book Antiqua" w:cs="Arial"/>
          <w:sz w:val="24"/>
          <w:szCs w:val="24"/>
          <w:lang w:eastAsia="zh-CN"/>
        </w:rPr>
        <w:t xml:space="preserve"> F</w:t>
      </w:r>
      <w:r w:rsidR="00E91C72" w:rsidRPr="00313BA1">
        <w:rPr>
          <w:rFonts w:ascii="Book Antiqua" w:hAnsi="Book Antiqua" w:cs="Arial"/>
          <w:sz w:val="24"/>
          <w:szCs w:val="24"/>
          <w:lang w:val="en-US"/>
        </w:rPr>
        <w:t xml:space="preserve"> and </w:t>
      </w:r>
      <w:r w:rsidR="00E91C72" w:rsidRPr="00313BA1">
        <w:rPr>
          <w:rFonts w:ascii="Book Antiqua" w:hAnsi="Book Antiqua" w:cs="Arial"/>
          <w:sz w:val="24"/>
          <w:szCs w:val="24"/>
        </w:rPr>
        <w:t>Tortosa</w:t>
      </w:r>
      <w:r w:rsidR="00E91C72" w:rsidRPr="00313BA1">
        <w:rPr>
          <w:rFonts w:ascii="Book Antiqua" w:hAnsi="Book Antiqua" w:cs="Arial"/>
          <w:sz w:val="24"/>
          <w:szCs w:val="24"/>
          <w:lang w:eastAsia="zh-CN"/>
        </w:rPr>
        <w:t xml:space="preserve"> A</w:t>
      </w:r>
      <w:r w:rsidR="00E91C72" w:rsidRPr="00313BA1">
        <w:rPr>
          <w:rFonts w:ascii="Book Antiqua" w:hAnsi="Book Antiqua" w:cs="Arial"/>
          <w:sz w:val="24"/>
          <w:szCs w:val="24"/>
          <w:lang w:val="en-US"/>
        </w:rPr>
        <w:t xml:space="preserve"> corrected the manuscript; </w:t>
      </w:r>
      <w:r w:rsidR="00E91C72" w:rsidRPr="00313BA1">
        <w:rPr>
          <w:rFonts w:ascii="Book Antiqua" w:hAnsi="Book Antiqua" w:cs="Arial"/>
          <w:sz w:val="24"/>
          <w:szCs w:val="24"/>
        </w:rPr>
        <w:t>Gimenez-Bonafé</w:t>
      </w:r>
      <w:r w:rsidR="00E91C72" w:rsidRPr="00313BA1">
        <w:rPr>
          <w:rFonts w:ascii="Book Antiqua" w:hAnsi="Book Antiqua" w:cs="Arial"/>
          <w:sz w:val="24"/>
          <w:szCs w:val="24"/>
          <w:lang w:eastAsia="zh-CN"/>
        </w:rPr>
        <w:t xml:space="preserve"> P </w:t>
      </w:r>
      <w:r w:rsidR="00E91C72" w:rsidRPr="00313BA1">
        <w:rPr>
          <w:rFonts w:ascii="Book Antiqua" w:hAnsi="Book Antiqua" w:cs="Arial"/>
          <w:sz w:val="24"/>
          <w:szCs w:val="24"/>
          <w:lang w:val="en-US"/>
        </w:rPr>
        <w:t>went through all the steps to create the final version of the manuscript, collecting and organizing the data, as well as correcting the manuscript and making suggestions to the first author.</w:t>
      </w:r>
    </w:p>
    <w:p w:rsidR="00E91C72" w:rsidRPr="00313BA1" w:rsidRDefault="00E91C72" w:rsidP="00313BA1">
      <w:pPr>
        <w:spacing w:after="0" w:line="360" w:lineRule="auto"/>
        <w:ind w:right="-565"/>
        <w:jc w:val="both"/>
        <w:textAlignment w:val="baseline"/>
        <w:rPr>
          <w:rFonts w:ascii="Book Antiqua" w:eastAsia="Times New Roman" w:hAnsi="Book Antiqua" w:cs="Arial"/>
          <w:b/>
          <w:sz w:val="24"/>
          <w:szCs w:val="24"/>
          <w:lang w:val="en-US"/>
        </w:rPr>
      </w:pPr>
    </w:p>
    <w:p w:rsidR="00E91C72" w:rsidRPr="00313BA1" w:rsidRDefault="00E91C72" w:rsidP="00313BA1">
      <w:pPr>
        <w:spacing w:after="0" w:line="360" w:lineRule="auto"/>
        <w:ind w:right="-565"/>
        <w:jc w:val="both"/>
        <w:textAlignment w:val="baseline"/>
        <w:rPr>
          <w:rFonts w:ascii="Book Antiqua" w:eastAsia="Times New Roman" w:hAnsi="Book Antiqua" w:cs="Arial"/>
          <w:sz w:val="24"/>
          <w:szCs w:val="24"/>
          <w:lang w:val="en-US"/>
        </w:rPr>
      </w:pPr>
      <w:r w:rsidRPr="00313BA1">
        <w:rPr>
          <w:rFonts w:ascii="Book Antiqua" w:eastAsia="Times New Roman" w:hAnsi="Book Antiqua" w:cs="Arial"/>
          <w:b/>
          <w:sz w:val="24"/>
          <w:szCs w:val="24"/>
          <w:lang w:val="en-US"/>
        </w:rPr>
        <w:t xml:space="preserve">Supported by </w:t>
      </w:r>
      <w:r w:rsidRPr="00313BA1">
        <w:rPr>
          <w:rFonts w:ascii="Book Antiqua" w:eastAsia="Times New Roman" w:hAnsi="Book Antiqua" w:cs="Arial"/>
          <w:sz w:val="24"/>
          <w:szCs w:val="24"/>
          <w:lang w:val="en-US"/>
        </w:rPr>
        <w:t>grants from the Instituto Carlos III</w:t>
      </w:r>
      <w:r w:rsidRPr="00313BA1">
        <w:rPr>
          <w:rFonts w:ascii="Book Antiqua" w:eastAsia="Times New Roman" w:hAnsi="Book Antiqua" w:cs="Arial"/>
          <w:sz w:val="24"/>
          <w:szCs w:val="24"/>
          <w:lang w:val="en-US" w:eastAsia="zh-CN"/>
        </w:rPr>
        <w:t>,</w:t>
      </w:r>
      <w:r w:rsidRPr="00313BA1">
        <w:rPr>
          <w:rFonts w:ascii="Book Antiqua" w:eastAsia="Times New Roman" w:hAnsi="Book Antiqua" w:cs="Arial"/>
          <w:sz w:val="24"/>
          <w:szCs w:val="24"/>
          <w:lang w:val="en-US"/>
        </w:rPr>
        <w:t xml:space="preserve"> </w:t>
      </w:r>
      <w:r w:rsidRPr="00313BA1">
        <w:rPr>
          <w:rFonts w:ascii="Book Antiqua" w:hAnsi="Book Antiqua" w:cs="Arial"/>
          <w:sz w:val="24"/>
          <w:szCs w:val="24"/>
          <w:lang w:val="en-US" w:eastAsia="zh-CN"/>
        </w:rPr>
        <w:t>No</w:t>
      </w:r>
      <w:r w:rsidR="00CF0874">
        <w:rPr>
          <w:rFonts w:ascii="Book Antiqua" w:eastAsia="SimSun" w:hAnsi="Book Antiqua" w:cs="Arial" w:hint="eastAsia"/>
          <w:sz w:val="24"/>
          <w:szCs w:val="24"/>
          <w:lang w:val="en-US" w:eastAsia="zh-CN"/>
        </w:rPr>
        <w:t>s</w:t>
      </w:r>
      <w:r w:rsidRPr="00313BA1">
        <w:rPr>
          <w:rFonts w:ascii="Book Antiqua" w:hAnsi="Book Antiqua" w:cs="Arial"/>
          <w:sz w:val="24"/>
          <w:szCs w:val="24"/>
          <w:lang w:val="en-US" w:eastAsia="zh-CN"/>
        </w:rPr>
        <w:t xml:space="preserve">. </w:t>
      </w:r>
      <w:r w:rsidRPr="00313BA1">
        <w:rPr>
          <w:rFonts w:ascii="Book Antiqua" w:eastAsia="Times New Roman" w:hAnsi="Book Antiqua" w:cs="Arial"/>
          <w:sz w:val="24"/>
          <w:szCs w:val="24"/>
          <w:lang w:val="en-US"/>
        </w:rPr>
        <w:t>PI 11/01377</w:t>
      </w:r>
      <w:r w:rsidR="00CF0874">
        <w:rPr>
          <w:rFonts w:ascii="Book Antiqua" w:eastAsia="SimSun" w:hAnsi="Book Antiqua" w:cs="Arial" w:hint="eastAsia"/>
          <w:sz w:val="24"/>
          <w:szCs w:val="24"/>
          <w:lang w:val="en-US" w:eastAsia="zh-CN"/>
        </w:rPr>
        <w:t xml:space="preserve"> and</w:t>
      </w:r>
      <w:r w:rsidRPr="00313BA1">
        <w:rPr>
          <w:rFonts w:ascii="Book Antiqua" w:eastAsia="Times New Roman" w:hAnsi="Book Antiqua" w:cs="Arial"/>
          <w:sz w:val="24"/>
          <w:szCs w:val="24"/>
          <w:lang w:val="en-US"/>
        </w:rPr>
        <w:t xml:space="preserve"> ISCIII-RETICRD12/0036/0029</w:t>
      </w:r>
      <w:r w:rsidRPr="00313BA1">
        <w:rPr>
          <w:rFonts w:ascii="Book Antiqua" w:eastAsia="Times New Roman" w:hAnsi="Book Antiqua" w:cs="Arial"/>
          <w:sz w:val="24"/>
          <w:szCs w:val="24"/>
          <w:lang w:val="en-US" w:eastAsia="zh-CN"/>
        </w:rPr>
        <w:t>;</w:t>
      </w:r>
      <w:r w:rsidRPr="00313BA1">
        <w:rPr>
          <w:rFonts w:ascii="Book Antiqua" w:eastAsia="Times New Roman" w:hAnsi="Book Antiqua" w:cs="Arial"/>
          <w:sz w:val="24"/>
          <w:szCs w:val="24"/>
          <w:lang w:val="en-US"/>
        </w:rPr>
        <w:t xml:space="preserve"> Government of Catalonia</w:t>
      </w:r>
      <w:r w:rsidRPr="00313BA1">
        <w:rPr>
          <w:rFonts w:ascii="Book Antiqua" w:eastAsia="Times New Roman" w:hAnsi="Book Antiqua" w:cs="Arial"/>
          <w:sz w:val="24"/>
          <w:szCs w:val="24"/>
          <w:lang w:val="en-US" w:eastAsia="zh-CN"/>
        </w:rPr>
        <w:t>,</w:t>
      </w:r>
      <w:r w:rsidRPr="00313BA1">
        <w:rPr>
          <w:rFonts w:ascii="Book Antiqua" w:eastAsia="Times New Roman" w:hAnsi="Book Antiqua" w:cs="Arial"/>
          <w:sz w:val="24"/>
          <w:szCs w:val="24"/>
          <w:lang w:val="en-US"/>
        </w:rPr>
        <w:t xml:space="preserve"> </w:t>
      </w:r>
      <w:r w:rsidRPr="00313BA1">
        <w:rPr>
          <w:rFonts w:ascii="Book Antiqua" w:eastAsia="Times New Roman" w:hAnsi="Book Antiqua" w:cs="Arial"/>
          <w:sz w:val="24"/>
          <w:szCs w:val="24"/>
          <w:lang w:val="en-US" w:eastAsia="zh-CN"/>
        </w:rPr>
        <w:t xml:space="preserve">No. </w:t>
      </w:r>
      <w:r w:rsidRPr="00313BA1">
        <w:rPr>
          <w:rFonts w:ascii="Book Antiqua" w:eastAsia="Times New Roman" w:hAnsi="Book Antiqua" w:cs="Arial"/>
          <w:sz w:val="24"/>
          <w:szCs w:val="24"/>
          <w:lang w:val="en-US"/>
        </w:rPr>
        <w:t>2017SGR-1014.</w:t>
      </w:r>
    </w:p>
    <w:p w:rsidR="00CF0874" w:rsidRPr="00CF0874" w:rsidRDefault="00CF0874" w:rsidP="00313BA1">
      <w:pPr>
        <w:spacing w:after="0" w:line="360" w:lineRule="auto"/>
        <w:ind w:right="-565"/>
        <w:jc w:val="both"/>
        <w:textAlignment w:val="baseline"/>
        <w:rPr>
          <w:rFonts w:ascii="Book Antiqua" w:eastAsia="SimSun" w:hAnsi="Book Antiqua" w:cs="Arial"/>
          <w:b/>
          <w:sz w:val="24"/>
          <w:szCs w:val="24"/>
          <w:lang w:val="en-US" w:eastAsia="zh-CN"/>
        </w:rPr>
      </w:pPr>
    </w:p>
    <w:p w:rsidR="00E91C72" w:rsidRPr="00313BA1" w:rsidRDefault="00050295" w:rsidP="00313BA1">
      <w:pPr>
        <w:spacing w:after="0" w:line="360" w:lineRule="auto"/>
        <w:ind w:right="-565"/>
        <w:jc w:val="both"/>
        <w:textAlignment w:val="baseline"/>
        <w:rPr>
          <w:rFonts w:ascii="Book Antiqua" w:eastAsia="Times New Roman" w:hAnsi="Book Antiqua" w:cs="Arial"/>
          <w:sz w:val="24"/>
          <w:szCs w:val="24"/>
          <w:lang w:val="en-US"/>
        </w:rPr>
      </w:pPr>
      <w:r w:rsidRPr="00313BA1">
        <w:rPr>
          <w:rFonts w:ascii="Book Antiqua" w:hAnsi="Book Antiqua"/>
          <w:b/>
          <w:sz w:val="24"/>
          <w:szCs w:val="24"/>
        </w:rPr>
        <w:t>Informed consent statement:</w:t>
      </w:r>
      <w:r w:rsidR="00E91C72" w:rsidRPr="00313BA1">
        <w:rPr>
          <w:rFonts w:ascii="Book Antiqua" w:eastAsia="Times New Roman" w:hAnsi="Book Antiqua" w:cs="Arial"/>
          <w:b/>
          <w:sz w:val="24"/>
          <w:szCs w:val="24"/>
          <w:lang w:val="en-US"/>
        </w:rPr>
        <w:t xml:space="preserve"> </w:t>
      </w:r>
      <w:r w:rsidR="00E91C72" w:rsidRPr="00313BA1">
        <w:rPr>
          <w:rFonts w:ascii="Book Antiqua" w:eastAsia="Times New Roman" w:hAnsi="Book Antiqua" w:cs="Arial"/>
          <w:sz w:val="24"/>
          <w:szCs w:val="24"/>
          <w:lang w:val="en-US"/>
        </w:rPr>
        <w:t>The patient authorized the medical team to write up her clinical history and allowed for the data and clinical photographs to be published. Her identity is protected throughout the manuscript.</w:t>
      </w:r>
    </w:p>
    <w:p w:rsidR="00E91C72" w:rsidRPr="00CF0874" w:rsidRDefault="00E91C72" w:rsidP="00313BA1">
      <w:pPr>
        <w:pStyle w:val="NoSpacing"/>
        <w:spacing w:line="360" w:lineRule="auto"/>
        <w:ind w:right="-565"/>
        <w:jc w:val="both"/>
        <w:rPr>
          <w:rFonts w:ascii="Book Antiqua" w:eastAsia="SimSun" w:hAnsi="Book Antiqua" w:cs="Arial"/>
          <w:b/>
          <w:sz w:val="24"/>
          <w:szCs w:val="24"/>
        </w:rPr>
      </w:pPr>
    </w:p>
    <w:p w:rsidR="00E91C72" w:rsidRPr="00313BA1" w:rsidRDefault="00050295" w:rsidP="00313BA1">
      <w:pPr>
        <w:pStyle w:val="NoSpacing"/>
        <w:spacing w:line="360" w:lineRule="auto"/>
        <w:ind w:right="-565"/>
        <w:jc w:val="both"/>
        <w:rPr>
          <w:rFonts w:ascii="Book Antiqua" w:hAnsi="Book Antiqua" w:cs="Arial"/>
          <w:sz w:val="24"/>
          <w:szCs w:val="24"/>
        </w:rPr>
      </w:pPr>
      <w:r w:rsidRPr="00313BA1">
        <w:rPr>
          <w:rFonts w:ascii="Book Antiqua" w:hAnsi="Book Antiqua"/>
          <w:b/>
          <w:sz w:val="24"/>
          <w:szCs w:val="24"/>
          <w:lang w:val="it-IT"/>
        </w:rPr>
        <w:t>Conflict-of-interest statement</w:t>
      </w:r>
      <w:r w:rsidRPr="00313BA1">
        <w:rPr>
          <w:rFonts w:ascii="Book Antiqua" w:hAnsi="Book Antiqua"/>
          <w:b/>
          <w:sz w:val="24"/>
          <w:szCs w:val="24"/>
        </w:rPr>
        <w:t>:</w:t>
      </w:r>
      <w:r w:rsidR="00E91C72" w:rsidRPr="00313BA1">
        <w:rPr>
          <w:rFonts w:ascii="Book Antiqua" w:hAnsi="Book Antiqua" w:cs="Arial"/>
          <w:sz w:val="24"/>
          <w:szCs w:val="24"/>
        </w:rPr>
        <w:t xml:space="preserve"> The authors declare that they have no conflicts of interest.</w:t>
      </w:r>
    </w:p>
    <w:p w:rsidR="00E91C72" w:rsidRPr="00313BA1" w:rsidRDefault="00E91C72" w:rsidP="00313BA1">
      <w:pPr>
        <w:spacing w:after="0" w:line="360" w:lineRule="auto"/>
        <w:ind w:right="-565"/>
        <w:jc w:val="both"/>
        <w:rPr>
          <w:rFonts w:ascii="Book Antiqua" w:hAnsi="Book Antiqua" w:cs="Arial"/>
          <w:b/>
          <w:sz w:val="24"/>
          <w:szCs w:val="24"/>
          <w:lang w:val="en-US"/>
        </w:rPr>
      </w:pPr>
    </w:p>
    <w:p w:rsidR="00E91C72" w:rsidRPr="00313BA1" w:rsidRDefault="00050295" w:rsidP="00313BA1">
      <w:pPr>
        <w:spacing w:after="0" w:line="360" w:lineRule="auto"/>
        <w:ind w:rightChars="-258" w:right="-568"/>
        <w:jc w:val="both"/>
        <w:rPr>
          <w:rFonts w:ascii="Book Antiqua" w:eastAsia="SimSun" w:hAnsi="Book Antiqua" w:cs="Arial"/>
          <w:b/>
          <w:sz w:val="24"/>
          <w:szCs w:val="24"/>
          <w:lang w:val="en-GB" w:eastAsia="zh-CN"/>
        </w:rPr>
      </w:pPr>
      <w:r w:rsidRPr="00313BA1">
        <w:rPr>
          <w:rFonts w:ascii="Book Antiqua" w:hAnsi="Book Antiqua"/>
          <w:b/>
          <w:color w:val="000000" w:themeColor="text1"/>
          <w:sz w:val="24"/>
          <w:szCs w:val="24"/>
        </w:rPr>
        <w:t>CARE Checklist (201</w:t>
      </w:r>
      <w:r w:rsidRPr="00313BA1">
        <w:rPr>
          <w:rFonts w:ascii="Book Antiqua" w:eastAsia="SimSun" w:hAnsi="Book Antiqua"/>
          <w:b/>
          <w:color w:val="000000" w:themeColor="text1"/>
          <w:sz w:val="24"/>
          <w:szCs w:val="24"/>
          <w:lang w:eastAsia="zh-CN"/>
        </w:rPr>
        <w:t>6</w:t>
      </w:r>
      <w:r w:rsidRPr="00313BA1">
        <w:rPr>
          <w:rFonts w:ascii="Book Antiqua" w:hAnsi="Book Antiqua"/>
          <w:b/>
          <w:color w:val="000000" w:themeColor="text1"/>
          <w:sz w:val="24"/>
          <w:szCs w:val="24"/>
        </w:rPr>
        <w:t>) statement:</w:t>
      </w:r>
      <w:r w:rsidR="00E91C72" w:rsidRPr="00313BA1">
        <w:rPr>
          <w:rFonts w:ascii="Book Antiqua" w:hAnsi="Book Antiqua" w:cs="Arial"/>
          <w:bCs/>
          <w:sz w:val="24"/>
          <w:szCs w:val="24"/>
          <w:lang w:val="en-US"/>
        </w:rPr>
        <w:t xml:space="preserve"> </w:t>
      </w:r>
      <w:r w:rsidR="00E91C72" w:rsidRPr="00313BA1">
        <w:rPr>
          <w:rFonts w:ascii="Book Antiqua" w:hAnsi="Book Antiqua" w:cs="Arial"/>
          <w:spacing w:val="-2"/>
          <w:sz w:val="24"/>
          <w:szCs w:val="24"/>
          <w:lang w:val="en-GB"/>
        </w:rPr>
        <w:t>The authors have read the CARE Checklist (2016), and the manuscript was prepared and revised according to the CARE Checklist-2016.</w:t>
      </w:r>
    </w:p>
    <w:p w:rsidR="00E91C72" w:rsidRPr="00313BA1" w:rsidRDefault="00E91C72" w:rsidP="00313BA1">
      <w:pPr>
        <w:spacing w:after="0" w:line="360" w:lineRule="auto"/>
        <w:jc w:val="both"/>
        <w:rPr>
          <w:rFonts w:ascii="Book Antiqua" w:eastAsia="SimSun" w:hAnsi="Book Antiqua" w:cs="Arial"/>
          <w:b/>
          <w:sz w:val="24"/>
          <w:szCs w:val="24"/>
          <w:lang w:val="en-GB"/>
        </w:rPr>
      </w:pPr>
    </w:p>
    <w:p w:rsidR="00050295" w:rsidRPr="00313BA1" w:rsidRDefault="00050295" w:rsidP="00313BA1">
      <w:pPr>
        <w:spacing w:after="0" w:line="360" w:lineRule="auto"/>
        <w:jc w:val="both"/>
        <w:rPr>
          <w:rFonts w:ascii="Book Antiqua" w:hAnsi="Book Antiqua"/>
          <w:sz w:val="24"/>
          <w:szCs w:val="24"/>
        </w:rPr>
      </w:pPr>
      <w:r w:rsidRPr="00313BA1">
        <w:rPr>
          <w:rFonts w:ascii="Book Antiqua" w:hAnsi="Book Antiqua"/>
          <w:b/>
          <w:sz w:val="24"/>
          <w:szCs w:val="24"/>
        </w:rPr>
        <w:t xml:space="preserve">Open-Access: </w:t>
      </w:r>
      <w:r w:rsidRPr="00313BA1">
        <w:rPr>
          <w:rFonts w:ascii="Book Antiqua" w:hAnsi="Book Antiqua"/>
          <w:sz w:val="24"/>
          <w:szCs w:val="24"/>
        </w:rPr>
        <w:t xml:space="preserve">This article is an open-access article which was selected by an in-house editor and fully peer-reviewed by external reviewers. It is </w:t>
      </w:r>
      <w:r w:rsidRPr="00313BA1">
        <w:rPr>
          <w:rFonts w:ascii="Book Antiqua" w:hAnsi="Book Antiqua"/>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50295" w:rsidRPr="00313BA1" w:rsidRDefault="00050295" w:rsidP="00313BA1">
      <w:pPr>
        <w:spacing w:after="0" w:line="360" w:lineRule="auto"/>
        <w:jc w:val="both"/>
        <w:rPr>
          <w:rFonts w:ascii="Book Antiqua" w:hAnsi="Book Antiqua"/>
          <w:sz w:val="24"/>
          <w:szCs w:val="24"/>
        </w:rPr>
      </w:pPr>
    </w:p>
    <w:p w:rsidR="00050295" w:rsidRPr="00313BA1" w:rsidRDefault="00050295" w:rsidP="00313BA1">
      <w:pPr>
        <w:spacing w:after="0" w:line="360" w:lineRule="auto"/>
        <w:jc w:val="both"/>
        <w:rPr>
          <w:rFonts w:ascii="Book Antiqua" w:hAnsi="Book Antiqua"/>
          <w:bCs/>
          <w:iCs/>
          <w:sz w:val="24"/>
          <w:szCs w:val="24"/>
        </w:rPr>
      </w:pPr>
      <w:r w:rsidRPr="00313BA1">
        <w:rPr>
          <w:rFonts w:ascii="Book Antiqua" w:hAnsi="Book Antiqua"/>
          <w:b/>
          <w:bCs/>
          <w:iCs/>
          <w:sz w:val="24"/>
          <w:szCs w:val="24"/>
        </w:rPr>
        <w:t>Manuscript source:</w:t>
      </w:r>
      <w:r w:rsidRPr="00313BA1">
        <w:rPr>
          <w:rFonts w:ascii="Book Antiqua" w:hAnsi="Book Antiqua"/>
          <w:bCs/>
          <w:iCs/>
          <w:sz w:val="24"/>
          <w:szCs w:val="24"/>
        </w:rPr>
        <w:t xml:space="preserve"> Unsolicited manuscript</w:t>
      </w:r>
    </w:p>
    <w:p w:rsidR="00E91C72" w:rsidRPr="00313BA1" w:rsidRDefault="00E91C72" w:rsidP="00313BA1">
      <w:pPr>
        <w:spacing w:after="0" w:line="360" w:lineRule="auto"/>
        <w:jc w:val="both"/>
        <w:rPr>
          <w:rFonts w:ascii="Book Antiqua" w:eastAsia="SimSun" w:hAnsi="Book Antiqua"/>
          <w:sz w:val="24"/>
          <w:szCs w:val="24"/>
          <w:lang w:eastAsia="zh-CN"/>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sz w:val="24"/>
          <w:szCs w:val="24"/>
          <w:lang w:val="en-US"/>
        </w:rPr>
        <w:t>Correspond</w:t>
      </w:r>
      <w:r w:rsidRPr="00313BA1">
        <w:rPr>
          <w:rFonts w:ascii="Book Antiqua" w:hAnsi="Book Antiqua" w:cs="Arial"/>
          <w:b/>
          <w:sz w:val="24"/>
          <w:szCs w:val="24"/>
          <w:lang w:val="en-US" w:eastAsia="zh-CN"/>
        </w:rPr>
        <w:t>ing author</w:t>
      </w:r>
      <w:r w:rsidRPr="00313BA1">
        <w:rPr>
          <w:rFonts w:ascii="Book Antiqua" w:hAnsi="Book Antiqua" w:cs="Arial"/>
          <w:b/>
          <w:sz w:val="24"/>
          <w:szCs w:val="24"/>
          <w:lang w:val="en-US"/>
        </w:rPr>
        <w:t xml:space="preserve"> to:</w:t>
      </w:r>
      <w:r w:rsidRPr="00313BA1">
        <w:rPr>
          <w:rFonts w:ascii="Book Antiqua" w:hAnsi="Book Antiqua" w:cs="Arial"/>
          <w:sz w:val="24"/>
          <w:szCs w:val="24"/>
          <w:lang w:val="en-US"/>
        </w:rPr>
        <w:t xml:space="preserve"> </w:t>
      </w:r>
      <w:r w:rsidRPr="00313BA1">
        <w:rPr>
          <w:rFonts w:ascii="Book Antiqua" w:hAnsi="Book Antiqua" w:cs="Arial"/>
          <w:b/>
          <w:sz w:val="24"/>
          <w:szCs w:val="24"/>
          <w:lang w:val="en-US"/>
        </w:rPr>
        <w:t>Pepita Gimenez-</w:t>
      </w:r>
      <w:proofErr w:type="spellStart"/>
      <w:r w:rsidRPr="00313BA1">
        <w:rPr>
          <w:rFonts w:ascii="Book Antiqua" w:hAnsi="Book Antiqua" w:cs="Arial"/>
          <w:b/>
          <w:sz w:val="24"/>
          <w:szCs w:val="24"/>
          <w:lang w:val="en-US"/>
        </w:rPr>
        <w:t>Bonafé</w:t>
      </w:r>
      <w:proofErr w:type="spellEnd"/>
      <w:r w:rsidRPr="00313BA1">
        <w:rPr>
          <w:rFonts w:ascii="Book Antiqua" w:hAnsi="Book Antiqua" w:cs="Arial"/>
          <w:b/>
          <w:sz w:val="24"/>
          <w:szCs w:val="24"/>
          <w:lang w:val="en-US"/>
        </w:rPr>
        <w:t xml:space="preserve">, </w:t>
      </w:r>
      <w:proofErr w:type="spellStart"/>
      <w:r w:rsidRPr="00313BA1">
        <w:rPr>
          <w:rFonts w:ascii="Book Antiqua" w:hAnsi="Book Antiqua" w:cs="Arial"/>
          <w:b/>
          <w:sz w:val="24"/>
          <w:szCs w:val="24"/>
          <w:lang w:val="en-US"/>
        </w:rPr>
        <w:t>BsC</w:t>
      </w:r>
      <w:proofErr w:type="spellEnd"/>
      <w:r w:rsidRPr="00313BA1">
        <w:rPr>
          <w:rFonts w:ascii="Book Antiqua" w:hAnsi="Book Antiqua" w:cs="Arial"/>
          <w:b/>
          <w:sz w:val="24"/>
          <w:szCs w:val="24"/>
          <w:lang w:val="en-US"/>
        </w:rPr>
        <w:t xml:space="preserve">, </w:t>
      </w:r>
      <w:r w:rsidR="00050295" w:rsidRPr="00313BA1">
        <w:rPr>
          <w:rFonts w:ascii="Book Antiqua" w:hAnsi="Book Antiqua" w:cs="Arial"/>
          <w:b/>
          <w:sz w:val="24"/>
          <w:szCs w:val="24"/>
          <w:lang w:val="en-US"/>
        </w:rPr>
        <w:t xml:space="preserve">BSc, MSc, PhD, Senior Research Fellow, Full time professor and scientist, </w:t>
      </w:r>
      <w:r w:rsidRPr="00313BA1">
        <w:rPr>
          <w:rFonts w:ascii="Book Antiqua" w:hAnsi="Book Antiqua" w:cs="Arial"/>
          <w:sz w:val="24"/>
          <w:szCs w:val="24"/>
          <w:lang w:val="en-US"/>
        </w:rPr>
        <w:t xml:space="preserve">Department of Physiological Sciences, </w:t>
      </w:r>
      <w:proofErr w:type="spellStart"/>
      <w:r w:rsidRPr="00313BA1">
        <w:rPr>
          <w:rFonts w:ascii="Book Antiqua" w:hAnsi="Book Antiqua" w:cs="Arial"/>
          <w:sz w:val="24"/>
          <w:szCs w:val="24"/>
          <w:lang w:val="en-US"/>
        </w:rPr>
        <w:t>Universitat</w:t>
      </w:r>
      <w:proofErr w:type="spellEnd"/>
      <w:r w:rsidRPr="00313BA1">
        <w:rPr>
          <w:rFonts w:ascii="Book Antiqua" w:hAnsi="Book Antiqua" w:cs="Arial"/>
          <w:sz w:val="24"/>
          <w:szCs w:val="24"/>
          <w:lang w:val="en-US"/>
        </w:rPr>
        <w:t xml:space="preserve"> de Barcelona, </w:t>
      </w:r>
      <w:proofErr w:type="spellStart"/>
      <w:r w:rsidRPr="00313BA1">
        <w:rPr>
          <w:rFonts w:ascii="Book Antiqua" w:hAnsi="Book Antiqua" w:cs="Arial"/>
          <w:sz w:val="24"/>
          <w:szCs w:val="24"/>
          <w:lang w:val="en-US"/>
        </w:rPr>
        <w:t>Carrer</w:t>
      </w:r>
      <w:proofErr w:type="spellEnd"/>
      <w:r w:rsidRPr="00313BA1">
        <w:rPr>
          <w:rFonts w:ascii="Book Antiqua" w:hAnsi="Book Antiqua" w:cs="Arial"/>
          <w:sz w:val="24"/>
          <w:szCs w:val="24"/>
          <w:lang w:val="en-US"/>
        </w:rPr>
        <w:t xml:space="preserve"> </w:t>
      </w:r>
      <w:proofErr w:type="spellStart"/>
      <w:r w:rsidRPr="00313BA1">
        <w:rPr>
          <w:rFonts w:ascii="Book Antiqua" w:hAnsi="Book Antiqua" w:cs="Arial"/>
          <w:sz w:val="24"/>
          <w:szCs w:val="24"/>
          <w:lang w:val="en-US"/>
        </w:rPr>
        <w:t>Feixa</w:t>
      </w:r>
      <w:proofErr w:type="spellEnd"/>
      <w:r w:rsidRPr="00313BA1">
        <w:rPr>
          <w:rFonts w:ascii="Book Antiqua" w:hAnsi="Book Antiqua" w:cs="Arial"/>
          <w:sz w:val="24"/>
          <w:szCs w:val="24"/>
          <w:lang w:val="en-US"/>
        </w:rPr>
        <w:t xml:space="preserve"> </w:t>
      </w:r>
      <w:proofErr w:type="spellStart"/>
      <w:r w:rsidRPr="00313BA1">
        <w:rPr>
          <w:rFonts w:ascii="Book Antiqua" w:hAnsi="Book Antiqua" w:cs="Arial"/>
          <w:sz w:val="24"/>
          <w:szCs w:val="24"/>
          <w:lang w:val="en-US"/>
        </w:rPr>
        <w:t>Llarga</w:t>
      </w:r>
      <w:proofErr w:type="spellEnd"/>
      <w:r w:rsidRPr="00313BA1">
        <w:rPr>
          <w:rFonts w:ascii="Book Antiqua" w:hAnsi="Book Antiqua" w:cs="Arial"/>
          <w:sz w:val="24"/>
          <w:szCs w:val="24"/>
          <w:lang w:val="en-US"/>
        </w:rPr>
        <w:t xml:space="preserve">, s/n, </w:t>
      </w:r>
      <w:proofErr w:type="spellStart"/>
      <w:r w:rsidRPr="00313BA1">
        <w:rPr>
          <w:rFonts w:ascii="Book Antiqua" w:hAnsi="Book Antiqua" w:cs="Arial"/>
          <w:sz w:val="24"/>
          <w:szCs w:val="24"/>
          <w:lang w:val="en-US"/>
        </w:rPr>
        <w:t>L'Hospitalet</w:t>
      </w:r>
      <w:proofErr w:type="spellEnd"/>
      <w:r w:rsidRPr="00313BA1">
        <w:rPr>
          <w:rFonts w:ascii="Book Antiqua" w:hAnsi="Book Antiqua" w:cs="Arial"/>
          <w:sz w:val="24"/>
          <w:szCs w:val="24"/>
          <w:lang w:val="en-US"/>
        </w:rPr>
        <w:t xml:space="preserve"> de </w:t>
      </w:r>
      <w:proofErr w:type="spellStart"/>
      <w:r w:rsidRPr="00313BA1">
        <w:rPr>
          <w:rFonts w:ascii="Book Antiqua" w:hAnsi="Book Antiqua" w:cs="Arial"/>
          <w:sz w:val="24"/>
          <w:szCs w:val="24"/>
          <w:lang w:val="en-US"/>
        </w:rPr>
        <w:t>Llobregat</w:t>
      </w:r>
      <w:proofErr w:type="spellEnd"/>
      <w:r w:rsidRPr="00313BA1">
        <w:rPr>
          <w:rFonts w:ascii="Book Antiqua" w:hAnsi="Book Antiqua" w:cs="Arial"/>
          <w:sz w:val="24"/>
          <w:szCs w:val="24"/>
          <w:lang w:val="en-US"/>
        </w:rPr>
        <w:t>, Barcelona</w:t>
      </w:r>
      <w:r w:rsidR="00EC6204" w:rsidRPr="00313BA1">
        <w:rPr>
          <w:rFonts w:ascii="Book Antiqua" w:eastAsia="SimSun" w:hAnsi="Book Antiqua" w:cs="Arial"/>
          <w:sz w:val="24"/>
          <w:szCs w:val="24"/>
          <w:lang w:val="en-US" w:eastAsia="zh-CN"/>
        </w:rPr>
        <w:t xml:space="preserve"> </w:t>
      </w:r>
      <w:r w:rsidR="00EC6204" w:rsidRPr="00313BA1">
        <w:rPr>
          <w:rFonts w:ascii="Book Antiqua" w:hAnsi="Book Antiqua" w:cs="Arial"/>
          <w:sz w:val="24"/>
          <w:szCs w:val="24"/>
          <w:lang w:val="en-US"/>
        </w:rPr>
        <w:t>08907</w:t>
      </w:r>
      <w:r w:rsidRPr="00313BA1">
        <w:rPr>
          <w:rFonts w:ascii="Book Antiqua" w:hAnsi="Book Antiqua" w:cs="Arial"/>
          <w:sz w:val="24"/>
          <w:szCs w:val="24"/>
          <w:lang w:val="en-US"/>
        </w:rPr>
        <w:t xml:space="preserve">, Spain. </w:t>
      </w:r>
      <w:hyperlink r:id="rId5" w:history="1">
        <w:r w:rsidRPr="00313BA1">
          <w:rPr>
            <w:rStyle w:val="Hyperlink"/>
            <w:rFonts w:ascii="Book Antiqua" w:hAnsi="Book Antiqua" w:cs="Arial"/>
            <w:color w:val="auto"/>
            <w:sz w:val="24"/>
            <w:szCs w:val="24"/>
            <w:lang w:val="en-US"/>
          </w:rPr>
          <w:t>pgimenez@ub.edu</w:t>
        </w:r>
      </w:hyperlink>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sz w:val="24"/>
          <w:szCs w:val="24"/>
          <w:lang w:val="en-US"/>
        </w:rPr>
        <w:t>Telephone:</w:t>
      </w:r>
      <w:r w:rsidR="00846397" w:rsidRPr="00313BA1">
        <w:rPr>
          <w:rFonts w:ascii="Book Antiqua" w:hAnsi="Book Antiqua" w:cs="Arial"/>
          <w:sz w:val="24"/>
          <w:szCs w:val="24"/>
          <w:lang w:val="en-US"/>
        </w:rPr>
        <w:t xml:space="preserve"> +34-934</w:t>
      </w:r>
      <w:r w:rsidR="00846397" w:rsidRPr="00313BA1">
        <w:rPr>
          <w:rFonts w:ascii="Book Antiqua" w:eastAsia="SimSun" w:hAnsi="Book Antiqua" w:cs="Arial"/>
          <w:sz w:val="24"/>
          <w:szCs w:val="24"/>
          <w:lang w:val="en-US" w:eastAsia="zh-CN"/>
        </w:rPr>
        <w:t>-</w:t>
      </w:r>
      <w:r w:rsidR="00846397" w:rsidRPr="00313BA1">
        <w:rPr>
          <w:rFonts w:ascii="Book Antiqua" w:hAnsi="Book Antiqua" w:cs="Arial"/>
          <w:sz w:val="24"/>
          <w:szCs w:val="24"/>
          <w:lang w:val="en-US"/>
        </w:rPr>
        <w:t>039</w:t>
      </w:r>
      <w:r w:rsidRPr="00313BA1">
        <w:rPr>
          <w:rFonts w:ascii="Book Antiqua" w:hAnsi="Book Antiqua" w:cs="Arial"/>
          <w:sz w:val="24"/>
          <w:szCs w:val="24"/>
          <w:lang w:val="en-US"/>
        </w:rPr>
        <w:t>727</w:t>
      </w:r>
    </w:p>
    <w:p w:rsidR="00E91C72" w:rsidRPr="00313BA1" w:rsidRDefault="00E91C72" w:rsidP="00313BA1">
      <w:pPr>
        <w:spacing w:after="0" w:line="360" w:lineRule="auto"/>
        <w:ind w:right="-565"/>
        <w:jc w:val="both"/>
        <w:rPr>
          <w:rFonts w:ascii="Book Antiqua" w:eastAsia="SimSun" w:hAnsi="Book Antiqua" w:cs="Arial"/>
          <w:sz w:val="24"/>
          <w:szCs w:val="24"/>
          <w:lang w:val="en-US" w:eastAsia="zh-CN"/>
        </w:rPr>
      </w:pPr>
      <w:r w:rsidRPr="00313BA1">
        <w:rPr>
          <w:rFonts w:ascii="Book Antiqua" w:hAnsi="Book Antiqua" w:cs="Arial"/>
          <w:b/>
          <w:sz w:val="24"/>
          <w:szCs w:val="24"/>
          <w:lang w:val="en-US"/>
        </w:rPr>
        <w:t>Fax:</w:t>
      </w:r>
      <w:r w:rsidR="00846397" w:rsidRPr="00313BA1">
        <w:rPr>
          <w:rFonts w:ascii="Book Antiqua" w:hAnsi="Book Antiqua" w:cs="Arial"/>
          <w:sz w:val="24"/>
          <w:szCs w:val="24"/>
          <w:lang w:val="en-US"/>
        </w:rPr>
        <w:t xml:space="preserve"> +34-934</w:t>
      </w:r>
      <w:r w:rsidR="00846397" w:rsidRPr="00313BA1">
        <w:rPr>
          <w:rFonts w:ascii="Book Antiqua" w:eastAsia="SimSun" w:hAnsi="Book Antiqua" w:cs="Arial"/>
          <w:sz w:val="24"/>
          <w:szCs w:val="24"/>
          <w:lang w:val="en-US" w:eastAsia="zh-CN"/>
        </w:rPr>
        <w:t>-</w:t>
      </w:r>
      <w:r w:rsidR="00846397" w:rsidRPr="00313BA1">
        <w:rPr>
          <w:rFonts w:ascii="Book Antiqua" w:hAnsi="Book Antiqua" w:cs="Arial"/>
          <w:sz w:val="24"/>
          <w:szCs w:val="24"/>
          <w:lang w:val="en-US"/>
        </w:rPr>
        <w:t>024</w:t>
      </w:r>
      <w:r w:rsidRPr="00313BA1">
        <w:rPr>
          <w:rFonts w:ascii="Book Antiqua" w:hAnsi="Book Antiqua" w:cs="Arial"/>
          <w:sz w:val="24"/>
          <w:szCs w:val="24"/>
          <w:lang w:val="en-US"/>
        </w:rPr>
        <w:t>268</w:t>
      </w:r>
    </w:p>
    <w:p w:rsidR="00E91C72" w:rsidRPr="00313BA1" w:rsidRDefault="00E91C72" w:rsidP="00313BA1">
      <w:pPr>
        <w:spacing w:after="0" w:line="360" w:lineRule="auto"/>
        <w:ind w:right="-565"/>
        <w:jc w:val="both"/>
        <w:rPr>
          <w:rStyle w:val="Hyperlink"/>
          <w:rFonts w:ascii="Book Antiqua" w:eastAsia="SimSun" w:hAnsi="Book Antiqua" w:cs="Arial"/>
          <w:color w:val="auto"/>
          <w:sz w:val="24"/>
          <w:szCs w:val="24"/>
          <w:lang w:val="en-US" w:eastAsia="zh-CN"/>
        </w:rPr>
      </w:pPr>
    </w:p>
    <w:p w:rsidR="00050295" w:rsidRPr="00313BA1" w:rsidRDefault="00050295" w:rsidP="00313BA1">
      <w:pPr>
        <w:autoSpaceDE w:val="0"/>
        <w:autoSpaceDN w:val="0"/>
        <w:adjustRightInd w:val="0"/>
        <w:spacing w:after="0" w:line="360" w:lineRule="auto"/>
        <w:jc w:val="both"/>
        <w:rPr>
          <w:rFonts w:ascii="Book Antiqua" w:hAnsi="Book Antiqua"/>
          <w:sz w:val="24"/>
          <w:szCs w:val="24"/>
        </w:rPr>
      </w:pPr>
      <w:r w:rsidRPr="00313BA1">
        <w:rPr>
          <w:rFonts w:ascii="Book Antiqua" w:hAnsi="Book Antiqua"/>
          <w:b/>
          <w:sz w:val="24"/>
          <w:szCs w:val="24"/>
        </w:rPr>
        <w:t xml:space="preserve">Received: </w:t>
      </w:r>
      <w:r w:rsidRPr="00313BA1">
        <w:rPr>
          <w:rFonts w:ascii="Book Antiqua" w:hAnsi="Book Antiqua"/>
          <w:sz w:val="24"/>
          <w:szCs w:val="24"/>
        </w:rPr>
        <w:t>July</w:t>
      </w:r>
      <w:r w:rsidRPr="00313BA1">
        <w:rPr>
          <w:rFonts w:ascii="Book Antiqua" w:hAnsi="Book Antiqua"/>
          <w:b/>
          <w:sz w:val="24"/>
          <w:szCs w:val="24"/>
        </w:rPr>
        <w:t xml:space="preserve"> </w:t>
      </w:r>
      <w:r w:rsidRPr="00313BA1">
        <w:rPr>
          <w:rFonts w:ascii="Book Antiqua" w:hAnsi="Book Antiqua"/>
          <w:sz w:val="24"/>
          <w:szCs w:val="24"/>
        </w:rPr>
        <w:t>1</w:t>
      </w:r>
      <w:r w:rsidRPr="00313BA1">
        <w:rPr>
          <w:rFonts w:ascii="Book Antiqua" w:eastAsia="SimSun" w:hAnsi="Book Antiqua"/>
          <w:sz w:val="24"/>
          <w:szCs w:val="24"/>
          <w:lang w:eastAsia="zh-CN"/>
        </w:rPr>
        <w:t>3</w:t>
      </w:r>
      <w:r w:rsidRPr="00313BA1">
        <w:rPr>
          <w:rFonts w:ascii="Book Antiqua" w:hAnsi="Book Antiqua"/>
          <w:sz w:val="24"/>
          <w:szCs w:val="24"/>
        </w:rPr>
        <w:t xml:space="preserve">, 2018 </w:t>
      </w:r>
    </w:p>
    <w:p w:rsidR="00050295" w:rsidRPr="00313BA1" w:rsidRDefault="00050295" w:rsidP="00313BA1">
      <w:pPr>
        <w:autoSpaceDE w:val="0"/>
        <w:autoSpaceDN w:val="0"/>
        <w:adjustRightInd w:val="0"/>
        <w:spacing w:after="0" w:line="360" w:lineRule="auto"/>
        <w:jc w:val="both"/>
        <w:rPr>
          <w:rFonts w:ascii="Book Antiqua" w:hAnsi="Book Antiqua"/>
          <w:sz w:val="24"/>
          <w:szCs w:val="24"/>
        </w:rPr>
      </w:pPr>
      <w:r w:rsidRPr="00313BA1">
        <w:rPr>
          <w:rFonts w:ascii="Book Antiqua" w:hAnsi="Book Antiqua"/>
          <w:b/>
          <w:sz w:val="24"/>
          <w:szCs w:val="24"/>
        </w:rPr>
        <w:t>Peer-review started:</w:t>
      </w:r>
      <w:r w:rsidRPr="00313BA1">
        <w:rPr>
          <w:rFonts w:ascii="Book Antiqua" w:hAnsi="Book Antiqua"/>
          <w:sz w:val="24"/>
          <w:szCs w:val="24"/>
        </w:rPr>
        <w:t xml:space="preserve"> July 1</w:t>
      </w:r>
      <w:r w:rsidRPr="00313BA1">
        <w:rPr>
          <w:rFonts w:ascii="Book Antiqua" w:eastAsia="SimSun" w:hAnsi="Book Antiqua"/>
          <w:sz w:val="24"/>
          <w:szCs w:val="24"/>
          <w:lang w:eastAsia="zh-CN"/>
        </w:rPr>
        <w:t>3</w:t>
      </w:r>
      <w:r w:rsidRPr="00313BA1">
        <w:rPr>
          <w:rFonts w:ascii="Book Antiqua" w:hAnsi="Book Antiqua"/>
          <w:sz w:val="24"/>
          <w:szCs w:val="24"/>
        </w:rPr>
        <w:t xml:space="preserve">, 2018 </w:t>
      </w:r>
    </w:p>
    <w:p w:rsidR="00050295" w:rsidRPr="00313BA1" w:rsidRDefault="00050295" w:rsidP="00313BA1">
      <w:pPr>
        <w:autoSpaceDE w:val="0"/>
        <w:autoSpaceDN w:val="0"/>
        <w:adjustRightInd w:val="0"/>
        <w:spacing w:after="0" w:line="360" w:lineRule="auto"/>
        <w:jc w:val="both"/>
        <w:rPr>
          <w:rFonts w:ascii="Book Antiqua" w:hAnsi="Book Antiqua"/>
          <w:sz w:val="24"/>
          <w:szCs w:val="24"/>
        </w:rPr>
      </w:pPr>
      <w:r w:rsidRPr="00313BA1">
        <w:rPr>
          <w:rFonts w:ascii="Book Antiqua" w:hAnsi="Book Antiqua"/>
          <w:b/>
          <w:sz w:val="24"/>
          <w:szCs w:val="24"/>
        </w:rPr>
        <w:t>First decision:</w:t>
      </w:r>
      <w:r w:rsidRPr="00313BA1">
        <w:rPr>
          <w:rFonts w:ascii="Book Antiqua" w:hAnsi="Book Antiqua"/>
          <w:sz w:val="24"/>
          <w:szCs w:val="24"/>
        </w:rPr>
        <w:t xml:space="preserve"> </w:t>
      </w:r>
      <w:r w:rsidRPr="00313BA1">
        <w:rPr>
          <w:rFonts w:ascii="Book Antiqua" w:eastAsia="SimSun" w:hAnsi="Book Antiqua"/>
          <w:sz w:val="24"/>
          <w:szCs w:val="24"/>
          <w:lang w:eastAsia="zh-CN"/>
        </w:rPr>
        <w:t>October</w:t>
      </w:r>
      <w:r w:rsidRPr="00313BA1">
        <w:rPr>
          <w:rFonts w:ascii="Book Antiqua" w:hAnsi="Book Antiqua"/>
          <w:sz w:val="24"/>
          <w:szCs w:val="24"/>
        </w:rPr>
        <w:t xml:space="preserve"> </w:t>
      </w:r>
      <w:r w:rsidRPr="00313BA1">
        <w:rPr>
          <w:rFonts w:ascii="Book Antiqua" w:eastAsia="SimSun" w:hAnsi="Book Antiqua"/>
          <w:sz w:val="24"/>
          <w:szCs w:val="24"/>
          <w:lang w:eastAsia="zh-CN"/>
        </w:rPr>
        <w:t>4</w:t>
      </w:r>
      <w:r w:rsidRPr="00313BA1">
        <w:rPr>
          <w:rFonts w:ascii="Book Antiqua" w:hAnsi="Book Antiqua"/>
          <w:sz w:val="24"/>
          <w:szCs w:val="24"/>
        </w:rPr>
        <w:t xml:space="preserve">, 2018 </w:t>
      </w:r>
    </w:p>
    <w:p w:rsidR="00050295" w:rsidRPr="00313BA1" w:rsidRDefault="00050295" w:rsidP="00313BA1">
      <w:pPr>
        <w:autoSpaceDE w:val="0"/>
        <w:autoSpaceDN w:val="0"/>
        <w:adjustRightInd w:val="0"/>
        <w:spacing w:after="0" w:line="360" w:lineRule="auto"/>
        <w:jc w:val="both"/>
        <w:rPr>
          <w:rFonts w:ascii="Book Antiqua" w:hAnsi="Book Antiqua"/>
          <w:sz w:val="24"/>
          <w:szCs w:val="24"/>
        </w:rPr>
      </w:pPr>
      <w:r w:rsidRPr="00313BA1">
        <w:rPr>
          <w:rFonts w:ascii="Book Antiqua" w:hAnsi="Book Antiqua"/>
          <w:b/>
          <w:sz w:val="24"/>
          <w:szCs w:val="24"/>
        </w:rPr>
        <w:t xml:space="preserve">Revised: </w:t>
      </w:r>
      <w:r w:rsidRPr="00313BA1">
        <w:rPr>
          <w:rFonts w:ascii="Book Antiqua" w:eastAsia="SimSun" w:hAnsi="Book Antiqua"/>
          <w:sz w:val="24"/>
          <w:szCs w:val="24"/>
          <w:lang w:eastAsia="zh-CN"/>
        </w:rPr>
        <w:t>November</w:t>
      </w:r>
      <w:r w:rsidRPr="00313BA1">
        <w:rPr>
          <w:rFonts w:ascii="Book Antiqua" w:hAnsi="Book Antiqua"/>
          <w:sz w:val="24"/>
          <w:szCs w:val="24"/>
        </w:rPr>
        <w:t xml:space="preserve"> </w:t>
      </w:r>
      <w:r w:rsidRPr="00313BA1">
        <w:rPr>
          <w:rFonts w:ascii="Book Antiqua" w:eastAsia="SimSun" w:hAnsi="Book Antiqua"/>
          <w:sz w:val="24"/>
          <w:szCs w:val="24"/>
          <w:lang w:eastAsia="zh-CN"/>
        </w:rPr>
        <w:t>20</w:t>
      </w:r>
      <w:r w:rsidRPr="00313BA1">
        <w:rPr>
          <w:rFonts w:ascii="Book Antiqua" w:hAnsi="Book Antiqua"/>
          <w:sz w:val="24"/>
          <w:szCs w:val="24"/>
        </w:rPr>
        <w:t xml:space="preserve">, 2018 </w:t>
      </w:r>
    </w:p>
    <w:p w:rsidR="00050295" w:rsidRPr="00313BA1" w:rsidRDefault="00050295" w:rsidP="00313BA1">
      <w:pPr>
        <w:autoSpaceDE w:val="0"/>
        <w:autoSpaceDN w:val="0"/>
        <w:adjustRightInd w:val="0"/>
        <w:spacing w:after="0" w:line="360" w:lineRule="auto"/>
        <w:jc w:val="both"/>
        <w:rPr>
          <w:rFonts w:ascii="Book Antiqua" w:hAnsi="Book Antiqua"/>
          <w:b/>
          <w:sz w:val="24"/>
          <w:szCs w:val="24"/>
        </w:rPr>
      </w:pPr>
      <w:proofErr w:type="spellStart"/>
      <w:r w:rsidRPr="00313BA1">
        <w:rPr>
          <w:rFonts w:ascii="Book Antiqua" w:hAnsi="Book Antiqua"/>
          <w:b/>
          <w:sz w:val="24"/>
          <w:szCs w:val="24"/>
        </w:rPr>
        <w:t>Accepted</w:t>
      </w:r>
      <w:proofErr w:type="spellEnd"/>
      <w:r w:rsidRPr="00313BA1">
        <w:rPr>
          <w:rFonts w:ascii="Book Antiqua" w:hAnsi="Book Antiqua"/>
          <w:b/>
          <w:sz w:val="24"/>
          <w:szCs w:val="24"/>
        </w:rPr>
        <w:t>:</w:t>
      </w:r>
      <w:r w:rsidR="00AF05F8" w:rsidRPr="00AF05F8">
        <w:rPr>
          <w:rFonts w:ascii="Book Antiqua" w:eastAsia="SimSun" w:hAnsi="Book Antiqua"/>
          <w:sz w:val="24"/>
          <w:szCs w:val="24"/>
          <w:lang w:eastAsia="zh-CN"/>
        </w:rPr>
        <w:t xml:space="preserve"> </w:t>
      </w:r>
      <w:proofErr w:type="spellStart"/>
      <w:r w:rsidR="00AF05F8" w:rsidRPr="00313BA1">
        <w:rPr>
          <w:rFonts w:ascii="Book Antiqua" w:eastAsia="SimSun" w:hAnsi="Book Antiqua"/>
          <w:sz w:val="24"/>
          <w:szCs w:val="24"/>
          <w:lang w:eastAsia="zh-CN"/>
        </w:rPr>
        <w:t>November</w:t>
      </w:r>
      <w:proofErr w:type="spellEnd"/>
      <w:r w:rsidR="00AF05F8" w:rsidRPr="00313BA1">
        <w:rPr>
          <w:rFonts w:ascii="Book Antiqua" w:hAnsi="Book Antiqua"/>
          <w:sz w:val="24"/>
          <w:szCs w:val="24"/>
        </w:rPr>
        <w:t xml:space="preserve"> </w:t>
      </w:r>
      <w:r w:rsidR="00AF05F8">
        <w:rPr>
          <w:rFonts w:ascii="Book Antiqua" w:eastAsia="SimSun" w:hAnsi="Book Antiqua"/>
          <w:sz w:val="24"/>
          <w:szCs w:val="24"/>
          <w:lang w:val="en-US" w:eastAsia="zh-CN"/>
        </w:rPr>
        <w:t>30</w:t>
      </w:r>
      <w:r w:rsidR="00AF05F8" w:rsidRPr="00313BA1">
        <w:rPr>
          <w:rFonts w:ascii="Book Antiqua" w:hAnsi="Book Antiqua"/>
          <w:sz w:val="24"/>
          <w:szCs w:val="24"/>
        </w:rPr>
        <w:t xml:space="preserve">, 2018 </w:t>
      </w:r>
      <w:r w:rsidRPr="00313BA1">
        <w:rPr>
          <w:rFonts w:ascii="Book Antiqua" w:hAnsi="Book Antiqua"/>
          <w:b/>
          <w:sz w:val="24"/>
          <w:szCs w:val="24"/>
        </w:rPr>
        <w:t xml:space="preserve"> </w:t>
      </w:r>
    </w:p>
    <w:p w:rsidR="00050295" w:rsidRPr="00313BA1" w:rsidRDefault="00050295" w:rsidP="00313BA1">
      <w:pPr>
        <w:autoSpaceDE w:val="0"/>
        <w:autoSpaceDN w:val="0"/>
        <w:adjustRightInd w:val="0"/>
        <w:spacing w:after="0" w:line="360" w:lineRule="auto"/>
        <w:jc w:val="both"/>
        <w:rPr>
          <w:rFonts w:ascii="Book Antiqua" w:hAnsi="Book Antiqua"/>
          <w:b/>
          <w:sz w:val="24"/>
          <w:szCs w:val="24"/>
        </w:rPr>
      </w:pPr>
      <w:r w:rsidRPr="00313BA1">
        <w:rPr>
          <w:rFonts w:ascii="Book Antiqua" w:hAnsi="Book Antiqua"/>
          <w:b/>
          <w:sz w:val="24"/>
          <w:szCs w:val="24"/>
        </w:rPr>
        <w:t xml:space="preserve">Article in press: </w:t>
      </w:r>
    </w:p>
    <w:p w:rsidR="00050295" w:rsidRPr="00313BA1" w:rsidRDefault="00050295" w:rsidP="00313BA1">
      <w:pPr>
        <w:autoSpaceDE w:val="0"/>
        <w:autoSpaceDN w:val="0"/>
        <w:adjustRightInd w:val="0"/>
        <w:spacing w:after="0" w:line="360" w:lineRule="auto"/>
        <w:jc w:val="both"/>
        <w:rPr>
          <w:rStyle w:val="Hyperlink"/>
          <w:rFonts w:ascii="Book Antiqua" w:eastAsia="SimSun" w:hAnsi="Book Antiqua"/>
          <w:b/>
          <w:color w:val="auto"/>
          <w:sz w:val="24"/>
          <w:szCs w:val="24"/>
          <w:u w:val="none"/>
          <w:lang w:eastAsia="zh-CN"/>
        </w:rPr>
      </w:pPr>
      <w:r w:rsidRPr="00313BA1">
        <w:rPr>
          <w:rFonts w:ascii="Book Antiqua" w:hAnsi="Book Antiqua"/>
          <w:b/>
          <w:sz w:val="24"/>
          <w:szCs w:val="24"/>
        </w:rPr>
        <w:t>Published online:</w:t>
      </w:r>
    </w:p>
    <w:p w:rsidR="00E91C72" w:rsidRPr="00313BA1" w:rsidRDefault="00E91C72"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sz w:val="24"/>
          <w:szCs w:val="24"/>
          <w:lang w:val="en-US" w:eastAsia="zh-CN"/>
        </w:rPr>
        <w:br w:type="page"/>
      </w:r>
    </w:p>
    <w:p w:rsidR="00E91C72" w:rsidRPr="00313BA1" w:rsidRDefault="00E91C72" w:rsidP="00313BA1">
      <w:pPr>
        <w:spacing w:after="0" w:line="360" w:lineRule="auto"/>
        <w:ind w:right="-565"/>
        <w:jc w:val="both"/>
        <w:rPr>
          <w:rFonts w:ascii="Book Antiqua" w:hAnsi="Book Antiqua" w:cs="Arial"/>
          <w:b/>
          <w:sz w:val="24"/>
          <w:szCs w:val="24"/>
          <w:lang w:val="en-US"/>
        </w:rPr>
      </w:pPr>
      <w:r w:rsidRPr="00313BA1">
        <w:rPr>
          <w:rFonts w:ascii="Book Antiqua" w:hAnsi="Book Antiqua" w:cs="Arial"/>
          <w:b/>
          <w:sz w:val="24"/>
          <w:szCs w:val="24"/>
          <w:lang w:val="en-US"/>
        </w:rPr>
        <w:lastRenderedPageBreak/>
        <w:t>Abstract</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 xml:space="preserve">The interest of this case lies in presenting a 43-year-old woman with an associated history of </w:t>
      </w:r>
      <w:proofErr w:type="spellStart"/>
      <w:r w:rsidRPr="00313BA1">
        <w:rPr>
          <w:rFonts w:ascii="Book Antiqua" w:hAnsi="Book Antiqua" w:cs="Arial"/>
          <w:sz w:val="24"/>
          <w:szCs w:val="24"/>
          <w:lang w:val="en-US"/>
        </w:rPr>
        <w:t>gynaecological</w:t>
      </w:r>
      <w:proofErr w:type="spellEnd"/>
      <w:r w:rsidRPr="00313BA1">
        <w:rPr>
          <w:rFonts w:ascii="Book Antiqua" w:hAnsi="Book Antiqua" w:cs="Arial"/>
          <w:sz w:val="24"/>
          <w:szCs w:val="24"/>
          <w:lang w:val="en-US"/>
        </w:rPr>
        <w:t xml:space="preserve"> pathology a breast cancer survivor, and with only one cryopreserved embryo, who wish to be a mother. Several factors which influenced the success of the pregnancy in this case were analyzed. Favorable factors included: triple positive breast cancer </w:t>
      </w:r>
      <w:r w:rsidR="00AD4E8A"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positive hormone receptors and positive </w:t>
      </w:r>
      <w:r w:rsidR="00AD4E8A" w:rsidRPr="00313BA1">
        <w:rPr>
          <w:rFonts w:ascii="Book Antiqua" w:hAnsi="Book Antiqua" w:cs="Arial"/>
          <w:sz w:val="24"/>
          <w:szCs w:val="24"/>
          <w:lang w:val="en-US"/>
        </w:rPr>
        <w:t>human epidermal growth factor receptor 2 (H</w:t>
      </w:r>
      <w:r w:rsidR="00EC6204" w:rsidRPr="00313BA1">
        <w:rPr>
          <w:rFonts w:ascii="Book Antiqua" w:hAnsi="Book Antiqua" w:cs="Arial"/>
          <w:sz w:val="24"/>
          <w:szCs w:val="24"/>
          <w:lang w:val="en-US"/>
        </w:rPr>
        <w:t>ER</w:t>
      </w:r>
      <w:r w:rsidR="00AD4E8A" w:rsidRPr="00313BA1">
        <w:rPr>
          <w:rFonts w:ascii="Book Antiqua" w:hAnsi="Book Antiqua" w:cs="Arial"/>
          <w:sz w:val="24"/>
          <w:szCs w:val="24"/>
          <w:lang w:val="en-US"/>
        </w:rPr>
        <w:t>2)</w:t>
      </w:r>
      <w:r w:rsidR="00AD4E8A"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 which is more </w:t>
      </w:r>
      <w:proofErr w:type="spellStart"/>
      <w:r w:rsidRPr="00313BA1">
        <w:rPr>
          <w:rFonts w:ascii="Book Antiqua" w:hAnsi="Book Antiqua" w:cs="Arial"/>
          <w:sz w:val="24"/>
          <w:szCs w:val="24"/>
          <w:lang w:val="en-US"/>
        </w:rPr>
        <w:t>hormosensitive</w:t>
      </w:r>
      <w:proofErr w:type="spellEnd"/>
      <w:r w:rsidRPr="00313BA1">
        <w:rPr>
          <w:rFonts w:ascii="Book Antiqua" w:hAnsi="Book Antiqua" w:cs="Arial"/>
          <w:sz w:val="24"/>
          <w:szCs w:val="24"/>
          <w:lang w:val="en-US"/>
        </w:rPr>
        <w:t xml:space="preserve"> and more </w:t>
      </w:r>
      <w:proofErr w:type="spellStart"/>
      <w:r w:rsidRPr="00313BA1">
        <w:rPr>
          <w:rFonts w:ascii="Book Antiqua" w:hAnsi="Book Antiqua" w:cs="Arial"/>
          <w:sz w:val="24"/>
          <w:szCs w:val="24"/>
          <w:lang w:val="en-US"/>
        </w:rPr>
        <w:t>chemosensitive</w:t>
      </w:r>
      <w:proofErr w:type="spellEnd"/>
      <w:r w:rsidRPr="00313BA1">
        <w:rPr>
          <w:rFonts w:ascii="Book Antiqua" w:hAnsi="Book Antiqua" w:cs="Arial"/>
          <w:sz w:val="24"/>
          <w:szCs w:val="24"/>
          <w:lang w:val="en-US"/>
        </w:rPr>
        <w:t xml:space="preserve">; absence of metastasis; correct endometrium preparation; the patient’s optimistic attitude; and her strict health habits. In contrast, the factors against success were: breast cancer; adjuvant breast cancer therapy </w:t>
      </w:r>
      <w:proofErr w:type="spellStart"/>
      <w:r w:rsidRPr="00313BA1">
        <w:rPr>
          <w:rFonts w:ascii="Book Antiqua" w:hAnsi="Book Antiqua" w:cs="Arial"/>
          <w:sz w:val="24"/>
          <w:szCs w:val="24"/>
          <w:lang w:val="en-US"/>
        </w:rPr>
        <w:t>gonadotoxicity</w:t>
      </w:r>
      <w:proofErr w:type="spellEnd"/>
      <w:r w:rsidRPr="00313BA1">
        <w:rPr>
          <w:rFonts w:ascii="Book Antiqua" w:hAnsi="Book Antiqua" w:cs="Arial"/>
          <w:sz w:val="24"/>
          <w:szCs w:val="24"/>
          <w:lang w:val="en-US"/>
        </w:rPr>
        <w:t>; the age of the patient (</w:t>
      </w:r>
      <w:r w:rsidR="00CF0874">
        <w:rPr>
          <w:rFonts w:ascii="Book Antiqua" w:hAnsi="Book Antiqua" w:cs="Arial"/>
          <w:sz w:val="24"/>
          <w:szCs w:val="24"/>
          <w:lang w:val="en-US"/>
        </w:rPr>
        <w:t>&gt; 40-year</w:t>
      </w:r>
      <w:r w:rsidRPr="00313BA1">
        <w:rPr>
          <w:rFonts w:ascii="Book Antiqua" w:hAnsi="Book Antiqua" w:cs="Arial"/>
          <w:sz w:val="24"/>
          <w:szCs w:val="24"/>
          <w:lang w:val="en-US"/>
        </w:rPr>
        <w:t xml:space="preserve">-old); endometriosis; ovarian cyst; hydrosalpinx; submucosal fibroids and the respective associated surgery done for the above-mentioned pathology (all resolved prior to the embryo transfer); and a low quantity of ovules (low ovarian reserve) after ovarian stimulation. Thus, we present a very special clinical case of a patient with theoretically low pregnancy success probability due to the consecutive accumulation of gynecological and oncological pathologies, </w:t>
      </w:r>
      <w:r w:rsidR="00AD4E8A" w:rsidRPr="00313BA1">
        <w:rPr>
          <w:rFonts w:ascii="Book Antiqua" w:hAnsi="Book Antiqua" w:cs="Arial"/>
          <w:sz w:val="24"/>
          <w:szCs w:val="24"/>
          <w:lang w:val="en-US"/>
        </w:rPr>
        <w:t>which</w:t>
      </w:r>
      <w:r w:rsidRPr="00313BA1">
        <w:rPr>
          <w:rFonts w:ascii="Book Antiqua" w:hAnsi="Book Antiqua" w:cs="Arial"/>
          <w:sz w:val="24"/>
          <w:szCs w:val="24"/>
          <w:lang w:val="en-US"/>
        </w:rPr>
        <w:t xml:space="preserve"> nonetheless became pregnant and delivered a full-term infant and </w:t>
      </w:r>
      <w:r w:rsidR="00AD4E8A" w:rsidRPr="00313BA1">
        <w:rPr>
          <w:rFonts w:ascii="Book Antiqua" w:hAnsi="Book Antiqua" w:cs="Arial"/>
          <w:sz w:val="24"/>
          <w:szCs w:val="24"/>
          <w:lang w:val="en-US"/>
        </w:rPr>
        <w:t>were</w:t>
      </w:r>
      <w:r w:rsidRPr="00313BA1">
        <w:rPr>
          <w:rFonts w:ascii="Book Antiqua" w:hAnsi="Book Antiqua" w:cs="Arial"/>
          <w:sz w:val="24"/>
          <w:szCs w:val="24"/>
          <w:lang w:val="en-US"/>
        </w:rPr>
        <w:t xml:space="preserve"> able to provide adequate breastfeeding.</w:t>
      </w:r>
    </w:p>
    <w:p w:rsidR="00E91C72" w:rsidRPr="00313BA1" w:rsidRDefault="00E91C72" w:rsidP="00313BA1">
      <w:pPr>
        <w:spacing w:after="0" w:line="360" w:lineRule="auto"/>
        <w:ind w:right="-565"/>
        <w:jc w:val="both"/>
        <w:rPr>
          <w:rFonts w:ascii="Book Antiqua" w:hAnsi="Book Antiqua" w:cs="Arial"/>
          <w:b/>
          <w:sz w:val="24"/>
          <w:szCs w:val="24"/>
          <w:lang w:val="en-US"/>
        </w:rPr>
      </w:pPr>
    </w:p>
    <w:p w:rsidR="00E91C72" w:rsidRPr="00CF0874" w:rsidRDefault="00E91C72" w:rsidP="00313BA1">
      <w:pPr>
        <w:spacing w:after="0" w:line="360" w:lineRule="auto"/>
        <w:ind w:right="-565"/>
        <w:jc w:val="both"/>
        <w:rPr>
          <w:rFonts w:ascii="Book Antiqua" w:eastAsia="SimSun" w:hAnsi="Book Antiqua" w:cs="Arial"/>
          <w:sz w:val="24"/>
          <w:szCs w:val="24"/>
          <w:lang w:val="en-US" w:eastAsia="zh-CN"/>
        </w:rPr>
      </w:pPr>
      <w:r w:rsidRPr="00313BA1">
        <w:rPr>
          <w:rFonts w:ascii="Book Antiqua" w:hAnsi="Book Antiqua" w:cs="Arial"/>
          <w:b/>
          <w:sz w:val="24"/>
          <w:szCs w:val="24"/>
          <w:lang w:val="en-US"/>
        </w:rPr>
        <w:t xml:space="preserve">Key words: </w:t>
      </w:r>
      <w:r w:rsidRPr="00313BA1">
        <w:rPr>
          <w:rFonts w:ascii="Book Antiqua" w:hAnsi="Book Antiqua" w:cs="Arial"/>
          <w:sz w:val="24"/>
          <w:szCs w:val="24"/>
          <w:lang w:val="en-US"/>
        </w:rPr>
        <w:t xml:space="preserve">Breast cancer; Fertility preservation; </w:t>
      </w:r>
      <w:proofErr w:type="spellStart"/>
      <w:r w:rsidRPr="00313BA1">
        <w:rPr>
          <w:rFonts w:ascii="Book Antiqua" w:hAnsi="Book Antiqua" w:cs="Arial"/>
          <w:sz w:val="24"/>
          <w:szCs w:val="24"/>
          <w:lang w:val="en-US"/>
        </w:rPr>
        <w:t>Gonadotoxicity</w:t>
      </w:r>
      <w:proofErr w:type="spellEnd"/>
      <w:r w:rsidRPr="00313BA1">
        <w:rPr>
          <w:rFonts w:ascii="Book Antiqua" w:hAnsi="Book Antiqua" w:cs="Arial"/>
          <w:sz w:val="24"/>
          <w:szCs w:val="24"/>
          <w:lang w:val="en-US"/>
        </w:rPr>
        <w:t xml:space="preserve">; Pregnancy; </w:t>
      </w:r>
      <w:r w:rsidR="00AD4E8A" w:rsidRPr="00313BA1">
        <w:rPr>
          <w:rFonts w:ascii="Book Antiqua" w:hAnsi="Book Antiqua" w:cs="Arial"/>
          <w:i/>
          <w:iCs/>
          <w:sz w:val="24"/>
          <w:szCs w:val="24"/>
          <w:lang w:val="en-US"/>
        </w:rPr>
        <w:t>In vitro</w:t>
      </w:r>
      <w:r w:rsidR="00AD4E8A" w:rsidRPr="00313BA1">
        <w:rPr>
          <w:rFonts w:ascii="Book Antiqua" w:hAnsi="Book Antiqua" w:cs="Arial"/>
          <w:sz w:val="24"/>
          <w:szCs w:val="24"/>
          <w:lang w:val="en-US"/>
        </w:rPr>
        <w:t xml:space="preserve"> fertilization</w:t>
      </w:r>
      <w:r w:rsidRPr="00313BA1">
        <w:rPr>
          <w:rFonts w:ascii="Book Antiqua" w:hAnsi="Book Antiqua" w:cs="Arial"/>
          <w:sz w:val="24"/>
          <w:szCs w:val="24"/>
          <w:lang w:val="en-US"/>
        </w:rPr>
        <w:t>; Hydrosalpinx; Endometriosis</w:t>
      </w:r>
      <w:r w:rsidR="00CF0874">
        <w:rPr>
          <w:rFonts w:ascii="Book Antiqua" w:eastAsia="SimSun" w:hAnsi="Book Antiqua" w:cs="Arial" w:hint="eastAsia"/>
          <w:sz w:val="24"/>
          <w:szCs w:val="24"/>
          <w:lang w:val="en-US" w:eastAsia="zh-CN"/>
        </w:rPr>
        <w:t xml:space="preserve">; </w:t>
      </w:r>
      <w:r w:rsidR="00CF0874">
        <w:rPr>
          <w:rFonts w:ascii="Book Antiqua" w:eastAsia="SimSun" w:hAnsi="Book Antiqua" w:cs="Arial"/>
          <w:sz w:val="24"/>
          <w:szCs w:val="24"/>
          <w:lang w:val="en-US" w:eastAsia="zh-CN"/>
        </w:rPr>
        <w:t xml:space="preserve">Case </w:t>
      </w:r>
      <w:r w:rsidR="00CF0874">
        <w:rPr>
          <w:rFonts w:ascii="Book Antiqua" w:eastAsia="SimSun" w:hAnsi="Book Antiqua" w:cs="Arial" w:hint="eastAsia"/>
          <w:sz w:val="24"/>
          <w:szCs w:val="24"/>
          <w:lang w:val="en-US" w:eastAsia="zh-CN"/>
        </w:rPr>
        <w:t>report</w:t>
      </w:r>
    </w:p>
    <w:p w:rsidR="00E91C72" w:rsidRPr="00313BA1" w:rsidRDefault="00E91C72" w:rsidP="00313BA1">
      <w:pPr>
        <w:spacing w:after="0" w:line="360" w:lineRule="auto"/>
        <w:ind w:right="-565"/>
        <w:jc w:val="both"/>
        <w:rPr>
          <w:rFonts w:ascii="Book Antiqua" w:hAnsi="Book Antiqua" w:cs="Arial"/>
          <w:b/>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sz w:val="24"/>
          <w:szCs w:val="24"/>
          <w:lang w:val="en-US"/>
        </w:rPr>
        <w:t>© The Author(s) 2018.</w:t>
      </w:r>
      <w:r w:rsidRPr="00313BA1">
        <w:rPr>
          <w:rFonts w:ascii="Book Antiqua" w:hAnsi="Book Antiqua" w:cs="Arial"/>
          <w:sz w:val="24"/>
          <w:szCs w:val="24"/>
          <w:lang w:val="en-US"/>
        </w:rPr>
        <w:t xml:space="preserve"> Published by </w:t>
      </w:r>
      <w:proofErr w:type="spellStart"/>
      <w:r w:rsidRPr="00313BA1">
        <w:rPr>
          <w:rFonts w:ascii="Book Antiqua" w:hAnsi="Book Antiqua" w:cs="Arial"/>
          <w:sz w:val="24"/>
          <w:szCs w:val="24"/>
          <w:lang w:val="en-US"/>
        </w:rPr>
        <w:t>Baishideng</w:t>
      </w:r>
      <w:proofErr w:type="spellEnd"/>
      <w:r w:rsidRPr="00313BA1">
        <w:rPr>
          <w:rFonts w:ascii="Book Antiqua" w:hAnsi="Book Antiqua" w:cs="Arial"/>
          <w:sz w:val="24"/>
          <w:szCs w:val="24"/>
          <w:lang w:val="en-US"/>
        </w:rPr>
        <w:t xml:space="preserve"> Publishing Group Inc. All rights reserved.</w:t>
      </w:r>
    </w:p>
    <w:p w:rsidR="00E91C72" w:rsidRPr="00313BA1" w:rsidRDefault="00E91C72" w:rsidP="00313BA1">
      <w:pPr>
        <w:spacing w:after="0" w:line="360" w:lineRule="auto"/>
        <w:ind w:right="-565"/>
        <w:jc w:val="both"/>
        <w:rPr>
          <w:rFonts w:ascii="Book Antiqua" w:hAnsi="Book Antiqua" w:cs="Arial"/>
          <w:b/>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sz w:val="24"/>
          <w:szCs w:val="24"/>
          <w:lang w:val="en-US"/>
        </w:rPr>
        <w:t>Core tip:</w:t>
      </w:r>
      <w:r w:rsidRPr="00313BA1">
        <w:rPr>
          <w:rFonts w:ascii="Book Antiqua" w:hAnsi="Book Antiqua" w:cs="Arial"/>
          <w:sz w:val="24"/>
          <w:szCs w:val="24"/>
          <w:lang w:val="en-US"/>
        </w:rPr>
        <w:t xml:space="preserve"> Considering age, endometriosis, a hyperplastic endometrium, the presence of myomas, amenorrhea, breast cancer, chemo- and radiotherapy, and </w:t>
      </w:r>
      <w:r w:rsidRPr="00313BA1">
        <w:rPr>
          <w:rFonts w:ascii="Book Antiqua" w:hAnsi="Book Antiqua" w:cs="Arial"/>
          <w:i/>
          <w:iCs/>
          <w:sz w:val="24"/>
          <w:szCs w:val="24"/>
          <w:lang w:val="en-US"/>
        </w:rPr>
        <w:t>in vitro</w:t>
      </w:r>
      <w:r w:rsidRPr="00313BA1">
        <w:rPr>
          <w:rFonts w:ascii="Book Antiqua" w:hAnsi="Book Antiqua" w:cs="Arial"/>
          <w:sz w:val="24"/>
          <w:szCs w:val="24"/>
          <w:lang w:val="en-US"/>
        </w:rPr>
        <w:t xml:space="preserve"> fertilization with </w:t>
      </w:r>
      <w:r w:rsidR="00AD4E8A" w:rsidRPr="00313BA1">
        <w:rPr>
          <w:rFonts w:ascii="Book Antiqua" w:hAnsi="Book Antiqua" w:cs="Arial"/>
          <w:sz w:val="24"/>
          <w:szCs w:val="24"/>
          <w:lang w:val="en-US"/>
        </w:rPr>
        <w:t xml:space="preserve">a single cryopreserved embryo, </w:t>
      </w:r>
      <w:r w:rsidRPr="00313BA1">
        <w:rPr>
          <w:rFonts w:ascii="Book Antiqua" w:hAnsi="Book Antiqua" w:cs="Arial"/>
          <w:sz w:val="24"/>
          <w:szCs w:val="24"/>
          <w:lang w:val="en-US"/>
        </w:rPr>
        <w:t>this was not a good scenario for becoming pregnant. This case report shows how a 43-year-old woman overcame all these negative aspects and became the mother of a healthy baby.</w:t>
      </w:r>
    </w:p>
    <w:p w:rsidR="00E91C72" w:rsidRPr="00313BA1" w:rsidRDefault="00E91C72" w:rsidP="00313BA1">
      <w:pPr>
        <w:spacing w:after="0" w:line="360" w:lineRule="auto"/>
        <w:ind w:right="-565"/>
        <w:jc w:val="both"/>
        <w:rPr>
          <w:rFonts w:ascii="Book Antiqua" w:hAnsi="Book Antiqua" w:cs="Arial"/>
          <w:b/>
          <w:sz w:val="24"/>
          <w:szCs w:val="24"/>
          <w:lang w:val="en-US"/>
        </w:rPr>
      </w:pPr>
    </w:p>
    <w:p w:rsidR="00AD4E8A" w:rsidRPr="00313BA1" w:rsidRDefault="00E91C72" w:rsidP="00313BA1">
      <w:pPr>
        <w:pStyle w:val="NoSpacing"/>
        <w:spacing w:line="360" w:lineRule="auto"/>
        <w:jc w:val="both"/>
        <w:rPr>
          <w:rFonts w:ascii="Book Antiqua" w:eastAsia="SimSun" w:hAnsi="Book Antiqua" w:cs="Arial"/>
          <w:sz w:val="24"/>
          <w:szCs w:val="24"/>
        </w:rPr>
      </w:pPr>
      <w:r w:rsidRPr="00313BA1">
        <w:rPr>
          <w:rFonts w:ascii="Book Antiqua" w:hAnsi="Book Antiqua" w:cs="Arial"/>
          <w:sz w:val="24"/>
          <w:szCs w:val="24"/>
        </w:rPr>
        <w:t xml:space="preserve">Garrido-Marín M, </w:t>
      </w:r>
      <w:proofErr w:type="spellStart"/>
      <w:r w:rsidRPr="00313BA1">
        <w:rPr>
          <w:rFonts w:ascii="Book Antiqua" w:hAnsi="Book Antiqua" w:cs="Arial"/>
          <w:sz w:val="24"/>
          <w:szCs w:val="24"/>
        </w:rPr>
        <w:t>Argacha</w:t>
      </w:r>
      <w:proofErr w:type="spellEnd"/>
      <w:r w:rsidRPr="00313BA1">
        <w:rPr>
          <w:rFonts w:ascii="Book Antiqua" w:hAnsi="Book Antiqua" w:cs="Arial"/>
          <w:sz w:val="24"/>
          <w:szCs w:val="24"/>
        </w:rPr>
        <w:t xml:space="preserve"> PM, Fernández L, </w:t>
      </w:r>
      <w:proofErr w:type="spellStart"/>
      <w:r w:rsidRPr="00313BA1">
        <w:rPr>
          <w:rFonts w:ascii="Book Antiqua" w:hAnsi="Book Antiqua" w:cs="Arial"/>
          <w:sz w:val="24"/>
          <w:szCs w:val="24"/>
        </w:rPr>
        <w:t>Molfino</w:t>
      </w:r>
      <w:proofErr w:type="spellEnd"/>
      <w:r w:rsidRPr="00313BA1">
        <w:rPr>
          <w:rFonts w:ascii="Book Antiqua" w:hAnsi="Book Antiqua" w:cs="Arial"/>
          <w:sz w:val="24"/>
          <w:szCs w:val="24"/>
        </w:rPr>
        <w:t xml:space="preserve"> F, Martínez-Soler F, </w:t>
      </w:r>
      <w:proofErr w:type="spellStart"/>
      <w:r w:rsidRPr="00313BA1">
        <w:rPr>
          <w:rFonts w:ascii="Book Antiqua" w:hAnsi="Book Antiqua" w:cs="Arial"/>
          <w:sz w:val="24"/>
          <w:szCs w:val="24"/>
        </w:rPr>
        <w:t>Tortosa</w:t>
      </w:r>
      <w:proofErr w:type="spellEnd"/>
      <w:r w:rsidRPr="00313BA1">
        <w:rPr>
          <w:rFonts w:ascii="Book Antiqua" w:hAnsi="Book Antiqua" w:cs="Arial"/>
          <w:sz w:val="24"/>
          <w:szCs w:val="24"/>
        </w:rPr>
        <w:t xml:space="preserve"> A, Gimenez-</w:t>
      </w:r>
      <w:proofErr w:type="spellStart"/>
      <w:r w:rsidRPr="00313BA1">
        <w:rPr>
          <w:rFonts w:ascii="Book Antiqua" w:hAnsi="Book Antiqua" w:cs="Arial"/>
          <w:sz w:val="24"/>
          <w:szCs w:val="24"/>
        </w:rPr>
        <w:t>Bonafé</w:t>
      </w:r>
      <w:proofErr w:type="spellEnd"/>
      <w:r w:rsidRPr="00313BA1">
        <w:rPr>
          <w:rFonts w:ascii="Book Antiqua" w:hAnsi="Book Antiqua" w:cs="Arial"/>
          <w:sz w:val="24"/>
          <w:szCs w:val="24"/>
        </w:rPr>
        <w:t xml:space="preserve"> P. Full-term pregnancy in breast cancer survivor with fertility preservation: A case report and review of literature. </w:t>
      </w:r>
      <w:r w:rsidRPr="00313BA1">
        <w:rPr>
          <w:rFonts w:ascii="Book Antiqua" w:hAnsi="Book Antiqua" w:cs="Arial"/>
          <w:i/>
          <w:sz w:val="24"/>
          <w:szCs w:val="24"/>
        </w:rPr>
        <w:t>World J Clin Cases</w:t>
      </w:r>
      <w:r w:rsidRPr="00313BA1">
        <w:rPr>
          <w:rFonts w:ascii="Book Antiqua" w:hAnsi="Book Antiqua" w:cs="Arial"/>
          <w:sz w:val="24"/>
          <w:szCs w:val="24"/>
        </w:rPr>
        <w:t xml:space="preserve"> 2018;</w:t>
      </w:r>
      <w:r w:rsidR="00AD4E8A" w:rsidRPr="00313BA1">
        <w:rPr>
          <w:rFonts w:ascii="Book Antiqua" w:eastAsia="SimSun" w:hAnsi="Book Antiqua" w:cs="Arial"/>
          <w:sz w:val="24"/>
          <w:szCs w:val="24"/>
        </w:rPr>
        <w:t xml:space="preserve"> In press</w:t>
      </w:r>
    </w:p>
    <w:p w:rsidR="00E91C72" w:rsidRPr="00313BA1" w:rsidRDefault="00E91C72" w:rsidP="00313BA1">
      <w:pPr>
        <w:pStyle w:val="NoSpacing"/>
        <w:spacing w:line="360" w:lineRule="auto"/>
        <w:jc w:val="both"/>
        <w:rPr>
          <w:rFonts w:ascii="Book Antiqua" w:hAnsi="Book Antiqua" w:cs="Arial"/>
          <w:b/>
          <w:sz w:val="24"/>
          <w:szCs w:val="24"/>
        </w:rPr>
      </w:pPr>
      <w:r w:rsidRPr="00313BA1">
        <w:rPr>
          <w:rFonts w:ascii="Book Antiqua" w:hAnsi="Book Antiqua" w:cs="Arial"/>
          <w:b/>
          <w:sz w:val="24"/>
          <w:szCs w:val="24"/>
        </w:rPr>
        <w:br w:type="page"/>
      </w:r>
    </w:p>
    <w:p w:rsidR="00E91C72" w:rsidRPr="00313BA1" w:rsidRDefault="00E91C72" w:rsidP="00313BA1">
      <w:pPr>
        <w:spacing w:after="0" w:line="360" w:lineRule="auto"/>
        <w:ind w:right="-565"/>
        <w:jc w:val="both"/>
        <w:rPr>
          <w:rFonts w:ascii="Book Antiqua" w:hAnsi="Book Antiqua" w:cs="Arial"/>
          <w:b/>
          <w:sz w:val="24"/>
          <w:szCs w:val="24"/>
          <w:lang w:val="en-US"/>
        </w:rPr>
      </w:pPr>
      <w:r w:rsidRPr="00313BA1">
        <w:rPr>
          <w:rFonts w:ascii="Book Antiqua" w:hAnsi="Book Antiqua" w:cs="Arial"/>
          <w:b/>
          <w:sz w:val="24"/>
          <w:szCs w:val="24"/>
          <w:lang w:val="en-US"/>
        </w:rPr>
        <w:lastRenderedPageBreak/>
        <w:t>INTRODUCTION</w:t>
      </w:r>
    </w:p>
    <w:p w:rsidR="00E91C72" w:rsidRPr="00313BA1" w:rsidRDefault="00E91C72" w:rsidP="00313BA1">
      <w:pPr>
        <w:spacing w:after="0" w:line="360" w:lineRule="auto"/>
        <w:ind w:right="-565"/>
        <w:jc w:val="both"/>
        <w:rPr>
          <w:rFonts w:ascii="Book Antiqua" w:eastAsia="SimSun" w:hAnsi="Book Antiqua" w:cs="Arial"/>
          <w:sz w:val="24"/>
          <w:szCs w:val="24"/>
          <w:lang w:val="en-US" w:eastAsia="zh-CN"/>
        </w:rPr>
      </w:pPr>
      <w:r w:rsidRPr="00313BA1">
        <w:rPr>
          <w:rFonts w:ascii="Book Antiqua" w:hAnsi="Book Antiqua" w:cs="Arial"/>
          <w:sz w:val="24"/>
          <w:szCs w:val="24"/>
          <w:lang w:val="en-US"/>
        </w:rPr>
        <w:t>There is a growing trend of longer postponement of first pregnancy, from age 30 to 40. This tendency may be the result of socioeconomic factors (</w:t>
      </w:r>
      <w:r w:rsidRPr="00313BA1">
        <w:rPr>
          <w:rFonts w:ascii="Book Antiqua" w:hAnsi="Book Antiqua" w:cs="Arial"/>
          <w:i/>
          <w:sz w:val="24"/>
          <w:szCs w:val="24"/>
          <w:lang w:val="en-US"/>
        </w:rPr>
        <w:t>e.g</w:t>
      </w:r>
      <w:r w:rsidRPr="00313BA1">
        <w:rPr>
          <w:rFonts w:ascii="Book Antiqua" w:hAnsi="Book Antiqua" w:cs="Arial"/>
          <w:sz w:val="24"/>
          <w:szCs w:val="24"/>
          <w:lang w:val="en-US"/>
        </w:rPr>
        <w:t xml:space="preserve">., level of education, economic dependence on parents, employment instability, lack of a stable partner, </w:t>
      </w:r>
      <w:r w:rsidRPr="00313BA1">
        <w:rPr>
          <w:rFonts w:ascii="Book Antiqua" w:hAnsi="Book Antiqua" w:cs="Arial"/>
          <w:i/>
          <w:sz w:val="24"/>
          <w:szCs w:val="24"/>
          <w:lang w:val="en-US"/>
        </w:rPr>
        <w:t>etc</w:t>
      </w:r>
      <w:r w:rsidR="00AD4E8A" w:rsidRPr="00313BA1">
        <w:rPr>
          <w:rFonts w:ascii="Book Antiqua" w:eastAsia="SimSun" w:hAnsi="Book Antiqua" w:cs="Arial"/>
          <w:i/>
          <w:sz w:val="24"/>
          <w:szCs w:val="24"/>
          <w:lang w:val="en-US" w:eastAsia="zh-CN"/>
        </w:rPr>
        <w:t>.</w:t>
      </w:r>
      <w:r w:rsidRPr="00313BA1">
        <w:rPr>
          <w:rFonts w:ascii="Book Antiqua" w:hAnsi="Book Antiqua" w:cs="Arial"/>
          <w:sz w:val="24"/>
          <w:szCs w:val="24"/>
          <w:lang w:val="en-US"/>
        </w:rPr>
        <w:t xml:space="preserve">) and it has been reported to be correlated with a simultaneous increase in the incidence of breast cancer in women who have not completed their </w:t>
      </w:r>
      <w:proofErr w:type="gramStart"/>
      <w:r w:rsidRPr="00313BA1">
        <w:rPr>
          <w:rFonts w:ascii="Book Antiqua" w:hAnsi="Book Antiqua" w:cs="Arial"/>
          <w:sz w:val="24"/>
          <w:szCs w:val="24"/>
          <w:lang w:val="en-US"/>
        </w:rPr>
        <w:t>families</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w:t>
      </w:r>
      <w:r w:rsidRPr="00313BA1">
        <w:rPr>
          <w:rFonts w:ascii="Book Antiqua" w:hAnsi="Book Antiqua" w:cs="Arial"/>
          <w:sz w:val="24"/>
          <w:szCs w:val="24"/>
          <w:lang w:val="en-US"/>
        </w:rPr>
        <w:t xml:space="preserve">. Currently, nearly 25% of women diagnosed with breast cancer are </w:t>
      </w:r>
      <w:proofErr w:type="gramStart"/>
      <w:r w:rsidRPr="00313BA1">
        <w:rPr>
          <w:rFonts w:ascii="Book Antiqua" w:hAnsi="Book Antiqua" w:cs="Arial"/>
          <w:sz w:val="24"/>
          <w:szCs w:val="24"/>
          <w:lang w:val="en-US"/>
        </w:rPr>
        <w:t>premenopausal</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w:t>
      </w:r>
      <w:r w:rsidRPr="00313BA1">
        <w:rPr>
          <w:rFonts w:ascii="Book Antiqua" w:hAnsi="Book Antiqua" w:cs="Arial"/>
          <w:sz w:val="24"/>
          <w:szCs w:val="24"/>
          <w:lang w:val="en-US"/>
        </w:rPr>
        <w:t>; yet, no clear recommendations are available for counselling this population on the safety of becoming pregnant after breast cancer treatment</w:t>
      </w:r>
      <w:r w:rsidRPr="00313BA1">
        <w:rPr>
          <w:rFonts w:ascii="Book Antiqua" w:hAnsi="Book Antiqua" w:cs="Arial"/>
          <w:sz w:val="24"/>
          <w:szCs w:val="24"/>
          <w:vertAlign w:val="superscript"/>
          <w:lang w:val="en-US"/>
        </w:rPr>
        <w:t>[3]</w:t>
      </w:r>
      <w:r w:rsidR="00AD4E8A"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Breast cancer accounts for one-third of all neoplasms seen in reproductive-age women; it is the most commonly diagnosed cancer for this age </w:t>
      </w:r>
      <w:proofErr w:type="gramStart"/>
      <w:r w:rsidRPr="00313BA1">
        <w:rPr>
          <w:rFonts w:ascii="Book Antiqua" w:hAnsi="Book Antiqua" w:cs="Arial"/>
          <w:sz w:val="24"/>
          <w:szCs w:val="24"/>
          <w:lang w:val="en-US"/>
        </w:rPr>
        <w:t>group</w:t>
      </w:r>
      <w:r w:rsidR="00AD4E8A" w:rsidRPr="00313BA1">
        <w:rPr>
          <w:rFonts w:ascii="Book Antiqua" w:hAnsi="Book Antiqua" w:cs="Arial"/>
          <w:sz w:val="24"/>
          <w:szCs w:val="24"/>
          <w:vertAlign w:val="superscript"/>
          <w:lang w:val="en-US"/>
        </w:rPr>
        <w:t>[</w:t>
      </w:r>
      <w:proofErr w:type="gramEnd"/>
      <w:r w:rsidR="00AD4E8A" w:rsidRPr="00313BA1">
        <w:rPr>
          <w:rFonts w:ascii="Book Antiqua" w:hAnsi="Book Antiqua" w:cs="Arial"/>
          <w:sz w:val="24"/>
          <w:szCs w:val="24"/>
          <w:vertAlign w:val="superscript"/>
          <w:lang w:val="en-US"/>
        </w:rPr>
        <w:t>4]</w:t>
      </w:r>
      <w:r w:rsidRPr="00313BA1">
        <w:rPr>
          <w:rFonts w:ascii="Book Antiqua" w:hAnsi="Book Antiqua" w:cs="Arial"/>
          <w:sz w:val="24"/>
          <w:szCs w:val="24"/>
          <w:lang w:val="en-US"/>
        </w:rPr>
        <w:t xml:space="preserve">. Among the tens of thousands of women affected each year, most are candidates for chemotherapy treatment. The most commonly used adjuvant drug treatment regimens involve a combination of chemotherapy and hormone therapy. Although this approach has improved both disease-free survival and overall survival rates in young breast cancer </w:t>
      </w:r>
      <w:proofErr w:type="gramStart"/>
      <w:r w:rsidRPr="00313BA1">
        <w:rPr>
          <w:rFonts w:ascii="Book Antiqua" w:hAnsi="Book Antiqua" w:cs="Arial"/>
          <w:sz w:val="24"/>
          <w:szCs w:val="24"/>
          <w:lang w:val="en-US"/>
        </w:rPr>
        <w:t>patients</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5]</w:t>
      </w:r>
      <w:r w:rsidRPr="00313BA1">
        <w:rPr>
          <w:rFonts w:ascii="Book Antiqua" w:hAnsi="Book Antiqua" w:cs="Arial"/>
          <w:sz w:val="24"/>
          <w:szCs w:val="24"/>
          <w:lang w:val="en-US"/>
        </w:rPr>
        <w:t xml:space="preserve">, the agents are well-known for their negativity impact fertility due to </w:t>
      </w:r>
      <w:proofErr w:type="spellStart"/>
      <w:r w:rsidRPr="00313BA1">
        <w:rPr>
          <w:rFonts w:ascii="Book Antiqua" w:hAnsi="Book Antiqua" w:cs="Arial"/>
          <w:sz w:val="24"/>
          <w:szCs w:val="24"/>
          <w:lang w:val="en-US"/>
        </w:rPr>
        <w:t>gonadotoxicity</w:t>
      </w:r>
      <w:proofErr w:type="spellEnd"/>
      <w:r w:rsidRPr="00313BA1">
        <w:rPr>
          <w:rFonts w:ascii="Book Antiqua" w:hAnsi="Book Antiqua" w:cs="Arial"/>
          <w:sz w:val="24"/>
          <w:szCs w:val="24"/>
          <w:lang w:val="en-US"/>
        </w:rPr>
        <w:t>, which may even lead to premature ovarian failure</w:t>
      </w:r>
      <w:r w:rsidRPr="00313BA1">
        <w:rPr>
          <w:rFonts w:ascii="Book Antiqua" w:hAnsi="Book Antiqua" w:cs="Arial"/>
          <w:sz w:val="24"/>
          <w:szCs w:val="24"/>
          <w:vertAlign w:val="superscript"/>
          <w:lang w:val="en-US"/>
        </w:rPr>
        <w:t>[6]</w:t>
      </w:r>
      <w:r w:rsidRPr="00313BA1">
        <w:rPr>
          <w:rFonts w:ascii="Book Antiqua" w:hAnsi="Book Antiqua" w:cs="Arial"/>
          <w:sz w:val="24"/>
          <w:szCs w:val="24"/>
          <w:lang w:val="en-US"/>
        </w:rPr>
        <w:t xml:space="preserve">. Therefore, a diagnosis of breast cancer in a young woman represents a threat to fertility. </w:t>
      </w:r>
      <w:proofErr w:type="spellStart"/>
      <w:r w:rsidRPr="00313BA1">
        <w:rPr>
          <w:rFonts w:ascii="Book Antiqua" w:hAnsi="Book Antiqua" w:cs="Arial"/>
          <w:sz w:val="24"/>
          <w:szCs w:val="24"/>
          <w:lang w:val="en-US"/>
        </w:rPr>
        <w:t>Oncofertility</w:t>
      </w:r>
      <w:proofErr w:type="spellEnd"/>
      <w:r w:rsidRPr="00313BA1">
        <w:rPr>
          <w:rFonts w:ascii="Book Antiqua" w:hAnsi="Book Antiqua" w:cs="Arial"/>
          <w:sz w:val="24"/>
          <w:szCs w:val="24"/>
          <w:lang w:val="en-US"/>
        </w:rPr>
        <w:t xml:space="preserve"> counseling is of great importance in this </w:t>
      </w:r>
      <w:proofErr w:type="gramStart"/>
      <w:r w:rsidRPr="00313BA1">
        <w:rPr>
          <w:rFonts w:ascii="Book Antiqua" w:hAnsi="Book Antiqua" w:cs="Arial"/>
          <w:sz w:val="24"/>
          <w:szCs w:val="24"/>
          <w:lang w:val="en-US"/>
        </w:rPr>
        <w:t>regard</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7]</w:t>
      </w:r>
      <w:r w:rsidRPr="00313BA1">
        <w:rPr>
          <w:rFonts w:ascii="Book Antiqua" w:hAnsi="Book Antiqua" w:cs="Arial"/>
          <w:sz w:val="24"/>
          <w:szCs w:val="24"/>
          <w:lang w:val="en-US"/>
        </w:rPr>
        <w:t>. These cases should be managed in a multi-disciplinary manner, involving different health care specialists</w:t>
      </w:r>
      <w:r w:rsidR="009813F5" w:rsidRPr="00313BA1">
        <w:rPr>
          <w:rFonts w:ascii="Book Antiqua" w:eastAsia="SimSun" w:hAnsi="Book Antiqua" w:cs="Arial"/>
          <w:sz w:val="24"/>
          <w:szCs w:val="24"/>
          <w:lang w:val="en-US" w:eastAsia="zh-CN"/>
        </w:rPr>
        <w:t xml:space="preserve"> - </w:t>
      </w:r>
      <w:r w:rsidRPr="00313BA1">
        <w:rPr>
          <w:rFonts w:ascii="Book Antiqua" w:hAnsi="Book Antiqua" w:cs="Arial"/>
          <w:sz w:val="24"/>
          <w:szCs w:val="24"/>
          <w:lang w:val="en-US"/>
        </w:rPr>
        <w:t>oncologists, breast surgeons, gynecologists, reproductive specialists, breast nurses, psychologists</w:t>
      </w:r>
      <w:r w:rsidR="009813F5" w:rsidRPr="00313BA1">
        <w:rPr>
          <w:rFonts w:ascii="Book Antiqua" w:eastAsia="SimSun" w:hAnsi="Book Antiqua" w:cs="Arial"/>
          <w:sz w:val="24"/>
          <w:szCs w:val="24"/>
          <w:lang w:val="en-US" w:eastAsia="zh-CN"/>
        </w:rPr>
        <w:t xml:space="preserve"> - </w:t>
      </w:r>
      <w:r w:rsidRPr="00313BA1">
        <w:rPr>
          <w:rFonts w:ascii="Book Antiqua" w:hAnsi="Book Antiqua" w:cs="Arial"/>
          <w:sz w:val="24"/>
          <w:szCs w:val="24"/>
          <w:lang w:val="en-US"/>
        </w:rPr>
        <w:t xml:space="preserve">with the aim of ensuring that an educated team can keep up with the progress of fertility preservation </w:t>
      </w:r>
      <w:proofErr w:type="gramStart"/>
      <w:r w:rsidRPr="00313BA1">
        <w:rPr>
          <w:rFonts w:ascii="Book Antiqua" w:hAnsi="Book Antiqua" w:cs="Arial"/>
          <w:sz w:val="24"/>
          <w:szCs w:val="24"/>
          <w:lang w:val="en-US"/>
        </w:rPr>
        <w:t>knowledge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8]</w:t>
      </w:r>
      <w:r w:rsidRPr="00313BA1">
        <w:rPr>
          <w:rFonts w:ascii="Book Antiqua" w:hAnsi="Book Antiqua" w:cs="Arial"/>
          <w:sz w:val="24"/>
          <w:szCs w:val="24"/>
          <w:lang w:val="en-US"/>
        </w:rPr>
        <w:t xml:space="preserve">. Providing consultation with a reproductive specialist and appropriate information on fertility preservation for these women should be an essential component of their supportive </w:t>
      </w:r>
      <w:proofErr w:type="gramStart"/>
      <w:r w:rsidRPr="00313BA1">
        <w:rPr>
          <w:rFonts w:ascii="Book Antiqua" w:hAnsi="Book Antiqua" w:cs="Arial"/>
          <w:sz w:val="24"/>
          <w:szCs w:val="24"/>
          <w:lang w:val="en-US"/>
        </w:rPr>
        <w:t>care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9]</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The offspring of patients who became pregnant after completion of chemotherapy have shown no adverse effects or congenital anomalies from the treatment, but sometimes high rates of miscarriage (29%) and premature deliveries with low birth weight (40%) have been </w:t>
      </w:r>
      <w:proofErr w:type="gramStart"/>
      <w:r w:rsidRPr="00313BA1">
        <w:rPr>
          <w:rFonts w:ascii="Book Antiqua" w:hAnsi="Book Antiqua" w:cs="Arial"/>
          <w:sz w:val="24"/>
          <w:szCs w:val="24"/>
          <w:lang w:val="en-US"/>
        </w:rPr>
        <w:t>demonstrated</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w:t>
      </w:r>
      <w:r w:rsidRPr="00313BA1">
        <w:rPr>
          <w:rFonts w:ascii="Book Antiqua" w:hAnsi="Book Antiqua" w:cs="Arial"/>
          <w:sz w:val="24"/>
          <w:szCs w:val="24"/>
          <w:lang w:val="en-US"/>
        </w:rPr>
        <w:t xml:space="preserve">. Thus, it is important to </w:t>
      </w:r>
      <w:r w:rsidRPr="00313BA1">
        <w:rPr>
          <w:rFonts w:ascii="Book Antiqua" w:hAnsi="Book Antiqua" w:cs="Arial"/>
          <w:sz w:val="24"/>
          <w:szCs w:val="24"/>
          <w:lang w:val="en-US"/>
        </w:rPr>
        <w:lastRenderedPageBreak/>
        <w:t>offer early referral to a reproductive specialist to those patients at risk of infertility who are interested in fertility preservation.</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There have been recent advances in the field of fertility preservation in young women undergoing breast cancer therapy which have allowed many of these breast cancer survivors to have children in the future. The most common option is embryo and oocyte cryopreservation (providing a pregnancy rate of 25</w:t>
      </w:r>
      <w:r w:rsidR="009813F5"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-35%), even though the suitable strategy to be chosen depends also on age, type of chemotherapy, partner status, and the patient’s motivation. Once oocytes are removed, women undergo </w:t>
      </w:r>
      <w:r w:rsidRPr="00313BA1">
        <w:rPr>
          <w:rFonts w:ascii="Book Antiqua" w:hAnsi="Book Antiqua" w:cs="Arial"/>
          <w:i/>
          <w:iCs/>
          <w:sz w:val="24"/>
          <w:szCs w:val="24"/>
          <w:lang w:val="en-US"/>
        </w:rPr>
        <w:t>in vitro</w:t>
      </w:r>
      <w:r w:rsidRPr="00313BA1">
        <w:rPr>
          <w:rFonts w:ascii="Book Antiqua" w:hAnsi="Book Antiqua" w:cs="Arial"/>
          <w:sz w:val="24"/>
          <w:szCs w:val="24"/>
          <w:lang w:val="en-US"/>
        </w:rPr>
        <w:t xml:space="preserve"> fertilization (IVF). The IVF process involves stimulation of multiple follicles and eggs for development (ovarian induction with synthetic gonadotropins), transvaginal ultrasound-guided oocyte retrieval, fertilization of the eggs in the laboratory, and, finally, embryo transfer to the uterus, limiting the number of embryo transfers to maximum of 2 or 3 to avoid multiple gestations (which is the most frequent complication of this </w:t>
      </w:r>
      <w:proofErr w:type="gramStart"/>
      <w:r w:rsidRPr="00313BA1">
        <w:rPr>
          <w:rFonts w:ascii="Book Antiqua" w:hAnsi="Book Antiqua" w:cs="Arial"/>
          <w:sz w:val="24"/>
          <w:szCs w:val="24"/>
          <w:lang w:val="en-US"/>
        </w:rPr>
        <w:t>procedure)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10]</w:t>
      </w:r>
      <w:r w:rsidRPr="00313BA1">
        <w:rPr>
          <w:rFonts w:ascii="Book Antiqua" w:hAnsi="Book Antiqua" w:cs="Arial"/>
          <w:sz w:val="24"/>
          <w:szCs w:val="24"/>
          <w:lang w:val="en-US"/>
        </w:rPr>
        <w:t xml:space="preserve">. The most serious complication after ovarian stimulation is ovarian hyper-stimulation syndrome (characterized by ovarian enlargement due to multiple ovarian cysts and an acute fluid shift into the extravascular </w:t>
      </w:r>
      <w:proofErr w:type="gramStart"/>
      <w:r w:rsidRPr="00313BA1">
        <w:rPr>
          <w:rFonts w:ascii="Book Antiqua" w:hAnsi="Book Antiqua" w:cs="Arial"/>
          <w:sz w:val="24"/>
          <w:szCs w:val="24"/>
          <w:lang w:val="en-US"/>
        </w:rPr>
        <w:t>space)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11]</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Broadly speaking we can say that the chance of giving birth after one IVF cycle is approximately 20</w:t>
      </w:r>
      <w:r w:rsidR="009813F5"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-25% in women less than 35 years old, 15</w:t>
      </w:r>
      <w:r w:rsidR="009813F5"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-20% for those 35-39, and 6</w:t>
      </w:r>
      <w:r w:rsidR="009813F5"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-10% for those over </w:t>
      </w:r>
      <w:r w:rsidR="009813F5" w:rsidRPr="00313BA1">
        <w:rPr>
          <w:rFonts w:ascii="Book Antiqua" w:hAnsi="Book Antiqua" w:cs="Arial"/>
          <w:sz w:val="24"/>
          <w:szCs w:val="24"/>
          <w:lang w:val="en-US"/>
        </w:rPr>
        <w:t>40</w:t>
      </w:r>
      <w:r w:rsidRPr="00313BA1">
        <w:rPr>
          <w:rFonts w:ascii="Book Antiqua" w:hAnsi="Book Antiqua" w:cs="Arial"/>
          <w:sz w:val="24"/>
          <w:szCs w:val="24"/>
          <w:vertAlign w:val="superscript"/>
          <w:lang w:val="en-US"/>
        </w:rPr>
        <w:t>[12]</w:t>
      </w:r>
      <w:r w:rsidRPr="00313BA1">
        <w:rPr>
          <w:rFonts w:ascii="Book Antiqua" w:hAnsi="Book Antiqua" w:cs="Arial"/>
          <w:sz w:val="24"/>
          <w:szCs w:val="24"/>
          <w:lang w:val="en-US"/>
        </w:rPr>
        <w:t>. Therefore, the age of the patient is one of the most influential factors in assisted reproductive outcomes. Nowadays there are also other strategies for fertility preservation, some still experimental such as ovarian tissue cryopreservation and ovarian suppression with gonadotrophin-releasing hormone agonists (</w:t>
      </w:r>
      <w:proofErr w:type="spellStart"/>
      <w:r w:rsidRPr="00313BA1">
        <w:rPr>
          <w:rFonts w:ascii="Book Antiqua" w:hAnsi="Book Antiqua" w:cs="Arial"/>
          <w:sz w:val="24"/>
          <w:szCs w:val="24"/>
          <w:lang w:val="en-US"/>
        </w:rPr>
        <w:t>GnRHa</w:t>
      </w:r>
      <w:proofErr w:type="spellEnd"/>
      <w:r w:rsidRPr="00313BA1">
        <w:rPr>
          <w:rFonts w:ascii="Book Antiqua" w:hAnsi="Book Antiqua" w:cs="Arial"/>
          <w:sz w:val="24"/>
          <w:szCs w:val="24"/>
          <w:lang w:val="en-US"/>
        </w:rPr>
        <w:t xml:space="preserve">) during </w:t>
      </w:r>
      <w:proofErr w:type="gramStart"/>
      <w:r w:rsidRPr="00313BA1">
        <w:rPr>
          <w:rFonts w:ascii="Book Antiqua" w:hAnsi="Book Antiqua" w:cs="Arial"/>
          <w:sz w:val="24"/>
          <w:szCs w:val="24"/>
          <w:lang w:val="en-US"/>
        </w:rPr>
        <w:t>chemotherapy</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7]</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As to adjuvant radiotherapy in breast cancer, it has been shown to have no impact on the rate or clinical outcome of pregnancy, and no anatomical defects have been observed in the </w:t>
      </w:r>
      <w:proofErr w:type="gramStart"/>
      <w:r w:rsidRPr="00313BA1">
        <w:rPr>
          <w:rFonts w:ascii="Book Antiqua" w:hAnsi="Book Antiqua" w:cs="Arial"/>
          <w:sz w:val="24"/>
          <w:szCs w:val="24"/>
          <w:lang w:val="en-US"/>
        </w:rPr>
        <w:t>offspring</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13]</w:t>
      </w:r>
      <w:r w:rsidRPr="00313BA1">
        <w:rPr>
          <w:rFonts w:ascii="Book Antiqua" w:hAnsi="Book Antiqua" w:cs="Arial"/>
          <w:sz w:val="24"/>
          <w:szCs w:val="24"/>
          <w:lang w:val="en-US"/>
        </w:rPr>
        <w:t xml:space="preserve">. Nevertheless, diminished lactation from the irradiated breast has been reported in those women who underwent radiotherapy following breast-conserving surgery, presumably due to atrophy of the breast </w:t>
      </w:r>
      <w:proofErr w:type="gramStart"/>
      <w:r w:rsidRPr="00313BA1">
        <w:rPr>
          <w:rFonts w:ascii="Book Antiqua" w:hAnsi="Book Antiqua" w:cs="Arial"/>
          <w:sz w:val="24"/>
          <w:szCs w:val="24"/>
          <w:lang w:val="en-US"/>
        </w:rPr>
        <w:t>lobules</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14]</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eastAsia="SimSun" w:hAnsi="Book Antiqua" w:cs="Arial"/>
          <w:sz w:val="24"/>
          <w:szCs w:val="24"/>
          <w:lang w:val="en-US" w:eastAsia="zh-CN"/>
        </w:rPr>
      </w:pPr>
      <w:r w:rsidRPr="00313BA1">
        <w:rPr>
          <w:rFonts w:ascii="Book Antiqua" w:hAnsi="Book Antiqua" w:cs="Arial"/>
          <w:sz w:val="24"/>
          <w:szCs w:val="24"/>
          <w:lang w:val="en-US"/>
        </w:rPr>
        <w:lastRenderedPageBreak/>
        <w:t>The following case is interesting because it is about a 43-year-old woman with an associated history of gynecological pathology, including ovarian cysts, endometriosis, hyperplastic endometrium, hydrosalpinx, myomas, and amenorrhea. On top of such negative factors for motherhood, she developed breast cancer (pT1bpN1a, stage IIA), and after chemo- and radiotherapy, she became pregnant following fertility preservation of a single cryopreserved embryo. After just one IVF cycle, she delivered a full-term infa</w:t>
      </w:r>
      <w:r w:rsidR="009813F5" w:rsidRPr="00313BA1">
        <w:rPr>
          <w:rFonts w:ascii="Book Antiqua" w:hAnsi="Book Antiqua" w:cs="Arial"/>
          <w:sz w:val="24"/>
          <w:szCs w:val="24"/>
          <w:lang w:val="en-US"/>
        </w:rPr>
        <w:t>nt with adequate breastfeeding.</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b/>
          <w:sz w:val="24"/>
          <w:szCs w:val="24"/>
          <w:lang w:val="en-US"/>
        </w:rPr>
      </w:pPr>
      <w:r w:rsidRPr="00313BA1">
        <w:rPr>
          <w:rFonts w:ascii="Book Antiqua" w:hAnsi="Book Antiqua" w:cs="Arial"/>
          <w:b/>
          <w:sz w:val="24"/>
          <w:szCs w:val="24"/>
          <w:lang w:val="en-US"/>
        </w:rPr>
        <w:t>CASE REPORT</w:t>
      </w:r>
    </w:p>
    <w:p w:rsidR="00E91C72" w:rsidRPr="00313BA1" w:rsidRDefault="00E91C72" w:rsidP="00313BA1">
      <w:pPr>
        <w:spacing w:after="0" w:line="360" w:lineRule="auto"/>
        <w:ind w:right="-625"/>
        <w:jc w:val="both"/>
        <w:rPr>
          <w:rFonts w:ascii="Book Antiqua" w:hAnsi="Book Antiqua" w:cs="Arial"/>
          <w:sz w:val="24"/>
          <w:szCs w:val="24"/>
          <w:lang w:val="en-US"/>
        </w:rPr>
      </w:pPr>
      <w:r w:rsidRPr="00313BA1">
        <w:rPr>
          <w:rFonts w:ascii="Book Antiqua" w:hAnsi="Book Antiqua" w:cs="Arial"/>
          <w:sz w:val="24"/>
          <w:szCs w:val="24"/>
          <w:lang w:val="en-US"/>
        </w:rPr>
        <w:t xml:space="preserve">The patient is a Caucasian woman born in 1972, middle class, with a university degree, a base body mass index (BMI) of 19 kg/m² and strictly healthy hygienic-dietary lifestyle without unhealthy habits, and no relevant clinical family history. She is currently premenopausal, with regular periods and a personal history of laparoscopy due to endometriosis (endometrioma in the left ovary) at age 29. To facilitate visual understanding of the case, the chronologically ordered medical history constructed from the patient’s reporting and the information from three medical </w:t>
      </w:r>
      <w:proofErr w:type="spellStart"/>
      <w:r w:rsidRPr="00313BA1">
        <w:rPr>
          <w:rFonts w:ascii="Book Antiqua" w:hAnsi="Book Antiqua" w:cs="Arial"/>
          <w:sz w:val="24"/>
          <w:szCs w:val="24"/>
          <w:lang w:val="en-US"/>
        </w:rPr>
        <w:t>centres</w:t>
      </w:r>
      <w:proofErr w:type="spellEnd"/>
      <w:r w:rsidRPr="00313BA1">
        <w:rPr>
          <w:rFonts w:ascii="Book Antiqua" w:hAnsi="Book Antiqua" w:cs="Arial"/>
          <w:sz w:val="24"/>
          <w:szCs w:val="24"/>
          <w:lang w:val="en-US"/>
        </w:rPr>
        <w:t xml:space="preserve"> is presented in Figure 1. The patient has private health insurance so she has no problem attending any of the three </w:t>
      </w:r>
      <w:proofErr w:type="spellStart"/>
      <w:r w:rsidRPr="00313BA1">
        <w:rPr>
          <w:rFonts w:ascii="Book Antiqua" w:hAnsi="Book Antiqua" w:cs="Arial"/>
          <w:sz w:val="24"/>
          <w:szCs w:val="24"/>
          <w:lang w:val="en-US"/>
        </w:rPr>
        <w:t>centres</w:t>
      </w:r>
      <w:proofErr w:type="spellEnd"/>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eastAsia="SimSun" w:hAnsi="Book Antiqua" w:cs="Arial"/>
          <w:sz w:val="24"/>
          <w:szCs w:val="24"/>
          <w:lang w:val="en-US" w:eastAsia="zh-CN"/>
        </w:rPr>
      </w:pPr>
      <w:r w:rsidRPr="00313BA1">
        <w:rPr>
          <w:rFonts w:ascii="Book Antiqua" w:hAnsi="Book Antiqua" w:cs="Arial"/>
          <w:sz w:val="24"/>
          <w:szCs w:val="24"/>
          <w:lang w:val="en-US"/>
        </w:rPr>
        <w:t>In July 2011 she went to an initial gynecological examination visit at the Hospital General de Catalunya due to self-palpation of a superior-external quadrant lump in the right breast, where a 1 cm mammary nodule compatible with a fibroadenoma was clinically evidenced. A mammography exam and a breast ultrasound were requested. These revealed a 10</w:t>
      </w:r>
      <w:r w:rsidR="009813F5" w:rsidRPr="00313BA1">
        <w:rPr>
          <w:rFonts w:ascii="Book Antiqua" w:eastAsia="SimSun" w:hAnsi="Book Antiqua" w:cs="Arial"/>
          <w:sz w:val="24"/>
          <w:szCs w:val="24"/>
          <w:lang w:val="en-US" w:eastAsia="zh-CN"/>
        </w:rPr>
        <w:t xml:space="preserve"> </w:t>
      </w:r>
      <w:r w:rsidR="009813F5" w:rsidRPr="00313BA1">
        <w:rPr>
          <w:rFonts w:ascii="Book Antiqua" w:hAnsi="Book Antiqua" w:cs="Arial"/>
          <w:sz w:val="24"/>
          <w:szCs w:val="24"/>
          <w:lang w:val="en-US"/>
        </w:rPr>
        <w:t>×</w:t>
      </w:r>
      <w:r w:rsidR="009813F5" w:rsidRPr="00313BA1">
        <w:rPr>
          <w:rFonts w:ascii="Book Antiqua" w:eastAsia="SimSun" w:hAnsi="Book Antiqua" w:cs="Arial"/>
          <w:sz w:val="24"/>
          <w:szCs w:val="24"/>
          <w:lang w:val="en-US" w:eastAsia="zh-CN"/>
        </w:rPr>
        <w:t xml:space="preserve"> </w:t>
      </w:r>
      <w:r w:rsidRPr="00313BA1">
        <w:rPr>
          <w:rFonts w:ascii="Book Antiqua" w:hAnsi="Book Antiqua" w:cs="Arial"/>
          <w:sz w:val="24"/>
          <w:szCs w:val="24"/>
          <w:lang w:val="en-US"/>
        </w:rPr>
        <w:t>10 mm nodule with radiological signs of suspected malignancy (Figure 2). Consequently, a targeted biopsy was performed evidencing a human epidermal growth factor receptor 2 (H</w:t>
      </w:r>
      <w:r w:rsidR="009813F5" w:rsidRPr="00313BA1">
        <w:rPr>
          <w:rFonts w:ascii="Book Antiqua" w:hAnsi="Book Antiqua" w:cs="Arial"/>
          <w:sz w:val="24"/>
          <w:szCs w:val="24"/>
          <w:lang w:val="en-US"/>
        </w:rPr>
        <w:t>ER</w:t>
      </w:r>
      <w:r w:rsidRPr="00313BA1">
        <w:rPr>
          <w:rFonts w:ascii="Book Antiqua" w:hAnsi="Book Antiqua" w:cs="Arial"/>
          <w:sz w:val="24"/>
          <w:szCs w:val="24"/>
          <w:lang w:val="en-US"/>
        </w:rPr>
        <w:t xml:space="preserve">2)-positive hormone-dependent (80% estrogenic receptors, 70% </w:t>
      </w:r>
      <w:proofErr w:type="spellStart"/>
      <w:r w:rsidRPr="00313BA1">
        <w:rPr>
          <w:rFonts w:ascii="Book Antiqua" w:hAnsi="Book Antiqua" w:cs="Arial"/>
          <w:sz w:val="24"/>
          <w:szCs w:val="24"/>
          <w:lang w:val="en-US"/>
        </w:rPr>
        <w:t>progestational</w:t>
      </w:r>
      <w:proofErr w:type="spellEnd"/>
      <w:r w:rsidRPr="00313BA1">
        <w:rPr>
          <w:rFonts w:ascii="Book Antiqua" w:hAnsi="Book Antiqua" w:cs="Arial"/>
          <w:sz w:val="24"/>
          <w:szCs w:val="24"/>
          <w:lang w:val="en-US"/>
        </w:rPr>
        <w:t xml:space="preserve"> receptors) CD56 (marker for detecting neuroendocrine differentiation) negative high-grade invasive ductal carcinoma. In the gynecological visit, a transvaginal ultrasound was also performed showing an anechoic cystic image of 39 mm diameter in the right adnexal area compatible with a simple ovarian cyst versus follicular cyst </w:t>
      </w:r>
      <w:r w:rsidRPr="00313BA1">
        <w:rPr>
          <w:rFonts w:ascii="Book Antiqua" w:hAnsi="Book Antiqua" w:cs="Arial"/>
          <w:sz w:val="24"/>
          <w:szCs w:val="24"/>
          <w:lang w:val="en-US"/>
        </w:rPr>
        <w:lastRenderedPageBreak/>
        <w:t xml:space="preserve">(Figure 3); the rest of the exploration was anodyne. </w:t>
      </w:r>
      <w:proofErr w:type="spellStart"/>
      <w:r w:rsidRPr="00313BA1">
        <w:rPr>
          <w:rFonts w:ascii="Book Antiqua" w:hAnsi="Book Antiqua" w:cs="Arial"/>
          <w:sz w:val="24"/>
          <w:szCs w:val="24"/>
          <w:lang w:val="en-US"/>
        </w:rPr>
        <w:t>Tumour</w:t>
      </w:r>
      <w:proofErr w:type="spellEnd"/>
      <w:r w:rsidRPr="00313BA1">
        <w:rPr>
          <w:rFonts w:ascii="Book Antiqua" w:hAnsi="Book Antiqua" w:cs="Arial"/>
          <w:sz w:val="24"/>
          <w:szCs w:val="24"/>
          <w:lang w:val="en-US"/>
        </w:rPr>
        <w:t xml:space="preserve"> markers were studied as well with a CA</w:t>
      </w:r>
      <w:r w:rsidR="009813F5"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125 of 82.2 U/mL (carbohydrate antigen 125; it has been associated mainly with ovarian cancer when values are &gt; 35 U/mL, but also with other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such as breast cancer), with the rest of the markers normal. Subsequently, a new transvaginal ultrasound was performed evidencing a persistence of 5 cm anechoic cyst and diagnosing a 38 mm right hydrosalpinx (Figure 4)</w:t>
      </w:r>
      <w:r w:rsidR="009813F5"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bCs/>
          <w:sz w:val="24"/>
          <w:szCs w:val="24"/>
          <w:lang w:val="en-US"/>
        </w:rPr>
      </w:pPr>
      <w:r w:rsidRPr="00313BA1">
        <w:rPr>
          <w:rFonts w:ascii="Book Antiqua" w:hAnsi="Book Antiqua" w:cs="Arial"/>
          <w:sz w:val="24"/>
          <w:szCs w:val="24"/>
          <w:lang w:val="en-US"/>
        </w:rPr>
        <w:t xml:space="preserve">In September 2011 the patient underwent a lumpectomy with a sentinel lymph node dissection at the </w:t>
      </w:r>
      <w:proofErr w:type="spellStart"/>
      <w:r w:rsidRPr="00313BA1">
        <w:rPr>
          <w:rFonts w:ascii="Book Antiqua" w:hAnsi="Book Antiqua" w:cs="Arial"/>
          <w:sz w:val="24"/>
          <w:szCs w:val="24"/>
          <w:lang w:val="en-US"/>
        </w:rPr>
        <w:t>Corporació</w:t>
      </w:r>
      <w:proofErr w:type="spellEnd"/>
      <w:r w:rsidRPr="00313BA1">
        <w:rPr>
          <w:rFonts w:ascii="Book Antiqua" w:hAnsi="Book Antiqua" w:cs="Arial"/>
          <w:sz w:val="24"/>
          <w:szCs w:val="24"/>
          <w:lang w:val="en-US"/>
        </w:rPr>
        <w:t xml:space="preserve"> </w:t>
      </w:r>
      <w:proofErr w:type="spellStart"/>
      <w:r w:rsidRPr="00313BA1">
        <w:rPr>
          <w:rFonts w:ascii="Book Antiqua" w:hAnsi="Book Antiqua" w:cs="Arial"/>
          <w:sz w:val="24"/>
          <w:szCs w:val="24"/>
          <w:lang w:val="en-US"/>
        </w:rPr>
        <w:t>Sanitària</w:t>
      </w:r>
      <w:proofErr w:type="spellEnd"/>
      <w:r w:rsidRPr="00313BA1">
        <w:rPr>
          <w:rFonts w:ascii="Book Antiqua" w:hAnsi="Book Antiqua" w:cs="Arial"/>
          <w:sz w:val="24"/>
          <w:szCs w:val="24"/>
          <w:lang w:val="en-US"/>
        </w:rPr>
        <w:t xml:space="preserve"> Parc </w:t>
      </w:r>
      <w:proofErr w:type="spellStart"/>
      <w:r w:rsidRPr="00313BA1">
        <w:rPr>
          <w:rFonts w:ascii="Book Antiqua" w:hAnsi="Book Antiqua" w:cs="Arial"/>
          <w:sz w:val="24"/>
          <w:szCs w:val="24"/>
          <w:lang w:val="en-US"/>
        </w:rPr>
        <w:t>Taulí</w:t>
      </w:r>
      <w:proofErr w:type="spellEnd"/>
      <w:r w:rsidRPr="00313BA1">
        <w:rPr>
          <w:rFonts w:ascii="Book Antiqua" w:hAnsi="Book Antiqua" w:cs="Arial"/>
          <w:sz w:val="24"/>
          <w:szCs w:val="24"/>
          <w:lang w:val="en-US"/>
        </w:rPr>
        <w:t xml:space="preserve">, which confirmed the histologic diagnosis of high grade (III) invasive ductal carcinoma with two axillary sentinel lymph nodes affected, classifying the </w:t>
      </w:r>
      <w:proofErr w:type="spellStart"/>
      <w:r w:rsidRPr="00313BA1">
        <w:rPr>
          <w:rFonts w:ascii="Book Antiqua" w:hAnsi="Book Antiqua" w:cs="Arial"/>
          <w:sz w:val="24"/>
          <w:szCs w:val="24"/>
          <w:lang w:val="en-US"/>
        </w:rPr>
        <w:t>tumour</w:t>
      </w:r>
      <w:proofErr w:type="spellEnd"/>
      <w:r w:rsidRPr="00313BA1">
        <w:rPr>
          <w:rFonts w:ascii="Book Antiqua" w:hAnsi="Book Antiqua" w:cs="Arial"/>
          <w:sz w:val="24"/>
          <w:szCs w:val="24"/>
          <w:lang w:val="en-US"/>
        </w:rPr>
        <w:t xml:space="preserve"> as p</w:t>
      </w:r>
      <w:r w:rsidRPr="00313BA1">
        <w:rPr>
          <w:rFonts w:ascii="Book Antiqua" w:hAnsi="Book Antiqua" w:cs="Arial"/>
          <w:bCs/>
          <w:sz w:val="24"/>
          <w:szCs w:val="24"/>
          <w:lang w:val="en-US"/>
        </w:rPr>
        <w:t>T1b</w:t>
      </w:r>
      <w:r w:rsidRPr="00313BA1">
        <w:rPr>
          <w:rFonts w:ascii="Book Antiqua" w:hAnsi="Book Antiqua" w:cs="Arial"/>
          <w:sz w:val="24"/>
          <w:szCs w:val="24"/>
          <w:lang w:val="en-US"/>
        </w:rPr>
        <w:t>p</w:t>
      </w:r>
      <w:r w:rsidRPr="00313BA1">
        <w:rPr>
          <w:rFonts w:ascii="Book Antiqua" w:hAnsi="Book Antiqua" w:cs="Arial"/>
          <w:bCs/>
          <w:sz w:val="24"/>
          <w:szCs w:val="24"/>
          <w:lang w:val="en-US"/>
        </w:rPr>
        <w:t>N1a, stage IIA.</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eastAsia="SimSun" w:hAnsi="Book Antiqua" w:cs="Arial"/>
          <w:lang w:val="en-US" w:eastAsia="zh-CN"/>
        </w:rPr>
      </w:pPr>
      <w:r w:rsidRPr="00313BA1">
        <w:rPr>
          <w:rFonts w:ascii="Book Antiqua" w:hAnsi="Book Antiqua" w:cs="Arial"/>
          <w:lang w:val="en-US"/>
        </w:rPr>
        <w:t>With these results, staging was completed with a right axillary lymphadenectomy, without evidence of other affected lymph nodes. Thus, the patient was a candidate to receive adjuvant treatment with chemotherapy, radiotherapy, and hormone therapy for 5 years. In addition, the ovarian cyst disappeared, although the hydrosalpinx, measuring 33 mm, persisted</w:t>
      </w:r>
      <w:r w:rsidR="009813F5" w:rsidRPr="00313BA1">
        <w:rPr>
          <w:rFonts w:ascii="Book Antiqua" w:hAnsi="Book Antiqua" w:cs="Arial"/>
          <w:lang w:val="en-US"/>
        </w:rPr>
        <w:t>.</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t>Before starting the treatment, oocyte preservation was carried out after ovarian stimulation treatment</w:t>
      </w:r>
      <w:r w:rsidRPr="00313BA1" w:rsidDel="006E00AB">
        <w:rPr>
          <w:rFonts w:ascii="Book Antiqua" w:hAnsi="Book Antiqua" w:cs="Arial"/>
          <w:lang w:val="en-US"/>
        </w:rPr>
        <w:t xml:space="preserve"> </w:t>
      </w:r>
      <w:r w:rsidRPr="00313BA1">
        <w:rPr>
          <w:rFonts w:ascii="Book Antiqua" w:hAnsi="Book Antiqua" w:cs="Arial"/>
          <w:lang w:val="en-US"/>
        </w:rPr>
        <w:t>because of the patient’s desire for maternity. The patient started medication with Letrozole (</w:t>
      </w:r>
      <w:proofErr w:type="spellStart"/>
      <w:r w:rsidRPr="00313BA1">
        <w:rPr>
          <w:rFonts w:ascii="Book Antiqua" w:hAnsi="Book Antiqua" w:cs="Arial"/>
          <w:lang w:val="en-US"/>
        </w:rPr>
        <w:t>Femara</w:t>
      </w:r>
      <w:proofErr w:type="spellEnd"/>
      <w:r w:rsidR="00CF0874" w:rsidRPr="00CF0874">
        <w:rPr>
          <w:rFonts w:ascii="Book Antiqua" w:hAnsi="Book Antiqua" w:cs="Arial"/>
          <w:vertAlign w:val="superscript"/>
          <w:lang w:val="en-US"/>
        </w:rPr>
        <w:t>®</w:t>
      </w:r>
      <w:r w:rsidRPr="00313BA1">
        <w:rPr>
          <w:rFonts w:ascii="Book Antiqua" w:hAnsi="Book Antiqua" w:cs="Arial"/>
          <w:lang w:val="en-US"/>
        </w:rPr>
        <w:t>) Protocol (2.5 mg/daily administration, oral route) and 225 mg of recombinant follicle-stimulating hormone (</w:t>
      </w:r>
      <w:proofErr w:type="spellStart"/>
      <w:r w:rsidRPr="00313BA1">
        <w:rPr>
          <w:rFonts w:ascii="Book Antiqua" w:hAnsi="Book Antiqua" w:cs="Arial"/>
          <w:lang w:val="en-US"/>
        </w:rPr>
        <w:t>rFSH</w:t>
      </w:r>
      <w:proofErr w:type="spellEnd"/>
      <w:r w:rsidRPr="00313BA1">
        <w:rPr>
          <w:rFonts w:ascii="Book Antiqua" w:hAnsi="Book Antiqua" w:cs="Arial"/>
          <w:lang w:val="en-US"/>
        </w:rPr>
        <w:t xml:space="preserve">) (225 UI daily) for 10 d. Four follicles developed in the right ovary, but during the pickup it was found that they were empty. </w:t>
      </w:r>
      <w:bookmarkStart w:id="0" w:name="_Hlk505231286"/>
      <w:r w:rsidRPr="00313BA1">
        <w:rPr>
          <w:rFonts w:ascii="Book Antiqua" w:hAnsi="Book Antiqua" w:cs="Arial"/>
          <w:lang w:val="en-US"/>
        </w:rPr>
        <w:t xml:space="preserve">Two ovules that developed in the contralateral ovary, harder to reach, were extracted in a puncture performed on November 4, 2011, at the </w:t>
      </w:r>
      <w:proofErr w:type="spellStart"/>
      <w:r w:rsidRPr="00313BA1">
        <w:rPr>
          <w:rFonts w:ascii="Book Antiqua" w:hAnsi="Book Antiqua" w:cs="Arial"/>
          <w:iCs/>
          <w:lang w:val="en-US"/>
        </w:rPr>
        <w:t>Cefer</w:t>
      </w:r>
      <w:proofErr w:type="spellEnd"/>
      <w:r w:rsidRPr="00313BA1">
        <w:rPr>
          <w:rFonts w:ascii="Book Antiqua" w:hAnsi="Book Antiqua" w:cs="Arial"/>
          <w:iCs/>
          <w:lang w:val="en-US"/>
        </w:rPr>
        <w:t xml:space="preserve"> Institute</w:t>
      </w:r>
      <w:r w:rsidRPr="00313BA1">
        <w:rPr>
          <w:rFonts w:ascii="Book Antiqua" w:hAnsi="Book Antiqua" w:cs="Arial"/>
          <w:lang w:val="en-US"/>
        </w:rPr>
        <w:t>, and after IVF only a single day 3 embryo (type A) was available for freezing.</w:t>
      </w:r>
      <w:bookmarkEnd w:id="0"/>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t xml:space="preserve">The patient started adjuvant treatment with chemotherapy following a scheme based on </w:t>
      </w:r>
      <w:proofErr w:type="spellStart"/>
      <w:r w:rsidRPr="00313BA1">
        <w:rPr>
          <w:rFonts w:ascii="Book Antiqua" w:hAnsi="Book Antiqua" w:cs="Arial"/>
          <w:lang w:val="en-US"/>
        </w:rPr>
        <w:t>Epirubicin</w:t>
      </w:r>
      <w:proofErr w:type="spellEnd"/>
      <w:r w:rsidRPr="00313BA1">
        <w:rPr>
          <w:rFonts w:ascii="Book Antiqua" w:hAnsi="Book Antiqua" w:cs="Arial"/>
          <w:lang w:val="en-US"/>
        </w:rPr>
        <w:t xml:space="preserve"> 90 mg/m</w:t>
      </w:r>
      <w:r w:rsidRPr="00313BA1">
        <w:rPr>
          <w:rFonts w:ascii="Book Antiqua" w:hAnsi="Book Antiqua" w:cs="Arial"/>
          <w:vertAlign w:val="superscript"/>
          <w:lang w:val="en-US"/>
        </w:rPr>
        <w:t>2</w:t>
      </w:r>
      <w:r w:rsidRPr="00313BA1">
        <w:rPr>
          <w:rFonts w:ascii="Book Antiqua" w:hAnsi="Book Antiqua" w:cs="Arial"/>
          <w:lang w:val="en-US"/>
        </w:rPr>
        <w:t xml:space="preserve"> and Cyclophosphamide 600 mg/m</w:t>
      </w:r>
      <w:r w:rsidRPr="00313BA1">
        <w:rPr>
          <w:rFonts w:ascii="Book Antiqua" w:hAnsi="Book Antiqua" w:cs="Arial"/>
          <w:vertAlign w:val="superscript"/>
          <w:lang w:val="en-US"/>
        </w:rPr>
        <w:t>2</w:t>
      </w:r>
      <w:r w:rsidRPr="00313BA1">
        <w:rPr>
          <w:rFonts w:ascii="Book Antiqua" w:hAnsi="Book Antiqua" w:cs="Arial"/>
          <w:lang w:val="en-US"/>
        </w:rPr>
        <w:t xml:space="preserve"> every 21 d up to 4 cycles, followed by Docetaxel 75 mg/m</w:t>
      </w:r>
      <w:r w:rsidRPr="00313BA1">
        <w:rPr>
          <w:rFonts w:ascii="Book Antiqua" w:hAnsi="Book Antiqua" w:cs="Arial"/>
          <w:vertAlign w:val="superscript"/>
          <w:lang w:val="en-US"/>
        </w:rPr>
        <w:t xml:space="preserve">2 </w:t>
      </w:r>
      <w:r w:rsidRPr="00313BA1">
        <w:rPr>
          <w:rFonts w:ascii="Book Antiqua" w:hAnsi="Book Antiqua" w:cs="Arial"/>
          <w:lang w:val="en-US"/>
        </w:rPr>
        <w:t>and Trastuzumab every 21 d. She completed 4 cycles with a good patient tolerance.</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lastRenderedPageBreak/>
        <w:t xml:space="preserve">In May 2012, the patient started hormone therapy with Tamoxifen 20 mg daily for 5 years, followed by subcutaneous Trastuzumab 600 mg every 3 </w:t>
      </w:r>
      <w:proofErr w:type="spellStart"/>
      <w:r w:rsidRPr="00313BA1">
        <w:rPr>
          <w:rFonts w:ascii="Book Antiqua" w:hAnsi="Book Antiqua" w:cs="Arial"/>
          <w:lang w:val="en-US"/>
        </w:rPr>
        <w:t>w</w:t>
      </w:r>
      <w:r w:rsidR="009813F5" w:rsidRPr="00313BA1">
        <w:rPr>
          <w:rFonts w:ascii="Book Antiqua" w:hAnsi="Book Antiqua" w:cs="Arial"/>
          <w:lang w:val="en-US"/>
        </w:rPr>
        <w:t>k</w:t>
      </w:r>
      <w:proofErr w:type="spellEnd"/>
      <w:r w:rsidRPr="00313BA1">
        <w:rPr>
          <w:rFonts w:ascii="Book Antiqua" w:hAnsi="Book Antiqua" w:cs="Arial"/>
          <w:lang w:val="en-US"/>
        </w:rPr>
        <w:t xml:space="preserve"> until completing one year of treatment. Next, she received radiotherapy (complementing breast conserving surgery) with a total dose of 66 </w:t>
      </w:r>
      <w:proofErr w:type="spellStart"/>
      <w:r w:rsidRPr="00313BA1">
        <w:rPr>
          <w:rFonts w:ascii="Book Antiqua" w:hAnsi="Book Antiqua" w:cs="Arial"/>
          <w:lang w:val="en-US"/>
        </w:rPr>
        <w:t>Gy</w:t>
      </w:r>
      <w:proofErr w:type="spellEnd"/>
      <w:r w:rsidRPr="00313BA1">
        <w:rPr>
          <w:rFonts w:ascii="Book Antiqua" w:hAnsi="Book Antiqua" w:cs="Arial"/>
          <w:lang w:val="en-US"/>
        </w:rPr>
        <w:t xml:space="preserve"> (2 </w:t>
      </w:r>
      <w:proofErr w:type="spellStart"/>
      <w:r w:rsidRPr="00313BA1">
        <w:rPr>
          <w:rFonts w:ascii="Book Antiqua" w:hAnsi="Book Antiqua" w:cs="Arial"/>
          <w:lang w:val="en-US"/>
        </w:rPr>
        <w:t>Gy</w:t>
      </w:r>
      <w:proofErr w:type="spellEnd"/>
      <w:r w:rsidRPr="00313BA1">
        <w:rPr>
          <w:rFonts w:ascii="Book Antiqua" w:hAnsi="Book Antiqua" w:cs="Arial"/>
          <w:lang w:val="en-US"/>
        </w:rPr>
        <w:t>/fraction, 5 d/</w:t>
      </w:r>
      <w:proofErr w:type="spellStart"/>
      <w:r w:rsidRPr="00313BA1">
        <w:rPr>
          <w:rFonts w:ascii="Book Antiqua" w:hAnsi="Book Antiqua" w:cs="Arial"/>
          <w:lang w:val="en-US"/>
        </w:rPr>
        <w:t>wk</w:t>
      </w:r>
      <w:proofErr w:type="spellEnd"/>
      <w:r w:rsidRPr="00313BA1">
        <w:rPr>
          <w:rFonts w:ascii="Book Antiqua" w:hAnsi="Book Antiqua" w:cs="Arial"/>
          <w:lang w:val="en-US"/>
        </w:rPr>
        <w:t xml:space="preserve">) followed by a boost of 16 </w:t>
      </w:r>
      <w:proofErr w:type="spellStart"/>
      <w:r w:rsidRPr="00313BA1">
        <w:rPr>
          <w:rFonts w:ascii="Book Antiqua" w:hAnsi="Book Antiqua" w:cs="Arial"/>
          <w:lang w:val="en-US"/>
        </w:rPr>
        <w:t>Gy</w:t>
      </w:r>
      <w:proofErr w:type="spellEnd"/>
      <w:r w:rsidRPr="00313BA1">
        <w:rPr>
          <w:rFonts w:ascii="Book Antiqua" w:hAnsi="Book Antiqua" w:cs="Arial"/>
          <w:lang w:val="en-US"/>
        </w:rPr>
        <w:t xml:space="preserve"> over the surgical site, ending in June 2012.</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t>In December 2013, she ended treatment with Tamoxifen due to her desire for pregnancy, considering that this drug could hinder correct embryo implantation. In total, the patient underwent 8 sessions of chemotherapy, 18 sessions of monoclonal antibodies (Trastuzumab), 33 sessions of radiotherapy, and 2 years of hormone therapy.</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t xml:space="preserve">At the end of 2014, her oncologist approved transfer of the single cryopreserved embryo. Prior to this, an ultrasound was requested that showed a hyperplastic endometrium and the hydrosalpinx, so doctors decided to carry out a hysteroscopy with uterine cavity dilation and curettage, and laparoscopic surgery for </w:t>
      </w:r>
      <w:proofErr w:type="spellStart"/>
      <w:r w:rsidRPr="00313BA1">
        <w:rPr>
          <w:rFonts w:ascii="Book Antiqua" w:hAnsi="Book Antiqua" w:cs="Arial"/>
          <w:lang w:val="en-US"/>
        </w:rPr>
        <w:t>exeresis</w:t>
      </w:r>
      <w:proofErr w:type="spellEnd"/>
      <w:r w:rsidRPr="00313BA1">
        <w:rPr>
          <w:rFonts w:ascii="Book Antiqua" w:hAnsi="Book Antiqua" w:cs="Arial"/>
          <w:lang w:val="en-US"/>
        </w:rPr>
        <w:t>/occlusion of the affected fallopian tube.</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eastAsia="SimSun" w:hAnsi="Book Antiqua" w:cs="Arial"/>
          <w:lang w:val="en-US" w:eastAsia="zh-CN"/>
        </w:rPr>
      </w:pPr>
      <w:r w:rsidRPr="00313BA1">
        <w:rPr>
          <w:rFonts w:ascii="Book Antiqua" w:hAnsi="Book Antiqua" w:cs="Arial"/>
          <w:lang w:val="en-US"/>
        </w:rPr>
        <w:t xml:space="preserve">In January 2015, a diagnostic hysteroscopy showed two small submucosal myomas, for which the patient underwent right salpingectomy and hysteroscopic myomectomy to facilitate a potential pregnancy. Having reached this point, the patient was ready to begin the embryo transfer. However, the patient began having menstrual cycle alterations (amenorrhea), so in June 2015 she started combined oral contraception with </w:t>
      </w:r>
      <w:proofErr w:type="spellStart"/>
      <w:r w:rsidRPr="00313BA1">
        <w:rPr>
          <w:rFonts w:ascii="Book Antiqua" w:hAnsi="Book Antiqua" w:cs="Arial"/>
          <w:lang w:val="en-US"/>
        </w:rPr>
        <w:t>Suavuret</w:t>
      </w:r>
      <w:proofErr w:type="spellEnd"/>
      <w:r w:rsidR="00CF0874" w:rsidRPr="00CF0874">
        <w:rPr>
          <w:rFonts w:ascii="Book Antiqua" w:hAnsi="Book Antiqua" w:cs="Arial"/>
          <w:vertAlign w:val="superscript"/>
          <w:lang w:val="en-US"/>
        </w:rPr>
        <w:t>®</w:t>
      </w:r>
      <w:r w:rsidRPr="00313BA1">
        <w:rPr>
          <w:rFonts w:ascii="Book Antiqua" w:hAnsi="Book Antiqua" w:cs="Arial"/>
          <w:lang w:val="en-US"/>
        </w:rPr>
        <w:t xml:space="preserve"> (Fix combination of </w:t>
      </w:r>
      <w:proofErr w:type="spellStart"/>
      <w:r w:rsidRPr="00313BA1">
        <w:rPr>
          <w:rFonts w:ascii="Book Antiqua" w:hAnsi="Book Antiqua" w:cs="Arial"/>
          <w:lang w:val="en-US"/>
        </w:rPr>
        <w:t>Desogestrel</w:t>
      </w:r>
      <w:proofErr w:type="spellEnd"/>
      <w:r w:rsidRPr="00313BA1">
        <w:rPr>
          <w:rFonts w:ascii="Book Antiqua" w:hAnsi="Book Antiqua" w:cs="Arial"/>
          <w:lang w:val="en-US"/>
        </w:rPr>
        <w:t xml:space="preserve"> 0.15 mg and 0.02 mg </w:t>
      </w:r>
      <w:proofErr w:type="spellStart"/>
      <w:r w:rsidRPr="00313BA1">
        <w:rPr>
          <w:rFonts w:ascii="Book Antiqua" w:hAnsi="Book Antiqua" w:cs="Arial"/>
          <w:lang w:val="en-US"/>
        </w:rPr>
        <w:t>EthinylEstradiol</w:t>
      </w:r>
      <w:proofErr w:type="spellEnd"/>
      <w:r w:rsidRPr="00313BA1">
        <w:rPr>
          <w:rFonts w:ascii="Book Antiqua" w:hAnsi="Book Antiqua" w:cs="Arial"/>
          <w:lang w:val="en-US"/>
        </w:rPr>
        <w:t>, daily)</w:t>
      </w:r>
      <w:r w:rsidR="009813F5" w:rsidRPr="00313BA1">
        <w:rPr>
          <w:rFonts w:ascii="Book Antiqua" w:hAnsi="Book Antiqua" w:cs="Arial"/>
          <w:lang w:val="en-US"/>
        </w:rPr>
        <w:t xml:space="preserve"> for 18 d</w:t>
      </w:r>
      <w:r w:rsidRPr="00313BA1">
        <w:rPr>
          <w:rFonts w:ascii="Book Antiqua" w:hAnsi="Book Antiqua" w:cs="Arial"/>
          <w:lang w:val="en-US"/>
        </w:rPr>
        <w:t xml:space="preserve"> to regulate her menstrual cycle.</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t xml:space="preserve">To prepare uterine endometrium before embryo transfer, and to maintain the pregnancy, on July 15, she started treatment with </w:t>
      </w:r>
      <w:proofErr w:type="spellStart"/>
      <w:r w:rsidRPr="00313BA1">
        <w:rPr>
          <w:rFonts w:ascii="Book Antiqua" w:hAnsi="Book Antiqua" w:cs="Arial"/>
          <w:lang w:val="en-US"/>
        </w:rPr>
        <w:t>Progynova</w:t>
      </w:r>
      <w:proofErr w:type="spellEnd"/>
      <w:r w:rsidR="00CF0874" w:rsidRPr="00CF0874">
        <w:rPr>
          <w:rFonts w:ascii="Book Antiqua" w:hAnsi="Book Antiqua" w:cs="Arial"/>
          <w:vertAlign w:val="superscript"/>
          <w:lang w:val="en-US"/>
        </w:rPr>
        <w:t>®</w:t>
      </w:r>
      <w:r w:rsidRPr="00313BA1">
        <w:rPr>
          <w:rFonts w:ascii="Book Antiqua" w:hAnsi="Book Antiqua" w:cs="Arial"/>
          <w:lang w:val="en-US"/>
        </w:rPr>
        <w:t xml:space="preserve"> 4 mg/d for 3 </w:t>
      </w:r>
      <w:proofErr w:type="spellStart"/>
      <w:r w:rsidRPr="00313BA1">
        <w:rPr>
          <w:rFonts w:ascii="Book Antiqua" w:hAnsi="Book Antiqua" w:cs="Arial"/>
          <w:lang w:val="en-US"/>
        </w:rPr>
        <w:t>mo</w:t>
      </w:r>
      <w:proofErr w:type="spellEnd"/>
      <w:r w:rsidRPr="00313BA1">
        <w:rPr>
          <w:rFonts w:ascii="Book Antiqua" w:hAnsi="Book Antiqua" w:cs="Arial"/>
          <w:lang w:val="en-US"/>
        </w:rPr>
        <w:t xml:space="preserve"> (equivalent to Estradiol Valerate; standard-dose is 6 mg/d, but due to low BMI, the dose was lowered). Endometrium was correctly prepared, so the transfer was carried out on August 3 (when the patient was 43 years old) using an IVF reproduction technique with the vitrified embryo from the age of 39 (type A embryo transfer) (A being the best quality for an embryo to be transferred, B not as good, C poor quality, and D the worst) (Figure 5). On August 17, the biochemical pregnancy </w:t>
      </w:r>
      <w:r w:rsidRPr="00313BA1">
        <w:rPr>
          <w:rFonts w:ascii="Book Antiqua" w:hAnsi="Book Antiqua" w:cs="Arial"/>
          <w:lang w:val="en-US"/>
        </w:rPr>
        <w:lastRenderedPageBreak/>
        <w:t xml:space="preserve">test result was positive </w:t>
      </w:r>
      <w:r w:rsidR="009813F5" w:rsidRPr="00313BA1">
        <w:rPr>
          <w:rFonts w:ascii="Book Antiqua" w:eastAsia="SimSun" w:hAnsi="Book Antiqua" w:cs="Arial"/>
          <w:lang w:val="en-US" w:eastAsia="zh-CN"/>
        </w:rPr>
        <w:t>[</w:t>
      </w:r>
      <w:r w:rsidRPr="00313BA1">
        <w:rPr>
          <w:rFonts w:ascii="Book Antiqua" w:hAnsi="Book Antiqua" w:cs="Arial"/>
          <w:lang w:val="en-US"/>
        </w:rPr>
        <w:t>human chorionic gonadotropin (β-</w:t>
      </w:r>
      <w:proofErr w:type="spellStart"/>
      <w:r w:rsidRPr="00313BA1">
        <w:rPr>
          <w:rFonts w:ascii="Book Antiqua" w:hAnsi="Book Antiqua" w:cs="Arial"/>
          <w:lang w:val="en-US"/>
        </w:rPr>
        <w:t>hCG</w:t>
      </w:r>
      <w:proofErr w:type="spellEnd"/>
      <w:r w:rsidRPr="00313BA1">
        <w:rPr>
          <w:rFonts w:ascii="Book Antiqua" w:hAnsi="Book Antiqua" w:cs="Arial"/>
          <w:lang w:val="en-US"/>
        </w:rPr>
        <w:t>) was 568 IU</w:t>
      </w:r>
      <w:r w:rsidR="009813F5" w:rsidRPr="00313BA1">
        <w:rPr>
          <w:rFonts w:ascii="Book Antiqua" w:eastAsia="SimSun" w:hAnsi="Book Antiqua" w:cs="Arial"/>
          <w:lang w:val="en-US" w:eastAsia="zh-CN"/>
        </w:rPr>
        <w:t>]</w:t>
      </w:r>
      <w:r w:rsidRPr="00313BA1">
        <w:rPr>
          <w:rFonts w:ascii="Book Antiqua" w:hAnsi="Book Antiqua" w:cs="Arial"/>
          <w:lang w:val="en-US"/>
        </w:rPr>
        <w:t>. On the 25</w:t>
      </w:r>
      <w:r w:rsidRPr="00313BA1">
        <w:rPr>
          <w:rFonts w:ascii="Book Antiqua" w:hAnsi="Book Antiqua" w:cs="Arial"/>
          <w:vertAlign w:val="superscript"/>
          <w:lang w:val="en-US"/>
        </w:rPr>
        <w:t>th</w:t>
      </w:r>
      <w:r w:rsidRPr="00313BA1">
        <w:rPr>
          <w:rFonts w:ascii="Book Antiqua" w:hAnsi="Book Antiqua" w:cs="Arial"/>
          <w:lang w:val="en-US"/>
        </w:rPr>
        <w:t xml:space="preserve"> of the same month, the patient underwent her first gestational ultrasound showing the gestational sac with a sketch of vitelline vesicle. On September 8, at 7</w:t>
      </w:r>
      <w:r w:rsidRPr="00313BA1">
        <w:rPr>
          <w:rFonts w:ascii="Book Antiqua" w:hAnsi="Book Antiqua" w:cs="Arial"/>
          <w:vertAlign w:val="superscript"/>
          <w:lang w:val="en-US"/>
        </w:rPr>
        <w:t>+2</w:t>
      </w:r>
      <w:r w:rsidRPr="00313BA1">
        <w:rPr>
          <w:rFonts w:ascii="Book Antiqua" w:hAnsi="Book Antiqua" w:cs="Arial"/>
          <w:lang w:val="en-US"/>
        </w:rPr>
        <w:t xml:space="preserve"> </w:t>
      </w:r>
      <w:proofErr w:type="spellStart"/>
      <w:r w:rsidRPr="00313BA1">
        <w:rPr>
          <w:rFonts w:ascii="Book Antiqua" w:hAnsi="Book Antiqua" w:cs="Arial"/>
          <w:lang w:val="en-US"/>
        </w:rPr>
        <w:t>w</w:t>
      </w:r>
      <w:r w:rsidR="009813F5" w:rsidRPr="00313BA1">
        <w:rPr>
          <w:rFonts w:ascii="Book Antiqua" w:hAnsi="Book Antiqua" w:cs="Arial"/>
          <w:lang w:val="en-US"/>
        </w:rPr>
        <w:t>k</w:t>
      </w:r>
      <w:proofErr w:type="spellEnd"/>
      <w:r w:rsidRPr="00313BA1">
        <w:rPr>
          <w:rFonts w:ascii="Book Antiqua" w:hAnsi="Book Antiqua" w:cs="Arial"/>
          <w:lang w:val="en-US"/>
        </w:rPr>
        <w:t xml:space="preserve"> of pregnancy, fetal heartbeat was positive, so the patient was referred to the obstetrician. Regular controls made by the obstetrician showed a correctly developing pregnancy (Figure 6).</w:t>
      </w:r>
    </w:p>
    <w:p w:rsidR="00E91C72" w:rsidRPr="00313BA1" w:rsidRDefault="00E91C72" w:rsidP="00313BA1">
      <w:pPr>
        <w:pStyle w:val="NormalWeb"/>
        <w:spacing w:before="0" w:beforeAutospacing="0" w:after="0" w:afterAutospacing="0" w:line="360" w:lineRule="auto"/>
        <w:ind w:right="-565" w:firstLineChars="100" w:firstLine="240"/>
        <w:jc w:val="both"/>
        <w:rPr>
          <w:rFonts w:ascii="Book Antiqua" w:hAnsi="Book Antiqua" w:cs="Arial"/>
          <w:lang w:val="en-US"/>
        </w:rPr>
      </w:pPr>
      <w:r w:rsidRPr="00313BA1">
        <w:rPr>
          <w:rFonts w:ascii="Book Antiqua" w:hAnsi="Book Antiqua" w:cs="Arial"/>
          <w:lang w:val="en-US"/>
        </w:rPr>
        <w:t>Pregnancy was completed without complications and with a vaginal delivery (assisted Thierry’s spatulas) in April 2016, with a healthy girl born (full term pregnancy at 37</w:t>
      </w:r>
      <w:r w:rsidRPr="00313BA1">
        <w:rPr>
          <w:rFonts w:ascii="Book Antiqua" w:hAnsi="Book Antiqua" w:cs="Arial"/>
          <w:vertAlign w:val="superscript"/>
          <w:lang w:val="en-US"/>
        </w:rPr>
        <w:t>+5</w:t>
      </w:r>
      <w:r w:rsidRPr="00313BA1">
        <w:rPr>
          <w:rFonts w:ascii="Book Antiqua" w:hAnsi="Book Antiqua" w:cs="Arial"/>
          <w:lang w:val="en-US"/>
        </w:rPr>
        <w:t xml:space="preserve"> </w:t>
      </w:r>
      <w:proofErr w:type="spellStart"/>
      <w:r w:rsidRPr="00313BA1">
        <w:rPr>
          <w:rFonts w:ascii="Book Antiqua" w:hAnsi="Book Antiqua" w:cs="Arial"/>
          <w:lang w:val="en-US"/>
        </w:rPr>
        <w:t>w</w:t>
      </w:r>
      <w:r w:rsidR="009813F5" w:rsidRPr="00313BA1">
        <w:rPr>
          <w:rFonts w:ascii="Book Antiqua" w:hAnsi="Book Antiqua" w:cs="Arial"/>
          <w:lang w:val="en-US"/>
        </w:rPr>
        <w:t>k</w:t>
      </w:r>
      <w:proofErr w:type="spellEnd"/>
      <w:r w:rsidRPr="00313BA1">
        <w:rPr>
          <w:rFonts w:ascii="Book Antiqua" w:hAnsi="Book Antiqua" w:cs="Arial"/>
          <w:lang w:val="en-US"/>
        </w:rPr>
        <w:t xml:space="preserve">, 2800 kg weight, and 46.5 cm length). Puerperium was normal, including 9 </w:t>
      </w:r>
      <w:proofErr w:type="spellStart"/>
      <w:r w:rsidRPr="00313BA1">
        <w:rPr>
          <w:rFonts w:ascii="Book Antiqua" w:hAnsi="Book Antiqua" w:cs="Arial"/>
          <w:lang w:val="en-US"/>
        </w:rPr>
        <w:t>mo</w:t>
      </w:r>
      <w:proofErr w:type="spellEnd"/>
      <w:r w:rsidRPr="00313BA1">
        <w:rPr>
          <w:rFonts w:ascii="Book Antiqua" w:hAnsi="Book Antiqua" w:cs="Arial"/>
          <w:lang w:val="en-US"/>
        </w:rPr>
        <w:t xml:space="preserve"> of exclusive breastfeeding. The last oncological control was in January 2017, without evidence of disease.</w:t>
      </w:r>
    </w:p>
    <w:p w:rsidR="00E91C72" w:rsidRPr="00313BA1" w:rsidRDefault="00E91C72" w:rsidP="00313BA1">
      <w:pPr>
        <w:pStyle w:val="NormalWeb"/>
        <w:spacing w:before="0" w:beforeAutospacing="0" w:after="0" w:afterAutospacing="0" w:line="360" w:lineRule="auto"/>
        <w:ind w:right="-565"/>
        <w:jc w:val="both"/>
        <w:rPr>
          <w:rFonts w:ascii="Book Antiqua" w:hAnsi="Book Antiqua" w:cs="Arial"/>
          <w:lang w:val="en-US"/>
        </w:rPr>
      </w:pPr>
    </w:p>
    <w:p w:rsidR="00E91C72" w:rsidRPr="00313BA1" w:rsidRDefault="00E91C72" w:rsidP="00313BA1">
      <w:pPr>
        <w:spacing w:after="0" w:line="360" w:lineRule="auto"/>
        <w:ind w:right="-565"/>
        <w:jc w:val="both"/>
        <w:rPr>
          <w:rFonts w:ascii="Book Antiqua" w:hAnsi="Book Antiqua" w:cs="Arial"/>
          <w:b/>
          <w:sz w:val="24"/>
          <w:szCs w:val="24"/>
          <w:lang w:val="en-US"/>
        </w:rPr>
      </w:pPr>
      <w:r w:rsidRPr="00313BA1">
        <w:rPr>
          <w:rFonts w:ascii="Book Antiqua" w:hAnsi="Book Antiqua" w:cs="Arial"/>
          <w:b/>
          <w:sz w:val="24"/>
          <w:szCs w:val="24"/>
          <w:lang w:val="en-US"/>
        </w:rPr>
        <w:t>DISCUSSION</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Hormone</w:t>
      </w:r>
      <w:r w:rsidR="009813F5"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dependent carcinomas, such as breast cancer, express estrogen and/or progesterone receptors and are the most hormone-sensitive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(response to treatment is 55% in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with positive hormone receptors and &lt; 10% in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without them). Hormone therapy is very useful, especially in premenopausal women, so in this clinical case our patient was a candidate to receive Tamoxifen. This drug also has beneficial effects on the cardiovascular and skeletal systems (it acts as an estrogen receptor antagonist in the mammary glands, but as an agonist on endometrial and bone tissue). Nevertheless, Tamoxifen has relevant side effects that include thromboembolism, ocular toxicity, and even endometrial alterations (endometrial </w:t>
      </w:r>
      <w:proofErr w:type="gramStart"/>
      <w:r w:rsidRPr="00313BA1">
        <w:rPr>
          <w:rFonts w:ascii="Book Antiqua" w:hAnsi="Book Antiqua" w:cs="Arial"/>
          <w:sz w:val="24"/>
          <w:szCs w:val="24"/>
          <w:lang w:val="en-US"/>
        </w:rPr>
        <w:t>carcinoma)</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15]</w:t>
      </w:r>
      <w:r w:rsidRPr="00313BA1">
        <w:rPr>
          <w:rFonts w:ascii="Book Antiqua" w:hAnsi="Book Antiqua" w:cs="Arial"/>
          <w:sz w:val="24"/>
          <w:szCs w:val="24"/>
          <w:lang w:val="en-US"/>
        </w:rPr>
        <w:t xml:space="preserve">. Recently, aromatase inhibitor drugs (such as Letrozole) have been developed, which are basically used in postmenopausal women because they prevent synthesis of estrogen from the adrenal gland (the main source of estrogen in postmenopausal </w:t>
      </w:r>
      <w:proofErr w:type="gramStart"/>
      <w:r w:rsidRPr="00313BA1">
        <w:rPr>
          <w:rFonts w:ascii="Book Antiqua" w:hAnsi="Book Antiqua" w:cs="Arial"/>
          <w:sz w:val="24"/>
          <w:szCs w:val="24"/>
          <w:lang w:val="en-US"/>
        </w:rPr>
        <w:t>women)</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16]</w:t>
      </w:r>
      <w:r w:rsidRPr="00313BA1">
        <w:rPr>
          <w:rFonts w:ascii="Book Antiqua" w:hAnsi="Book Antiqua" w:cs="Arial"/>
          <w:sz w:val="24"/>
          <w:szCs w:val="24"/>
          <w:lang w:val="en-US"/>
        </w:rPr>
        <w:t xml:space="preserve">. Compared to Tamoxifen, aromatase inhibitors induce fewer uterine cancers and thrombotic phenomena, but they increase the risk of sexual dysfunction, arthralgia, osteoporosis, and cardiocirculatory </w:t>
      </w:r>
      <w:proofErr w:type="gramStart"/>
      <w:r w:rsidRPr="00313BA1">
        <w:rPr>
          <w:rFonts w:ascii="Book Antiqua" w:hAnsi="Book Antiqua" w:cs="Arial"/>
          <w:sz w:val="24"/>
          <w:szCs w:val="24"/>
          <w:lang w:val="en-US"/>
        </w:rPr>
        <w:t>events</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17]</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lastRenderedPageBreak/>
        <w:t xml:space="preserve">Another relevant aspect is the presence of </w:t>
      </w:r>
      <w:r w:rsidRPr="00313BA1">
        <w:rPr>
          <w:rFonts w:ascii="Book Antiqua" w:hAnsi="Book Antiqua" w:cs="Arial"/>
          <w:i/>
          <w:sz w:val="24"/>
          <w:szCs w:val="24"/>
          <w:lang w:val="en-US"/>
        </w:rPr>
        <w:t>HER2</w:t>
      </w:r>
      <w:r w:rsidRPr="00313BA1">
        <w:rPr>
          <w:rFonts w:ascii="Book Antiqua" w:hAnsi="Book Antiqua" w:cs="Arial"/>
          <w:sz w:val="24"/>
          <w:szCs w:val="24"/>
          <w:lang w:val="en-US"/>
        </w:rPr>
        <w:t xml:space="preserve"> gene overexpression. It is important to determine whether a breast cancer is positive for HER2 or not, because nowadays there are targeted </w:t>
      </w:r>
      <w:proofErr w:type="gramStart"/>
      <w:r w:rsidRPr="00313BA1">
        <w:rPr>
          <w:rFonts w:ascii="Book Antiqua" w:hAnsi="Book Antiqua" w:cs="Arial"/>
          <w:sz w:val="24"/>
          <w:szCs w:val="24"/>
          <w:lang w:val="en-US"/>
        </w:rPr>
        <w:t>therapies</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18]</w:t>
      </w:r>
      <w:r w:rsidRPr="00313BA1">
        <w:rPr>
          <w:rFonts w:ascii="Book Antiqua" w:hAnsi="Book Antiqua" w:cs="Arial"/>
          <w:sz w:val="24"/>
          <w:szCs w:val="24"/>
          <w:lang w:val="en-US"/>
        </w:rPr>
        <w:t xml:space="preserve"> for this cancer type using HER2 antagonist drugs such as Trastuzumab (the first anti-HER2 antibody). Only about 15</w:t>
      </w:r>
      <w:r w:rsidR="00AF3DA0"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-20% of all breast cancer patients are positive for HER2</w:t>
      </w:r>
      <w:r w:rsidRPr="00313BA1">
        <w:rPr>
          <w:rFonts w:ascii="Book Antiqua" w:hAnsi="Book Antiqua" w:cs="Arial"/>
          <w:sz w:val="24"/>
          <w:szCs w:val="24"/>
          <w:vertAlign w:val="superscript"/>
          <w:lang w:val="en-US"/>
        </w:rPr>
        <w:t>[19]</w:t>
      </w:r>
      <w:r w:rsidRPr="00313BA1">
        <w:rPr>
          <w:rFonts w:ascii="Book Antiqua" w:hAnsi="Book Antiqua" w:cs="Arial"/>
          <w:sz w:val="24"/>
          <w:szCs w:val="24"/>
          <w:lang w:val="en-US"/>
        </w:rPr>
        <w:t xml:space="preserve">; that is to say, these are cancers that have this oncogene amplified, and, in approximately 20% of HER2 cases,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present hormone receptors too. Even so, this subtype of breast cancer tends to have fairly high cell proliferation rates (measured by the percentage of ki-67), which is the reason why these cancers tend to be more aggressive than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that are only hormone-dependent. Moreover, they are often more undifferentiated (grade 3) and present ductal invasion more frequently than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without overexpression of HER2. For this reason, Trastuzumab has had an enormous impact on the prognosis of the presence of HER2 in breast cancer (regardless of </w:t>
      </w:r>
      <w:proofErr w:type="spellStart"/>
      <w:r w:rsidRPr="00313BA1">
        <w:rPr>
          <w:rFonts w:ascii="Book Antiqua" w:hAnsi="Book Antiqua" w:cs="Arial"/>
          <w:sz w:val="24"/>
          <w:szCs w:val="24"/>
          <w:lang w:val="en-US"/>
        </w:rPr>
        <w:t>tumour</w:t>
      </w:r>
      <w:proofErr w:type="spellEnd"/>
      <w:r w:rsidRPr="00313BA1">
        <w:rPr>
          <w:rFonts w:ascii="Book Antiqua" w:hAnsi="Book Antiqua" w:cs="Arial"/>
          <w:sz w:val="24"/>
          <w:szCs w:val="24"/>
          <w:lang w:val="en-US"/>
        </w:rPr>
        <w:t xml:space="preserve"> size, lymph node involvement, presence of hormone receptors, and age of the patient)</w:t>
      </w:r>
      <w:r w:rsidRPr="00313BA1">
        <w:rPr>
          <w:rFonts w:ascii="Book Antiqua" w:hAnsi="Book Antiqua" w:cs="Arial"/>
          <w:sz w:val="24"/>
          <w:szCs w:val="24"/>
          <w:vertAlign w:val="superscript"/>
          <w:lang w:val="en-US"/>
        </w:rPr>
        <w:t>[20]</w:t>
      </w:r>
      <w:r w:rsidRPr="00313BA1">
        <w:rPr>
          <w:rFonts w:ascii="Book Antiqua" w:hAnsi="Book Antiqua" w:cs="Arial"/>
          <w:sz w:val="24"/>
          <w:szCs w:val="24"/>
          <w:lang w:val="en-US"/>
        </w:rPr>
        <w:t>, since it improves the survival rate in both advanced and localized disease, and its inclusion in adjuvant chemotherapy reduces relapses by 50%. Over the years, multiple HER2-targeting drugs have entered clinical practice, for the curative as well as the metastatic situation. Nowadays, there are several advances in treatment of these patients, and new drugs have been developed such as Lapatinib, T-DM1 (Trastuzumab-</w:t>
      </w:r>
      <w:proofErr w:type="spellStart"/>
      <w:r w:rsidRPr="00313BA1">
        <w:rPr>
          <w:rFonts w:ascii="Book Antiqua" w:hAnsi="Book Antiqua" w:cs="Arial"/>
          <w:sz w:val="24"/>
          <w:szCs w:val="24"/>
          <w:lang w:val="en-US"/>
        </w:rPr>
        <w:t>Emtansina</w:t>
      </w:r>
      <w:proofErr w:type="spellEnd"/>
      <w:r w:rsidRPr="00313BA1">
        <w:rPr>
          <w:rFonts w:ascii="Book Antiqua" w:hAnsi="Book Antiqua" w:cs="Arial"/>
          <w:sz w:val="24"/>
          <w:szCs w:val="24"/>
          <w:lang w:val="en-US"/>
        </w:rPr>
        <w:t xml:space="preserve">), and </w:t>
      </w:r>
      <w:proofErr w:type="spellStart"/>
      <w:proofErr w:type="gramStart"/>
      <w:r w:rsidRPr="00313BA1">
        <w:rPr>
          <w:rFonts w:ascii="Book Antiqua" w:hAnsi="Book Antiqua" w:cs="Arial"/>
          <w:sz w:val="24"/>
          <w:szCs w:val="24"/>
          <w:lang w:val="en-US"/>
        </w:rPr>
        <w:t>Pertuzumab</w:t>
      </w:r>
      <w:proofErr w:type="spellEnd"/>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18]</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Regarding breast cancer treatment in general, and its relation to potential infertility, it is important to mention that the main risk comes from the chemotherapy regimens used in these patients, because it is well known that breast surgery, radiotherapy (which is mandatory to complete organ preservation surgery), and lymphadenectomy do not affect conception ability, although lymphadenectomy is the main cause of chronic morbidity in breast surgery. Regarding chemotherapy, the current preference is to administer monotherapy-based regimens or sequential two-drug therapy. For patients who are positive for HER2, the most commonly used regimen is anthracycline + </w:t>
      </w:r>
      <w:r w:rsidRPr="00313BA1">
        <w:rPr>
          <w:rFonts w:ascii="Book Antiqua" w:hAnsi="Book Antiqua" w:cs="Arial"/>
          <w:sz w:val="24"/>
          <w:szCs w:val="24"/>
          <w:lang w:val="en-US"/>
        </w:rPr>
        <w:lastRenderedPageBreak/>
        <w:t xml:space="preserve">Cyclophosphamide followed by a </w:t>
      </w:r>
      <w:proofErr w:type="spellStart"/>
      <w:r w:rsidRPr="00313BA1">
        <w:rPr>
          <w:rFonts w:ascii="Book Antiqua" w:hAnsi="Book Antiqua" w:cs="Arial"/>
          <w:sz w:val="24"/>
          <w:szCs w:val="24"/>
          <w:lang w:val="en-US"/>
        </w:rPr>
        <w:t>taxane</w:t>
      </w:r>
      <w:proofErr w:type="spellEnd"/>
      <w:r w:rsidRPr="00313BA1">
        <w:rPr>
          <w:rFonts w:ascii="Book Antiqua" w:hAnsi="Book Antiqua" w:cs="Arial"/>
          <w:sz w:val="24"/>
          <w:szCs w:val="24"/>
          <w:lang w:val="en-US"/>
        </w:rPr>
        <w:t xml:space="preserve"> + Trastuzumab. It is important to highlight the potential cardiotoxicity of both Trastuzumab and </w:t>
      </w:r>
      <w:proofErr w:type="spellStart"/>
      <w:r w:rsidRPr="00313BA1">
        <w:rPr>
          <w:rFonts w:ascii="Book Antiqua" w:hAnsi="Book Antiqua" w:cs="Arial"/>
          <w:sz w:val="24"/>
          <w:szCs w:val="24"/>
          <w:lang w:val="en-US"/>
        </w:rPr>
        <w:t>Epirubicin</w:t>
      </w:r>
      <w:proofErr w:type="spellEnd"/>
      <w:r w:rsidRPr="00313BA1">
        <w:rPr>
          <w:rFonts w:ascii="Book Antiqua" w:hAnsi="Book Antiqua" w:cs="Arial"/>
          <w:sz w:val="24"/>
          <w:szCs w:val="24"/>
          <w:lang w:val="en-US"/>
        </w:rPr>
        <w:t xml:space="preserve"> (the anthracycline used in our patient), so in this case strict control of cardiovascular function is necessary. In reference to the agents commonly used for breast cancer, alkylating agents (such as Cyclophosphamide) are those with the highest gonadotoxic potential risk; </w:t>
      </w:r>
      <w:proofErr w:type="spellStart"/>
      <w:r w:rsidRPr="00313BA1">
        <w:rPr>
          <w:rFonts w:ascii="Book Antiqua" w:hAnsi="Book Antiqua" w:cs="Arial"/>
          <w:sz w:val="24"/>
          <w:szCs w:val="24"/>
          <w:lang w:val="en-US"/>
        </w:rPr>
        <w:t>Epirubicin</w:t>
      </w:r>
      <w:proofErr w:type="spellEnd"/>
      <w:r w:rsidRPr="00313BA1">
        <w:rPr>
          <w:rFonts w:ascii="Book Antiqua" w:hAnsi="Book Antiqua" w:cs="Arial"/>
          <w:sz w:val="24"/>
          <w:szCs w:val="24"/>
          <w:lang w:val="en-US"/>
        </w:rPr>
        <w:t xml:space="preserve"> can cause fertility problems in 10% of cases (it affects men as well as women) and </w:t>
      </w:r>
      <w:proofErr w:type="spellStart"/>
      <w:r w:rsidRPr="00313BA1">
        <w:rPr>
          <w:rFonts w:ascii="Book Antiqua" w:hAnsi="Book Antiqua" w:cs="Arial"/>
          <w:sz w:val="24"/>
          <w:szCs w:val="24"/>
          <w:lang w:val="en-US"/>
        </w:rPr>
        <w:t>taxanes</w:t>
      </w:r>
      <w:proofErr w:type="spellEnd"/>
      <w:r w:rsidRPr="00313BA1">
        <w:rPr>
          <w:rFonts w:ascii="Book Antiqua" w:hAnsi="Book Antiqua" w:cs="Arial"/>
          <w:sz w:val="24"/>
          <w:szCs w:val="24"/>
          <w:lang w:val="en-US"/>
        </w:rPr>
        <w:t xml:space="preserve"> can cause intermediate ovarian </w:t>
      </w:r>
      <w:proofErr w:type="gramStart"/>
      <w:r w:rsidRPr="00313BA1">
        <w:rPr>
          <w:rFonts w:ascii="Book Antiqua" w:hAnsi="Book Antiqua" w:cs="Arial"/>
          <w:sz w:val="24"/>
          <w:szCs w:val="24"/>
          <w:lang w:val="en-US"/>
        </w:rPr>
        <w:t>damage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21]</w:t>
      </w:r>
      <w:r w:rsidRPr="00313BA1">
        <w:rPr>
          <w:rFonts w:ascii="Book Antiqua" w:hAnsi="Book Antiqua" w:cs="Arial"/>
          <w:sz w:val="24"/>
          <w:szCs w:val="24"/>
          <w:lang w:val="en-US"/>
        </w:rPr>
        <w:t xml:space="preserve">. Moreover, both hormone therapy and some chemotherapeutic agents have potential teratogenic risk, so the most widely accepted recommendation is to avoid pregnancy for a minimum of 2 years after completing cancer </w:t>
      </w:r>
      <w:proofErr w:type="gramStart"/>
      <w:r w:rsidRPr="00313BA1">
        <w:rPr>
          <w:rFonts w:ascii="Book Antiqua" w:hAnsi="Book Antiqua" w:cs="Arial"/>
          <w:sz w:val="24"/>
          <w:szCs w:val="24"/>
          <w:lang w:val="en-US"/>
        </w:rPr>
        <w:t>treatment</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22]</w:t>
      </w:r>
      <w:r w:rsidRPr="00313BA1">
        <w:rPr>
          <w:rFonts w:ascii="Book Antiqua" w:hAnsi="Book Antiqua" w:cs="Arial"/>
          <w:sz w:val="24"/>
          <w:szCs w:val="24"/>
          <w:lang w:val="en-US"/>
        </w:rPr>
        <w:t>, which further compromises the chance of a future biological childbirth by pushing conception attempts to the later stages of a woman’s reproductive lifetime.</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In addition to breast cancer, the patient also had other pregnancy-impeding factors, such as endometriosis, an ovarian cyst, hydrosalpinx, submucosal myomas, and their associated surgeries, all previously resolved before embryo transfer. Our patient underwent laparoscopic treatment of endometriosis, and it has been reported that in women with minimal, mild, or severe endometriosis, surgical excision or ablation of endometriosis is recommended as a first line, with doubling of the pregnancy </w:t>
      </w:r>
      <w:proofErr w:type="gramStart"/>
      <w:r w:rsidRPr="00313BA1">
        <w:rPr>
          <w:rFonts w:ascii="Book Antiqua" w:hAnsi="Book Antiqua" w:cs="Arial"/>
          <w:sz w:val="24"/>
          <w:szCs w:val="24"/>
          <w:lang w:val="en-US"/>
        </w:rPr>
        <w:t>rate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23]</w:t>
      </w:r>
      <w:r w:rsidRPr="00313BA1">
        <w:rPr>
          <w:rFonts w:ascii="Book Antiqua" w:hAnsi="Book Antiqua" w:cs="Arial"/>
          <w:sz w:val="24"/>
          <w:szCs w:val="24"/>
          <w:lang w:val="en-US"/>
        </w:rPr>
        <w:t xml:space="preserve">. Concerning hydrosalpinx, there are cases where unilateral salpingectomy for hydrosalpinx in the presence of a contralateral healthy tube could result in spontaneous </w:t>
      </w:r>
      <w:proofErr w:type="gramStart"/>
      <w:r w:rsidRPr="00313BA1">
        <w:rPr>
          <w:rFonts w:ascii="Book Antiqua" w:hAnsi="Book Antiqua" w:cs="Arial"/>
          <w:sz w:val="24"/>
          <w:szCs w:val="24"/>
          <w:lang w:val="en-US"/>
        </w:rPr>
        <w:t>pregnancy</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24]</w:t>
      </w:r>
      <w:r w:rsidRPr="00313BA1">
        <w:rPr>
          <w:rFonts w:ascii="Book Antiqua" w:hAnsi="Book Antiqua" w:cs="Arial"/>
          <w:sz w:val="24"/>
          <w:szCs w:val="24"/>
          <w:lang w:val="en-US"/>
        </w:rPr>
        <w:t xml:space="preserve">. Regarding myomas, it is worth mentioning that the number of myomas removed during myomectomy significantly affects fertility: women with &gt; 6 myomas removed are less likely to become pregnant, more likely to require fertility treatment, and less likely to have a term birth when compared with women with ≤ 6 myomas removed, as was the case with our patient, from whom only two myomas were </w:t>
      </w:r>
      <w:proofErr w:type="gramStart"/>
      <w:r w:rsidRPr="00313BA1">
        <w:rPr>
          <w:rFonts w:ascii="Book Antiqua" w:hAnsi="Book Antiqua" w:cs="Arial"/>
          <w:sz w:val="24"/>
          <w:szCs w:val="24"/>
          <w:lang w:val="en-US"/>
        </w:rPr>
        <w:t>removed</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25]</w:t>
      </w:r>
      <w:r w:rsidR="00AF3DA0" w:rsidRPr="00313BA1">
        <w:rPr>
          <w:rFonts w:ascii="Book Antiqua" w:hAnsi="Book Antiqua" w:cs="Arial"/>
          <w:sz w:val="24"/>
          <w:szCs w:val="24"/>
          <w:lang w:val="en-US"/>
        </w:rPr>
        <w:t xml:space="preserve">. </w:t>
      </w:r>
      <w:r w:rsidRPr="00313BA1">
        <w:rPr>
          <w:rFonts w:ascii="Book Antiqua" w:hAnsi="Book Antiqua" w:cs="Arial"/>
          <w:sz w:val="24"/>
          <w:szCs w:val="24"/>
          <w:lang w:val="en-US"/>
        </w:rPr>
        <w:t xml:space="preserve">Moreover, it is important to highlight the age of the patient (over 40-years-old). It should be remembered that females are born with a maximum number of oogonia and these will undergo apoptosis throughout life. To get an idea of this process, we find about 2 million oogonia at birth, and at the beginning of puberty there are only </w:t>
      </w:r>
      <w:r w:rsidRPr="00313BA1">
        <w:rPr>
          <w:rFonts w:ascii="Book Antiqua" w:hAnsi="Book Antiqua" w:cs="Arial"/>
          <w:sz w:val="24"/>
          <w:szCs w:val="24"/>
          <w:lang w:val="en-US"/>
        </w:rPr>
        <w:lastRenderedPageBreak/>
        <w:t>about 400000 left. Therefore, the age of the patient conditions her low ovarian reserve, making a successful pregnancy even more difficult.</w:t>
      </w:r>
    </w:p>
    <w:p w:rsidR="00E91C72" w:rsidRPr="00313BA1" w:rsidRDefault="00E91C72" w:rsidP="00313BA1">
      <w:pPr>
        <w:spacing w:after="0" w:line="360" w:lineRule="auto"/>
        <w:ind w:right="-565" w:firstLineChars="100" w:firstLine="240"/>
        <w:jc w:val="both"/>
        <w:rPr>
          <w:rFonts w:ascii="Book Antiqua" w:eastAsia="SimSun" w:hAnsi="Book Antiqua" w:cs="Arial"/>
          <w:sz w:val="24"/>
          <w:szCs w:val="24"/>
          <w:lang w:val="en-US" w:eastAsia="zh-CN"/>
        </w:rPr>
      </w:pPr>
      <w:r w:rsidRPr="00313BA1">
        <w:rPr>
          <w:rFonts w:ascii="Book Antiqua" w:hAnsi="Book Antiqua" w:cs="Arial"/>
          <w:sz w:val="24"/>
          <w:szCs w:val="24"/>
          <w:lang w:val="en-US"/>
        </w:rPr>
        <w:t xml:space="preserve">Another factor against successful pregnancy is the low number of ovules produced by a patient after stimulation with </w:t>
      </w:r>
      <w:proofErr w:type="spellStart"/>
      <w:r w:rsidRPr="00313BA1">
        <w:rPr>
          <w:rFonts w:ascii="Book Antiqua" w:hAnsi="Book Antiqua" w:cs="Arial"/>
          <w:sz w:val="24"/>
          <w:szCs w:val="24"/>
          <w:lang w:val="en-US"/>
        </w:rPr>
        <w:t>Femara</w:t>
      </w:r>
      <w:proofErr w:type="spellEnd"/>
      <w:r w:rsidR="00CF0874" w:rsidRPr="00CF0874">
        <w:rPr>
          <w:rFonts w:ascii="Book Antiqua" w:hAnsi="Book Antiqua" w:cs="Arial"/>
          <w:vertAlign w:val="superscript"/>
          <w:lang w:val="en-US"/>
        </w:rPr>
        <w:t>®</w:t>
      </w:r>
      <w:r w:rsidRPr="00313BA1">
        <w:rPr>
          <w:rFonts w:ascii="Book Antiqua" w:hAnsi="Book Antiqua" w:cs="Arial"/>
          <w:sz w:val="24"/>
          <w:szCs w:val="24"/>
          <w:lang w:val="en-US"/>
        </w:rPr>
        <w:t xml:space="preserve"> Protocol and </w:t>
      </w:r>
      <w:proofErr w:type="spellStart"/>
      <w:r w:rsidRPr="00313BA1">
        <w:rPr>
          <w:rFonts w:ascii="Book Antiqua" w:hAnsi="Book Antiqua" w:cs="Arial"/>
          <w:sz w:val="24"/>
          <w:szCs w:val="24"/>
          <w:lang w:val="en-US"/>
        </w:rPr>
        <w:t>rFSH</w:t>
      </w:r>
      <w:proofErr w:type="spellEnd"/>
      <w:r w:rsidRPr="00313BA1">
        <w:rPr>
          <w:rFonts w:ascii="Book Antiqua" w:hAnsi="Book Antiqua" w:cs="Arial"/>
          <w:sz w:val="24"/>
          <w:szCs w:val="24"/>
          <w:lang w:val="en-US"/>
        </w:rPr>
        <w:t xml:space="preserve">. This protocol is based on ovarian stimulation with Letrozole (an aromatase inhibitor), which produces estrogen suppression, both peripherally and </w:t>
      </w:r>
      <w:proofErr w:type="spellStart"/>
      <w:r w:rsidRPr="00313BA1">
        <w:rPr>
          <w:rFonts w:ascii="Book Antiqua" w:hAnsi="Book Antiqua" w:cs="Arial"/>
          <w:sz w:val="24"/>
          <w:szCs w:val="24"/>
          <w:lang w:val="en-US"/>
        </w:rPr>
        <w:t>intratumourally</w:t>
      </w:r>
      <w:proofErr w:type="spellEnd"/>
      <w:r w:rsidRPr="00313BA1">
        <w:rPr>
          <w:rFonts w:ascii="Book Antiqua" w:hAnsi="Book Antiqua" w:cs="Arial"/>
          <w:sz w:val="24"/>
          <w:szCs w:val="24"/>
          <w:lang w:val="en-US"/>
        </w:rPr>
        <w:t xml:space="preserve">. Negative feedback produced by estrogens on the hypothalamic-pituitary-gonadal axis is diminished because of its synthesis reduction, increasing gonadotropin release (FSH increases and ovulation is </w:t>
      </w:r>
      <w:proofErr w:type="gramStart"/>
      <w:r w:rsidRPr="00313BA1">
        <w:rPr>
          <w:rFonts w:ascii="Book Antiqua" w:hAnsi="Book Antiqua" w:cs="Arial"/>
          <w:sz w:val="24"/>
          <w:szCs w:val="24"/>
          <w:lang w:val="en-US"/>
        </w:rPr>
        <w:t>stimulated)</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26]</w:t>
      </w:r>
      <w:r w:rsidRPr="00313BA1">
        <w:rPr>
          <w:rFonts w:ascii="Book Antiqua" w:hAnsi="Book Antiqua" w:cs="Arial"/>
          <w:sz w:val="24"/>
          <w:szCs w:val="24"/>
          <w:lang w:val="en-US"/>
        </w:rPr>
        <w:t xml:space="preserve">. Moreover, it is believed that in increasing ovarian androgens (with accumulation of androstenedione and testosterone, which are not transformed into estrogen), FSH receptor genes are amplified, with a resulting follicular sensitization to follicular development stimulus. Letrozole is combined with </w:t>
      </w:r>
      <w:proofErr w:type="spellStart"/>
      <w:r w:rsidRPr="00313BA1">
        <w:rPr>
          <w:rFonts w:ascii="Book Antiqua" w:hAnsi="Book Antiqua" w:cs="Arial"/>
          <w:sz w:val="24"/>
          <w:szCs w:val="24"/>
          <w:lang w:val="en-US"/>
        </w:rPr>
        <w:t>rFSH</w:t>
      </w:r>
      <w:proofErr w:type="spellEnd"/>
      <w:r w:rsidRPr="00313BA1">
        <w:rPr>
          <w:rFonts w:ascii="Book Antiqua" w:hAnsi="Book Antiqua" w:cs="Arial"/>
          <w:sz w:val="24"/>
          <w:szCs w:val="24"/>
          <w:lang w:val="en-US"/>
        </w:rPr>
        <w:t xml:space="preserve"> in patients expected to have poor response to hyperstimulation (as in this case, as the patient already had a low baseline ovarian reserve due to her age). Regarding the fact that increased estrogen levels may potentially be risky in hormone-dependent breast cancer patients (they could stimulate breast tissue growth again), recently developed ovarian stimulation protocols with aromatase inhibitors seem to provide safer ovarian stimul</w:t>
      </w:r>
      <w:r w:rsidR="00AF3DA0" w:rsidRPr="00313BA1">
        <w:rPr>
          <w:rFonts w:ascii="Book Antiqua" w:hAnsi="Book Antiqua" w:cs="Arial"/>
          <w:sz w:val="24"/>
          <w:szCs w:val="24"/>
          <w:lang w:val="en-US"/>
        </w:rPr>
        <w:t>ation with endogenous estrogen.</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On the other hand, the patient had factors that favor pregnancy: she was a person with strict healthy habits, she had a triple positive breast cancer (positive hormone receptors and HER2 that made it more </w:t>
      </w:r>
      <w:proofErr w:type="spellStart"/>
      <w:r w:rsidRPr="00313BA1">
        <w:rPr>
          <w:rFonts w:ascii="Book Antiqua" w:hAnsi="Book Antiqua" w:cs="Arial"/>
          <w:sz w:val="24"/>
          <w:szCs w:val="24"/>
          <w:lang w:val="en-US"/>
        </w:rPr>
        <w:t>hormosensitive</w:t>
      </w:r>
      <w:proofErr w:type="spellEnd"/>
      <w:r w:rsidRPr="00313BA1">
        <w:rPr>
          <w:rFonts w:ascii="Book Antiqua" w:hAnsi="Book Antiqua" w:cs="Arial"/>
          <w:sz w:val="24"/>
          <w:szCs w:val="24"/>
          <w:lang w:val="en-US"/>
        </w:rPr>
        <w:t xml:space="preserve"> and more </w:t>
      </w:r>
      <w:proofErr w:type="spellStart"/>
      <w:r w:rsidRPr="00313BA1">
        <w:rPr>
          <w:rFonts w:ascii="Book Antiqua" w:hAnsi="Book Antiqua" w:cs="Arial"/>
          <w:sz w:val="24"/>
          <w:szCs w:val="24"/>
          <w:lang w:val="en-US"/>
        </w:rPr>
        <w:t>chemosensitive</w:t>
      </w:r>
      <w:proofErr w:type="spellEnd"/>
      <w:r w:rsidRPr="00313BA1">
        <w:rPr>
          <w:rFonts w:ascii="Book Antiqua" w:hAnsi="Book Antiqua" w:cs="Arial"/>
          <w:sz w:val="24"/>
          <w:szCs w:val="24"/>
          <w:lang w:val="en-US"/>
        </w:rPr>
        <w:t xml:space="preserve">, there was no metastasis present at diagnosis, and she had a very positive attitude towards life. Regarding attitude, it is known that dispositional optimism is a predictor of quality of life preservation in women with breast </w:t>
      </w:r>
      <w:proofErr w:type="gramStart"/>
      <w:r w:rsidRPr="00313BA1">
        <w:rPr>
          <w:rFonts w:ascii="Book Antiqua" w:hAnsi="Book Antiqua" w:cs="Arial"/>
          <w:sz w:val="24"/>
          <w:szCs w:val="24"/>
          <w:lang w:val="en-US"/>
        </w:rPr>
        <w:t>cancer</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27]</w:t>
      </w:r>
      <w:r w:rsidRPr="00313BA1">
        <w:rPr>
          <w:rFonts w:ascii="Book Antiqua" w:hAnsi="Book Antiqua" w:cs="Arial"/>
          <w:sz w:val="24"/>
          <w:szCs w:val="24"/>
          <w:lang w:val="en-US"/>
        </w:rPr>
        <w:t xml:space="preserve"> and it favors greater adherence to treatment and better patient follow-up. Moreover, there is also a correlation between positive attitude and pregnancy success; some studies have concluded that being pessimistic may be a risk factor for IVF treatment failure, independently of other factors that may negatively affect treatment outcomes of fertility (such as age, for example)</w:t>
      </w:r>
      <w:r w:rsidRPr="00313BA1">
        <w:rPr>
          <w:rFonts w:ascii="Book Antiqua" w:hAnsi="Book Antiqua" w:cs="Arial"/>
          <w:sz w:val="24"/>
          <w:szCs w:val="24"/>
          <w:vertAlign w:val="superscript"/>
          <w:lang w:val="en-US"/>
        </w:rPr>
        <w:t>[28]</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lastRenderedPageBreak/>
        <w:t>Another factor that favored a full-term pregnancy in this patient was that, despite her gynecological history, she correctly prepared the endometrium. In accordance with the endometrial preparation protocol for embryo transfer, for IVF in a natural cycle the treatment started on the 1</w:t>
      </w:r>
      <w:r w:rsidRPr="00313BA1">
        <w:rPr>
          <w:rFonts w:ascii="Book Antiqua" w:hAnsi="Book Antiqua" w:cs="Arial"/>
          <w:sz w:val="24"/>
          <w:szCs w:val="24"/>
          <w:vertAlign w:val="superscript"/>
          <w:lang w:val="en-US"/>
        </w:rPr>
        <w:t>st</w:t>
      </w:r>
      <w:r w:rsidRPr="00313BA1">
        <w:rPr>
          <w:rFonts w:ascii="Book Antiqua" w:hAnsi="Book Antiqua" w:cs="Arial"/>
          <w:sz w:val="24"/>
          <w:szCs w:val="24"/>
          <w:lang w:val="en-US"/>
        </w:rPr>
        <w:t>-2</w:t>
      </w:r>
      <w:r w:rsidRPr="00313BA1">
        <w:rPr>
          <w:rFonts w:ascii="Book Antiqua" w:hAnsi="Book Antiqua" w:cs="Arial"/>
          <w:sz w:val="24"/>
          <w:szCs w:val="24"/>
          <w:vertAlign w:val="superscript"/>
          <w:lang w:val="en-US"/>
        </w:rPr>
        <w:t>nd</w:t>
      </w:r>
      <w:r w:rsidRPr="00313BA1">
        <w:rPr>
          <w:rFonts w:ascii="Book Antiqua" w:hAnsi="Book Antiqua" w:cs="Arial"/>
          <w:sz w:val="24"/>
          <w:szCs w:val="24"/>
          <w:lang w:val="en-US"/>
        </w:rPr>
        <w:t xml:space="preserve"> d of menstruation with </w:t>
      </w:r>
      <w:proofErr w:type="spellStart"/>
      <w:r w:rsidRPr="00313BA1">
        <w:rPr>
          <w:rFonts w:ascii="Book Antiqua" w:hAnsi="Book Antiqua" w:cs="Arial"/>
          <w:sz w:val="24"/>
          <w:szCs w:val="24"/>
          <w:lang w:val="en-US"/>
        </w:rPr>
        <w:t>Progynova</w:t>
      </w:r>
      <w:proofErr w:type="spellEnd"/>
      <w:r w:rsidR="00CF0874" w:rsidRPr="00CF0874">
        <w:rPr>
          <w:rFonts w:ascii="Book Antiqua" w:hAnsi="Book Antiqua" w:cs="Arial"/>
          <w:vertAlign w:val="superscript"/>
          <w:lang w:val="en-US"/>
        </w:rPr>
        <w:t>®</w:t>
      </w:r>
      <w:r w:rsidRPr="00313BA1">
        <w:rPr>
          <w:rFonts w:ascii="Book Antiqua" w:hAnsi="Book Antiqua" w:cs="Arial"/>
          <w:sz w:val="24"/>
          <w:szCs w:val="24"/>
          <w:lang w:val="en-US"/>
        </w:rPr>
        <w:t xml:space="preserve"> 2 mg every 8 h for 15 d, and after these two weeks the patient underwent both ultrasound (to assess thickness and appearance of the endometrium) and a blood test to check estrogen levels. If everything was correct in these checks, Progesterone is added (2 vaginal ovules every 8 h) and, after 3-4 d, embryo transfer performed (outpatient procedure under ultrasound control). Treatment with Progesterone + </w:t>
      </w:r>
      <w:proofErr w:type="spellStart"/>
      <w:r w:rsidRPr="00313BA1">
        <w:rPr>
          <w:rFonts w:ascii="Book Antiqua" w:hAnsi="Book Antiqua" w:cs="Arial"/>
          <w:sz w:val="24"/>
          <w:szCs w:val="24"/>
          <w:lang w:val="en-US"/>
        </w:rPr>
        <w:t>Progynova</w:t>
      </w:r>
      <w:proofErr w:type="spellEnd"/>
      <w:r w:rsidRPr="00CF0874">
        <w:rPr>
          <w:rFonts w:ascii="Book Antiqua" w:hAnsi="Book Antiqua" w:cs="Arial"/>
          <w:sz w:val="24"/>
          <w:szCs w:val="24"/>
          <w:vertAlign w:val="superscript"/>
          <w:lang w:val="en-US"/>
        </w:rPr>
        <w:t>®</w:t>
      </w:r>
      <w:r w:rsidRPr="00313BA1">
        <w:rPr>
          <w:rFonts w:ascii="Book Antiqua" w:hAnsi="Book Antiqua" w:cs="Arial"/>
          <w:sz w:val="24"/>
          <w:szCs w:val="24"/>
          <w:lang w:val="en-US"/>
        </w:rPr>
        <w:t xml:space="preserve"> is maintained until the pregnancy test and, in case of pregnancy, until week 11-12 of </w:t>
      </w:r>
      <w:proofErr w:type="gramStart"/>
      <w:r w:rsidRPr="00313BA1">
        <w:rPr>
          <w:rFonts w:ascii="Book Antiqua" w:hAnsi="Book Antiqua" w:cs="Arial"/>
          <w:sz w:val="24"/>
          <w:szCs w:val="24"/>
          <w:lang w:val="en-US"/>
        </w:rPr>
        <w:t>pregnancy</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29]</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In general, the probability of natural pregnancy in a fertile woman is approximately 20</w:t>
      </w:r>
      <w:proofErr w:type="gramStart"/>
      <w:r w:rsidRPr="00313BA1">
        <w:rPr>
          <w:rFonts w:ascii="Book Antiqua" w:hAnsi="Book Antiqua" w:cs="Arial"/>
          <w:sz w:val="24"/>
          <w:szCs w:val="24"/>
          <w:lang w:val="en-US"/>
        </w:rPr>
        <w:t>%</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30]</w:t>
      </w:r>
      <w:r w:rsidRPr="00313BA1">
        <w:rPr>
          <w:rFonts w:ascii="Book Antiqua" w:hAnsi="Book Antiqua" w:cs="Arial"/>
          <w:sz w:val="24"/>
          <w:szCs w:val="24"/>
          <w:lang w:val="en-US"/>
        </w:rPr>
        <w:t xml:space="preserve">, and in fact it decreases as female age increases. This fertility reduction is more pronounced from the middle of the third decade of </w:t>
      </w:r>
      <w:proofErr w:type="gramStart"/>
      <w:r w:rsidRPr="00313BA1">
        <w:rPr>
          <w:rFonts w:ascii="Book Antiqua" w:hAnsi="Book Antiqua" w:cs="Arial"/>
          <w:sz w:val="24"/>
          <w:szCs w:val="24"/>
          <w:lang w:val="en-US"/>
        </w:rPr>
        <w:t>life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31]</w:t>
      </w:r>
      <w:r w:rsidRPr="00313BA1">
        <w:rPr>
          <w:rFonts w:ascii="Book Antiqua" w:hAnsi="Book Antiqua" w:cs="Arial"/>
          <w:sz w:val="24"/>
          <w:szCs w:val="24"/>
          <w:lang w:val="en-US"/>
        </w:rPr>
        <w:t>. In addition, the chance of giving birth after one IVF cycle is approximately 6</w:t>
      </w:r>
      <w:r w:rsidR="00AF3DA0"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-10% in women ≥ 40 years old, as we noted earlier.</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To calculate an approximation of the probability of our patient’s having a full-term </w:t>
      </w:r>
      <w:r w:rsidR="00AF3DA0" w:rsidRPr="00313BA1">
        <w:rPr>
          <w:rFonts w:ascii="Book Antiqua" w:hAnsi="Book Antiqua" w:cs="Arial"/>
          <w:sz w:val="24"/>
          <w:szCs w:val="24"/>
          <w:lang w:val="en-US"/>
        </w:rPr>
        <w:t>gestation;</w:t>
      </w:r>
      <w:r w:rsidRPr="00313BA1">
        <w:rPr>
          <w:rFonts w:ascii="Book Antiqua" w:hAnsi="Book Antiqua" w:cs="Arial"/>
          <w:sz w:val="24"/>
          <w:szCs w:val="24"/>
          <w:lang w:val="en-US"/>
        </w:rPr>
        <w:t xml:space="preserve"> several factors had to be considered. First, there was endometriosis and surgery for it. According to some recent studies, the pregnancy rate after laparoscopic surgery for endometriosis is about 55%. However, once pregnancy is established, the prematurity risk is only slightly higher than it is for the general population, since there are no significant differences, either in spontaneous abortion rate or in other maternal and neonatal </w:t>
      </w:r>
      <w:proofErr w:type="gramStart"/>
      <w:r w:rsidRPr="00313BA1">
        <w:rPr>
          <w:rFonts w:ascii="Book Antiqua" w:hAnsi="Book Antiqua" w:cs="Arial"/>
          <w:sz w:val="24"/>
          <w:szCs w:val="24"/>
          <w:lang w:val="en-US"/>
        </w:rPr>
        <w:t>complications</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32]</w:t>
      </w:r>
      <w:r w:rsidRPr="00313BA1">
        <w:rPr>
          <w:rFonts w:ascii="Book Antiqua" w:hAnsi="Book Antiqua" w:cs="Arial"/>
          <w:sz w:val="24"/>
          <w:szCs w:val="24"/>
          <w:lang w:val="en-US"/>
        </w:rPr>
        <w:t xml:space="preserve">. Moreover, nowadays it is known that the presence of endometriomas has no impact on clinical IVF outcomes, and that the optimal time to perform IVF appears to be 7-25 </w:t>
      </w:r>
      <w:proofErr w:type="spellStart"/>
      <w:r w:rsidRPr="00313BA1">
        <w:rPr>
          <w:rFonts w:ascii="Book Antiqua" w:hAnsi="Book Antiqua" w:cs="Arial"/>
          <w:sz w:val="24"/>
          <w:szCs w:val="24"/>
          <w:lang w:val="en-US"/>
        </w:rPr>
        <w:t>mo</w:t>
      </w:r>
      <w:proofErr w:type="spellEnd"/>
      <w:r w:rsidRPr="00313BA1">
        <w:rPr>
          <w:rFonts w:ascii="Book Antiqua" w:hAnsi="Book Antiqua" w:cs="Arial"/>
          <w:sz w:val="24"/>
          <w:szCs w:val="24"/>
          <w:lang w:val="en-US"/>
        </w:rPr>
        <w:t xml:space="preserve"> after endometriosis </w:t>
      </w:r>
      <w:proofErr w:type="gramStart"/>
      <w:r w:rsidRPr="00313BA1">
        <w:rPr>
          <w:rFonts w:ascii="Book Antiqua" w:hAnsi="Book Antiqua" w:cs="Arial"/>
          <w:sz w:val="24"/>
          <w:szCs w:val="24"/>
          <w:lang w:val="en-US"/>
        </w:rPr>
        <w:t>surgery</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33]</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Regarding submucosal fibroids (which correspond to 5</w:t>
      </w:r>
      <w:r w:rsidR="00AF3DA0"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-10% of uterine fibroids, producing more symptoms than the other fibroid types, such as metrorrhagia and infertility), myomectomy is the indicated therapeutic technique and it is used more frequently in women with symptomatic myomas and future fertility desire. </w:t>
      </w:r>
      <w:r w:rsidRPr="00313BA1">
        <w:rPr>
          <w:rFonts w:ascii="Book Antiqua" w:hAnsi="Book Antiqua" w:cs="Arial"/>
          <w:sz w:val="24"/>
          <w:szCs w:val="24"/>
          <w:lang w:val="en-US"/>
        </w:rPr>
        <w:lastRenderedPageBreak/>
        <w:t xml:space="preserve">Pregnancy rates following this surgery, both </w:t>
      </w:r>
      <w:r w:rsidRPr="00313BA1">
        <w:rPr>
          <w:rFonts w:ascii="Book Antiqua" w:hAnsi="Book Antiqua" w:cs="Arial"/>
          <w:i/>
          <w:sz w:val="24"/>
          <w:szCs w:val="24"/>
          <w:lang w:val="en-US"/>
        </w:rPr>
        <w:t>via</w:t>
      </w:r>
      <w:r w:rsidRPr="00313BA1">
        <w:rPr>
          <w:rFonts w:ascii="Book Antiqua" w:hAnsi="Book Antiqua" w:cs="Arial"/>
          <w:sz w:val="24"/>
          <w:szCs w:val="24"/>
          <w:lang w:val="en-US"/>
        </w:rPr>
        <w:t xml:space="preserve"> laparoscopy and laparotomy, are in the 50</w:t>
      </w:r>
      <w:r w:rsidR="00AF3DA0" w:rsidRPr="00313BA1">
        <w:rPr>
          <w:rFonts w:ascii="Book Antiqua" w:eastAsia="SimSun" w:hAnsi="Book Antiqua" w:cs="Arial"/>
          <w:sz w:val="24"/>
          <w:szCs w:val="24"/>
          <w:lang w:val="en-US" w:eastAsia="zh-CN"/>
        </w:rPr>
        <w:t>%</w:t>
      </w:r>
      <w:r w:rsidRPr="00313BA1">
        <w:rPr>
          <w:rFonts w:ascii="Book Antiqua" w:hAnsi="Book Antiqua" w:cs="Arial"/>
          <w:sz w:val="24"/>
          <w:szCs w:val="24"/>
          <w:lang w:val="en-US"/>
        </w:rPr>
        <w:t xml:space="preserve">-60% </w:t>
      </w:r>
      <w:proofErr w:type="gramStart"/>
      <w:r w:rsidRPr="00313BA1">
        <w:rPr>
          <w:rFonts w:ascii="Book Antiqua" w:hAnsi="Book Antiqua" w:cs="Arial"/>
          <w:sz w:val="24"/>
          <w:szCs w:val="24"/>
          <w:lang w:val="en-US"/>
        </w:rPr>
        <w:t>range</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34]</w:t>
      </w:r>
      <w:r w:rsidRPr="00313BA1">
        <w:rPr>
          <w:rFonts w:ascii="Book Antiqua" w:hAnsi="Book Antiqua" w:cs="Arial"/>
          <w:sz w:val="24"/>
          <w:szCs w:val="24"/>
          <w:lang w:val="en-US"/>
        </w:rPr>
        <w:t xml:space="preserve">. However, myomectomy may not permanently eliminate the symptoms, and it is associated with risks (post-operative adhesions, for example, can negatively affect fertility) and surgical complications. Patients who undergo myomectomy for submucosal fibroid resection have higher clinical pregnancy rates compared to patients with </w:t>
      </w:r>
      <w:r w:rsidR="00AF3DA0" w:rsidRPr="00313BA1">
        <w:rPr>
          <w:rFonts w:ascii="Book Antiqua" w:hAnsi="Book Antiqua" w:cs="Arial"/>
          <w:sz w:val="24"/>
          <w:szCs w:val="24"/>
          <w:lang w:val="en-US"/>
        </w:rPr>
        <w:t xml:space="preserve">non-operated myomas (43.3% </w:t>
      </w:r>
      <w:r w:rsidR="00AF3DA0" w:rsidRPr="00313BA1">
        <w:rPr>
          <w:rFonts w:ascii="Book Antiqua" w:hAnsi="Book Antiqua" w:cs="Arial"/>
          <w:i/>
          <w:sz w:val="24"/>
          <w:szCs w:val="24"/>
          <w:lang w:val="en-US"/>
        </w:rPr>
        <w:t>v</w:t>
      </w:r>
      <w:r w:rsidRPr="00313BA1">
        <w:rPr>
          <w:rFonts w:ascii="Book Antiqua" w:hAnsi="Book Antiqua" w:cs="Arial"/>
          <w:i/>
          <w:sz w:val="24"/>
          <w:szCs w:val="24"/>
          <w:lang w:val="en-US"/>
        </w:rPr>
        <w:t xml:space="preserve">s </w:t>
      </w:r>
      <w:r w:rsidRPr="00313BA1">
        <w:rPr>
          <w:rFonts w:ascii="Book Antiqua" w:hAnsi="Book Antiqua" w:cs="Arial"/>
          <w:sz w:val="24"/>
          <w:szCs w:val="24"/>
          <w:lang w:val="en-US"/>
        </w:rPr>
        <w:t xml:space="preserve">27.2%, </w:t>
      </w:r>
      <w:proofErr w:type="gramStart"/>
      <w:r w:rsidRPr="00313BA1">
        <w:rPr>
          <w:rFonts w:ascii="Book Antiqua" w:hAnsi="Book Antiqua" w:cs="Arial"/>
          <w:sz w:val="24"/>
          <w:szCs w:val="24"/>
          <w:lang w:val="en-US"/>
        </w:rPr>
        <w:t>respectively)</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35]</w:t>
      </w:r>
      <w:r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eastAsia="SimSun" w:hAnsi="Book Antiqua" w:cs="Arial"/>
          <w:sz w:val="24"/>
          <w:szCs w:val="24"/>
          <w:lang w:val="en-US" w:eastAsia="zh-CN"/>
        </w:rPr>
      </w:pPr>
      <w:r w:rsidRPr="00313BA1">
        <w:rPr>
          <w:rFonts w:ascii="Book Antiqua" w:hAnsi="Book Antiqua" w:cs="Arial"/>
          <w:sz w:val="24"/>
          <w:szCs w:val="24"/>
          <w:lang w:val="en-US"/>
        </w:rPr>
        <w:t xml:space="preserve">Moreover, IVF pregnancy rates in women who undergo a salpingectomy for </w:t>
      </w:r>
      <w:proofErr w:type="spellStart"/>
      <w:r w:rsidRPr="00313BA1">
        <w:rPr>
          <w:rFonts w:ascii="Book Antiqua" w:hAnsi="Book Antiqua" w:cs="Arial"/>
          <w:sz w:val="24"/>
          <w:szCs w:val="24"/>
          <w:lang w:val="en-US"/>
        </w:rPr>
        <w:t>hjydrosalpinx</w:t>
      </w:r>
      <w:proofErr w:type="spellEnd"/>
      <w:r w:rsidRPr="00313BA1">
        <w:rPr>
          <w:rFonts w:ascii="Book Antiqua" w:hAnsi="Book Antiqua" w:cs="Arial"/>
          <w:sz w:val="24"/>
          <w:szCs w:val="24"/>
          <w:lang w:val="en-US"/>
        </w:rPr>
        <w:t xml:space="preserve"> are about 40%, and the risk of having an ectopic pregnancy in IVF in patients who have been operated on is 2.2% (comparing with non-treated patients: 8.6%)</w:t>
      </w:r>
      <w:r w:rsidRPr="00313BA1">
        <w:rPr>
          <w:rFonts w:ascii="Book Antiqua" w:hAnsi="Book Antiqua" w:cs="Arial"/>
          <w:sz w:val="24"/>
          <w:szCs w:val="24"/>
          <w:vertAlign w:val="superscript"/>
          <w:lang w:val="en-US"/>
        </w:rPr>
        <w:t>[36]</w:t>
      </w:r>
      <w:r w:rsidR="00AF3DA0" w:rsidRPr="00313BA1">
        <w:rPr>
          <w:rFonts w:ascii="Book Antiqua" w:hAnsi="Book Antiqua" w:cs="Arial"/>
          <w:sz w:val="24"/>
          <w:szCs w:val="24"/>
          <w:lang w:val="en-US"/>
        </w:rPr>
        <w:t>.</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In addition, we must also consider breast cancer and its adjuvant treatment with chemotherapy and hormone therapy. Fertility preservation for breast-cancer patients using unstimulated </w:t>
      </w:r>
      <w:r w:rsidRPr="00313BA1">
        <w:rPr>
          <w:rFonts w:ascii="Book Antiqua" w:hAnsi="Book Antiqua" w:cs="Arial"/>
          <w:i/>
          <w:sz w:val="24"/>
          <w:szCs w:val="24"/>
          <w:lang w:val="en-US"/>
        </w:rPr>
        <w:t>in</w:t>
      </w:r>
      <w:r w:rsidR="00AF3DA0" w:rsidRPr="00313BA1">
        <w:rPr>
          <w:rFonts w:ascii="Book Antiqua" w:eastAsia="SimSun" w:hAnsi="Book Antiqua" w:cs="Arial"/>
          <w:i/>
          <w:sz w:val="24"/>
          <w:szCs w:val="24"/>
          <w:lang w:val="en-US" w:eastAsia="zh-CN"/>
        </w:rPr>
        <w:t xml:space="preserve"> </w:t>
      </w:r>
      <w:r w:rsidRPr="00313BA1">
        <w:rPr>
          <w:rFonts w:ascii="Book Antiqua" w:hAnsi="Book Antiqua" w:cs="Arial"/>
          <w:i/>
          <w:sz w:val="24"/>
          <w:szCs w:val="24"/>
          <w:lang w:val="en-US"/>
        </w:rPr>
        <w:t>vitro</w:t>
      </w:r>
      <w:r w:rsidRPr="00313BA1">
        <w:rPr>
          <w:rFonts w:ascii="Book Antiqua" w:hAnsi="Book Antiqua" w:cs="Arial"/>
          <w:sz w:val="24"/>
          <w:szCs w:val="24"/>
          <w:lang w:val="en-US"/>
        </w:rPr>
        <w:t xml:space="preserve"> maturation followed by oocyte or embryo vitrification has shown calculated pregnancy rates per vitrified oocyte and embryo of 3.8% and 8.1%, </w:t>
      </w:r>
      <w:proofErr w:type="gramStart"/>
      <w:r w:rsidRPr="00313BA1">
        <w:rPr>
          <w:rFonts w:ascii="Book Antiqua" w:hAnsi="Book Antiqua" w:cs="Arial"/>
          <w:sz w:val="24"/>
          <w:szCs w:val="24"/>
          <w:lang w:val="en-US"/>
        </w:rPr>
        <w:t>respectively</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37]</w:t>
      </w:r>
      <w:r w:rsidRPr="00313BA1">
        <w:rPr>
          <w:rFonts w:ascii="Book Antiqua" w:hAnsi="Book Antiqua" w:cs="Arial"/>
          <w:sz w:val="24"/>
          <w:szCs w:val="24"/>
          <w:lang w:val="en-US"/>
        </w:rPr>
        <w:t>. In some studies, it has been shown that, after chemotherapy and hormone therapy, the incidence of amenorrhea increases to 68</w:t>
      </w:r>
      <w:proofErr w:type="gramStart"/>
      <w:r w:rsidRPr="00313BA1">
        <w:rPr>
          <w:rFonts w:ascii="Book Antiqua" w:hAnsi="Book Antiqua" w:cs="Arial"/>
          <w:sz w:val="24"/>
          <w:szCs w:val="24"/>
          <w:lang w:val="en-US"/>
        </w:rPr>
        <w:t>%</w:t>
      </w:r>
      <w:r w:rsidRPr="00313BA1">
        <w:rPr>
          <w:rFonts w:ascii="Book Antiqua" w:hAnsi="Book Antiqua" w:cs="Arial"/>
          <w:sz w:val="24"/>
          <w:szCs w:val="24"/>
          <w:vertAlign w:val="superscript"/>
          <w:lang w:val="en-US"/>
        </w:rPr>
        <w:t>[</w:t>
      </w:r>
      <w:proofErr w:type="gramEnd"/>
      <w:r w:rsidRPr="00313BA1">
        <w:rPr>
          <w:rFonts w:ascii="Book Antiqua" w:hAnsi="Book Antiqua" w:cs="Arial"/>
          <w:sz w:val="24"/>
          <w:szCs w:val="24"/>
          <w:vertAlign w:val="superscript"/>
          <w:lang w:val="en-US"/>
        </w:rPr>
        <w:t>1]</w:t>
      </w:r>
      <w:r w:rsidRPr="00313BA1">
        <w:rPr>
          <w:rFonts w:ascii="Book Antiqua" w:hAnsi="Book Antiqua" w:cs="Arial"/>
          <w:sz w:val="24"/>
          <w:szCs w:val="24"/>
          <w:lang w:val="en-US"/>
        </w:rPr>
        <w:t xml:space="preserve">. Up to 5% of women suffer from secondary amenorrhea during their lifetime; that is, the absence of menstrual period in a woman of reproductive age for ≥ 6 </w:t>
      </w:r>
      <w:proofErr w:type="spellStart"/>
      <w:r w:rsidRPr="00313BA1">
        <w:rPr>
          <w:rFonts w:ascii="Book Antiqua" w:hAnsi="Book Antiqua" w:cs="Arial"/>
          <w:sz w:val="24"/>
          <w:szCs w:val="24"/>
          <w:lang w:val="en-US"/>
        </w:rPr>
        <w:t>mo</w:t>
      </w:r>
      <w:proofErr w:type="spellEnd"/>
      <w:r w:rsidRPr="00313BA1">
        <w:rPr>
          <w:rFonts w:ascii="Book Antiqua" w:hAnsi="Book Antiqua" w:cs="Arial"/>
          <w:sz w:val="24"/>
          <w:szCs w:val="24"/>
          <w:lang w:val="en-US"/>
        </w:rPr>
        <w:t xml:space="preserve">, for example, produced by a common cause such as stress. The importance of this is </w:t>
      </w:r>
      <w:r w:rsidR="00AF3DA0" w:rsidRPr="00313BA1">
        <w:rPr>
          <w:rFonts w:ascii="Book Antiqua" w:hAnsi="Book Antiqua" w:cs="Arial"/>
          <w:sz w:val="24"/>
          <w:szCs w:val="24"/>
          <w:lang w:val="en-US"/>
        </w:rPr>
        <w:t>that woman suffering from secondary amenorrhea has</w:t>
      </w:r>
      <w:r w:rsidRPr="00313BA1">
        <w:rPr>
          <w:rFonts w:ascii="Book Antiqua" w:hAnsi="Book Antiqua" w:cs="Arial"/>
          <w:sz w:val="24"/>
          <w:szCs w:val="24"/>
          <w:lang w:val="en-US"/>
        </w:rPr>
        <w:t xml:space="preserve"> greater difficulties becoming pregnant, although this is not a cause of infertility itself, unless the period loss is evident or is not treated for a long time. In fact, in 85% of cases a simple change in diet or in lifestyle can rebalance the hormonal system, permitting easy and healthy gestation.</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 xml:space="preserve">It is not possible to make a statistical calculation of the overall probability of getting pregnant (including birth of a live baby) by combining different probabilities of the discussed pathologies suffered by the patient, because data sources for each pathology are independent, so that it is impossible to calculate conditioned probabilities. Even so, this clinical case shows that, despite the low </w:t>
      </w:r>
      <w:r w:rsidRPr="00313BA1">
        <w:rPr>
          <w:rFonts w:ascii="Book Antiqua" w:hAnsi="Book Antiqua" w:cs="Arial"/>
          <w:sz w:val="24"/>
          <w:szCs w:val="24"/>
          <w:lang w:val="en-US"/>
        </w:rPr>
        <w:lastRenderedPageBreak/>
        <w:t>probabilities of successful motherhood (due to the consecutive accumulation of gynecological and oncological pathologies), the patient eventually gave birth to a healthy baby.</w:t>
      </w:r>
    </w:p>
    <w:p w:rsidR="00E91C72" w:rsidRPr="00313BA1" w:rsidRDefault="00E91C72" w:rsidP="00313BA1">
      <w:pPr>
        <w:spacing w:after="0" w:line="360" w:lineRule="auto"/>
        <w:ind w:right="-565" w:firstLineChars="100" w:firstLine="240"/>
        <w:jc w:val="both"/>
        <w:rPr>
          <w:rFonts w:ascii="Book Antiqua" w:hAnsi="Book Antiqua" w:cs="Arial"/>
          <w:sz w:val="24"/>
          <w:szCs w:val="24"/>
          <w:lang w:val="en-US"/>
        </w:rPr>
      </w:pPr>
      <w:r w:rsidRPr="00313BA1">
        <w:rPr>
          <w:rFonts w:ascii="Book Antiqua" w:hAnsi="Book Antiqua" w:cs="Arial"/>
          <w:sz w:val="24"/>
          <w:szCs w:val="24"/>
          <w:lang w:val="en-US"/>
        </w:rPr>
        <w:t>To sum up, we have presented a special clinical case of full-term pregnancy and successful exclusive breastfeeding during the first nine months of the baby’s life, which is of interest given the several factors (both positive and negative) discussed in this case report, since the chances of patient pregnancy success were theoretically low. Currently, the first choice for premenopausal breast cancer patients is adjuvant therapy, and although cytotoxic drugs and/or hormone therapy can significantly reduce mortality, this raises questions of long-term toxicity such as menopause induction and fertility deterioration. Thus, in these women it is essential to propose therapies to preserve fertility before starting potentially gonadotoxic treatment, as well as to refer them early on to a specialized reproduction center if there is a wish for a future pregnancy.</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sz w:val="24"/>
          <w:szCs w:val="24"/>
          <w:lang w:val="en-US"/>
        </w:rPr>
        <w:t>ARTICLE HIGHLIGHTS</w:t>
      </w:r>
    </w:p>
    <w:p w:rsidR="00E91C72" w:rsidRPr="00313BA1" w:rsidRDefault="00E91C72" w:rsidP="00313BA1">
      <w:pPr>
        <w:spacing w:after="0" w:line="360" w:lineRule="auto"/>
        <w:ind w:right="-565"/>
        <w:jc w:val="both"/>
        <w:rPr>
          <w:rFonts w:ascii="Book Antiqua" w:hAnsi="Book Antiqua" w:cs="Arial"/>
          <w:b/>
          <w:i/>
          <w:sz w:val="24"/>
          <w:szCs w:val="24"/>
          <w:lang w:val="en-US"/>
        </w:rPr>
      </w:pPr>
      <w:r w:rsidRPr="00313BA1">
        <w:rPr>
          <w:rFonts w:ascii="Book Antiqua" w:hAnsi="Book Antiqua"/>
          <w:b/>
          <w:i/>
          <w:sz w:val="24"/>
          <w:szCs w:val="24"/>
          <w:lang w:val="en-US"/>
        </w:rPr>
        <w:t>Case characteristics</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Full-term pregnancy success in a 43-year-old woman treated with chemotherapy and hormonotherapy for breast cancer, and having several gynecological problems.</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i/>
          <w:sz w:val="24"/>
          <w:szCs w:val="24"/>
          <w:lang w:val="en-US"/>
        </w:rPr>
      </w:pPr>
      <w:r w:rsidRPr="00313BA1">
        <w:rPr>
          <w:rFonts w:ascii="Book Antiqua" w:hAnsi="Book Antiqua" w:cs="Arial"/>
          <w:b/>
          <w:i/>
          <w:sz w:val="24"/>
          <w:szCs w:val="24"/>
          <w:lang w:val="en-US"/>
        </w:rPr>
        <w:t>Clinical diagnosis</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 xml:space="preserve">Endometriosis, ovarian cyst, hydrosalpinx, submucosal myomas, breast cancer and </w:t>
      </w:r>
      <w:r w:rsidRPr="00313BA1">
        <w:rPr>
          <w:rFonts w:ascii="Book Antiqua" w:hAnsi="Book Antiqua" w:cs="Arial"/>
          <w:i/>
          <w:iCs/>
          <w:sz w:val="24"/>
          <w:szCs w:val="24"/>
          <w:lang w:val="en-US"/>
        </w:rPr>
        <w:t>in vitro</w:t>
      </w:r>
      <w:r w:rsidRPr="00313BA1">
        <w:rPr>
          <w:rFonts w:ascii="Book Antiqua" w:hAnsi="Book Antiqua" w:cs="Arial"/>
          <w:sz w:val="24"/>
          <w:szCs w:val="24"/>
          <w:lang w:val="en-US"/>
        </w:rPr>
        <w:t xml:space="preserve"> fertilization</w:t>
      </w:r>
      <w:r w:rsidR="009813F5" w:rsidRPr="00313BA1">
        <w:rPr>
          <w:rFonts w:ascii="Book Antiqua" w:eastAsia="SimSun" w:hAnsi="Book Antiqua" w:cs="Arial"/>
          <w:sz w:val="24"/>
          <w:szCs w:val="24"/>
          <w:lang w:val="en-US" w:eastAsia="zh-CN"/>
        </w:rPr>
        <w:t xml:space="preserve"> (IVF)</w:t>
      </w:r>
      <w:r w:rsidRPr="00313BA1">
        <w:rPr>
          <w:rFonts w:ascii="Book Antiqua" w:hAnsi="Book Antiqua" w:cs="Arial"/>
          <w:sz w:val="24"/>
          <w:szCs w:val="24"/>
          <w:lang w:val="en-US"/>
        </w:rPr>
        <w:t>.</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i/>
          <w:sz w:val="24"/>
          <w:szCs w:val="24"/>
          <w:lang w:val="en-US"/>
        </w:rPr>
      </w:pPr>
      <w:r w:rsidRPr="00313BA1">
        <w:rPr>
          <w:rFonts w:ascii="Book Antiqua" w:hAnsi="Book Antiqua" w:cs="Arial"/>
          <w:b/>
          <w:i/>
          <w:sz w:val="24"/>
          <w:szCs w:val="24"/>
          <w:lang w:val="en-US"/>
        </w:rPr>
        <w:t>Differential diagnosis</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Laparoscopy, lymphadenectomy, chemotherapy, radiotherapy, hormonotherapy.</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i/>
          <w:sz w:val="24"/>
          <w:szCs w:val="24"/>
          <w:lang w:val="en-US"/>
        </w:rPr>
      </w:pPr>
      <w:r w:rsidRPr="00313BA1">
        <w:rPr>
          <w:rFonts w:ascii="Book Antiqua" w:hAnsi="Book Antiqua" w:cs="Arial"/>
          <w:b/>
          <w:i/>
          <w:sz w:val="24"/>
          <w:szCs w:val="24"/>
          <w:lang w:val="en-US"/>
        </w:rPr>
        <w:t>Laboratory diagnosis</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lastRenderedPageBreak/>
        <w:t>Biopsy evidencing a human epidermal growth factor receptor 2 (H</w:t>
      </w:r>
      <w:r w:rsidR="003C1D65" w:rsidRPr="00313BA1">
        <w:rPr>
          <w:rFonts w:ascii="Book Antiqua" w:hAnsi="Book Antiqua" w:cs="Arial"/>
          <w:sz w:val="24"/>
          <w:szCs w:val="24"/>
          <w:lang w:val="en-US"/>
        </w:rPr>
        <w:t>ER</w:t>
      </w:r>
      <w:r w:rsidRPr="00313BA1">
        <w:rPr>
          <w:rFonts w:ascii="Book Antiqua" w:hAnsi="Book Antiqua" w:cs="Arial"/>
          <w:sz w:val="24"/>
          <w:szCs w:val="24"/>
          <w:lang w:val="en-US"/>
        </w:rPr>
        <w:t>2)</w:t>
      </w:r>
      <w:r w:rsidR="00CF0874">
        <w:rPr>
          <w:rFonts w:ascii="Book Antiqua" w:eastAsia="SimSun" w:hAnsi="Book Antiqua" w:cs="Arial" w:hint="eastAsia"/>
          <w:sz w:val="24"/>
          <w:szCs w:val="24"/>
          <w:lang w:val="en-US" w:eastAsia="zh-CN"/>
        </w:rPr>
        <w:t>-</w:t>
      </w:r>
      <w:r w:rsidRPr="00313BA1">
        <w:rPr>
          <w:rFonts w:ascii="Book Antiqua" w:hAnsi="Book Antiqua" w:cs="Arial"/>
          <w:sz w:val="24"/>
          <w:szCs w:val="24"/>
          <w:lang w:val="en-US"/>
        </w:rPr>
        <w:t xml:space="preserve">positive hormone-dependent (80% estrogenic receptors, 70% </w:t>
      </w:r>
      <w:proofErr w:type="spellStart"/>
      <w:r w:rsidRPr="00313BA1">
        <w:rPr>
          <w:rFonts w:ascii="Book Antiqua" w:hAnsi="Book Antiqua" w:cs="Arial"/>
          <w:sz w:val="24"/>
          <w:szCs w:val="24"/>
          <w:lang w:val="en-US"/>
        </w:rPr>
        <w:t>progestational</w:t>
      </w:r>
      <w:proofErr w:type="spellEnd"/>
      <w:r w:rsidRPr="00313BA1">
        <w:rPr>
          <w:rFonts w:ascii="Book Antiqua" w:hAnsi="Book Antiqua" w:cs="Arial"/>
          <w:sz w:val="24"/>
          <w:szCs w:val="24"/>
          <w:lang w:val="en-US"/>
        </w:rPr>
        <w:t xml:space="preserve"> receptors) CD56 negative high grade invasive ductal carcinoma.</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i/>
          <w:sz w:val="24"/>
          <w:szCs w:val="24"/>
          <w:lang w:val="en-US"/>
        </w:rPr>
      </w:pPr>
      <w:r w:rsidRPr="00313BA1">
        <w:rPr>
          <w:rFonts w:ascii="Book Antiqua" w:hAnsi="Book Antiqua" w:cs="Arial"/>
          <w:b/>
          <w:i/>
          <w:sz w:val="24"/>
          <w:szCs w:val="24"/>
          <w:lang w:val="en-US"/>
        </w:rPr>
        <w:t>Imaging diagnosis</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 xml:space="preserve">Ultrasound and Doppler showing ovarian cystic </w:t>
      </w:r>
      <w:proofErr w:type="spellStart"/>
      <w:r w:rsidRPr="00313BA1">
        <w:rPr>
          <w:rFonts w:ascii="Book Antiqua" w:hAnsi="Book Antiqua" w:cs="Arial"/>
          <w:sz w:val="24"/>
          <w:szCs w:val="24"/>
          <w:lang w:val="en-US"/>
        </w:rPr>
        <w:t>tumours</w:t>
      </w:r>
      <w:proofErr w:type="spellEnd"/>
      <w:r w:rsidRPr="00313BA1">
        <w:rPr>
          <w:rFonts w:ascii="Book Antiqua" w:hAnsi="Book Antiqua" w:cs="Arial"/>
          <w:sz w:val="24"/>
          <w:szCs w:val="24"/>
          <w:lang w:val="en-US"/>
        </w:rPr>
        <w:t xml:space="preserve">, hydrosalpinx, and breast cancer </w:t>
      </w:r>
      <w:proofErr w:type="spellStart"/>
      <w:r w:rsidRPr="00313BA1">
        <w:rPr>
          <w:rFonts w:ascii="Book Antiqua" w:hAnsi="Book Antiqua" w:cs="Arial"/>
          <w:sz w:val="24"/>
          <w:szCs w:val="24"/>
          <w:lang w:val="en-US"/>
        </w:rPr>
        <w:t>tumour</w:t>
      </w:r>
      <w:proofErr w:type="spellEnd"/>
      <w:r w:rsidRPr="00313BA1">
        <w:rPr>
          <w:rFonts w:ascii="Book Antiqua" w:hAnsi="Book Antiqua" w:cs="Arial"/>
          <w:sz w:val="24"/>
          <w:szCs w:val="24"/>
          <w:lang w:val="en-US"/>
        </w:rPr>
        <w:t>.</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i/>
          <w:sz w:val="24"/>
          <w:szCs w:val="24"/>
          <w:lang w:val="en-US"/>
        </w:rPr>
        <w:t>Pathological diagnosis</w:t>
      </w:r>
    </w:p>
    <w:p w:rsidR="00E91C72" w:rsidRPr="00313BA1" w:rsidRDefault="00E91C72" w:rsidP="00313BA1">
      <w:pPr>
        <w:spacing w:after="0" w:line="360" w:lineRule="auto"/>
        <w:ind w:right="-565"/>
        <w:jc w:val="both"/>
        <w:rPr>
          <w:rFonts w:ascii="Book Antiqua" w:hAnsi="Book Antiqua" w:cs="Arial"/>
          <w:bCs/>
          <w:sz w:val="24"/>
          <w:szCs w:val="24"/>
          <w:lang w:val="en-US"/>
        </w:rPr>
      </w:pPr>
      <w:r w:rsidRPr="00313BA1">
        <w:rPr>
          <w:rFonts w:ascii="Book Antiqua" w:hAnsi="Book Antiqua" w:cs="Arial"/>
          <w:sz w:val="24"/>
          <w:szCs w:val="24"/>
          <w:lang w:val="en-US"/>
        </w:rPr>
        <w:t>Pathological diagnosis showed a p</w:t>
      </w:r>
      <w:r w:rsidRPr="00313BA1">
        <w:rPr>
          <w:rFonts w:ascii="Book Antiqua" w:hAnsi="Book Antiqua" w:cs="Arial"/>
          <w:bCs/>
          <w:sz w:val="24"/>
          <w:szCs w:val="24"/>
          <w:lang w:val="en-US"/>
        </w:rPr>
        <w:t>T1b</w:t>
      </w:r>
      <w:r w:rsidRPr="00313BA1">
        <w:rPr>
          <w:rFonts w:ascii="Book Antiqua" w:hAnsi="Book Antiqua" w:cs="Arial"/>
          <w:sz w:val="24"/>
          <w:szCs w:val="24"/>
          <w:lang w:val="en-US"/>
        </w:rPr>
        <w:t>p</w:t>
      </w:r>
      <w:r w:rsidRPr="00313BA1">
        <w:rPr>
          <w:rFonts w:ascii="Book Antiqua" w:hAnsi="Book Antiqua" w:cs="Arial"/>
          <w:bCs/>
          <w:sz w:val="24"/>
          <w:szCs w:val="24"/>
          <w:lang w:val="en-US"/>
        </w:rPr>
        <w:t xml:space="preserve">N1a, stage IIA breast cancer </w:t>
      </w:r>
      <w:proofErr w:type="spellStart"/>
      <w:r w:rsidRPr="00313BA1">
        <w:rPr>
          <w:rFonts w:ascii="Book Antiqua" w:hAnsi="Book Antiqua" w:cs="Arial"/>
          <w:bCs/>
          <w:sz w:val="24"/>
          <w:szCs w:val="24"/>
          <w:lang w:val="en-US"/>
        </w:rPr>
        <w:t>tumour</w:t>
      </w:r>
      <w:proofErr w:type="spellEnd"/>
      <w:r w:rsidRPr="00313BA1">
        <w:rPr>
          <w:rFonts w:ascii="Book Antiqua" w:hAnsi="Book Antiqua" w:cs="Arial"/>
          <w:bCs/>
          <w:sz w:val="24"/>
          <w:szCs w:val="24"/>
          <w:lang w:val="en-US"/>
        </w:rPr>
        <w:t>. Diagnostic hysteroscopy showed two small submucosal myomas.</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i/>
          <w:sz w:val="24"/>
          <w:szCs w:val="24"/>
          <w:lang w:val="en-US"/>
        </w:rPr>
        <w:t>Treatment</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 xml:space="preserve">Chemotherapy based on </w:t>
      </w:r>
      <w:proofErr w:type="spellStart"/>
      <w:r w:rsidRPr="00313BA1">
        <w:rPr>
          <w:rFonts w:ascii="Book Antiqua" w:hAnsi="Book Antiqua" w:cs="Arial"/>
          <w:sz w:val="24"/>
          <w:szCs w:val="24"/>
          <w:lang w:val="en-US"/>
        </w:rPr>
        <w:t>Epirubicin</w:t>
      </w:r>
      <w:proofErr w:type="spellEnd"/>
      <w:r w:rsidRPr="00313BA1">
        <w:rPr>
          <w:rFonts w:ascii="Book Antiqua" w:hAnsi="Book Antiqua" w:cs="Arial"/>
          <w:sz w:val="24"/>
          <w:szCs w:val="24"/>
          <w:lang w:val="en-US"/>
        </w:rPr>
        <w:t xml:space="preserve"> and Cyclophosphamide, followed by Docetaxel and Trastuzumab; Hormonotherapy based on Tamoxifen followed by subcutaneous Trastuzumab; Radiotherapy; Oral contraception based on </w:t>
      </w:r>
      <w:proofErr w:type="spellStart"/>
      <w:r w:rsidRPr="00313BA1">
        <w:rPr>
          <w:rFonts w:ascii="Book Antiqua" w:hAnsi="Book Antiqua" w:cs="Arial"/>
          <w:sz w:val="24"/>
          <w:szCs w:val="24"/>
          <w:lang w:val="en-US"/>
        </w:rPr>
        <w:t>Suavuret</w:t>
      </w:r>
      <w:proofErr w:type="spellEnd"/>
      <w:r w:rsidR="00CF0874" w:rsidRPr="00CF0874">
        <w:rPr>
          <w:rFonts w:ascii="Book Antiqua" w:hAnsi="Book Antiqua" w:cs="Arial"/>
          <w:vertAlign w:val="superscript"/>
          <w:lang w:val="en-US"/>
        </w:rPr>
        <w:t>®</w:t>
      </w:r>
      <w:r w:rsidRPr="00313BA1">
        <w:rPr>
          <w:rFonts w:ascii="Book Antiqua" w:hAnsi="Book Antiqua" w:cs="Arial"/>
          <w:sz w:val="24"/>
          <w:szCs w:val="24"/>
          <w:lang w:val="en-US"/>
        </w:rPr>
        <w:t xml:space="preserve"> (</w:t>
      </w:r>
      <w:proofErr w:type="spellStart"/>
      <w:r w:rsidRPr="00313BA1">
        <w:rPr>
          <w:rFonts w:ascii="Book Antiqua" w:hAnsi="Book Antiqua" w:cs="Arial"/>
          <w:sz w:val="24"/>
          <w:szCs w:val="24"/>
          <w:lang w:val="en-US"/>
        </w:rPr>
        <w:t>Desogestrel</w:t>
      </w:r>
      <w:proofErr w:type="spellEnd"/>
      <w:r w:rsidRPr="00313BA1">
        <w:rPr>
          <w:rFonts w:ascii="Book Antiqua" w:hAnsi="Book Antiqua" w:cs="Arial"/>
          <w:sz w:val="24"/>
          <w:szCs w:val="24"/>
          <w:lang w:val="en-US"/>
        </w:rPr>
        <w:t xml:space="preserve"> and </w:t>
      </w:r>
      <w:proofErr w:type="spellStart"/>
      <w:r w:rsidRPr="00313BA1">
        <w:rPr>
          <w:rFonts w:ascii="Book Antiqua" w:hAnsi="Book Antiqua" w:cs="Arial"/>
          <w:sz w:val="24"/>
          <w:szCs w:val="24"/>
          <w:lang w:val="en-US"/>
        </w:rPr>
        <w:t>EthinylEstradiol</w:t>
      </w:r>
      <w:proofErr w:type="spellEnd"/>
      <w:r w:rsidRPr="00313BA1">
        <w:rPr>
          <w:rFonts w:ascii="Book Antiqua" w:hAnsi="Book Antiqua" w:cs="Arial"/>
          <w:sz w:val="24"/>
          <w:szCs w:val="24"/>
          <w:lang w:val="en-US"/>
        </w:rPr>
        <w:t xml:space="preserve">); Uterine endometrium preparation based on </w:t>
      </w:r>
      <w:proofErr w:type="spellStart"/>
      <w:r w:rsidRPr="00313BA1">
        <w:rPr>
          <w:rFonts w:ascii="Book Antiqua" w:hAnsi="Book Antiqua" w:cs="Arial"/>
          <w:sz w:val="24"/>
          <w:szCs w:val="24"/>
          <w:lang w:val="en-US"/>
        </w:rPr>
        <w:t>Progynova</w:t>
      </w:r>
      <w:proofErr w:type="spellEnd"/>
      <w:r w:rsidR="00CF0874" w:rsidRPr="00CF0874">
        <w:rPr>
          <w:rFonts w:ascii="Book Antiqua" w:hAnsi="Book Antiqua" w:cs="Arial"/>
          <w:vertAlign w:val="superscript"/>
          <w:lang w:val="en-US"/>
        </w:rPr>
        <w:t>®</w:t>
      </w:r>
      <w:r w:rsidRPr="00313BA1">
        <w:rPr>
          <w:rFonts w:ascii="Book Antiqua" w:hAnsi="Book Antiqua" w:cs="Arial"/>
          <w:sz w:val="24"/>
          <w:szCs w:val="24"/>
          <w:lang w:val="en-US"/>
        </w:rPr>
        <w:t xml:space="preserve"> (equivalent to </w:t>
      </w:r>
      <w:proofErr w:type="spellStart"/>
      <w:r w:rsidRPr="00313BA1">
        <w:rPr>
          <w:rFonts w:ascii="Book Antiqua" w:hAnsi="Book Antiqua" w:cs="Arial"/>
          <w:sz w:val="24"/>
          <w:szCs w:val="24"/>
          <w:lang w:val="en-US"/>
        </w:rPr>
        <w:t>EstradiolValerate</w:t>
      </w:r>
      <w:proofErr w:type="spellEnd"/>
      <w:r w:rsidRPr="00313BA1">
        <w:rPr>
          <w:rFonts w:ascii="Book Antiqua" w:hAnsi="Book Antiqua" w:cs="Arial"/>
          <w:sz w:val="24"/>
          <w:szCs w:val="24"/>
          <w:lang w:val="en-US"/>
        </w:rPr>
        <w:t>).</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i/>
          <w:sz w:val="24"/>
          <w:szCs w:val="24"/>
          <w:lang w:val="en-US"/>
        </w:rPr>
        <w:t>Related reports</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The probability of natural pregnancy in a fertile woman is approximately 20%. With age and health problems such as gynecological or/and oncological, this percentage drops significantly. This case serves to maintain hope in women in a similar situation who wish for motherhood.</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b/>
          <w:i/>
          <w:sz w:val="24"/>
          <w:szCs w:val="24"/>
          <w:lang w:val="en-US"/>
        </w:rPr>
        <w:t>Term explanation</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t xml:space="preserve">Successful pregnancy achieved (with healthy baby born) with only one </w:t>
      </w:r>
      <w:r w:rsidR="009813F5" w:rsidRPr="00313BA1">
        <w:rPr>
          <w:rFonts w:ascii="Book Antiqua" w:eastAsia="SimSun" w:hAnsi="Book Antiqua" w:cs="Arial"/>
          <w:iCs/>
          <w:sz w:val="24"/>
          <w:szCs w:val="24"/>
          <w:lang w:val="en-US" w:eastAsia="zh-CN"/>
        </w:rPr>
        <w:t>IVF</w:t>
      </w:r>
      <w:r w:rsidRPr="00313BA1">
        <w:rPr>
          <w:rFonts w:ascii="Book Antiqua" w:hAnsi="Book Antiqua" w:cs="Arial"/>
          <w:sz w:val="24"/>
          <w:szCs w:val="24"/>
          <w:lang w:val="en-US"/>
        </w:rPr>
        <w:t xml:space="preserve"> procedure, using a single vitrified embryo at age 39, and transferred at age 43.</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sz w:val="24"/>
          <w:szCs w:val="24"/>
          <w:lang w:val="en-US"/>
        </w:rPr>
        <w:t xml:space="preserve"> </w:t>
      </w:r>
      <w:r w:rsidRPr="00313BA1">
        <w:rPr>
          <w:rFonts w:ascii="Book Antiqua" w:hAnsi="Book Antiqua" w:cs="Arial"/>
          <w:b/>
          <w:i/>
          <w:sz w:val="24"/>
          <w:szCs w:val="24"/>
          <w:lang w:val="en-US"/>
        </w:rPr>
        <w:t>Experiences and lessons</w:t>
      </w:r>
      <w:r w:rsidRPr="00313BA1">
        <w:rPr>
          <w:rFonts w:ascii="Book Antiqua" w:hAnsi="Book Antiqua" w:cs="Arial"/>
          <w:sz w:val="24"/>
          <w:szCs w:val="24"/>
          <w:lang w:val="en-US"/>
        </w:rPr>
        <w:t xml:space="preserve"> </w:t>
      </w:r>
    </w:p>
    <w:p w:rsidR="00E91C72" w:rsidRPr="00313BA1" w:rsidRDefault="00E91C72" w:rsidP="00313BA1">
      <w:pPr>
        <w:spacing w:after="0" w:line="360" w:lineRule="auto"/>
        <w:ind w:right="-565"/>
        <w:jc w:val="both"/>
        <w:rPr>
          <w:rFonts w:ascii="Book Antiqua" w:hAnsi="Book Antiqua" w:cs="Arial"/>
          <w:sz w:val="24"/>
          <w:szCs w:val="24"/>
          <w:lang w:val="en-US"/>
        </w:rPr>
      </w:pPr>
      <w:r w:rsidRPr="00313BA1">
        <w:rPr>
          <w:rFonts w:ascii="Book Antiqua" w:hAnsi="Book Antiqua" w:cs="Arial"/>
          <w:sz w:val="24"/>
          <w:szCs w:val="24"/>
          <w:lang w:val="en-US"/>
        </w:rPr>
        <w:lastRenderedPageBreak/>
        <w:t>This is a special clinical case of a patient with theoretically low pregnancy success, probably due to the consecutive accumulation of gynecological and oncological pathologies, who became pregnant and delivered a full-term infant with adequate breastfeeding.</w:t>
      </w:r>
    </w:p>
    <w:p w:rsidR="00E91C72" w:rsidRPr="00313BA1" w:rsidRDefault="00E91C72" w:rsidP="00313BA1">
      <w:pPr>
        <w:spacing w:after="0" w:line="360" w:lineRule="auto"/>
        <w:ind w:right="-565"/>
        <w:jc w:val="both"/>
        <w:rPr>
          <w:rFonts w:ascii="Book Antiqua" w:hAnsi="Book Antiqua" w:cs="Arial"/>
          <w:sz w:val="24"/>
          <w:szCs w:val="24"/>
          <w:lang w:val="en-US"/>
        </w:rPr>
      </w:pPr>
    </w:p>
    <w:p w:rsidR="00E91C72" w:rsidRPr="00313BA1" w:rsidRDefault="00E91C72" w:rsidP="00313BA1">
      <w:pPr>
        <w:spacing w:after="0" w:line="360" w:lineRule="auto"/>
        <w:ind w:right="-565"/>
        <w:jc w:val="both"/>
        <w:rPr>
          <w:rFonts w:ascii="Book Antiqua" w:hAnsi="Book Antiqua" w:cs="Arial"/>
          <w:b/>
          <w:sz w:val="24"/>
          <w:szCs w:val="24"/>
          <w:lang w:val="en-US"/>
        </w:rPr>
      </w:pPr>
      <w:r w:rsidRPr="00313BA1">
        <w:rPr>
          <w:rFonts w:ascii="Book Antiqua" w:hAnsi="Book Antiqua" w:cs="Arial"/>
          <w:b/>
          <w:sz w:val="24"/>
          <w:szCs w:val="24"/>
          <w:lang w:val="en-US"/>
        </w:rPr>
        <w:t>ACKNOWLEDGEMENTS</w:t>
      </w:r>
    </w:p>
    <w:p w:rsidR="00E91C72" w:rsidRPr="00313BA1"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313BA1">
        <w:rPr>
          <w:rFonts w:ascii="Book Antiqua" w:eastAsia="Times New Roman" w:hAnsi="Book Antiqua" w:cs="Arial"/>
          <w:sz w:val="24"/>
          <w:szCs w:val="24"/>
          <w:lang w:val="en-US"/>
        </w:rPr>
        <w:t xml:space="preserve">We thank Aram Ehsan and Teresa </w:t>
      </w:r>
      <w:proofErr w:type="spellStart"/>
      <w:r w:rsidRPr="00313BA1">
        <w:rPr>
          <w:rFonts w:ascii="Book Antiqua" w:eastAsia="Times New Roman" w:hAnsi="Book Antiqua" w:cs="Arial"/>
          <w:sz w:val="24"/>
          <w:szCs w:val="24"/>
          <w:lang w:val="en-US"/>
        </w:rPr>
        <w:t>Pernía</w:t>
      </w:r>
      <w:proofErr w:type="spellEnd"/>
      <w:r w:rsidRPr="00313BA1">
        <w:rPr>
          <w:rFonts w:ascii="Book Antiqua" w:eastAsia="Times New Roman" w:hAnsi="Book Antiqua" w:cs="Arial"/>
          <w:sz w:val="24"/>
          <w:szCs w:val="24"/>
          <w:lang w:val="en-US"/>
        </w:rPr>
        <w:t xml:space="preserve"> for comments that greatly improved the manuscript. We would also like to thank Tom </w:t>
      </w:r>
      <w:proofErr w:type="spellStart"/>
      <w:r w:rsidRPr="00313BA1">
        <w:rPr>
          <w:rFonts w:ascii="Book Antiqua" w:eastAsia="Times New Roman" w:hAnsi="Book Antiqua" w:cs="Arial"/>
          <w:sz w:val="24"/>
          <w:szCs w:val="24"/>
          <w:lang w:val="en-US"/>
        </w:rPr>
        <w:t>Johannan</w:t>
      </w:r>
      <w:proofErr w:type="spellEnd"/>
      <w:r w:rsidRPr="00313BA1">
        <w:rPr>
          <w:rFonts w:ascii="Book Antiqua" w:eastAsia="Times New Roman" w:hAnsi="Book Antiqua" w:cs="Arial"/>
          <w:sz w:val="24"/>
          <w:szCs w:val="24"/>
          <w:lang w:val="en-US"/>
        </w:rPr>
        <w:t xml:space="preserve"> for language assistance, as well as to Jennifer van </w:t>
      </w:r>
      <w:proofErr w:type="spellStart"/>
      <w:r w:rsidRPr="00313BA1">
        <w:rPr>
          <w:rFonts w:ascii="Book Antiqua" w:eastAsia="Times New Roman" w:hAnsi="Book Antiqua" w:cs="Arial"/>
          <w:sz w:val="24"/>
          <w:szCs w:val="24"/>
          <w:lang w:val="en-US"/>
        </w:rPr>
        <w:t>Velkinburgh</w:t>
      </w:r>
      <w:proofErr w:type="spellEnd"/>
      <w:r w:rsidRPr="00313BA1">
        <w:rPr>
          <w:rFonts w:ascii="Book Antiqua" w:eastAsia="Times New Roman" w:hAnsi="Book Antiqua" w:cs="Arial"/>
          <w:sz w:val="24"/>
          <w:szCs w:val="24"/>
          <w:lang w:val="en-US"/>
        </w:rPr>
        <w:t xml:space="preserve"> for her valuable help. Finally, we would also like to express our gratitude to the patient for sharing her medical history with the community.</w:t>
      </w:r>
    </w:p>
    <w:p w:rsidR="00E91C72" w:rsidRPr="00313BA1" w:rsidRDefault="00E91C72" w:rsidP="00313BA1">
      <w:pPr>
        <w:spacing w:after="0" w:line="360" w:lineRule="auto"/>
        <w:jc w:val="both"/>
        <w:rPr>
          <w:rFonts w:ascii="Book Antiqua" w:eastAsia="SimSun" w:hAnsi="Book Antiqua"/>
          <w:sz w:val="24"/>
          <w:szCs w:val="24"/>
          <w:lang w:val="en-US" w:eastAsia="zh-CN"/>
        </w:rPr>
      </w:pPr>
      <w:bookmarkStart w:id="1" w:name="_GoBack"/>
      <w:bookmarkEnd w:id="1"/>
    </w:p>
    <w:p w:rsidR="00EC6204" w:rsidRPr="00313BA1" w:rsidRDefault="00EC6204" w:rsidP="00313BA1">
      <w:pPr>
        <w:spacing w:after="0" w:line="360" w:lineRule="auto"/>
        <w:jc w:val="both"/>
        <w:rPr>
          <w:rFonts w:ascii="Book Antiqua" w:eastAsia="Times New Roman" w:hAnsi="Book Antiqua" w:cs="Arial"/>
          <w:b/>
          <w:sz w:val="24"/>
          <w:szCs w:val="24"/>
          <w:lang w:val="en-US"/>
        </w:rPr>
      </w:pPr>
      <w:r w:rsidRPr="00313BA1">
        <w:rPr>
          <w:rFonts w:ascii="Book Antiqua" w:eastAsia="Times New Roman" w:hAnsi="Book Antiqua" w:cs="Arial"/>
          <w:b/>
          <w:sz w:val="24"/>
          <w:szCs w:val="24"/>
          <w:lang w:val="en-US"/>
        </w:rPr>
        <w:br w:type="page"/>
      </w:r>
    </w:p>
    <w:p w:rsidR="00E91C72" w:rsidRPr="00313BA1" w:rsidRDefault="00E91C72" w:rsidP="00313BA1">
      <w:pPr>
        <w:spacing w:after="0" w:line="360" w:lineRule="auto"/>
        <w:ind w:right="-565"/>
        <w:jc w:val="both"/>
        <w:textAlignment w:val="baseline"/>
        <w:rPr>
          <w:rFonts w:ascii="Book Antiqua" w:eastAsia="Times New Roman" w:hAnsi="Book Antiqua" w:cs="Arial"/>
          <w:b/>
          <w:sz w:val="24"/>
          <w:szCs w:val="24"/>
          <w:lang w:val="en-US"/>
        </w:rPr>
      </w:pPr>
      <w:r w:rsidRPr="00313BA1">
        <w:rPr>
          <w:rFonts w:ascii="Book Antiqua" w:eastAsia="Times New Roman" w:hAnsi="Book Antiqua" w:cs="Arial"/>
          <w:b/>
          <w:sz w:val="24"/>
          <w:szCs w:val="24"/>
          <w:lang w:val="en-US"/>
        </w:rPr>
        <w:lastRenderedPageBreak/>
        <w:t>REFERENCES</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 </w:t>
      </w:r>
      <w:r w:rsidRPr="00313BA1">
        <w:rPr>
          <w:rFonts w:ascii="Book Antiqua" w:hAnsi="Book Antiqua"/>
          <w:b/>
          <w:sz w:val="24"/>
          <w:szCs w:val="24"/>
        </w:rPr>
        <w:t>Kasum M</w:t>
      </w:r>
      <w:r w:rsidRPr="00313BA1">
        <w:rPr>
          <w:rFonts w:ascii="Book Antiqua" w:hAnsi="Book Antiqua"/>
          <w:sz w:val="24"/>
          <w:szCs w:val="24"/>
        </w:rPr>
        <w:t xml:space="preserve">, Beketić-Orešković L, Peddi PF, Orešković S, Johnson RH. Fertility after breast cancer treatment. </w:t>
      </w:r>
      <w:r w:rsidRPr="00313BA1">
        <w:rPr>
          <w:rFonts w:ascii="Book Antiqua" w:hAnsi="Book Antiqua"/>
          <w:i/>
          <w:sz w:val="24"/>
          <w:szCs w:val="24"/>
        </w:rPr>
        <w:t>Eur J Obstet Gynecol Reprod Biol</w:t>
      </w:r>
      <w:r w:rsidRPr="00313BA1">
        <w:rPr>
          <w:rFonts w:ascii="Book Antiqua" w:hAnsi="Book Antiqua"/>
          <w:sz w:val="24"/>
          <w:szCs w:val="24"/>
        </w:rPr>
        <w:t xml:space="preserve"> 2014; </w:t>
      </w:r>
      <w:r w:rsidRPr="00313BA1">
        <w:rPr>
          <w:rFonts w:ascii="Book Antiqua" w:hAnsi="Book Antiqua"/>
          <w:b/>
          <w:sz w:val="24"/>
          <w:szCs w:val="24"/>
        </w:rPr>
        <w:t>173</w:t>
      </w:r>
      <w:r w:rsidRPr="00313BA1">
        <w:rPr>
          <w:rFonts w:ascii="Book Antiqua" w:hAnsi="Book Antiqua"/>
          <w:sz w:val="24"/>
          <w:szCs w:val="24"/>
        </w:rPr>
        <w:t>: 13-18 [PMID: 24315568 DOI: 10.1016/j.ejogrb.2013.11.009]</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 </w:t>
      </w:r>
      <w:r w:rsidRPr="00313BA1">
        <w:rPr>
          <w:rFonts w:ascii="Book Antiqua" w:hAnsi="Book Antiqua"/>
          <w:b/>
          <w:sz w:val="24"/>
          <w:szCs w:val="24"/>
        </w:rPr>
        <w:t>Bines J</w:t>
      </w:r>
      <w:r w:rsidRPr="00313BA1">
        <w:rPr>
          <w:rFonts w:ascii="Book Antiqua" w:hAnsi="Book Antiqua"/>
          <w:sz w:val="24"/>
          <w:szCs w:val="24"/>
        </w:rPr>
        <w:t xml:space="preserve">, Oleske DM, Cobleigh MA. Ovarian function in premenopausal women treated with adjuvant chemotherapy for breast cancer. </w:t>
      </w:r>
      <w:r w:rsidRPr="00313BA1">
        <w:rPr>
          <w:rFonts w:ascii="Book Antiqua" w:hAnsi="Book Antiqua"/>
          <w:i/>
          <w:sz w:val="24"/>
          <w:szCs w:val="24"/>
        </w:rPr>
        <w:t>J Clin Oncol</w:t>
      </w:r>
      <w:r w:rsidRPr="00313BA1">
        <w:rPr>
          <w:rFonts w:ascii="Book Antiqua" w:hAnsi="Book Antiqua"/>
          <w:sz w:val="24"/>
          <w:szCs w:val="24"/>
        </w:rPr>
        <w:t xml:space="preserve"> 1996; </w:t>
      </w:r>
      <w:r w:rsidRPr="00313BA1">
        <w:rPr>
          <w:rFonts w:ascii="Book Antiqua" w:hAnsi="Book Antiqua"/>
          <w:b/>
          <w:sz w:val="24"/>
          <w:szCs w:val="24"/>
        </w:rPr>
        <w:t>14</w:t>
      </w:r>
      <w:r w:rsidRPr="00313BA1">
        <w:rPr>
          <w:rFonts w:ascii="Book Antiqua" w:hAnsi="Book Antiqua"/>
          <w:sz w:val="24"/>
          <w:szCs w:val="24"/>
        </w:rPr>
        <w:t>: 1718-1729 [PMID: 8622093 DOI: 10.1200/JCO.1996.14.5.1718]</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 </w:t>
      </w:r>
      <w:r w:rsidRPr="00313BA1">
        <w:rPr>
          <w:rFonts w:ascii="Book Antiqua" w:hAnsi="Book Antiqua"/>
          <w:b/>
          <w:sz w:val="24"/>
          <w:szCs w:val="24"/>
        </w:rPr>
        <w:t>Raphael J</w:t>
      </w:r>
      <w:r w:rsidRPr="00313BA1">
        <w:rPr>
          <w:rFonts w:ascii="Book Antiqua" w:hAnsi="Book Antiqua"/>
          <w:sz w:val="24"/>
          <w:szCs w:val="24"/>
        </w:rPr>
        <w:t xml:space="preserve">, Trudeau ME, Chan K. Outcome of patients with pregnancy during or after breast cancer: a review of the recent literature. </w:t>
      </w:r>
      <w:r w:rsidRPr="00313BA1">
        <w:rPr>
          <w:rFonts w:ascii="Book Antiqua" w:hAnsi="Book Antiqua"/>
          <w:i/>
          <w:sz w:val="24"/>
          <w:szCs w:val="24"/>
        </w:rPr>
        <w:t>Curr Oncol</w:t>
      </w:r>
      <w:r w:rsidRPr="00313BA1">
        <w:rPr>
          <w:rFonts w:ascii="Book Antiqua" w:hAnsi="Book Antiqua"/>
          <w:sz w:val="24"/>
          <w:szCs w:val="24"/>
        </w:rPr>
        <w:t xml:space="preserve"> 2015; </w:t>
      </w:r>
      <w:r w:rsidRPr="00313BA1">
        <w:rPr>
          <w:rFonts w:ascii="Book Antiqua" w:hAnsi="Book Antiqua"/>
          <w:b/>
          <w:sz w:val="24"/>
          <w:szCs w:val="24"/>
        </w:rPr>
        <w:t>22</w:t>
      </w:r>
      <w:r w:rsidRPr="00313BA1">
        <w:rPr>
          <w:rFonts w:ascii="Book Antiqua" w:hAnsi="Book Antiqua"/>
          <w:sz w:val="24"/>
          <w:szCs w:val="24"/>
        </w:rPr>
        <w:t>: S8-S18 [PMID: 25848342 DOI: 10.3747/co.22.2338]</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4 </w:t>
      </w:r>
      <w:r w:rsidRPr="00313BA1">
        <w:rPr>
          <w:rFonts w:ascii="Book Antiqua" w:hAnsi="Book Antiqua"/>
          <w:b/>
          <w:sz w:val="24"/>
          <w:szCs w:val="24"/>
        </w:rPr>
        <w:t>Sonmezer M</w:t>
      </w:r>
      <w:r w:rsidRPr="00313BA1">
        <w:rPr>
          <w:rFonts w:ascii="Book Antiqua" w:hAnsi="Book Antiqua"/>
          <w:sz w:val="24"/>
          <w:szCs w:val="24"/>
        </w:rPr>
        <w:t xml:space="preserve">, Oktay K. Fertility preservation in young women undergoing breast cancer therapy. </w:t>
      </w:r>
      <w:r w:rsidRPr="00313BA1">
        <w:rPr>
          <w:rFonts w:ascii="Book Antiqua" w:hAnsi="Book Antiqua"/>
          <w:i/>
          <w:sz w:val="24"/>
          <w:szCs w:val="24"/>
        </w:rPr>
        <w:t>Oncologist</w:t>
      </w:r>
      <w:r w:rsidRPr="00313BA1">
        <w:rPr>
          <w:rFonts w:ascii="Book Antiqua" w:hAnsi="Book Antiqua"/>
          <w:sz w:val="24"/>
          <w:szCs w:val="24"/>
        </w:rPr>
        <w:t xml:space="preserve"> 2006; </w:t>
      </w:r>
      <w:r w:rsidRPr="00313BA1">
        <w:rPr>
          <w:rFonts w:ascii="Book Antiqua" w:hAnsi="Book Antiqua"/>
          <w:b/>
          <w:sz w:val="24"/>
          <w:szCs w:val="24"/>
        </w:rPr>
        <w:t>11</w:t>
      </w:r>
      <w:r w:rsidRPr="00313BA1">
        <w:rPr>
          <w:rFonts w:ascii="Book Antiqua" w:hAnsi="Book Antiqua"/>
          <w:sz w:val="24"/>
          <w:szCs w:val="24"/>
        </w:rPr>
        <w:t>: 422-434 [PMID: 16720842 DOI: 10.1634/theoncologist.11-5-422]</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5 </w:t>
      </w:r>
      <w:r w:rsidRPr="00313BA1">
        <w:rPr>
          <w:rFonts w:ascii="Book Antiqua" w:hAnsi="Book Antiqua"/>
          <w:b/>
          <w:sz w:val="24"/>
          <w:szCs w:val="24"/>
        </w:rPr>
        <w:t>DeSantis C</w:t>
      </w:r>
      <w:r w:rsidRPr="00313BA1">
        <w:rPr>
          <w:rFonts w:ascii="Book Antiqua" w:hAnsi="Book Antiqua"/>
          <w:sz w:val="24"/>
          <w:szCs w:val="24"/>
        </w:rPr>
        <w:t xml:space="preserve">, Siegel R, Bandi P, Jemal A. Breast cancer statistics, 2011. </w:t>
      </w:r>
      <w:r w:rsidRPr="00313BA1">
        <w:rPr>
          <w:rFonts w:ascii="Book Antiqua" w:hAnsi="Book Antiqua"/>
          <w:i/>
          <w:sz w:val="24"/>
          <w:szCs w:val="24"/>
        </w:rPr>
        <w:t>CA Cancer J Clin</w:t>
      </w:r>
      <w:r w:rsidRPr="00313BA1">
        <w:rPr>
          <w:rFonts w:ascii="Book Antiqua" w:hAnsi="Book Antiqua"/>
          <w:sz w:val="24"/>
          <w:szCs w:val="24"/>
        </w:rPr>
        <w:t xml:space="preserve"> 2011; </w:t>
      </w:r>
      <w:r w:rsidRPr="00313BA1">
        <w:rPr>
          <w:rFonts w:ascii="Book Antiqua" w:hAnsi="Book Antiqua"/>
          <w:b/>
          <w:sz w:val="24"/>
          <w:szCs w:val="24"/>
        </w:rPr>
        <w:t>61</w:t>
      </w:r>
      <w:r w:rsidRPr="00313BA1">
        <w:rPr>
          <w:rFonts w:ascii="Book Antiqua" w:hAnsi="Book Antiqua"/>
          <w:sz w:val="24"/>
          <w:szCs w:val="24"/>
        </w:rPr>
        <w:t>: 409-418 [PMID: 21969133 DOI: 10.3322/caac.20134]</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6 </w:t>
      </w:r>
      <w:r w:rsidRPr="00313BA1">
        <w:rPr>
          <w:rFonts w:ascii="Book Antiqua" w:hAnsi="Book Antiqua"/>
          <w:b/>
          <w:sz w:val="24"/>
          <w:szCs w:val="24"/>
        </w:rPr>
        <w:t>Goodwin PJ</w:t>
      </w:r>
      <w:r w:rsidRPr="00313BA1">
        <w:rPr>
          <w:rFonts w:ascii="Book Antiqua" w:hAnsi="Book Antiqua"/>
          <w:sz w:val="24"/>
          <w:szCs w:val="24"/>
        </w:rPr>
        <w:t xml:space="preserve">, Ennis M, Pritchard KI, Trudeau M, Hood N. Risk of menopause during the first year after breast cancer diagnosis. </w:t>
      </w:r>
      <w:r w:rsidRPr="00313BA1">
        <w:rPr>
          <w:rFonts w:ascii="Book Antiqua" w:hAnsi="Book Antiqua"/>
          <w:i/>
          <w:sz w:val="24"/>
          <w:szCs w:val="24"/>
        </w:rPr>
        <w:t>J Clin Oncol</w:t>
      </w:r>
      <w:r w:rsidRPr="00313BA1">
        <w:rPr>
          <w:rFonts w:ascii="Book Antiqua" w:hAnsi="Book Antiqua"/>
          <w:sz w:val="24"/>
          <w:szCs w:val="24"/>
        </w:rPr>
        <w:t xml:space="preserve"> 1999; </w:t>
      </w:r>
      <w:r w:rsidRPr="00313BA1">
        <w:rPr>
          <w:rFonts w:ascii="Book Antiqua" w:hAnsi="Book Antiqua"/>
          <w:b/>
          <w:sz w:val="24"/>
          <w:szCs w:val="24"/>
        </w:rPr>
        <w:t>17</w:t>
      </w:r>
      <w:r w:rsidRPr="00313BA1">
        <w:rPr>
          <w:rFonts w:ascii="Book Antiqua" w:hAnsi="Book Antiqua"/>
          <w:sz w:val="24"/>
          <w:szCs w:val="24"/>
        </w:rPr>
        <w:t>: 2365-2370 [PMID: 10561298 DOI: 10.1200/JCO.1999.17.8.2365]</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7 </w:t>
      </w:r>
      <w:r w:rsidRPr="00313BA1">
        <w:rPr>
          <w:rFonts w:ascii="Book Antiqua" w:hAnsi="Book Antiqua"/>
          <w:b/>
          <w:sz w:val="24"/>
          <w:szCs w:val="24"/>
        </w:rPr>
        <w:t>Tomasi-Cont N</w:t>
      </w:r>
      <w:r w:rsidRPr="00313BA1">
        <w:rPr>
          <w:rFonts w:ascii="Book Antiqua" w:hAnsi="Book Antiqua"/>
          <w:sz w:val="24"/>
          <w:szCs w:val="24"/>
        </w:rPr>
        <w:t xml:space="preserve">, Lambertini M, Hulsbosch S, Peccatori AF, Amant F. Strategies for fertility preservation in young early breast cancer patients. </w:t>
      </w:r>
      <w:r w:rsidRPr="00313BA1">
        <w:rPr>
          <w:rFonts w:ascii="Book Antiqua" w:hAnsi="Book Antiqua"/>
          <w:i/>
          <w:sz w:val="24"/>
          <w:szCs w:val="24"/>
        </w:rPr>
        <w:t>Breast</w:t>
      </w:r>
      <w:r w:rsidRPr="00313BA1">
        <w:rPr>
          <w:rFonts w:ascii="Book Antiqua" w:hAnsi="Book Antiqua"/>
          <w:sz w:val="24"/>
          <w:szCs w:val="24"/>
        </w:rPr>
        <w:t xml:space="preserve"> 2014; </w:t>
      </w:r>
      <w:r w:rsidRPr="00313BA1">
        <w:rPr>
          <w:rFonts w:ascii="Book Antiqua" w:hAnsi="Book Antiqua"/>
          <w:b/>
          <w:sz w:val="24"/>
          <w:szCs w:val="24"/>
        </w:rPr>
        <w:t>23</w:t>
      </w:r>
      <w:r w:rsidRPr="00313BA1">
        <w:rPr>
          <w:rFonts w:ascii="Book Antiqua" w:hAnsi="Book Antiqua"/>
          <w:sz w:val="24"/>
          <w:szCs w:val="24"/>
        </w:rPr>
        <w:t>: 503-510 [PMID: 24934638 DOI: 10.1016/j.breast.2014.05.024]</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8 </w:t>
      </w:r>
      <w:r w:rsidRPr="00313BA1">
        <w:rPr>
          <w:rFonts w:ascii="Book Antiqua" w:hAnsi="Book Antiqua"/>
          <w:b/>
          <w:sz w:val="24"/>
          <w:szCs w:val="24"/>
        </w:rPr>
        <w:t>Snyder KA</w:t>
      </w:r>
      <w:r w:rsidRPr="00313BA1">
        <w:rPr>
          <w:rFonts w:ascii="Book Antiqua" w:hAnsi="Book Antiqua"/>
          <w:sz w:val="24"/>
          <w:szCs w:val="24"/>
        </w:rPr>
        <w:t xml:space="preserve">, Pearse W. Discussing fertility preservation options with patients with cancer. </w:t>
      </w:r>
      <w:r w:rsidRPr="00313BA1">
        <w:rPr>
          <w:rFonts w:ascii="Book Antiqua" w:hAnsi="Book Antiqua"/>
          <w:i/>
          <w:sz w:val="24"/>
          <w:szCs w:val="24"/>
        </w:rPr>
        <w:t>JAMA</w:t>
      </w:r>
      <w:r w:rsidRPr="00313BA1">
        <w:rPr>
          <w:rFonts w:ascii="Book Antiqua" w:hAnsi="Book Antiqua"/>
          <w:sz w:val="24"/>
          <w:szCs w:val="24"/>
        </w:rPr>
        <w:t xml:space="preserve"> 2011; </w:t>
      </w:r>
      <w:r w:rsidRPr="00313BA1">
        <w:rPr>
          <w:rFonts w:ascii="Book Antiqua" w:hAnsi="Book Antiqua"/>
          <w:b/>
          <w:sz w:val="24"/>
          <w:szCs w:val="24"/>
        </w:rPr>
        <w:t>306</w:t>
      </w:r>
      <w:r w:rsidRPr="00313BA1">
        <w:rPr>
          <w:rFonts w:ascii="Book Antiqua" w:hAnsi="Book Antiqua"/>
          <w:sz w:val="24"/>
          <w:szCs w:val="24"/>
        </w:rPr>
        <w:t>: 202-203 [PMID: 21750299 DOI: 10.1001/jama.2011.973]</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9 </w:t>
      </w:r>
      <w:r w:rsidRPr="00313BA1">
        <w:rPr>
          <w:rFonts w:ascii="Book Antiqua" w:hAnsi="Book Antiqua"/>
          <w:b/>
          <w:sz w:val="24"/>
          <w:szCs w:val="24"/>
        </w:rPr>
        <w:t>Carneiro MM</w:t>
      </w:r>
      <w:r w:rsidRPr="00313BA1">
        <w:rPr>
          <w:rFonts w:ascii="Book Antiqua" w:hAnsi="Book Antiqua"/>
          <w:sz w:val="24"/>
          <w:szCs w:val="24"/>
        </w:rPr>
        <w:t xml:space="preserve">, Cota AM, Amaral MC, Pedrosa ML, Martins BO, Furtado MH, Lamaita RM, Ferreira MCF. Motherhood after breast cancer: can we balance fertility preservation and cancer treatment? A narrative review of the literature. </w:t>
      </w:r>
      <w:r w:rsidRPr="00313BA1">
        <w:rPr>
          <w:rFonts w:ascii="Book Antiqua" w:hAnsi="Book Antiqua"/>
          <w:i/>
          <w:sz w:val="24"/>
          <w:szCs w:val="24"/>
        </w:rPr>
        <w:t>JBRA Assist Reprod</w:t>
      </w:r>
      <w:r w:rsidRPr="00313BA1">
        <w:rPr>
          <w:rFonts w:ascii="Book Antiqua" w:hAnsi="Book Antiqua"/>
          <w:sz w:val="24"/>
          <w:szCs w:val="24"/>
        </w:rPr>
        <w:t xml:space="preserve"> 2018; </w:t>
      </w:r>
      <w:r w:rsidRPr="00313BA1">
        <w:rPr>
          <w:rFonts w:ascii="Book Antiqua" w:hAnsi="Book Antiqua"/>
          <w:b/>
          <w:sz w:val="24"/>
          <w:szCs w:val="24"/>
        </w:rPr>
        <w:t>22</w:t>
      </w:r>
      <w:r w:rsidRPr="00313BA1">
        <w:rPr>
          <w:rFonts w:ascii="Book Antiqua" w:hAnsi="Book Antiqua"/>
          <w:sz w:val="24"/>
          <w:szCs w:val="24"/>
        </w:rPr>
        <w:t>: 244-252 [PMID: 29932615 DOI: 10.5935/1518-0557.20180032]</w:t>
      </w:r>
    </w:p>
    <w:p w:rsidR="00E91C72" w:rsidRPr="00313BA1" w:rsidRDefault="00E91C72" w:rsidP="00313BA1">
      <w:pPr>
        <w:spacing w:after="0" w:line="360" w:lineRule="auto"/>
        <w:jc w:val="both"/>
        <w:rPr>
          <w:rFonts w:ascii="Book Antiqua" w:eastAsia="SimSun" w:hAnsi="Book Antiqua"/>
          <w:sz w:val="24"/>
          <w:szCs w:val="24"/>
          <w:lang w:eastAsia="zh-CN"/>
        </w:rPr>
      </w:pPr>
      <w:r w:rsidRPr="00313BA1">
        <w:rPr>
          <w:rFonts w:ascii="Book Antiqua" w:hAnsi="Book Antiqua"/>
          <w:sz w:val="24"/>
          <w:szCs w:val="24"/>
        </w:rPr>
        <w:lastRenderedPageBreak/>
        <w:t xml:space="preserve">10 </w:t>
      </w:r>
      <w:r w:rsidRPr="00313BA1">
        <w:rPr>
          <w:rFonts w:ascii="Book Antiqua" w:hAnsi="Book Antiqua"/>
          <w:b/>
          <w:sz w:val="24"/>
          <w:szCs w:val="24"/>
        </w:rPr>
        <w:t>Academia de estudios MIR SL</w:t>
      </w:r>
      <w:r w:rsidR="00167DA5" w:rsidRPr="00313BA1">
        <w:rPr>
          <w:rFonts w:ascii="Book Antiqua" w:eastAsia="SimSun" w:hAnsi="Book Antiqua"/>
          <w:b/>
          <w:sz w:val="24"/>
          <w:szCs w:val="24"/>
          <w:lang w:eastAsia="zh-CN"/>
        </w:rPr>
        <w:t>.</w:t>
      </w:r>
      <w:r w:rsidR="003C1D65" w:rsidRPr="00313BA1">
        <w:rPr>
          <w:rFonts w:ascii="Book Antiqua" w:hAnsi="Book Antiqua"/>
          <w:sz w:val="24"/>
          <w:szCs w:val="24"/>
        </w:rPr>
        <w:t xml:space="preserve"> </w:t>
      </w:r>
      <w:bookmarkStart w:id="2" w:name="OLE_LINK1"/>
      <w:bookmarkStart w:id="3" w:name="OLE_LINK2"/>
      <w:r w:rsidRPr="00313BA1">
        <w:rPr>
          <w:rFonts w:ascii="Book Antiqua" w:hAnsi="Book Antiqua"/>
          <w:sz w:val="24"/>
          <w:szCs w:val="24"/>
        </w:rPr>
        <w:t>Manual AMIR de ginecología y obstetricia.</w:t>
      </w:r>
      <w:bookmarkEnd w:id="2"/>
      <w:bookmarkEnd w:id="3"/>
      <w:r w:rsidRPr="00313BA1">
        <w:rPr>
          <w:rFonts w:ascii="Book Antiqua" w:hAnsi="Book Antiqua"/>
          <w:sz w:val="24"/>
          <w:szCs w:val="24"/>
        </w:rPr>
        <w:t xml:space="preserve"> 2017</w:t>
      </w:r>
      <w:r w:rsidR="007F4532" w:rsidRPr="00313BA1">
        <w:rPr>
          <w:rFonts w:ascii="Book Antiqua" w:eastAsia="SimSun" w:hAnsi="Book Antiqua"/>
          <w:sz w:val="24"/>
          <w:szCs w:val="24"/>
          <w:lang w:eastAsia="zh-CN"/>
        </w:rPr>
        <w:t>:</w:t>
      </w:r>
      <w:r w:rsidRPr="00313BA1">
        <w:rPr>
          <w:rFonts w:ascii="Book Antiqua" w:hAnsi="Book Antiqua"/>
          <w:sz w:val="24"/>
          <w:szCs w:val="24"/>
        </w:rPr>
        <w:t xml:space="preserve"> </w:t>
      </w:r>
      <w:r w:rsidR="007F4532" w:rsidRPr="00313BA1">
        <w:rPr>
          <w:rFonts w:ascii="Book Antiqua" w:hAnsi="Book Antiqua"/>
          <w:sz w:val="24"/>
          <w:szCs w:val="24"/>
        </w:rPr>
        <w:t>72-73</w:t>
      </w:r>
      <w:r w:rsidR="00167DA5" w:rsidRPr="00313BA1">
        <w:rPr>
          <w:rFonts w:ascii="Book Antiqua" w:eastAsia="SimSun" w:hAnsi="Book Antiqua"/>
          <w:sz w:val="24"/>
          <w:szCs w:val="24"/>
          <w:lang w:eastAsia="zh-CN"/>
        </w:rPr>
        <w:t xml:space="preserve"> Available from: </w:t>
      </w:r>
      <w:r w:rsidR="000727A9" w:rsidRPr="00313BA1">
        <w:rPr>
          <w:rFonts w:ascii="Book Antiqua" w:hAnsi="Book Antiqua"/>
          <w:sz w:val="24"/>
          <w:szCs w:val="24"/>
        </w:rPr>
        <w:t xml:space="preserve"> http://www.academia.edu/14265215/Manual_AMIR_Ginecolog%C3%ADa_y_Obstetricia_6a_Edici%C3%B3n</w:t>
      </w:r>
    </w:p>
    <w:p w:rsidR="0094286E" w:rsidRPr="00313BA1" w:rsidRDefault="00E91C72" w:rsidP="00313BA1">
      <w:pPr>
        <w:spacing w:after="0" w:line="360" w:lineRule="auto"/>
        <w:jc w:val="both"/>
        <w:rPr>
          <w:rFonts w:ascii="Book Antiqua" w:eastAsia="SimSun" w:hAnsi="Book Antiqua"/>
          <w:sz w:val="24"/>
          <w:szCs w:val="24"/>
          <w:lang w:eastAsia="zh-CN"/>
        </w:rPr>
      </w:pPr>
      <w:r w:rsidRPr="00313BA1">
        <w:rPr>
          <w:rFonts w:ascii="Book Antiqua" w:hAnsi="Book Antiqua"/>
          <w:sz w:val="24"/>
          <w:szCs w:val="24"/>
        </w:rPr>
        <w:t xml:space="preserve">11 </w:t>
      </w:r>
      <w:r w:rsidRPr="00313BA1">
        <w:rPr>
          <w:rFonts w:ascii="Book Antiqua" w:hAnsi="Book Antiqua"/>
          <w:b/>
          <w:sz w:val="24"/>
          <w:szCs w:val="24"/>
        </w:rPr>
        <w:t>Busso CE,</w:t>
      </w:r>
      <w:r w:rsidR="003C1D65" w:rsidRPr="00313BA1">
        <w:rPr>
          <w:rFonts w:ascii="Book Antiqua" w:hAnsi="Book Antiqua"/>
          <w:sz w:val="24"/>
          <w:szCs w:val="24"/>
        </w:rPr>
        <w:t xml:space="preserve"> </w:t>
      </w:r>
      <w:r w:rsidRPr="00313BA1">
        <w:rPr>
          <w:rFonts w:ascii="Book Antiqua" w:hAnsi="Book Antiqua"/>
          <w:sz w:val="24"/>
          <w:szCs w:val="24"/>
        </w:rPr>
        <w:t xml:space="preserve">Soares SR, Pellicer A. Management of ovarian hyperstimulation syndrome. </w:t>
      </w:r>
      <w:r w:rsidR="0094286E" w:rsidRPr="00313BA1">
        <w:rPr>
          <w:rFonts w:ascii="Book Antiqua" w:hAnsi="Book Antiqua"/>
          <w:sz w:val="24"/>
          <w:szCs w:val="24"/>
        </w:rPr>
        <w:t>Accessed 21 Sept 2017.</w:t>
      </w:r>
      <w:r w:rsidR="0094286E" w:rsidRPr="00313BA1">
        <w:rPr>
          <w:rFonts w:ascii="Book Antiqua" w:hAnsi="Book Antiqua" w:cs="Arial"/>
          <w:bCs/>
          <w:sz w:val="24"/>
          <w:szCs w:val="24"/>
        </w:rPr>
        <w:t xml:space="preserve"> Available from:</w:t>
      </w:r>
      <w:r w:rsidRPr="00313BA1">
        <w:rPr>
          <w:rFonts w:ascii="Book Antiqua" w:hAnsi="Book Antiqua"/>
          <w:sz w:val="24"/>
          <w:szCs w:val="24"/>
        </w:rPr>
        <w:t xml:space="preserve"> https://www.uptodate.com/contents/management-of-ovarian-</w:t>
      </w:r>
      <w:r w:rsidR="0094286E" w:rsidRPr="00313BA1">
        <w:rPr>
          <w:rFonts w:ascii="Book Antiqua" w:hAnsi="Book Antiqua"/>
          <w:sz w:val="24"/>
          <w:szCs w:val="24"/>
        </w:rPr>
        <w:t>hyperstimulation-syndrome/print</w:t>
      </w:r>
    </w:p>
    <w:p w:rsidR="0094286E" w:rsidRPr="00313BA1" w:rsidRDefault="00E91C72" w:rsidP="00313BA1">
      <w:pPr>
        <w:spacing w:after="0" w:line="360" w:lineRule="auto"/>
        <w:jc w:val="both"/>
        <w:rPr>
          <w:rFonts w:ascii="Book Antiqua" w:eastAsia="SimSun" w:hAnsi="Book Antiqua"/>
          <w:sz w:val="24"/>
          <w:szCs w:val="24"/>
          <w:lang w:eastAsia="zh-CN"/>
        </w:rPr>
      </w:pPr>
      <w:r w:rsidRPr="00313BA1">
        <w:rPr>
          <w:rFonts w:ascii="Book Antiqua" w:hAnsi="Book Antiqua"/>
          <w:sz w:val="24"/>
          <w:szCs w:val="24"/>
        </w:rPr>
        <w:t xml:space="preserve">12 </w:t>
      </w:r>
      <w:r w:rsidRPr="00313BA1">
        <w:rPr>
          <w:rFonts w:ascii="Book Antiqua" w:hAnsi="Book Antiqua"/>
          <w:b/>
          <w:sz w:val="24"/>
          <w:szCs w:val="24"/>
        </w:rPr>
        <w:t>Rodrigo A</w:t>
      </w:r>
      <w:r w:rsidRPr="00313BA1">
        <w:rPr>
          <w:rFonts w:ascii="Book Antiqua" w:hAnsi="Book Antiqua"/>
          <w:sz w:val="24"/>
          <w:szCs w:val="24"/>
        </w:rPr>
        <w:t xml:space="preserve">. Reproducción Asistida ORG: Porcentaje de éxito de la fecundación in vitro (FIV). 2016. </w:t>
      </w:r>
      <w:r w:rsidR="0094286E" w:rsidRPr="00313BA1">
        <w:rPr>
          <w:rFonts w:ascii="Book Antiqua" w:hAnsi="Book Antiqua" w:cs="Arial"/>
          <w:bCs/>
          <w:sz w:val="24"/>
          <w:szCs w:val="24"/>
        </w:rPr>
        <w:t>Available from:</w:t>
      </w:r>
      <w:r w:rsidR="0094286E" w:rsidRPr="00313BA1">
        <w:rPr>
          <w:rFonts w:ascii="Book Antiqua" w:hAnsi="Book Antiqua"/>
          <w:sz w:val="24"/>
          <w:szCs w:val="24"/>
        </w:rPr>
        <w:t xml:space="preserve"> </w:t>
      </w:r>
      <w:r w:rsidRPr="00313BA1">
        <w:rPr>
          <w:rFonts w:ascii="Book Antiqua" w:hAnsi="Book Antiqua"/>
          <w:sz w:val="24"/>
          <w:szCs w:val="24"/>
        </w:rPr>
        <w:t>http://www.reproduccion</w:t>
      </w:r>
      <w:r w:rsidR="0094286E" w:rsidRPr="00313BA1">
        <w:rPr>
          <w:rFonts w:ascii="Book Antiqua" w:hAnsi="Book Antiqua"/>
          <w:sz w:val="24"/>
          <w:szCs w:val="24"/>
        </w:rPr>
        <w:t>asistida.org/resultados-de-fiv/</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13 </w:t>
      </w:r>
      <w:r w:rsidRPr="00313BA1">
        <w:rPr>
          <w:rFonts w:ascii="Book Antiqua" w:hAnsi="Book Antiqua"/>
          <w:b/>
          <w:sz w:val="24"/>
          <w:szCs w:val="24"/>
        </w:rPr>
        <w:t>Malamos NA</w:t>
      </w:r>
      <w:r w:rsidRPr="00313BA1">
        <w:rPr>
          <w:rFonts w:ascii="Book Antiqua" w:hAnsi="Book Antiqua"/>
          <w:sz w:val="24"/>
          <w:szCs w:val="24"/>
        </w:rPr>
        <w:t xml:space="preserve">, Stathopoulos GP, Keramopoulos A, Papadiamantis J, Vassilaros S. Pregnancy and offspring after the appearance of breast cancer. </w:t>
      </w:r>
      <w:r w:rsidRPr="00313BA1">
        <w:rPr>
          <w:rFonts w:ascii="Book Antiqua" w:hAnsi="Book Antiqua"/>
          <w:i/>
          <w:sz w:val="24"/>
          <w:szCs w:val="24"/>
        </w:rPr>
        <w:t>Oncology</w:t>
      </w:r>
      <w:r w:rsidRPr="00313BA1">
        <w:rPr>
          <w:rFonts w:ascii="Book Antiqua" w:hAnsi="Book Antiqua"/>
          <w:sz w:val="24"/>
          <w:szCs w:val="24"/>
        </w:rPr>
        <w:t xml:space="preserve"> 1996; </w:t>
      </w:r>
      <w:r w:rsidRPr="00313BA1">
        <w:rPr>
          <w:rFonts w:ascii="Book Antiqua" w:hAnsi="Book Antiqua"/>
          <w:b/>
          <w:sz w:val="24"/>
          <w:szCs w:val="24"/>
        </w:rPr>
        <w:t>53</w:t>
      </w:r>
      <w:r w:rsidRPr="00313BA1">
        <w:rPr>
          <w:rFonts w:ascii="Book Antiqua" w:hAnsi="Book Antiqua"/>
          <w:sz w:val="24"/>
          <w:szCs w:val="24"/>
        </w:rPr>
        <w:t>: 471-475 [PMID: 8960142 DOI: 10.1159/000227622]</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14 </w:t>
      </w:r>
      <w:r w:rsidRPr="00313BA1">
        <w:rPr>
          <w:rFonts w:ascii="Book Antiqua" w:hAnsi="Book Antiqua"/>
          <w:b/>
          <w:sz w:val="24"/>
          <w:szCs w:val="24"/>
        </w:rPr>
        <w:t>Surbone A</w:t>
      </w:r>
      <w:r w:rsidRPr="00313BA1">
        <w:rPr>
          <w:rFonts w:ascii="Book Antiqua" w:hAnsi="Book Antiqua"/>
          <w:sz w:val="24"/>
          <w:szCs w:val="24"/>
        </w:rPr>
        <w:t xml:space="preserve">, Petrek JA. Childbearing issues in breast carcinoma survivors. </w:t>
      </w:r>
      <w:r w:rsidRPr="00313BA1">
        <w:rPr>
          <w:rFonts w:ascii="Book Antiqua" w:hAnsi="Book Antiqua"/>
          <w:i/>
          <w:sz w:val="24"/>
          <w:szCs w:val="24"/>
        </w:rPr>
        <w:t>Cancer</w:t>
      </w:r>
      <w:r w:rsidRPr="00313BA1">
        <w:rPr>
          <w:rFonts w:ascii="Book Antiqua" w:hAnsi="Book Antiqua"/>
          <w:sz w:val="24"/>
          <w:szCs w:val="24"/>
        </w:rPr>
        <w:t xml:space="preserve"> 1997; </w:t>
      </w:r>
      <w:r w:rsidRPr="00313BA1">
        <w:rPr>
          <w:rFonts w:ascii="Book Antiqua" w:hAnsi="Book Antiqua"/>
          <w:b/>
          <w:sz w:val="24"/>
          <w:szCs w:val="24"/>
        </w:rPr>
        <w:t>79</w:t>
      </w:r>
      <w:r w:rsidRPr="00313BA1">
        <w:rPr>
          <w:rFonts w:ascii="Book Antiqua" w:hAnsi="Book Antiqua"/>
          <w:sz w:val="24"/>
          <w:szCs w:val="24"/>
        </w:rPr>
        <w:t>: 1271-1278 [PMID: 9083146 DOI: 10.1002/(SICI)1097-0142(19970401)79:73.0.CO;2-K]</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15 </w:t>
      </w:r>
      <w:r w:rsidRPr="00313BA1">
        <w:rPr>
          <w:rFonts w:ascii="Book Antiqua" w:hAnsi="Book Antiqua"/>
          <w:b/>
          <w:sz w:val="24"/>
          <w:szCs w:val="24"/>
        </w:rPr>
        <w:t>Bernstein L</w:t>
      </w:r>
      <w:r w:rsidRPr="00313BA1">
        <w:rPr>
          <w:rFonts w:ascii="Book Antiqua" w:hAnsi="Book Antiqua"/>
          <w:sz w:val="24"/>
          <w:szCs w:val="24"/>
        </w:rPr>
        <w:t xml:space="preserve">, Deapen D, Cerhan JR, Schwartz SM, Liff J, McGann-Maloney E, Perlman JA, Ford L. Tamoxifen therapy for breast cancer and endometrial cancer risk. </w:t>
      </w:r>
      <w:r w:rsidRPr="00313BA1">
        <w:rPr>
          <w:rFonts w:ascii="Book Antiqua" w:hAnsi="Book Antiqua"/>
          <w:i/>
          <w:sz w:val="24"/>
          <w:szCs w:val="24"/>
        </w:rPr>
        <w:t>J Natl Cancer Inst</w:t>
      </w:r>
      <w:r w:rsidRPr="00313BA1">
        <w:rPr>
          <w:rFonts w:ascii="Book Antiqua" w:hAnsi="Book Antiqua"/>
          <w:sz w:val="24"/>
          <w:szCs w:val="24"/>
        </w:rPr>
        <w:t xml:space="preserve"> 1999; </w:t>
      </w:r>
      <w:r w:rsidRPr="00313BA1">
        <w:rPr>
          <w:rFonts w:ascii="Book Antiqua" w:hAnsi="Book Antiqua"/>
          <w:b/>
          <w:sz w:val="24"/>
          <w:szCs w:val="24"/>
        </w:rPr>
        <w:t>91</w:t>
      </w:r>
      <w:r w:rsidRPr="00313BA1">
        <w:rPr>
          <w:rFonts w:ascii="Book Antiqua" w:hAnsi="Book Antiqua"/>
          <w:sz w:val="24"/>
          <w:szCs w:val="24"/>
        </w:rPr>
        <w:t>: 1654-1662 [PMID: 10511593 DOI: 10.1093/jnci/91.19.1654]</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16 </w:t>
      </w:r>
      <w:r w:rsidRPr="00313BA1">
        <w:rPr>
          <w:rFonts w:ascii="Book Antiqua" w:hAnsi="Book Antiqua"/>
          <w:b/>
          <w:sz w:val="24"/>
          <w:szCs w:val="24"/>
        </w:rPr>
        <w:t>Breast International Group</w:t>
      </w:r>
      <w:r w:rsidR="00CF0874">
        <w:rPr>
          <w:rFonts w:ascii="Book Antiqua" w:hAnsi="Book Antiqua"/>
          <w:b/>
          <w:sz w:val="24"/>
          <w:szCs w:val="24"/>
        </w:rPr>
        <w:t xml:space="preserve"> (BIG) 1-98 Collaborative Group</w:t>
      </w:r>
      <w:r w:rsidRPr="00313BA1">
        <w:rPr>
          <w:rFonts w:ascii="Book Antiqua" w:hAnsi="Book Antiqua"/>
          <w:sz w:val="24"/>
          <w:szCs w:val="24"/>
        </w:rPr>
        <w:t xml:space="preserve">, Thürlimann B, Keshaviah A, Coates AS, Mouridsen H, Mauriac L, Forbes JF, Paridaens R, Castiglione-Gertsch M, Gelber RD, Rabaglio M, Smith I, Wardley A, Price KN, Goldhirsch A. A comparison of letrozole and tamoxifen in postmenopausal women with early breast cancer. </w:t>
      </w:r>
      <w:r w:rsidRPr="00313BA1">
        <w:rPr>
          <w:rFonts w:ascii="Book Antiqua" w:hAnsi="Book Antiqua"/>
          <w:i/>
          <w:sz w:val="24"/>
          <w:szCs w:val="24"/>
        </w:rPr>
        <w:t>N Engl J Med</w:t>
      </w:r>
      <w:r w:rsidRPr="00313BA1">
        <w:rPr>
          <w:rFonts w:ascii="Book Antiqua" w:hAnsi="Book Antiqua"/>
          <w:sz w:val="24"/>
          <w:szCs w:val="24"/>
        </w:rPr>
        <w:t xml:space="preserve"> 2005; </w:t>
      </w:r>
      <w:r w:rsidRPr="00313BA1">
        <w:rPr>
          <w:rFonts w:ascii="Book Antiqua" w:hAnsi="Book Antiqua"/>
          <w:b/>
          <w:sz w:val="24"/>
          <w:szCs w:val="24"/>
        </w:rPr>
        <w:t>353</w:t>
      </w:r>
      <w:r w:rsidRPr="00313BA1">
        <w:rPr>
          <w:rFonts w:ascii="Book Antiqua" w:hAnsi="Book Antiqua"/>
          <w:sz w:val="24"/>
          <w:szCs w:val="24"/>
        </w:rPr>
        <w:t>: 2747-2757 [PMID: 16382061 DOI: 10.1056/NEJMoa052258]</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17 </w:t>
      </w:r>
      <w:r w:rsidRPr="00313BA1">
        <w:rPr>
          <w:rFonts w:ascii="Book Antiqua" w:hAnsi="Book Antiqua"/>
          <w:b/>
          <w:sz w:val="24"/>
          <w:szCs w:val="24"/>
        </w:rPr>
        <w:t>Krásenská M</w:t>
      </w:r>
      <w:r w:rsidRPr="00313BA1">
        <w:rPr>
          <w:rFonts w:ascii="Book Antiqua" w:hAnsi="Book Antiqua"/>
          <w:sz w:val="24"/>
          <w:szCs w:val="24"/>
        </w:rPr>
        <w:t xml:space="preserve">. [Treatment with Aromatase Inhibitors in Postmenopausal Women with Breast Cancer and the Possibility of Influencing Side Effects]. </w:t>
      </w:r>
      <w:r w:rsidRPr="00313BA1">
        <w:rPr>
          <w:rFonts w:ascii="Book Antiqua" w:hAnsi="Book Antiqua"/>
          <w:i/>
          <w:sz w:val="24"/>
          <w:szCs w:val="24"/>
        </w:rPr>
        <w:lastRenderedPageBreak/>
        <w:t>Klin Onkol</w:t>
      </w:r>
      <w:r w:rsidRPr="00313BA1">
        <w:rPr>
          <w:rFonts w:ascii="Book Antiqua" w:hAnsi="Book Antiqua"/>
          <w:sz w:val="24"/>
          <w:szCs w:val="24"/>
        </w:rPr>
        <w:t xml:space="preserve"> 2016; </w:t>
      </w:r>
      <w:r w:rsidRPr="00313BA1">
        <w:rPr>
          <w:rFonts w:ascii="Book Antiqua" w:hAnsi="Book Antiqua"/>
          <w:b/>
          <w:sz w:val="24"/>
          <w:szCs w:val="24"/>
        </w:rPr>
        <w:t xml:space="preserve">29 </w:t>
      </w:r>
      <w:r w:rsidRPr="00CF0874">
        <w:rPr>
          <w:rFonts w:ascii="Book Antiqua" w:hAnsi="Book Antiqua"/>
          <w:sz w:val="24"/>
          <w:szCs w:val="24"/>
        </w:rPr>
        <w:t>Suppl 3:</w:t>
      </w:r>
      <w:r w:rsidRPr="00313BA1">
        <w:rPr>
          <w:rFonts w:ascii="Book Antiqua" w:hAnsi="Book Antiqua"/>
          <w:sz w:val="24"/>
          <w:szCs w:val="24"/>
        </w:rPr>
        <w:t xml:space="preserve"> S39-S49 [PMID: 28118723 DOI: 10.14735/amko20163S39]</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18 </w:t>
      </w:r>
      <w:r w:rsidRPr="00313BA1">
        <w:rPr>
          <w:rFonts w:ascii="Book Antiqua" w:hAnsi="Book Antiqua"/>
          <w:b/>
          <w:sz w:val="24"/>
          <w:szCs w:val="24"/>
        </w:rPr>
        <w:t>Schramm A</w:t>
      </w:r>
      <w:r w:rsidRPr="00313BA1">
        <w:rPr>
          <w:rFonts w:ascii="Book Antiqua" w:hAnsi="Book Antiqua"/>
          <w:sz w:val="24"/>
          <w:szCs w:val="24"/>
        </w:rPr>
        <w:t xml:space="preserve">, De Gregorio N, Widschwendter P, Fink V, Huober J. Targeted Therapies in HER2-Positive Breast Cancer - a Systematic Review. </w:t>
      </w:r>
      <w:r w:rsidRPr="00313BA1">
        <w:rPr>
          <w:rFonts w:ascii="Book Antiqua" w:hAnsi="Book Antiqua"/>
          <w:i/>
          <w:sz w:val="24"/>
          <w:szCs w:val="24"/>
        </w:rPr>
        <w:t>Breast Care (Basel)</w:t>
      </w:r>
      <w:r w:rsidRPr="00313BA1">
        <w:rPr>
          <w:rFonts w:ascii="Book Antiqua" w:hAnsi="Book Antiqua"/>
          <w:sz w:val="24"/>
          <w:szCs w:val="24"/>
        </w:rPr>
        <w:t xml:space="preserve"> 2015; </w:t>
      </w:r>
      <w:r w:rsidRPr="00313BA1">
        <w:rPr>
          <w:rFonts w:ascii="Book Antiqua" w:hAnsi="Book Antiqua"/>
          <w:b/>
          <w:sz w:val="24"/>
          <w:szCs w:val="24"/>
        </w:rPr>
        <w:t>10</w:t>
      </w:r>
      <w:r w:rsidRPr="00313BA1">
        <w:rPr>
          <w:rFonts w:ascii="Book Antiqua" w:hAnsi="Book Antiqua"/>
          <w:sz w:val="24"/>
          <w:szCs w:val="24"/>
        </w:rPr>
        <w:t>: 173-178 [PMID: 26557822 DOI: 10.1159/000431029]</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19 </w:t>
      </w:r>
      <w:r w:rsidRPr="00313BA1">
        <w:rPr>
          <w:rFonts w:ascii="Book Antiqua" w:hAnsi="Book Antiqua"/>
          <w:b/>
          <w:sz w:val="24"/>
          <w:szCs w:val="24"/>
        </w:rPr>
        <w:t>Zhu X</w:t>
      </w:r>
      <w:r w:rsidRPr="00313BA1">
        <w:rPr>
          <w:rFonts w:ascii="Book Antiqua" w:hAnsi="Book Antiqua"/>
          <w:sz w:val="24"/>
          <w:szCs w:val="24"/>
        </w:rPr>
        <w:t xml:space="preserve">, Joy AA. Targeting HER2 in Advanced Breast Cancer. </w:t>
      </w:r>
      <w:r w:rsidRPr="00313BA1">
        <w:rPr>
          <w:rFonts w:ascii="Book Antiqua" w:hAnsi="Book Antiqua"/>
          <w:i/>
          <w:sz w:val="24"/>
          <w:szCs w:val="24"/>
        </w:rPr>
        <w:t>Methods Mol Biol</w:t>
      </w:r>
      <w:r w:rsidRPr="00313BA1">
        <w:rPr>
          <w:rFonts w:ascii="Book Antiqua" w:hAnsi="Book Antiqua"/>
          <w:sz w:val="24"/>
          <w:szCs w:val="24"/>
        </w:rPr>
        <w:t xml:space="preserve"> 2017; </w:t>
      </w:r>
      <w:r w:rsidRPr="00313BA1">
        <w:rPr>
          <w:rFonts w:ascii="Book Antiqua" w:hAnsi="Book Antiqua"/>
          <w:b/>
          <w:sz w:val="24"/>
          <w:szCs w:val="24"/>
        </w:rPr>
        <w:t>1652</w:t>
      </w:r>
      <w:r w:rsidRPr="00313BA1">
        <w:rPr>
          <w:rFonts w:ascii="Book Antiqua" w:hAnsi="Book Antiqua"/>
          <w:sz w:val="24"/>
          <w:szCs w:val="24"/>
        </w:rPr>
        <w:t>: 63-77 [PMID: 28791634 DOI: 10.1007/978-1-4939-7219-7_4]</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20 </w:t>
      </w:r>
      <w:r w:rsidRPr="00313BA1">
        <w:rPr>
          <w:rFonts w:ascii="Book Antiqua" w:hAnsi="Book Antiqua"/>
          <w:b/>
          <w:sz w:val="24"/>
          <w:szCs w:val="24"/>
        </w:rPr>
        <w:t>Slamon D</w:t>
      </w:r>
      <w:r w:rsidRPr="00313BA1">
        <w:rPr>
          <w:rFonts w:ascii="Book Antiqua" w:hAnsi="Book Antiqua"/>
          <w:sz w:val="24"/>
          <w:szCs w:val="24"/>
        </w:rPr>
        <w:t xml:space="preserve">, Eiermann W, Robert N, Pienkowski T, Martin M, Press M, Mackey J, Glaspy J, Chan A, Pawlicki M, Pinter T, Valero V, Liu MC, Sauter G, von Minckwitz G, Visco F, Bee V, Buyse M, Bendahmane B, Tabah-Fisch I, Lindsay MA, Riva A, Crown J; Breast Cancer International Research Group. Adjuvant trastuzumab in HER2-positive breast cancer. </w:t>
      </w:r>
      <w:r w:rsidRPr="00313BA1">
        <w:rPr>
          <w:rFonts w:ascii="Book Antiqua" w:hAnsi="Book Antiqua"/>
          <w:i/>
          <w:sz w:val="24"/>
          <w:szCs w:val="24"/>
        </w:rPr>
        <w:t>N Engl J Med</w:t>
      </w:r>
      <w:r w:rsidRPr="00313BA1">
        <w:rPr>
          <w:rFonts w:ascii="Book Antiqua" w:hAnsi="Book Antiqua"/>
          <w:sz w:val="24"/>
          <w:szCs w:val="24"/>
        </w:rPr>
        <w:t xml:space="preserve"> 2011; </w:t>
      </w:r>
      <w:r w:rsidRPr="00313BA1">
        <w:rPr>
          <w:rFonts w:ascii="Book Antiqua" w:hAnsi="Book Antiqua"/>
          <w:b/>
          <w:sz w:val="24"/>
          <w:szCs w:val="24"/>
        </w:rPr>
        <w:t>365</w:t>
      </w:r>
      <w:r w:rsidRPr="00313BA1">
        <w:rPr>
          <w:rFonts w:ascii="Book Antiqua" w:hAnsi="Book Antiqua"/>
          <w:sz w:val="24"/>
          <w:szCs w:val="24"/>
        </w:rPr>
        <w:t>: 1273-1283 [PMID: 21991949 DOI: 10.1056/NEJMoa0910383]</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21 </w:t>
      </w:r>
      <w:r w:rsidRPr="00313BA1">
        <w:rPr>
          <w:rFonts w:ascii="Book Antiqua" w:hAnsi="Book Antiqua"/>
          <w:b/>
          <w:sz w:val="24"/>
          <w:szCs w:val="24"/>
        </w:rPr>
        <w:t>Okanami Y</w:t>
      </w:r>
      <w:r w:rsidRPr="00313BA1">
        <w:rPr>
          <w:rFonts w:ascii="Book Antiqua" w:hAnsi="Book Antiqua"/>
          <w:sz w:val="24"/>
          <w:szCs w:val="24"/>
        </w:rPr>
        <w:t xml:space="preserve">, Ito Y, Watanabe C, Iijima K, Iwase T, Tokudome N, Takahashi S, Hatake K. Incidence of chemotherapy-induced amenorrhea in premenopausal patients with breast cancer following adjuvant anthracycline and taxane. </w:t>
      </w:r>
      <w:r w:rsidRPr="00313BA1">
        <w:rPr>
          <w:rFonts w:ascii="Book Antiqua" w:hAnsi="Book Antiqua"/>
          <w:i/>
          <w:sz w:val="24"/>
          <w:szCs w:val="24"/>
        </w:rPr>
        <w:t>Breast Cancer</w:t>
      </w:r>
      <w:r w:rsidRPr="00313BA1">
        <w:rPr>
          <w:rFonts w:ascii="Book Antiqua" w:hAnsi="Book Antiqua"/>
          <w:sz w:val="24"/>
          <w:szCs w:val="24"/>
        </w:rPr>
        <w:t xml:space="preserve"> 2011; </w:t>
      </w:r>
      <w:r w:rsidRPr="00313BA1">
        <w:rPr>
          <w:rFonts w:ascii="Book Antiqua" w:hAnsi="Book Antiqua"/>
          <w:b/>
          <w:sz w:val="24"/>
          <w:szCs w:val="24"/>
        </w:rPr>
        <w:t>18</w:t>
      </w:r>
      <w:r w:rsidRPr="00313BA1">
        <w:rPr>
          <w:rFonts w:ascii="Book Antiqua" w:hAnsi="Book Antiqua"/>
          <w:sz w:val="24"/>
          <w:szCs w:val="24"/>
        </w:rPr>
        <w:t>: 182-188 [PMID: 21394515 DOI: 10.1007/s12282-011-0256-7]</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22 </w:t>
      </w:r>
      <w:r w:rsidRPr="00313BA1">
        <w:rPr>
          <w:rFonts w:ascii="Book Antiqua" w:hAnsi="Book Antiqua"/>
          <w:b/>
          <w:sz w:val="24"/>
          <w:szCs w:val="24"/>
        </w:rPr>
        <w:t>Cardoso F</w:t>
      </w:r>
      <w:r w:rsidRPr="00313BA1">
        <w:rPr>
          <w:rFonts w:ascii="Book Antiqua" w:hAnsi="Book Antiqua"/>
          <w:sz w:val="24"/>
          <w:szCs w:val="24"/>
        </w:rPr>
        <w:t xml:space="preserve">, Loibl S, Pagani O, Graziottin A, Panizza P, Martincich L, Gentilini O, Peccatori F, Fourquet A, Delaloge S, Marotti L, Penault-Llorca F, Kotti-Kitromilidou AM, Rodger A, Harbeck N; European Society of Breast Cancer Specialists. The European Society of Breast Cancer Specialists recommendations for the management of young women with breast cancer. </w:t>
      </w:r>
      <w:r w:rsidRPr="00313BA1">
        <w:rPr>
          <w:rFonts w:ascii="Book Antiqua" w:hAnsi="Book Antiqua"/>
          <w:i/>
          <w:sz w:val="24"/>
          <w:szCs w:val="24"/>
        </w:rPr>
        <w:t>Eur J Cancer</w:t>
      </w:r>
      <w:r w:rsidRPr="00313BA1">
        <w:rPr>
          <w:rFonts w:ascii="Book Antiqua" w:hAnsi="Book Antiqua"/>
          <w:sz w:val="24"/>
          <w:szCs w:val="24"/>
        </w:rPr>
        <w:t xml:space="preserve"> 2012; </w:t>
      </w:r>
      <w:r w:rsidRPr="00313BA1">
        <w:rPr>
          <w:rFonts w:ascii="Book Antiqua" w:hAnsi="Book Antiqua"/>
          <w:b/>
          <w:sz w:val="24"/>
          <w:szCs w:val="24"/>
        </w:rPr>
        <w:t>48</w:t>
      </w:r>
      <w:r w:rsidRPr="00313BA1">
        <w:rPr>
          <w:rFonts w:ascii="Book Antiqua" w:hAnsi="Book Antiqua"/>
          <w:sz w:val="24"/>
          <w:szCs w:val="24"/>
        </w:rPr>
        <w:t>: 3355-3377 [PMID: 23116682 DOI: 10.1016/j.ejca.2012.10.004]</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23 </w:t>
      </w:r>
      <w:r w:rsidRPr="00313BA1">
        <w:rPr>
          <w:rFonts w:ascii="Book Antiqua" w:hAnsi="Book Antiqua"/>
          <w:b/>
          <w:sz w:val="24"/>
          <w:szCs w:val="24"/>
        </w:rPr>
        <w:t>Rizk B</w:t>
      </w:r>
      <w:r w:rsidRPr="00313BA1">
        <w:rPr>
          <w:rFonts w:ascii="Book Antiqua" w:hAnsi="Book Antiqua"/>
          <w:sz w:val="24"/>
          <w:szCs w:val="24"/>
        </w:rPr>
        <w:t xml:space="preserve">, Turki R, Lotfy H, Ranganathan S, Zahed H, Freeman AR, Shilbayeh Z, Sassy M, Shalaby M, Malik R. Surgery for endometriosis-associated infertility: do we exaggerate the magnitude of effect? </w:t>
      </w:r>
      <w:r w:rsidRPr="00313BA1">
        <w:rPr>
          <w:rFonts w:ascii="Book Antiqua" w:hAnsi="Book Antiqua"/>
          <w:i/>
          <w:sz w:val="24"/>
          <w:szCs w:val="24"/>
        </w:rPr>
        <w:t>Facts Views Vis Obgyn</w:t>
      </w:r>
      <w:r w:rsidRPr="00313BA1">
        <w:rPr>
          <w:rFonts w:ascii="Book Antiqua" w:hAnsi="Book Antiqua"/>
          <w:sz w:val="24"/>
          <w:szCs w:val="24"/>
        </w:rPr>
        <w:t xml:space="preserve"> 2015; </w:t>
      </w:r>
      <w:r w:rsidRPr="00313BA1">
        <w:rPr>
          <w:rFonts w:ascii="Book Antiqua" w:hAnsi="Book Antiqua"/>
          <w:b/>
          <w:sz w:val="24"/>
          <w:szCs w:val="24"/>
        </w:rPr>
        <w:t>7</w:t>
      </w:r>
      <w:r w:rsidRPr="00313BA1">
        <w:rPr>
          <w:rFonts w:ascii="Book Antiqua" w:hAnsi="Book Antiqua"/>
          <w:sz w:val="24"/>
          <w:szCs w:val="24"/>
        </w:rPr>
        <w:t>: 109-118 [PMID: 26177374]</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lastRenderedPageBreak/>
        <w:t xml:space="preserve">24 </w:t>
      </w:r>
      <w:r w:rsidRPr="00313BA1">
        <w:rPr>
          <w:rFonts w:ascii="Book Antiqua" w:hAnsi="Book Antiqua"/>
          <w:b/>
          <w:sz w:val="24"/>
          <w:szCs w:val="24"/>
        </w:rPr>
        <w:t>Aboulghar MA</w:t>
      </w:r>
      <w:r w:rsidRPr="00313BA1">
        <w:rPr>
          <w:rFonts w:ascii="Book Antiqua" w:hAnsi="Book Antiqua"/>
          <w:sz w:val="24"/>
          <w:szCs w:val="24"/>
        </w:rPr>
        <w:t xml:space="preserve">, Mansour RT, Serour GI. Spontaneous intrauterine pregnancy following salpingectomy for a unilateral hydrosalpinx. </w:t>
      </w:r>
      <w:r w:rsidRPr="00313BA1">
        <w:rPr>
          <w:rFonts w:ascii="Book Antiqua" w:hAnsi="Book Antiqua"/>
          <w:i/>
          <w:sz w:val="24"/>
          <w:szCs w:val="24"/>
        </w:rPr>
        <w:t>Hum Reprod</w:t>
      </w:r>
      <w:r w:rsidRPr="00313BA1">
        <w:rPr>
          <w:rFonts w:ascii="Book Antiqua" w:hAnsi="Book Antiqua"/>
          <w:sz w:val="24"/>
          <w:szCs w:val="24"/>
        </w:rPr>
        <w:t xml:space="preserve"> 2002; </w:t>
      </w:r>
      <w:r w:rsidRPr="00313BA1">
        <w:rPr>
          <w:rFonts w:ascii="Book Antiqua" w:hAnsi="Book Antiqua"/>
          <w:b/>
          <w:sz w:val="24"/>
          <w:szCs w:val="24"/>
        </w:rPr>
        <w:t>17</w:t>
      </w:r>
      <w:r w:rsidRPr="00313BA1">
        <w:rPr>
          <w:rFonts w:ascii="Book Antiqua" w:hAnsi="Book Antiqua"/>
          <w:sz w:val="24"/>
          <w:szCs w:val="24"/>
        </w:rPr>
        <w:t>: 1099-1100 [PMID: 11925412 DOI: 10.1093/humrep/17.4.1099]</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25 </w:t>
      </w:r>
      <w:r w:rsidRPr="00313BA1">
        <w:rPr>
          <w:rFonts w:ascii="Book Antiqua" w:hAnsi="Book Antiqua"/>
          <w:b/>
          <w:sz w:val="24"/>
          <w:szCs w:val="24"/>
        </w:rPr>
        <w:t>Shue S</w:t>
      </w:r>
      <w:r w:rsidRPr="00313BA1">
        <w:rPr>
          <w:rFonts w:ascii="Book Antiqua" w:hAnsi="Book Antiqua"/>
          <w:sz w:val="24"/>
          <w:szCs w:val="24"/>
        </w:rPr>
        <w:t xml:space="preserve">, Radeva M, Falcone T. Comparison of Long-Term Fertility Outcomes after Myomectomy: Relationship with Number of Myomas Removed. </w:t>
      </w:r>
      <w:r w:rsidRPr="00313BA1">
        <w:rPr>
          <w:rFonts w:ascii="Book Antiqua" w:hAnsi="Book Antiqua"/>
          <w:i/>
          <w:sz w:val="24"/>
          <w:szCs w:val="24"/>
        </w:rPr>
        <w:t>J Minim Invasive Gynecol</w:t>
      </w:r>
      <w:r w:rsidRPr="00313BA1">
        <w:rPr>
          <w:rFonts w:ascii="Book Antiqua" w:hAnsi="Book Antiqua"/>
          <w:sz w:val="24"/>
          <w:szCs w:val="24"/>
        </w:rPr>
        <w:t xml:space="preserve"> 2018; </w:t>
      </w:r>
      <w:r w:rsidRPr="00313BA1">
        <w:rPr>
          <w:rFonts w:ascii="Book Antiqua" w:hAnsi="Book Antiqua"/>
          <w:b/>
          <w:sz w:val="24"/>
          <w:szCs w:val="24"/>
        </w:rPr>
        <w:t>25</w:t>
      </w:r>
      <w:r w:rsidRPr="00313BA1">
        <w:rPr>
          <w:rFonts w:ascii="Book Antiqua" w:hAnsi="Book Antiqua"/>
          <w:sz w:val="24"/>
          <w:szCs w:val="24"/>
        </w:rPr>
        <w:t>: 1002-1008 [PMID: 29371170 DOI: 10.1016/j.jmig.2018.01.016]</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26 </w:t>
      </w:r>
      <w:r w:rsidRPr="00313BA1">
        <w:rPr>
          <w:rFonts w:ascii="Book Antiqua" w:hAnsi="Book Antiqua"/>
          <w:b/>
          <w:sz w:val="24"/>
          <w:szCs w:val="24"/>
        </w:rPr>
        <w:t>Requena A</w:t>
      </w:r>
      <w:r w:rsidRPr="00313BA1">
        <w:rPr>
          <w:rFonts w:ascii="Book Antiqua" w:hAnsi="Book Antiqua"/>
          <w:sz w:val="24"/>
          <w:szCs w:val="24"/>
        </w:rPr>
        <w:t xml:space="preserve">, Herrero J, Landeras J, Navarro E, Neyro JL, Salvador C, Tur R, Callejo J, Checa MA, Farré M, Espinós JJ, Fábregues F, Graña-Barcia M; Reproductive Endocrinology Interest Group of Spanish Society of Fertility. Use of letrozole in assisted reproduction: a systematic review and meta-analysis. </w:t>
      </w:r>
      <w:r w:rsidRPr="00313BA1">
        <w:rPr>
          <w:rFonts w:ascii="Book Antiqua" w:hAnsi="Book Antiqua"/>
          <w:i/>
          <w:sz w:val="24"/>
          <w:szCs w:val="24"/>
        </w:rPr>
        <w:t>Hum Reprod Update</w:t>
      </w:r>
      <w:r w:rsidRPr="00313BA1">
        <w:rPr>
          <w:rFonts w:ascii="Book Antiqua" w:hAnsi="Book Antiqua"/>
          <w:sz w:val="24"/>
          <w:szCs w:val="24"/>
        </w:rPr>
        <w:t xml:space="preserve"> 2008; </w:t>
      </w:r>
      <w:r w:rsidRPr="00313BA1">
        <w:rPr>
          <w:rFonts w:ascii="Book Antiqua" w:hAnsi="Book Antiqua"/>
          <w:b/>
          <w:sz w:val="24"/>
          <w:szCs w:val="24"/>
        </w:rPr>
        <w:t>14</w:t>
      </w:r>
      <w:r w:rsidRPr="00313BA1">
        <w:rPr>
          <w:rFonts w:ascii="Book Antiqua" w:hAnsi="Book Antiqua"/>
          <w:sz w:val="24"/>
          <w:szCs w:val="24"/>
        </w:rPr>
        <w:t>: 571-582 [PMID: 18812422 DOI: 10.1093/humupd/dmn033]</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27 </w:t>
      </w:r>
      <w:r w:rsidRPr="00313BA1">
        <w:rPr>
          <w:rFonts w:ascii="Book Antiqua" w:hAnsi="Book Antiqua"/>
          <w:b/>
          <w:sz w:val="24"/>
          <w:szCs w:val="24"/>
        </w:rPr>
        <w:t>Valor-Segura I</w:t>
      </w:r>
      <w:r w:rsidRPr="00313BA1">
        <w:rPr>
          <w:rFonts w:ascii="Book Antiqua" w:hAnsi="Book Antiqua"/>
          <w:sz w:val="24"/>
          <w:szCs w:val="24"/>
        </w:rPr>
        <w:t xml:space="preserve">, Expósito F, Moya M. Victim blaming and exoneration of the perpetrator in domestic violence: the role of beliefs in a just world and ambivalent sexism. </w:t>
      </w:r>
      <w:r w:rsidRPr="00313BA1">
        <w:rPr>
          <w:rFonts w:ascii="Book Antiqua" w:hAnsi="Book Antiqua"/>
          <w:i/>
          <w:sz w:val="24"/>
          <w:szCs w:val="24"/>
        </w:rPr>
        <w:t>Span J Psychol</w:t>
      </w:r>
      <w:r w:rsidRPr="00313BA1">
        <w:rPr>
          <w:rFonts w:ascii="Book Antiqua" w:hAnsi="Book Antiqua"/>
          <w:sz w:val="24"/>
          <w:szCs w:val="24"/>
        </w:rPr>
        <w:t xml:space="preserve"> 2011; </w:t>
      </w:r>
      <w:r w:rsidRPr="00313BA1">
        <w:rPr>
          <w:rFonts w:ascii="Book Antiqua" w:hAnsi="Book Antiqua"/>
          <w:b/>
          <w:sz w:val="24"/>
          <w:szCs w:val="24"/>
        </w:rPr>
        <w:t>14</w:t>
      </w:r>
      <w:r w:rsidRPr="00313BA1">
        <w:rPr>
          <w:rFonts w:ascii="Book Antiqua" w:hAnsi="Book Antiqua"/>
          <w:sz w:val="24"/>
          <w:szCs w:val="24"/>
        </w:rPr>
        <w:t>: 195-206 [PMID: 21568177 DOI: 10.5209/rev]</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28 </w:t>
      </w:r>
      <w:r w:rsidRPr="00313BA1">
        <w:rPr>
          <w:rFonts w:ascii="Book Antiqua" w:hAnsi="Book Antiqua"/>
          <w:b/>
          <w:sz w:val="24"/>
          <w:szCs w:val="24"/>
        </w:rPr>
        <w:t>Bleil ME</w:t>
      </w:r>
      <w:r w:rsidRPr="00313BA1">
        <w:rPr>
          <w:rFonts w:ascii="Book Antiqua" w:hAnsi="Book Antiqua"/>
          <w:sz w:val="24"/>
          <w:szCs w:val="24"/>
        </w:rPr>
        <w:t xml:space="preserve">, Pasch LA, Gregorich SE, Millstein SG, Katz PP, Adler NE; Infertility Outcomes Program Project Group. Fertility treatment response: is it better to be more optimistic or less pessimistic? </w:t>
      </w:r>
      <w:r w:rsidRPr="00313BA1">
        <w:rPr>
          <w:rFonts w:ascii="Book Antiqua" w:hAnsi="Book Antiqua"/>
          <w:i/>
          <w:sz w:val="24"/>
          <w:szCs w:val="24"/>
        </w:rPr>
        <w:t>Psychosom Med</w:t>
      </w:r>
      <w:r w:rsidRPr="00313BA1">
        <w:rPr>
          <w:rFonts w:ascii="Book Antiqua" w:hAnsi="Book Antiqua"/>
          <w:sz w:val="24"/>
          <w:szCs w:val="24"/>
        </w:rPr>
        <w:t xml:space="preserve"> 2012; </w:t>
      </w:r>
      <w:r w:rsidRPr="00313BA1">
        <w:rPr>
          <w:rFonts w:ascii="Book Antiqua" w:hAnsi="Book Antiqua"/>
          <w:b/>
          <w:sz w:val="24"/>
          <w:szCs w:val="24"/>
        </w:rPr>
        <w:t>74</w:t>
      </w:r>
      <w:r w:rsidRPr="00313BA1">
        <w:rPr>
          <w:rFonts w:ascii="Book Antiqua" w:hAnsi="Book Antiqua"/>
          <w:sz w:val="24"/>
          <w:szCs w:val="24"/>
        </w:rPr>
        <w:t>: 193-199 [PMID: 22286845 DOI: 10.1097/PSY.0b013e318242096b]</w:t>
      </w:r>
    </w:p>
    <w:p w:rsidR="00E91C72" w:rsidRPr="00313BA1" w:rsidRDefault="00E91C72" w:rsidP="00313BA1">
      <w:pPr>
        <w:spacing w:after="0" w:line="360" w:lineRule="auto"/>
        <w:jc w:val="both"/>
        <w:rPr>
          <w:rFonts w:ascii="Book Antiqua" w:eastAsia="SimSun" w:hAnsi="Book Antiqua"/>
          <w:sz w:val="24"/>
          <w:szCs w:val="24"/>
          <w:lang w:eastAsia="zh-CN"/>
        </w:rPr>
      </w:pPr>
      <w:r w:rsidRPr="00313BA1">
        <w:rPr>
          <w:rFonts w:ascii="Book Antiqua" w:hAnsi="Book Antiqua"/>
          <w:sz w:val="24"/>
          <w:szCs w:val="24"/>
        </w:rPr>
        <w:t xml:space="preserve">29 </w:t>
      </w:r>
      <w:r w:rsidR="00131258" w:rsidRPr="00313BA1">
        <w:rPr>
          <w:rFonts w:ascii="Book Antiqua" w:hAnsi="Book Antiqua" w:cs="Arial"/>
          <w:b/>
          <w:noProof/>
          <w:sz w:val="24"/>
          <w:szCs w:val="24"/>
        </w:rPr>
        <w:t>López IS</w:t>
      </w:r>
      <w:r w:rsidR="00131258" w:rsidRPr="00313BA1">
        <w:rPr>
          <w:rFonts w:ascii="Book Antiqua" w:hAnsi="Book Antiqua" w:cs="Arial"/>
          <w:noProof/>
          <w:sz w:val="24"/>
          <w:szCs w:val="24"/>
        </w:rPr>
        <w:t xml:space="preserve">. Clínica Esimer: Protocolo de preparación endometrial para tranferencia embrionaria. </w:t>
      </w:r>
      <w:r w:rsidR="00313BA1" w:rsidRPr="00313BA1">
        <w:rPr>
          <w:rFonts w:ascii="Book Antiqua" w:hAnsi="Book Antiqua" w:cs="Arial"/>
          <w:noProof/>
          <w:sz w:val="24"/>
          <w:szCs w:val="24"/>
          <w:lang w:val="en-US"/>
        </w:rPr>
        <w:t>Accessed 10 Nov 2017.</w:t>
      </w:r>
      <w:r w:rsidR="00313BA1" w:rsidRPr="00313BA1">
        <w:rPr>
          <w:rFonts w:ascii="Book Antiqua" w:eastAsia="SimSun" w:hAnsi="Book Antiqua" w:cs="Arial"/>
          <w:noProof/>
          <w:sz w:val="24"/>
          <w:szCs w:val="24"/>
          <w:lang w:val="en-US" w:eastAsia="zh-CN"/>
        </w:rPr>
        <w:t xml:space="preserve"> </w:t>
      </w:r>
      <w:r w:rsidR="00313BA1" w:rsidRPr="00313BA1">
        <w:rPr>
          <w:rFonts w:ascii="Book Antiqua" w:eastAsia="SimSun" w:hAnsi="Book Antiqua" w:cs="Arial"/>
          <w:noProof/>
          <w:sz w:val="24"/>
          <w:szCs w:val="24"/>
          <w:lang w:eastAsia="zh-CN"/>
        </w:rPr>
        <w:t xml:space="preserve">Available from: </w:t>
      </w:r>
      <w:r w:rsidR="00313BA1" w:rsidRPr="00313BA1">
        <w:rPr>
          <w:rFonts w:ascii="Book Antiqua" w:hAnsi="Book Antiqua" w:cs="Arial"/>
          <w:noProof/>
          <w:sz w:val="24"/>
          <w:szCs w:val="24"/>
        </w:rPr>
        <w:t>http://www.esimer.com/staff/dr-ignasi-segura-lopez/</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30 </w:t>
      </w:r>
      <w:r w:rsidRPr="00313BA1">
        <w:rPr>
          <w:rFonts w:ascii="Book Antiqua" w:hAnsi="Book Antiqua"/>
          <w:b/>
          <w:sz w:val="24"/>
          <w:szCs w:val="24"/>
        </w:rPr>
        <w:t>Evers JL</w:t>
      </w:r>
      <w:r w:rsidRPr="00313BA1">
        <w:rPr>
          <w:rFonts w:ascii="Book Antiqua" w:hAnsi="Book Antiqua"/>
          <w:sz w:val="24"/>
          <w:szCs w:val="24"/>
        </w:rPr>
        <w:t xml:space="preserve">. Female subfertility. </w:t>
      </w:r>
      <w:r w:rsidRPr="00313BA1">
        <w:rPr>
          <w:rFonts w:ascii="Book Antiqua" w:hAnsi="Book Antiqua"/>
          <w:i/>
          <w:sz w:val="24"/>
          <w:szCs w:val="24"/>
        </w:rPr>
        <w:t>Lancet</w:t>
      </w:r>
      <w:r w:rsidRPr="00313BA1">
        <w:rPr>
          <w:rFonts w:ascii="Book Antiqua" w:hAnsi="Book Antiqua"/>
          <w:sz w:val="24"/>
          <w:szCs w:val="24"/>
        </w:rPr>
        <w:t xml:space="preserve"> 2002; </w:t>
      </w:r>
      <w:r w:rsidRPr="00313BA1">
        <w:rPr>
          <w:rFonts w:ascii="Book Antiqua" w:hAnsi="Book Antiqua"/>
          <w:b/>
          <w:sz w:val="24"/>
          <w:szCs w:val="24"/>
        </w:rPr>
        <w:t>360</w:t>
      </w:r>
      <w:r w:rsidRPr="00313BA1">
        <w:rPr>
          <w:rFonts w:ascii="Book Antiqua" w:hAnsi="Book Antiqua"/>
          <w:sz w:val="24"/>
          <w:szCs w:val="24"/>
        </w:rPr>
        <w:t>: 151-159 [PMID: 12126838 DOI: 10.1016/S0140-6736(02)09417-5]</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31 </w:t>
      </w:r>
      <w:r w:rsidRPr="00313BA1">
        <w:rPr>
          <w:rFonts w:ascii="Book Antiqua" w:hAnsi="Book Antiqua"/>
          <w:b/>
          <w:sz w:val="24"/>
          <w:szCs w:val="24"/>
        </w:rPr>
        <w:t>Baird DT</w:t>
      </w:r>
      <w:r w:rsidRPr="00313BA1">
        <w:rPr>
          <w:rFonts w:ascii="Book Antiqua" w:hAnsi="Book Antiqua"/>
          <w:sz w:val="24"/>
          <w:szCs w:val="24"/>
        </w:rPr>
        <w:t xml:space="preserve">, Collins J, Egozcue J, Evers LH, Gianaroli L, Leridon H, Sunde A, Templeton A, Van Steirteghem A, Cohen J, Crosignani PG, Devroey P, Diedrich K, Fauser BC, Fraser L, Glasier A, Liebaers I, Mautone G, Penney G, </w:t>
      </w:r>
      <w:r w:rsidRPr="00313BA1">
        <w:rPr>
          <w:rFonts w:ascii="Book Antiqua" w:hAnsi="Book Antiqua"/>
          <w:sz w:val="24"/>
          <w:szCs w:val="24"/>
        </w:rPr>
        <w:lastRenderedPageBreak/>
        <w:t xml:space="preserve">Tarlatzis B; ESHRE Capri Workshop Group. Fertility and ageing. </w:t>
      </w:r>
      <w:r w:rsidRPr="00313BA1">
        <w:rPr>
          <w:rFonts w:ascii="Book Antiqua" w:hAnsi="Book Antiqua"/>
          <w:i/>
          <w:sz w:val="24"/>
          <w:szCs w:val="24"/>
        </w:rPr>
        <w:t>Hum Reprod Update</w:t>
      </w:r>
      <w:r w:rsidRPr="00313BA1">
        <w:rPr>
          <w:rFonts w:ascii="Book Antiqua" w:hAnsi="Book Antiqua"/>
          <w:sz w:val="24"/>
          <w:szCs w:val="24"/>
        </w:rPr>
        <w:t xml:space="preserve"> 2005; </w:t>
      </w:r>
      <w:r w:rsidRPr="00313BA1">
        <w:rPr>
          <w:rFonts w:ascii="Book Antiqua" w:hAnsi="Book Antiqua"/>
          <w:b/>
          <w:sz w:val="24"/>
          <w:szCs w:val="24"/>
        </w:rPr>
        <w:t>11</w:t>
      </w:r>
      <w:r w:rsidRPr="00313BA1">
        <w:rPr>
          <w:rFonts w:ascii="Book Antiqua" w:hAnsi="Book Antiqua"/>
          <w:sz w:val="24"/>
          <w:szCs w:val="24"/>
        </w:rPr>
        <w:t>: 261-276 [PMID: 15831503 DOI: 10.1093/humupd/dmi006]</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32 </w:t>
      </w:r>
      <w:r w:rsidRPr="00313BA1">
        <w:rPr>
          <w:rFonts w:ascii="Book Antiqua" w:hAnsi="Book Antiqua"/>
          <w:b/>
          <w:sz w:val="24"/>
          <w:szCs w:val="24"/>
        </w:rPr>
        <w:t>Uccella S</w:t>
      </w:r>
      <w:r w:rsidRPr="00313BA1">
        <w:rPr>
          <w:rFonts w:ascii="Book Antiqua" w:hAnsi="Book Antiqua"/>
          <w:sz w:val="24"/>
          <w:szCs w:val="24"/>
        </w:rPr>
        <w:t xml:space="preserve">, Cromi A, Agosti M, Casarin J, Pinelli C, Marconi N, Bertoli F, Podesta'-Alluvion C, Ghezzi F. Fertility rates, course of pregnancy and perinatal outcomes after laparoscopic ureterolysis for deep endometriosis: A long-term follow-up study. </w:t>
      </w:r>
      <w:r w:rsidRPr="00313BA1">
        <w:rPr>
          <w:rFonts w:ascii="Book Antiqua" w:hAnsi="Book Antiqua"/>
          <w:i/>
          <w:sz w:val="24"/>
          <w:szCs w:val="24"/>
        </w:rPr>
        <w:t>J Obstet Gynaecol</w:t>
      </w:r>
      <w:r w:rsidRPr="00313BA1">
        <w:rPr>
          <w:rFonts w:ascii="Book Antiqua" w:hAnsi="Book Antiqua"/>
          <w:sz w:val="24"/>
          <w:szCs w:val="24"/>
        </w:rPr>
        <w:t xml:space="preserve"> 2016; </w:t>
      </w:r>
      <w:r w:rsidRPr="00313BA1">
        <w:rPr>
          <w:rFonts w:ascii="Book Antiqua" w:hAnsi="Book Antiqua"/>
          <w:b/>
          <w:sz w:val="24"/>
          <w:szCs w:val="24"/>
        </w:rPr>
        <w:t>36</w:t>
      </w:r>
      <w:r w:rsidRPr="00313BA1">
        <w:rPr>
          <w:rFonts w:ascii="Book Antiqua" w:hAnsi="Book Antiqua"/>
          <w:sz w:val="24"/>
          <w:szCs w:val="24"/>
        </w:rPr>
        <w:t>: 800-805 [PMID: 27146254 DOI: 10.3109/01443615.2016.1154512]</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33 </w:t>
      </w:r>
      <w:r w:rsidRPr="00313BA1">
        <w:rPr>
          <w:rFonts w:ascii="Book Antiqua" w:hAnsi="Book Antiqua"/>
          <w:b/>
          <w:sz w:val="24"/>
          <w:szCs w:val="24"/>
        </w:rPr>
        <w:t>AlKudmani B</w:t>
      </w:r>
      <w:r w:rsidRPr="00313BA1">
        <w:rPr>
          <w:rFonts w:ascii="Book Antiqua" w:hAnsi="Book Antiqua"/>
          <w:sz w:val="24"/>
          <w:szCs w:val="24"/>
        </w:rPr>
        <w:t xml:space="preserve">, Gat I, Buell D, Salman J, Zohni K, Librach C, Sharma P. In Vitro Fertilization Success Rates after Surgically Treated Endometriosis and Effect of Time Interval between Surgery and In Vitro Fertilization. </w:t>
      </w:r>
      <w:r w:rsidRPr="00313BA1">
        <w:rPr>
          <w:rFonts w:ascii="Book Antiqua" w:hAnsi="Book Antiqua"/>
          <w:i/>
          <w:sz w:val="24"/>
          <w:szCs w:val="24"/>
        </w:rPr>
        <w:t>J Minim Invasive Gynecol</w:t>
      </w:r>
      <w:r w:rsidRPr="00313BA1">
        <w:rPr>
          <w:rFonts w:ascii="Book Antiqua" w:hAnsi="Book Antiqua"/>
          <w:sz w:val="24"/>
          <w:szCs w:val="24"/>
        </w:rPr>
        <w:t xml:space="preserve"> 2018; </w:t>
      </w:r>
      <w:r w:rsidRPr="00313BA1">
        <w:rPr>
          <w:rFonts w:ascii="Book Antiqua" w:hAnsi="Book Antiqua"/>
          <w:b/>
          <w:sz w:val="24"/>
          <w:szCs w:val="24"/>
        </w:rPr>
        <w:t>25</w:t>
      </w:r>
      <w:r w:rsidRPr="00313BA1">
        <w:rPr>
          <w:rFonts w:ascii="Book Antiqua" w:hAnsi="Book Antiqua"/>
          <w:sz w:val="24"/>
          <w:szCs w:val="24"/>
        </w:rPr>
        <w:t>: 99-104 [PMID: 28807807 DOI: 10.1016/j.jmig.2017.08.641]</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34 </w:t>
      </w:r>
      <w:r w:rsidRPr="00313BA1">
        <w:rPr>
          <w:rFonts w:ascii="Book Antiqua" w:hAnsi="Book Antiqua"/>
          <w:b/>
          <w:sz w:val="24"/>
          <w:szCs w:val="24"/>
        </w:rPr>
        <w:t>Goldberg J</w:t>
      </w:r>
      <w:r w:rsidRPr="00313BA1">
        <w:rPr>
          <w:rFonts w:ascii="Book Antiqua" w:hAnsi="Book Antiqua"/>
          <w:sz w:val="24"/>
          <w:szCs w:val="24"/>
        </w:rPr>
        <w:t xml:space="preserve">, Pereira L. Pregnancy outcomes following treatment for fibroids: uterine fibroid embolization versus laparoscopic myomectomy. </w:t>
      </w:r>
      <w:r w:rsidRPr="00313BA1">
        <w:rPr>
          <w:rFonts w:ascii="Book Antiqua" w:hAnsi="Book Antiqua"/>
          <w:i/>
          <w:sz w:val="24"/>
          <w:szCs w:val="24"/>
        </w:rPr>
        <w:t>Curr Opin Obstet Gynecol</w:t>
      </w:r>
      <w:r w:rsidRPr="00313BA1">
        <w:rPr>
          <w:rFonts w:ascii="Book Antiqua" w:hAnsi="Book Antiqua"/>
          <w:sz w:val="24"/>
          <w:szCs w:val="24"/>
        </w:rPr>
        <w:t xml:space="preserve"> 2006; </w:t>
      </w:r>
      <w:r w:rsidRPr="00313BA1">
        <w:rPr>
          <w:rFonts w:ascii="Book Antiqua" w:hAnsi="Book Antiqua"/>
          <w:b/>
          <w:sz w:val="24"/>
          <w:szCs w:val="24"/>
        </w:rPr>
        <w:t>18</w:t>
      </w:r>
      <w:r w:rsidRPr="00313BA1">
        <w:rPr>
          <w:rFonts w:ascii="Book Antiqua" w:hAnsi="Book Antiqua"/>
          <w:sz w:val="24"/>
          <w:szCs w:val="24"/>
        </w:rPr>
        <w:t>: 402-406 [PMID: 16794420 DOI: 10.1097/01.gco.0000233934.13684.cb]</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35 </w:t>
      </w:r>
      <w:r w:rsidRPr="00313BA1">
        <w:rPr>
          <w:rFonts w:ascii="Book Antiqua" w:hAnsi="Book Antiqua"/>
          <w:b/>
          <w:sz w:val="24"/>
          <w:szCs w:val="24"/>
        </w:rPr>
        <w:t>Casini ML</w:t>
      </w:r>
      <w:r w:rsidRPr="00313BA1">
        <w:rPr>
          <w:rFonts w:ascii="Book Antiqua" w:hAnsi="Book Antiqua"/>
          <w:sz w:val="24"/>
          <w:szCs w:val="24"/>
        </w:rPr>
        <w:t xml:space="preserve">, Rossi F, Agostini R, Unfer V. Effects of the position of fibroids on fertility. </w:t>
      </w:r>
      <w:r w:rsidRPr="00313BA1">
        <w:rPr>
          <w:rFonts w:ascii="Book Antiqua" w:hAnsi="Book Antiqua"/>
          <w:i/>
          <w:sz w:val="24"/>
          <w:szCs w:val="24"/>
        </w:rPr>
        <w:t>Gynecol Endocrinol</w:t>
      </w:r>
      <w:r w:rsidRPr="00313BA1">
        <w:rPr>
          <w:rFonts w:ascii="Book Antiqua" w:hAnsi="Book Antiqua"/>
          <w:sz w:val="24"/>
          <w:szCs w:val="24"/>
        </w:rPr>
        <w:t xml:space="preserve"> 2006; </w:t>
      </w:r>
      <w:r w:rsidRPr="00313BA1">
        <w:rPr>
          <w:rFonts w:ascii="Book Antiqua" w:hAnsi="Book Antiqua"/>
          <w:b/>
          <w:sz w:val="24"/>
          <w:szCs w:val="24"/>
        </w:rPr>
        <w:t>22</w:t>
      </w:r>
      <w:r w:rsidRPr="00313BA1">
        <w:rPr>
          <w:rFonts w:ascii="Book Antiqua" w:hAnsi="Book Antiqua"/>
          <w:sz w:val="24"/>
          <w:szCs w:val="24"/>
        </w:rPr>
        <w:t>: 106-109 [PMID: 16603437 DOI: 10.1080/09513590600604673]</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36 </w:t>
      </w:r>
      <w:r w:rsidRPr="00313BA1">
        <w:rPr>
          <w:rFonts w:ascii="Book Antiqua" w:hAnsi="Book Antiqua"/>
          <w:b/>
          <w:sz w:val="24"/>
          <w:szCs w:val="24"/>
        </w:rPr>
        <w:t>Na ED</w:t>
      </w:r>
      <w:r w:rsidRPr="00313BA1">
        <w:rPr>
          <w:rFonts w:ascii="Book Antiqua" w:hAnsi="Book Antiqua"/>
          <w:sz w:val="24"/>
          <w:szCs w:val="24"/>
        </w:rPr>
        <w:t xml:space="preserve">, Cha DH, Cho JH, Kim MK. Comparison of IVF-ET outcomes in patients with hydrosalpinx pretreated with either sclerotherapy or laparoscopic salpingectomy. </w:t>
      </w:r>
      <w:r w:rsidRPr="00313BA1">
        <w:rPr>
          <w:rFonts w:ascii="Book Antiqua" w:hAnsi="Book Antiqua"/>
          <w:i/>
          <w:sz w:val="24"/>
          <w:szCs w:val="24"/>
        </w:rPr>
        <w:t>Clin Exp Reprod Med</w:t>
      </w:r>
      <w:r w:rsidRPr="00313BA1">
        <w:rPr>
          <w:rFonts w:ascii="Book Antiqua" w:hAnsi="Book Antiqua"/>
          <w:sz w:val="24"/>
          <w:szCs w:val="24"/>
        </w:rPr>
        <w:t xml:space="preserve"> 2012; </w:t>
      </w:r>
      <w:r w:rsidRPr="00313BA1">
        <w:rPr>
          <w:rFonts w:ascii="Book Antiqua" w:hAnsi="Book Antiqua"/>
          <w:b/>
          <w:sz w:val="24"/>
          <w:szCs w:val="24"/>
        </w:rPr>
        <w:t>39</w:t>
      </w:r>
      <w:r w:rsidRPr="00313BA1">
        <w:rPr>
          <w:rFonts w:ascii="Book Antiqua" w:hAnsi="Book Antiqua"/>
          <w:sz w:val="24"/>
          <w:szCs w:val="24"/>
        </w:rPr>
        <w:t>: 182-186 [PMID: 23346530 DOI: 10.5653/cerm.2012.39.4.182]</w:t>
      </w:r>
    </w:p>
    <w:p w:rsidR="00E91C72" w:rsidRPr="00313BA1" w:rsidRDefault="00E91C72" w:rsidP="00313BA1">
      <w:pPr>
        <w:spacing w:after="0" w:line="360" w:lineRule="auto"/>
        <w:jc w:val="both"/>
        <w:rPr>
          <w:rFonts w:ascii="Book Antiqua" w:hAnsi="Book Antiqua"/>
          <w:sz w:val="24"/>
          <w:szCs w:val="24"/>
        </w:rPr>
      </w:pPr>
      <w:r w:rsidRPr="00313BA1">
        <w:rPr>
          <w:rFonts w:ascii="Book Antiqua" w:hAnsi="Book Antiqua"/>
          <w:sz w:val="24"/>
          <w:szCs w:val="24"/>
        </w:rPr>
        <w:t xml:space="preserve">37 </w:t>
      </w:r>
      <w:r w:rsidRPr="00313BA1">
        <w:rPr>
          <w:rFonts w:ascii="Book Antiqua" w:hAnsi="Book Antiqua"/>
          <w:b/>
          <w:sz w:val="24"/>
          <w:szCs w:val="24"/>
        </w:rPr>
        <w:t>Shalom-Paz E</w:t>
      </w:r>
      <w:r w:rsidRPr="00313BA1">
        <w:rPr>
          <w:rFonts w:ascii="Book Antiqua" w:hAnsi="Book Antiqua"/>
          <w:sz w:val="24"/>
          <w:szCs w:val="24"/>
        </w:rPr>
        <w:t xml:space="preserve">, Almog B, Shehata F, Huang J, Holzer H, Chian RC, Son WY, Tan SL. Fertility preservation for breast-cancer patients using IVM followed by oocyte or embryo vitrification. </w:t>
      </w:r>
      <w:r w:rsidRPr="00313BA1">
        <w:rPr>
          <w:rFonts w:ascii="Book Antiqua" w:hAnsi="Book Antiqua"/>
          <w:i/>
          <w:sz w:val="24"/>
          <w:szCs w:val="24"/>
        </w:rPr>
        <w:t>Reprod Biomed Online</w:t>
      </w:r>
      <w:r w:rsidRPr="00313BA1">
        <w:rPr>
          <w:rFonts w:ascii="Book Antiqua" w:hAnsi="Book Antiqua"/>
          <w:sz w:val="24"/>
          <w:szCs w:val="24"/>
        </w:rPr>
        <w:t xml:space="preserve"> 2010; </w:t>
      </w:r>
      <w:r w:rsidRPr="00313BA1">
        <w:rPr>
          <w:rFonts w:ascii="Book Antiqua" w:hAnsi="Book Antiqua"/>
          <w:b/>
          <w:sz w:val="24"/>
          <w:szCs w:val="24"/>
        </w:rPr>
        <w:t>21</w:t>
      </w:r>
      <w:r w:rsidRPr="00313BA1">
        <w:rPr>
          <w:rFonts w:ascii="Book Antiqua" w:hAnsi="Book Antiqua"/>
          <w:sz w:val="24"/>
          <w:szCs w:val="24"/>
        </w:rPr>
        <w:t>: 566-571 [PMID: 20822957 DOI: 10.1016/j.rbmo.2010.05.003]</w:t>
      </w:r>
    </w:p>
    <w:p w:rsidR="00313BA1" w:rsidRPr="00313BA1" w:rsidRDefault="00313BA1" w:rsidP="00313BA1">
      <w:pPr>
        <w:spacing w:after="0" w:line="360" w:lineRule="auto"/>
        <w:jc w:val="both"/>
        <w:rPr>
          <w:rFonts w:ascii="Book Antiqua" w:eastAsia="SimSun" w:hAnsi="Book Antiqua" w:cs="Arial"/>
          <w:noProof/>
          <w:sz w:val="24"/>
          <w:szCs w:val="24"/>
          <w:lang w:val="en-US" w:eastAsia="zh-CN"/>
        </w:rPr>
      </w:pPr>
    </w:p>
    <w:p w:rsidR="00313BA1" w:rsidRPr="00313BA1" w:rsidRDefault="00313BA1" w:rsidP="00313BA1">
      <w:pPr>
        <w:pStyle w:val="ListParagraph"/>
        <w:suppressAutoHyphens/>
        <w:spacing w:after="0" w:line="360" w:lineRule="auto"/>
        <w:ind w:left="360" w:right="230"/>
        <w:jc w:val="both"/>
        <w:rPr>
          <w:rFonts w:ascii="Book Antiqua" w:hAnsi="Book Antiqua" w:cs="Mangal"/>
          <w:b/>
          <w:bCs/>
          <w:sz w:val="24"/>
          <w:szCs w:val="24"/>
          <w:lang w:val="it-IT" w:bidi="hi-IN"/>
        </w:rPr>
      </w:pPr>
      <w:r w:rsidRPr="00313BA1">
        <w:rPr>
          <w:rFonts w:ascii="Book Antiqua" w:eastAsia="Lucida Sans Unicode" w:hAnsi="Book Antiqua" w:cs="Arial"/>
          <w:b/>
          <w:noProof/>
          <w:sz w:val="24"/>
          <w:szCs w:val="24"/>
          <w:lang w:val="it-IT" w:eastAsia="hi-IN" w:bidi="hi-IN"/>
        </w:rPr>
        <w:t>P-Reviewer</w:t>
      </w:r>
      <w:r w:rsidRPr="00313BA1">
        <w:rPr>
          <w:rFonts w:ascii="Book Antiqua" w:hAnsi="Book Antiqua" w:cs="Arial"/>
          <w:b/>
          <w:noProof/>
          <w:sz w:val="24"/>
          <w:szCs w:val="24"/>
          <w:lang w:val="it-IT" w:bidi="hi-IN"/>
        </w:rPr>
        <w:t>:</w:t>
      </w:r>
      <w:r w:rsidRPr="00313BA1">
        <w:rPr>
          <w:rFonts w:ascii="Book Antiqua" w:hAnsi="Book Antiqua"/>
          <w:sz w:val="24"/>
          <w:szCs w:val="24"/>
        </w:rPr>
        <w:t xml:space="preserve"> Khajehei</w:t>
      </w:r>
      <w:r w:rsidRPr="00313BA1">
        <w:rPr>
          <w:rFonts w:ascii="Book Antiqua" w:eastAsia="SimSun" w:hAnsi="Book Antiqua"/>
          <w:sz w:val="24"/>
          <w:szCs w:val="24"/>
          <w:lang w:eastAsia="zh-CN"/>
        </w:rPr>
        <w:t xml:space="preserve"> M, Zhang XQ</w:t>
      </w:r>
      <w:r w:rsidRPr="00313BA1">
        <w:rPr>
          <w:rFonts w:ascii="Book Antiqua" w:hAnsi="Book Antiqua" w:cs="Mangal"/>
          <w:bCs/>
          <w:sz w:val="24"/>
          <w:szCs w:val="24"/>
          <w:lang w:val="it-IT" w:bidi="hi-IN"/>
        </w:rPr>
        <w:t xml:space="preserve"> </w:t>
      </w:r>
      <w:r w:rsidRPr="00313BA1">
        <w:rPr>
          <w:rFonts w:ascii="Book Antiqua" w:eastAsia="Lucida Sans Unicode" w:hAnsi="Book Antiqua" w:cs="Mangal"/>
          <w:b/>
          <w:bCs/>
          <w:sz w:val="24"/>
          <w:szCs w:val="24"/>
          <w:lang w:val="it-IT" w:eastAsia="hi-IN" w:bidi="hi-IN"/>
        </w:rPr>
        <w:t>S-Editor</w:t>
      </w:r>
      <w:r w:rsidRPr="00313BA1">
        <w:rPr>
          <w:rFonts w:ascii="Book Antiqua" w:hAnsi="Book Antiqua" w:cs="Mangal"/>
          <w:b/>
          <w:bCs/>
          <w:sz w:val="24"/>
          <w:szCs w:val="24"/>
          <w:lang w:val="it-IT" w:bidi="hi-IN"/>
        </w:rPr>
        <w:t>:</w:t>
      </w:r>
      <w:r w:rsidRPr="00313BA1">
        <w:rPr>
          <w:rFonts w:ascii="Book Antiqua" w:eastAsia="Lucida Sans Unicode" w:hAnsi="Book Antiqua" w:cs="Mangal"/>
          <w:bCs/>
          <w:sz w:val="24"/>
          <w:szCs w:val="24"/>
          <w:lang w:val="it-IT" w:eastAsia="hi-IN" w:bidi="hi-IN"/>
        </w:rPr>
        <w:t xml:space="preserve"> </w:t>
      </w:r>
      <w:r w:rsidRPr="00313BA1">
        <w:rPr>
          <w:rFonts w:ascii="Book Antiqua" w:hAnsi="Book Antiqua" w:cs="Mangal"/>
          <w:bCs/>
          <w:sz w:val="24"/>
          <w:szCs w:val="24"/>
          <w:lang w:val="it-IT" w:bidi="hi-IN"/>
        </w:rPr>
        <w:t>Dou Y</w:t>
      </w:r>
      <w:r w:rsidRPr="00313BA1">
        <w:rPr>
          <w:rFonts w:ascii="Book Antiqua" w:eastAsia="Lucida Sans Unicode" w:hAnsi="Book Antiqua" w:cs="Mangal"/>
          <w:b/>
          <w:bCs/>
          <w:sz w:val="24"/>
          <w:szCs w:val="24"/>
          <w:lang w:val="it-IT" w:eastAsia="hi-IN" w:bidi="hi-IN"/>
        </w:rPr>
        <w:t xml:space="preserve"> L-Editor</w:t>
      </w:r>
      <w:r w:rsidRPr="00313BA1">
        <w:rPr>
          <w:rFonts w:ascii="Book Antiqua" w:hAnsi="Book Antiqua" w:cs="Mangal"/>
          <w:b/>
          <w:bCs/>
          <w:sz w:val="24"/>
          <w:szCs w:val="24"/>
          <w:lang w:val="it-IT" w:bidi="hi-IN"/>
        </w:rPr>
        <w:t>:</w:t>
      </w:r>
      <w:r w:rsidRPr="00313BA1">
        <w:rPr>
          <w:rFonts w:ascii="Book Antiqua" w:eastAsia="Lucida Sans Unicode" w:hAnsi="Book Antiqua" w:cs="Mangal"/>
          <w:b/>
          <w:bCs/>
          <w:sz w:val="24"/>
          <w:szCs w:val="24"/>
          <w:lang w:val="it-IT" w:eastAsia="hi-IN" w:bidi="hi-IN"/>
        </w:rPr>
        <w:t xml:space="preserve"> E-Editor</w:t>
      </w:r>
      <w:r w:rsidRPr="00313BA1">
        <w:rPr>
          <w:rFonts w:ascii="Book Antiqua" w:hAnsi="Book Antiqua" w:cs="Mangal"/>
          <w:b/>
          <w:bCs/>
          <w:sz w:val="24"/>
          <w:szCs w:val="24"/>
          <w:lang w:val="it-IT" w:bidi="hi-IN"/>
        </w:rPr>
        <w:t>:</w:t>
      </w:r>
    </w:p>
    <w:p w:rsidR="00313BA1" w:rsidRPr="00313BA1" w:rsidRDefault="00313BA1" w:rsidP="00313BA1">
      <w:pPr>
        <w:pStyle w:val="ListParagraph"/>
        <w:suppressAutoHyphens/>
        <w:spacing w:after="0" w:line="360" w:lineRule="auto"/>
        <w:ind w:left="360" w:right="120"/>
        <w:jc w:val="both"/>
        <w:rPr>
          <w:rFonts w:ascii="Book Antiqua" w:hAnsi="Book Antiqua" w:cs="Mangal"/>
          <w:b/>
          <w:bCs/>
          <w:sz w:val="24"/>
          <w:szCs w:val="24"/>
          <w:lang w:val="it-IT" w:bidi="hi-IN"/>
        </w:rPr>
      </w:pPr>
    </w:p>
    <w:p w:rsidR="00313BA1" w:rsidRPr="00313BA1" w:rsidRDefault="00313BA1" w:rsidP="00313BA1">
      <w:pPr>
        <w:pStyle w:val="ListParagraph"/>
        <w:shd w:val="clear" w:color="auto" w:fill="FFFFFF"/>
        <w:snapToGrid w:val="0"/>
        <w:spacing w:after="0" w:line="360" w:lineRule="auto"/>
        <w:ind w:left="360"/>
        <w:jc w:val="both"/>
        <w:rPr>
          <w:rFonts w:ascii="Book Antiqua" w:hAnsi="Book Antiqua" w:cs="Helvetica"/>
          <w:b/>
          <w:sz w:val="24"/>
          <w:szCs w:val="24"/>
        </w:rPr>
      </w:pPr>
      <w:r w:rsidRPr="00313BA1">
        <w:rPr>
          <w:rFonts w:ascii="Book Antiqua" w:hAnsi="Book Antiqua" w:cs="Helvetica"/>
          <w:b/>
          <w:sz w:val="24"/>
          <w:szCs w:val="24"/>
        </w:rPr>
        <w:lastRenderedPageBreak/>
        <w:t xml:space="preserve">Specialty type: </w:t>
      </w:r>
      <w:r w:rsidR="00CF0874" w:rsidRPr="00E700C2">
        <w:rPr>
          <w:rFonts w:ascii="Book Antiqua" w:eastAsia="Microsoft YaHei" w:hAnsi="Book Antiqua" w:cs="SimSun"/>
          <w:sz w:val="24"/>
          <w:szCs w:val="24"/>
        </w:rPr>
        <w:t>Medicine, research and experimental</w:t>
      </w:r>
    </w:p>
    <w:p w:rsidR="00313BA1" w:rsidRPr="00313BA1" w:rsidRDefault="00313BA1" w:rsidP="00313BA1">
      <w:pPr>
        <w:pStyle w:val="ListParagraph"/>
        <w:shd w:val="clear" w:color="auto" w:fill="FFFFFF"/>
        <w:snapToGrid w:val="0"/>
        <w:spacing w:after="0" w:line="360" w:lineRule="auto"/>
        <w:ind w:left="360"/>
        <w:jc w:val="both"/>
        <w:rPr>
          <w:rFonts w:ascii="Book Antiqua" w:hAnsi="Book Antiqua" w:cs="Helvetica"/>
          <w:b/>
          <w:sz w:val="24"/>
          <w:szCs w:val="24"/>
        </w:rPr>
      </w:pPr>
      <w:r w:rsidRPr="00313BA1">
        <w:rPr>
          <w:rFonts w:ascii="Book Antiqua" w:hAnsi="Book Antiqua" w:cs="Helvetica"/>
          <w:b/>
          <w:sz w:val="24"/>
          <w:szCs w:val="24"/>
        </w:rPr>
        <w:t xml:space="preserve">Country of origin: </w:t>
      </w:r>
      <w:r w:rsidRPr="00313BA1">
        <w:rPr>
          <w:rFonts w:ascii="Book Antiqua" w:hAnsi="Book Antiqua" w:cs="Helvetica"/>
          <w:sz w:val="24"/>
          <w:szCs w:val="24"/>
        </w:rPr>
        <w:t>Spain</w:t>
      </w:r>
    </w:p>
    <w:p w:rsidR="00313BA1" w:rsidRPr="00313BA1" w:rsidRDefault="00313BA1" w:rsidP="00313BA1">
      <w:pPr>
        <w:pStyle w:val="ListParagraph"/>
        <w:shd w:val="clear" w:color="auto" w:fill="FFFFFF"/>
        <w:snapToGrid w:val="0"/>
        <w:spacing w:after="0" w:line="360" w:lineRule="auto"/>
        <w:ind w:left="360"/>
        <w:jc w:val="both"/>
        <w:rPr>
          <w:rFonts w:ascii="Book Antiqua" w:hAnsi="Book Antiqua" w:cs="Helvetica"/>
          <w:b/>
          <w:sz w:val="24"/>
          <w:szCs w:val="24"/>
        </w:rPr>
      </w:pPr>
      <w:r w:rsidRPr="00313BA1">
        <w:rPr>
          <w:rFonts w:ascii="Book Antiqua" w:hAnsi="Book Antiqua" w:cs="Helvetica"/>
          <w:b/>
          <w:sz w:val="24"/>
          <w:szCs w:val="24"/>
        </w:rPr>
        <w:t>Peer-review report classification</w:t>
      </w:r>
    </w:p>
    <w:p w:rsidR="00313BA1" w:rsidRPr="00313BA1" w:rsidRDefault="00313BA1" w:rsidP="00313BA1">
      <w:pPr>
        <w:pStyle w:val="ListParagraph"/>
        <w:shd w:val="clear" w:color="auto" w:fill="FFFFFF"/>
        <w:snapToGrid w:val="0"/>
        <w:spacing w:after="0" w:line="360" w:lineRule="auto"/>
        <w:ind w:left="360"/>
        <w:jc w:val="both"/>
        <w:rPr>
          <w:rFonts w:ascii="Book Antiqua" w:eastAsia="SimSun" w:hAnsi="Book Antiqua" w:cs="Helvetica"/>
          <w:sz w:val="24"/>
          <w:szCs w:val="24"/>
          <w:lang w:eastAsia="zh-CN"/>
        </w:rPr>
      </w:pPr>
      <w:r w:rsidRPr="00313BA1">
        <w:rPr>
          <w:rFonts w:ascii="Book Antiqua" w:hAnsi="Book Antiqua" w:cs="Helvetica"/>
          <w:sz w:val="24"/>
          <w:szCs w:val="24"/>
        </w:rPr>
        <w:t xml:space="preserve">Grade A (Excellent): </w:t>
      </w:r>
      <w:r w:rsidRPr="00313BA1">
        <w:rPr>
          <w:rFonts w:ascii="Book Antiqua" w:eastAsia="SimSun" w:hAnsi="Book Antiqua" w:cs="Helvetica"/>
          <w:sz w:val="24"/>
          <w:szCs w:val="24"/>
          <w:lang w:eastAsia="zh-CN"/>
        </w:rPr>
        <w:t>A</w:t>
      </w:r>
    </w:p>
    <w:p w:rsidR="00313BA1" w:rsidRPr="00313BA1" w:rsidRDefault="00313BA1" w:rsidP="00313BA1">
      <w:pPr>
        <w:pStyle w:val="ListParagraph"/>
        <w:shd w:val="clear" w:color="auto" w:fill="FFFFFF"/>
        <w:snapToGrid w:val="0"/>
        <w:spacing w:after="0" w:line="360" w:lineRule="auto"/>
        <w:ind w:left="360"/>
        <w:jc w:val="both"/>
        <w:rPr>
          <w:rFonts w:ascii="Book Antiqua" w:eastAsia="SimSun" w:hAnsi="Book Antiqua" w:cs="Helvetica"/>
          <w:sz w:val="24"/>
          <w:szCs w:val="24"/>
          <w:lang w:eastAsia="zh-CN"/>
        </w:rPr>
      </w:pPr>
      <w:r w:rsidRPr="00313BA1">
        <w:rPr>
          <w:rFonts w:ascii="Book Antiqua" w:hAnsi="Book Antiqua" w:cs="Helvetica"/>
          <w:sz w:val="24"/>
          <w:szCs w:val="24"/>
        </w:rPr>
        <w:t xml:space="preserve">Grade B (Very good): </w:t>
      </w:r>
      <w:r w:rsidRPr="00313BA1">
        <w:rPr>
          <w:rFonts w:ascii="Book Antiqua" w:eastAsia="SimSun" w:hAnsi="Book Antiqua" w:cs="Helvetica"/>
          <w:sz w:val="24"/>
          <w:szCs w:val="24"/>
          <w:lang w:eastAsia="zh-CN"/>
        </w:rPr>
        <w:t>0</w:t>
      </w:r>
    </w:p>
    <w:p w:rsidR="00313BA1" w:rsidRPr="00313BA1" w:rsidRDefault="00313BA1" w:rsidP="00313BA1">
      <w:pPr>
        <w:pStyle w:val="ListParagraph"/>
        <w:shd w:val="clear" w:color="auto" w:fill="FFFFFF"/>
        <w:snapToGrid w:val="0"/>
        <w:spacing w:after="0" w:line="360" w:lineRule="auto"/>
        <w:ind w:left="360"/>
        <w:jc w:val="both"/>
        <w:rPr>
          <w:rFonts w:ascii="Book Antiqua" w:eastAsia="SimSun" w:hAnsi="Book Antiqua" w:cs="Helvetica"/>
          <w:sz w:val="24"/>
          <w:szCs w:val="24"/>
          <w:lang w:eastAsia="zh-CN"/>
        </w:rPr>
      </w:pPr>
      <w:r w:rsidRPr="00313BA1">
        <w:rPr>
          <w:rFonts w:ascii="Book Antiqua" w:hAnsi="Book Antiqua" w:cs="Helvetica"/>
          <w:sz w:val="24"/>
          <w:szCs w:val="24"/>
        </w:rPr>
        <w:t>Grade C (Good): C</w:t>
      </w:r>
    </w:p>
    <w:p w:rsidR="00313BA1" w:rsidRPr="00313BA1" w:rsidRDefault="00313BA1" w:rsidP="00313BA1">
      <w:pPr>
        <w:pStyle w:val="ListParagraph"/>
        <w:shd w:val="clear" w:color="auto" w:fill="FFFFFF"/>
        <w:snapToGrid w:val="0"/>
        <w:spacing w:after="0" w:line="360" w:lineRule="auto"/>
        <w:ind w:left="360"/>
        <w:jc w:val="both"/>
        <w:rPr>
          <w:rFonts w:ascii="Book Antiqua" w:eastAsia="SimSun" w:hAnsi="Book Antiqua" w:cs="Helvetica"/>
          <w:sz w:val="24"/>
          <w:szCs w:val="24"/>
          <w:lang w:eastAsia="zh-CN"/>
        </w:rPr>
      </w:pPr>
      <w:r w:rsidRPr="00313BA1">
        <w:rPr>
          <w:rFonts w:ascii="Book Antiqua" w:hAnsi="Book Antiqua" w:cs="Helvetica"/>
          <w:sz w:val="24"/>
          <w:szCs w:val="24"/>
        </w:rPr>
        <w:t xml:space="preserve">Grade D (Fair): </w:t>
      </w:r>
      <w:r w:rsidRPr="00313BA1">
        <w:rPr>
          <w:rFonts w:ascii="Book Antiqua" w:eastAsia="SimSun" w:hAnsi="Book Antiqua" w:cs="Helvetica"/>
          <w:sz w:val="24"/>
          <w:szCs w:val="24"/>
          <w:lang w:eastAsia="zh-CN"/>
        </w:rPr>
        <w:t>0</w:t>
      </w:r>
    </w:p>
    <w:p w:rsidR="00313BA1" w:rsidRPr="00313BA1" w:rsidRDefault="00313BA1" w:rsidP="00313BA1">
      <w:pPr>
        <w:pStyle w:val="ListParagraph"/>
        <w:shd w:val="clear" w:color="auto" w:fill="FFFFFF"/>
        <w:snapToGrid w:val="0"/>
        <w:spacing w:after="0" w:line="360" w:lineRule="auto"/>
        <w:ind w:left="360"/>
        <w:jc w:val="both"/>
        <w:rPr>
          <w:rFonts w:ascii="Book Antiqua" w:hAnsi="Book Antiqua" w:cs="Helvetica"/>
          <w:sz w:val="24"/>
          <w:szCs w:val="24"/>
        </w:rPr>
      </w:pPr>
      <w:r w:rsidRPr="00313BA1">
        <w:rPr>
          <w:rFonts w:ascii="Book Antiqua" w:hAnsi="Book Antiqua" w:cs="Helvetica"/>
          <w:sz w:val="24"/>
          <w:szCs w:val="24"/>
        </w:rPr>
        <w:t>Grade E (Poor): 0</w:t>
      </w:r>
    </w:p>
    <w:p w:rsidR="00313BA1" w:rsidRPr="00313BA1" w:rsidRDefault="00313BA1" w:rsidP="00313BA1">
      <w:pPr>
        <w:pStyle w:val="ListParagraph"/>
        <w:spacing w:after="0" w:line="360" w:lineRule="auto"/>
        <w:ind w:left="360"/>
        <w:jc w:val="both"/>
        <w:rPr>
          <w:rFonts w:ascii="Book Antiqua" w:hAnsi="Book Antiqua"/>
          <w:bCs/>
          <w:iCs/>
          <w:sz w:val="24"/>
          <w:szCs w:val="24"/>
        </w:rPr>
      </w:pPr>
    </w:p>
    <w:p w:rsidR="00E91C72" w:rsidRPr="00313BA1" w:rsidRDefault="00E91C72" w:rsidP="00313BA1">
      <w:pPr>
        <w:spacing w:after="0" w:line="360" w:lineRule="auto"/>
        <w:jc w:val="both"/>
        <w:rPr>
          <w:rFonts w:ascii="Book Antiqua" w:eastAsia="SimSun" w:hAnsi="Book Antiqua" w:cs="Arial"/>
          <w:noProof/>
          <w:sz w:val="24"/>
          <w:szCs w:val="24"/>
          <w:lang w:val="en-US" w:eastAsia="zh-CN"/>
        </w:rPr>
      </w:pPr>
      <w:r w:rsidRPr="00313BA1">
        <w:rPr>
          <w:rFonts w:ascii="Book Antiqua" w:hAnsi="Book Antiqua" w:cs="Arial"/>
          <w:noProof/>
          <w:sz w:val="24"/>
          <w:szCs w:val="24"/>
          <w:lang w:val="en-US"/>
        </w:rPr>
        <w:br w:type="page"/>
      </w:r>
      <w:r w:rsidRPr="00313BA1">
        <w:rPr>
          <w:rFonts w:ascii="Book Antiqua" w:eastAsia="Arial" w:hAnsi="Book Antiqua" w:cs="Arial"/>
          <w:b/>
          <w:noProof/>
          <w:sz w:val="24"/>
          <w:szCs w:val="24"/>
          <w:lang w:val="en-US" w:eastAsia="zh-CN"/>
        </w:rPr>
        <w:lastRenderedPageBreak/>
        <w:drawing>
          <wp:inline distT="0" distB="0" distL="0" distR="0" wp14:anchorId="3C537949" wp14:editId="6960C62D">
            <wp:extent cx="5274310" cy="355473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5274310" cy="3554730"/>
                    </a:xfrm>
                    <a:prstGeom prst="rect">
                      <a:avLst/>
                    </a:prstGeom>
                  </pic:spPr>
                </pic:pic>
              </a:graphicData>
            </a:graphic>
          </wp:inline>
        </w:drawing>
      </w:r>
      <w:r w:rsidRPr="00313BA1">
        <w:rPr>
          <w:rFonts w:ascii="Book Antiqua" w:eastAsia="Arial" w:hAnsi="Book Antiqua" w:cs="Arial"/>
          <w:b/>
          <w:sz w:val="24"/>
          <w:szCs w:val="24"/>
          <w:lang w:val="en-US"/>
        </w:rPr>
        <w:t>Figure 1 Chronological axis of the patient’s medical history</w:t>
      </w:r>
      <w:r w:rsidRPr="00313BA1">
        <w:rPr>
          <w:rFonts w:ascii="Book Antiqua" w:eastAsia="SimSun" w:hAnsi="Book Antiqua" w:cs="Arial"/>
          <w:b/>
          <w:sz w:val="24"/>
          <w:szCs w:val="24"/>
          <w:lang w:val="en-US" w:eastAsia="zh-CN"/>
        </w:rPr>
        <w:t>.</w:t>
      </w:r>
    </w:p>
    <w:p w:rsidR="003C1D65" w:rsidRPr="00313BA1" w:rsidRDefault="003C1D65"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sz w:val="24"/>
          <w:szCs w:val="24"/>
          <w:lang w:val="en-US" w:eastAsia="zh-CN"/>
        </w:rPr>
        <w:br w:type="page"/>
      </w:r>
    </w:p>
    <w:p w:rsidR="00E91C72" w:rsidRPr="00313BA1" w:rsidRDefault="00E91C72"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noProof/>
          <w:sz w:val="24"/>
          <w:szCs w:val="24"/>
          <w:lang w:val="en-US" w:eastAsia="zh-CN"/>
        </w:rPr>
        <w:lastRenderedPageBreak/>
        <w:drawing>
          <wp:inline distT="0" distB="0" distL="0" distR="0" wp14:anchorId="409F9253" wp14:editId="44BD5C29">
            <wp:extent cx="2720340" cy="2329796"/>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2721151" cy="2330491"/>
                    </a:xfrm>
                    <a:prstGeom prst="rect">
                      <a:avLst/>
                    </a:prstGeom>
                  </pic:spPr>
                </pic:pic>
              </a:graphicData>
            </a:graphic>
          </wp:inline>
        </w:drawing>
      </w:r>
    </w:p>
    <w:p w:rsidR="00E91C72" w:rsidRPr="00313BA1" w:rsidRDefault="00E91C72" w:rsidP="00313BA1">
      <w:pPr>
        <w:spacing w:after="0" w:line="360" w:lineRule="auto"/>
        <w:jc w:val="both"/>
        <w:rPr>
          <w:rFonts w:ascii="Book Antiqua" w:eastAsia="SimSun" w:hAnsi="Book Antiqua" w:cs="Arial"/>
          <w:sz w:val="24"/>
          <w:szCs w:val="24"/>
          <w:lang w:val="en-US" w:eastAsia="zh-CN"/>
        </w:rPr>
      </w:pPr>
      <w:r w:rsidRPr="00313BA1">
        <w:rPr>
          <w:rFonts w:ascii="Book Antiqua" w:eastAsia="Times New Roman" w:hAnsi="Book Antiqua" w:cs="Arial"/>
          <w:b/>
          <w:sz w:val="24"/>
          <w:szCs w:val="24"/>
          <w:lang w:val="en-US"/>
        </w:rPr>
        <w:t xml:space="preserve">Figure 2 Mammary ultrasound image. </w:t>
      </w:r>
      <w:r w:rsidRPr="00313BA1">
        <w:rPr>
          <w:rFonts w:ascii="Book Antiqua" w:eastAsia="Times New Roman" w:hAnsi="Book Antiqua" w:cs="Arial"/>
          <w:sz w:val="24"/>
          <w:szCs w:val="24"/>
          <w:lang w:val="en-US"/>
        </w:rPr>
        <w:t xml:space="preserve">Asterisk showing solid </w:t>
      </w:r>
      <w:proofErr w:type="spellStart"/>
      <w:r w:rsidRPr="00313BA1">
        <w:rPr>
          <w:rFonts w:ascii="Book Antiqua" w:eastAsia="Times New Roman" w:hAnsi="Book Antiqua" w:cs="Arial"/>
          <w:sz w:val="24"/>
          <w:szCs w:val="24"/>
          <w:lang w:val="en-US"/>
        </w:rPr>
        <w:t>tumour</w:t>
      </w:r>
      <w:proofErr w:type="spellEnd"/>
      <w:r w:rsidRPr="00313BA1">
        <w:rPr>
          <w:rFonts w:ascii="Book Antiqua" w:eastAsia="Times New Roman" w:hAnsi="Book Antiqua" w:cs="Arial"/>
          <w:sz w:val="24"/>
          <w:szCs w:val="24"/>
          <w:lang w:val="en-US"/>
        </w:rPr>
        <w:t>, badly defined, irregular and blurry borders with light posterior shadow. Signs of malignancy on ultrasound.</w:t>
      </w:r>
    </w:p>
    <w:p w:rsidR="003C1D65" w:rsidRPr="00313BA1" w:rsidRDefault="003C1D65"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sz w:val="24"/>
          <w:szCs w:val="24"/>
          <w:lang w:val="en-US" w:eastAsia="zh-CN"/>
        </w:rPr>
        <w:br w:type="page"/>
      </w:r>
    </w:p>
    <w:p w:rsidR="00E91C72" w:rsidRPr="00313BA1" w:rsidRDefault="00E91C72"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noProof/>
          <w:sz w:val="24"/>
          <w:szCs w:val="24"/>
          <w:lang w:val="en-US" w:eastAsia="zh-CN"/>
        </w:rPr>
        <w:lastRenderedPageBreak/>
        <w:drawing>
          <wp:inline distT="0" distB="0" distL="0" distR="0" wp14:anchorId="2F855ADA" wp14:editId="29FB1B63">
            <wp:extent cx="2796540" cy="2314378"/>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extLst>
                        <a:ext uri="{28A0092B-C50C-407E-A947-70E740481C1C}">
                          <a14:useLocalDpi xmlns:a14="http://schemas.microsoft.com/office/drawing/2010/main" val="0"/>
                        </a:ext>
                      </a:extLst>
                    </a:blip>
                    <a:stretch>
                      <a:fillRect/>
                    </a:stretch>
                  </pic:blipFill>
                  <pic:spPr>
                    <a:xfrm>
                      <a:off x="0" y="0"/>
                      <a:ext cx="2797375" cy="2315069"/>
                    </a:xfrm>
                    <a:prstGeom prst="rect">
                      <a:avLst/>
                    </a:prstGeom>
                  </pic:spPr>
                </pic:pic>
              </a:graphicData>
            </a:graphic>
          </wp:inline>
        </w:drawing>
      </w:r>
    </w:p>
    <w:p w:rsidR="00E91C72" w:rsidRPr="00313BA1"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313BA1">
        <w:rPr>
          <w:rFonts w:ascii="Book Antiqua" w:eastAsia="Times New Roman" w:hAnsi="Book Antiqua" w:cs="Arial"/>
          <w:b/>
          <w:sz w:val="24"/>
          <w:szCs w:val="24"/>
          <w:lang w:val="en-US"/>
        </w:rPr>
        <w:t>Figure 3 Transvaginal gynecological ultrasound.</w:t>
      </w:r>
      <w:r w:rsidRPr="00313BA1">
        <w:rPr>
          <w:rFonts w:ascii="Book Antiqua" w:eastAsia="Times New Roman" w:hAnsi="Book Antiqua" w:cs="Arial"/>
          <w:sz w:val="24"/>
          <w:szCs w:val="24"/>
          <w:lang w:val="en-US"/>
        </w:rPr>
        <w:t xml:space="preserve"> Asterisk shows ovarian cystic </w:t>
      </w:r>
      <w:proofErr w:type="spellStart"/>
      <w:r w:rsidRPr="00313BA1">
        <w:rPr>
          <w:rFonts w:ascii="Book Antiqua" w:eastAsia="Times New Roman" w:hAnsi="Book Antiqua" w:cs="Arial"/>
          <w:sz w:val="24"/>
          <w:szCs w:val="24"/>
          <w:lang w:val="en-US"/>
        </w:rPr>
        <w:t>tumour</w:t>
      </w:r>
      <w:proofErr w:type="spellEnd"/>
      <w:r w:rsidRPr="00313BA1">
        <w:rPr>
          <w:rFonts w:ascii="Book Antiqua" w:eastAsia="Times New Roman" w:hAnsi="Book Antiqua" w:cs="Arial"/>
          <w:sz w:val="24"/>
          <w:szCs w:val="24"/>
          <w:lang w:val="en-US"/>
        </w:rPr>
        <w:t xml:space="preserve"> containing clear liquid, well-defined borders, and smooth internal walls, suggesting serous ovarian cyst.</w:t>
      </w:r>
    </w:p>
    <w:p w:rsidR="003C1D65" w:rsidRPr="00313BA1" w:rsidRDefault="003C1D65"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sz w:val="24"/>
          <w:szCs w:val="24"/>
          <w:lang w:val="en-US" w:eastAsia="zh-CN"/>
        </w:rPr>
        <w:br w:type="page"/>
      </w:r>
    </w:p>
    <w:p w:rsidR="00E91C72" w:rsidRPr="00313BA1" w:rsidRDefault="00E91C72"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noProof/>
          <w:sz w:val="24"/>
          <w:szCs w:val="24"/>
          <w:lang w:val="en-US" w:eastAsia="zh-CN"/>
        </w:rPr>
        <w:lastRenderedPageBreak/>
        <w:drawing>
          <wp:inline distT="0" distB="0" distL="0" distR="0" wp14:anchorId="215675AA" wp14:editId="0CECC64A">
            <wp:extent cx="2872740" cy="1932488"/>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extLst>
                        <a:ext uri="{28A0092B-C50C-407E-A947-70E740481C1C}">
                          <a14:useLocalDpi xmlns:a14="http://schemas.microsoft.com/office/drawing/2010/main" val="0"/>
                        </a:ext>
                      </a:extLst>
                    </a:blip>
                    <a:stretch>
                      <a:fillRect/>
                    </a:stretch>
                  </pic:blipFill>
                  <pic:spPr>
                    <a:xfrm>
                      <a:off x="0" y="0"/>
                      <a:ext cx="2873596" cy="1933064"/>
                    </a:xfrm>
                    <a:prstGeom prst="rect">
                      <a:avLst/>
                    </a:prstGeom>
                  </pic:spPr>
                </pic:pic>
              </a:graphicData>
            </a:graphic>
          </wp:inline>
        </w:drawing>
      </w:r>
    </w:p>
    <w:p w:rsidR="00E91C72" w:rsidRPr="00313BA1"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313BA1">
        <w:rPr>
          <w:rFonts w:ascii="Book Antiqua" w:eastAsia="Times New Roman" w:hAnsi="Book Antiqua" w:cs="Arial"/>
          <w:b/>
          <w:sz w:val="24"/>
          <w:szCs w:val="24"/>
          <w:lang w:val="en-US"/>
        </w:rPr>
        <w:t>Figure 4 Transvaginal gynecological ultrasound.</w:t>
      </w:r>
      <w:r w:rsidRPr="00313BA1">
        <w:rPr>
          <w:rFonts w:ascii="Book Antiqua" w:eastAsia="Times New Roman" w:hAnsi="Book Antiqua" w:cs="Arial"/>
          <w:sz w:val="24"/>
          <w:szCs w:val="24"/>
          <w:lang w:val="en-US"/>
        </w:rPr>
        <w:t xml:space="preserve"> Asterisks show complex </w:t>
      </w:r>
      <w:proofErr w:type="spellStart"/>
      <w:r w:rsidRPr="00313BA1">
        <w:rPr>
          <w:rFonts w:ascii="Book Antiqua" w:eastAsia="Times New Roman" w:hAnsi="Book Antiqua" w:cs="Arial"/>
          <w:sz w:val="24"/>
          <w:szCs w:val="24"/>
          <w:lang w:val="en-US"/>
        </w:rPr>
        <w:t>paraovarian</w:t>
      </w:r>
      <w:proofErr w:type="spellEnd"/>
      <w:r w:rsidRPr="00313BA1">
        <w:rPr>
          <w:rFonts w:ascii="Book Antiqua" w:eastAsia="Times New Roman" w:hAnsi="Book Antiqua" w:cs="Arial"/>
          <w:sz w:val="24"/>
          <w:szCs w:val="24"/>
          <w:lang w:val="en-US"/>
        </w:rPr>
        <w:t xml:space="preserve"> </w:t>
      </w:r>
      <w:proofErr w:type="spellStart"/>
      <w:r w:rsidRPr="00313BA1">
        <w:rPr>
          <w:rFonts w:ascii="Book Antiqua" w:eastAsia="Times New Roman" w:hAnsi="Book Antiqua" w:cs="Arial"/>
          <w:sz w:val="24"/>
          <w:szCs w:val="24"/>
          <w:lang w:val="en-US"/>
        </w:rPr>
        <w:t>tumour</w:t>
      </w:r>
      <w:proofErr w:type="spellEnd"/>
      <w:r w:rsidRPr="00313BA1">
        <w:rPr>
          <w:rFonts w:ascii="Book Antiqua" w:eastAsia="Times New Roman" w:hAnsi="Book Antiqua" w:cs="Arial"/>
          <w:sz w:val="24"/>
          <w:szCs w:val="24"/>
          <w:lang w:val="en-US"/>
        </w:rPr>
        <w:t xml:space="preserve">, multilobed, containing liquid and semiliquid, well defined, and with internal walls, suggesting hydrosalpinx. Doppler map of low vascularization and Doppler </w:t>
      </w:r>
      <w:proofErr w:type="spellStart"/>
      <w:r w:rsidRPr="00313BA1">
        <w:rPr>
          <w:rFonts w:ascii="Book Antiqua" w:eastAsia="Times New Roman" w:hAnsi="Book Antiqua" w:cs="Arial"/>
          <w:sz w:val="24"/>
          <w:szCs w:val="24"/>
          <w:lang w:val="en-US"/>
        </w:rPr>
        <w:t>fluxometry</w:t>
      </w:r>
      <w:proofErr w:type="spellEnd"/>
      <w:r w:rsidRPr="00313BA1">
        <w:rPr>
          <w:rFonts w:ascii="Book Antiqua" w:eastAsia="Times New Roman" w:hAnsi="Book Antiqua" w:cs="Arial"/>
          <w:sz w:val="24"/>
          <w:szCs w:val="24"/>
          <w:lang w:val="en-US"/>
        </w:rPr>
        <w:t xml:space="preserve"> with normal resistances.</w:t>
      </w:r>
    </w:p>
    <w:p w:rsidR="003C1D65" w:rsidRPr="00313BA1" w:rsidRDefault="003C1D65"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sz w:val="24"/>
          <w:szCs w:val="24"/>
          <w:lang w:val="en-US" w:eastAsia="zh-CN"/>
        </w:rPr>
        <w:br w:type="page"/>
      </w:r>
    </w:p>
    <w:p w:rsidR="00E91C72" w:rsidRPr="00313BA1" w:rsidRDefault="00E91C72"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noProof/>
          <w:sz w:val="24"/>
          <w:szCs w:val="24"/>
          <w:lang w:val="en-US" w:eastAsia="zh-CN"/>
        </w:rPr>
        <w:lastRenderedPageBreak/>
        <w:drawing>
          <wp:inline distT="0" distB="0" distL="0" distR="0" wp14:anchorId="727FBBF4" wp14:editId="295A6CE3">
            <wp:extent cx="2948940" cy="219122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a:extLst>
                        <a:ext uri="{28A0092B-C50C-407E-A947-70E740481C1C}">
                          <a14:useLocalDpi xmlns:a14="http://schemas.microsoft.com/office/drawing/2010/main" val="0"/>
                        </a:ext>
                      </a:extLst>
                    </a:blip>
                    <a:stretch>
                      <a:fillRect/>
                    </a:stretch>
                  </pic:blipFill>
                  <pic:spPr>
                    <a:xfrm>
                      <a:off x="0" y="0"/>
                      <a:ext cx="2954694" cy="2195502"/>
                    </a:xfrm>
                    <a:prstGeom prst="rect">
                      <a:avLst/>
                    </a:prstGeom>
                  </pic:spPr>
                </pic:pic>
              </a:graphicData>
            </a:graphic>
          </wp:inline>
        </w:drawing>
      </w:r>
    </w:p>
    <w:p w:rsidR="00E91C72" w:rsidRPr="00313BA1" w:rsidRDefault="00E91C72" w:rsidP="00313BA1">
      <w:pPr>
        <w:spacing w:after="0" w:line="360" w:lineRule="auto"/>
        <w:ind w:right="-567"/>
        <w:jc w:val="both"/>
        <w:textAlignment w:val="baseline"/>
        <w:rPr>
          <w:rFonts w:ascii="Book Antiqua" w:eastAsia="Times New Roman" w:hAnsi="Book Antiqua" w:cs="Arial"/>
          <w:b/>
          <w:sz w:val="24"/>
          <w:szCs w:val="24"/>
          <w:lang w:val="en-US"/>
        </w:rPr>
      </w:pPr>
      <w:r w:rsidRPr="00313BA1">
        <w:rPr>
          <w:rFonts w:ascii="Book Antiqua" w:eastAsia="Times New Roman" w:hAnsi="Book Antiqua" w:cs="Arial"/>
          <w:b/>
          <w:sz w:val="24"/>
          <w:szCs w:val="24"/>
          <w:lang w:val="en-US"/>
        </w:rPr>
        <w:t>Figure 5 Type A embryo transferred to the patient.</w:t>
      </w:r>
    </w:p>
    <w:p w:rsidR="003C1D65" w:rsidRPr="00313BA1" w:rsidRDefault="003C1D65"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sz w:val="24"/>
          <w:szCs w:val="24"/>
          <w:lang w:val="en-US" w:eastAsia="zh-CN"/>
        </w:rPr>
        <w:br w:type="page"/>
      </w:r>
    </w:p>
    <w:p w:rsidR="00E91C72" w:rsidRPr="00313BA1" w:rsidRDefault="00E91C72" w:rsidP="00313BA1">
      <w:pPr>
        <w:spacing w:after="0" w:line="360" w:lineRule="auto"/>
        <w:jc w:val="both"/>
        <w:rPr>
          <w:rFonts w:ascii="Book Antiqua" w:eastAsia="SimSun" w:hAnsi="Book Antiqua"/>
          <w:sz w:val="24"/>
          <w:szCs w:val="24"/>
          <w:lang w:val="en-US" w:eastAsia="zh-CN"/>
        </w:rPr>
      </w:pPr>
      <w:r w:rsidRPr="00313BA1">
        <w:rPr>
          <w:rFonts w:ascii="Book Antiqua" w:eastAsia="SimSun" w:hAnsi="Book Antiqua"/>
          <w:noProof/>
          <w:sz w:val="24"/>
          <w:szCs w:val="24"/>
          <w:lang w:val="en-US" w:eastAsia="zh-CN"/>
        </w:rPr>
        <w:lastRenderedPageBreak/>
        <w:drawing>
          <wp:inline distT="0" distB="0" distL="0" distR="0" wp14:anchorId="253F1D43" wp14:editId="01526C95">
            <wp:extent cx="3421380" cy="3421380"/>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a:extLst>
                        <a:ext uri="{28A0092B-C50C-407E-A947-70E740481C1C}">
                          <a14:useLocalDpi xmlns:a14="http://schemas.microsoft.com/office/drawing/2010/main" val="0"/>
                        </a:ext>
                      </a:extLst>
                    </a:blip>
                    <a:stretch>
                      <a:fillRect/>
                    </a:stretch>
                  </pic:blipFill>
                  <pic:spPr>
                    <a:xfrm>
                      <a:off x="0" y="0"/>
                      <a:ext cx="3422287" cy="3422287"/>
                    </a:xfrm>
                    <a:prstGeom prst="rect">
                      <a:avLst/>
                    </a:prstGeom>
                  </pic:spPr>
                </pic:pic>
              </a:graphicData>
            </a:graphic>
          </wp:inline>
        </w:drawing>
      </w:r>
    </w:p>
    <w:p w:rsidR="00E91C72" w:rsidRPr="00313BA1" w:rsidRDefault="00E91C72" w:rsidP="00313BA1">
      <w:pPr>
        <w:spacing w:after="0" w:line="360" w:lineRule="auto"/>
        <w:ind w:right="-567"/>
        <w:jc w:val="both"/>
        <w:textAlignment w:val="baseline"/>
        <w:rPr>
          <w:rFonts w:ascii="Book Antiqua" w:eastAsia="Times New Roman" w:hAnsi="Book Antiqua" w:cs="Arial"/>
          <w:sz w:val="24"/>
          <w:szCs w:val="24"/>
          <w:lang w:val="en-US"/>
        </w:rPr>
      </w:pPr>
      <w:r w:rsidRPr="00313BA1">
        <w:rPr>
          <w:rFonts w:ascii="Book Antiqua" w:eastAsia="Times New Roman" w:hAnsi="Book Antiqua" w:cs="Arial"/>
          <w:b/>
          <w:sz w:val="24"/>
          <w:szCs w:val="24"/>
          <w:lang w:val="en-US"/>
        </w:rPr>
        <w:t>Figure 6 Abdominal obstetric ultrasound.</w:t>
      </w:r>
      <w:r w:rsidRPr="00313BA1">
        <w:rPr>
          <w:rFonts w:ascii="Book Antiqua" w:eastAsia="Times New Roman" w:hAnsi="Book Antiqua" w:cs="Arial"/>
          <w:sz w:val="24"/>
          <w:szCs w:val="24"/>
          <w:lang w:val="en-US"/>
        </w:rPr>
        <w:t xml:space="preserve"> </w:t>
      </w:r>
      <w:proofErr w:type="spellStart"/>
      <w:r w:rsidRPr="00313BA1">
        <w:rPr>
          <w:rFonts w:ascii="Book Antiqua" w:eastAsia="Times New Roman" w:hAnsi="Book Antiqua" w:cs="Arial"/>
          <w:sz w:val="24"/>
          <w:szCs w:val="24"/>
          <w:lang w:val="en-US"/>
        </w:rPr>
        <w:t>Dorso</w:t>
      </w:r>
      <w:proofErr w:type="spellEnd"/>
      <w:r w:rsidRPr="00313BA1">
        <w:rPr>
          <w:rFonts w:ascii="Book Antiqua" w:eastAsia="Times New Roman" w:hAnsi="Book Antiqua" w:cs="Arial"/>
          <w:sz w:val="24"/>
          <w:szCs w:val="24"/>
          <w:lang w:val="en-US"/>
        </w:rPr>
        <w:t>-posterior feed with first fetal position of a second trimester fetus.</w:t>
      </w:r>
    </w:p>
    <w:p w:rsidR="00E91C72" w:rsidRPr="00313BA1" w:rsidRDefault="00E91C72" w:rsidP="00313BA1">
      <w:pPr>
        <w:spacing w:after="0" w:line="360" w:lineRule="auto"/>
        <w:jc w:val="both"/>
        <w:rPr>
          <w:rFonts w:ascii="Book Antiqua" w:eastAsia="SimSun" w:hAnsi="Book Antiqua"/>
          <w:sz w:val="24"/>
          <w:szCs w:val="24"/>
          <w:lang w:val="en-US" w:eastAsia="zh-CN"/>
        </w:rPr>
      </w:pPr>
    </w:p>
    <w:sectPr w:rsidR="00E91C72" w:rsidRPr="00313B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252"/>
    <w:multiLevelType w:val="hybridMultilevel"/>
    <w:tmpl w:val="62585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425B1"/>
    <w:multiLevelType w:val="multilevel"/>
    <w:tmpl w:val="423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D1F9F"/>
    <w:multiLevelType w:val="hybridMultilevel"/>
    <w:tmpl w:val="B63814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D46BFB"/>
    <w:multiLevelType w:val="hybridMultilevel"/>
    <w:tmpl w:val="A0740E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531DCA"/>
    <w:multiLevelType w:val="hybridMultilevel"/>
    <w:tmpl w:val="25A6C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AE6F75"/>
    <w:multiLevelType w:val="hybridMultilevel"/>
    <w:tmpl w:val="5D70F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7D65DA"/>
    <w:multiLevelType w:val="hybridMultilevel"/>
    <w:tmpl w:val="580E7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9A197A"/>
    <w:multiLevelType w:val="hybridMultilevel"/>
    <w:tmpl w:val="3A7E8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7020D3"/>
    <w:multiLevelType w:val="hybridMultilevel"/>
    <w:tmpl w:val="ED42C2BC"/>
    <w:lvl w:ilvl="0" w:tplc="5B8EC838">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9D42BD"/>
    <w:multiLevelType w:val="hybridMultilevel"/>
    <w:tmpl w:val="3B0A7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7D4F0A"/>
    <w:multiLevelType w:val="hybridMultilevel"/>
    <w:tmpl w:val="02A4A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525A8"/>
    <w:multiLevelType w:val="hybridMultilevel"/>
    <w:tmpl w:val="C2582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7C2B34"/>
    <w:multiLevelType w:val="hybridMultilevel"/>
    <w:tmpl w:val="6096B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7F7773"/>
    <w:multiLevelType w:val="hybridMultilevel"/>
    <w:tmpl w:val="ABBA8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011767"/>
    <w:multiLevelType w:val="hybridMultilevel"/>
    <w:tmpl w:val="0546C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CC537D"/>
    <w:multiLevelType w:val="hybridMultilevel"/>
    <w:tmpl w:val="651AF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05369F"/>
    <w:multiLevelType w:val="hybridMultilevel"/>
    <w:tmpl w:val="59322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2B6F15"/>
    <w:multiLevelType w:val="hybridMultilevel"/>
    <w:tmpl w:val="30D0E36C"/>
    <w:lvl w:ilvl="0" w:tplc="38404A64">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CA265E"/>
    <w:multiLevelType w:val="hybridMultilevel"/>
    <w:tmpl w:val="E93EB40E"/>
    <w:lvl w:ilvl="0" w:tplc="48542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CC3D2D"/>
    <w:multiLevelType w:val="hybridMultilevel"/>
    <w:tmpl w:val="5F1647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FD1A4E"/>
    <w:multiLevelType w:val="hybridMultilevel"/>
    <w:tmpl w:val="91DAD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D576E8"/>
    <w:multiLevelType w:val="hybridMultilevel"/>
    <w:tmpl w:val="E0163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38419A"/>
    <w:multiLevelType w:val="hybridMultilevel"/>
    <w:tmpl w:val="BAEA1F86"/>
    <w:lvl w:ilvl="0" w:tplc="9982BF66">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2B181B"/>
    <w:multiLevelType w:val="hybridMultilevel"/>
    <w:tmpl w:val="185246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AE1F8E"/>
    <w:multiLevelType w:val="hybridMultilevel"/>
    <w:tmpl w:val="8408A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C05EE0"/>
    <w:multiLevelType w:val="hybridMultilevel"/>
    <w:tmpl w:val="0890D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E86D7B"/>
    <w:multiLevelType w:val="hybridMultilevel"/>
    <w:tmpl w:val="AF6EA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116121"/>
    <w:multiLevelType w:val="hybridMultilevel"/>
    <w:tmpl w:val="EAF67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3855A1"/>
    <w:multiLevelType w:val="hybridMultilevel"/>
    <w:tmpl w:val="72F6C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202D7B"/>
    <w:multiLevelType w:val="hybridMultilevel"/>
    <w:tmpl w:val="1A103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EF0722"/>
    <w:multiLevelType w:val="hybridMultilevel"/>
    <w:tmpl w:val="A94A2610"/>
    <w:lvl w:ilvl="0" w:tplc="9982BF66">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5301D8"/>
    <w:multiLevelType w:val="hybridMultilevel"/>
    <w:tmpl w:val="E976D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1515AC"/>
    <w:multiLevelType w:val="hybridMultilevel"/>
    <w:tmpl w:val="3C7CE046"/>
    <w:lvl w:ilvl="0" w:tplc="9E280832">
      <w:start w:val="1"/>
      <w:numFmt w:val="upperLetter"/>
      <w:lvlText w:val="%1."/>
      <w:lvlJc w:val="left"/>
      <w:pPr>
        <w:ind w:left="720" w:hanging="360"/>
      </w:pPr>
      <w:rPr>
        <w:b w:val="0"/>
        <w:color w:val="C45911"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964E9F"/>
    <w:multiLevelType w:val="hybridMultilevel"/>
    <w:tmpl w:val="04A68C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A71258"/>
    <w:multiLevelType w:val="multilevel"/>
    <w:tmpl w:val="DC6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0F7944"/>
    <w:multiLevelType w:val="hybridMultilevel"/>
    <w:tmpl w:val="E0C0C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9F678B"/>
    <w:multiLevelType w:val="hybridMultilevel"/>
    <w:tmpl w:val="11FEB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334389"/>
    <w:multiLevelType w:val="hybridMultilevel"/>
    <w:tmpl w:val="306896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7B12D8"/>
    <w:multiLevelType w:val="hybridMultilevel"/>
    <w:tmpl w:val="5E765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EC6DF3"/>
    <w:multiLevelType w:val="hybridMultilevel"/>
    <w:tmpl w:val="8760E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6"/>
  </w:num>
  <w:num w:numId="12">
    <w:abstractNumId w:val="14"/>
  </w:num>
  <w:num w:numId="13">
    <w:abstractNumId w:val="34"/>
  </w:num>
  <w:num w:numId="14">
    <w:abstractNumId w:val="10"/>
  </w:num>
  <w:num w:numId="15">
    <w:abstractNumId w:val="19"/>
  </w:num>
  <w:num w:numId="16">
    <w:abstractNumId w:val="24"/>
  </w:num>
  <w:num w:numId="17">
    <w:abstractNumId w:val="32"/>
  </w:num>
  <w:num w:numId="18">
    <w:abstractNumId w:val="35"/>
  </w:num>
  <w:num w:numId="19">
    <w:abstractNumId w:val="37"/>
  </w:num>
  <w:num w:numId="20">
    <w:abstractNumId w:val="15"/>
  </w:num>
  <w:num w:numId="21">
    <w:abstractNumId w:val="41"/>
  </w:num>
  <w:num w:numId="22">
    <w:abstractNumId w:val="22"/>
  </w:num>
  <w:num w:numId="23">
    <w:abstractNumId w:val="2"/>
  </w:num>
  <w:num w:numId="24">
    <w:abstractNumId w:val="30"/>
  </w:num>
  <w:num w:numId="25">
    <w:abstractNumId w:val="29"/>
  </w:num>
  <w:num w:numId="26">
    <w:abstractNumId w:val="25"/>
  </w:num>
  <w:num w:numId="27">
    <w:abstractNumId w:val="28"/>
  </w:num>
  <w:num w:numId="28">
    <w:abstractNumId w:val="33"/>
  </w:num>
  <w:num w:numId="29">
    <w:abstractNumId w:val="5"/>
  </w:num>
  <w:num w:numId="30">
    <w:abstractNumId w:val="27"/>
  </w:num>
  <w:num w:numId="31">
    <w:abstractNumId w:val="26"/>
  </w:num>
  <w:num w:numId="32">
    <w:abstractNumId w:val="18"/>
  </w:num>
  <w:num w:numId="33">
    <w:abstractNumId w:val="13"/>
  </w:num>
  <w:num w:numId="34">
    <w:abstractNumId w:val="16"/>
  </w:num>
  <w:num w:numId="35">
    <w:abstractNumId w:val="6"/>
  </w:num>
  <w:num w:numId="36">
    <w:abstractNumId w:val="12"/>
  </w:num>
  <w:num w:numId="37">
    <w:abstractNumId w:val="40"/>
  </w:num>
  <w:num w:numId="38">
    <w:abstractNumId w:val="31"/>
  </w:num>
  <w:num w:numId="39">
    <w:abstractNumId w:val="17"/>
  </w:num>
  <w:num w:numId="40">
    <w:abstractNumId w:val="9"/>
  </w:num>
  <w:num w:numId="41">
    <w:abstractNumId w:val="38"/>
  </w:num>
  <w:num w:numId="42">
    <w:abstractNumId w:val="23"/>
  </w:num>
  <w:num w:numId="43">
    <w:abstractNumId w:val="0"/>
  </w:num>
  <w:num w:numId="44">
    <w:abstractNumId w:val="21"/>
  </w:num>
  <w:num w:numId="45">
    <w:abstractNumId w:val="11"/>
  </w:num>
  <w:num w:numId="46">
    <w:abstractNumId w:val="4"/>
  </w:num>
  <w:num w:numId="47">
    <w:abstractNumId w:val="39"/>
  </w:num>
  <w:num w:numId="48">
    <w:abstractNumId w:val="8"/>
  </w:num>
  <w:num w:numId="49">
    <w:abstractNumId w:val="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4B"/>
    <w:rsid w:val="00030C09"/>
    <w:rsid w:val="00050295"/>
    <w:rsid w:val="00061E60"/>
    <w:rsid w:val="000727A9"/>
    <w:rsid w:val="00131258"/>
    <w:rsid w:val="00167DA5"/>
    <w:rsid w:val="00175FE0"/>
    <w:rsid w:val="00313BA1"/>
    <w:rsid w:val="00395FBB"/>
    <w:rsid w:val="003C1D65"/>
    <w:rsid w:val="004A6376"/>
    <w:rsid w:val="007F4532"/>
    <w:rsid w:val="00846397"/>
    <w:rsid w:val="00865C72"/>
    <w:rsid w:val="0094286E"/>
    <w:rsid w:val="009813F5"/>
    <w:rsid w:val="009A46FE"/>
    <w:rsid w:val="00A53F12"/>
    <w:rsid w:val="00A63E4B"/>
    <w:rsid w:val="00AD4E8A"/>
    <w:rsid w:val="00AF05F8"/>
    <w:rsid w:val="00AF3DA0"/>
    <w:rsid w:val="00B25774"/>
    <w:rsid w:val="00CF0874"/>
    <w:rsid w:val="00E91C72"/>
    <w:rsid w:val="00EC6204"/>
    <w:rsid w:val="00ED516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E7C5"/>
  <w15:docId w15:val="{8C5F4973-DF89-4E37-A536-89FA131B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E4B"/>
    <w:rPr>
      <w:rFonts w:eastAsiaTheme="minorEastAsia"/>
      <w:lang w:val="es-ES" w:eastAsia="es-ES"/>
    </w:rPr>
  </w:style>
  <w:style w:type="paragraph" w:styleId="Heading1">
    <w:name w:val="heading 1"/>
    <w:basedOn w:val="Normal"/>
    <w:next w:val="Normal"/>
    <w:link w:val="Heading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 w:val="24"/>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sz w:val="24"/>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A53F12"/>
    <w:pPr>
      <w:spacing w:after="0" w:line="240" w:lineRule="auto"/>
    </w:pPr>
    <w:rPr>
      <w:rFonts w:eastAsia="Times New Roman" w:cs="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spacing w:after="200" w:line="276" w:lineRule="auto"/>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character" w:styleId="Hyperlink">
    <w:name w:val="Hyperlink"/>
    <w:basedOn w:val="DefaultParagraphFont"/>
    <w:uiPriority w:val="99"/>
    <w:unhideWhenUsed/>
    <w:rsid w:val="00A63E4B"/>
    <w:rPr>
      <w:color w:val="0563C1" w:themeColor="hyperlink"/>
      <w:u w:val="single"/>
    </w:rPr>
  </w:style>
  <w:style w:type="character" w:styleId="CommentReference">
    <w:name w:val="annotation reference"/>
    <w:basedOn w:val="DefaultParagraphFont"/>
    <w:unhideWhenUsed/>
    <w:rsid w:val="00A63E4B"/>
    <w:rPr>
      <w:sz w:val="16"/>
      <w:szCs w:val="16"/>
    </w:rPr>
  </w:style>
  <w:style w:type="paragraph" w:styleId="CommentText">
    <w:name w:val="annotation text"/>
    <w:basedOn w:val="Normal"/>
    <w:link w:val="CommentTextChar"/>
    <w:unhideWhenUsed/>
    <w:qFormat/>
    <w:rsid w:val="00A63E4B"/>
    <w:pPr>
      <w:spacing w:line="240" w:lineRule="auto"/>
    </w:pPr>
    <w:rPr>
      <w:sz w:val="20"/>
      <w:szCs w:val="20"/>
    </w:rPr>
  </w:style>
  <w:style w:type="character" w:customStyle="1" w:styleId="CommentTextChar">
    <w:name w:val="Comment Text Char"/>
    <w:basedOn w:val="DefaultParagraphFont"/>
    <w:link w:val="CommentText"/>
    <w:qFormat/>
    <w:rsid w:val="00A63E4B"/>
    <w:rPr>
      <w:rFonts w:eastAsiaTheme="minorEastAsia"/>
      <w:sz w:val="20"/>
      <w:szCs w:val="20"/>
      <w:lang w:val="es-ES" w:eastAsia="es-ES"/>
    </w:rPr>
  </w:style>
  <w:style w:type="paragraph" w:styleId="BalloonText">
    <w:name w:val="Balloon Text"/>
    <w:basedOn w:val="Normal"/>
    <w:link w:val="BalloonTextChar"/>
    <w:uiPriority w:val="99"/>
    <w:semiHidden/>
    <w:unhideWhenUsed/>
    <w:rsid w:val="00A63E4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63E4B"/>
    <w:rPr>
      <w:rFonts w:eastAsiaTheme="minorEastAsia"/>
      <w:sz w:val="18"/>
      <w:szCs w:val="18"/>
      <w:lang w:val="es-ES" w:eastAsia="es-ES"/>
    </w:rPr>
  </w:style>
  <w:style w:type="paragraph" w:styleId="Subtitle">
    <w:name w:val="Subtitle"/>
    <w:basedOn w:val="Normal"/>
    <w:next w:val="Normal"/>
    <w:link w:val="SubtitleChar"/>
    <w:uiPriority w:val="11"/>
    <w:qFormat/>
    <w:rsid w:val="00A63E4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63E4B"/>
    <w:rPr>
      <w:rFonts w:eastAsiaTheme="minorEastAsia"/>
      <w:color w:val="5A5A5A" w:themeColor="text1" w:themeTint="A5"/>
      <w:spacing w:val="10"/>
      <w:lang w:val="es-ES" w:eastAsia="es-ES"/>
    </w:rPr>
  </w:style>
  <w:style w:type="paragraph" w:styleId="HTMLPreformatted">
    <w:name w:val="HTML Preformatted"/>
    <w:basedOn w:val="Normal"/>
    <w:link w:val="HTMLPreformattedChar"/>
    <w:uiPriority w:val="99"/>
    <w:unhideWhenUsed/>
    <w:rsid w:val="00A6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3E4B"/>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A63E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E4B"/>
    <w:pPr>
      <w:tabs>
        <w:tab w:val="center" w:pos="4252"/>
        <w:tab w:val="right" w:pos="8504"/>
      </w:tabs>
      <w:spacing w:line="240" w:lineRule="auto"/>
    </w:pPr>
  </w:style>
  <w:style w:type="character" w:customStyle="1" w:styleId="HeaderChar">
    <w:name w:val="Header Char"/>
    <w:basedOn w:val="DefaultParagraphFont"/>
    <w:link w:val="Header"/>
    <w:uiPriority w:val="99"/>
    <w:rsid w:val="00A63E4B"/>
    <w:rPr>
      <w:rFonts w:eastAsiaTheme="minorEastAsia"/>
      <w:lang w:val="es-ES" w:eastAsia="es-ES"/>
    </w:rPr>
  </w:style>
  <w:style w:type="paragraph" w:styleId="Footer">
    <w:name w:val="footer"/>
    <w:basedOn w:val="Normal"/>
    <w:link w:val="FooterChar"/>
    <w:uiPriority w:val="99"/>
    <w:unhideWhenUsed/>
    <w:rsid w:val="00A63E4B"/>
    <w:pPr>
      <w:tabs>
        <w:tab w:val="center" w:pos="4252"/>
        <w:tab w:val="right" w:pos="8504"/>
      </w:tabs>
      <w:spacing w:line="240" w:lineRule="auto"/>
    </w:pPr>
  </w:style>
  <w:style w:type="character" w:customStyle="1" w:styleId="FooterChar">
    <w:name w:val="Footer Char"/>
    <w:basedOn w:val="DefaultParagraphFont"/>
    <w:link w:val="Footer"/>
    <w:uiPriority w:val="99"/>
    <w:rsid w:val="00A63E4B"/>
    <w:rPr>
      <w:rFonts w:eastAsiaTheme="minorEastAsia"/>
      <w:lang w:val="es-ES" w:eastAsia="es-ES"/>
    </w:rPr>
  </w:style>
  <w:style w:type="character" w:styleId="SubtleReference">
    <w:name w:val="Subtle Reference"/>
    <w:basedOn w:val="DefaultParagraphFont"/>
    <w:uiPriority w:val="31"/>
    <w:qFormat/>
    <w:rsid w:val="00A63E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63E4B"/>
    <w:rPr>
      <w:b/>
      <w:bCs/>
      <w:smallCaps/>
      <w:u w:val="single"/>
    </w:rPr>
  </w:style>
  <w:style w:type="paragraph" w:styleId="IntenseQuote">
    <w:name w:val="Intense Quote"/>
    <w:basedOn w:val="Normal"/>
    <w:next w:val="Normal"/>
    <w:link w:val="IntenseQuoteChar"/>
    <w:uiPriority w:val="30"/>
    <w:qFormat/>
    <w:rsid w:val="00A63E4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63E4B"/>
    <w:rPr>
      <w:rFonts w:eastAsiaTheme="minorEastAsia"/>
      <w:color w:val="000000" w:themeColor="text1"/>
      <w:shd w:val="clear" w:color="auto" w:fill="F2F2F2" w:themeFill="background1" w:themeFillShade="F2"/>
      <w:lang w:val="es-ES" w:eastAsia="es-ES"/>
    </w:rPr>
  </w:style>
  <w:style w:type="paragraph" w:styleId="Quote">
    <w:name w:val="Quote"/>
    <w:basedOn w:val="Normal"/>
    <w:next w:val="Normal"/>
    <w:link w:val="QuoteChar"/>
    <w:uiPriority w:val="29"/>
    <w:qFormat/>
    <w:rsid w:val="00A63E4B"/>
    <w:pPr>
      <w:spacing w:before="160"/>
      <w:ind w:left="720" w:right="720"/>
    </w:pPr>
    <w:rPr>
      <w:i/>
      <w:iCs/>
      <w:color w:val="000000" w:themeColor="text1"/>
    </w:rPr>
  </w:style>
  <w:style w:type="character" w:customStyle="1" w:styleId="QuoteChar">
    <w:name w:val="Quote Char"/>
    <w:basedOn w:val="DefaultParagraphFont"/>
    <w:link w:val="Quote"/>
    <w:uiPriority w:val="29"/>
    <w:rsid w:val="00A63E4B"/>
    <w:rPr>
      <w:rFonts w:eastAsiaTheme="minorEastAsia"/>
      <w:i/>
      <w:iCs/>
      <w:color w:val="000000" w:themeColor="text1"/>
      <w:lang w:val="es-ES" w:eastAsia="es-ES"/>
    </w:rPr>
  </w:style>
  <w:style w:type="character" w:styleId="SubtleEmphasis">
    <w:name w:val="Subtle Emphasis"/>
    <w:basedOn w:val="DefaultParagraphFont"/>
    <w:uiPriority w:val="19"/>
    <w:qFormat/>
    <w:rsid w:val="00A63E4B"/>
    <w:rPr>
      <w:i/>
      <w:iCs/>
      <w:color w:val="404040" w:themeColor="text1" w:themeTint="BF"/>
    </w:rPr>
  </w:style>
  <w:style w:type="character" w:styleId="IntenseEmphasis">
    <w:name w:val="Intense Emphasis"/>
    <w:basedOn w:val="DefaultParagraphFont"/>
    <w:uiPriority w:val="21"/>
    <w:qFormat/>
    <w:rsid w:val="00A63E4B"/>
    <w:rPr>
      <w:b/>
      <w:bCs/>
      <w:i/>
      <w:iCs/>
      <w:caps/>
    </w:rPr>
  </w:style>
  <w:style w:type="character" w:styleId="BookTitle">
    <w:name w:val="Book Title"/>
    <w:basedOn w:val="DefaultParagraphFont"/>
    <w:uiPriority w:val="33"/>
    <w:qFormat/>
    <w:rsid w:val="00A63E4B"/>
    <w:rPr>
      <w:b w:val="0"/>
      <w:bCs w:val="0"/>
      <w:smallCaps/>
      <w:spacing w:val="5"/>
    </w:rPr>
  </w:style>
  <w:style w:type="character" w:styleId="LineNumber">
    <w:name w:val="line number"/>
    <w:basedOn w:val="DefaultParagraphFont"/>
    <w:uiPriority w:val="99"/>
    <w:semiHidden/>
    <w:unhideWhenUsed/>
    <w:rsid w:val="00A63E4B"/>
  </w:style>
  <w:style w:type="paragraph" w:customStyle="1" w:styleId="paragraph">
    <w:name w:val="paragraph"/>
    <w:basedOn w:val="Normal"/>
    <w:rsid w:val="00A63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A63E4B"/>
    <w:rPr>
      <w:rFonts w:eastAsiaTheme="minorEastAsia"/>
      <w:b/>
      <w:bCs/>
      <w:sz w:val="20"/>
      <w:szCs w:val="20"/>
      <w:lang w:val="es-ES" w:eastAsia="es-ES"/>
    </w:rPr>
  </w:style>
  <w:style w:type="paragraph" w:styleId="CommentSubject">
    <w:name w:val="annotation subject"/>
    <w:basedOn w:val="CommentText"/>
    <w:next w:val="CommentText"/>
    <w:link w:val="CommentSubjectChar"/>
    <w:uiPriority w:val="99"/>
    <w:semiHidden/>
    <w:unhideWhenUsed/>
    <w:rsid w:val="00A63E4B"/>
    <w:rPr>
      <w:b/>
      <w:bCs/>
    </w:rPr>
  </w:style>
  <w:style w:type="table" w:customStyle="1" w:styleId="TableNormal1">
    <w:name w:val="Table Normal1"/>
    <w:rsid w:val="00E91C72"/>
    <w:rPr>
      <w:rFonts w:eastAsiaTheme="minorEastAsia"/>
      <w:lang w:val="es-ES" w:eastAsia="es-ES"/>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E91C72"/>
    <w:rPr>
      <w:color w:val="808080"/>
      <w:shd w:val="clear" w:color="auto" w:fill="E6E6E6"/>
    </w:rPr>
  </w:style>
  <w:style w:type="table" w:styleId="TableGrid">
    <w:name w:val="Table Grid"/>
    <w:basedOn w:val="TableNormal"/>
    <w:uiPriority w:val="39"/>
    <w:rsid w:val="00E91C72"/>
    <w:pPr>
      <w:spacing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1C72"/>
    <w:rPr>
      <w:color w:val="808080"/>
    </w:rPr>
  </w:style>
  <w:style w:type="character" w:customStyle="1" w:styleId="Mencinsinresolver2">
    <w:name w:val="Mención sin resolver2"/>
    <w:basedOn w:val="DefaultParagraphFont"/>
    <w:uiPriority w:val="99"/>
    <w:semiHidden/>
    <w:unhideWhenUsed/>
    <w:rsid w:val="00E91C72"/>
    <w:rPr>
      <w:color w:val="808080"/>
      <w:shd w:val="clear" w:color="auto" w:fill="E6E6E6"/>
    </w:rPr>
  </w:style>
  <w:style w:type="character" w:customStyle="1" w:styleId="Mencinsinresolver3">
    <w:name w:val="Mención sin resolver3"/>
    <w:basedOn w:val="DefaultParagraphFont"/>
    <w:uiPriority w:val="99"/>
    <w:semiHidden/>
    <w:unhideWhenUsed/>
    <w:rsid w:val="00E91C72"/>
    <w:rPr>
      <w:color w:val="808080"/>
      <w:shd w:val="clear" w:color="auto" w:fill="E6E6E6"/>
    </w:rPr>
  </w:style>
  <w:style w:type="character" w:customStyle="1" w:styleId="UnresolvedMention1">
    <w:name w:val="Unresolved Mention1"/>
    <w:basedOn w:val="DefaultParagraphFont"/>
    <w:uiPriority w:val="99"/>
    <w:semiHidden/>
    <w:unhideWhenUsed/>
    <w:rsid w:val="00E91C72"/>
    <w:rPr>
      <w:color w:val="605E5C"/>
      <w:shd w:val="clear" w:color="auto" w:fill="E1DFDD"/>
    </w:rPr>
  </w:style>
  <w:style w:type="character" w:styleId="PageNumber">
    <w:name w:val="page number"/>
    <w:basedOn w:val="DefaultParagraphFont"/>
    <w:uiPriority w:val="99"/>
    <w:semiHidden/>
    <w:unhideWhenUsed/>
    <w:rsid w:val="00E9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hyperlink" Target="mailto:pgimenez@ub.edu"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2018-12-01T02:56:00Z</dcterms:created>
  <dcterms:modified xsi:type="dcterms:W3CDTF">2018-12-01T02:56:00Z</dcterms:modified>
</cp:coreProperties>
</file>