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37329" w:rsidRPr="006C3DC1" w:rsidRDefault="00437329" w:rsidP="006C3DC1">
      <w:pPr>
        <w:spacing w:line="360" w:lineRule="auto"/>
        <w:jc w:val="both"/>
        <w:rPr>
          <w:rFonts w:ascii="Book Antiqua" w:hAnsi="Book Antiqua"/>
          <w:sz w:val="24"/>
          <w:szCs w:val="24"/>
        </w:rPr>
      </w:pPr>
      <w:r w:rsidRPr="006C3DC1">
        <w:rPr>
          <w:rFonts w:ascii="Book Antiqua" w:hAnsi="Book Antiqua"/>
          <w:b/>
          <w:sz w:val="24"/>
          <w:szCs w:val="24"/>
        </w:rPr>
        <w:t xml:space="preserve">Name of Journal: </w:t>
      </w:r>
      <w:r w:rsidRPr="009457AB">
        <w:rPr>
          <w:rFonts w:ascii="Book Antiqua" w:hAnsi="Book Antiqua"/>
          <w:bCs/>
          <w:i/>
          <w:iCs/>
          <w:sz w:val="24"/>
          <w:szCs w:val="24"/>
        </w:rPr>
        <w:t>World Journal of Clinical Cases</w:t>
      </w:r>
    </w:p>
    <w:p w:rsidR="00437329" w:rsidRPr="006C3DC1" w:rsidRDefault="00437329" w:rsidP="006C3DC1">
      <w:pPr>
        <w:spacing w:line="360" w:lineRule="auto"/>
        <w:jc w:val="both"/>
        <w:rPr>
          <w:rFonts w:ascii="Book Antiqua" w:eastAsiaTheme="minorEastAsia" w:hAnsi="Book Antiqua"/>
          <w:b/>
          <w:sz w:val="24"/>
          <w:szCs w:val="24"/>
        </w:rPr>
      </w:pPr>
      <w:r w:rsidRPr="006C3DC1">
        <w:rPr>
          <w:rFonts w:ascii="Book Antiqua" w:hAnsi="Book Antiqua"/>
          <w:b/>
          <w:sz w:val="24"/>
          <w:szCs w:val="24"/>
        </w:rPr>
        <w:t xml:space="preserve">Manuscript NO: </w:t>
      </w:r>
      <w:r w:rsidRPr="009457AB">
        <w:rPr>
          <w:rFonts w:ascii="Book Antiqua" w:eastAsiaTheme="minorEastAsia" w:hAnsi="Book Antiqua"/>
          <w:sz w:val="24"/>
          <w:szCs w:val="24"/>
        </w:rPr>
        <w:t>41600</w:t>
      </w:r>
    </w:p>
    <w:p w:rsidR="00437329" w:rsidRPr="006C3DC1" w:rsidRDefault="00437329" w:rsidP="006C3DC1">
      <w:pPr>
        <w:spacing w:line="360" w:lineRule="auto"/>
        <w:jc w:val="both"/>
        <w:rPr>
          <w:rFonts w:ascii="Book Antiqua" w:eastAsiaTheme="minorEastAsia" w:hAnsi="Book Antiqua"/>
          <w:b/>
          <w:sz w:val="24"/>
          <w:szCs w:val="24"/>
        </w:rPr>
      </w:pPr>
      <w:r w:rsidRPr="006C3DC1">
        <w:rPr>
          <w:rFonts w:ascii="Book Antiqua" w:hAnsi="Book Antiqua"/>
          <w:b/>
          <w:sz w:val="24"/>
          <w:szCs w:val="24"/>
        </w:rPr>
        <w:t>Manuscript Type:</w:t>
      </w:r>
      <w:r w:rsidRPr="006C3DC1">
        <w:rPr>
          <w:rFonts w:ascii="Book Antiqua" w:hAnsi="Book Antiqua"/>
          <w:b/>
          <w:bCs/>
          <w:sz w:val="24"/>
          <w:szCs w:val="24"/>
        </w:rPr>
        <w:t xml:space="preserve"> </w:t>
      </w:r>
      <w:r w:rsidRPr="009457AB">
        <w:rPr>
          <w:rFonts w:ascii="Book Antiqua" w:hAnsi="Book Antiqua"/>
          <w:bCs/>
          <w:sz w:val="24"/>
          <w:szCs w:val="24"/>
        </w:rPr>
        <w:t>CASE REPORT</w:t>
      </w:r>
    </w:p>
    <w:p w:rsidR="00847F85" w:rsidRPr="006C3DC1" w:rsidRDefault="00847F85" w:rsidP="006C3DC1">
      <w:pPr>
        <w:spacing w:line="360" w:lineRule="auto"/>
        <w:jc w:val="both"/>
        <w:rPr>
          <w:rFonts w:ascii="Book Antiqua" w:eastAsiaTheme="minorEastAsia" w:hAnsi="Book Antiqua"/>
          <w:sz w:val="24"/>
          <w:szCs w:val="24"/>
        </w:rPr>
      </w:pPr>
    </w:p>
    <w:p w:rsidR="00437329" w:rsidRPr="006C3DC1" w:rsidRDefault="00141C1D" w:rsidP="006C3DC1">
      <w:pPr>
        <w:spacing w:line="360" w:lineRule="auto"/>
        <w:jc w:val="both"/>
        <w:rPr>
          <w:rFonts w:ascii="Book Antiqua" w:hAnsi="Book Antiqua"/>
          <w:b/>
          <w:sz w:val="24"/>
          <w:szCs w:val="24"/>
        </w:rPr>
      </w:pPr>
      <w:bookmarkStart w:id="0" w:name="OLE_LINK19"/>
      <w:r w:rsidRPr="006C3DC1">
        <w:rPr>
          <w:rFonts w:ascii="Book Antiqua" w:hAnsi="Book Antiqua"/>
          <w:b/>
          <w:bCs/>
          <w:sz w:val="24"/>
          <w:szCs w:val="24"/>
        </w:rPr>
        <w:t xml:space="preserve">Gastric cancer with severe immune thrombocytopenia: </w:t>
      </w:r>
      <w:bookmarkEnd w:id="0"/>
      <w:r w:rsidR="00437329" w:rsidRPr="006C3DC1">
        <w:rPr>
          <w:rFonts w:ascii="Book Antiqua" w:hAnsi="Book Antiqua"/>
          <w:b/>
          <w:sz w:val="24"/>
          <w:szCs w:val="24"/>
        </w:rPr>
        <w:t>A case report and review of literature</w:t>
      </w:r>
    </w:p>
    <w:p w:rsidR="00847F85" w:rsidRPr="006C3DC1" w:rsidRDefault="00847F85" w:rsidP="006C3DC1">
      <w:pPr>
        <w:spacing w:line="360" w:lineRule="auto"/>
        <w:jc w:val="both"/>
        <w:rPr>
          <w:rFonts w:ascii="Book Antiqua" w:eastAsiaTheme="minorEastAsia" w:hAnsi="Book Antiqua" w:cs="Times New Roman"/>
          <w:b/>
          <w:bCs/>
          <w:sz w:val="24"/>
          <w:szCs w:val="24"/>
        </w:rPr>
      </w:pPr>
    </w:p>
    <w:p w:rsidR="00847F85" w:rsidRPr="006C3DC1" w:rsidRDefault="00141C1D" w:rsidP="006C3DC1">
      <w:pPr>
        <w:spacing w:line="360" w:lineRule="auto"/>
        <w:jc w:val="both"/>
        <w:rPr>
          <w:rFonts w:ascii="Book Antiqua" w:eastAsia="Times New Roman" w:hAnsi="Book Antiqua" w:cs="Times New Roman"/>
          <w:sz w:val="24"/>
          <w:szCs w:val="24"/>
        </w:rPr>
      </w:pPr>
      <w:r w:rsidRPr="006C3DC1">
        <w:rPr>
          <w:rFonts w:ascii="Book Antiqua" w:hAnsi="Book Antiqua"/>
          <w:sz w:val="24"/>
          <w:szCs w:val="24"/>
        </w:rPr>
        <w:t xml:space="preserve">Zhao ZW </w:t>
      </w:r>
      <w:r w:rsidRPr="006C3DC1">
        <w:rPr>
          <w:rFonts w:ascii="Book Antiqua" w:hAnsi="Book Antiqua"/>
          <w:i/>
          <w:sz w:val="24"/>
          <w:szCs w:val="24"/>
        </w:rPr>
        <w:t>et al</w:t>
      </w:r>
      <w:r w:rsidRPr="006C3DC1">
        <w:rPr>
          <w:rFonts w:ascii="Book Antiqua" w:hAnsi="Book Antiqua"/>
          <w:sz w:val="24"/>
          <w:szCs w:val="24"/>
        </w:rPr>
        <w:t>. Gastric cancer with severe immune thrombocytopenia</w:t>
      </w:r>
    </w:p>
    <w:p w:rsidR="00847F85" w:rsidRPr="006C3DC1" w:rsidRDefault="00847F85" w:rsidP="006C3DC1">
      <w:pPr>
        <w:spacing w:line="360" w:lineRule="auto"/>
        <w:jc w:val="both"/>
        <w:rPr>
          <w:rFonts w:ascii="Book Antiqua" w:eastAsia="Times New Roman" w:hAnsi="Book Antiqua" w:cs="Times New Roman"/>
          <w:b/>
          <w:bCs/>
          <w:sz w:val="24"/>
          <w:szCs w:val="24"/>
        </w:rPr>
      </w:pPr>
    </w:p>
    <w:p w:rsidR="00847F85" w:rsidRPr="006C3DC1" w:rsidRDefault="00141C1D" w:rsidP="006C3DC1">
      <w:pPr>
        <w:spacing w:line="360" w:lineRule="auto"/>
        <w:jc w:val="both"/>
        <w:rPr>
          <w:rFonts w:ascii="Book Antiqua" w:eastAsia="Times New Roman" w:hAnsi="Book Antiqua" w:cs="Times New Roman"/>
          <w:sz w:val="24"/>
          <w:szCs w:val="24"/>
        </w:rPr>
      </w:pPr>
      <w:bookmarkStart w:id="1" w:name="OLE_LINK20"/>
      <w:bookmarkStart w:id="2" w:name="OLE_LINK4"/>
      <w:bookmarkStart w:id="3" w:name="OLE_LINK18"/>
      <w:proofErr w:type="spellStart"/>
      <w:r w:rsidRPr="006C3DC1">
        <w:rPr>
          <w:rFonts w:ascii="Book Antiqua" w:hAnsi="Book Antiqua"/>
          <w:sz w:val="24"/>
          <w:szCs w:val="24"/>
        </w:rPr>
        <w:t>Z</w:t>
      </w:r>
      <w:bookmarkStart w:id="4" w:name="OLE_LINK21"/>
      <w:bookmarkEnd w:id="1"/>
      <w:r w:rsidRPr="006C3DC1">
        <w:rPr>
          <w:rFonts w:ascii="Book Antiqua" w:hAnsi="Book Antiqua"/>
          <w:sz w:val="24"/>
          <w:szCs w:val="24"/>
        </w:rPr>
        <w:t>he</w:t>
      </w:r>
      <w:proofErr w:type="spellEnd"/>
      <w:r w:rsidRPr="006C3DC1">
        <w:rPr>
          <w:rFonts w:ascii="Book Antiqua" w:hAnsi="Book Antiqua"/>
          <w:sz w:val="24"/>
          <w:szCs w:val="24"/>
        </w:rPr>
        <w:t xml:space="preserve">-Wei Zhao, Wei-Ming Kang, </w:t>
      </w:r>
      <w:proofErr w:type="spellStart"/>
      <w:r w:rsidRPr="006C3DC1">
        <w:rPr>
          <w:rFonts w:ascii="Book Antiqua" w:hAnsi="Book Antiqua"/>
          <w:sz w:val="24"/>
          <w:szCs w:val="24"/>
        </w:rPr>
        <w:t>Zhi-Qiang</w:t>
      </w:r>
      <w:proofErr w:type="spellEnd"/>
      <w:r w:rsidRPr="006C3DC1">
        <w:rPr>
          <w:rFonts w:ascii="Book Antiqua" w:hAnsi="Book Antiqua"/>
          <w:sz w:val="24"/>
          <w:szCs w:val="24"/>
        </w:rPr>
        <w:t xml:space="preserve"> Ma, Xin Ye, Jian-Chun Y</w:t>
      </w:r>
      <w:bookmarkEnd w:id="4"/>
      <w:r w:rsidRPr="006C3DC1">
        <w:rPr>
          <w:rFonts w:ascii="Book Antiqua" w:hAnsi="Book Antiqua"/>
          <w:sz w:val="24"/>
          <w:szCs w:val="24"/>
        </w:rPr>
        <w:t>u</w:t>
      </w:r>
    </w:p>
    <w:bookmarkEnd w:id="2"/>
    <w:bookmarkEnd w:id="3"/>
    <w:p w:rsidR="00847F85" w:rsidRPr="006C3DC1" w:rsidRDefault="00847F85" w:rsidP="006C3DC1">
      <w:pPr>
        <w:spacing w:line="360" w:lineRule="auto"/>
        <w:jc w:val="both"/>
        <w:rPr>
          <w:rFonts w:ascii="Book Antiqua" w:eastAsia="Times New Roman" w:hAnsi="Book Antiqua" w:cs="Times New Roman"/>
          <w:b/>
          <w:bCs/>
          <w:sz w:val="24"/>
          <w:szCs w:val="24"/>
        </w:rPr>
      </w:pPr>
    </w:p>
    <w:p w:rsidR="00847F85" w:rsidRPr="006C3DC1" w:rsidRDefault="00141C1D" w:rsidP="006C3DC1">
      <w:pPr>
        <w:spacing w:line="360" w:lineRule="auto"/>
        <w:jc w:val="both"/>
        <w:rPr>
          <w:rFonts w:ascii="Book Antiqua" w:eastAsiaTheme="minorEastAsia" w:hAnsi="Book Antiqua" w:cs="Times New Roman"/>
          <w:sz w:val="24"/>
          <w:szCs w:val="24"/>
        </w:rPr>
      </w:pPr>
      <w:proofErr w:type="spellStart"/>
      <w:r w:rsidRPr="006C3DC1">
        <w:rPr>
          <w:rFonts w:ascii="Book Antiqua" w:hAnsi="Book Antiqua"/>
          <w:b/>
          <w:bCs/>
          <w:sz w:val="24"/>
          <w:szCs w:val="24"/>
        </w:rPr>
        <w:t>Zhe</w:t>
      </w:r>
      <w:proofErr w:type="spellEnd"/>
      <w:r w:rsidRPr="006C3DC1">
        <w:rPr>
          <w:rFonts w:ascii="Book Antiqua" w:hAnsi="Book Antiqua"/>
          <w:b/>
          <w:bCs/>
          <w:sz w:val="24"/>
          <w:szCs w:val="24"/>
        </w:rPr>
        <w:t xml:space="preserve">-Wei Zhao, Wei-Ming Kang, </w:t>
      </w:r>
      <w:proofErr w:type="spellStart"/>
      <w:r w:rsidRPr="006C3DC1">
        <w:rPr>
          <w:rFonts w:ascii="Book Antiqua" w:hAnsi="Book Antiqua"/>
          <w:b/>
          <w:bCs/>
          <w:sz w:val="24"/>
          <w:szCs w:val="24"/>
        </w:rPr>
        <w:t>Zhi-Qiang</w:t>
      </w:r>
      <w:proofErr w:type="spellEnd"/>
      <w:r w:rsidRPr="006C3DC1">
        <w:rPr>
          <w:rFonts w:ascii="Book Antiqua" w:hAnsi="Book Antiqua"/>
          <w:b/>
          <w:bCs/>
          <w:sz w:val="24"/>
          <w:szCs w:val="24"/>
        </w:rPr>
        <w:t xml:space="preserve"> Ma, Xin Ye, Jian-Chun Yu, </w:t>
      </w:r>
      <w:bookmarkStart w:id="5" w:name="OLE_LINK12"/>
      <w:r w:rsidRPr="006C3DC1">
        <w:rPr>
          <w:rFonts w:ascii="Book Antiqua" w:hAnsi="Book Antiqua"/>
          <w:sz w:val="24"/>
          <w:szCs w:val="24"/>
        </w:rPr>
        <w:t>D</w:t>
      </w:r>
      <w:bookmarkStart w:id="6" w:name="OLE_LINK13"/>
      <w:bookmarkEnd w:id="5"/>
      <w:r w:rsidRPr="006C3DC1">
        <w:rPr>
          <w:rFonts w:ascii="Book Antiqua" w:hAnsi="Book Antiqua"/>
          <w:sz w:val="24"/>
          <w:szCs w:val="24"/>
        </w:rPr>
        <w:t>epartment of General Surgery, Peking Union Medical College Hospital,</w:t>
      </w:r>
      <w:bookmarkEnd w:id="6"/>
      <w:r w:rsidRPr="006C3DC1">
        <w:rPr>
          <w:rFonts w:ascii="Book Antiqua" w:hAnsi="Book Antiqua"/>
          <w:sz w:val="24"/>
          <w:szCs w:val="24"/>
        </w:rPr>
        <w:t xml:space="preserve"> </w:t>
      </w:r>
      <w:bookmarkStart w:id="7" w:name="OLE_LINK44"/>
      <w:r w:rsidRPr="006C3DC1">
        <w:rPr>
          <w:rFonts w:ascii="Book Antiqua" w:hAnsi="Book Antiqua"/>
          <w:sz w:val="24"/>
          <w:szCs w:val="24"/>
        </w:rPr>
        <w:t>C</w:t>
      </w:r>
      <w:bookmarkStart w:id="8" w:name="OLE_LINK45"/>
      <w:bookmarkEnd w:id="7"/>
      <w:r w:rsidRPr="006C3DC1">
        <w:rPr>
          <w:rFonts w:ascii="Book Antiqua" w:hAnsi="Book Antiqua"/>
          <w:sz w:val="24"/>
          <w:szCs w:val="24"/>
        </w:rPr>
        <w:t>hinese Academy of Medical Science and Peking Union Medical College</w:t>
      </w:r>
      <w:bookmarkEnd w:id="8"/>
      <w:r w:rsidR="005B3790" w:rsidRPr="006C3DC1">
        <w:rPr>
          <w:rFonts w:ascii="Book Antiqua" w:eastAsiaTheme="minorEastAsia" w:hAnsi="Book Antiqua"/>
          <w:sz w:val="24"/>
          <w:szCs w:val="24"/>
        </w:rPr>
        <w:t>,</w:t>
      </w:r>
      <w:r w:rsidRPr="006C3DC1">
        <w:rPr>
          <w:rFonts w:ascii="Book Antiqua" w:hAnsi="Book Antiqua"/>
          <w:sz w:val="24"/>
          <w:szCs w:val="24"/>
        </w:rPr>
        <w:t xml:space="preserve"> </w:t>
      </w:r>
      <w:r w:rsidR="005B3790" w:rsidRPr="006C3DC1">
        <w:rPr>
          <w:rFonts w:ascii="Book Antiqua" w:hAnsi="Book Antiqua"/>
          <w:sz w:val="24"/>
          <w:szCs w:val="24"/>
        </w:rPr>
        <w:t>Beijing 100730, China</w:t>
      </w:r>
    </w:p>
    <w:p w:rsidR="00847F85" w:rsidRPr="006C3DC1" w:rsidRDefault="00847F85" w:rsidP="006C3DC1">
      <w:pPr>
        <w:spacing w:line="360" w:lineRule="auto"/>
        <w:jc w:val="both"/>
        <w:rPr>
          <w:rFonts w:ascii="Book Antiqua" w:eastAsia="Times New Roman" w:hAnsi="Book Antiqua" w:cs="Times New Roman"/>
          <w:sz w:val="24"/>
          <w:szCs w:val="24"/>
        </w:rPr>
      </w:pPr>
    </w:p>
    <w:p w:rsidR="00847F85" w:rsidRPr="006C3DC1" w:rsidRDefault="000E33BF" w:rsidP="006C3DC1">
      <w:pPr>
        <w:spacing w:line="360" w:lineRule="auto"/>
        <w:jc w:val="both"/>
        <w:rPr>
          <w:rFonts w:ascii="Book Antiqua" w:eastAsiaTheme="minorEastAsia" w:hAnsi="Book Antiqua" w:cs="Times New Roman"/>
          <w:sz w:val="24"/>
          <w:szCs w:val="24"/>
        </w:rPr>
      </w:pPr>
      <w:r w:rsidRPr="006C3DC1">
        <w:rPr>
          <w:rFonts w:ascii="Book Antiqua" w:hAnsi="Book Antiqua"/>
          <w:b/>
          <w:sz w:val="24"/>
          <w:szCs w:val="24"/>
        </w:rPr>
        <w:t>ORCID number:</w:t>
      </w:r>
      <w:r w:rsidR="00141C1D" w:rsidRPr="006C3DC1">
        <w:rPr>
          <w:rFonts w:ascii="Book Antiqua" w:hAnsi="Book Antiqua"/>
          <w:sz w:val="24"/>
          <w:szCs w:val="24"/>
        </w:rPr>
        <w:t xml:space="preserve"> </w:t>
      </w:r>
      <w:proofErr w:type="spellStart"/>
      <w:r w:rsidR="00141C1D" w:rsidRPr="006C3DC1">
        <w:rPr>
          <w:rFonts w:ascii="Book Antiqua" w:hAnsi="Book Antiqua"/>
          <w:sz w:val="24"/>
          <w:szCs w:val="24"/>
        </w:rPr>
        <w:t>Zhe</w:t>
      </w:r>
      <w:proofErr w:type="spellEnd"/>
      <w:r w:rsidR="00141C1D" w:rsidRPr="006C3DC1">
        <w:rPr>
          <w:rFonts w:ascii="Book Antiqua" w:hAnsi="Book Antiqua"/>
          <w:sz w:val="24"/>
          <w:szCs w:val="24"/>
        </w:rPr>
        <w:t>-Wei Zhao (</w:t>
      </w:r>
      <w:r w:rsidR="00745AAB" w:rsidRPr="006C3DC1">
        <w:rPr>
          <w:rFonts w:ascii="Book Antiqua" w:hAnsi="Book Antiqua"/>
          <w:sz w:val="24"/>
          <w:szCs w:val="24"/>
        </w:rPr>
        <w:t>0000-0002-0157-7472</w:t>
      </w:r>
      <w:r w:rsidR="00141C1D" w:rsidRPr="006C3DC1">
        <w:rPr>
          <w:rFonts w:ascii="Book Antiqua" w:hAnsi="Book Antiqua"/>
          <w:sz w:val="24"/>
          <w:szCs w:val="24"/>
        </w:rPr>
        <w:t>)</w:t>
      </w:r>
      <w:r w:rsidRPr="006C3DC1">
        <w:rPr>
          <w:rFonts w:ascii="Book Antiqua" w:eastAsiaTheme="minorEastAsia" w:hAnsi="Book Antiqua"/>
          <w:sz w:val="24"/>
          <w:szCs w:val="24"/>
        </w:rPr>
        <w:t>;</w:t>
      </w:r>
      <w:r w:rsidR="00141C1D" w:rsidRPr="006C3DC1">
        <w:rPr>
          <w:rFonts w:ascii="Book Antiqua" w:hAnsi="Book Antiqua"/>
          <w:sz w:val="24"/>
          <w:szCs w:val="24"/>
        </w:rPr>
        <w:t xml:space="preserve"> Wei-Ming Kang (0000-0001-6968-1394)</w:t>
      </w:r>
      <w:r w:rsidRPr="006C3DC1">
        <w:rPr>
          <w:rFonts w:ascii="Book Antiqua" w:eastAsiaTheme="minorEastAsia" w:hAnsi="Book Antiqua"/>
          <w:sz w:val="24"/>
          <w:szCs w:val="24"/>
        </w:rPr>
        <w:t>;</w:t>
      </w:r>
      <w:r w:rsidR="00141C1D" w:rsidRPr="006C3DC1">
        <w:rPr>
          <w:rFonts w:ascii="Book Antiqua" w:hAnsi="Book Antiqua"/>
          <w:sz w:val="24"/>
          <w:szCs w:val="24"/>
        </w:rPr>
        <w:t xml:space="preserve"> </w:t>
      </w:r>
      <w:proofErr w:type="spellStart"/>
      <w:r w:rsidR="00141C1D" w:rsidRPr="006C3DC1">
        <w:rPr>
          <w:rFonts w:ascii="Book Antiqua" w:hAnsi="Book Antiqua"/>
          <w:sz w:val="24"/>
          <w:szCs w:val="24"/>
        </w:rPr>
        <w:t>Zhi-Qiang</w:t>
      </w:r>
      <w:proofErr w:type="spellEnd"/>
      <w:r w:rsidR="00141C1D" w:rsidRPr="006C3DC1">
        <w:rPr>
          <w:rFonts w:ascii="Book Antiqua" w:hAnsi="Book Antiqua"/>
          <w:sz w:val="24"/>
          <w:szCs w:val="24"/>
        </w:rPr>
        <w:t xml:space="preserve"> Ma (0000-0001-6968-1396)</w:t>
      </w:r>
      <w:r w:rsidRPr="006C3DC1">
        <w:rPr>
          <w:rFonts w:ascii="Book Antiqua" w:eastAsiaTheme="minorEastAsia" w:hAnsi="Book Antiqua"/>
          <w:sz w:val="24"/>
          <w:szCs w:val="24"/>
        </w:rPr>
        <w:t>;</w:t>
      </w:r>
      <w:r w:rsidR="00141C1D" w:rsidRPr="006C3DC1">
        <w:rPr>
          <w:rFonts w:ascii="Book Antiqua" w:hAnsi="Book Antiqua"/>
          <w:sz w:val="24"/>
          <w:szCs w:val="24"/>
        </w:rPr>
        <w:t xml:space="preserve"> Xin Ye (0000-0001-6968-1392)</w:t>
      </w:r>
      <w:r w:rsidRPr="006C3DC1">
        <w:rPr>
          <w:rFonts w:ascii="Book Antiqua" w:eastAsiaTheme="minorEastAsia" w:hAnsi="Book Antiqua"/>
          <w:sz w:val="24"/>
          <w:szCs w:val="24"/>
        </w:rPr>
        <w:t>;</w:t>
      </w:r>
      <w:r w:rsidR="00141C1D" w:rsidRPr="006C3DC1">
        <w:rPr>
          <w:rFonts w:ascii="Book Antiqua" w:hAnsi="Book Antiqua"/>
          <w:sz w:val="24"/>
          <w:szCs w:val="24"/>
        </w:rPr>
        <w:t xml:space="preserve"> Jian-Chun Yu (0000-0002-8250-7475)</w:t>
      </w:r>
      <w:r w:rsidRPr="006C3DC1">
        <w:rPr>
          <w:rFonts w:ascii="Book Antiqua" w:eastAsiaTheme="minorEastAsia" w:hAnsi="Book Antiqua"/>
          <w:sz w:val="24"/>
          <w:szCs w:val="24"/>
        </w:rPr>
        <w:t>.</w:t>
      </w:r>
    </w:p>
    <w:p w:rsidR="00847F85" w:rsidRPr="006C3DC1" w:rsidRDefault="00847F85" w:rsidP="006C3DC1">
      <w:pPr>
        <w:spacing w:line="360" w:lineRule="auto"/>
        <w:jc w:val="both"/>
        <w:rPr>
          <w:rFonts w:ascii="Book Antiqua" w:eastAsia="Times New Roman" w:hAnsi="Book Antiqua" w:cs="Times New Roman"/>
          <w:sz w:val="24"/>
          <w:szCs w:val="24"/>
        </w:rPr>
      </w:pPr>
    </w:p>
    <w:p w:rsidR="00847F85" w:rsidRPr="006C3DC1" w:rsidRDefault="000E33BF" w:rsidP="006C3DC1">
      <w:pPr>
        <w:spacing w:line="360" w:lineRule="auto"/>
        <w:jc w:val="both"/>
        <w:rPr>
          <w:rFonts w:ascii="Book Antiqua" w:eastAsia="Times New Roman" w:hAnsi="Book Antiqua" w:cs="Times New Roman"/>
          <w:sz w:val="24"/>
          <w:szCs w:val="24"/>
        </w:rPr>
      </w:pPr>
      <w:r w:rsidRPr="006C3DC1">
        <w:rPr>
          <w:rFonts w:ascii="Book Antiqua" w:hAnsi="Book Antiqua"/>
          <w:b/>
          <w:sz w:val="24"/>
          <w:szCs w:val="24"/>
        </w:rPr>
        <w:t>Author contributions:</w:t>
      </w:r>
      <w:r w:rsidR="00141C1D" w:rsidRPr="006C3DC1">
        <w:rPr>
          <w:rFonts w:ascii="Book Antiqua" w:hAnsi="Book Antiqua"/>
          <w:sz w:val="24"/>
          <w:szCs w:val="24"/>
        </w:rPr>
        <w:t xml:space="preserve"> Yu JC and Zhao ZW drafted this manuscript</w:t>
      </w:r>
      <w:r w:rsidRPr="006C3DC1">
        <w:rPr>
          <w:rFonts w:ascii="Book Antiqua" w:eastAsiaTheme="minorEastAsia" w:hAnsi="Book Antiqua"/>
          <w:sz w:val="24"/>
          <w:szCs w:val="24"/>
        </w:rPr>
        <w:t>;</w:t>
      </w:r>
      <w:r w:rsidR="00141C1D" w:rsidRPr="006C3DC1">
        <w:rPr>
          <w:rFonts w:ascii="Book Antiqua" w:hAnsi="Book Antiqua"/>
          <w:sz w:val="24"/>
          <w:szCs w:val="24"/>
        </w:rPr>
        <w:t xml:space="preserve"> Yu JC and Kang WM performed the operation for this patient</w:t>
      </w:r>
      <w:r w:rsidRPr="006C3DC1">
        <w:rPr>
          <w:rFonts w:ascii="Book Antiqua" w:eastAsiaTheme="minorEastAsia" w:hAnsi="Book Antiqua"/>
          <w:sz w:val="24"/>
          <w:szCs w:val="24"/>
        </w:rPr>
        <w:t>;</w:t>
      </w:r>
      <w:r w:rsidR="00141C1D" w:rsidRPr="006C3DC1">
        <w:rPr>
          <w:rFonts w:ascii="Book Antiqua" w:hAnsi="Book Antiqua"/>
          <w:sz w:val="24"/>
          <w:szCs w:val="24"/>
        </w:rPr>
        <w:t xml:space="preserve"> Ma ZQ and Ye X analyzed the patient data and prepared the figures</w:t>
      </w:r>
      <w:r w:rsidRPr="006C3DC1">
        <w:rPr>
          <w:rFonts w:ascii="Book Antiqua" w:eastAsiaTheme="minorEastAsia" w:hAnsi="Book Antiqua"/>
          <w:sz w:val="24"/>
          <w:szCs w:val="24"/>
        </w:rPr>
        <w:t>;</w:t>
      </w:r>
      <w:r w:rsidR="00141C1D" w:rsidRPr="006C3DC1">
        <w:rPr>
          <w:rFonts w:ascii="Book Antiqua" w:hAnsi="Book Antiqua"/>
          <w:sz w:val="24"/>
          <w:szCs w:val="24"/>
        </w:rPr>
        <w:t xml:space="preserve"> </w:t>
      </w:r>
      <w:r w:rsidRPr="006C3DC1">
        <w:rPr>
          <w:rFonts w:ascii="Book Antiqua" w:hAnsi="Book Antiqua"/>
          <w:sz w:val="24"/>
          <w:szCs w:val="24"/>
        </w:rPr>
        <w:t>a</w:t>
      </w:r>
      <w:r w:rsidR="00141C1D" w:rsidRPr="006C3DC1">
        <w:rPr>
          <w:rFonts w:ascii="Book Antiqua" w:hAnsi="Book Antiqua"/>
          <w:sz w:val="24"/>
          <w:szCs w:val="24"/>
        </w:rPr>
        <w:t>ll authors read and approved the final manuscript.</w:t>
      </w:r>
    </w:p>
    <w:p w:rsidR="00847F85" w:rsidRPr="006C3DC1" w:rsidRDefault="00847F85" w:rsidP="006C3DC1">
      <w:pPr>
        <w:spacing w:line="360" w:lineRule="auto"/>
        <w:jc w:val="both"/>
        <w:rPr>
          <w:rFonts w:ascii="Book Antiqua" w:eastAsiaTheme="minorEastAsia" w:hAnsi="Book Antiqua" w:cs="Times New Roman"/>
          <w:sz w:val="24"/>
          <w:szCs w:val="24"/>
        </w:rPr>
      </w:pPr>
    </w:p>
    <w:p w:rsidR="000E33BF" w:rsidRDefault="000E33BF" w:rsidP="006C3DC1">
      <w:pPr>
        <w:spacing w:line="360" w:lineRule="auto"/>
        <w:jc w:val="both"/>
        <w:rPr>
          <w:rFonts w:ascii="Book Antiqua" w:eastAsiaTheme="minorEastAsia" w:hAnsi="Book Antiqua"/>
          <w:sz w:val="24"/>
          <w:szCs w:val="24"/>
        </w:rPr>
      </w:pPr>
      <w:r w:rsidRPr="006C3DC1">
        <w:rPr>
          <w:rFonts w:ascii="Book Antiqua" w:hAnsi="Book Antiqua"/>
          <w:b/>
          <w:sz w:val="24"/>
          <w:szCs w:val="24"/>
        </w:rPr>
        <w:t>Informed consent statement</w:t>
      </w:r>
      <w:r w:rsidRPr="006C3DC1">
        <w:rPr>
          <w:rFonts w:ascii="Book Antiqua" w:hAnsi="Book Antiqua"/>
          <w:b/>
          <w:iCs/>
          <w:sz w:val="24"/>
          <w:szCs w:val="24"/>
        </w:rPr>
        <w:t xml:space="preserve">: </w:t>
      </w:r>
      <w:r w:rsidRPr="006C3DC1">
        <w:rPr>
          <w:rFonts w:ascii="Book Antiqua" w:hAnsi="Book Antiqua"/>
          <w:sz w:val="24"/>
          <w:szCs w:val="24"/>
        </w:rPr>
        <w:t>Consent was obtained from relatives of the patient for publication of this report and any accompanying images.</w:t>
      </w:r>
    </w:p>
    <w:p w:rsidR="0050230B" w:rsidRPr="0050230B" w:rsidRDefault="0050230B" w:rsidP="006C3DC1">
      <w:pPr>
        <w:spacing w:line="360" w:lineRule="auto"/>
        <w:jc w:val="both"/>
        <w:rPr>
          <w:rFonts w:ascii="Book Antiqua" w:eastAsiaTheme="minorEastAsia" w:hAnsi="Book Antiqua"/>
          <w:b/>
          <w:sz w:val="24"/>
          <w:szCs w:val="24"/>
        </w:rPr>
      </w:pPr>
    </w:p>
    <w:p w:rsidR="000E33BF" w:rsidRPr="006C3DC1" w:rsidRDefault="000E33BF" w:rsidP="006C3DC1">
      <w:pPr>
        <w:spacing w:line="360" w:lineRule="auto"/>
        <w:jc w:val="both"/>
        <w:rPr>
          <w:rFonts w:ascii="Book Antiqua" w:hAnsi="Book Antiqua"/>
          <w:b/>
          <w:sz w:val="24"/>
          <w:szCs w:val="24"/>
        </w:rPr>
      </w:pPr>
      <w:r w:rsidRPr="006C3DC1">
        <w:rPr>
          <w:rFonts w:ascii="Book Antiqua" w:hAnsi="Book Antiqua"/>
          <w:b/>
          <w:sz w:val="24"/>
          <w:szCs w:val="24"/>
        </w:rPr>
        <w:t>Conflict-of-interest statement</w:t>
      </w:r>
      <w:r w:rsidRPr="006C3DC1">
        <w:rPr>
          <w:rFonts w:ascii="Book Antiqua" w:hAnsi="Book Antiqua" w:cs="TimesNewRomanPS-BoldItalicMT"/>
          <w:b/>
          <w:iCs/>
          <w:sz w:val="24"/>
          <w:szCs w:val="24"/>
        </w:rPr>
        <w:t xml:space="preserve">: </w:t>
      </w:r>
      <w:r w:rsidRPr="006C3DC1">
        <w:rPr>
          <w:rFonts w:ascii="Book Antiqua" w:hAnsi="Book Antiqua"/>
          <w:sz w:val="24"/>
          <w:szCs w:val="24"/>
        </w:rPr>
        <w:t>The authors declare that they have no conflicts of interest.</w:t>
      </w:r>
    </w:p>
    <w:p w:rsidR="000E33BF" w:rsidRPr="006C3DC1" w:rsidRDefault="000E33BF" w:rsidP="006C3DC1">
      <w:pPr>
        <w:snapToGrid w:val="0"/>
        <w:spacing w:line="360" w:lineRule="auto"/>
        <w:jc w:val="both"/>
        <w:rPr>
          <w:rFonts w:ascii="Book Antiqua" w:hAnsi="Book Antiqua" w:cs="Book Antiqua"/>
          <w:sz w:val="24"/>
          <w:szCs w:val="24"/>
        </w:rPr>
      </w:pPr>
    </w:p>
    <w:p w:rsidR="000E33BF" w:rsidRPr="006C3DC1" w:rsidRDefault="000E33BF" w:rsidP="006C3DC1">
      <w:pPr>
        <w:spacing w:line="360" w:lineRule="auto"/>
        <w:jc w:val="both"/>
        <w:rPr>
          <w:rFonts w:ascii="Book Antiqua" w:eastAsia="Times New Roman" w:hAnsi="Book Antiqua" w:cs="Times New Roman"/>
          <w:sz w:val="24"/>
          <w:szCs w:val="24"/>
        </w:rPr>
      </w:pPr>
      <w:r w:rsidRPr="006C3DC1">
        <w:rPr>
          <w:rFonts w:ascii="Book Antiqua" w:hAnsi="Book Antiqua"/>
          <w:b/>
          <w:sz w:val="24"/>
          <w:szCs w:val="24"/>
        </w:rPr>
        <w:lastRenderedPageBreak/>
        <w:t>CARE Checklist (2013) statement:</w:t>
      </w:r>
      <w:r w:rsidRPr="006C3DC1">
        <w:rPr>
          <w:rFonts w:ascii="Book Antiqua" w:hAnsi="Book Antiqua"/>
          <w:sz w:val="24"/>
          <w:szCs w:val="24"/>
        </w:rPr>
        <w:t xml:space="preserve"> The authors have read the CARE Checklist (2013), and the manuscript was prepared and revised according to the CARE Checklist (2013). </w:t>
      </w:r>
    </w:p>
    <w:p w:rsidR="000E33BF" w:rsidRPr="006C3DC1" w:rsidRDefault="000E33BF" w:rsidP="006C3DC1">
      <w:pPr>
        <w:adjustRightInd w:val="0"/>
        <w:snapToGrid w:val="0"/>
        <w:spacing w:line="360" w:lineRule="auto"/>
        <w:jc w:val="both"/>
        <w:rPr>
          <w:rFonts w:ascii="Book Antiqua" w:eastAsiaTheme="minorEastAsia" w:hAnsi="Book Antiqua"/>
          <w:sz w:val="24"/>
          <w:szCs w:val="24"/>
        </w:rPr>
      </w:pPr>
    </w:p>
    <w:p w:rsidR="000E33BF" w:rsidRPr="006C3DC1" w:rsidRDefault="000E33BF" w:rsidP="006C3DC1">
      <w:pPr>
        <w:adjustRightInd w:val="0"/>
        <w:snapToGrid w:val="0"/>
        <w:spacing w:line="360" w:lineRule="auto"/>
        <w:jc w:val="both"/>
        <w:rPr>
          <w:rFonts w:ascii="Book Antiqua" w:hAnsi="Book Antiqua"/>
          <w:sz w:val="24"/>
          <w:szCs w:val="24"/>
        </w:rPr>
      </w:pPr>
      <w:r w:rsidRPr="006C3DC1">
        <w:rPr>
          <w:rFonts w:ascii="Book Antiqua" w:hAnsi="Book Antiqua"/>
          <w:b/>
          <w:sz w:val="24"/>
          <w:szCs w:val="24"/>
        </w:rPr>
        <w:t xml:space="preserve">Open-Access: </w:t>
      </w:r>
      <w:r w:rsidRPr="006C3DC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C3DC1">
          <w:rPr>
            <w:rStyle w:val="Hyperlink"/>
            <w:rFonts w:ascii="Book Antiqua" w:hAnsi="Book Antiqua"/>
            <w:color w:val="auto"/>
            <w:sz w:val="24"/>
            <w:szCs w:val="24"/>
            <w:u w:val="none"/>
          </w:rPr>
          <w:t>http://creativecommons.org/licenses/by-nc/4.0/</w:t>
        </w:r>
      </w:hyperlink>
    </w:p>
    <w:p w:rsidR="00847F85" w:rsidRPr="006C3DC1" w:rsidRDefault="00847F85" w:rsidP="006C3DC1">
      <w:pPr>
        <w:spacing w:line="360" w:lineRule="auto"/>
        <w:jc w:val="both"/>
        <w:rPr>
          <w:rFonts w:ascii="Book Antiqua" w:eastAsiaTheme="minorEastAsia" w:hAnsi="Book Antiqua" w:cs="Times New Roman"/>
          <w:sz w:val="24"/>
          <w:szCs w:val="24"/>
        </w:rPr>
      </w:pPr>
    </w:p>
    <w:p w:rsidR="000E33BF" w:rsidRPr="006C3DC1" w:rsidRDefault="000E33BF" w:rsidP="006C3DC1">
      <w:pPr>
        <w:spacing w:line="360" w:lineRule="auto"/>
        <w:jc w:val="both"/>
        <w:rPr>
          <w:rFonts w:ascii="Book Antiqua" w:eastAsia="SimSun" w:hAnsi="Book Antiqua" w:cs="SimSun"/>
          <w:sz w:val="24"/>
          <w:szCs w:val="24"/>
        </w:rPr>
      </w:pPr>
      <w:r w:rsidRPr="006C3DC1">
        <w:rPr>
          <w:rFonts w:ascii="Book Antiqua" w:eastAsia="SimSun" w:hAnsi="Book Antiqua" w:cs="SimSun"/>
          <w:b/>
          <w:sz w:val="24"/>
          <w:szCs w:val="24"/>
        </w:rPr>
        <w:t>Manuscript source:</w:t>
      </w:r>
      <w:r w:rsidRPr="006C3DC1">
        <w:rPr>
          <w:rFonts w:ascii="Book Antiqua" w:eastAsia="SimSun" w:hAnsi="Book Antiqua" w:cs="SimSun"/>
          <w:sz w:val="24"/>
          <w:szCs w:val="24"/>
        </w:rPr>
        <w:t> Unsolicited manuscript</w:t>
      </w:r>
    </w:p>
    <w:p w:rsidR="000E33BF" w:rsidRPr="006C3DC1" w:rsidRDefault="000E33BF" w:rsidP="006C3DC1">
      <w:pPr>
        <w:spacing w:line="360" w:lineRule="auto"/>
        <w:jc w:val="both"/>
        <w:rPr>
          <w:rFonts w:ascii="Book Antiqua" w:eastAsiaTheme="minorEastAsia" w:hAnsi="Book Antiqua" w:cs="Times New Roman"/>
          <w:sz w:val="24"/>
          <w:szCs w:val="24"/>
        </w:rPr>
      </w:pPr>
    </w:p>
    <w:p w:rsidR="005B3790" w:rsidRPr="006C3DC1" w:rsidRDefault="000E33BF" w:rsidP="006C3DC1">
      <w:pPr>
        <w:spacing w:line="360" w:lineRule="auto"/>
        <w:jc w:val="both"/>
        <w:rPr>
          <w:rFonts w:ascii="Book Antiqua" w:eastAsiaTheme="minorEastAsia" w:hAnsi="Book Antiqua"/>
          <w:b/>
          <w:bCs/>
          <w:sz w:val="24"/>
          <w:szCs w:val="24"/>
        </w:rPr>
      </w:pPr>
      <w:r w:rsidRPr="006C3DC1">
        <w:rPr>
          <w:rFonts w:ascii="Book Antiqua" w:hAnsi="Book Antiqua"/>
          <w:b/>
          <w:sz w:val="24"/>
          <w:szCs w:val="24"/>
        </w:rPr>
        <w:t>Correspondence to:</w:t>
      </w:r>
      <w:r w:rsidR="00141C1D" w:rsidRPr="006C3DC1">
        <w:rPr>
          <w:rFonts w:ascii="Book Antiqua" w:hAnsi="Book Antiqua"/>
          <w:sz w:val="24"/>
          <w:szCs w:val="24"/>
        </w:rPr>
        <w:t xml:space="preserve"> </w:t>
      </w:r>
      <w:r w:rsidR="00141C1D" w:rsidRPr="006C3DC1">
        <w:rPr>
          <w:rFonts w:ascii="Book Antiqua" w:hAnsi="Book Antiqua"/>
          <w:b/>
          <w:bCs/>
          <w:sz w:val="24"/>
          <w:szCs w:val="24"/>
        </w:rPr>
        <w:t xml:space="preserve">Jian-Chun Yu, </w:t>
      </w:r>
      <w:r w:rsidRPr="006C3DC1">
        <w:rPr>
          <w:rFonts w:ascii="Book Antiqua" w:hAnsi="Book Antiqua"/>
          <w:b/>
          <w:bCs/>
          <w:sz w:val="24"/>
          <w:szCs w:val="24"/>
        </w:rPr>
        <w:t>MD, Chief Doctor, Professor,</w:t>
      </w:r>
      <w:r w:rsidR="00141C1D" w:rsidRPr="006C3DC1">
        <w:rPr>
          <w:rFonts w:ascii="Book Antiqua" w:hAnsi="Book Antiqua"/>
          <w:b/>
          <w:bCs/>
          <w:sz w:val="24"/>
          <w:szCs w:val="24"/>
        </w:rPr>
        <w:t xml:space="preserve"> </w:t>
      </w:r>
      <w:bookmarkStart w:id="9" w:name="OLE_LINK51"/>
      <w:r w:rsidR="005B3790" w:rsidRPr="006C3DC1">
        <w:rPr>
          <w:rFonts w:ascii="Book Antiqua" w:hAnsi="Book Antiqua"/>
          <w:sz w:val="24"/>
          <w:szCs w:val="24"/>
        </w:rPr>
        <w:t>Department of General Surgery, Peking Union Medical College Hospital, Chinese Academy of Medical Science and Peking Union Medical College</w:t>
      </w:r>
      <w:r w:rsidR="005B3790" w:rsidRPr="006C3DC1">
        <w:rPr>
          <w:rFonts w:ascii="Book Antiqua" w:eastAsiaTheme="minorEastAsia" w:hAnsi="Book Antiqua"/>
          <w:sz w:val="24"/>
          <w:szCs w:val="24"/>
        </w:rPr>
        <w:t>,</w:t>
      </w:r>
      <w:r w:rsidR="005B3790" w:rsidRPr="006C3DC1">
        <w:rPr>
          <w:rFonts w:ascii="Book Antiqua" w:hAnsi="Book Antiqua"/>
          <w:sz w:val="24"/>
          <w:szCs w:val="24"/>
        </w:rPr>
        <w:t xml:space="preserve"> No. 1 Shuai Fu Yuan, </w:t>
      </w:r>
      <w:proofErr w:type="spellStart"/>
      <w:r w:rsidR="005B3790" w:rsidRPr="006C3DC1">
        <w:rPr>
          <w:rFonts w:ascii="Book Antiqua" w:hAnsi="Book Antiqua"/>
          <w:sz w:val="24"/>
          <w:szCs w:val="24"/>
        </w:rPr>
        <w:t>Dongcheng</w:t>
      </w:r>
      <w:proofErr w:type="spellEnd"/>
      <w:r w:rsidR="005B3790" w:rsidRPr="006C3DC1">
        <w:rPr>
          <w:rFonts w:ascii="Book Antiqua" w:hAnsi="Book Antiqua"/>
          <w:sz w:val="24"/>
          <w:szCs w:val="24"/>
        </w:rPr>
        <w:t xml:space="preserve"> </w:t>
      </w:r>
      <w:r w:rsidR="008F11EF" w:rsidRPr="006C3DC1">
        <w:rPr>
          <w:rFonts w:ascii="Book Antiqua" w:hAnsi="Book Antiqua"/>
          <w:sz w:val="24"/>
          <w:szCs w:val="24"/>
        </w:rPr>
        <w:t>District</w:t>
      </w:r>
      <w:r w:rsidR="005B3790" w:rsidRPr="006C3DC1">
        <w:rPr>
          <w:rFonts w:ascii="Book Antiqua" w:hAnsi="Book Antiqua"/>
          <w:sz w:val="24"/>
          <w:szCs w:val="24"/>
        </w:rPr>
        <w:t>, Beijing 100730, China</w:t>
      </w:r>
      <w:r w:rsidR="008F11EF" w:rsidRPr="006C3DC1">
        <w:rPr>
          <w:rFonts w:ascii="Book Antiqua" w:eastAsiaTheme="minorEastAsia" w:hAnsi="Book Antiqua"/>
          <w:sz w:val="24"/>
          <w:szCs w:val="24"/>
        </w:rPr>
        <w:t>.</w:t>
      </w:r>
      <w:bookmarkStart w:id="10" w:name="OLE_LINK22"/>
      <w:bookmarkStart w:id="11" w:name="OLE_LINK96"/>
      <w:bookmarkStart w:id="12" w:name="OLE_LINK97"/>
      <w:r w:rsidR="008F11EF" w:rsidRPr="006C3DC1">
        <w:rPr>
          <w:rFonts w:ascii="Book Antiqua" w:hAnsi="Book Antiqua"/>
          <w:sz w:val="24"/>
          <w:szCs w:val="24"/>
        </w:rPr>
        <w:t xml:space="preserve"> y</w:t>
      </w:r>
      <w:bookmarkStart w:id="13" w:name="OLE_LINK23"/>
      <w:bookmarkEnd w:id="10"/>
      <w:r w:rsidR="008F11EF" w:rsidRPr="006C3DC1">
        <w:rPr>
          <w:rFonts w:ascii="Book Antiqua" w:hAnsi="Book Antiqua"/>
          <w:sz w:val="24"/>
          <w:szCs w:val="24"/>
        </w:rPr>
        <w:t>jcpumch@126.co</w:t>
      </w:r>
      <w:bookmarkEnd w:id="13"/>
      <w:r w:rsidR="008F11EF" w:rsidRPr="006C3DC1">
        <w:rPr>
          <w:rFonts w:ascii="Book Antiqua" w:hAnsi="Book Antiqua"/>
          <w:sz w:val="24"/>
          <w:szCs w:val="24"/>
        </w:rPr>
        <w:t>m</w:t>
      </w:r>
      <w:bookmarkEnd w:id="11"/>
      <w:bookmarkEnd w:id="12"/>
    </w:p>
    <w:bookmarkEnd w:id="9"/>
    <w:p w:rsidR="00847F85" w:rsidRPr="006C3DC1" w:rsidRDefault="00141C1D" w:rsidP="006C3DC1">
      <w:pPr>
        <w:spacing w:line="360" w:lineRule="auto"/>
        <w:jc w:val="both"/>
        <w:rPr>
          <w:rFonts w:ascii="Book Antiqua" w:eastAsia="Times New Roman" w:hAnsi="Book Antiqua" w:cs="Times New Roman"/>
          <w:sz w:val="24"/>
          <w:szCs w:val="24"/>
        </w:rPr>
      </w:pPr>
      <w:r w:rsidRPr="006C3DC1">
        <w:rPr>
          <w:rFonts w:ascii="Book Antiqua" w:hAnsi="Book Antiqua"/>
          <w:b/>
          <w:bCs/>
          <w:sz w:val="24"/>
          <w:szCs w:val="24"/>
        </w:rPr>
        <w:t xml:space="preserve">Telephone: </w:t>
      </w:r>
      <w:r w:rsidRPr="009457AB">
        <w:rPr>
          <w:rFonts w:ascii="Book Antiqua" w:hAnsi="Book Antiqua"/>
          <w:bCs/>
          <w:sz w:val="24"/>
          <w:szCs w:val="24"/>
        </w:rPr>
        <w:t>+</w:t>
      </w:r>
      <w:r w:rsidR="000E33BF" w:rsidRPr="006C3DC1">
        <w:rPr>
          <w:rFonts w:ascii="Book Antiqua" w:hAnsi="Book Antiqua"/>
          <w:sz w:val="24"/>
          <w:szCs w:val="24"/>
        </w:rPr>
        <w:t>86-10-6915</w:t>
      </w:r>
      <w:r w:rsidRPr="006C3DC1">
        <w:rPr>
          <w:rFonts w:ascii="Book Antiqua" w:hAnsi="Book Antiqua"/>
          <w:sz w:val="24"/>
          <w:szCs w:val="24"/>
        </w:rPr>
        <w:t xml:space="preserve">5067 </w:t>
      </w:r>
    </w:p>
    <w:p w:rsidR="00847F85" w:rsidRPr="006C3DC1" w:rsidRDefault="00141C1D" w:rsidP="006C3DC1">
      <w:pPr>
        <w:spacing w:line="360" w:lineRule="auto"/>
        <w:jc w:val="both"/>
        <w:rPr>
          <w:rFonts w:ascii="Book Antiqua" w:eastAsiaTheme="minorEastAsia" w:hAnsi="Book Antiqua"/>
          <w:sz w:val="24"/>
          <w:szCs w:val="24"/>
        </w:rPr>
      </w:pPr>
      <w:r w:rsidRPr="006C3DC1">
        <w:rPr>
          <w:rFonts w:ascii="Book Antiqua" w:hAnsi="Book Antiqua"/>
          <w:b/>
          <w:bCs/>
          <w:sz w:val="24"/>
          <w:szCs w:val="24"/>
        </w:rPr>
        <w:t xml:space="preserve">Fax: </w:t>
      </w:r>
      <w:r w:rsidRPr="009457AB">
        <w:rPr>
          <w:rFonts w:ascii="Book Antiqua" w:hAnsi="Book Antiqua"/>
          <w:bCs/>
          <w:sz w:val="24"/>
          <w:szCs w:val="24"/>
        </w:rPr>
        <w:t>+</w:t>
      </w:r>
      <w:r w:rsidR="000E33BF" w:rsidRPr="006C3DC1">
        <w:rPr>
          <w:rFonts w:ascii="Book Antiqua" w:hAnsi="Book Antiqua"/>
          <w:sz w:val="24"/>
          <w:szCs w:val="24"/>
        </w:rPr>
        <w:t>86-10-6915</w:t>
      </w:r>
      <w:r w:rsidRPr="006C3DC1">
        <w:rPr>
          <w:rFonts w:ascii="Book Antiqua" w:hAnsi="Book Antiqua"/>
          <w:sz w:val="24"/>
          <w:szCs w:val="24"/>
        </w:rPr>
        <w:t>5068</w:t>
      </w:r>
    </w:p>
    <w:p w:rsidR="000E33BF" w:rsidRPr="006C3DC1" w:rsidRDefault="000E33BF" w:rsidP="006C3DC1">
      <w:pPr>
        <w:spacing w:line="360" w:lineRule="auto"/>
        <w:jc w:val="both"/>
        <w:rPr>
          <w:rFonts w:ascii="Book Antiqua" w:eastAsiaTheme="minorEastAsia" w:hAnsi="Book Antiqua"/>
          <w:sz w:val="24"/>
          <w:szCs w:val="24"/>
        </w:rPr>
      </w:pPr>
    </w:p>
    <w:p w:rsidR="000E33BF" w:rsidRPr="006C3DC1" w:rsidRDefault="000E33BF" w:rsidP="006C3DC1">
      <w:pPr>
        <w:spacing w:line="360" w:lineRule="auto"/>
        <w:jc w:val="both"/>
        <w:rPr>
          <w:rFonts w:ascii="Book Antiqua" w:hAnsi="Book Antiqua"/>
          <w:b/>
          <w:sz w:val="24"/>
          <w:szCs w:val="24"/>
        </w:rPr>
      </w:pPr>
      <w:r w:rsidRPr="006C3DC1">
        <w:rPr>
          <w:rFonts w:ascii="Book Antiqua" w:hAnsi="Book Antiqua"/>
          <w:b/>
          <w:sz w:val="24"/>
          <w:szCs w:val="24"/>
        </w:rPr>
        <w:t xml:space="preserve">Received: </w:t>
      </w:r>
      <w:r w:rsidR="00540866" w:rsidRPr="006C3DC1">
        <w:rPr>
          <w:rFonts w:ascii="Book Antiqua" w:eastAsiaTheme="minorEastAsia" w:hAnsi="Book Antiqua"/>
          <w:sz w:val="24"/>
          <w:szCs w:val="24"/>
        </w:rPr>
        <w:t>August 16, 2018</w:t>
      </w:r>
      <w:r w:rsidR="006C3DC1">
        <w:rPr>
          <w:rFonts w:ascii="Book Antiqua" w:hAnsi="Book Antiqua"/>
          <w:sz w:val="24"/>
          <w:szCs w:val="24"/>
        </w:rPr>
        <w:t xml:space="preserve"> </w:t>
      </w:r>
    </w:p>
    <w:p w:rsidR="000E33BF" w:rsidRPr="006C3DC1" w:rsidRDefault="000E33BF" w:rsidP="006C3DC1">
      <w:pPr>
        <w:spacing w:line="360" w:lineRule="auto"/>
        <w:jc w:val="both"/>
        <w:rPr>
          <w:rFonts w:ascii="Book Antiqua" w:hAnsi="Book Antiqua"/>
          <w:b/>
          <w:sz w:val="24"/>
          <w:szCs w:val="24"/>
        </w:rPr>
      </w:pPr>
      <w:r w:rsidRPr="006C3DC1">
        <w:rPr>
          <w:rFonts w:ascii="Book Antiqua" w:hAnsi="Book Antiqua"/>
          <w:b/>
          <w:sz w:val="24"/>
          <w:szCs w:val="24"/>
        </w:rPr>
        <w:t>Peer-review started:</w:t>
      </w:r>
      <w:r w:rsidR="00540866" w:rsidRPr="006C3DC1">
        <w:rPr>
          <w:rFonts w:ascii="Book Antiqua" w:eastAsiaTheme="minorEastAsia" w:hAnsi="Book Antiqua"/>
          <w:sz w:val="24"/>
          <w:szCs w:val="24"/>
        </w:rPr>
        <w:t xml:space="preserve"> August 17, 2018</w:t>
      </w:r>
      <w:r w:rsidR="006C3DC1">
        <w:rPr>
          <w:rFonts w:ascii="Book Antiqua" w:hAnsi="Book Antiqua"/>
          <w:sz w:val="24"/>
          <w:szCs w:val="24"/>
        </w:rPr>
        <w:t xml:space="preserve"> </w:t>
      </w:r>
    </w:p>
    <w:p w:rsidR="000E33BF" w:rsidRPr="006C3DC1" w:rsidRDefault="000E33BF" w:rsidP="006C3DC1">
      <w:pPr>
        <w:spacing w:line="360" w:lineRule="auto"/>
        <w:jc w:val="both"/>
        <w:rPr>
          <w:rFonts w:ascii="Book Antiqua" w:eastAsiaTheme="minorEastAsia" w:hAnsi="Book Antiqua"/>
          <w:b/>
          <w:sz w:val="24"/>
          <w:szCs w:val="24"/>
        </w:rPr>
      </w:pPr>
      <w:r w:rsidRPr="006C3DC1">
        <w:rPr>
          <w:rFonts w:ascii="Book Antiqua" w:hAnsi="Book Antiqua"/>
          <w:b/>
          <w:sz w:val="24"/>
          <w:szCs w:val="24"/>
        </w:rPr>
        <w:t>First decision:</w:t>
      </w:r>
      <w:r w:rsidR="00540866" w:rsidRPr="006C3DC1">
        <w:rPr>
          <w:rFonts w:ascii="Book Antiqua" w:eastAsiaTheme="minorEastAsia" w:hAnsi="Book Antiqua"/>
          <w:b/>
          <w:sz w:val="24"/>
          <w:szCs w:val="24"/>
        </w:rPr>
        <w:t xml:space="preserve"> </w:t>
      </w:r>
      <w:r w:rsidR="00540866" w:rsidRPr="006C3DC1">
        <w:rPr>
          <w:rFonts w:ascii="Book Antiqua" w:eastAsiaTheme="minorEastAsia" w:hAnsi="Book Antiqua"/>
          <w:sz w:val="24"/>
          <w:szCs w:val="24"/>
        </w:rPr>
        <w:t>October 4, 2018</w:t>
      </w:r>
    </w:p>
    <w:p w:rsidR="000E33BF" w:rsidRPr="006C3DC1" w:rsidRDefault="000E33BF" w:rsidP="006C3DC1">
      <w:pPr>
        <w:spacing w:line="360" w:lineRule="auto"/>
        <w:jc w:val="both"/>
        <w:rPr>
          <w:rFonts w:ascii="Book Antiqua" w:hAnsi="Book Antiqua"/>
          <w:b/>
          <w:sz w:val="24"/>
          <w:szCs w:val="24"/>
        </w:rPr>
      </w:pPr>
      <w:r w:rsidRPr="006C3DC1">
        <w:rPr>
          <w:rFonts w:ascii="Book Antiqua" w:hAnsi="Book Antiqua"/>
          <w:b/>
          <w:sz w:val="24"/>
          <w:szCs w:val="24"/>
        </w:rPr>
        <w:t xml:space="preserve">Revised: </w:t>
      </w:r>
      <w:r w:rsidR="00540866" w:rsidRPr="006C3DC1">
        <w:rPr>
          <w:rFonts w:ascii="Book Antiqua" w:eastAsiaTheme="minorEastAsia" w:hAnsi="Book Antiqua"/>
          <w:sz w:val="24"/>
          <w:szCs w:val="24"/>
        </w:rPr>
        <w:t>October 31, 2018</w:t>
      </w:r>
      <w:r w:rsidRPr="006C3DC1">
        <w:rPr>
          <w:rFonts w:ascii="Book Antiqua" w:hAnsi="Book Antiqua"/>
          <w:b/>
          <w:sz w:val="24"/>
          <w:szCs w:val="24"/>
        </w:rPr>
        <w:t xml:space="preserve"> </w:t>
      </w:r>
    </w:p>
    <w:p w:rsidR="000E33BF" w:rsidRPr="006C3DC1" w:rsidRDefault="000E33BF" w:rsidP="006C3DC1">
      <w:pPr>
        <w:spacing w:line="360" w:lineRule="auto"/>
        <w:jc w:val="both"/>
        <w:rPr>
          <w:rFonts w:ascii="Book Antiqua" w:hAnsi="Book Antiqua"/>
          <w:b/>
          <w:sz w:val="24"/>
          <w:szCs w:val="24"/>
        </w:rPr>
      </w:pPr>
      <w:r w:rsidRPr="006C3DC1">
        <w:rPr>
          <w:rFonts w:ascii="Book Antiqua" w:hAnsi="Book Antiqua"/>
          <w:b/>
          <w:sz w:val="24"/>
          <w:szCs w:val="24"/>
        </w:rPr>
        <w:t>Accepted:</w:t>
      </w:r>
      <w:r w:rsidR="00B659C8">
        <w:rPr>
          <w:rFonts w:ascii="Book Antiqua" w:hAnsi="Book Antiqua"/>
          <w:b/>
          <w:sz w:val="24"/>
          <w:szCs w:val="24"/>
        </w:rPr>
        <w:t xml:space="preserve"> </w:t>
      </w:r>
      <w:r w:rsidR="00B659C8" w:rsidRPr="00B659C8">
        <w:rPr>
          <w:rFonts w:ascii="Book Antiqua" w:hAnsi="Book Antiqua"/>
          <w:sz w:val="24"/>
          <w:szCs w:val="24"/>
        </w:rPr>
        <w:t>November 7, 2018</w:t>
      </w:r>
      <w:r w:rsidR="006C3DC1">
        <w:rPr>
          <w:rFonts w:ascii="Book Antiqua" w:hAnsi="Book Antiqua"/>
          <w:b/>
          <w:sz w:val="24"/>
          <w:szCs w:val="24"/>
        </w:rPr>
        <w:t xml:space="preserve"> </w:t>
      </w:r>
    </w:p>
    <w:p w:rsidR="000E33BF" w:rsidRPr="006C3DC1" w:rsidRDefault="000E33BF" w:rsidP="006C3DC1">
      <w:pPr>
        <w:spacing w:line="360" w:lineRule="auto"/>
        <w:jc w:val="both"/>
        <w:rPr>
          <w:rFonts w:ascii="Book Antiqua" w:hAnsi="Book Antiqua"/>
          <w:sz w:val="24"/>
          <w:szCs w:val="24"/>
        </w:rPr>
      </w:pPr>
      <w:r w:rsidRPr="006C3DC1">
        <w:rPr>
          <w:rFonts w:ascii="Book Antiqua" w:hAnsi="Book Antiqua"/>
          <w:b/>
          <w:sz w:val="24"/>
          <w:szCs w:val="24"/>
        </w:rPr>
        <w:t>Article in press:</w:t>
      </w:r>
      <w:r w:rsidR="006C3DC1">
        <w:rPr>
          <w:rFonts w:ascii="Book Antiqua" w:hAnsi="Book Antiqua"/>
          <w:sz w:val="24"/>
          <w:szCs w:val="24"/>
        </w:rPr>
        <w:t xml:space="preserve"> </w:t>
      </w:r>
    </w:p>
    <w:p w:rsidR="000E33BF" w:rsidRPr="006C3DC1" w:rsidRDefault="000E33BF" w:rsidP="006C3DC1">
      <w:pPr>
        <w:spacing w:line="360" w:lineRule="auto"/>
        <w:jc w:val="both"/>
        <w:rPr>
          <w:rFonts w:ascii="Book Antiqua" w:eastAsiaTheme="minorEastAsia" w:hAnsi="Book Antiqua"/>
          <w:b/>
          <w:sz w:val="24"/>
          <w:szCs w:val="24"/>
        </w:rPr>
      </w:pPr>
      <w:r w:rsidRPr="006C3DC1">
        <w:rPr>
          <w:rFonts w:ascii="Book Antiqua" w:hAnsi="Book Antiqua"/>
          <w:b/>
          <w:sz w:val="24"/>
          <w:szCs w:val="24"/>
        </w:rPr>
        <w:t xml:space="preserve">Published online: </w:t>
      </w:r>
    </w:p>
    <w:p w:rsidR="00847F85" w:rsidRPr="006C3DC1" w:rsidRDefault="00141C1D" w:rsidP="006C3DC1">
      <w:pPr>
        <w:spacing w:line="360" w:lineRule="auto"/>
        <w:jc w:val="both"/>
        <w:rPr>
          <w:rFonts w:ascii="Book Antiqua" w:hAnsi="Book Antiqua"/>
          <w:sz w:val="24"/>
          <w:szCs w:val="24"/>
        </w:rPr>
      </w:pPr>
      <w:r w:rsidRPr="006C3DC1">
        <w:rPr>
          <w:rFonts w:ascii="Book Antiqua" w:eastAsia="Arial Unicode MS" w:hAnsi="Book Antiqua" w:cs="Arial Unicode MS"/>
          <w:sz w:val="24"/>
          <w:szCs w:val="24"/>
        </w:rPr>
        <w:br w:type="page"/>
      </w:r>
    </w:p>
    <w:p w:rsidR="00847F85" w:rsidRPr="006C3DC1" w:rsidRDefault="00141C1D" w:rsidP="006C3DC1">
      <w:pPr>
        <w:spacing w:line="360" w:lineRule="auto"/>
        <w:jc w:val="both"/>
        <w:rPr>
          <w:rFonts w:ascii="Book Antiqua" w:eastAsia="Times New Roman" w:hAnsi="Book Antiqua" w:cs="Times New Roman"/>
          <w:b/>
          <w:bCs/>
          <w:sz w:val="24"/>
          <w:szCs w:val="24"/>
        </w:rPr>
      </w:pPr>
      <w:r w:rsidRPr="006C3DC1">
        <w:rPr>
          <w:rFonts w:ascii="Book Antiqua" w:hAnsi="Book Antiqua"/>
          <w:b/>
          <w:bCs/>
          <w:sz w:val="24"/>
          <w:szCs w:val="24"/>
        </w:rPr>
        <w:lastRenderedPageBreak/>
        <w:t>A</w:t>
      </w:r>
      <w:r w:rsidR="00CC1621" w:rsidRPr="006C3DC1">
        <w:rPr>
          <w:rFonts w:ascii="Book Antiqua" w:hAnsi="Book Antiqua"/>
          <w:b/>
          <w:bCs/>
          <w:sz w:val="24"/>
          <w:szCs w:val="24"/>
        </w:rPr>
        <w:t>bstract</w:t>
      </w:r>
    </w:p>
    <w:p w:rsidR="007C0A41" w:rsidRPr="006C3DC1" w:rsidRDefault="007C0A41" w:rsidP="006C3DC1">
      <w:pPr>
        <w:spacing w:line="360" w:lineRule="auto"/>
        <w:jc w:val="both"/>
        <w:rPr>
          <w:rFonts w:ascii="Book Antiqua" w:hAnsi="Book Antiqua"/>
          <w:b/>
          <w:i/>
          <w:sz w:val="24"/>
          <w:szCs w:val="24"/>
        </w:rPr>
      </w:pPr>
      <w:bookmarkStart w:id="14" w:name="OLE_LINK24"/>
      <w:r w:rsidRPr="006C3DC1">
        <w:rPr>
          <w:rFonts w:ascii="Book Antiqua" w:hAnsi="Book Antiqua"/>
          <w:b/>
          <w:i/>
          <w:sz w:val="24"/>
          <w:szCs w:val="24"/>
        </w:rPr>
        <w:t>BACKGROUND</w:t>
      </w:r>
    </w:p>
    <w:p w:rsidR="007C0A41" w:rsidRPr="006C3DC1" w:rsidRDefault="00141C1D" w:rsidP="006C3DC1">
      <w:pPr>
        <w:spacing w:line="360" w:lineRule="auto"/>
        <w:jc w:val="both"/>
        <w:rPr>
          <w:rFonts w:ascii="Book Antiqua" w:eastAsiaTheme="minorEastAsia" w:hAnsi="Book Antiqua"/>
          <w:sz w:val="24"/>
          <w:szCs w:val="24"/>
        </w:rPr>
      </w:pPr>
      <w:r w:rsidRPr="006C3DC1">
        <w:rPr>
          <w:rFonts w:ascii="Book Antiqua" w:hAnsi="Book Antiqua"/>
          <w:sz w:val="24"/>
          <w:szCs w:val="24"/>
        </w:rPr>
        <w:t>P</w:t>
      </w:r>
      <w:bookmarkStart w:id="15" w:name="OLE_LINK25"/>
      <w:bookmarkEnd w:id="14"/>
      <w:r w:rsidRPr="006C3DC1">
        <w:rPr>
          <w:rFonts w:ascii="Book Antiqua" w:hAnsi="Book Antiqua"/>
          <w:sz w:val="24"/>
          <w:szCs w:val="24"/>
        </w:rPr>
        <w:t>rimary immune thrombocytopenia (ITP) is a rare autoimmune diseas</w:t>
      </w:r>
      <w:bookmarkEnd w:id="15"/>
      <w:r w:rsidRPr="006C3DC1">
        <w:rPr>
          <w:rFonts w:ascii="Book Antiqua" w:hAnsi="Book Antiqua"/>
          <w:sz w:val="24"/>
          <w:szCs w:val="24"/>
        </w:rPr>
        <w:t xml:space="preserve">e associated with high bleeding risk. For those </w:t>
      </w:r>
      <w:bookmarkStart w:id="16" w:name="OLE_LINK26"/>
      <w:r w:rsidRPr="006C3DC1">
        <w:rPr>
          <w:rFonts w:ascii="Book Antiqua" w:hAnsi="Book Antiqua"/>
          <w:sz w:val="24"/>
          <w:szCs w:val="24"/>
        </w:rPr>
        <w:t>p</w:t>
      </w:r>
      <w:bookmarkStart w:id="17" w:name="OLE_LINK27"/>
      <w:bookmarkEnd w:id="16"/>
      <w:r w:rsidRPr="006C3DC1">
        <w:rPr>
          <w:rFonts w:ascii="Book Antiqua" w:hAnsi="Book Antiqua"/>
          <w:sz w:val="24"/>
          <w:szCs w:val="24"/>
        </w:rPr>
        <w:t>atients with gastric cance</w:t>
      </w:r>
      <w:bookmarkEnd w:id="17"/>
      <w:r w:rsidRPr="006C3DC1">
        <w:rPr>
          <w:rFonts w:ascii="Book Antiqua" w:hAnsi="Book Antiqua"/>
          <w:sz w:val="24"/>
          <w:szCs w:val="24"/>
        </w:rPr>
        <w:t xml:space="preserve">r, </w:t>
      </w:r>
      <w:bookmarkStart w:id="18" w:name="OLE_LINK32"/>
      <w:r w:rsidRPr="006C3DC1">
        <w:rPr>
          <w:rFonts w:ascii="Book Antiqua" w:hAnsi="Book Antiqua"/>
          <w:sz w:val="24"/>
          <w:szCs w:val="24"/>
        </w:rPr>
        <w:t>s</w:t>
      </w:r>
      <w:bookmarkStart w:id="19" w:name="OLE_LINK33"/>
      <w:bookmarkEnd w:id="18"/>
      <w:r w:rsidRPr="006C3DC1">
        <w:rPr>
          <w:rFonts w:ascii="Book Antiqua" w:hAnsi="Book Antiqua"/>
          <w:sz w:val="24"/>
          <w:szCs w:val="24"/>
        </w:rPr>
        <w:t>urgical treatment may be the only option for therapy</w:t>
      </w:r>
      <w:bookmarkEnd w:id="19"/>
      <w:r w:rsidRPr="006C3DC1">
        <w:rPr>
          <w:rFonts w:ascii="Book Antiqua" w:hAnsi="Book Antiqua"/>
          <w:sz w:val="24"/>
          <w:szCs w:val="24"/>
        </w:rPr>
        <w:t xml:space="preserve">. Here, we presented the first case of gastric cancer with severe and medically refractory ITP treated by radical resection of the gastric cancer and splenectomy. </w:t>
      </w:r>
    </w:p>
    <w:p w:rsidR="00540866" w:rsidRPr="006C3DC1" w:rsidRDefault="00540866" w:rsidP="006C3DC1">
      <w:pPr>
        <w:spacing w:line="360" w:lineRule="auto"/>
        <w:jc w:val="both"/>
        <w:rPr>
          <w:rFonts w:ascii="Book Antiqua" w:eastAsiaTheme="minorEastAsia" w:hAnsi="Book Antiqua"/>
          <w:sz w:val="24"/>
          <w:szCs w:val="24"/>
        </w:rPr>
      </w:pPr>
    </w:p>
    <w:p w:rsidR="007C0A41" w:rsidRPr="006C3DC1" w:rsidRDefault="007C0A41" w:rsidP="006C3DC1">
      <w:pPr>
        <w:spacing w:line="360" w:lineRule="auto"/>
        <w:jc w:val="both"/>
        <w:rPr>
          <w:rFonts w:ascii="Book Antiqua" w:hAnsi="Book Antiqua"/>
          <w:b/>
          <w:i/>
          <w:sz w:val="24"/>
          <w:szCs w:val="24"/>
        </w:rPr>
      </w:pPr>
      <w:r w:rsidRPr="006C3DC1">
        <w:rPr>
          <w:rFonts w:ascii="Book Antiqua" w:hAnsi="Book Antiqua"/>
          <w:b/>
          <w:i/>
          <w:sz w:val="24"/>
          <w:szCs w:val="24"/>
        </w:rPr>
        <w:t>CASE SUMMARY</w:t>
      </w:r>
    </w:p>
    <w:p w:rsidR="007C0A41" w:rsidRPr="006C3DC1" w:rsidRDefault="00141C1D" w:rsidP="006C3DC1">
      <w:pPr>
        <w:spacing w:line="360" w:lineRule="auto"/>
        <w:jc w:val="both"/>
        <w:rPr>
          <w:rFonts w:ascii="Book Antiqua" w:eastAsiaTheme="minorEastAsia" w:hAnsi="Book Antiqua"/>
          <w:sz w:val="24"/>
          <w:szCs w:val="24"/>
        </w:rPr>
      </w:pPr>
      <w:r w:rsidRPr="006C3DC1">
        <w:rPr>
          <w:rFonts w:ascii="Book Antiqua" w:hAnsi="Book Antiqua"/>
          <w:sz w:val="24"/>
          <w:szCs w:val="24"/>
        </w:rPr>
        <w:t xml:space="preserve">A 54-year-old female patient was admitted to our surgical department with a 2 </w:t>
      </w:r>
      <w:proofErr w:type="spellStart"/>
      <w:r w:rsidRPr="006C3DC1">
        <w:rPr>
          <w:rFonts w:ascii="Book Antiqua" w:hAnsi="Book Antiqua"/>
          <w:sz w:val="24"/>
          <w:szCs w:val="24"/>
        </w:rPr>
        <w:t>mo</w:t>
      </w:r>
      <w:proofErr w:type="spellEnd"/>
      <w:r w:rsidRPr="006C3DC1">
        <w:rPr>
          <w:rFonts w:ascii="Book Antiqua" w:hAnsi="Book Antiqua"/>
          <w:sz w:val="24"/>
          <w:szCs w:val="24"/>
        </w:rPr>
        <w:t xml:space="preserve"> history of decreased appetite, nausea, vomit, and weight loss, which progressed to difficulty in feeding 3 days prior to her visit. According to her </w:t>
      </w:r>
      <w:bookmarkStart w:id="20" w:name="_GoBack"/>
      <w:bookmarkEnd w:id="20"/>
      <w:r w:rsidRPr="006C3DC1">
        <w:rPr>
          <w:rFonts w:ascii="Book Antiqua" w:hAnsi="Book Antiqua"/>
          <w:sz w:val="24"/>
          <w:szCs w:val="24"/>
        </w:rPr>
        <w:t xml:space="preserve">medical history, she was diagnosed </w:t>
      </w:r>
      <w:r w:rsidR="00540866" w:rsidRPr="006C3DC1">
        <w:rPr>
          <w:rFonts w:ascii="Book Antiqua" w:hAnsi="Book Antiqua"/>
          <w:sz w:val="24"/>
          <w:szCs w:val="24"/>
        </w:rPr>
        <w:t xml:space="preserve">with refractory ITP </w:t>
      </w:r>
      <w:r w:rsidR="00540866" w:rsidRPr="006C3DC1">
        <w:rPr>
          <w:rFonts w:ascii="Book Antiqua" w:eastAsiaTheme="minorEastAsia" w:hAnsi="Book Antiqua"/>
          <w:sz w:val="24"/>
          <w:szCs w:val="24"/>
        </w:rPr>
        <w:t>[</w:t>
      </w:r>
      <w:r w:rsidR="00540866" w:rsidRPr="006C3DC1">
        <w:rPr>
          <w:rFonts w:ascii="Book Antiqua" w:hAnsi="Book Antiqua"/>
          <w:sz w:val="24"/>
          <w:szCs w:val="24"/>
        </w:rPr>
        <w:t>platelet (PLT) 3000-8</w:t>
      </w:r>
      <w:r w:rsidRPr="006C3DC1">
        <w:rPr>
          <w:rFonts w:ascii="Book Antiqua" w:hAnsi="Book Antiqua"/>
          <w:sz w:val="24"/>
          <w:szCs w:val="24"/>
        </w:rPr>
        <w:t>000/</w:t>
      </w:r>
      <w:proofErr w:type="spellStart"/>
      <w:r w:rsidRPr="006C3DC1">
        <w:rPr>
          <w:rFonts w:ascii="Book Antiqua" w:hAnsi="Book Antiqua"/>
          <w:sz w:val="24"/>
          <w:szCs w:val="24"/>
        </w:rPr>
        <w:t>μL</w:t>
      </w:r>
      <w:proofErr w:type="spellEnd"/>
      <w:r w:rsidR="00540866" w:rsidRPr="006C3DC1">
        <w:rPr>
          <w:rFonts w:ascii="Book Antiqua" w:eastAsiaTheme="minorEastAsia" w:hAnsi="Book Antiqua"/>
          <w:sz w:val="24"/>
          <w:szCs w:val="24"/>
        </w:rPr>
        <w:t>]</w:t>
      </w:r>
      <w:r w:rsidRPr="006C3DC1">
        <w:rPr>
          <w:rFonts w:ascii="Book Antiqua" w:hAnsi="Book Antiqua"/>
          <w:sz w:val="24"/>
          <w:szCs w:val="24"/>
        </w:rPr>
        <w:t xml:space="preserve"> 10 years ago. After admission, the patient underwent a splenectomy and a distal subtotal gastrectomy (D2 radical resection) with Roux-en-Y reconstruction simultaneously. She had an uneventful postoperative course with a slight increase in her </w:t>
      </w:r>
      <w:r w:rsidR="00540866" w:rsidRPr="006C3DC1">
        <w:rPr>
          <w:rFonts w:ascii="Book Antiqua" w:hAnsi="Book Antiqua"/>
          <w:sz w:val="24"/>
          <w:szCs w:val="24"/>
        </w:rPr>
        <w:t>PLT</w:t>
      </w:r>
      <w:r w:rsidRPr="006C3DC1">
        <w:rPr>
          <w:rFonts w:ascii="Book Antiqua" w:hAnsi="Book Antiqua"/>
          <w:sz w:val="24"/>
          <w:szCs w:val="24"/>
        </w:rPr>
        <w:t xml:space="preserve"> count. This case is unique in terms of the patient’s complication of severe and medically refractory ITP.</w:t>
      </w:r>
    </w:p>
    <w:p w:rsidR="00540866" w:rsidRPr="006C3DC1" w:rsidRDefault="00540866" w:rsidP="006C3DC1">
      <w:pPr>
        <w:spacing w:line="360" w:lineRule="auto"/>
        <w:jc w:val="both"/>
        <w:rPr>
          <w:rFonts w:ascii="Book Antiqua" w:eastAsiaTheme="minorEastAsia" w:hAnsi="Book Antiqua"/>
          <w:sz w:val="24"/>
          <w:szCs w:val="24"/>
        </w:rPr>
      </w:pPr>
    </w:p>
    <w:p w:rsidR="007C0A41" w:rsidRPr="006C3DC1" w:rsidRDefault="007C0A41" w:rsidP="006C3DC1">
      <w:pPr>
        <w:spacing w:line="360" w:lineRule="auto"/>
        <w:jc w:val="both"/>
        <w:rPr>
          <w:rFonts w:ascii="Book Antiqua" w:hAnsi="Book Antiqua"/>
          <w:b/>
          <w:i/>
          <w:sz w:val="24"/>
          <w:szCs w:val="24"/>
        </w:rPr>
      </w:pPr>
      <w:r w:rsidRPr="006C3DC1">
        <w:rPr>
          <w:rFonts w:ascii="Book Antiqua" w:hAnsi="Book Antiqua"/>
          <w:b/>
          <w:i/>
          <w:sz w:val="24"/>
          <w:szCs w:val="24"/>
        </w:rPr>
        <w:t>CONCLUSION</w:t>
      </w:r>
    </w:p>
    <w:p w:rsidR="00847F85" w:rsidRPr="006C3DC1" w:rsidRDefault="00141C1D" w:rsidP="006C3DC1">
      <w:pPr>
        <w:spacing w:line="360" w:lineRule="auto"/>
        <w:jc w:val="both"/>
        <w:rPr>
          <w:rFonts w:ascii="Book Antiqua" w:eastAsia="Times New Roman" w:hAnsi="Book Antiqua" w:cs="Times New Roman"/>
          <w:sz w:val="24"/>
          <w:szCs w:val="24"/>
        </w:rPr>
      </w:pPr>
      <w:bookmarkStart w:id="21" w:name="OLE_LINK34"/>
      <w:r w:rsidRPr="006C3DC1">
        <w:rPr>
          <w:rFonts w:ascii="Book Antiqua" w:hAnsi="Book Antiqua"/>
          <w:sz w:val="24"/>
          <w:szCs w:val="24"/>
        </w:rPr>
        <w:t>S</w:t>
      </w:r>
      <w:bookmarkStart w:id="22" w:name="OLE_LINK35"/>
      <w:bookmarkEnd w:id="21"/>
      <w:r w:rsidRPr="006C3DC1">
        <w:rPr>
          <w:rFonts w:ascii="Book Antiqua" w:hAnsi="Book Antiqua"/>
          <w:sz w:val="24"/>
          <w:szCs w:val="24"/>
        </w:rPr>
        <w:t>imultaneous splenectomy, preoperative PLT transfusion and early enteral nutrition were important treatment methods for helping this patient recover</w:t>
      </w:r>
      <w:bookmarkEnd w:id="22"/>
      <w:r w:rsidRPr="006C3DC1">
        <w:rPr>
          <w:rFonts w:ascii="Book Antiqua" w:hAnsi="Book Antiqua"/>
          <w:sz w:val="24"/>
          <w:szCs w:val="24"/>
        </w:rPr>
        <w:t>.</w:t>
      </w:r>
    </w:p>
    <w:p w:rsidR="00847F85" w:rsidRPr="006C3DC1" w:rsidRDefault="00847F85" w:rsidP="006C3DC1">
      <w:pPr>
        <w:spacing w:line="360" w:lineRule="auto"/>
        <w:jc w:val="both"/>
        <w:rPr>
          <w:rFonts w:ascii="Book Antiqua" w:eastAsia="Times New Roman" w:hAnsi="Book Antiqua" w:cs="Times New Roman"/>
          <w:sz w:val="24"/>
          <w:szCs w:val="24"/>
        </w:rPr>
      </w:pPr>
    </w:p>
    <w:p w:rsidR="00847F85" w:rsidRPr="006C3DC1" w:rsidRDefault="00141C1D" w:rsidP="006C3DC1">
      <w:pPr>
        <w:spacing w:line="360" w:lineRule="auto"/>
        <w:jc w:val="both"/>
        <w:rPr>
          <w:rFonts w:ascii="Book Antiqua" w:eastAsia="Times New Roman" w:hAnsi="Book Antiqua" w:cs="Times New Roman"/>
          <w:sz w:val="24"/>
          <w:szCs w:val="24"/>
        </w:rPr>
      </w:pPr>
      <w:r w:rsidRPr="006C3DC1">
        <w:rPr>
          <w:rFonts w:ascii="Book Antiqua" w:hAnsi="Book Antiqua"/>
          <w:b/>
          <w:bCs/>
          <w:sz w:val="24"/>
          <w:szCs w:val="24"/>
        </w:rPr>
        <w:t>Key</w:t>
      </w:r>
      <w:r w:rsidR="00540866" w:rsidRPr="006C3DC1">
        <w:rPr>
          <w:rFonts w:ascii="Book Antiqua" w:eastAsiaTheme="minorEastAsia" w:hAnsi="Book Antiqua"/>
          <w:b/>
          <w:bCs/>
          <w:sz w:val="24"/>
          <w:szCs w:val="24"/>
        </w:rPr>
        <w:t xml:space="preserve"> </w:t>
      </w:r>
      <w:r w:rsidRPr="006C3DC1">
        <w:rPr>
          <w:rFonts w:ascii="Book Antiqua" w:hAnsi="Book Antiqua"/>
          <w:b/>
          <w:bCs/>
          <w:sz w:val="24"/>
          <w:szCs w:val="24"/>
        </w:rPr>
        <w:t xml:space="preserve">words: </w:t>
      </w:r>
      <w:bookmarkStart w:id="23" w:name="OLE_LINK48"/>
      <w:r w:rsidRPr="006C3DC1">
        <w:rPr>
          <w:rFonts w:ascii="Book Antiqua" w:hAnsi="Book Antiqua"/>
          <w:sz w:val="24"/>
          <w:szCs w:val="24"/>
        </w:rPr>
        <w:t>G</w:t>
      </w:r>
      <w:bookmarkStart w:id="24" w:name="OLE_LINK49"/>
      <w:bookmarkEnd w:id="23"/>
      <w:r w:rsidRPr="006C3DC1">
        <w:rPr>
          <w:rFonts w:ascii="Book Antiqua" w:hAnsi="Book Antiqua"/>
          <w:sz w:val="24"/>
          <w:szCs w:val="24"/>
        </w:rPr>
        <w:t>astric cancer</w:t>
      </w:r>
      <w:r w:rsidR="00540866" w:rsidRPr="006C3DC1">
        <w:rPr>
          <w:rFonts w:ascii="Book Antiqua" w:eastAsiaTheme="minorEastAsia" w:hAnsi="Book Antiqua"/>
          <w:sz w:val="24"/>
          <w:szCs w:val="24"/>
        </w:rPr>
        <w:t>;</w:t>
      </w:r>
      <w:r w:rsidRPr="006C3DC1">
        <w:rPr>
          <w:rFonts w:ascii="Book Antiqua" w:hAnsi="Book Antiqua"/>
          <w:sz w:val="24"/>
          <w:szCs w:val="24"/>
        </w:rPr>
        <w:t xml:space="preserve"> Immune thrombocytopenia</w:t>
      </w:r>
      <w:r w:rsidR="00540866" w:rsidRPr="006C3DC1">
        <w:rPr>
          <w:rFonts w:ascii="Book Antiqua" w:eastAsiaTheme="minorEastAsia" w:hAnsi="Book Antiqua"/>
          <w:sz w:val="24"/>
          <w:szCs w:val="24"/>
        </w:rPr>
        <w:t>;</w:t>
      </w:r>
      <w:r w:rsidRPr="006C3DC1">
        <w:rPr>
          <w:rFonts w:ascii="Book Antiqua" w:hAnsi="Book Antiqua"/>
          <w:sz w:val="24"/>
          <w:szCs w:val="24"/>
        </w:rPr>
        <w:t xml:space="preserve"> </w:t>
      </w:r>
      <w:r w:rsidR="002E5898" w:rsidRPr="006C3DC1">
        <w:rPr>
          <w:rFonts w:ascii="Book Antiqua" w:hAnsi="Book Antiqua"/>
          <w:sz w:val="24"/>
          <w:szCs w:val="24"/>
        </w:rPr>
        <w:t>S</w:t>
      </w:r>
      <w:r w:rsidRPr="006C3DC1">
        <w:rPr>
          <w:rFonts w:ascii="Book Antiqua" w:hAnsi="Book Antiqua"/>
          <w:sz w:val="24"/>
          <w:szCs w:val="24"/>
        </w:rPr>
        <w:t>urgical treatmen</w:t>
      </w:r>
      <w:bookmarkEnd w:id="24"/>
      <w:r w:rsidRPr="006C3DC1">
        <w:rPr>
          <w:rFonts w:ascii="Book Antiqua" w:hAnsi="Book Antiqua"/>
          <w:sz w:val="24"/>
          <w:szCs w:val="24"/>
        </w:rPr>
        <w:t>t</w:t>
      </w:r>
      <w:r w:rsidR="00540866" w:rsidRPr="006C3DC1">
        <w:rPr>
          <w:rFonts w:ascii="Book Antiqua" w:eastAsiaTheme="minorEastAsia" w:hAnsi="Book Antiqua"/>
          <w:sz w:val="24"/>
          <w:szCs w:val="24"/>
        </w:rPr>
        <w:t>;</w:t>
      </w:r>
      <w:r w:rsidR="002E5898" w:rsidRPr="006C3DC1">
        <w:rPr>
          <w:rFonts w:ascii="Book Antiqua" w:hAnsi="Book Antiqua"/>
          <w:sz w:val="24"/>
          <w:szCs w:val="24"/>
        </w:rPr>
        <w:t xml:space="preserve"> Case report</w:t>
      </w:r>
    </w:p>
    <w:p w:rsidR="00847F85" w:rsidRPr="006C3DC1" w:rsidRDefault="00847F85" w:rsidP="006C3DC1">
      <w:pPr>
        <w:pStyle w:val="a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Theme="minorEastAsia" w:hAnsi="Book Antiqua" w:cs="Times New Roman"/>
          <w:color w:val="333333"/>
          <w:sz w:val="24"/>
          <w:szCs w:val="24"/>
        </w:rPr>
      </w:pPr>
    </w:p>
    <w:p w:rsidR="00540866" w:rsidRPr="006C3DC1" w:rsidRDefault="00540866" w:rsidP="006C3DC1">
      <w:pPr>
        <w:spacing w:line="360" w:lineRule="auto"/>
        <w:jc w:val="both"/>
        <w:rPr>
          <w:rFonts w:ascii="Book Antiqua" w:hAnsi="Book Antiqua" w:cs="Arial"/>
          <w:sz w:val="24"/>
          <w:szCs w:val="24"/>
        </w:rPr>
      </w:pPr>
      <w:r w:rsidRPr="006C3DC1">
        <w:rPr>
          <w:rFonts w:ascii="Book Antiqua" w:hAnsi="Book Antiqua"/>
          <w:b/>
          <w:sz w:val="24"/>
          <w:szCs w:val="24"/>
        </w:rPr>
        <w:t xml:space="preserve">© </w:t>
      </w:r>
      <w:r w:rsidRPr="006C3DC1">
        <w:rPr>
          <w:rFonts w:ascii="Book Antiqua" w:hAnsi="Book Antiqua" w:cs="Arial"/>
          <w:b/>
          <w:sz w:val="24"/>
          <w:szCs w:val="24"/>
        </w:rPr>
        <w:t>The Author(s) 2018.</w:t>
      </w:r>
      <w:r w:rsidRPr="006C3DC1">
        <w:rPr>
          <w:rFonts w:ascii="Book Antiqua" w:hAnsi="Book Antiqua" w:cs="Arial"/>
          <w:sz w:val="24"/>
          <w:szCs w:val="24"/>
        </w:rPr>
        <w:t xml:space="preserve"> Published by </w:t>
      </w:r>
      <w:proofErr w:type="spellStart"/>
      <w:r w:rsidRPr="006C3DC1">
        <w:rPr>
          <w:rFonts w:ascii="Book Antiqua" w:hAnsi="Book Antiqua" w:cs="Arial"/>
          <w:sz w:val="24"/>
          <w:szCs w:val="24"/>
        </w:rPr>
        <w:t>Baishideng</w:t>
      </w:r>
      <w:proofErr w:type="spellEnd"/>
      <w:r w:rsidRPr="006C3DC1">
        <w:rPr>
          <w:rFonts w:ascii="Book Antiqua" w:hAnsi="Book Antiqua" w:cs="Arial"/>
          <w:sz w:val="24"/>
          <w:szCs w:val="24"/>
        </w:rPr>
        <w:t xml:space="preserve"> Publishing Group Inc. All rights reserved.</w:t>
      </w:r>
    </w:p>
    <w:p w:rsidR="00540866" w:rsidRPr="006C3DC1" w:rsidRDefault="00540866" w:rsidP="006C3DC1">
      <w:pPr>
        <w:pStyle w:val="a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Theme="minorEastAsia" w:hAnsi="Book Antiqua" w:cs="Times New Roman"/>
          <w:color w:val="333333"/>
          <w:sz w:val="24"/>
          <w:szCs w:val="24"/>
        </w:rPr>
      </w:pPr>
    </w:p>
    <w:p w:rsidR="007B2075" w:rsidRPr="006C3DC1" w:rsidRDefault="00141C1D" w:rsidP="006C3DC1">
      <w:pPr>
        <w:spacing w:line="360" w:lineRule="auto"/>
        <w:jc w:val="both"/>
        <w:rPr>
          <w:rFonts w:ascii="Book Antiqua" w:hAnsi="Book Antiqua"/>
          <w:sz w:val="24"/>
          <w:szCs w:val="24"/>
        </w:rPr>
      </w:pPr>
      <w:r w:rsidRPr="006C3DC1">
        <w:rPr>
          <w:rFonts w:ascii="Book Antiqua" w:hAnsi="Book Antiqua"/>
          <w:b/>
          <w:bCs/>
          <w:sz w:val="24"/>
          <w:szCs w:val="24"/>
        </w:rPr>
        <w:t xml:space="preserve">Core tip: </w:t>
      </w:r>
      <w:r w:rsidRPr="006C3DC1">
        <w:rPr>
          <w:rFonts w:ascii="Book Antiqua" w:hAnsi="Book Antiqua"/>
          <w:sz w:val="24"/>
          <w:szCs w:val="24"/>
        </w:rPr>
        <w:t xml:space="preserve">Immune thrombocytopenia (ITP) is a rare autoimmune disease with a reduced platelet count. Severe and medically refractory thrombocytopenia </w:t>
      </w:r>
      <w:r w:rsidRPr="006C3DC1">
        <w:rPr>
          <w:rFonts w:ascii="Book Antiqua" w:hAnsi="Book Antiqua"/>
          <w:sz w:val="24"/>
          <w:szCs w:val="24"/>
        </w:rPr>
        <w:lastRenderedPageBreak/>
        <w:t>is an absolute contraindication to chemotherapy or radiotherapy. For those patients with malignant tumor, surgical treatment maybe the on</w:t>
      </w:r>
      <w:r w:rsidR="00540866" w:rsidRPr="006C3DC1">
        <w:rPr>
          <w:rFonts w:ascii="Book Antiqua" w:hAnsi="Book Antiqua"/>
          <w:sz w:val="24"/>
          <w:szCs w:val="24"/>
        </w:rPr>
        <w:t>ly option despite the high risk</w:t>
      </w:r>
      <w:r w:rsidR="00540866" w:rsidRPr="006C3DC1">
        <w:rPr>
          <w:rFonts w:ascii="Book Antiqua" w:eastAsiaTheme="minorEastAsia" w:hAnsi="Book Antiqua"/>
          <w:sz w:val="24"/>
          <w:szCs w:val="24"/>
        </w:rPr>
        <w:t>s</w:t>
      </w:r>
      <w:r w:rsidRPr="006C3DC1">
        <w:rPr>
          <w:rFonts w:ascii="Book Antiqua" w:hAnsi="Book Antiqua"/>
          <w:sz w:val="24"/>
          <w:szCs w:val="24"/>
        </w:rPr>
        <w:t xml:space="preserve"> of bleeding. This case might contribute to improving our understanding of the behavior and perioperative management of sever and medically </w:t>
      </w:r>
      <w:r w:rsidR="006A3081" w:rsidRPr="006C3DC1">
        <w:rPr>
          <w:rFonts w:ascii="Book Antiqua" w:hAnsi="Book Antiqua"/>
          <w:sz w:val="24"/>
          <w:szCs w:val="24"/>
        </w:rPr>
        <w:t xml:space="preserve">refractory </w:t>
      </w:r>
      <w:r w:rsidRPr="006C3DC1">
        <w:rPr>
          <w:rFonts w:ascii="Book Antiqua" w:hAnsi="Book Antiqua"/>
          <w:sz w:val="24"/>
          <w:szCs w:val="24"/>
        </w:rPr>
        <w:t>ITP patients with gastric cancer.</w:t>
      </w:r>
    </w:p>
    <w:p w:rsidR="00540866" w:rsidRPr="006C3DC1" w:rsidRDefault="00540866" w:rsidP="006C3DC1">
      <w:pPr>
        <w:spacing w:line="360" w:lineRule="auto"/>
        <w:jc w:val="both"/>
        <w:rPr>
          <w:rFonts w:ascii="Book Antiqua" w:eastAsiaTheme="minorEastAsia" w:hAnsi="Book Antiqua" w:cs="Times New Roman"/>
          <w:b/>
          <w:bCs/>
          <w:sz w:val="24"/>
          <w:szCs w:val="24"/>
        </w:rPr>
      </w:pPr>
    </w:p>
    <w:p w:rsidR="007B2075" w:rsidRPr="006C3DC1" w:rsidRDefault="00540866" w:rsidP="006C3DC1">
      <w:pPr>
        <w:spacing w:line="360" w:lineRule="auto"/>
        <w:jc w:val="both"/>
        <w:rPr>
          <w:rFonts w:ascii="Book Antiqua" w:eastAsiaTheme="minorEastAsia" w:hAnsi="Book Antiqua"/>
          <w:sz w:val="24"/>
          <w:szCs w:val="24"/>
        </w:rPr>
      </w:pPr>
      <w:r w:rsidRPr="006C3DC1">
        <w:rPr>
          <w:rFonts w:ascii="Book Antiqua" w:hAnsi="Book Antiqua"/>
          <w:sz w:val="24"/>
          <w:szCs w:val="24"/>
        </w:rPr>
        <w:t>Zhao</w:t>
      </w:r>
      <w:r w:rsidRPr="006C3DC1">
        <w:rPr>
          <w:rFonts w:ascii="Book Antiqua" w:eastAsiaTheme="minorEastAsia" w:hAnsi="Book Antiqua"/>
          <w:sz w:val="24"/>
          <w:szCs w:val="24"/>
        </w:rPr>
        <w:t xml:space="preserve"> ZW</w:t>
      </w:r>
      <w:r w:rsidRPr="006C3DC1">
        <w:rPr>
          <w:rFonts w:ascii="Book Antiqua" w:hAnsi="Book Antiqua"/>
          <w:sz w:val="24"/>
          <w:szCs w:val="24"/>
        </w:rPr>
        <w:t>, Kang</w:t>
      </w:r>
      <w:r w:rsidRPr="006C3DC1">
        <w:rPr>
          <w:rFonts w:ascii="Book Antiqua" w:eastAsiaTheme="minorEastAsia" w:hAnsi="Book Antiqua"/>
          <w:sz w:val="24"/>
          <w:szCs w:val="24"/>
        </w:rPr>
        <w:t xml:space="preserve"> WM</w:t>
      </w:r>
      <w:r w:rsidRPr="006C3DC1">
        <w:rPr>
          <w:rFonts w:ascii="Book Antiqua" w:hAnsi="Book Antiqua"/>
          <w:sz w:val="24"/>
          <w:szCs w:val="24"/>
        </w:rPr>
        <w:t>, Ma</w:t>
      </w:r>
      <w:r w:rsidRPr="006C3DC1">
        <w:rPr>
          <w:rFonts w:ascii="Book Antiqua" w:eastAsiaTheme="minorEastAsia" w:hAnsi="Book Antiqua"/>
          <w:sz w:val="24"/>
          <w:szCs w:val="24"/>
        </w:rPr>
        <w:t xml:space="preserve"> ZQ</w:t>
      </w:r>
      <w:r w:rsidRPr="006C3DC1">
        <w:rPr>
          <w:rFonts w:ascii="Book Antiqua" w:hAnsi="Book Antiqua"/>
          <w:sz w:val="24"/>
          <w:szCs w:val="24"/>
        </w:rPr>
        <w:t>, Ye</w:t>
      </w:r>
      <w:r w:rsidRPr="006C3DC1">
        <w:rPr>
          <w:rFonts w:ascii="Book Antiqua" w:eastAsiaTheme="minorEastAsia" w:hAnsi="Book Antiqua"/>
          <w:sz w:val="24"/>
          <w:szCs w:val="24"/>
        </w:rPr>
        <w:t xml:space="preserve"> X</w:t>
      </w:r>
      <w:r w:rsidRPr="006C3DC1">
        <w:rPr>
          <w:rFonts w:ascii="Book Antiqua" w:hAnsi="Book Antiqua"/>
          <w:sz w:val="24"/>
          <w:szCs w:val="24"/>
        </w:rPr>
        <w:t>, Yu</w:t>
      </w:r>
      <w:r w:rsidRPr="006C3DC1">
        <w:rPr>
          <w:rFonts w:ascii="Book Antiqua" w:eastAsiaTheme="minorEastAsia" w:hAnsi="Book Antiqua"/>
          <w:sz w:val="24"/>
          <w:szCs w:val="24"/>
        </w:rPr>
        <w:t xml:space="preserve"> JC.</w:t>
      </w:r>
      <w:r w:rsidRPr="006C3DC1">
        <w:rPr>
          <w:rFonts w:ascii="Book Antiqua" w:hAnsi="Book Antiqua"/>
          <w:bCs/>
          <w:sz w:val="24"/>
          <w:szCs w:val="24"/>
        </w:rPr>
        <w:t xml:space="preserve"> Gastric cancer with severe immune thrombocytopenia: </w:t>
      </w:r>
      <w:r w:rsidRPr="006C3DC1">
        <w:rPr>
          <w:rFonts w:ascii="Book Antiqua" w:hAnsi="Book Antiqua"/>
          <w:sz w:val="24"/>
          <w:szCs w:val="24"/>
        </w:rPr>
        <w:t>A case report and review of literature</w:t>
      </w:r>
      <w:r w:rsidRPr="006C3DC1">
        <w:rPr>
          <w:rFonts w:ascii="Book Antiqua" w:eastAsiaTheme="minorEastAsia" w:hAnsi="Book Antiqua"/>
          <w:sz w:val="24"/>
          <w:szCs w:val="24"/>
        </w:rPr>
        <w:t xml:space="preserve">. </w:t>
      </w:r>
      <w:r w:rsidRPr="006C3DC1">
        <w:rPr>
          <w:rFonts w:ascii="Book Antiqua" w:hAnsi="Book Antiqua"/>
          <w:i/>
          <w:iCs/>
          <w:sz w:val="24"/>
          <w:szCs w:val="24"/>
        </w:rPr>
        <w:t>World J Clin Cases</w:t>
      </w:r>
      <w:r w:rsidRPr="006C3DC1">
        <w:rPr>
          <w:rFonts w:ascii="Book Antiqua" w:eastAsiaTheme="minorEastAsia" w:hAnsi="Book Antiqua"/>
          <w:i/>
          <w:iCs/>
          <w:sz w:val="24"/>
          <w:szCs w:val="24"/>
        </w:rPr>
        <w:t xml:space="preserve"> </w:t>
      </w:r>
      <w:r w:rsidRPr="006C3DC1">
        <w:rPr>
          <w:rFonts w:ascii="Book Antiqua" w:eastAsiaTheme="minorEastAsia" w:hAnsi="Book Antiqua"/>
          <w:iCs/>
          <w:sz w:val="24"/>
          <w:szCs w:val="24"/>
        </w:rPr>
        <w:t>2018; In press</w:t>
      </w:r>
    </w:p>
    <w:p w:rsidR="00847F85" w:rsidRPr="006C3DC1" w:rsidRDefault="00141C1D" w:rsidP="006C3DC1">
      <w:pPr>
        <w:spacing w:line="360" w:lineRule="auto"/>
        <w:jc w:val="both"/>
        <w:rPr>
          <w:rFonts w:ascii="Book Antiqua" w:hAnsi="Book Antiqua"/>
          <w:sz w:val="24"/>
          <w:szCs w:val="24"/>
        </w:rPr>
      </w:pPr>
      <w:r w:rsidRPr="006C3DC1">
        <w:rPr>
          <w:rFonts w:ascii="Book Antiqua" w:eastAsia="Arial Unicode MS" w:hAnsi="Book Antiqua" w:cs="Arial Unicode MS"/>
          <w:sz w:val="24"/>
          <w:szCs w:val="24"/>
        </w:rPr>
        <w:br w:type="page"/>
      </w:r>
    </w:p>
    <w:p w:rsidR="00847F85" w:rsidRPr="006C3DC1" w:rsidRDefault="00141C1D" w:rsidP="006C3DC1">
      <w:pPr>
        <w:spacing w:line="360" w:lineRule="auto"/>
        <w:jc w:val="both"/>
        <w:rPr>
          <w:rFonts w:ascii="Book Antiqua" w:eastAsia="Times New Roman" w:hAnsi="Book Antiqua" w:cs="Times New Roman"/>
          <w:b/>
          <w:bCs/>
          <w:sz w:val="24"/>
          <w:szCs w:val="24"/>
        </w:rPr>
      </w:pPr>
      <w:r w:rsidRPr="006C3DC1">
        <w:rPr>
          <w:rFonts w:ascii="Book Antiqua" w:hAnsi="Book Antiqua"/>
          <w:b/>
          <w:bCs/>
          <w:sz w:val="24"/>
          <w:szCs w:val="24"/>
        </w:rPr>
        <w:lastRenderedPageBreak/>
        <w:t>INTRODUCTION</w:t>
      </w:r>
    </w:p>
    <w:p w:rsidR="00847F85" w:rsidRPr="006C3DC1" w:rsidRDefault="00141C1D" w:rsidP="006C3DC1">
      <w:pPr>
        <w:spacing w:line="360" w:lineRule="auto"/>
        <w:jc w:val="both"/>
        <w:rPr>
          <w:rFonts w:ascii="Book Antiqua" w:eastAsia="Times New Roman" w:hAnsi="Book Antiqua" w:cs="Times New Roman"/>
          <w:sz w:val="24"/>
          <w:szCs w:val="24"/>
        </w:rPr>
      </w:pPr>
      <w:bookmarkStart w:id="25" w:name="OLE_LINK10"/>
      <w:r w:rsidRPr="006C3DC1">
        <w:rPr>
          <w:rFonts w:ascii="Book Antiqua" w:hAnsi="Book Antiqua"/>
          <w:sz w:val="24"/>
          <w:szCs w:val="24"/>
        </w:rPr>
        <w:t>P</w:t>
      </w:r>
      <w:bookmarkStart w:id="26" w:name="OLE_LINK11"/>
      <w:bookmarkEnd w:id="25"/>
      <w:r w:rsidRPr="006C3DC1">
        <w:rPr>
          <w:rFonts w:ascii="Book Antiqua" w:hAnsi="Book Antiqua"/>
          <w:sz w:val="24"/>
          <w:szCs w:val="24"/>
        </w:rPr>
        <w:t>rimary immune thrombocytopenia (ITP)</w:t>
      </w:r>
      <w:bookmarkEnd w:id="26"/>
      <w:r w:rsidRPr="006C3DC1">
        <w:rPr>
          <w:rFonts w:ascii="Book Antiqua" w:hAnsi="Book Antiqua"/>
          <w:sz w:val="24"/>
          <w:szCs w:val="24"/>
        </w:rPr>
        <w:t xml:space="preserve">, also known as idiopathic thrombocytopenia purpura, is an autoimmune disease associated with a reduced platelet (PLT) count without any obvious initiating and/or underlying cause. </w:t>
      </w:r>
      <w:bookmarkStart w:id="27" w:name="OLE_LINK43"/>
      <w:bookmarkStart w:id="28" w:name="OLE_LINK46"/>
      <w:r w:rsidRPr="006C3DC1">
        <w:rPr>
          <w:rFonts w:ascii="Book Antiqua" w:hAnsi="Book Antiqua"/>
          <w:sz w:val="24"/>
          <w:szCs w:val="24"/>
        </w:rPr>
        <w:t xml:space="preserve">Severe and medically refractory thrombocytopenia is an absolute contraindication to chemotherapy or radiotherapy. </w:t>
      </w:r>
      <w:bookmarkStart w:id="29" w:name="OLE_LINK14"/>
      <w:r w:rsidRPr="006C3DC1">
        <w:rPr>
          <w:rFonts w:ascii="Book Antiqua" w:hAnsi="Book Antiqua"/>
          <w:sz w:val="24"/>
          <w:szCs w:val="24"/>
        </w:rPr>
        <w:t>F</w:t>
      </w:r>
      <w:bookmarkStart w:id="30" w:name="OLE_LINK15"/>
      <w:bookmarkEnd w:id="29"/>
      <w:r w:rsidRPr="006C3DC1">
        <w:rPr>
          <w:rFonts w:ascii="Book Antiqua" w:hAnsi="Book Antiqua"/>
          <w:sz w:val="24"/>
          <w:szCs w:val="24"/>
        </w:rPr>
        <w:t xml:space="preserve">or those patients with gastric cancer, surgical treatment maybe the only option for therapy despite the high risks of bleeding. </w:t>
      </w:r>
      <w:bookmarkEnd w:id="27"/>
      <w:bookmarkEnd w:id="28"/>
      <w:r w:rsidRPr="006C3DC1">
        <w:rPr>
          <w:rFonts w:ascii="Book Antiqua" w:hAnsi="Book Antiqua"/>
          <w:sz w:val="24"/>
          <w:szCs w:val="24"/>
        </w:rPr>
        <w:t>This uncommon condition can be worrisome for surgeons.</w:t>
      </w:r>
      <w:bookmarkEnd w:id="30"/>
      <w:r w:rsidRPr="006C3DC1">
        <w:rPr>
          <w:rFonts w:ascii="Book Antiqua" w:hAnsi="Book Antiqua"/>
          <w:sz w:val="24"/>
          <w:szCs w:val="24"/>
        </w:rPr>
        <w:t xml:space="preserve"> Here, aiming to lay a foundation for future clinical work, we report a</w:t>
      </w:r>
      <w:bookmarkStart w:id="31" w:name="OLE_LINK30"/>
      <w:r w:rsidRPr="006C3DC1">
        <w:rPr>
          <w:rFonts w:ascii="Book Antiqua" w:hAnsi="Book Antiqua"/>
          <w:sz w:val="24"/>
          <w:szCs w:val="24"/>
        </w:rPr>
        <w:t xml:space="preserve"> </w:t>
      </w:r>
      <w:bookmarkStart w:id="32" w:name="OLE_LINK31"/>
      <w:bookmarkEnd w:id="31"/>
      <w:r w:rsidRPr="006C3DC1">
        <w:rPr>
          <w:rFonts w:ascii="Book Antiqua" w:hAnsi="Book Antiqua"/>
          <w:sz w:val="24"/>
          <w:szCs w:val="24"/>
        </w:rPr>
        <w:t>first case of gastric cancer</w:t>
      </w:r>
      <w:bookmarkEnd w:id="32"/>
      <w:r w:rsidRPr="006C3DC1">
        <w:rPr>
          <w:rFonts w:ascii="Book Antiqua" w:hAnsi="Book Antiqua"/>
          <w:sz w:val="24"/>
          <w:szCs w:val="24"/>
        </w:rPr>
        <w:t xml:space="preserve"> </w:t>
      </w:r>
      <w:bookmarkStart w:id="33" w:name="OLE_LINK28"/>
      <w:r w:rsidRPr="006C3DC1">
        <w:rPr>
          <w:rFonts w:ascii="Book Antiqua" w:hAnsi="Book Antiqua"/>
          <w:sz w:val="24"/>
          <w:szCs w:val="24"/>
        </w:rPr>
        <w:t>c</w:t>
      </w:r>
      <w:bookmarkStart w:id="34" w:name="OLE_LINK29"/>
      <w:bookmarkEnd w:id="33"/>
      <w:r w:rsidRPr="006C3DC1">
        <w:rPr>
          <w:rFonts w:ascii="Book Antiqua" w:hAnsi="Book Antiqua"/>
          <w:sz w:val="24"/>
          <w:szCs w:val="24"/>
        </w:rPr>
        <w:t>omplicated by</w:t>
      </w:r>
      <w:bookmarkEnd w:id="34"/>
      <w:r w:rsidRPr="006C3DC1">
        <w:rPr>
          <w:rFonts w:ascii="Book Antiqua" w:hAnsi="Book Antiqua"/>
          <w:sz w:val="24"/>
          <w:szCs w:val="24"/>
        </w:rPr>
        <w:t xml:space="preserve"> </w:t>
      </w:r>
      <w:bookmarkStart w:id="35" w:name="OLE_LINK16"/>
      <w:r w:rsidRPr="006C3DC1">
        <w:rPr>
          <w:rFonts w:ascii="Book Antiqua" w:hAnsi="Book Antiqua"/>
          <w:sz w:val="24"/>
          <w:szCs w:val="24"/>
        </w:rPr>
        <w:t>s</w:t>
      </w:r>
      <w:bookmarkStart w:id="36" w:name="OLE_LINK17"/>
      <w:bookmarkEnd w:id="35"/>
      <w:r w:rsidRPr="006C3DC1">
        <w:rPr>
          <w:rFonts w:ascii="Book Antiqua" w:hAnsi="Book Antiqua"/>
          <w:sz w:val="24"/>
          <w:szCs w:val="24"/>
        </w:rPr>
        <w:t xml:space="preserve">evere </w:t>
      </w:r>
      <w:r w:rsidR="00280C06" w:rsidRPr="006C3DC1">
        <w:rPr>
          <w:rFonts w:ascii="Book Antiqua" w:hAnsi="Book Antiqua"/>
          <w:sz w:val="24"/>
          <w:szCs w:val="24"/>
        </w:rPr>
        <w:t xml:space="preserve">and medically refractory </w:t>
      </w:r>
      <w:r w:rsidRPr="006C3DC1">
        <w:rPr>
          <w:rFonts w:ascii="Book Antiqua" w:hAnsi="Book Antiqua"/>
          <w:sz w:val="24"/>
          <w:szCs w:val="24"/>
        </w:rPr>
        <w:t>ITP treated with</w:t>
      </w:r>
      <w:bookmarkEnd w:id="36"/>
      <w:r w:rsidRPr="006C3DC1">
        <w:rPr>
          <w:rFonts w:ascii="Book Antiqua" w:hAnsi="Book Antiqua"/>
          <w:sz w:val="24"/>
          <w:szCs w:val="24"/>
        </w:rPr>
        <w:t xml:space="preserve"> </w:t>
      </w:r>
      <w:bookmarkStart w:id="37" w:name="OLE_LINK70"/>
      <w:r w:rsidRPr="006C3DC1">
        <w:rPr>
          <w:rFonts w:ascii="Book Antiqua" w:hAnsi="Book Antiqua"/>
          <w:sz w:val="24"/>
          <w:szCs w:val="24"/>
        </w:rPr>
        <w:t>subtotal gastrectomy</w:t>
      </w:r>
      <w:bookmarkStart w:id="38" w:name="OLE_LINK71"/>
      <w:bookmarkEnd w:id="37"/>
      <w:r w:rsidRPr="006C3DC1">
        <w:rPr>
          <w:rFonts w:ascii="Book Antiqua" w:hAnsi="Book Antiqua"/>
          <w:sz w:val="24"/>
          <w:szCs w:val="24"/>
        </w:rPr>
        <w:t xml:space="preserve"> and splenectomy</w:t>
      </w:r>
      <w:bookmarkEnd w:id="38"/>
      <w:r w:rsidRPr="006C3DC1">
        <w:rPr>
          <w:rFonts w:ascii="Book Antiqua" w:hAnsi="Book Antiqua"/>
          <w:sz w:val="24"/>
          <w:szCs w:val="24"/>
        </w:rPr>
        <w:t xml:space="preserve"> and a review of the related literature.</w:t>
      </w:r>
    </w:p>
    <w:p w:rsidR="00847F85" w:rsidRPr="006C3DC1" w:rsidRDefault="00847F85" w:rsidP="006C3DC1">
      <w:pPr>
        <w:spacing w:line="360" w:lineRule="auto"/>
        <w:jc w:val="both"/>
        <w:rPr>
          <w:rFonts w:ascii="Book Antiqua" w:eastAsia="Times New Roman" w:hAnsi="Book Antiqua" w:cs="Times New Roman"/>
          <w:sz w:val="24"/>
          <w:szCs w:val="24"/>
        </w:rPr>
      </w:pPr>
    </w:p>
    <w:p w:rsidR="00847F85" w:rsidRPr="006C3DC1" w:rsidRDefault="00141C1D" w:rsidP="006C3DC1">
      <w:pPr>
        <w:spacing w:line="360" w:lineRule="auto"/>
        <w:jc w:val="both"/>
        <w:rPr>
          <w:rFonts w:ascii="Book Antiqua" w:eastAsia="Times New Roman" w:hAnsi="Book Antiqua" w:cs="Times New Roman"/>
          <w:b/>
          <w:bCs/>
          <w:sz w:val="24"/>
          <w:szCs w:val="24"/>
        </w:rPr>
      </w:pPr>
      <w:r w:rsidRPr="006C3DC1">
        <w:rPr>
          <w:rFonts w:ascii="Book Antiqua" w:hAnsi="Book Antiqua"/>
          <w:b/>
          <w:bCs/>
          <w:sz w:val="24"/>
          <w:szCs w:val="24"/>
        </w:rPr>
        <w:t>CASE REPORT</w:t>
      </w:r>
    </w:p>
    <w:p w:rsidR="00847F85" w:rsidRPr="006C3DC1" w:rsidRDefault="00141C1D" w:rsidP="006C3DC1">
      <w:pPr>
        <w:spacing w:line="360" w:lineRule="auto"/>
        <w:jc w:val="both"/>
        <w:rPr>
          <w:rFonts w:ascii="Book Antiqua" w:hAnsi="Book Antiqua"/>
          <w:sz w:val="24"/>
          <w:szCs w:val="24"/>
        </w:rPr>
      </w:pPr>
      <w:bookmarkStart w:id="39" w:name="OLE_LINK52"/>
      <w:bookmarkStart w:id="40" w:name="OLE_LINK53"/>
      <w:r w:rsidRPr="006C3DC1">
        <w:rPr>
          <w:rFonts w:ascii="Book Antiqua" w:hAnsi="Book Antiqua"/>
          <w:sz w:val="24"/>
          <w:szCs w:val="24"/>
        </w:rPr>
        <w:t>A 54-year-old woman was admitted to our hospital with a 2</w:t>
      </w:r>
      <w:r w:rsidR="002130DA" w:rsidRPr="006C3DC1">
        <w:rPr>
          <w:rFonts w:ascii="Book Antiqua" w:hAnsi="Book Antiqua"/>
          <w:sz w:val="24"/>
          <w:szCs w:val="24"/>
        </w:rPr>
        <w:t>-</w:t>
      </w:r>
      <w:r w:rsidRPr="006C3DC1">
        <w:rPr>
          <w:rFonts w:ascii="Book Antiqua" w:hAnsi="Book Antiqua"/>
          <w:sz w:val="24"/>
          <w:szCs w:val="24"/>
        </w:rPr>
        <w:t xml:space="preserve">mo history of decreased appetite, nausea, vomit, and weight loss, which progressed to </w:t>
      </w:r>
      <w:bookmarkStart w:id="41" w:name="OLE_LINK83"/>
      <w:bookmarkStart w:id="42" w:name="OLE_LINK85"/>
      <w:r w:rsidRPr="006C3DC1">
        <w:rPr>
          <w:rFonts w:ascii="Book Antiqua" w:hAnsi="Book Antiqua"/>
          <w:sz w:val="24"/>
          <w:szCs w:val="24"/>
        </w:rPr>
        <w:t xml:space="preserve">difficulty in feeding </w:t>
      </w:r>
      <w:bookmarkEnd w:id="41"/>
      <w:bookmarkEnd w:id="42"/>
      <w:r w:rsidRPr="006C3DC1">
        <w:rPr>
          <w:rFonts w:ascii="Book Antiqua" w:hAnsi="Book Antiqua"/>
          <w:sz w:val="24"/>
          <w:szCs w:val="24"/>
        </w:rPr>
        <w:t xml:space="preserve">3 </w:t>
      </w:r>
      <w:r w:rsidR="00DA1A3E" w:rsidRPr="006C3DC1">
        <w:rPr>
          <w:rFonts w:ascii="Book Antiqua" w:hAnsi="Book Antiqua"/>
          <w:sz w:val="24"/>
          <w:szCs w:val="24"/>
        </w:rPr>
        <w:t xml:space="preserve">d </w:t>
      </w:r>
      <w:r w:rsidRPr="006C3DC1">
        <w:rPr>
          <w:rFonts w:ascii="Book Antiqua" w:hAnsi="Book Antiqua"/>
          <w:sz w:val="24"/>
          <w:szCs w:val="24"/>
        </w:rPr>
        <w:t>priors to her visit. A rapid urease test and serum antibody w</w:t>
      </w:r>
      <w:r w:rsidR="0050230B">
        <w:rPr>
          <w:rFonts w:ascii="Book Antiqua" w:eastAsiaTheme="minorEastAsia" w:hAnsi="Book Antiqua" w:hint="eastAsia"/>
          <w:sz w:val="24"/>
          <w:szCs w:val="24"/>
        </w:rPr>
        <w:t>as</w:t>
      </w:r>
      <w:r w:rsidRPr="006C3DC1">
        <w:rPr>
          <w:rFonts w:ascii="Book Antiqua" w:hAnsi="Book Antiqua"/>
          <w:sz w:val="24"/>
          <w:szCs w:val="24"/>
        </w:rPr>
        <w:t xml:space="preserve"> negative for </w:t>
      </w:r>
      <w:r w:rsidRPr="006C3DC1">
        <w:rPr>
          <w:rFonts w:ascii="Book Antiqua" w:hAnsi="Book Antiqua"/>
          <w:i/>
          <w:iCs/>
          <w:sz w:val="24"/>
          <w:szCs w:val="24"/>
        </w:rPr>
        <w:t>Helicobacter pylori</w:t>
      </w:r>
      <w:r w:rsidRPr="006C3DC1">
        <w:rPr>
          <w:rFonts w:ascii="Book Antiqua" w:hAnsi="Book Antiqua"/>
          <w:sz w:val="24"/>
          <w:szCs w:val="24"/>
        </w:rPr>
        <w:t xml:space="preserve"> (</w:t>
      </w:r>
      <w:r w:rsidRPr="0050230B">
        <w:rPr>
          <w:rFonts w:ascii="Book Antiqua" w:hAnsi="Book Antiqua"/>
          <w:i/>
          <w:sz w:val="24"/>
          <w:szCs w:val="24"/>
        </w:rPr>
        <w:t>H</w:t>
      </w:r>
      <w:r w:rsidR="0050230B" w:rsidRPr="0050230B">
        <w:rPr>
          <w:rFonts w:ascii="Book Antiqua" w:eastAsiaTheme="minorEastAsia" w:hAnsi="Book Antiqua" w:hint="eastAsia"/>
          <w:i/>
          <w:sz w:val="24"/>
          <w:szCs w:val="24"/>
        </w:rPr>
        <w:t>.</w:t>
      </w:r>
      <w:r w:rsidR="0050230B">
        <w:rPr>
          <w:rFonts w:ascii="Book Antiqua" w:eastAsiaTheme="minorEastAsia" w:hAnsi="Book Antiqua" w:hint="eastAsia"/>
          <w:sz w:val="24"/>
          <w:szCs w:val="24"/>
        </w:rPr>
        <w:t xml:space="preserve"> </w:t>
      </w:r>
      <w:r w:rsidR="0050230B" w:rsidRPr="006C3DC1">
        <w:rPr>
          <w:rFonts w:ascii="Book Antiqua" w:hAnsi="Book Antiqua"/>
          <w:i/>
          <w:iCs/>
          <w:sz w:val="24"/>
          <w:szCs w:val="24"/>
        </w:rPr>
        <w:t>pylori</w:t>
      </w:r>
      <w:r w:rsidRPr="006C3DC1">
        <w:rPr>
          <w:rFonts w:ascii="Book Antiqua" w:hAnsi="Book Antiqua"/>
          <w:sz w:val="24"/>
          <w:szCs w:val="24"/>
        </w:rPr>
        <w:t>). An upper gastrointestinal endoscopy showed irregular erosion on the pylorus with pyloric stenosis. Multiple mucosal biopsies were obtained, and a histological analysis revealed gastric adenocarcinoma. Serum levels of tumor markers were significantly elevated (CA19-9 273.1</w:t>
      </w:r>
      <w:r w:rsidR="0050230B">
        <w:rPr>
          <w:rFonts w:ascii="Book Antiqua" w:eastAsiaTheme="minorEastAsia" w:hAnsi="Book Antiqua" w:hint="eastAsia"/>
          <w:sz w:val="24"/>
          <w:szCs w:val="24"/>
        </w:rPr>
        <w:t xml:space="preserve"> </w:t>
      </w:r>
      <w:r w:rsidRPr="006C3DC1">
        <w:rPr>
          <w:rFonts w:ascii="Book Antiqua" w:hAnsi="Book Antiqua"/>
          <w:sz w:val="24"/>
          <w:szCs w:val="24"/>
        </w:rPr>
        <w:t>U/mL and CA242 &gt; 150.0</w:t>
      </w:r>
      <w:r w:rsidR="0050230B">
        <w:rPr>
          <w:rFonts w:ascii="Book Antiqua" w:eastAsiaTheme="minorEastAsia" w:hAnsi="Book Antiqua" w:hint="eastAsia"/>
          <w:sz w:val="24"/>
          <w:szCs w:val="24"/>
        </w:rPr>
        <w:t xml:space="preserve"> </w:t>
      </w:r>
      <w:r w:rsidRPr="006C3DC1">
        <w:rPr>
          <w:rFonts w:ascii="Book Antiqua" w:hAnsi="Book Antiqua"/>
          <w:sz w:val="24"/>
          <w:szCs w:val="24"/>
        </w:rPr>
        <w:t xml:space="preserve">U/mL). </w:t>
      </w:r>
      <w:bookmarkEnd w:id="39"/>
      <w:bookmarkEnd w:id="40"/>
      <w:r w:rsidRPr="006C3DC1">
        <w:rPr>
          <w:rFonts w:ascii="Book Antiqua" w:hAnsi="Book Antiqua"/>
          <w:sz w:val="24"/>
          <w:szCs w:val="24"/>
        </w:rPr>
        <w:t xml:space="preserve">Abdominal enhancement computed tomography revealed a thickening wall of the gastric antrum with significantly enhanced, multiple small lymph nodes around the stomach but no obvious retroperitoneal lymph nodes and normal spleen. </w:t>
      </w:r>
      <w:r w:rsidR="001E5E2F" w:rsidRPr="006C3DC1">
        <w:rPr>
          <w:rFonts w:ascii="Book Antiqua" w:hAnsi="Book Antiqua"/>
          <w:sz w:val="24"/>
          <w:szCs w:val="24"/>
        </w:rPr>
        <w:t xml:space="preserve">She worked in a plastics factory and was exposed to chemicals and radioactive materials for several years. </w:t>
      </w:r>
      <w:r w:rsidRPr="006C3DC1">
        <w:rPr>
          <w:rFonts w:ascii="Book Antiqua" w:hAnsi="Book Antiqua"/>
          <w:sz w:val="24"/>
          <w:szCs w:val="24"/>
        </w:rPr>
        <w:t xml:space="preserve">She was diagnosed with </w:t>
      </w:r>
      <w:r w:rsidR="00540866" w:rsidRPr="006C3DC1">
        <w:rPr>
          <w:rFonts w:ascii="Book Antiqua" w:hAnsi="Book Antiqua"/>
          <w:sz w:val="24"/>
          <w:szCs w:val="24"/>
        </w:rPr>
        <w:t>ITP</w:t>
      </w:r>
      <w:r w:rsidRPr="006C3DC1">
        <w:rPr>
          <w:rFonts w:ascii="Book Antiqua" w:hAnsi="Book Antiqua"/>
          <w:sz w:val="24"/>
          <w:szCs w:val="24"/>
        </w:rPr>
        <w:t xml:space="preserve"> (PLT 3000-8000/</w:t>
      </w:r>
      <w:proofErr w:type="spellStart"/>
      <w:r w:rsidRPr="006C3DC1">
        <w:rPr>
          <w:rFonts w:ascii="Book Antiqua" w:hAnsi="Book Antiqua"/>
          <w:sz w:val="24"/>
          <w:szCs w:val="24"/>
        </w:rPr>
        <w:t>μL</w:t>
      </w:r>
      <w:proofErr w:type="spellEnd"/>
      <w:r w:rsidRPr="006C3DC1">
        <w:rPr>
          <w:rFonts w:ascii="Book Antiqua" w:hAnsi="Book Antiqua"/>
          <w:sz w:val="24"/>
          <w:szCs w:val="24"/>
        </w:rPr>
        <w:t xml:space="preserve">) 10 years ago. </w:t>
      </w:r>
      <w:r w:rsidR="00E36217" w:rsidRPr="006C3DC1">
        <w:rPr>
          <w:rFonts w:ascii="Book Antiqua" w:hAnsi="Book Antiqua"/>
          <w:sz w:val="24"/>
          <w:szCs w:val="24"/>
        </w:rPr>
        <w:t>Prednisolone therapy (80</w:t>
      </w:r>
      <w:r w:rsidR="0050230B">
        <w:rPr>
          <w:rFonts w:ascii="Book Antiqua" w:eastAsiaTheme="minorEastAsia" w:hAnsi="Book Antiqua" w:hint="eastAsia"/>
          <w:sz w:val="24"/>
          <w:szCs w:val="24"/>
        </w:rPr>
        <w:t xml:space="preserve"> </w:t>
      </w:r>
      <w:r w:rsidR="00E36217" w:rsidRPr="006C3DC1">
        <w:rPr>
          <w:rFonts w:ascii="Book Antiqua" w:hAnsi="Book Antiqua"/>
          <w:sz w:val="24"/>
          <w:szCs w:val="24"/>
        </w:rPr>
        <w:t>mg</w:t>
      </w:r>
      <w:r w:rsidR="004A6194" w:rsidRPr="006C3DC1">
        <w:rPr>
          <w:rFonts w:ascii="Book Antiqua" w:hAnsi="Book Antiqua"/>
          <w:sz w:val="24"/>
          <w:szCs w:val="24"/>
        </w:rPr>
        <w:t>/d</w:t>
      </w:r>
      <w:r w:rsidR="0050230B">
        <w:rPr>
          <w:rFonts w:ascii="Book Antiqua" w:hAnsi="Book Antiqua"/>
          <w:sz w:val="24"/>
          <w:szCs w:val="24"/>
        </w:rPr>
        <w:t xml:space="preserve"> for 2 </w:t>
      </w:r>
      <w:proofErr w:type="spellStart"/>
      <w:r w:rsidR="0050230B">
        <w:rPr>
          <w:rFonts w:ascii="Book Antiqua" w:hAnsi="Book Antiqua"/>
          <w:sz w:val="24"/>
          <w:szCs w:val="24"/>
        </w:rPr>
        <w:t>wk</w:t>
      </w:r>
      <w:proofErr w:type="spellEnd"/>
      <w:r w:rsidR="00E36217" w:rsidRPr="006C3DC1">
        <w:rPr>
          <w:rFonts w:ascii="Book Antiqua" w:hAnsi="Book Antiqua"/>
          <w:sz w:val="24"/>
          <w:szCs w:val="24"/>
        </w:rPr>
        <w:t>) was started; and PLT increased to 50000-60000/</w:t>
      </w:r>
      <w:proofErr w:type="spellStart"/>
      <w:r w:rsidR="00E36217" w:rsidRPr="006C3DC1">
        <w:rPr>
          <w:rFonts w:ascii="Book Antiqua" w:hAnsi="Book Antiqua"/>
          <w:sz w:val="24"/>
          <w:szCs w:val="24"/>
        </w:rPr>
        <w:t>μL</w:t>
      </w:r>
      <w:proofErr w:type="spellEnd"/>
      <w:r w:rsidR="00E36217" w:rsidRPr="006C3DC1">
        <w:rPr>
          <w:rFonts w:ascii="Book Antiqua" w:hAnsi="Book Antiqua"/>
          <w:sz w:val="24"/>
          <w:szCs w:val="24"/>
        </w:rPr>
        <w:t>. However PLT decreas</w:t>
      </w:r>
      <w:r w:rsidR="004A6194" w:rsidRPr="006C3DC1">
        <w:rPr>
          <w:rFonts w:ascii="Book Antiqua" w:hAnsi="Book Antiqua"/>
          <w:sz w:val="24"/>
          <w:szCs w:val="24"/>
        </w:rPr>
        <w:t>ed to 3000-7</w:t>
      </w:r>
      <w:r w:rsidR="00E36217" w:rsidRPr="006C3DC1">
        <w:rPr>
          <w:rFonts w:ascii="Book Antiqua" w:hAnsi="Book Antiqua"/>
          <w:sz w:val="24"/>
          <w:szCs w:val="24"/>
        </w:rPr>
        <w:t>000/</w:t>
      </w:r>
      <w:proofErr w:type="spellStart"/>
      <w:r w:rsidR="00E36217" w:rsidRPr="006C3DC1">
        <w:rPr>
          <w:rFonts w:ascii="Book Antiqua" w:hAnsi="Book Antiqua"/>
          <w:sz w:val="24"/>
          <w:szCs w:val="24"/>
        </w:rPr>
        <w:t>μL</w:t>
      </w:r>
      <w:proofErr w:type="spellEnd"/>
      <w:r w:rsidR="00E36217" w:rsidRPr="006C3DC1">
        <w:rPr>
          <w:rFonts w:ascii="Book Antiqua" w:hAnsi="Book Antiqua"/>
          <w:sz w:val="24"/>
          <w:szCs w:val="24"/>
        </w:rPr>
        <w:t xml:space="preserve"> immediately after </w:t>
      </w:r>
      <w:r w:rsidR="004A6194" w:rsidRPr="006C3DC1">
        <w:rPr>
          <w:rFonts w:ascii="Book Antiqua" w:hAnsi="Book Antiqua"/>
          <w:sz w:val="24"/>
          <w:szCs w:val="24"/>
        </w:rPr>
        <w:t>reduction of corticosteroids. Then Dexamethasone therapy (40</w:t>
      </w:r>
      <w:r w:rsidR="0050230B">
        <w:rPr>
          <w:rFonts w:ascii="Book Antiqua" w:eastAsiaTheme="minorEastAsia" w:hAnsi="Book Antiqua" w:hint="eastAsia"/>
          <w:sz w:val="24"/>
          <w:szCs w:val="24"/>
        </w:rPr>
        <w:t xml:space="preserve"> </w:t>
      </w:r>
      <w:r w:rsidR="004A6194" w:rsidRPr="006C3DC1">
        <w:rPr>
          <w:rFonts w:ascii="Book Antiqua" w:hAnsi="Book Antiqua"/>
          <w:sz w:val="24"/>
          <w:szCs w:val="24"/>
        </w:rPr>
        <w:t xml:space="preserve">mg/d for 4 d) was started. PLT increased to </w:t>
      </w:r>
      <w:r w:rsidR="004A6194" w:rsidRPr="006C3DC1">
        <w:rPr>
          <w:rFonts w:ascii="Book Antiqua" w:hAnsi="Book Antiqua"/>
          <w:sz w:val="24"/>
          <w:szCs w:val="24"/>
        </w:rPr>
        <w:lastRenderedPageBreak/>
        <w:t>170000/</w:t>
      </w:r>
      <w:proofErr w:type="spellStart"/>
      <w:r w:rsidR="004A6194" w:rsidRPr="006C3DC1">
        <w:rPr>
          <w:rFonts w:ascii="Book Antiqua" w:hAnsi="Book Antiqua"/>
          <w:sz w:val="24"/>
          <w:szCs w:val="24"/>
        </w:rPr>
        <w:t>μL</w:t>
      </w:r>
      <w:proofErr w:type="spellEnd"/>
      <w:r w:rsidR="004A6194" w:rsidRPr="006C3DC1">
        <w:rPr>
          <w:rFonts w:ascii="Book Antiqua" w:hAnsi="Book Antiqua"/>
          <w:sz w:val="24"/>
          <w:szCs w:val="24"/>
        </w:rPr>
        <w:t xml:space="preserve"> temporarily but decreased to 3000-7000/</w:t>
      </w:r>
      <w:proofErr w:type="spellStart"/>
      <w:r w:rsidR="004A6194" w:rsidRPr="006C3DC1">
        <w:rPr>
          <w:rFonts w:ascii="Book Antiqua" w:hAnsi="Book Antiqua"/>
          <w:sz w:val="24"/>
          <w:szCs w:val="24"/>
        </w:rPr>
        <w:t>μL</w:t>
      </w:r>
      <w:proofErr w:type="spellEnd"/>
      <w:r w:rsidR="004A6194" w:rsidRPr="006C3DC1">
        <w:rPr>
          <w:rFonts w:ascii="Book Antiqua" w:hAnsi="Book Antiqua"/>
          <w:sz w:val="24"/>
          <w:szCs w:val="24"/>
        </w:rPr>
        <w:t xml:space="preserve"> 3 d after therapy. </w:t>
      </w:r>
      <w:r w:rsidR="006231BF" w:rsidRPr="006C3DC1">
        <w:rPr>
          <w:rFonts w:ascii="Book Antiqua" w:hAnsi="Book Antiqua"/>
          <w:sz w:val="24"/>
          <w:szCs w:val="24"/>
        </w:rPr>
        <w:t>Other m</w:t>
      </w:r>
      <w:r w:rsidRPr="006C3DC1">
        <w:rPr>
          <w:rFonts w:ascii="Book Antiqua" w:hAnsi="Book Antiqua"/>
          <w:sz w:val="24"/>
          <w:szCs w:val="24"/>
        </w:rPr>
        <w:t>edications including immunoglobulins</w:t>
      </w:r>
      <w:r w:rsidR="006231BF" w:rsidRPr="006C3DC1">
        <w:rPr>
          <w:rFonts w:ascii="Book Antiqua" w:hAnsi="Book Antiqua"/>
          <w:sz w:val="24"/>
          <w:szCs w:val="24"/>
        </w:rPr>
        <w:t xml:space="preserve"> (</w:t>
      </w:r>
      <w:r w:rsidR="00DD60D7" w:rsidRPr="006C3DC1">
        <w:rPr>
          <w:rFonts w:ascii="Book Antiqua" w:hAnsi="Book Antiqua"/>
          <w:sz w:val="24"/>
          <w:szCs w:val="24"/>
        </w:rPr>
        <w:t>10</w:t>
      </w:r>
      <w:r w:rsidR="0050230B">
        <w:rPr>
          <w:rFonts w:ascii="Book Antiqua" w:eastAsiaTheme="minorEastAsia" w:hAnsi="Book Antiqua" w:hint="eastAsia"/>
          <w:sz w:val="24"/>
          <w:szCs w:val="24"/>
        </w:rPr>
        <w:t xml:space="preserve"> </w:t>
      </w:r>
      <w:r w:rsidR="00DD60D7" w:rsidRPr="006C3DC1">
        <w:rPr>
          <w:rFonts w:ascii="Book Antiqua" w:hAnsi="Book Antiqua"/>
          <w:sz w:val="24"/>
          <w:szCs w:val="24"/>
        </w:rPr>
        <w:t>g/d for 4 d</w:t>
      </w:r>
      <w:r w:rsidR="006231BF" w:rsidRPr="006C3DC1">
        <w:rPr>
          <w:rFonts w:ascii="Book Antiqua" w:hAnsi="Book Antiqua"/>
          <w:sz w:val="24"/>
          <w:szCs w:val="24"/>
        </w:rPr>
        <w:t>)</w:t>
      </w:r>
      <w:r w:rsidRPr="006C3DC1">
        <w:rPr>
          <w:rFonts w:ascii="Book Antiqua" w:hAnsi="Book Antiqua"/>
          <w:sz w:val="24"/>
          <w:szCs w:val="24"/>
        </w:rPr>
        <w:t>, androgen derivatives</w:t>
      </w:r>
      <w:r w:rsidR="00DD60D7" w:rsidRPr="006C3DC1">
        <w:rPr>
          <w:rFonts w:ascii="Book Antiqua" w:hAnsi="Book Antiqua"/>
          <w:sz w:val="24"/>
          <w:szCs w:val="24"/>
        </w:rPr>
        <w:t xml:space="preserve"> (</w:t>
      </w:r>
      <w:r w:rsidR="00442D58" w:rsidRPr="006C3DC1">
        <w:rPr>
          <w:rFonts w:ascii="Book Antiqua" w:hAnsi="Book Antiqua"/>
          <w:sz w:val="24"/>
          <w:szCs w:val="24"/>
        </w:rPr>
        <w:t xml:space="preserve">danazol </w:t>
      </w:r>
      <w:r w:rsidR="00DD60D7" w:rsidRPr="006C3DC1">
        <w:rPr>
          <w:rFonts w:ascii="Book Antiqua" w:hAnsi="Book Antiqua"/>
          <w:sz w:val="24"/>
          <w:szCs w:val="24"/>
        </w:rPr>
        <w:t>400</w:t>
      </w:r>
      <w:r w:rsidR="0050230B">
        <w:rPr>
          <w:rFonts w:ascii="Book Antiqua" w:eastAsiaTheme="minorEastAsia" w:hAnsi="Book Antiqua" w:hint="eastAsia"/>
          <w:sz w:val="24"/>
          <w:szCs w:val="24"/>
        </w:rPr>
        <w:t xml:space="preserve"> </w:t>
      </w:r>
      <w:r w:rsidR="00DD60D7" w:rsidRPr="006C3DC1">
        <w:rPr>
          <w:rFonts w:ascii="Book Antiqua" w:hAnsi="Book Antiqua"/>
          <w:sz w:val="24"/>
          <w:szCs w:val="24"/>
        </w:rPr>
        <w:t xml:space="preserve">mg/d for 3 </w:t>
      </w:r>
      <w:proofErr w:type="spellStart"/>
      <w:r w:rsidR="00DD60D7" w:rsidRPr="006C3DC1">
        <w:rPr>
          <w:rFonts w:ascii="Book Antiqua" w:hAnsi="Book Antiqua"/>
          <w:sz w:val="24"/>
          <w:szCs w:val="24"/>
        </w:rPr>
        <w:t>mo</w:t>
      </w:r>
      <w:proofErr w:type="spellEnd"/>
      <w:r w:rsidR="00DD60D7" w:rsidRPr="006C3DC1">
        <w:rPr>
          <w:rFonts w:ascii="Book Antiqua" w:hAnsi="Book Antiqua"/>
          <w:sz w:val="24"/>
          <w:szCs w:val="24"/>
        </w:rPr>
        <w:t>)</w:t>
      </w:r>
      <w:r w:rsidRPr="006C3DC1">
        <w:rPr>
          <w:rFonts w:ascii="Book Antiqua" w:hAnsi="Book Antiqua"/>
          <w:sz w:val="24"/>
          <w:szCs w:val="24"/>
        </w:rPr>
        <w:t>, cyclosporine A</w:t>
      </w:r>
      <w:r w:rsidR="00DD60D7" w:rsidRPr="006C3DC1">
        <w:rPr>
          <w:rFonts w:ascii="Book Antiqua" w:hAnsi="Book Antiqua"/>
          <w:sz w:val="24"/>
          <w:szCs w:val="24"/>
        </w:rPr>
        <w:t xml:space="preserve"> (200</w:t>
      </w:r>
      <w:r w:rsidR="0050230B">
        <w:rPr>
          <w:rFonts w:ascii="Book Antiqua" w:eastAsiaTheme="minorEastAsia" w:hAnsi="Book Antiqua" w:hint="eastAsia"/>
          <w:sz w:val="24"/>
          <w:szCs w:val="24"/>
        </w:rPr>
        <w:t xml:space="preserve"> </w:t>
      </w:r>
      <w:r w:rsidR="00DD60D7" w:rsidRPr="006C3DC1">
        <w:rPr>
          <w:rFonts w:ascii="Book Antiqua" w:hAnsi="Book Antiqua"/>
          <w:sz w:val="24"/>
          <w:szCs w:val="24"/>
        </w:rPr>
        <w:t xml:space="preserve">mg/d for 2 </w:t>
      </w:r>
      <w:proofErr w:type="spellStart"/>
      <w:r w:rsidR="0050230B">
        <w:rPr>
          <w:rFonts w:ascii="Book Antiqua" w:hAnsi="Book Antiqua"/>
          <w:sz w:val="24"/>
          <w:szCs w:val="24"/>
        </w:rPr>
        <w:t>wk</w:t>
      </w:r>
      <w:proofErr w:type="spellEnd"/>
      <w:r w:rsidR="00DD60D7" w:rsidRPr="006C3DC1">
        <w:rPr>
          <w:rFonts w:ascii="Book Antiqua" w:hAnsi="Book Antiqua"/>
          <w:sz w:val="24"/>
          <w:szCs w:val="24"/>
        </w:rPr>
        <w:t>)</w:t>
      </w:r>
      <w:r w:rsidRPr="006C3DC1">
        <w:rPr>
          <w:rFonts w:ascii="Book Antiqua" w:hAnsi="Book Antiqua"/>
          <w:sz w:val="24"/>
          <w:szCs w:val="24"/>
        </w:rPr>
        <w:t xml:space="preserve">, and thrombopoietin </w:t>
      </w:r>
      <w:r w:rsidR="00DD60D7" w:rsidRPr="006C3DC1">
        <w:rPr>
          <w:rFonts w:ascii="Book Antiqua" w:hAnsi="Book Antiqua"/>
          <w:sz w:val="24"/>
          <w:szCs w:val="24"/>
        </w:rPr>
        <w:t>(</w:t>
      </w:r>
      <w:r w:rsidR="0091372D" w:rsidRPr="006C3DC1">
        <w:rPr>
          <w:rFonts w:ascii="Book Antiqua" w:hAnsi="Book Antiqua"/>
          <w:sz w:val="24"/>
          <w:szCs w:val="24"/>
        </w:rPr>
        <w:t>50</w:t>
      </w:r>
      <w:r w:rsidR="0050230B">
        <w:rPr>
          <w:rFonts w:ascii="Book Antiqua" w:eastAsiaTheme="minorEastAsia" w:hAnsi="Book Antiqua" w:hint="eastAsia"/>
          <w:sz w:val="24"/>
          <w:szCs w:val="24"/>
        </w:rPr>
        <w:t xml:space="preserve"> </w:t>
      </w:r>
      <w:proofErr w:type="spellStart"/>
      <w:r w:rsidR="0091372D" w:rsidRPr="006C3DC1">
        <w:rPr>
          <w:rFonts w:ascii="Book Antiqua" w:hAnsi="Book Antiqua"/>
          <w:sz w:val="24"/>
          <w:szCs w:val="24"/>
        </w:rPr>
        <w:t>μg</w:t>
      </w:r>
      <w:proofErr w:type="spellEnd"/>
      <w:r w:rsidR="00442D58" w:rsidRPr="006C3DC1">
        <w:rPr>
          <w:rFonts w:ascii="Book Antiqua" w:hAnsi="Book Antiqua"/>
          <w:sz w:val="24"/>
          <w:szCs w:val="24"/>
        </w:rPr>
        <w:t>/d for 7 d</w:t>
      </w:r>
      <w:r w:rsidR="00DD60D7" w:rsidRPr="006C3DC1">
        <w:rPr>
          <w:rFonts w:ascii="Book Antiqua" w:hAnsi="Book Antiqua"/>
          <w:sz w:val="24"/>
          <w:szCs w:val="24"/>
        </w:rPr>
        <w:t xml:space="preserve">) </w:t>
      </w:r>
      <w:r w:rsidRPr="006C3DC1">
        <w:rPr>
          <w:rFonts w:ascii="Book Antiqua" w:hAnsi="Book Antiqua"/>
          <w:sz w:val="24"/>
          <w:szCs w:val="24"/>
        </w:rPr>
        <w:t xml:space="preserve">were administered respectively. However, she no longer responded to any of these medical therapies. </w:t>
      </w:r>
      <w:r w:rsidR="006366C7" w:rsidRPr="006C3DC1">
        <w:rPr>
          <w:rFonts w:ascii="Book Antiqua" w:hAnsi="Book Antiqua"/>
          <w:sz w:val="24"/>
          <w:szCs w:val="24"/>
        </w:rPr>
        <w:t xml:space="preserve">Other </w:t>
      </w:r>
      <w:bookmarkStart w:id="43" w:name="OLE_LINK74"/>
      <w:bookmarkStart w:id="44" w:name="OLE_LINK75"/>
      <w:r w:rsidR="006366C7" w:rsidRPr="006C3DC1">
        <w:rPr>
          <w:rFonts w:ascii="Book Antiqua" w:hAnsi="Book Antiqua"/>
          <w:sz w:val="24"/>
          <w:szCs w:val="24"/>
        </w:rPr>
        <w:t xml:space="preserve">previous medical history </w:t>
      </w:r>
      <w:bookmarkEnd w:id="43"/>
      <w:bookmarkEnd w:id="44"/>
      <w:r w:rsidR="006366C7" w:rsidRPr="006C3DC1">
        <w:rPr>
          <w:rFonts w:ascii="Book Antiqua" w:hAnsi="Book Antiqua"/>
          <w:sz w:val="24"/>
          <w:szCs w:val="24"/>
        </w:rPr>
        <w:t xml:space="preserve">included congenital ventricular septal defect and subclinical hypothyroidism. </w:t>
      </w:r>
      <w:r w:rsidR="008957EA" w:rsidRPr="006C3DC1">
        <w:rPr>
          <w:rFonts w:ascii="Book Antiqua" w:hAnsi="Book Antiqua"/>
          <w:sz w:val="24"/>
          <w:szCs w:val="24"/>
        </w:rPr>
        <w:t xml:space="preserve">Her family history was unremarkable. </w:t>
      </w:r>
      <w:r w:rsidRPr="006C3DC1">
        <w:rPr>
          <w:rFonts w:ascii="Book Antiqua" w:hAnsi="Book Antiqua"/>
          <w:sz w:val="24"/>
          <w:szCs w:val="24"/>
        </w:rPr>
        <w:t xml:space="preserve">On admission, her physical examination and blood biochemistry laboratory results were within normal limits. Hematological tests revealed a decreased PLT count of </w:t>
      </w:r>
      <w:bookmarkStart w:id="45" w:name="OLE_LINK72"/>
      <w:r w:rsidRPr="006C3DC1">
        <w:rPr>
          <w:rFonts w:ascii="Book Antiqua" w:hAnsi="Book Antiqua"/>
          <w:sz w:val="24"/>
          <w:szCs w:val="24"/>
        </w:rPr>
        <w:t>5</w:t>
      </w:r>
      <w:bookmarkStart w:id="46" w:name="OLE_LINK73"/>
      <w:bookmarkEnd w:id="45"/>
      <w:r w:rsidRPr="006C3DC1">
        <w:rPr>
          <w:rFonts w:ascii="Book Antiqua" w:hAnsi="Book Antiqua"/>
          <w:sz w:val="24"/>
          <w:szCs w:val="24"/>
        </w:rPr>
        <w:t>000/µ</w:t>
      </w:r>
      <w:bookmarkEnd w:id="46"/>
      <w:r w:rsidRPr="006C3DC1">
        <w:rPr>
          <w:rFonts w:ascii="Book Antiqua" w:hAnsi="Book Antiqua"/>
          <w:sz w:val="24"/>
          <w:szCs w:val="24"/>
        </w:rPr>
        <w:t>L and a normal hemoglobin (HGB) level of 111</w:t>
      </w:r>
      <w:r w:rsidR="0050230B">
        <w:rPr>
          <w:rFonts w:ascii="Book Antiqua" w:eastAsiaTheme="minorEastAsia" w:hAnsi="Book Antiqua" w:hint="eastAsia"/>
          <w:sz w:val="24"/>
          <w:szCs w:val="24"/>
        </w:rPr>
        <w:t xml:space="preserve"> </w:t>
      </w:r>
      <w:r w:rsidRPr="006C3DC1">
        <w:rPr>
          <w:rFonts w:ascii="Book Antiqua" w:hAnsi="Book Antiqua"/>
          <w:sz w:val="24"/>
          <w:szCs w:val="24"/>
        </w:rPr>
        <w:t>g/L. Subsequently she presented with melena and bloody drainage which was observed in the nasogastric tube; the HGB and PLT decreased to 85</w:t>
      </w:r>
      <w:r w:rsidR="0050230B">
        <w:rPr>
          <w:rFonts w:ascii="Book Antiqua" w:eastAsiaTheme="minorEastAsia" w:hAnsi="Book Antiqua" w:hint="eastAsia"/>
          <w:sz w:val="24"/>
          <w:szCs w:val="24"/>
        </w:rPr>
        <w:t xml:space="preserve"> </w:t>
      </w:r>
      <w:r w:rsidRPr="006C3DC1">
        <w:rPr>
          <w:rFonts w:ascii="Book Antiqua" w:hAnsi="Book Antiqua"/>
          <w:sz w:val="24"/>
          <w:szCs w:val="24"/>
        </w:rPr>
        <w:t xml:space="preserve">g/L and </w:t>
      </w:r>
      <w:bookmarkStart w:id="47" w:name="OLE_LINK66"/>
      <w:r w:rsidRPr="006C3DC1">
        <w:rPr>
          <w:rFonts w:ascii="Book Antiqua" w:hAnsi="Book Antiqua"/>
          <w:sz w:val="24"/>
          <w:szCs w:val="24"/>
        </w:rPr>
        <w:t>1</w:t>
      </w:r>
      <w:bookmarkStart w:id="48" w:name="OLE_LINK67"/>
      <w:bookmarkEnd w:id="47"/>
      <w:r w:rsidRPr="006C3DC1">
        <w:rPr>
          <w:rFonts w:ascii="Book Antiqua" w:hAnsi="Book Antiqua"/>
          <w:sz w:val="24"/>
          <w:szCs w:val="24"/>
        </w:rPr>
        <w:t>000/</w:t>
      </w:r>
      <w:proofErr w:type="spellStart"/>
      <w:r w:rsidRPr="006C3DC1">
        <w:rPr>
          <w:rFonts w:ascii="Book Antiqua" w:hAnsi="Book Antiqua"/>
          <w:sz w:val="24"/>
          <w:szCs w:val="24"/>
        </w:rPr>
        <w:t>μ</w:t>
      </w:r>
      <w:bookmarkEnd w:id="48"/>
      <w:r w:rsidRPr="006C3DC1">
        <w:rPr>
          <w:rFonts w:ascii="Book Antiqua" w:hAnsi="Book Antiqua"/>
          <w:sz w:val="24"/>
          <w:szCs w:val="24"/>
        </w:rPr>
        <w:t>L</w:t>
      </w:r>
      <w:proofErr w:type="spellEnd"/>
      <w:r w:rsidRPr="006C3DC1">
        <w:rPr>
          <w:rFonts w:ascii="Book Antiqua" w:hAnsi="Book Antiqua"/>
          <w:sz w:val="24"/>
          <w:szCs w:val="24"/>
        </w:rPr>
        <w:t xml:space="preserve"> respectively.</w:t>
      </w:r>
      <w:bookmarkStart w:id="49" w:name="OLE_LINK3"/>
      <w:bookmarkEnd w:id="49"/>
      <w:r w:rsidR="00EC21B5" w:rsidRPr="006C3DC1">
        <w:rPr>
          <w:rFonts w:ascii="Book Antiqua" w:hAnsi="Book Antiqua"/>
          <w:sz w:val="24"/>
          <w:szCs w:val="24"/>
        </w:rPr>
        <w:t xml:space="preserve"> Her general condition</w:t>
      </w:r>
      <w:r w:rsidR="00B775F5" w:rsidRPr="006C3DC1">
        <w:rPr>
          <w:rFonts w:ascii="Book Antiqua" w:hAnsi="Book Antiqua"/>
          <w:sz w:val="24"/>
          <w:szCs w:val="24"/>
        </w:rPr>
        <w:t xml:space="preserve"> was examined before surgery. </w:t>
      </w:r>
      <w:r w:rsidR="00FD6533" w:rsidRPr="006C3DC1">
        <w:rPr>
          <w:rFonts w:ascii="Book Antiqua" w:hAnsi="Book Antiqua"/>
          <w:sz w:val="24"/>
          <w:szCs w:val="24"/>
        </w:rPr>
        <w:t>Because of decreased appetite and difficulty in feeding, h</w:t>
      </w:r>
      <w:r w:rsidR="00B775F5" w:rsidRPr="006C3DC1">
        <w:rPr>
          <w:rFonts w:ascii="Book Antiqua" w:hAnsi="Book Antiqua"/>
          <w:sz w:val="24"/>
          <w:szCs w:val="24"/>
        </w:rPr>
        <w:t xml:space="preserve">er weight dropped to </w:t>
      </w:r>
      <w:r w:rsidR="00FD6533" w:rsidRPr="006C3DC1">
        <w:rPr>
          <w:rFonts w:ascii="Book Antiqua" w:hAnsi="Book Antiqua"/>
          <w:sz w:val="24"/>
          <w:szCs w:val="24"/>
        </w:rPr>
        <w:t>66</w:t>
      </w:r>
      <w:r w:rsidR="00B775F5" w:rsidRPr="006C3DC1">
        <w:rPr>
          <w:rFonts w:ascii="Book Antiqua" w:hAnsi="Book Antiqua"/>
          <w:sz w:val="24"/>
          <w:szCs w:val="24"/>
        </w:rPr>
        <w:t xml:space="preserve"> </w:t>
      </w:r>
      <w:r w:rsidR="00FD6533" w:rsidRPr="006C3DC1">
        <w:rPr>
          <w:rFonts w:ascii="Book Antiqua" w:hAnsi="Book Antiqua"/>
          <w:sz w:val="24"/>
          <w:szCs w:val="24"/>
        </w:rPr>
        <w:t>kg</w:t>
      </w:r>
      <w:r w:rsidR="00B775F5" w:rsidRPr="006C3DC1">
        <w:rPr>
          <w:rFonts w:ascii="Book Antiqua" w:hAnsi="Book Antiqua"/>
          <w:sz w:val="24"/>
          <w:szCs w:val="24"/>
        </w:rPr>
        <w:t xml:space="preserve"> from her </w:t>
      </w:r>
      <w:r w:rsidR="00FD6533" w:rsidRPr="006C3DC1">
        <w:rPr>
          <w:rFonts w:ascii="Book Antiqua" w:hAnsi="Book Antiqua"/>
          <w:sz w:val="24"/>
          <w:szCs w:val="24"/>
        </w:rPr>
        <w:t xml:space="preserve">normal </w:t>
      </w:r>
      <w:r w:rsidR="00B775F5" w:rsidRPr="006C3DC1">
        <w:rPr>
          <w:rFonts w:ascii="Book Antiqua" w:hAnsi="Book Antiqua"/>
          <w:sz w:val="24"/>
          <w:szCs w:val="24"/>
        </w:rPr>
        <w:t xml:space="preserve">weight of </w:t>
      </w:r>
      <w:r w:rsidR="00FD6533" w:rsidRPr="006C3DC1">
        <w:rPr>
          <w:rFonts w:ascii="Book Antiqua" w:hAnsi="Book Antiqua"/>
          <w:sz w:val="24"/>
          <w:szCs w:val="24"/>
        </w:rPr>
        <w:t>80</w:t>
      </w:r>
      <w:r w:rsidR="0050230B">
        <w:rPr>
          <w:rFonts w:ascii="Book Antiqua" w:eastAsiaTheme="minorEastAsia" w:hAnsi="Book Antiqua" w:hint="eastAsia"/>
          <w:sz w:val="24"/>
          <w:szCs w:val="24"/>
        </w:rPr>
        <w:t xml:space="preserve"> </w:t>
      </w:r>
      <w:r w:rsidR="00FD6533" w:rsidRPr="006C3DC1">
        <w:rPr>
          <w:rFonts w:ascii="Book Antiqua" w:hAnsi="Book Antiqua"/>
          <w:sz w:val="24"/>
          <w:szCs w:val="24"/>
        </w:rPr>
        <w:t>kg (body mass index dropped from 30.1 kg/m</w:t>
      </w:r>
      <w:r w:rsidR="00FD6533" w:rsidRPr="006C3DC1">
        <w:rPr>
          <w:rFonts w:ascii="Book Antiqua" w:hAnsi="Book Antiqua"/>
          <w:sz w:val="24"/>
          <w:szCs w:val="24"/>
          <w:vertAlign w:val="superscript"/>
        </w:rPr>
        <w:t>2</w:t>
      </w:r>
      <w:r w:rsidR="00FD6533" w:rsidRPr="006C3DC1">
        <w:rPr>
          <w:rFonts w:ascii="Book Antiqua" w:hAnsi="Book Antiqua"/>
          <w:sz w:val="24"/>
          <w:szCs w:val="24"/>
        </w:rPr>
        <w:t xml:space="preserve"> to 24.8 kg/m</w:t>
      </w:r>
      <w:r w:rsidR="00FD6533" w:rsidRPr="006C3DC1">
        <w:rPr>
          <w:rFonts w:ascii="Book Antiqua" w:hAnsi="Book Antiqua"/>
          <w:sz w:val="24"/>
          <w:szCs w:val="24"/>
          <w:vertAlign w:val="superscript"/>
        </w:rPr>
        <w:t>2</w:t>
      </w:r>
      <w:r w:rsidR="00FD6533" w:rsidRPr="006C3DC1">
        <w:rPr>
          <w:rFonts w:ascii="Book Antiqua" w:hAnsi="Book Antiqua"/>
          <w:sz w:val="24"/>
          <w:szCs w:val="24"/>
        </w:rPr>
        <w:t>)</w:t>
      </w:r>
      <w:r w:rsidR="00B775F5" w:rsidRPr="006C3DC1">
        <w:rPr>
          <w:rFonts w:ascii="Book Antiqua" w:hAnsi="Book Antiqua"/>
          <w:sz w:val="24"/>
          <w:szCs w:val="24"/>
        </w:rPr>
        <w:t>.</w:t>
      </w:r>
      <w:r w:rsidR="00FD6533" w:rsidRPr="006C3DC1">
        <w:rPr>
          <w:rFonts w:ascii="Book Antiqua" w:hAnsi="Book Antiqua"/>
          <w:sz w:val="24"/>
          <w:szCs w:val="24"/>
        </w:rPr>
        <w:t xml:space="preserve"> </w:t>
      </w:r>
      <w:r w:rsidR="006B66BE" w:rsidRPr="006C3DC1">
        <w:rPr>
          <w:rFonts w:ascii="Book Antiqua" w:hAnsi="Book Antiqua"/>
          <w:sz w:val="24"/>
          <w:szCs w:val="24"/>
        </w:rPr>
        <w:t>Through b</w:t>
      </w:r>
      <w:r w:rsidR="00A63433" w:rsidRPr="006C3DC1">
        <w:rPr>
          <w:rFonts w:ascii="Book Antiqua" w:hAnsi="Book Antiqua"/>
          <w:sz w:val="24"/>
          <w:szCs w:val="24"/>
        </w:rPr>
        <w:t xml:space="preserve">oth cardiac </w:t>
      </w:r>
      <w:r w:rsidR="001E5D03" w:rsidRPr="006C3DC1">
        <w:rPr>
          <w:rFonts w:ascii="Book Antiqua" w:hAnsi="Book Antiqua"/>
          <w:sz w:val="24"/>
          <w:szCs w:val="24"/>
        </w:rPr>
        <w:t xml:space="preserve">function </w:t>
      </w:r>
      <w:r w:rsidR="00A63433" w:rsidRPr="006C3DC1">
        <w:rPr>
          <w:rFonts w:ascii="Book Antiqua" w:hAnsi="Book Antiqua"/>
          <w:sz w:val="24"/>
          <w:szCs w:val="24"/>
        </w:rPr>
        <w:t xml:space="preserve">and </w:t>
      </w:r>
      <w:r w:rsidR="001E5D03" w:rsidRPr="006C3DC1">
        <w:rPr>
          <w:rFonts w:ascii="Book Antiqua" w:hAnsi="Book Antiqua"/>
          <w:sz w:val="24"/>
          <w:szCs w:val="24"/>
        </w:rPr>
        <w:t>pulmonary function</w:t>
      </w:r>
      <w:r w:rsidR="00A63433" w:rsidRPr="006C3DC1">
        <w:rPr>
          <w:rFonts w:ascii="Book Antiqua" w:hAnsi="Book Antiqua"/>
          <w:sz w:val="24"/>
          <w:szCs w:val="24"/>
        </w:rPr>
        <w:t xml:space="preserve"> are at normal levels</w:t>
      </w:r>
      <w:r w:rsidR="006B66BE" w:rsidRPr="006C3DC1">
        <w:rPr>
          <w:rFonts w:ascii="Book Antiqua" w:hAnsi="Book Antiqua"/>
          <w:sz w:val="24"/>
          <w:szCs w:val="24"/>
        </w:rPr>
        <w:t>, her high nutritional risk may affect the postoperative recovery.</w:t>
      </w:r>
    </w:p>
    <w:p w:rsidR="00847F85" w:rsidRPr="006C3DC1" w:rsidRDefault="00141C1D" w:rsidP="0050230B">
      <w:pPr>
        <w:spacing w:line="360" w:lineRule="auto"/>
        <w:ind w:firstLineChars="100" w:firstLine="240"/>
        <w:jc w:val="both"/>
        <w:rPr>
          <w:rFonts w:ascii="Book Antiqua" w:eastAsia="Times New Roman" w:hAnsi="Book Antiqua" w:cs="Times New Roman"/>
          <w:sz w:val="24"/>
          <w:szCs w:val="24"/>
        </w:rPr>
      </w:pPr>
      <w:r w:rsidRPr="006C3DC1">
        <w:rPr>
          <w:rFonts w:ascii="Book Antiqua" w:hAnsi="Book Antiqua"/>
          <w:sz w:val="24"/>
          <w:szCs w:val="24"/>
        </w:rPr>
        <w:t>The patient underwent a splenectomy and a distal subtotal gastrectomy (D2 radical resection) with a Roux-en-Y reconstruction simultaneously. A needle catheter jejunostomy was performed to ensure postoperative enteral nutrition (EN). In total, four pheresis units (one</w:t>
      </w:r>
      <w:bookmarkStart w:id="50" w:name="OLE_LINK5"/>
      <w:r w:rsidRPr="006C3DC1">
        <w:rPr>
          <w:rFonts w:ascii="Book Antiqua" w:hAnsi="Book Antiqua"/>
          <w:sz w:val="24"/>
          <w:szCs w:val="24"/>
        </w:rPr>
        <w:t xml:space="preserve"> </w:t>
      </w:r>
      <w:bookmarkStart w:id="51" w:name="OLE_LINK6"/>
      <w:bookmarkEnd w:id="50"/>
      <w:r w:rsidRPr="006C3DC1">
        <w:rPr>
          <w:rFonts w:ascii="Book Antiqua" w:hAnsi="Book Antiqua"/>
          <w:sz w:val="24"/>
          <w:szCs w:val="24"/>
        </w:rPr>
        <w:t>pheresi</w:t>
      </w:r>
      <w:bookmarkEnd w:id="51"/>
      <w:r w:rsidRPr="006C3DC1">
        <w:rPr>
          <w:rFonts w:ascii="Book Antiqua" w:hAnsi="Book Antiqua"/>
          <w:sz w:val="24"/>
          <w:szCs w:val="24"/>
        </w:rPr>
        <w:t>s unit contains approximately 2.5–4.0</w:t>
      </w:r>
      <w:r w:rsidR="0050230B">
        <w:rPr>
          <w:rFonts w:ascii="Book Antiqua" w:eastAsiaTheme="minorEastAsia" w:hAnsi="Book Antiqua" w:hint="eastAsia"/>
          <w:sz w:val="24"/>
          <w:szCs w:val="24"/>
        </w:rPr>
        <w:t xml:space="preserve"> </w:t>
      </w:r>
      <w:r w:rsidRPr="006C3DC1">
        <w:rPr>
          <w:rFonts w:ascii="Book Antiqua" w:hAnsi="Book Antiqua"/>
          <w:sz w:val="24"/>
          <w:szCs w:val="24"/>
        </w:rPr>
        <w:t>×</w:t>
      </w:r>
      <w:r w:rsidR="0050230B">
        <w:rPr>
          <w:rFonts w:ascii="Book Antiqua" w:eastAsiaTheme="minorEastAsia" w:hAnsi="Book Antiqua" w:hint="eastAsia"/>
          <w:sz w:val="24"/>
          <w:szCs w:val="24"/>
        </w:rPr>
        <w:t xml:space="preserve"> </w:t>
      </w:r>
      <w:r w:rsidRPr="006C3DC1">
        <w:rPr>
          <w:rFonts w:ascii="Book Antiqua" w:hAnsi="Book Antiqua"/>
          <w:sz w:val="24"/>
          <w:szCs w:val="24"/>
        </w:rPr>
        <w:t>10</w:t>
      </w:r>
      <w:r w:rsidRPr="006C3DC1">
        <w:rPr>
          <w:rFonts w:ascii="Book Antiqua" w:hAnsi="Book Antiqua"/>
          <w:sz w:val="24"/>
          <w:szCs w:val="24"/>
          <w:vertAlign w:val="superscript"/>
        </w:rPr>
        <w:t>11</w:t>
      </w:r>
      <w:r w:rsidRPr="006C3DC1">
        <w:rPr>
          <w:rFonts w:ascii="Book Antiqua" w:hAnsi="Book Antiqua"/>
          <w:sz w:val="24"/>
          <w:szCs w:val="24"/>
        </w:rPr>
        <w:t xml:space="preserve"> </w:t>
      </w:r>
      <w:r w:rsidR="00540866" w:rsidRPr="006C3DC1">
        <w:rPr>
          <w:rFonts w:ascii="Book Antiqua" w:hAnsi="Book Antiqua"/>
          <w:sz w:val="24"/>
          <w:szCs w:val="24"/>
        </w:rPr>
        <w:t>PLT</w:t>
      </w:r>
      <w:r w:rsidRPr="006C3DC1">
        <w:rPr>
          <w:rFonts w:ascii="Book Antiqua" w:hAnsi="Book Antiqua"/>
          <w:sz w:val="24"/>
          <w:szCs w:val="24"/>
        </w:rPr>
        <w:t xml:space="preserve">s, equal to 10-12 whole blood donor units) of PLT were transfused. The patient’s PLT counts </w:t>
      </w:r>
      <w:bookmarkStart w:id="52" w:name="OLE_LINK38"/>
      <w:r w:rsidRPr="006C3DC1">
        <w:rPr>
          <w:rFonts w:ascii="Book Antiqua" w:hAnsi="Book Antiqua"/>
          <w:sz w:val="24"/>
          <w:szCs w:val="24"/>
        </w:rPr>
        <w:t>f</w:t>
      </w:r>
      <w:bookmarkStart w:id="53" w:name="OLE_LINK39"/>
      <w:bookmarkEnd w:id="52"/>
      <w:r w:rsidRPr="006C3DC1">
        <w:rPr>
          <w:rFonts w:ascii="Book Antiqua" w:hAnsi="Book Antiqua"/>
          <w:sz w:val="24"/>
          <w:szCs w:val="24"/>
        </w:rPr>
        <w:t>luctuated between 30000-60000</w:t>
      </w:r>
      <w:bookmarkEnd w:id="53"/>
      <w:r w:rsidRPr="006C3DC1">
        <w:rPr>
          <w:rFonts w:ascii="Book Antiqua" w:hAnsi="Book Antiqua"/>
          <w:sz w:val="24"/>
          <w:szCs w:val="24"/>
        </w:rPr>
        <w:t>/</w:t>
      </w:r>
      <w:bookmarkStart w:id="54" w:name="OLE_LINK42"/>
      <w:proofErr w:type="spellStart"/>
      <w:r w:rsidRPr="006C3DC1">
        <w:rPr>
          <w:rFonts w:ascii="Book Antiqua" w:hAnsi="Book Antiqua"/>
          <w:sz w:val="24"/>
          <w:szCs w:val="24"/>
        </w:rPr>
        <w:t>μ</w:t>
      </w:r>
      <w:bookmarkEnd w:id="54"/>
      <w:r w:rsidRPr="006C3DC1">
        <w:rPr>
          <w:rFonts w:ascii="Book Antiqua" w:hAnsi="Book Antiqua"/>
          <w:sz w:val="24"/>
          <w:szCs w:val="24"/>
        </w:rPr>
        <w:t>L</w:t>
      </w:r>
      <w:proofErr w:type="spellEnd"/>
      <w:r w:rsidRPr="006C3DC1">
        <w:rPr>
          <w:rFonts w:ascii="Book Antiqua" w:hAnsi="Book Antiqua"/>
          <w:sz w:val="24"/>
          <w:szCs w:val="24"/>
        </w:rPr>
        <w:t xml:space="preserve"> during the surgery and PLTs were administered accordingly (one pheresis unit was administered 1 h before induction of anesthesia; two pheresis units were administered during surgery; and one pheresis unit was administered 2 h after surgery).</w:t>
      </w:r>
    </w:p>
    <w:p w:rsidR="00847F85" w:rsidRPr="006C3DC1" w:rsidRDefault="00141C1D" w:rsidP="0050230B">
      <w:pPr>
        <w:spacing w:line="360" w:lineRule="auto"/>
        <w:ind w:firstLineChars="100" w:firstLine="240"/>
        <w:jc w:val="both"/>
        <w:rPr>
          <w:rFonts w:ascii="Book Antiqua" w:eastAsia="Times New Roman" w:hAnsi="Book Antiqua" w:cs="Times New Roman"/>
          <w:sz w:val="24"/>
          <w:szCs w:val="24"/>
        </w:rPr>
      </w:pPr>
      <w:r w:rsidRPr="006C3DC1">
        <w:rPr>
          <w:rFonts w:ascii="Book Antiqua" w:hAnsi="Book Antiqua"/>
          <w:sz w:val="24"/>
          <w:szCs w:val="24"/>
        </w:rPr>
        <w:t xml:space="preserve">The patient resumed EN (oligopeptide, low-fat, isocaloric, non-residue diet; </w:t>
      </w:r>
      <w:proofErr w:type="spellStart"/>
      <w:r w:rsidRPr="006C3DC1">
        <w:rPr>
          <w:rFonts w:ascii="Book Antiqua" w:hAnsi="Book Antiqua"/>
          <w:sz w:val="24"/>
          <w:szCs w:val="24"/>
        </w:rPr>
        <w:t>Peptisorb</w:t>
      </w:r>
      <w:proofErr w:type="spellEnd"/>
      <w:r w:rsidRPr="006C3DC1">
        <w:rPr>
          <w:rFonts w:ascii="Book Antiqua" w:hAnsi="Book Antiqua"/>
          <w:sz w:val="24"/>
          <w:szCs w:val="24"/>
        </w:rPr>
        <w:t xml:space="preserve">, </w:t>
      </w:r>
      <w:proofErr w:type="spellStart"/>
      <w:r w:rsidRPr="006C3DC1">
        <w:rPr>
          <w:rFonts w:ascii="Book Antiqua" w:hAnsi="Book Antiqua"/>
          <w:sz w:val="24"/>
          <w:szCs w:val="24"/>
        </w:rPr>
        <w:t>Nutricia</w:t>
      </w:r>
      <w:proofErr w:type="spellEnd"/>
      <w:r w:rsidRPr="006C3DC1">
        <w:rPr>
          <w:rFonts w:ascii="Book Antiqua" w:hAnsi="Book Antiqua"/>
          <w:sz w:val="24"/>
          <w:szCs w:val="24"/>
        </w:rPr>
        <w:t xml:space="preserve">, Schiphol, </w:t>
      </w:r>
      <w:r w:rsidR="0050230B">
        <w:rPr>
          <w:rFonts w:ascii="Book Antiqua" w:eastAsiaTheme="minorEastAsia" w:hAnsi="Book Antiqua" w:hint="eastAsia"/>
          <w:sz w:val="24"/>
          <w:szCs w:val="24"/>
        </w:rPr>
        <w:t xml:space="preserve">The </w:t>
      </w:r>
      <w:r w:rsidRPr="006C3DC1">
        <w:rPr>
          <w:rFonts w:ascii="Book Antiqua" w:hAnsi="Book Antiqua"/>
          <w:sz w:val="24"/>
          <w:szCs w:val="24"/>
        </w:rPr>
        <w:t>Netherlands) on the morning of</w:t>
      </w:r>
      <w:bookmarkStart w:id="55" w:name="OLE_LINK8"/>
      <w:r w:rsidRPr="006C3DC1">
        <w:rPr>
          <w:rFonts w:ascii="Book Antiqua" w:hAnsi="Book Antiqua"/>
          <w:sz w:val="24"/>
          <w:szCs w:val="24"/>
        </w:rPr>
        <w:t xml:space="preserve"> </w:t>
      </w:r>
      <w:bookmarkStart w:id="56" w:name="OLE_LINK9"/>
      <w:bookmarkEnd w:id="55"/>
      <w:r w:rsidRPr="006C3DC1">
        <w:rPr>
          <w:rFonts w:ascii="Book Antiqua" w:hAnsi="Book Antiqua"/>
          <w:sz w:val="24"/>
          <w:szCs w:val="24"/>
        </w:rPr>
        <w:t>the 2</w:t>
      </w:r>
      <w:r w:rsidRPr="0050230B">
        <w:rPr>
          <w:rFonts w:ascii="Book Antiqua" w:hAnsi="Book Antiqua"/>
          <w:sz w:val="24"/>
          <w:szCs w:val="24"/>
          <w:vertAlign w:val="superscript"/>
        </w:rPr>
        <w:t>nd</w:t>
      </w:r>
      <w:r w:rsidRPr="006C3DC1">
        <w:rPr>
          <w:rFonts w:ascii="Book Antiqua" w:hAnsi="Book Antiqua"/>
          <w:sz w:val="24"/>
          <w:szCs w:val="24"/>
        </w:rPr>
        <w:t xml:space="preserve"> postoperative da</w:t>
      </w:r>
      <w:bookmarkEnd w:id="56"/>
      <w:r w:rsidRPr="006C3DC1">
        <w:rPr>
          <w:rFonts w:ascii="Book Antiqua" w:hAnsi="Book Antiqua"/>
          <w:sz w:val="24"/>
          <w:szCs w:val="24"/>
        </w:rPr>
        <w:t xml:space="preserve">y. She had an uneventful postoperative course with a slight </w:t>
      </w:r>
      <w:r w:rsidRPr="006C3DC1">
        <w:rPr>
          <w:rFonts w:ascii="Book Antiqua" w:hAnsi="Book Antiqua"/>
          <w:sz w:val="24"/>
          <w:szCs w:val="24"/>
        </w:rPr>
        <w:lastRenderedPageBreak/>
        <w:t>increase in the PLT count (Figure 1) and was discharged on the 15</w:t>
      </w:r>
      <w:r w:rsidRPr="0050230B">
        <w:rPr>
          <w:rFonts w:ascii="Book Antiqua" w:hAnsi="Book Antiqua"/>
          <w:sz w:val="24"/>
          <w:szCs w:val="24"/>
          <w:vertAlign w:val="superscript"/>
        </w:rPr>
        <w:t>th</w:t>
      </w:r>
      <w:r w:rsidRPr="006C3DC1">
        <w:rPr>
          <w:rFonts w:ascii="Book Antiqua" w:hAnsi="Book Antiqua"/>
          <w:sz w:val="24"/>
          <w:szCs w:val="24"/>
        </w:rPr>
        <w:t xml:space="preserve"> postoperative day. The histopathological examination of the subtotal gastrectomy revealed a poorly differentiated gastric adenocarcinoma which had reached the serosal layer. The cancer had also metastasized to 3/30 lymph nodes. The pathological staging was pT4aN2M0, IIIA. There was no evidence of recurrence, and she showed a consistent and stable increase in the </w:t>
      </w:r>
      <w:r w:rsidR="00540866" w:rsidRPr="006C3DC1">
        <w:rPr>
          <w:rFonts w:ascii="Book Antiqua" w:hAnsi="Book Antiqua"/>
          <w:sz w:val="24"/>
          <w:szCs w:val="24"/>
        </w:rPr>
        <w:t>PLT</w:t>
      </w:r>
      <w:r w:rsidRPr="006C3DC1">
        <w:rPr>
          <w:rFonts w:ascii="Book Antiqua" w:hAnsi="Book Antiqua"/>
          <w:sz w:val="24"/>
          <w:szCs w:val="24"/>
        </w:rPr>
        <w:t xml:space="preserve"> count around 20000/</w:t>
      </w:r>
      <w:proofErr w:type="spellStart"/>
      <w:r w:rsidRPr="006C3DC1">
        <w:rPr>
          <w:rFonts w:ascii="Book Antiqua" w:hAnsi="Book Antiqua"/>
          <w:sz w:val="24"/>
          <w:szCs w:val="24"/>
        </w:rPr>
        <w:t>μL</w:t>
      </w:r>
      <w:proofErr w:type="spellEnd"/>
      <w:r w:rsidRPr="006C3DC1">
        <w:rPr>
          <w:rFonts w:ascii="Book Antiqua" w:hAnsi="Book Antiqua"/>
          <w:sz w:val="24"/>
          <w:szCs w:val="24"/>
        </w:rPr>
        <w:t xml:space="preserve"> for about 2 years after the operation.</w:t>
      </w:r>
    </w:p>
    <w:p w:rsidR="00847F85" w:rsidRPr="006C3DC1" w:rsidRDefault="00847F85" w:rsidP="006C3DC1">
      <w:pPr>
        <w:spacing w:line="360" w:lineRule="auto"/>
        <w:jc w:val="both"/>
        <w:rPr>
          <w:rFonts w:ascii="Book Antiqua" w:hAnsi="Book Antiqua"/>
          <w:sz w:val="24"/>
          <w:szCs w:val="24"/>
        </w:rPr>
      </w:pPr>
    </w:p>
    <w:p w:rsidR="00847F85" w:rsidRPr="006C3DC1" w:rsidRDefault="00141C1D" w:rsidP="006C3DC1">
      <w:pPr>
        <w:spacing w:line="360" w:lineRule="auto"/>
        <w:jc w:val="both"/>
        <w:rPr>
          <w:rFonts w:ascii="Book Antiqua" w:eastAsia="Times New Roman" w:hAnsi="Book Antiqua" w:cs="Times New Roman"/>
          <w:b/>
          <w:bCs/>
          <w:sz w:val="24"/>
          <w:szCs w:val="24"/>
        </w:rPr>
      </w:pPr>
      <w:r w:rsidRPr="006C3DC1">
        <w:rPr>
          <w:rFonts w:ascii="Book Antiqua" w:hAnsi="Book Antiqua"/>
          <w:b/>
          <w:bCs/>
          <w:sz w:val="24"/>
          <w:szCs w:val="24"/>
        </w:rPr>
        <w:t>DISCUSSION</w:t>
      </w:r>
    </w:p>
    <w:p w:rsidR="001B41C4" w:rsidRPr="006C3DC1" w:rsidRDefault="00141C1D" w:rsidP="006C3DC1">
      <w:pPr>
        <w:spacing w:line="360" w:lineRule="auto"/>
        <w:jc w:val="both"/>
        <w:rPr>
          <w:rFonts w:ascii="Book Antiqua" w:eastAsia="Times New Roman" w:hAnsi="Book Antiqua" w:cs="Times New Roman"/>
          <w:sz w:val="24"/>
          <w:szCs w:val="24"/>
        </w:rPr>
      </w:pPr>
      <w:r w:rsidRPr="006C3DC1">
        <w:rPr>
          <w:rFonts w:ascii="Book Antiqua" w:hAnsi="Book Antiqua"/>
          <w:sz w:val="24"/>
          <w:szCs w:val="24"/>
        </w:rPr>
        <w:t>ITP is an immune-mediated disease associated with a reduced PLT count lower than 100000/</w:t>
      </w:r>
      <w:bookmarkStart w:id="57" w:name="OLE_LINK84"/>
      <w:proofErr w:type="spellStart"/>
      <w:r w:rsidRPr="006C3DC1">
        <w:rPr>
          <w:rFonts w:ascii="Book Antiqua" w:hAnsi="Book Antiqua"/>
          <w:sz w:val="24"/>
          <w:szCs w:val="24"/>
        </w:rPr>
        <w:t>μ</w:t>
      </w:r>
      <w:bookmarkEnd w:id="57"/>
      <w:r w:rsidRPr="006C3DC1">
        <w:rPr>
          <w:rFonts w:ascii="Book Antiqua" w:hAnsi="Book Antiqua"/>
          <w:sz w:val="24"/>
          <w:szCs w:val="24"/>
        </w:rPr>
        <w:t>L</w:t>
      </w:r>
      <w:proofErr w:type="spellEnd"/>
      <w:r w:rsidRPr="0050230B">
        <w:rPr>
          <w:rFonts w:ascii="Book Antiqua" w:eastAsia="Times New Roman" w:hAnsi="Book Antiqua" w:cs="Times New Roman"/>
          <w:sz w:val="24"/>
          <w:szCs w:val="24"/>
          <w:vertAlign w:val="superscript"/>
        </w:rPr>
        <w:fldChar w:fldCharType="begin"/>
      </w:r>
      <w:r w:rsidRPr="0050230B">
        <w:rPr>
          <w:rFonts w:ascii="Book Antiqua" w:eastAsia="Times New Roman" w:hAnsi="Book Antiqua" w:cs="Times New Roman"/>
          <w:sz w:val="24"/>
          <w:szCs w:val="24"/>
          <w:vertAlign w:val="superscript"/>
        </w:rPr>
        <w:instrText xml:space="preserve"> ADDIN EN.CITE &lt;EndNote&gt;&lt;Cite  &gt;&lt;Author&gt;Rodeghiero, F.; Stasi, R.; Gernsheimer, T.; Michel, M.; Provan, D.; Arnold, D. M.; Bussel, J. B.; Cines, D. B.; Chong, B. H.; Cooper, N.; Godeau, B.; Lechner, K.; Mazzucconi, M. G.; McMillan, R.; Sanz, M. A.; Imbach, P.; Blanchette, V.; Kuhne, T.; Ruggeri, M.; George, J. N.&lt;/Author&gt;&lt;Year&gt;2009&lt;/Year&gt;&lt;RecNum&gt;228&lt;/RecNum&gt;&lt;Prefix&gt;&lt;/Prefix&gt;&lt;Suffix&gt;&lt;/Suffix&gt;&lt;Pages&gt;&lt;/Pages&gt;&lt;DisplayText&gt;(1)&lt;/DisplayText&gt;&lt;record&gt;&lt;database name="My EndNote Library.enl" path="/Users/Mien 1/Documents/My EndNote Library.enl"&gt;My EndNote Library.enl&lt;/database&gt;&lt;source-app name="EndNote" version="17.7"&gt;EndNote&lt;/source-app&gt;&lt;rec-number&gt;228&lt;/rec-number&gt;&lt;foreign-keys&gt;&lt;key app="EN" db-id="5fffp22drvwpzqestfmv2evy2p2esxeppp05"&gt;228&lt;/key&gt;&lt;/foreign-keys&gt;&lt;ref-type name="Journal Article"&gt;17&lt;/ref-type&gt;&lt;contributors&gt;&lt;authors&gt;&lt;author&gt;&lt;style face="normal" font="default" size="100%"&gt;Rodeghiero, F.&lt;/style&gt;&lt;/author&gt;&lt;author&gt;&lt;style face="normal" font="default" size="100%"&gt;Stasi, R.&lt;/style&gt;&lt;/author&gt;&lt;author&gt;&lt;style face="normal" font="default" size="100%"&gt;Gernsheimer, T.&lt;/style&gt;&lt;/author&gt;&lt;author&gt;&lt;style face="normal" font="default" size="100%"&gt;Michel, M.&lt;/style&gt;&lt;/author&gt;&lt;author&gt;&lt;style face="normal" font="default" size="100%"&gt;Provan, D.&lt;/style&gt;&lt;/author&gt;&lt;author&gt;&lt;style face="normal" font="default" size="100%"&gt;Arnold, D. M.&lt;/style&gt;&lt;/author&gt;&lt;author&gt;&lt;style face="normal" font="default" size="100%"&gt;Bussel, J. B.&lt;/style&gt;&lt;/author&gt;&lt;author&gt;&lt;style face="normal" font="default" size="100%"&gt;Cines, D. B.&lt;/style&gt;&lt;/author&gt;&lt;author&gt;&lt;style face="normal" font="default" size="100%"&gt;Chong, B. H.&lt;/style&gt;&lt;/author&gt;&lt;author&gt;&lt;style face="normal" font="default" size="100%"&gt;Cooper, N.&lt;/style&gt;&lt;/author&gt;&lt;author&gt;&lt;style face="normal" font="default" size="100%"&gt;Godeau, B.&lt;/style&gt;&lt;/author&gt;&lt;author&gt;&lt;style face="normal" font="default" size="100%"&gt;Lechner, K.&lt;/style&gt;&lt;/author&gt;&lt;author&gt;&lt;style face="normal" font="default" size="100%"&gt;Mazzucconi, M. G.&lt;/style&gt;&lt;/author&gt;&lt;author&gt;&lt;style face="normal" font="default" size="100%"&gt;McMillan, R.&lt;/style&gt;&lt;/author&gt;&lt;author&gt;&lt;style face="normal" font="default" size="100%"&gt;Sanz, M. A.&lt;/style&gt;&lt;/author&gt;&lt;author&gt;&lt;style face="normal" font="default" size="100%"&gt;Imbach, P.&lt;/style&gt;&lt;/author&gt;&lt;author&gt;&lt;style face="normal" font="default" size="100%"&gt;Blanchette, V.&lt;/style&gt;&lt;/author&gt;&lt;author&gt;&lt;style face="normal" font="default" size="100%"&gt;Kuhne, T.&lt;/style&gt;&lt;/author&gt;&lt;author&gt;&lt;style face="normal" font="default" size="100%"&gt;Ruggeri, M.&lt;/style&gt;&lt;/author&gt;&lt;author&gt;&lt;style face="normal" font="default" size="100%"&gt;George, J. N.&lt;/style&gt;&lt;/author&gt;&lt;/authors&gt;&lt;/contributors&gt;&lt;auth-address&gt;&lt;style face="normal" font="default" size="100%"&gt;Department of Hematology, San Bortolo Hospital, Vicenza, Italy. rodeghiero@hemato.ven.it&lt;/style&gt;&lt;/auth-address&gt;&lt;titles&gt;&lt;title&gt;&lt;style face="normal" font="default" size="100%"&gt;Standardization of terminology, definitions and outcome criteria in immune thrombocytopenic purpura of adults and children: report from an international working group&lt;/style&gt;&lt;/title&gt;&lt;secondary-title&gt;&lt;style face="normal" font="default" size="100%"&gt;Blood&lt;/style&gt;&lt;/secondary-title&gt;&lt;/titles&gt;&lt;periodical&gt;&lt;full-title&gt;&lt;style face="normal" font="default" size="100%"&gt;Blood&lt;/style&gt;&lt;/full-title&gt;&lt;/periodical&gt;&lt;pages&gt;&lt;style face="normal" font="default" size="100%"&gt;2386-93&lt;/style&gt;&lt;/pages&gt;&lt;volume&gt;&lt;style face="normal" font="default" size="100%"&gt;113&lt;/style&gt;&lt;/volume&gt;&lt;number&gt;&lt;style face="normal" font="default" size="100%"&gt;11&lt;/style&gt;&lt;/number&gt;&lt;keywords&gt;&lt;keyword&gt;&lt;style face="normal" font="default" size="100%"&gt;Health Planning Guidelines&lt;/style&gt;&lt;/keyword&gt;&lt;keyword&gt;&lt;style face="normal" font="default" size="100%"&gt;Humans&lt;/style&gt;&lt;/keyword&gt;&lt;keyword&gt;&lt;style face="normal" font="default" size="100%"&gt;International Cooperation&lt;/style&gt;&lt;/keyword&gt;&lt;keyword&gt;&lt;style face="normal" font="default" size="100%"&gt;Purpura, Thrombocytopenic, Idiopathic/*classification/*diagnosis/*therapy&lt;/style&gt;&lt;/keyword&gt;&lt;keyword&gt;&lt;style face="normal" font="default" size="100%"&gt;Reference Standards&lt;/style&gt;&lt;/keyword&gt;&lt;keyword&gt;&lt;style face="normal" font="default" size="100%"&gt;*Terminology as Topic&lt;/style&gt;&lt;/keyword&gt;&lt;keyword&gt;&lt;style face="normal" font="default" size="100%"&gt;Treatment Outcome&lt;/style&gt;&lt;/keyword&gt;&lt;/keywords&gt;&lt;dates&gt;&lt;year&gt;&lt;style face="normal" font="default" size="100%"&gt;2009&lt;/style&gt;&lt;/year&gt;&lt;pub-dates&gt;&lt;date&gt;&lt;style face="normal" font="default" size="100%"&gt;Mar 12&lt;/style&gt;&lt;/date&gt;&lt;/pub-dates&gt;&lt;/dates&gt;&lt;isbn&gt;&lt;style face="normal" font="default" size="100%"&gt;1528-0020 (Electronic) 0006-4971 (Linking)&lt;/style&gt;&lt;/isbn&gt;&lt;accession-num&gt;&lt;style face="normal" font="default" size="100%"&gt;19005182&lt;/style&gt;&lt;/accession-num&gt;&lt;abstract&gt;&lt;style face="normal" font="default" size="100%"&gt;Diagnosis and management of immune thrombocytopenic purpura (ITP) remain largely dependent on clinical expertise and observations more than on evidence derived from clinical trials of high scientific quality. One major obstacle to the implementation of such studies and in producing reliable meta-analyses of existing data is a lack of consensus on standardized critical definitions, outcome criteria, and terminology. Moreover, the demand for comparative clinical trials has dramatically increased since the introduction of new classes of therapeutic agents, such as thrombopoietin receptor agonists, and innovative treatment modalities, such as anti-CD 20 antibodies. To overcome the present heterogeneity, an International Working Group of recognized expert clinicians convened a 2-day structured meeting (the Vicenza Consensus Conference) to define standard terminology and definitions for primary ITP and its different phases and criteria for the grading of severity, and clinically meaningful outcomes and response. These consensus criteria and definitions could be used by investigational clinical trials or cohort studies. Adoption of these recommendations would serve to improve communication among investigators, to enhance comparability among clinical trials, to facilitate meta-analyses and development of therapeutic guidelines, and to provide a standardized framework for regulatory agencies.&lt;/style&gt;&lt;/abstract&gt;&lt;notes&gt;&lt;style face="normal" font="default" size="100%"&gt;Rodeghiero, Francesco Stasi, Roberto Gernsheimer, Terry Michel, Marc Provan, Drew Arnold, Donald M Bussel, James B Cines, Douglas B Chong, Beng H Cooper, Nichola Godeau, Bertrand Lechner, Klaus Mazzucconi, Maria Gabriella McMillan, Robert Sanz, Miguel A Imbach, Paul Blanchette, Victor Kuhne, Thomas Ruggeri, Marco George, James N eng Consensus Development Conference Research Support, Non-U.S. Gov't 2008/11/14 09:00 Blood. 2009 Mar 12;113(11):2386-93. doi: 10.1182/blood-2008-07-162503. Epub 2008 Nov 12.&lt;/style&gt;&lt;/notes&gt;&lt;urls&gt;&lt;related-urls&gt;&lt;url&gt;&lt;style face="normal" font="default" size="100%"&gt;https://www.ncbi.nlm.nih.gov/pubmed/19005182&lt;/style&gt;&lt;/url&gt;&lt;/related-urls&gt;&lt;/urls&gt;&lt;electronic-resource-num&gt;&lt;style face="normal" font="default" size="100%"&gt;10.1182/blood-2008-07-162503&lt;/style&gt;&lt;/electronic-resource-num&gt;&lt;/record&gt;&lt;/Cite&gt;&lt;/EndNote&gt;</w:instrText>
      </w:r>
      <w:r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Pr="0050230B">
        <w:rPr>
          <w:rFonts w:ascii="Book Antiqua" w:hAnsi="Book Antiqua"/>
          <w:sz w:val="24"/>
          <w:szCs w:val="24"/>
          <w:vertAlign w:val="superscript"/>
        </w:rPr>
        <w:t>1</w:t>
      </w:r>
      <w:r w:rsidR="0050230B" w:rsidRPr="0050230B">
        <w:rPr>
          <w:rFonts w:ascii="Book Antiqua" w:eastAsiaTheme="minorEastAsia" w:hAnsi="Book Antiqua" w:hint="eastAsia"/>
          <w:sz w:val="24"/>
          <w:szCs w:val="24"/>
          <w:vertAlign w:val="superscript"/>
        </w:rPr>
        <w:t>]</w:t>
      </w:r>
      <w:r w:rsidRPr="0050230B">
        <w:rPr>
          <w:rFonts w:ascii="Book Antiqua" w:eastAsia="Times New Roman" w:hAnsi="Book Antiqua" w:cs="Times New Roman"/>
          <w:sz w:val="24"/>
          <w:szCs w:val="24"/>
          <w:vertAlign w:val="superscript"/>
        </w:rPr>
        <w:fldChar w:fldCharType="end"/>
      </w:r>
      <w:r w:rsidRPr="006C3DC1">
        <w:rPr>
          <w:rFonts w:ascii="Book Antiqua" w:hAnsi="Book Antiqua"/>
          <w:sz w:val="24"/>
          <w:szCs w:val="24"/>
        </w:rPr>
        <w:t xml:space="preserve">. </w:t>
      </w:r>
      <w:bookmarkStart w:id="58" w:name="OLE_LINK56"/>
      <w:bookmarkStart w:id="59" w:name="OLE_LINK57"/>
      <w:r w:rsidRPr="006C3DC1">
        <w:rPr>
          <w:rFonts w:ascii="Book Antiqua" w:hAnsi="Book Antiqua"/>
          <w:sz w:val="24"/>
          <w:szCs w:val="24"/>
        </w:rPr>
        <w:t xml:space="preserve">The mechanism of ITP </w:t>
      </w:r>
      <w:bookmarkEnd w:id="58"/>
      <w:bookmarkEnd w:id="59"/>
      <w:r w:rsidRPr="006C3DC1">
        <w:rPr>
          <w:rFonts w:ascii="Book Antiqua" w:hAnsi="Book Antiqua"/>
          <w:sz w:val="24"/>
          <w:szCs w:val="24"/>
        </w:rPr>
        <w:t xml:space="preserve">includes </w:t>
      </w:r>
      <w:r w:rsidR="002F037E" w:rsidRPr="006C3DC1">
        <w:rPr>
          <w:rFonts w:ascii="Book Antiqua" w:hAnsi="Book Antiqua"/>
          <w:sz w:val="24"/>
          <w:szCs w:val="24"/>
        </w:rPr>
        <w:t xml:space="preserve">that </w:t>
      </w:r>
      <w:r w:rsidR="00540866" w:rsidRPr="006C3DC1">
        <w:rPr>
          <w:rFonts w:ascii="Book Antiqua" w:hAnsi="Book Antiqua"/>
          <w:sz w:val="24"/>
          <w:szCs w:val="24"/>
        </w:rPr>
        <w:t>PLT</w:t>
      </w:r>
      <w:r w:rsidR="002F037E" w:rsidRPr="006C3DC1">
        <w:rPr>
          <w:rFonts w:ascii="Book Antiqua" w:hAnsi="Book Antiqua"/>
          <w:sz w:val="24"/>
          <w:szCs w:val="24"/>
        </w:rPr>
        <w:t xml:space="preserve"> membrane proteins become antigenic and stimulate the immune system resulting in thrombocytopenia due to immune-mediated </w:t>
      </w:r>
      <w:r w:rsidR="00540866" w:rsidRPr="006C3DC1">
        <w:rPr>
          <w:rFonts w:ascii="Book Antiqua" w:hAnsi="Book Antiqua"/>
          <w:sz w:val="24"/>
          <w:szCs w:val="24"/>
        </w:rPr>
        <w:t>PLT</w:t>
      </w:r>
      <w:r w:rsidR="002F037E" w:rsidRPr="006C3DC1">
        <w:rPr>
          <w:rFonts w:ascii="Book Antiqua" w:hAnsi="Book Antiqua"/>
          <w:sz w:val="24"/>
          <w:szCs w:val="24"/>
        </w:rPr>
        <w:t xml:space="preserve"> destruction and/or suppression of </w:t>
      </w:r>
      <w:r w:rsidR="00540866" w:rsidRPr="006C3DC1">
        <w:rPr>
          <w:rFonts w:ascii="Book Antiqua" w:hAnsi="Book Antiqua"/>
          <w:sz w:val="24"/>
          <w:szCs w:val="24"/>
        </w:rPr>
        <w:t>PLT</w:t>
      </w:r>
      <w:r w:rsidR="002F037E" w:rsidRPr="006C3DC1">
        <w:rPr>
          <w:rFonts w:ascii="Book Antiqua" w:hAnsi="Book Antiqua"/>
          <w:sz w:val="24"/>
          <w:szCs w:val="24"/>
        </w:rPr>
        <w:t xml:space="preserve"> production</w:t>
      </w:r>
      <w:r w:rsidRPr="0050230B">
        <w:rPr>
          <w:rFonts w:ascii="Book Antiqua" w:eastAsia="Times New Roman" w:hAnsi="Book Antiqua" w:cs="Times New Roman"/>
          <w:sz w:val="24"/>
          <w:szCs w:val="24"/>
          <w:vertAlign w:val="superscript"/>
        </w:rPr>
        <w:fldChar w:fldCharType="begin"/>
      </w:r>
      <w:r w:rsidRPr="0050230B">
        <w:rPr>
          <w:rFonts w:ascii="Book Antiqua" w:eastAsia="Times New Roman" w:hAnsi="Book Antiqua" w:cs="Times New Roman"/>
          <w:sz w:val="24"/>
          <w:szCs w:val="24"/>
          <w:vertAlign w:val="superscript"/>
        </w:rPr>
        <w:instrText xml:space="preserve"> ADDIN EN.CITE &lt;EndNote&gt;&lt;Cite  &gt;&lt;Author&gt;Nugent, D.; McMillan, R.; Nichol, J. L.; Slichter, S. J.&lt;/Author&gt;&lt;Year&gt;2009&lt;/Year&gt;&lt;RecNum&gt;230&lt;/RecNum&gt;&lt;Prefix&gt;&lt;/Prefix&gt;&lt;Suffix&gt;&lt;/Suffix&gt;&lt;Pages&gt;&lt;/Pages&gt;&lt;DisplayText&gt;(2)&lt;/DisplayText&gt;&lt;record&gt;&lt;database name="My EndNote Library.enl" path="/Users/Mien 1/Documents/My EndNote Library.enl"&gt;My EndNote Library.enl&lt;/database&gt;&lt;source-app name="EndNote" version="17.7"&gt;EndNote&lt;/source-app&gt;&lt;rec-number&gt;230&lt;/rec-number&gt;&lt;foreign-keys&gt;&lt;key app="EN" db-id="5fffp22drvwpzqestfmv2evy2p2esxeppp05"&gt;230&lt;/key&gt;&lt;/foreign-keys&gt;&lt;ref-type name="Journal Article"&gt;17&lt;/ref-type&gt;&lt;contributors&gt;&lt;authors&gt;&lt;author&gt;&lt;style face="normal" font="default" size="100%"&gt;Nugent, D.&lt;/style&gt;&lt;/author&gt;&lt;author&gt;&lt;style face="normal" font="default" size="100%"&gt;McMillan, R.&lt;/style&gt;&lt;/author&gt;&lt;author&gt;&lt;style face="normal" font="default" size="100%"&gt;Nichol, J. L.&lt;/style&gt;&lt;/author&gt;&lt;author&gt;&lt;style face="normal" font="default" size="100%"&gt;Slichter, S. J.&lt;/style&gt;&lt;/author&gt;&lt;/authors&gt;&lt;/contributors&gt;&lt;auth-address&gt;&lt;style face="normal" font="default" size="100%"&gt;Department of Hematology, Children's Hospital of Orange County, Orange, CA, USA.&lt;/style&gt;&lt;/auth-address&gt;&lt;titles&gt;&lt;title&gt;&lt;style face="normal" font="default" size="100%"&gt;Pathogenesis of chronic immune thrombocytopenia: increased platelet destruction and/or decreased platelet production&lt;/style&gt;&lt;/title&gt;&lt;secondary-title&gt;&lt;style face="normal" font="default" size="100%"&gt;Br J Haematol&lt;/style&gt;&lt;/secondary-title&gt;&lt;/titles&gt;&lt;periodical&gt;&lt;full-title&gt;&lt;style face="normal" font="default" size="100%"&gt;Br J Haematol&lt;/style&gt;&lt;/full-title&gt;&lt;/periodical&gt;&lt;pages&gt;&lt;style face="normal" font="default" size="100%"&gt;585-96&lt;/style&gt;&lt;/pages&gt;&lt;volume&gt;&lt;style face="normal" font="default" size="100%"&gt;146&lt;/style&gt;&lt;/volume&gt;&lt;number&gt;&lt;style face="normal" font="default" size="100%"&gt;6&lt;/style&gt;&lt;/number&gt;&lt;keywords&gt;&lt;keyword&gt;&lt;style face="normal" font="default" size="100%"&gt;Autoantibodies/blood&lt;/style&gt;&lt;/keyword&gt;&lt;keyword&gt;&lt;style face="normal" font="default" size="100%"&gt;Blood Platelets/immunology/*pathology&lt;/style&gt;&lt;/keyword&gt;&lt;keyword&gt;&lt;style face="normal" font="default" size="100%"&gt;Chronic Disease&lt;/style&gt;&lt;/keyword&gt;&lt;keyword&gt;&lt;style face="normal" font="default" size="100%"&gt;Humans&lt;/style&gt;&lt;/keyword&gt;&lt;keyword&gt;&lt;style face="normal" font="default" size="100%"&gt;Platelet Count&lt;/style&gt;&lt;/keyword&gt;&lt;keyword&gt;&lt;style face="normal" font="default" size="100%"&gt;Thrombocytopenia/immunology/*pathology&lt;/style&gt;&lt;/keyword&gt;&lt;keyword&gt;&lt;style face="normal" font="default" size="100%"&gt;Thrombopoiesis/immunology&lt;/style&gt;&lt;/keyword&gt;&lt;keyword&gt;&lt;style face="normal" font="default" size="100%"&gt;Thrombopoietin/metabolism&lt;/style&gt;&lt;/keyword&gt;&lt;/keywords&gt;&lt;dates&gt;&lt;year&gt;&lt;style face="normal" font="default" size="100%"&gt;2009&lt;/style&gt;&lt;/year&gt;&lt;pub-dates&gt;&lt;date&gt;&lt;style face="normal" font="default" size="100%"&gt;Sep&lt;/style&gt;&lt;/date&gt;&lt;/pub-dates&gt;&lt;/dates&gt;&lt;isbn&gt;&lt;style face="normal" font="default" size="100%"&gt;1365-2141 (Electronic) 0007-1048 (Linking)&lt;/style&gt;&lt;/isbn&gt;&lt;accession-num&gt;&lt;style face="normal" font="default" size="100%"&gt;19466980&lt;/style&gt;&lt;/accession-num&gt;&lt;abstract&gt;&lt;style face="normal" font="default" size="100%"&gt;Chronic immune thrombocytopenia (ITP) is a haematological disorder in which patients predominantly develop skin and mucosal bleeding. Early studies suggested ITP was primarily due to immune-mediated peripheral platelet destruction. However, increasing evidence indicates that an additional component of this disorder is immune-mediated decreased platelet production that cannot keep pace with platelet destruction. Evidence for increased platelet destruction is thrombocytopenia following ITP plasma infusions in normal subjects, in vitro platelet phagocytosis, and decreased platelet survivals in ITP patients that respond to therapies that prevent in vivo platelet phagocytosis; e.g., intravenous immunoglobulin G, anti-D, corticosteroids, and splenectomy. The cause of platelet destruction in most ITP patients appears to be autoantibody-mediated. However, cytotoxic T lymphocyte-mediated platelet (and possibly megakaryocyte) lysis, may also be important. Studies supporting suppressed platelet production include: reduced platelet turnover in over 80% of ITP patients, morphological evidence of megakaryocyte damage, autoantibody-induced suppression of in vitro megakaryocytopoiesis, and increased platelet counts in most ITP patients following treatment with thrombopoietin receptor agonists. This review summarizes data that indicates that the pathogenesis of chronic ITP may be due to both immune-mediated platelet destruction and/or suppressed platelet production. The relative importance of these two mechanisms undoubtedly varies among patients.&lt;/style&gt;&lt;/abstract&gt;&lt;notes&gt;&lt;style face="normal" font="default" size="100%"&gt;Nugent, Diane McMillan, Robert Nichol, Janet L Slichter, Sherrill J eng Review England 2009/05/27 09:00 Br J Haematol. 2009 Sep;146(6):585-96. doi: 10.1111/j.1365-2141.2009.07717.x. Epub 2009 May 14.&lt;/style&gt;&lt;/notes&gt;&lt;urls&gt;&lt;related-urls&gt;&lt;url&gt;&lt;style face="normal" font="default" size="100%"&gt;https://www.ncbi.nlm.nih.gov/pubmed/19466980&lt;/style&gt;&lt;/url&gt;&lt;/related-urls&gt;&lt;/urls&gt;&lt;electronic-resource-num&gt;&lt;style face="normal" font="default" size="100%"&gt;10.1111/j.1365-2141.2009.07717.x&lt;/style&gt;&lt;/electronic-resource-num&gt;&lt;/record&gt;&lt;/Cite&gt;&lt;/EndNote&gt;</w:instrText>
      </w:r>
      <w:r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Pr="0050230B">
        <w:rPr>
          <w:rFonts w:ascii="Book Antiqua" w:hAnsi="Book Antiqua"/>
          <w:sz w:val="24"/>
          <w:szCs w:val="24"/>
          <w:vertAlign w:val="superscript"/>
        </w:rPr>
        <w:t>2</w:t>
      </w:r>
      <w:r w:rsidR="0050230B" w:rsidRPr="0050230B">
        <w:rPr>
          <w:rFonts w:ascii="Book Antiqua" w:eastAsiaTheme="minorEastAsia" w:hAnsi="Book Antiqua" w:hint="eastAsia"/>
          <w:sz w:val="24"/>
          <w:szCs w:val="24"/>
          <w:vertAlign w:val="superscript"/>
        </w:rPr>
        <w:t>]</w:t>
      </w:r>
      <w:r w:rsidRPr="0050230B">
        <w:rPr>
          <w:rFonts w:ascii="Book Antiqua" w:eastAsia="Times New Roman" w:hAnsi="Book Antiqua" w:cs="Times New Roman"/>
          <w:sz w:val="24"/>
          <w:szCs w:val="24"/>
          <w:vertAlign w:val="superscript"/>
        </w:rPr>
        <w:fldChar w:fldCharType="end"/>
      </w:r>
      <w:r w:rsidRPr="006C3DC1">
        <w:rPr>
          <w:rFonts w:ascii="Book Antiqua" w:hAnsi="Book Antiqua"/>
          <w:sz w:val="24"/>
          <w:szCs w:val="24"/>
        </w:rPr>
        <w:t xml:space="preserve">. </w:t>
      </w:r>
      <w:r w:rsidR="00537407" w:rsidRPr="006C3DC1">
        <w:rPr>
          <w:rFonts w:ascii="Book Antiqua" w:hAnsi="Book Antiqua"/>
          <w:sz w:val="24"/>
          <w:szCs w:val="24"/>
        </w:rPr>
        <w:t>Some studies defined v</w:t>
      </w:r>
      <w:r w:rsidR="001F3005" w:rsidRPr="006C3DC1">
        <w:rPr>
          <w:rFonts w:ascii="Book Antiqua" w:hAnsi="Book Antiqua"/>
          <w:sz w:val="24"/>
          <w:szCs w:val="24"/>
        </w:rPr>
        <w:t>ery sev</w:t>
      </w:r>
      <w:r w:rsidR="00537407" w:rsidRPr="006C3DC1">
        <w:rPr>
          <w:rFonts w:ascii="Book Antiqua" w:hAnsi="Book Antiqua"/>
          <w:sz w:val="24"/>
          <w:szCs w:val="24"/>
        </w:rPr>
        <w:t xml:space="preserve">ere thrombocytopenia </w:t>
      </w:r>
      <w:r w:rsidR="001F3005" w:rsidRPr="006C3DC1">
        <w:rPr>
          <w:rFonts w:ascii="Book Antiqua" w:hAnsi="Book Antiqua"/>
          <w:sz w:val="24"/>
          <w:szCs w:val="24"/>
        </w:rPr>
        <w:t xml:space="preserve">as </w:t>
      </w:r>
      <w:r w:rsidR="00540866" w:rsidRPr="006C3DC1">
        <w:rPr>
          <w:rFonts w:ascii="Book Antiqua" w:hAnsi="Book Antiqua"/>
          <w:sz w:val="24"/>
          <w:szCs w:val="24"/>
        </w:rPr>
        <w:t>PLT</w:t>
      </w:r>
      <w:r w:rsidR="001F3005" w:rsidRPr="006C3DC1">
        <w:rPr>
          <w:rFonts w:ascii="Book Antiqua" w:hAnsi="Book Antiqua"/>
          <w:sz w:val="24"/>
          <w:szCs w:val="24"/>
        </w:rPr>
        <w:t xml:space="preserve"> count </w:t>
      </w:r>
      <w:r w:rsidR="00F95B0C" w:rsidRPr="006C3DC1">
        <w:rPr>
          <w:rFonts w:ascii="Book Antiqua" w:hAnsi="Book Antiqua"/>
          <w:sz w:val="24"/>
          <w:szCs w:val="24"/>
        </w:rPr>
        <w:t>&lt;</w:t>
      </w:r>
      <w:r w:rsidR="0050230B">
        <w:rPr>
          <w:rFonts w:ascii="Book Antiqua" w:eastAsiaTheme="minorEastAsia" w:hAnsi="Book Antiqua" w:hint="eastAsia"/>
          <w:sz w:val="24"/>
          <w:szCs w:val="24"/>
        </w:rPr>
        <w:t xml:space="preserve"> </w:t>
      </w:r>
      <w:r w:rsidR="001F3005" w:rsidRPr="006C3DC1">
        <w:rPr>
          <w:rFonts w:ascii="Book Antiqua" w:hAnsi="Book Antiqua"/>
          <w:sz w:val="24"/>
          <w:szCs w:val="24"/>
        </w:rPr>
        <w:t>10</w:t>
      </w:r>
      <w:bookmarkStart w:id="60" w:name="OLE_LINK90"/>
      <w:bookmarkStart w:id="61" w:name="OLE_LINK91"/>
      <w:r w:rsidR="001F3005" w:rsidRPr="006C3DC1">
        <w:rPr>
          <w:rFonts w:ascii="Book Antiqua" w:hAnsi="Book Antiqua"/>
          <w:sz w:val="24"/>
          <w:szCs w:val="24"/>
        </w:rPr>
        <w:t>000/</w:t>
      </w:r>
      <w:proofErr w:type="spellStart"/>
      <w:r w:rsidR="001F3005" w:rsidRPr="006C3DC1">
        <w:rPr>
          <w:rFonts w:ascii="Book Antiqua" w:hAnsi="Book Antiqua"/>
          <w:sz w:val="24"/>
          <w:szCs w:val="24"/>
        </w:rPr>
        <w:t>μ</w:t>
      </w:r>
      <w:r w:rsidR="00A4618F" w:rsidRPr="006C3DC1">
        <w:rPr>
          <w:rFonts w:ascii="Book Antiqua" w:hAnsi="Book Antiqua"/>
          <w:sz w:val="24"/>
          <w:szCs w:val="24"/>
        </w:rPr>
        <w:t>L</w:t>
      </w:r>
      <w:bookmarkEnd w:id="60"/>
      <w:bookmarkEnd w:id="61"/>
      <w:proofErr w:type="spellEnd"/>
      <w:r w:rsidR="0050230B" w:rsidRPr="0050230B">
        <w:rPr>
          <w:rFonts w:ascii="Book Antiqua" w:eastAsia="Times New Roman" w:hAnsi="Book Antiqua" w:cs="Times New Roman"/>
          <w:sz w:val="24"/>
          <w:szCs w:val="24"/>
          <w:vertAlign w:val="superscript"/>
        </w:rPr>
        <w:fldChar w:fldCharType="begin"/>
      </w:r>
      <w:r w:rsidR="0050230B" w:rsidRPr="0050230B">
        <w:rPr>
          <w:rFonts w:ascii="Book Antiqua" w:eastAsia="Times New Roman" w:hAnsi="Book Antiqua" w:cs="Times New Roman"/>
          <w:sz w:val="24"/>
          <w:szCs w:val="24"/>
          <w:vertAlign w:val="superscript"/>
        </w:rPr>
        <w:instrText xml:space="preserve"> ADDIN EN.CITE &lt;EndNote&gt;&lt;Cite  &gt;&lt;Author&gt;Nugent, D.; McMillan, R.; Nichol, J. L.; Slichter, S. J.&lt;/Author&gt;&lt;Year&gt;2009&lt;/Year&gt;&lt;RecNum&gt;230&lt;/RecNum&gt;&lt;Prefix&gt;&lt;/Prefix&gt;&lt;Suffix&gt;&lt;/Suffix&gt;&lt;Pages&gt;&lt;/Pages&gt;&lt;DisplayText&gt;(2)&lt;/DisplayText&gt;&lt;record&gt;&lt;database name="My EndNote Library.enl" path="/Users/Mien 1/Documents/My EndNote Library.enl"&gt;My EndNote Library.enl&lt;/database&gt;&lt;source-app name="EndNote" version="17.7"&gt;EndNote&lt;/source-app&gt;&lt;rec-number&gt;230&lt;/rec-number&gt;&lt;foreign-keys&gt;&lt;key app="EN" db-id="5fffp22drvwpzqestfmv2evy2p2esxeppp05"&gt;230&lt;/key&gt;&lt;/foreign-keys&gt;&lt;ref-type name="Journal Article"&gt;17&lt;/ref-type&gt;&lt;contributors&gt;&lt;authors&gt;&lt;author&gt;&lt;style face="normal" font="default" size="100%"&gt;Nugent, D.&lt;/style&gt;&lt;/author&gt;&lt;author&gt;&lt;style face="normal" font="default" size="100%"&gt;McMillan, R.&lt;/style&gt;&lt;/author&gt;&lt;author&gt;&lt;style face="normal" font="default" size="100%"&gt;Nichol, J. L.&lt;/style&gt;&lt;/author&gt;&lt;author&gt;&lt;style face="normal" font="default" size="100%"&gt;Slichter, S. J.&lt;/style&gt;&lt;/author&gt;&lt;/authors&gt;&lt;/contributors&gt;&lt;auth-address&gt;&lt;style face="normal" font="default" size="100%"&gt;Department of Hematology, Children's Hospital of Orange County, Orange, CA, USA.&lt;/style&gt;&lt;/auth-address&gt;&lt;titles&gt;&lt;title&gt;&lt;style face="normal" font="default" size="100%"&gt;Pathogenesis of chronic immune thrombocytopenia: increased platelet destruction and/or decreased platelet production&lt;/style&gt;&lt;/title&gt;&lt;secondary-title&gt;&lt;style face="normal" font="default" size="100%"&gt;Br J Haematol&lt;/style&gt;&lt;/secondary-title&gt;&lt;/titles&gt;&lt;periodical&gt;&lt;full-title&gt;&lt;style face="normal" font="default" size="100%"&gt;Br J Haematol&lt;/style&gt;&lt;/full-title&gt;&lt;/periodical&gt;&lt;pages&gt;&lt;style face="normal" font="default" size="100%"&gt;585-96&lt;/style&gt;&lt;/pages&gt;&lt;volume&gt;&lt;style face="normal" font="default" size="100%"&gt;146&lt;/style&gt;&lt;/volume&gt;&lt;number&gt;&lt;style face="normal" font="default" size="100%"&gt;6&lt;/style&gt;&lt;/number&gt;&lt;keywords&gt;&lt;keyword&gt;&lt;style face="normal" font="default" size="100%"&gt;Autoantibodies/blood&lt;/style&gt;&lt;/keyword&gt;&lt;keyword&gt;&lt;style face="normal" font="default" size="100%"&gt;Blood Platelets/immunology/*pathology&lt;/style&gt;&lt;/keyword&gt;&lt;keyword&gt;&lt;style face="normal" font="default" size="100%"&gt;Chronic Disease&lt;/style&gt;&lt;/keyword&gt;&lt;keyword&gt;&lt;style face="normal" font="default" size="100%"&gt;Humans&lt;/style&gt;&lt;/keyword&gt;&lt;keyword&gt;&lt;style face="normal" font="default" size="100%"&gt;Platelet Count&lt;/style&gt;&lt;/keyword&gt;&lt;keyword&gt;&lt;style face="normal" font="default" size="100%"&gt;Thrombocytopenia/immunology/*pathology&lt;/style&gt;&lt;/keyword&gt;&lt;keyword&gt;&lt;style face="normal" font="default" size="100%"&gt;Thrombopoiesis/immunology&lt;/style&gt;&lt;/keyword&gt;&lt;keyword&gt;&lt;style face="normal" font="default" size="100%"&gt;Thrombopoietin/metabolism&lt;/style&gt;&lt;/keyword&gt;&lt;/keywords&gt;&lt;dates&gt;&lt;year&gt;&lt;style face="normal" font="default" size="100%"&gt;2009&lt;/style&gt;&lt;/year&gt;&lt;pub-dates&gt;&lt;date&gt;&lt;style face="normal" font="default" size="100%"&gt;Sep&lt;/style&gt;&lt;/date&gt;&lt;/pub-dates&gt;&lt;/dates&gt;&lt;isbn&gt;&lt;style face="normal" font="default" size="100%"&gt;1365-2141 (Electronic) 0007-1048 (Linking)&lt;/style&gt;&lt;/isbn&gt;&lt;accession-num&gt;&lt;style face="normal" font="default" size="100%"&gt;19466980&lt;/style&gt;&lt;/accession-num&gt;&lt;abstract&gt;&lt;style face="normal" font="default" size="100%"&gt;Chronic immune thrombocytopenia (ITP) is a haematological disorder in which patients predominantly develop skin and mucosal bleeding. Early studies suggested ITP was primarily due to immune-mediated peripheral platelet destruction. However, increasing evidence indicates that an additional component of this disorder is immune-mediated decreased platelet production that cannot keep pace with platelet destruction. Evidence for increased platelet destruction is thrombocytopenia following ITP plasma infusions in normal subjects, in vitro platelet phagocytosis, and decreased platelet survivals in ITP patients that respond to therapies that prevent in vivo platelet phagocytosis; e.g., intravenous immunoglobulin G, anti-D, corticosteroids, and splenectomy. The cause of platelet destruction in most ITP patients appears to be autoantibody-mediated. However, cytotoxic T lymphocyte-mediated platelet (and possibly megakaryocyte) lysis, may also be important. Studies supporting suppressed platelet production include: reduced platelet turnover in over 80% of ITP patients, morphological evidence of megakaryocyte damage, autoantibody-induced suppression of in vitro megakaryocytopoiesis, and increased platelet counts in most ITP patients following treatment with thrombopoietin receptor agonists. This review summarizes data that indicates that the pathogenesis of chronic ITP may be due to both immune-mediated platelet destruction and/or suppressed platelet production. The relative importance of these two mechanisms undoubtedly varies among patients.&lt;/style&gt;&lt;/abstract&gt;&lt;notes&gt;&lt;style face="normal" font="default" size="100%"&gt;Nugent, Diane McMillan, Robert Nichol, Janet L Slichter, Sherrill J eng Review England 2009/05/27 09:00 Br J Haematol. 2009 Sep;146(6):585-96. doi: 10.1111/j.1365-2141.2009.07717.x. Epub 2009 May 14.&lt;/style&gt;&lt;/notes&gt;&lt;urls&gt;&lt;related-urls&gt;&lt;url&gt;&lt;style face="normal" font="default" size="100%"&gt;https://www.ncbi.nlm.nih.gov/pubmed/19466980&lt;/style&gt;&lt;/url&gt;&lt;/related-urls&gt;&lt;/urls&gt;&lt;electronic-resource-num&gt;&lt;style face="normal" font="default" size="100%"&gt;10.1111/j.1365-2141.2009.07717.x&lt;/style&gt;&lt;/electronic-resource-num&gt;&lt;/record&gt;&lt;/Cite&gt;&lt;/EndNote&gt;</w:instrText>
      </w:r>
      <w:r w:rsidR="0050230B"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0050230B">
        <w:rPr>
          <w:rFonts w:ascii="Book Antiqua" w:eastAsiaTheme="minorEastAsia" w:hAnsi="Book Antiqua" w:hint="eastAsia"/>
          <w:sz w:val="24"/>
          <w:szCs w:val="24"/>
          <w:vertAlign w:val="superscript"/>
        </w:rPr>
        <w:t>3</w:t>
      </w:r>
      <w:r w:rsidR="0050230B" w:rsidRPr="0050230B">
        <w:rPr>
          <w:rFonts w:ascii="Book Antiqua" w:eastAsiaTheme="minorEastAsia" w:hAnsi="Book Antiqua" w:hint="eastAsia"/>
          <w:sz w:val="24"/>
          <w:szCs w:val="24"/>
          <w:vertAlign w:val="superscript"/>
        </w:rPr>
        <w:t>]</w:t>
      </w:r>
      <w:r w:rsidR="0050230B" w:rsidRPr="0050230B">
        <w:rPr>
          <w:rFonts w:ascii="Book Antiqua" w:eastAsia="Times New Roman" w:hAnsi="Book Antiqua" w:cs="Times New Roman"/>
          <w:sz w:val="24"/>
          <w:szCs w:val="24"/>
          <w:vertAlign w:val="superscript"/>
        </w:rPr>
        <w:fldChar w:fldCharType="end"/>
      </w:r>
      <w:r w:rsidRPr="006C3DC1">
        <w:rPr>
          <w:rFonts w:ascii="Book Antiqua" w:hAnsi="Book Antiqua"/>
          <w:sz w:val="24"/>
          <w:szCs w:val="24"/>
        </w:rPr>
        <w:t>; however, some researchers suggest that the severity of the disease is based clinically on bleeding scores rather than a PLT count</w:t>
      </w:r>
      <w:r w:rsidR="0050230B" w:rsidRPr="0050230B">
        <w:rPr>
          <w:rFonts w:ascii="Book Antiqua" w:eastAsia="Times New Roman" w:hAnsi="Book Antiqua" w:cs="Times New Roman"/>
          <w:sz w:val="24"/>
          <w:szCs w:val="24"/>
          <w:vertAlign w:val="superscript"/>
        </w:rPr>
        <w:fldChar w:fldCharType="begin"/>
      </w:r>
      <w:r w:rsidR="0050230B" w:rsidRPr="0050230B">
        <w:rPr>
          <w:rFonts w:ascii="Book Antiqua" w:eastAsia="Times New Roman" w:hAnsi="Book Antiqua" w:cs="Times New Roman"/>
          <w:sz w:val="24"/>
          <w:szCs w:val="24"/>
          <w:vertAlign w:val="superscript"/>
        </w:rPr>
        <w:instrText xml:space="preserve"> ADDIN EN.CITE &lt;EndNote&gt;&lt;Cite  &gt;&lt;Author&gt;Nugent, D.; McMillan, R.; Nichol, J. L.; Slichter, S. J.&lt;/Author&gt;&lt;Year&gt;2009&lt;/Year&gt;&lt;RecNum&gt;230&lt;/RecNum&gt;&lt;Prefix&gt;&lt;/Prefix&gt;&lt;Suffix&gt;&lt;/Suffix&gt;&lt;Pages&gt;&lt;/Pages&gt;&lt;DisplayText&gt;(2)&lt;/DisplayText&gt;&lt;record&gt;&lt;database name="My EndNote Library.enl" path="/Users/Mien 1/Documents/My EndNote Library.enl"&gt;My EndNote Library.enl&lt;/database&gt;&lt;source-app name="EndNote" version="17.7"&gt;EndNote&lt;/source-app&gt;&lt;rec-number&gt;230&lt;/rec-number&gt;&lt;foreign-keys&gt;&lt;key app="EN" db-id="5fffp22drvwpzqestfmv2evy2p2esxeppp05"&gt;230&lt;/key&gt;&lt;/foreign-keys&gt;&lt;ref-type name="Journal Article"&gt;17&lt;/ref-type&gt;&lt;contributors&gt;&lt;authors&gt;&lt;author&gt;&lt;style face="normal" font="default" size="100%"&gt;Nugent, D.&lt;/style&gt;&lt;/author&gt;&lt;author&gt;&lt;style face="normal" font="default" size="100%"&gt;McMillan, R.&lt;/style&gt;&lt;/author&gt;&lt;author&gt;&lt;style face="normal" font="default" size="100%"&gt;Nichol, J. L.&lt;/style&gt;&lt;/author&gt;&lt;author&gt;&lt;style face="normal" font="default" size="100%"&gt;Slichter, S. J.&lt;/style&gt;&lt;/author&gt;&lt;/authors&gt;&lt;/contributors&gt;&lt;auth-address&gt;&lt;style face="normal" font="default" size="100%"&gt;Department of Hematology, Children's Hospital of Orange County, Orange, CA, USA.&lt;/style&gt;&lt;/auth-address&gt;&lt;titles&gt;&lt;title&gt;&lt;style face="normal" font="default" size="100%"&gt;Pathogenesis of chronic immune thrombocytopenia: increased platelet destruction and/or decreased platelet production&lt;/style&gt;&lt;/title&gt;&lt;secondary-title&gt;&lt;style face="normal" font="default" size="100%"&gt;Br J Haematol&lt;/style&gt;&lt;/secondary-title&gt;&lt;/titles&gt;&lt;periodical&gt;&lt;full-title&gt;&lt;style face="normal" font="default" size="100%"&gt;Br J Haematol&lt;/style&gt;&lt;/full-title&gt;&lt;/periodical&gt;&lt;pages&gt;&lt;style face="normal" font="default" size="100%"&gt;585-96&lt;/style&gt;&lt;/pages&gt;&lt;volume&gt;&lt;style face="normal" font="default" size="100%"&gt;146&lt;/style&gt;&lt;/volume&gt;&lt;number&gt;&lt;style face="normal" font="default" size="100%"&gt;6&lt;/style&gt;&lt;/number&gt;&lt;keywords&gt;&lt;keyword&gt;&lt;style face="normal" font="default" size="100%"&gt;Autoantibodies/blood&lt;/style&gt;&lt;/keyword&gt;&lt;keyword&gt;&lt;style face="normal" font="default" size="100%"&gt;Blood Platelets/immunology/*pathology&lt;/style&gt;&lt;/keyword&gt;&lt;keyword&gt;&lt;style face="normal" font="default" size="100%"&gt;Chronic Disease&lt;/style&gt;&lt;/keyword&gt;&lt;keyword&gt;&lt;style face="normal" font="default" size="100%"&gt;Humans&lt;/style&gt;&lt;/keyword&gt;&lt;keyword&gt;&lt;style face="normal" font="default" size="100%"&gt;Platelet Count&lt;/style&gt;&lt;/keyword&gt;&lt;keyword&gt;&lt;style face="normal" font="default" size="100%"&gt;Thrombocytopenia/immunology/*pathology&lt;/style&gt;&lt;/keyword&gt;&lt;keyword&gt;&lt;style face="normal" font="default" size="100%"&gt;Thrombopoiesis/immunology&lt;/style&gt;&lt;/keyword&gt;&lt;keyword&gt;&lt;style face="normal" font="default" size="100%"&gt;Thrombopoietin/metabolism&lt;/style&gt;&lt;/keyword&gt;&lt;/keywords&gt;&lt;dates&gt;&lt;year&gt;&lt;style face="normal" font="default" size="100%"&gt;2009&lt;/style&gt;&lt;/year&gt;&lt;pub-dates&gt;&lt;date&gt;&lt;style face="normal" font="default" size="100%"&gt;Sep&lt;/style&gt;&lt;/date&gt;&lt;/pub-dates&gt;&lt;/dates&gt;&lt;isbn&gt;&lt;style face="normal" font="default" size="100%"&gt;1365-2141 (Electronic) 0007-1048 (Linking)&lt;/style&gt;&lt;/isbn&gt;&lt;accession-num&gt;&lt;style face="normal" font="default" size="100%"&gt;19466980&lt;/style&gt;&lt;/accession-num&gt;&lt;abstract&gt;&lt;style face="normal" font="default" size="100%"&gt;Chronic immune thrombocytopenia (ITP) is a haematological disorder in which patients predominantly develop skin and mucosal bleeding. Early studies suggested ITP was primarily due to immune-mediated peripheral platelet destruction. However, increasing evidence indicates that an additional component of this disorder is immune-mediated decreased platelet production that cannot keep pace with platelet destruction. Evidence for increased platelet destruction is thrombocytopenia following ITP plasma infusions in normal subjects, in vitro platelet phagocytosis, and decreased platelet survivals in ITP patients that respond to therapies that prevent in vivo platelet phagocytosis; e.g., intravenous immunoglobulin G, anti-D, corticosteroids, and splenectomy. The cause of platelet destruction in most ITP patients appears to be autoantibody-mediated. However, cytotoxic T lymphocyte-mediated platelet (and possibly megakaryocyte) lysis, may also be important. Studies supporting suppressed platelet production include: reduced platelet turnover in over 80% of ITP patients, morphological evidence of megakaryocyte damage, autoantibody-induced suppression of in vitro megakaryocytopoiesis, and increased platelet counts in most ITP patients following treatment with thrombopoietin receptor agonists. This review summarizes data that indicates that the pathogenesis of chronic ITP may be due to both immune-mediated platelet destruction and/or suppressed platelet production. The relative importance of these two mechanisms undoubtedly varies among patients.&lt;/style&gt;&lt;/abstract&gt;&lt;notes&gt;&lt;style face="normal" font="default" size="100%"&gt;Nugent, Diane McMillan, Robert Nichol, Janet L Slichter, Sherrill J eng Review England 2009/05/27 09:00 Br J Haematol. 2009 Sep;146(6):585-96. doi: 10.1111/j.1365-2141.2009.07717.x. Epub 2009 May 14.&lt;/style&gt;&lt;/notes&gt;&lt;urls&gt;&lt;related-urls&gt;&lt;url&gt;&lt;style face="normal" font="default" size="100%"&gt;https://www.ncbi.nlm.nih.gov/pubmed/19466980&lt;/style&gt;&lt;/url&gt;&lt;/related-urls&gt;&lt;/urls&gt;&lt;electronic-resource-num&gt;&lt;style face="normal" font="default" size="100%"&gt;10.1111/j.1365-2141.2009.07717.x&lt;/style&gt;&lt;/electronic-resource-num&gt;&lt;/record&gt;&lt;/Cite&gt;&lt;/EndNote&gt;</w:instrText>
      </w:r>
      <w:r w:rsidR="0050230B"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0050230B">
        <w:rPr>
          <w:rFonts w:ascii="Book Antiqua" w:eastAsiaTheme="minorEastAsia" w:hAnsi="Book Antiqua" w:hint="eastAsia"/>
          <w:sz w:val="24"/>
          <w:szCs w:val="24"/>
          <w:vertAlign w:val="superscript"/>
        </w:rPr>
        <w:t>4,5</w:t>
      </w:r>
      <w:r w:rsidR="0050230B" w:rsidRPr="0050230B">
        <w:rPr>
          <w:rFonts w:ascii="Book Antiqua" w:eastAsiaTheme="minorEastAsia" w:hAnsi="Book Antiqua" w:hint="eastAsia"/>
          <w:sz w:val="24"/>
          <w:szCs w:val="24"/>
          <w:vertAlign w:val="superscript"/>
        </w:rPr>
        <w:t>]</w:t>
      </w:r>
      <w:r w:rsidR="0050230B" w:rsidRPr="0050230B">
        <w:rPr>
          <w:rFonts w:ascii="Book Antiqua" w:eastAsia="Times New Roman" w:hAnsi="Book Antiqua" w:cs="Times New Roman"/>
          <w:sz w:val="24"/>
          <w:szCs w:val="24"/>
          <w:vertAlign w:val="superscript"/>
        </w:rPr>
        <w:fldChar w:fldCharType="end"/>
      </w:r>
      <w:r w:rsidRPr="006C3DC1">
        <w:rPr>
          <w:rFonts w:ascii="Book Antiqua" w:hAnsi="Book Antiqua"/>
          <w:sz w:val="24"/>
          <w:szCs w:val="24"/>
        </w:rPr>
        <w:t xml:space="preserve">. </w:t>
      </w:r>
      <w:r w:rsidR="00312885" w:rsidRPr="006C3DC1">
        <w:rPr>
          <w:rFonts w:ascii="Book Antiqua" w:hAnsi="Book Antiqua"/>
          <w:sz w:val="24"/>
          <w:szCs w:val="24"/>
        </w:rPr>
        <w:t xml:space="preserve">In this case, the patient presented with gastrointestinal hemorrhage accompanied with acute anemia. </w:t>
      </w:r>
      <w:bookmarkStart w:id="62" w:name="OLE_LINK94"/>
      <w:bookmarkStart w:id="63" w:name="OLE_LINK95"/>
      <w:r w:rsidR="00312885" w:rsidRPr="006C3DC1">
        <w:rPr>
          <w:rFonts w:ascii="Book Antiqua" w:hAnsi="Book Antiqua"/>
          <w:sz w:val="24"/>
          <w:szCs w:val="24"/>
        </w:rPr>
        <w:t xml:space="preserve">According to </w:t>
      </w:r>
      <w:proofErr w:type="spellStart"/>
      <w:r w:rsidR="00312885" w:rsidRPr="006C3DC1">
        <w:rPr>
          <w:rFonts w:ascii="Book Antiqua" w:hAnsi="Book Antiqua"/>
          <w:sz w:val="24"/>
          <w:szCs w:val="24"/>
        </w:rPr>
        <w:t>Khellaf’s</w:t>
      </w:r>
      <w:proofErr w:type="spellEnd"/>
      <w:r w:rsidR="00312885" w:rsidRPr="006C3DC1" w:rsidDel="00595391">
        <w:rPr>
          <w:rFonts w:ascii="Book Antiqua" w:hAnsi="Book Antiqua"/>
          <w:sz w:val="24"/>
          <w:szCs w:val="24"/>
        </w:rPr>
        <w:t xml:space="preserve"> </w:t>
      </w:r>
      <w:r w:rsidR="00312885" w:rsidRPr="006C3DC1">
        <w:rPr>
          <w:rFonts w:ascii="Book Antiqua" w:hAnsi="Book Antiqua"/>
          <w:sz w:val="24"/>
          <w:szCs w:val="24"/>
        </w:rPr>
        <w:t>bleeding score</w:t>
      </w:r>
      <w:r w:rsidR="0050230B" w:rsidRPr="0050230B">
        <w:rPr>
          <w:rFonts w:ascii="Book Antiqua" w:eastAsia="Times New Roman" w:hAnsi="Book Antiqua" w:cs="Times New Roman"/>
          <w:sz w:val="24"/>
          <w:szCs w:val="24"/>
          <w:vertAlign w:val="superscript"/>
        </w:rPr>
        <w:fldChar w:fldCharType="begin"/>
      </w:r>
      <w:r w:rsidR="0050230B" w:rsidRPr="0050230B">
        <w:rPr>
          <w:rFonts w:ascii="Book Antiqua" w:eastAsia="Times New Roman" w:hAnsi="Book Antiqua" w:cs="Times New Roman"/>
          <w:sz w:val="24"/>
          <w:szCs w:val="24"/>
          <w:vertAlign w:val="superscript"/>
        </w:rPr>
        <w:instrText xml:space="preserve"> ADDIN EN.CITE &lt;EndNote&gt;&lt;Cite  &gt;&lt;Author&gt;Nugent, D.; McMillan, R.; Nichol, J. L.; Slichter, S. J.&lt;/Author&gt;&lt;Year&gt;2009&lt;/Year&gt;&lt;RecNum&gt;230&lt;/RecNum&gt;&lt;Prefix&gt;&lt;/Prefix&gt;&lt;Suffix&gt;&lt;/Suffix&gt;&lt;Pages&gt;&lt;/Pages&gt;&lt;DisplayText&gt;(2)&lt;/DisplayText&gt;&lt;record&gt;&lt;database name="My EndNote Library.enl" path="/Users/Mien 1/Documents/My EndNote Library.enl"&gt;My EndNote Library.enl&lt;/database&gt;&lt;source-app name="EndNote" version="17.7"&gt;EndNote&lt;/source-app&gt;&lt;rec-number&gt;230&lt;/rec-number&gt;&lt;foreign-keys&gt;&lt;key app="EN" db-id="5fffp22drvwpzqestfmv2evy2p2esxeppp05"&gt;230&lt;/key&gt;&lt;/foreign-keys&gt;&lt;ref-type name="Journal Article"&gt;17&lt;/ref-type&gt;&lt;contributors&gt;&lt;authors&gt;&lt;author&gt;&lt;style face="normal" font="default" size="100%"&gt;Nugent, D.&lt;/style&gt;&lt;/author&gt;&lt;author&gt;&lt;style face="normal" font="default" size="100%"&gt;McMillan, R.&lt;/style&gt;&lt;/author&gt;&lt;author&gt;&lt;style face="normal" font="default" size="100%"&gt;Nichol, J. L.&lt;/style&gt;&lt;/author&gt;&lt;author&gt;&lt;style face="normal" font="default" size="100%"&gt;Slichter, S. J.&lt;/style&gt;&lt;/author&gt;&lt;/authors&gt;&lt;/contributors&gt;&lt;auth-address&gt;&lt;style face="normal" font="default" size="100%"&gt;Department of Hematology, Children's Hospital of Orange County, Orange, CA, USA.&lt;/style&gt;&lt;/auth-address&gt;&lt;titles&gt;&lt;title&gt;&lt;style face="normal" font="default" size="100%"&gt;Pathogenesis of chronic immune thrombocytopenia: increased platelet destruction and/or decreased platelet production&lt;/style&gt;&lt;/title&gt;&lt;secondary-title&gt;&lt;style face="normal" font="default" size="100%"&gt;Br J Haematol&lt;/style&gt;&lt;/secondary-title&gt;&lt;/titles&gt;&lt;periodical&gt;&lt;full-title&gt;&lt;style face="normal" font="default" size="100%"&gt;Br J Haematol&lt;/style&gt;&lt;/full-title&gt;&lt;/periodical&gt;&lt;pages&gt;&lt;style face="normal" font="default" size="100%"&gt;585-96&lt;/style&gt;&lt;/pages&gt;&lt;volume&gt;&lt;style face="normal" font="default" size="100%"&gt;146&lt;/style&gt;&lt;/volume&gt;&lt;number&gt;&lt;style face="normal" font="default" size="100%"&gt;6&lt;/style&gt;&lt;/number&gt;&lt;keywords&gt;&lt;keyword&gt;&lt;style face="normal" font="default" size="100%"&gt;Autoantibodies/blood&lt;/style&gt;&lt;/keyword&gt;&lt;keyword&gt;&lt;style face="normal" font="default" size="100%"&gt;Blood Platelets/immunology/*pathology&lt;/style&gt;&lt;/keyword&gt;&lt;keyword&gt;&lt;style face="normal" font="default" size="100%"&gt;Chronic Disease&lt;/style&gt;&lt;/keyword&gt;&lt;keyword&gt;&lt;style face="normal" font="default" size="100%"&gt;Humans&lt;/style&gt;&lt;/keyword&gt;&lt;keyword&gt;&lt;style face="normal" font="default" size="100%"&gt;Platelet Count&lt;/style&gt;&lt;/keyword&gt;&lt;keyword&gt;&lt;style face="normal" font="default" size="100%"&gt;Thrombocytopenia/immunology/*pathology&lt;/style&gt;&lt;/keyword&gt;&lt;keyword&gt;&lt;style face="normal" font="default" size="100%"&gt;Thrombopoiesis/immunology&lt;/style&gt;&lt;/keyword&gt;&lt;keyword&gt;&lt;style face="normal" font="default" size="100%"&gt;Thrombopoietin/metabolism&lt;/style&gt;&lt;/keyword&gt;&lt;/keywords&gt;&lt;dates&gt;&lt;year&gt;&lt;style face="normal" font="default" size="100%"&gt;2009&lt;/style&gt;&lt;/year&gt;&lt;pub-dates&gt;&lt;date&gt;&lt;style face="normal" font="default" size="100%"&gt;Sep&lt;/style&gt;&lt;/date&gt;&lt;/pub-dates&gt;&lt;/dates&gt;&lt;isbn&gt;&lt;style face="normal" font="default" size="100%"&gt;1365-2141 (Electronic) 0007-1048 (Linking)&lt;/style&gt;&lt;/isbn&gt;&lt;accession-num&gt;&lt;style face="normal" font="default" size="100%"&gt;19466980&lt;/style&gt;&lt;/accession-num&gt;&lt;abstract&gt;&lt;style face="normal" font="default" size="100%"&gt;Chronic immune thrombocytopenia (ITP) is a haematological disorder in which patients predominantly develop skin and mucosal bleeding. Early studies suggested ITP was primarily due to immune-mediated peripheral platelet destruction. However, increasing evidence indicates that an additional component of this disorder is immune-mediated decreased platelet production that cannot keep pace with platelet destruction. Evidence for increased platelet destruction is thrombocytopenia following ITP plasma infusions in normal subjects, in vitro platelet phagocytosis, and decreased platelet survivals in ITP patients that respond to therapies that prevent in vivo platelet phagocytosis; e.g., intravenous immunoglobulin G, anti-D, corticosteroids, and splenectomy. The cause of platelet destruction in most ITP patients appears to be autoantibody-mediated. However, cytotoxic T lymphocyte-mediated platelet (and possibly megakaryocyte) lysis, may also be important. Studies supporting suppressed platelet production include: reduced platelet turnover in over 80% of ITP patients, morphological evidence of megakaryocyte damage, autoantibody-induced suppression of in vitro megakaryocytopoiesis, and increased platelet counts in most ITP patients following treatment with thrombopoietin receptor agonists. This review summarizes data that indicates that the pathogenesis of chronic ITP may be due to both immune-mediated platelet destruction and/or suppressed platelet production. The relative importance of these two mechanisms undoubtedly varies among patients.&lt;/style&gt;&lt;/abstract&gt;&lt;notes&gt;&lt;style face="normal" font="default" size="100%"&gt;Nugent, Diane McMillan, Robert Nichol, Janet L Slichter, Sherrill J eng Review England 2009/05/27 09:00 Br J Haematol. 2009 Sep;146(6):585-96. doi: 10.1111/j.1365-2141.2009.07717.x. Epub 2009 May 14.&lt;/style&gt;&lt;/notes&gt;&lt;urls&gt;&lt;related-urls&gt;&lt;url&gt;&lt;style face="normal" font="default" size="100%"&gt;https://www.ncbi.nlm.nih.gov/pubmed/19466980&lt;/style&gt;&lt;/url&gt;&lt;/related-urls&gt;&lt;/urls&gt;&lt;electronic-resource-num&gt;&lt;style face="normal" font="default" size="100%"&gt;10.1111/j.1365-2141.2009.07717.x&lt;/style&gt;&lt;/electronic-resource-num&gt;&lt;/record&gt;&lt;/Cite&gt;&lt;/EndNote&gt;</w:instrText>
      </w:r>
      <w:r w:rsidR="0050230B"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0050230B">
        <w:rPr>
          <w:rFonts w:ascii="Book Antiqua" w:eastAsiaTheme="minorEastAsia" w:hAnsi="Book Antiqua" w:hint="eastAsia"/>
          <w:sz w:val="24"/>
          <w:szCs w:val="24"/>
          <w:vertAlign w:val="superscript"/>
        </w:rPr>
        <w:t>4</w:t>
      </w:r>
      <w:r w:rsidR="0050230B" w:rsidRPr="0050230B">
        <w:rPr>
          <w:rFonts w:ascii="Book Antiqua" w:eastAsiaTheme="minorEastAsia" w:hAnsi="Book Antiqua" w:hint="eastAsia"/>
          <w:sz w:val="24"/>
          <w:szCs w:val="24"/>
          <w:vertAlign w:val="superscript"/>
        </w:rPr>
        <w:t>]</w:t>
      </w:r>
      <w:r w:rsidR="0050230B" w:rsidRPr="0050230B">
        <w:rPr>
          <w:rFonts w:ascii="Book Antiqua" w:eastAsia="Times New Roman" w:hAnsi="Book Antiqua" w:cs="Times New Roman"/>
          <w:sz w:val="24"/>
          <w:szCs w:val="24"/>
          <w:vertAlign w:val="superscript"/>
        </w:rPr>
        <w:fldChar w:fldCharType="end"/>
      </w:r>
      <w:r w:rsidR="00312885" w:rsidRPr="006C3DC1">
        <w:rPr>
          <w:rFonts w:ascii="Book Antiqua" w:hAnsi="Book Antiqua"/>
          <w:sz w:val="24"/>
          <w:szCs w:val="24"/>
        </w:rPr>
        <w:t>, this patients had a high bleeding score (&gt;</w:t>
      </w:r>
      <w:r w:rsidR="0050230B">
        <w:rPr>
          <w:rFonts w:ascii="Book Antiqua" w:eastAsiaTheme="minorEastAsia" w:hAnsi="Book Antiqua" w:hint="eastAsia"/>
          <w:sz w:val="24"/>
          <w:szCs w:val="24"/>
        </w:rPr>
        <w:t xml:space="preserve"> </w:t>
      </w:r>
      <w:r w:rsidR="00312885" w:rsidRPr="006C3DC1">
        <w:rPr>
          <w:rFonts w:ascii="Book Antiqua" w:hAnsi="Book Antiqua"/>
          <w:sz w:val="24"/>
          <w:szCs w:val="24"/>
        </w:rPr>
        <w:t>8), which indicated a severe ITP with high risk of life-threatening hemorrhage</w:t>
      </w:r>
      <w:bookmarkEnd w:id="62"/>
      <w:bookmarkEnd w:id="63"/>
      <w:r w:rsidR="00312885" w:rsidRPr="006C3DC1">
        <w:rPr>
          <w:rFonts w:ascii="Book Antiqua" w:hAnsi="Book Antiqua"/>
          <w:sz w:val="24"/>
          <w:szCs w:val="24"/>
        </w:rPr>
        <w:t xml:space="preserve">. </w:t>
      </w:r>
      <w:r w:rsidR="0088594F" w:rsidRPr="006C3DC1">
        <w:rPr>
          <w:rFonts w:ascii="Book Antiqua" w:hAnsi="Book Antiqua"/>
          <w:sz w:val="24"/>
          <w:szCs w:val="24"/>
        </w:rPr>
        <w:t>Patients are considered to have medically refractory ITP when they require treatment following failure to respond to medical treatment.</w:t>
      </w:r>
      <w:r w:rsidR="008329A6" w:rsidRPr="006C3DC1">
        <w:rPr>
          <w:rFonts w:ascii="Book Antiqua" w:hAnsi="Book Antiqua"/>
          <w:sz w:val="24"/>
          <w:szCs w:val="24"/>
        </w:rPr>
        <w:t xml:space="preserve"> Response was defined as </w:t>
      </w:r>
      <w:r w:rsidR="00540866" w:rsidRPr="006C3DC1">
        <w:rPr>
          <w:rFonts w:ascii="Book Antiqua" w:hAnsi="Book Antiqua"/>
          <w:sz w:val="24"/>
          <w:szCs w:val="24"/>
        </w:rPr>
        <w:t>PLT</w:t>
      </w:r>
      <w:r w:rsidR="008329A6" w:rsidRPr="006C3DC1">
        <w:rPr>
          <w:rFonts w:ascii="Book Antiqua" w:hAnsi="Book Antiqua"/>
          <w:sz w:val="24"/>
          <w:szCs w:val="24"/>
        </w:rPr>
        <w:t xml:space="preserve"> count &gt;</w:t>
      </w:r>
      <w:r w:rsidR="0050230B">
        <w:rPr>
          <w:rFonts w:ascii="Book Antiqua" w:eastAsiaTheme="minorEastAsia" w:hAnsi="Book Antiqua" w:hint="eastAsia"/>
          <w:sz w:val="24"/>
          <w:szCs w:val="24"/>
        </w:rPr>
        <w:t xml:space="preserve"> </w:t>
      </w:r>
      <w:r w:rsidR="008329A6" w:rsidRPr="006C3DC1">
        <w:rPr>
          <w:rFonts w:ascii="Book Antiqua" w:hAnsi="Book Antiqua"/>
          <w:sz w:val="24"/>
          <w:szCs w:val="24"/>
        </w:rPr>
        <w:t>30000/</w:t>
      </w:r>
      <w:proofErr w:type="spellStart"/>
      <w:r w:rsidR="008329A6" w:rsidRPr="006C3DC1">
        <w:rPr>
          <w:rFonts w:ascii="Book Antiqua" w:hAnsi="Book Antiqua"/>
          <w:sz w:val="24"/>
          <w:szCs w:val="24"/>
        </w:rPr>
        <w:t>μL</w:t>
      </w:r>
      <w:proofErr w:type="spellEnd"/>
      <w:r w:rsidR="008329A6" w:rsidRPr="006C3DC1">
        <w:rPr>
          <w:rFonts w:ascii="Book Antiqua" w:hAnsi="Book Antiqua"/>
          <w:sz w:val="24"/>
          <w:szCs w:val="24"/>
        </w:rPr>
        <w:t xml:space="preserve"> and at least 2-fold increase the baseline count</w:t>
      </w:r>
      <w:r w:rsidR="00312885" w:rsidRPr="006C3DC1">
        <w:rPr>
          <w:rFonts w:ascii="Book Antiqua" w:hAnsi="Book Antiqua"/>
          <w:sz w:val="24"/>
          <w:szCs w:val="24"/>
        </w:rPr>
        <w:t xml:space="preserve"> </w:t>
      </w:r>
      <w:r w:rsidR="008329A6" w:rsidRPr="006C3DC1">
        <w:rPr>
          <w:rFonts w:ascii="Book Antiqua" w:hAnsi="Book Antiqua"/>
          <w:sz w:val="24"/>
          <w:szCs w:val="24"/>
        </w:rPr>
        <w:t>and absence of bleeding</w:t>
      </w:r>
      <w:r w:rsidR="0050230B" w:rsidRPr="0050230B">
        <w:rPr>
          <w:rFonts w:ascii="Book Antiqua" w:eastAsia="Times New Roman" w:hAnsi="Book Antiqua" w:cs="Times New Roman"/>
          <w:sz w:val="24"/>
          <w:szCs w:val="24"/>
          <w:vertAlign w:val="superscript"/>
        </w:rPr>
        <w:fldChar w:fldCharType="begin"/>
      </w:r>
      <w:r w:rsidR="0050230B" w:rsidRPr="0050230B">
        <w:rPr>
          <w:rFonts w:ascii="Book Antiqua" w:eastAsia="Times New Roman" w:hAnsi="Book Antiqua" w:cs="Times New Roman"/>
          <w:sz w:val="24"/>
          <w:szCs w:val="24"/>
          <w:vertAlign w:val="superscript"/>
        </w:rPr>
        <w:instrText xml:space="preserve"> ADDIN EN.CITE &lt;EndNote&gt;&lt;Cite  &gt;&lt;Author&gt;Nugent, D.; McMillan, R.; Nichol, J. L.; Slichter, S. J.&lt;/Author&gt;&lt;Year&gt;2009&lt;/Year&gt;&lt;RecNum&gt;230&lt;/RecNum&gt;&lt;Prefix&gt;&lt;/Prefix&gt;&lt;Suffix&gt;&lt;/Suffix&gt;&lt;Pages&gt;&lt;/Pages&gt;&lt;DisplayText&gt;(2)&lt;/DisplayText&gt;&lt;record&gt;&lt;database name="My EndNote Library.enl" path="/Users/Mien 1/Documents/My EndNote Library.enl"&gt;My EndNote Library.enl&lt;/database&gt;&lt;source-app name="EndNote" version="17.7"&gt;EndNote&lt;/source-app&gt;&lt;rec-number&gt;230&lt;/rec-number&gt;&lt;foreign-keys&gt;&lt;key app="EN" db-id="5fffp22drvwpzqestfmv2evy2p2esxeppp05"&gt;230&lt;/key&gt;&lt;/foreign-keys&gt;&lt;ref-type name="Journal Article"&gt;17&lt;/ref-type&gt;&lt;contributors&gt;&lt;authors&gt;&lt;author&gt;&lt;style face="normal" font="default" size="100%"&gt;Nugent, D.&lt;/style&gt;&lt;/author&gt;&lt;author&gt;&lt;style face="normal" font="default" size="100%"&gt;McMillan, R.&lt;/style&gt;&lt;/author&gt;&lt;author&gt;&lt;style face="normal" font="default" size="100%"&gt;Nichol, J. L.&lt;/style&gt;&lt;/author&gt;&lt;author&gt;&lt;style face="normal" font="default" size="100%"&gt;Slichter, S. J.&lt;/style&gt;&lt;/author&gt;&lt;/authors&gt;&lt;/contributors&gt;&lt;auth-address&gt;&lt;style face="normal" font="default" size="100%"&gt;Department of Hematology, Children's Hospital of Orange County, Orange, CA, USA.&lt;/style&gt;&lt;/auth-address&gt;&lt;titles&gt;&lt;title&gt;&lt;style face="normal" font="default" size="100%"&gt;Pathogenesis of chronic immune thrombocytopenia: increased platelet destruction and/or decreased platelet production&lt;/style&gt;&lt;/title&gt;&lt;secondary-title&gt;&lt;style face="normal" font="default" size="100%"&gt;Br J Haematol&lt;/style&gt;&lt;/secondary-title&gt;&lt;/titles&gt;&lt;periodical&gt;&lt;full-title&gt;&lt;style face="normal" font="default" size="100%"&gt;Br J Haematol&lt;/style&gt;&lt;/full-title&gt;&lt;/periodical&gt;&lt;pages&gt;&lt;style face="normal" font="default" size="100%"&gt;585-96&lt;/style&gt;&lt;/pages&gt;&lt;volume&gt;&lt;style face="normal" font="default" size="100%"&gt;146&lt;/style&gt;&lt;/volume&gt;&lt;number&gt;&lt;style face="normal" font="default" size="100%"&gt;6&lt;/style&gt;&lt;/number&gt;&lt;keywords&gt;&lt;keyword&gt;&lt;style face="normal" font="default" size="100%"&gt;Autoantibodies/blood&lt;/style&gt;&lt;/keyword&gt;&lt;keyword&gt;&lt;style face="normal" font="default" size="100%"&gt;Blood Platelets/immunology/*pathology&lt;/style&gt;&lt;/keyword&gt;&lt;keyword&gt;&lt;style face="normal" font="default" size="100%"&gt;Chronic Disease&lt;/style&gt;&lt;/keyword&gt;&lt;keyword&gt;&lt;style face="normal" font="default" size="100%"&gt;Humans&lt;/style&gt;&lt;/keyword&gt;&lt;keyword&gt;&lt;style face="normal" font="default" size="100%"&gt;Platelet Count&lt;/style&gt;&lt;/keyword&gt;&lt;keyword&gt;&lt;style face="normal" font="default" size="100%"&gt;Thrombocytopenia/immunology/*pathology&lt;/style&gt;&lt;/keyword&gt;&lt;keyword&gt;&lt;style face="normal" font="default" size="100%"&gt;Thrombopoiesis/immunology&lt;/style&gt;&lt;/keyword&gt;&lt;keyword&gt;&lt;style face="normal" font="default" size="100%"&gt;Thrombopoietin/metabolism&lt;/style&gt;&lt;/keyword&gt;&lt;/keywords&gt;&lt;dates&gt;&lt;year&gt;&lt;style face="normal" font="default" size="100%"&gt;2009&lt;/style&gt;&lt;/year&gt;&lt;pub-dates&gt;&lt;date&gt;&lt;style face="normal" font="default" size="100%"&gt;Sep&lt;/style&gt;&lt;/date&gt;&lt;/pub-dates&gt;&lt;/dates&gt;&lt;isbn&gt;&lt;style face="normal" font="default" size="100%"&gt;1365-2141 (Electronic) 0007-1048 (Linking)&lt;/style&gt;&lt;/isbn&gt;&lt;accession-num&gt;&lt;style face="normal" font="default" size="100%"&gt;19466980&lt;/style&gt;&lt;/accession-num&gt;&lt;abstract&gt;&lt;style face="normal" font="default" size="100%"&gt;Chronic immune thrombocytopenia (ITP) is a haematological disorder in which patients predominantly develop skin and mucosal bleeding. Early studies suggested ITP was primarily due to immune-mediated peripheral platelet destruction. However, increasing evidence indicates that an additional component of this disorder is immune-mediated decreased platelet production that cannot keep pace with platelet destruction. Evidence for increased platelet destruction is thrombocytopenia following ITP plasma infusions in normal subjects, in vitro platelet phagocytosis, and decreased platelet survivals in ITP patients that respond to therapies that prevent in vivo platelet phagocytosis; e.g., intravenous immunoglobulin G, anti-D, corticosteroids, and splenectomy. The cause of platelet destruction in most ITP patients appears to be autoantibody-mediated. However, cytotoxic T lymphocyte-mediated platelet (and possibly megakaryocyte) lysis, may also be important. Studies supporting suppressed platelet production include: reduced platelet turnover in over 80% of ITP patients, morphological evidence of megakaryocyte damage, autoantibody-induced suppression of in vitro megakaryocytopoiesis, and increased platelet counts in most ITP patients following treatment with thrombopoietin receptor agonists. This review summarizes data that indicates that the pathogenesis of chronic ITP may be due to both immune-mediated platelet destruction and/or suppressed platelet production. The relative importance of these two mechanisms undoubtedly varies among patients.&lt;/style&gt;&lt;/abstract&gt;&lt;notes&gt;&lt;style face="normal" font="default" size="100%"&gt;Nugent, Diane McMillan, Robert Nichol, Janet L Slichter, Sherrill J eng Review England 2009/05/27 09:00 Br J Haematol. 2009 Sep;146(6):585-96. doi: 10.1111/j.1365-2141.2009.07717.x. Epub 2009 May 14.&lt;/style&gt;&lt;/notes&gt;&lt;urls&gt;&lt;related-urls&gt;&lt;url&gt;&lt;style face="normal" font="default" size="100%"&gt;https://www.ncbi.nlm.nih.gov/pubmed/19466980&lt;/style&gt;&lt;/url&gt;&lt;/related-urls&gt;&lt;/urls&gt;&lt;electronic-resource-num&gt;&lt;style face="normal" font="default" size="100%"&gt;10.1111/j.1365-2141.2009.07717.x&lt;/style&gt;&lt;/electronic-resource-num&gt;&lt;/record&gt;&lt;/Cite&gt;&lt;/EndNote&gt;</w:instrText>
      </w:r>
      <w:r w:rsidR="0050230B"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0050230B">
        <w:rPr>
          <w:rFonts w:ascii="Book Antiqua" w:eastAsiaTheme="minorEastAsia" w:hAnsi="Book Antiqua" w:hint="eastAsia"/>
          <w:sz w:val="24"/>
          <w:szCs w:val="24"/>
          <w:vertAlign w:val="superscript"/>
        </w:rPr>
        <w:t>1</w:t>
      </w:r>
      <w:r w:rsidR="0050230B" w:rsidRPr="0050230B">
        <w:rPr>
          <w:rFonts w:ascii="Book Antiqua" w:eastAsiaTheme="minorEastAsia" w:hAnsi="Book Antiqua" w:hint="eastAsia"/>
          <w:sz w:val="24"/>
          <w:szCs w:val="24"/>
          <w:vertAlign w:val="superscript"/>
        </w:rPr>
        <w:t>]</w:t>
      </w:r>
      <w:r w:rsidR="0050230B" w:rsidRPr="0050230B">
        <w:rPr>
          <w:rFonts w:ascii="Book Antiqua" w:eastAsia="Times New Roman" w:hAnsi="Book Antiqua" w:cs="Times New Roman"/>
          <w:sz w:val="24"/>
          <w:szCs w:val="24"/>
          <w:vertAlign w:val="superscript"/>
        </w:rPr>
        <w:fldChar w:fldCharType="end"/>
      </w:r>
      <w:r w:rsidR="008329A6" w:rsidRPr="006C3DC1">
        <w:rPr>
          <w:rFonts w:ascii="Book Antiqua" w:hAnsi="Book Antiqua"/>
          <w:sz w:val="24"/>
          <w:szCs w:val="24"/>
        </w:rPr>
        <w:t>.</w:t>
      </w:r>
      <w:r w:rsidR="00312885" w:rsidRPr="006C3DC1">
        <w:rPr>
          <w:rFonts w:ascii="Book Antiqua" w:hAnsi="Book Antiqua"/>
          <w:sz w:val="24"/>
          <w:szCs w:val="24"/>
        </w:rPr>
        <w:t xml:space="preserve"> </w:t>
      </w:r>
      <w:r w:rsidR="003C1D89" w:rsidRPr="006C3DC1">
        <w:rPr>
          <w:rFonts w:ascii="Book Antiqua" w:hAnsi="Book Antiqua"/>
          <w:sz w:val="24"/>
          <w:szCs w:val="24"/>
        </w:rPr>
        <w:t xml:space="preserve">In this case, the patient was </w:t>
      </w:r>
      <w:r w:rsidR="00895A9B" w:rsidRPr="006C3DC1">
        <w:rPr>
          <w:rFonts w:ascii="Book Antiqua" w:hAnsi="Book Antiqua"/>
          <w:sz w:val="24"/>
          <w:szCs w:val="24"/>
        </w:rPr>
        <w:t>consider</w:t>
      </w:r>
      <w:r w:rsidR="001A139A" w:rsidRPr="006C3DC1">
        <w:rPr>
          <w:rFonts w:ascii="Book Antiqua" w:hAnsi="Book Antiqua"/>
          <w:sz w:val="24"/>
          <w:szCs w:val="24"/>
        </w:rPr>
        <w:t>ed</w:t>
      </w:r>
      <w:r w:rsidR="00895A9B" w:rsidRPr="006C3DC1">
        <w:rPr>
          <w:rFonts w:ascii="Book Antiqua" w:hAnsi="Book Antiqua"/>
          <w:sz w:val="24"/>
          <w:szCs w:val="24"/>
        </w:rPr>
        <w:t xml:space="preserve"> nonresponse</w:t>
      </w:r>
      <w:r w:rsidR="003C1D89" w:rsidRPr="006C3DC1">
        <w:rPr>
          <w:rFonts w:ascii="Book Antiqua" w:hAnsi="Book Antiqua"/>
          <w:sz w:val="24"/>
          <w:szCs w:val="24"/>
        </w:rPr>
        <w:t xml:space="preserve"> to medication.</w:t>
      </w:r>
    </w:p>
    <w:p w:rsidR="00847F85" w:rsidRPr="006C3DC1" w:rsidRDefault="00141C1D" w:rsidP="0050230B">
      <w:pPr>
        <w:spacing w:line="360" w:lineRule="auto"/>
        <w:ind w:firstLineChars="100" w:firstLine="240"/>
        <w:jc w:val="both"/>
        <w:rPr>
          <w:rFonts w:ascii="Book Antiqua" w:eastAsia="Times New Roman" w:hAnsi="Book Antiqua" w:cs="Times New Roman"/>
          <w:sz w:val="24"/>
          <w:szCs w:val="24"/>
        </w:rPr>
      </w:pPr>
      <w:r w:rsidRPr="006C3DC1">
        <w:rPr>
          <w:rFonts w:ascii="Book Antiqua" w:hAnsi="Book Antiqua"/>
          <w:sz w:val="24"/>
          <w:szCs w:val="24"/>
        </w:rPr>
        <w:t>To the best of our knowledge, only 5 cases of ITP patients suffered with gastric malignant tumors have been reported in English in MEDLINE (Table 1)</w:t>
      </w:r>
      <w:r w:rsidR="0050230B" w:rsidRPr="0050230B">
        <w:rPr>
          <w:rFonts w:ascii="Book Antiqua" w:eastAsia="Times New Roman" w:hAnsi="Book Antiqua" w:cs="Times New Roman"/>
          <w:sz w:val="24"/>
          <w:szCs w:val="24"/>
          <w:vertAlign w:val="superscript"/>
        </w:rPr>
        <w:fldChar w:fldCharType="begin"/>
      </w:r>
      <w:r w:rsidR="0050230B" w:rsidRPr="0050230B">
        <w:rPr>
          <w:rFonts w:ascii="Book Antiqua" w:eastAsia="Times New Roman" w:hAnsi="Book Antiqua" w:cs="Times New Roman"/>
          <w:sz w:val="24"/>
          <w:szCs w:val="24"/>
          <w:vertAlign w:val="superscript"/>
        </w:rPr>
        <w:instrText xml:space="preserve"> ADDIN EN.CITE &lt;EndNote&gt;&lt;Cite  &gt;&lt;Author&gt;Nugent, D.; McMillan, R.; Nichol, J. L.; Slichter, S. J.&lt;/Author&gt;&lt;Year&gt;2009&lt;/Year&gt;&lt;RecNum&gt;230&lt;/RecNum&gt;&lt;Prefix&gt;&lt;/Prefix&gt;&lt;Suffix&gt;&lt;/Suffix&gt;&lt;Pages&gt;&lt;/Pages&gt;&lt;DisplayText&gt;(2)&lt;/DisplayText&gt;&lt;record&gt;&lt;database name="My EndNote Library.enl" path="/Users/Mien 1/Documents/My EndNote Library.enl"&gt;My EndNote Library.enl&lt;/database&gt;&lt;source-app name="EndNote" version="17.7"&gt;EndNote&lt;/source-app&gt;&lt;rec-number&gt;230&lt;/rec-number&gt;&lt;foreign-keys&gt;&lt;key app="EN" db-id="5fffp22drvwpzqestfmv2evy2p2esxeppp05"&gt;230&lt;/key&gt;&lt;/foreign-keys&gt;&lt;ref-type name="Journal Article"&gt;17&lt;/ref-type&gt;&lt;contributors&gt;&lt;authors&gt;&lt;author&gt;&lt;style face="normal" font="default" size="100%"&gt;Nugent, D.&lt;/style&gt;&lt;/author&gt;&lt;author&gt;&lt;style face="normal" font="default" size="100%"&gt;McMillan, R.&lt;/style&gt;&lt;/author&gt;&lt;author&gt;&lt;style face="normal" font="default" size="100%"&gt;Nichol, J. L.&lt;/style&gt;&lt;/author&gt;&lt;author&gt;&lt;style face="normal" font="default" size="100%"&gt;Slichter, S. J.&lt;/style&gt;&lt;/author&gt;&lt;/authors&gt;&lt;/contributors&gt;&lt;auth-address&gt;&lt;style face="normal" font="default" size="100%"&gt;Department of Hematology, Children's Hospital of Orange County, Orange, CA, USA.&lt;/style&gt;&lt;/auth-address&gt;&lt;titles&gt;&lt;title&gt;&lt;style face="normal" font="default" size="100%"&gt;Pathogenesis of chronic immune thrombocytopenia: increased platelet destruction and/or decreased platelet production&lt;/style&gt;&lt;/title&gt;&lt;secondary-title&gt;&lt;style face="normal" font="default" size="100%"&gt;Br J Haematol&lt;/style&gt;&lt;/secondary-title&gt;&lt;/titles&gt;&lt;periodical&gt;&lt;full-title&gt;&lt;style face="normal" font="default" size="100%"&gt;Br J Haematol&lt;/style&gt;&lt;/full-title&gt;&lt;/periodical&gt;&lt;pages&gt;&lt;style face="normal" font="default" size="100%"&gt;585-96&lt;/style&gt;&lt;/pages&gt;&lt;volume&gt;&lt;style face="normal" font="default" size="100%"&gt;146&lt;/style&gt;&lt;/volume&gt;&lt;number&gt;&lt;style face="normal" font="default" size="100%"&gt;6&lt;/style&gt;&lt;/number&gt;&lt;keywords&gt;&lt;keyword&gt;&lt;style face="normal" font="default" size="100%"&gt;Autoantibodies/blood&lt;/style&gt;&lt;/keyword&gt;&lt;keyword&gt;&lt;style face="normal" font="default" size="100%"&gt;Blood Platelets/immunology/*pathology&lt;/style&gt;&lt;/keyword&gt;&lt;keyword&gt;&lt;style face="normal" font="default" size="100%"&gt;Chronic Disease&lt;/style&gt;&lt;/keyword&gt;&lt;keyword&gt;&lt;style face="normal" font="default" size="100%"&gt;Humans&lt;/style&gt;&lt;/keyword&gt;&lt;keyword&gt;&lt;style face="normal" font="default" size="100%"&gt;Platelet Count&lt;/style&gt;&lt;/keyword&gt;&lt;keyword&gt;&lt;style face="normal" font="default" size="100%"&gt;Thrombocytopenia/immunology/*pathology&lt;/style&gt;&lt;/keyword&gt;&lt;keyword&gt;&lt;style face="normal" font="default" size="100%"&gt;Thrombopoiesis/immunology&lt;/style&gt;&lt;/keyword&gt;&lt;keyword&gt;&lt;style face="normal" font="default" size="100%"&gt;Thrombopoietin/metabolism&lt;/style&gt;&lt;/keyword&gt;&lt;/keywords&gt;&lt;dates&gt;&lt;year&gt;&lt;style face="normal" font="default" size="100%"&gt;2009&lt;/style&gt;&lt;/year&gt;&lt;pub-dates&gt;&lt;date&gt;&lt;style face="normal" font="default" size="100%"&gt;Sep&lt;/style&gt;&lt;/date&gt;&lt;/pub-dates&gt;&lt;/dates&gt;&lt;isbn&gt;&lt;style face="normal" font="default" size="100%"&gt;1365-2141 (Electronic) 0007-1048 (Linking)&lt;/style&gt;&lt;/isbn&gt;&lt;accession-num&gt;&lt;style face="normal" font="default" size="100%"&gt;19466980&lt;/style&gt;&lt;/accession-num&gt;&lt;abstract&gt;&lt;style face="normal" font="default" size="100%"&gt;Chronic immune thrombocytopenia (ITP) is a haematological disorder in which patients predominantly develop skin and mucosal bleeding. Early studies suggested ITP was primarily due to immune-mediated peripheral platelet destruction. However, increasing evidence indicates that an additional component of this disorder is immune-mediated decreased platelet production that cannot keep pace with platelet destruction. Evidence for increased platelet destruction is thrombocytopenia following ITP plasma infusions in normal subjects, in vitro platelet phagocytosis, and decreased platelet survivals in ITP patients that respond to therapies that prevent in vivo platelet phagocytosis; e.g., intravenous immunoglobulin G, anti-D, corticosteroids, and splenectomy. The cause of platelet destruction in most ITP patients appears to be autoantibody-mediated. However, cytotoxic T lymphocyte-mediated platelet (and possibly megakaryocyte) lysis, may also be important. Studies supporting suppressed platelet production include: reduced platelet turnover in over 80% of ITP patients, morphological evidence of megakaryocyte damage, autoantibody-induced suppression of in vitro megakaryocytopoiesis, and increased platelet counts in most ITP patients following treatment with thrombopoietin receptor agonists. This review summarizes data that indicates that the pathogenesis of chronic ITP may be due to both immune-mediated platelet destruction and/or suppressed platelet production. The relative importance of these two mechanisms undoubtedly varies among patients.&lt;/style&gt;&lt;/abstract&gt;&lt;notes&gt;&lt;style face="normal" font="default" size="100%"&gt;Nugent, Diane McMillan, Robert Nichol, Janet L Slichter, Sherrill J eng Review England 2009/05/27 09:00 Br J Haematol. 2009 Sep;146(6):585-96. doi: 10.1111/j.1365-2141.2009.07717.x. Epub 2009 May 14.&lt;/style&gt;&lt;/notes&gt;&lt;urls&gt;&lt;related-urls&gt;&lt;url&gt;&lt;style face="normal" font="default" size="100%"&gt;https://www.ncbi.nlm.nih.gov/pubmed/19466980&lt;/style&gt;&lt;/url&gt;&lt;/related-urls&gt;&lt;/urls&gt;&lt;electronic-resource-num&gt;&lt;style face="normal" font="default" size="100%"&gt;10.1111/j.1365-2141.2009.07717.x&lt;/style&gt;&lt;/electronic-resource-num&gt;&lt;/record&gt;&lt;/Cite&gt;&lt;/EndNote&gt;</w:instrText>
      </w:r>
      <w:r w:rsidR="0050230B"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0050230B">
        <w:rPr>
          <w:rFonts w:ascii="Book Antiqua" w:eastAsiaTheme="minorEastAsia" w:hAnsi="Book Antiqua" w:hint="eastAsia"/>
          <w:sz w:val="24"/>
          <w:szCs w:val="24"/>
          <w:vertAlign w:val="superscript"/>
        </w:rPr>
        <w:t>6-10</w:t>
      </w:r>
      <w:r w:rsidR="0050230B" w:rsidRPr="0050230B">
        <w:rPr>
          <w:rFonts w:ascii="Book Antiqua" w:eastAsiaTheme="minorEastAsia" w:hAnsi="Book Antiqua" w:hint="eastAsia"/>
          <w:sz w:val="24"/>
          <w:szCs w:val="24"/>
          <w:vertAlign w:val="superscript"/>
        </w:rPr>
        <w:t>]</w:t>
      </w:r>
      <w:r w:rsidR="0050230B" w:rsidRPr="0050230B">
        <w:rPr>
          <w:rFonts w:ascii="Book Antiqua" w:eastAsia="Times New Roman" w:hAnsi="Book Antiqua" w:cs="Times New Roman"/>
          <w:sz w:val="24"/>
          <w:szCs w:val="24"/>
          <w:vertAlign w:val="superscript"/>
        </w:rPr>
        <w:fldChar w:fldCharType="end"/>
      </w:r>
      <w:r w:rsidRPr="006C3DC1">
        <w:rPr>
          <w:rFonts w:ascii="Book Antiqua" w:hAnsi="Book Antiqua"/>
          <w:sz w:val="24"/>
          <w:szCs w:val="24"/>
        </w:rPr>
        <w:t>. Patients in these cases suffered mild ITP with PLT level larger than 2</w:t>
      </w:r>
      <w:r w:rsidR="00FA2F68" w:rsidRPr="006C3DC1">
        <w:rPr>
          <w:rFonts w:ascii="Book Antiqua" w:hAnsi="Book Antiqua"/>
          <w:sz w:val="24"/>
          <w:szCs w:val="24"/>
        </w:rPr>
        <w:t>0</w:t>
      </w:r>
      <w:r w:rsidRPr="006C3DC1">
        <w:rPr>
          <w:rFonts w:ascii="Book Antiqua" w:hAnsi="Book Antiqua"/>
          <w:sz w:val="24"/>
          <w:szCs w:val="24"/>
        </w:rPr>
        <w:t>000/</w:t>
      </w:r>
      <w:proofErr w:type="spellStart"/>
      <w:r w:rsidRPr="006C3DC1">
        <w:rPr>
          <w:rFonts w:ascii="Book Antiqua" w:hAnsi="Book Antiqua"/>
          <w:sz w:val="24"/>
          <w:szCs w:val="24"/>
        </w:rPr>
        <w:t>μL</w:t>
      </w:r>
      <w:proofErr w:type="spellEnd"/>
      <w:r w:rsidRPr="006C3DC1">
        <w:rPr>
          <w:rFonts w:ascii="Book Antiqua" w:hAnsi="Book Antiqua"/>
          <w:sz w:val="24"/>
          <w:szCs w:val="24"/>
        </w:rPr>
        <w:t xml:space="preserve">. The commonest pathology </w:t>
      </w:r>
      <w:r w:rsidR="0050230B">
        <w:rPr>
          <w:rFonts w:ascii="Book Antiqua" w:eastAsiaTheme="minorEastAsia" w:hAnsi="Book Antiqua" w:hint="eastAsia"/>
          <w:sz w:val="24"/>
          <w:szCs w:val="24"/>
        </w:rPr>
        <w:t>is</w:t>
      </w:r>
      <w:r w:rsidRPr="006C3DC1">
        <w:rPr>
          <w:rFonts w:ascii="Book Antiqua" w:hAnsi="Book Antiqua"/>
          <w:sz w:val="24"/>
          <w:szCs w:val="24"/>
        </w:rPr>
        <w:t xml:space="preserve"> gastric cancer and gastric mucosa associated lymphoid tissue (MALT) lymphoma. </w:t>
      </w:r>
      <w:r w:rsidRPr="006C3DC1">
        <w:rPr>
          <w:rFonts w:ascii="Book Antiqua" w:hAnsi="Book Antiqua"/>
          <w:i/>
          <w:iCs/>
          <w:sz w:val="24"/>
          <w:szCs w:val="24"/>
        </w:rPr>
        <w:t>H</w:t>
      </w:r>
      <w:r w:rsidR="0050230B">
        <w:rPr>
          <w:rFonts w:ascii="Book Antiqua" w:eastAsiaTheme="minorEastAsia" w:hAnsi="Book Antiqua" w:hint="eastAsia"/>
          <w:i/>
          <w:iCs/>
          <w:sz w:val="24"/>
          <w:szCs w:val="24"/>
        </w:rPr>
        <w:t>.</w:t>
      </w:r>
      <w:r w:rsidRPr="006C3DC1">
        <w:rPr>
          <w:rFonts w:ascii="Book Antiqua" w:hAnsi="Book Antiqua"/>
          <w:i/>
          <w:iCs/>
          <w:sz w:val="24"/>
          <w:szCs w:val="24"/>
        </w:rPr>
        <w:t xml:space="preserve"> pylori </w:t>
      </w:r>
      <w:r w:rsidRPr="006C3DC1">
        <w:rPr>
          <w:rFonts w:ascii="Book Antiqua" w:hAnsi="Book Antiqua"/>
          <w:sz w:val="24"/>
          <w:szCs w:val="24"/>
        </w:rPr>
        <w:t xml:space="preserve">may play a key role in the pathogenesis of both gastric malignant tumors and ITP. Noda </w:t>
      </w:r>
      <w:r w:rsidRPr="0050230B">
        <w:rPr>
          <w:rFonts w:ascii="Book Antiqua" w:hAnsi="Book Antiqua"/>
          <w:i/>
          <w:sz w:val="24"/>
          <w:szCs w:val="24"/>
        </w:rPr>
        <w:t>et al</w:t>
      </w:r>
      <w:r w:rsidR="0050230B" w:rsidRPr="0050230B">
        <w:rPr>
          <w:rFonts w:ascii="Book Antiqua" w:eastAsia="Times New Roman" w:hAnsi="Book Antiqua" w:cs="Times New Roman"/>
          <w:sz w:val="24"/>
          <w:szCs w:val="24"/>
          <w:vertAlign w:val="superscript"/>
        </w:rPr>
        <w:fldChar w:fldCharType="begin"/>
      </w:r>
      <w:r w:rsidR="0050230B" w:rsidRPr="0050230B">
        <w:rPr>
          <w:rFonts w:ascii="Book Antiqua" w:eastAsia="Times New Roman" w:hAnsi="Book Antiqua" w:cs="Times New Roman"/>
          <w:sz w:val="24"/>
          <w:szCs w:val="24"/>
          <w:vertAlign w:val="superscript"/>
        </w:rPr>
        <w:instrText xml:space="preserve"> ADDIN EN.CITE &lt;EndNote&gt;&lt;Cite  &gt;&lt;Author&gt;Nugent, D.; McMillan, R.; Nichol, J. L.; Slichter, S. J.&lt;/Author&gt;&lt;Year&gt;2009&lt;/Year&gt;&lt;RecNum&gt;230&lt;/RecNum&gt;&lt;Prefix&gt;&lt;/Prefix&gt;&lt;Suffix&gt;&lt;/Suffix&gt;&lt;Pages&gt;&lt;/Pages&gt;&lt;DisplayText&gt;(2)&lt;/DisplayText&gt;&lt;record&gt;&lt;database name="My EndNote Library.enl" path="/Users/Mien 1/Documents/My EndNote Library.enl"&gt;My EndNote Library.enl&lt;/database&gt;&lt;source-app name="EndNote" version="17.7"&gt;EndNote&lt;/source-app&gt;&lt;rec-number&gt;230&lt;/rec-number&gt;&lt;foreign-keys&gt;&lt;key app="EN" db-id="5fffp22drvwpzqestfmv2evy2p2esxeppp05"&gt;230&lt;/key&gt;&lt;/foreign-keys&gt;&lt;ref-type name="Journal Article"&gt;17&lt;/ref-type&gt;&lt;contributors&gt;&lt;authors&gt;&lt;author&gt;&lt;style face="normal" font="default" size="100%"&gt;Nugent, D.&lt;/style&gt;&lt;/author&gt;&lt;author&gt;&lt;style face="normal" font="default" size="100%"&gt;McMillan, R.&lt;/style&gt;&lt;/author&gt;&lt;author&gt;&lt;style face="normal" font="default" size="100%"&gt;Nichol, J. L.&lt;/style&gt;&lt;/author&gt;&lt;author&gt;&lt;style face="normal" font="default" size="100%"&gt;Slichter, S. J.&lt;/style&gt;&lt;/author&gt;&lt;/authors&gt;&lt;/contributors&gt;&lt;auth-address&gt;&lt;style face="normal" font="default" size="100%"&gt;Department of Hematology, Children's Hospital of Orange County, Orange, CA, USA.&lt;/style&gt;&lt;/auth-address&gt;&lt;titles&gt;&lt;title&gt;&lt;style face="normal" font="default" size="100%"&gt;Pathogenesis of chronic immune thrombocytopenia: increased platelet destruction and/or decreased platelet production&lt;/style&gt;&lt;/title&gt;&lt;secondary-title&gt;&lt;style face="normal" font="default" size="100%"&gt;Br J Haematol&lt;/style&gt;&lt;/secondary-title&gt;&lt;/titles&gt;&lt;periodical&gt;&lt;full-title&gt;&lt;style face="normal" font="default" size="100%"&gt;Br J Haematol&lt;/style&gt;&lt;/full-title&gt;&lt;/periodical&gt;&lt;pages&gt;&lt;style face="normal" font="default" size="100%"&gt;585-96&lt;/style&gt;&lt;/pages&gt;&lt;volume&gt;&lt;style face="normal" font="default" size="100%"&gt;146&lt;/style&gt;&lt;/volume&gt;&lt;number&gt;&lt;style face="normal" font="default" size="100%"&gt;6&lt;/style&gt;&lt;/number&gt;&lt;keywords&gt;&lt;keyword&gt;&lt;style face="normal" font="default" size="100%"&gt;Autoantibodies/blood&lt;/style&gt;&lt;/keyword&gt;&lt;keyword&gt;&lt;style face="normal" font="default" size="100%"&gt;Blood Platelets/immunology/*pathology&lt;/style&gt;&lt;/keyword&gt;&lt;keyword&gt;&lt;style face="normal" font="default" size="100%"&gt;Chronic Disease&lt;/style&gt;&lt;/keyword&gt;&lt;keyword&gt;&lt;style face="normal" font="default" size="100%"&gt;Humans&lt;/style&gt;&lt;/keyword&gt;&lt;keyword&gt;&lt;style face="normal" font="default" size="100%"&gt;Platelet Count&lt;/style&gt;&lt;/keyword&gt;&lt;keyword&gt;&lt;style face="normal" font="default" size="100%"&gt;Thrombocytopenia/immunology/*pathology&lt;/style&gt;&lt;/keyword&gt;&lt;keyword&gt;&lt;style face="normal" font="default" size="100%"&gt;Thrombopoiesis/immunology&lt;/style&gt;&lt;/keyword&gt;&lt;keyword&gt;&lt;style face="normal" font="default" size="100%"&gt;Thrombopoietin/metabolism&lt;/style&gt;&lt;/keyword&gt;&lt;/keywords&gt;&lt;dates&gt;&lt;year&gt;&lt;style face="normal" font="default" size="100%"&gt;2009&lt;/style&gt;&lt;/year&gt;&lt;pub-dates&gt;&lt;date&gt;&lt;style face="normal" font="default" size="100%"&gt;Sep&lt;/style&gt;&lt;/date&gt;&lt;/pub-dates&gt;&lt;/dates&gt;&lt;isbn&gt;&lt;style face="normal" font="default" size="100%"&gt;1365-2141 (Electronic) 0007-1048 (Linking)&lt;/style&gt;&lt;/isbn&gt;&lt;accession-num&gt;&lt;style face="normal" font="default" size="100%"&gt;19466980&lt;/style&gt;&lt;/accession-num&gt;&lt;abstract&gt;&lt;style face="normal" font="default" size="100%"&gt;Chronic immune thrombocytopenia (ITP) is a haematological disorder in which patients predominantly develop skin and mucosal bleeding. Early studies suggested ITP was primarily due to immune-mediated peripheral platelet destruction. However, increasing evidence indicates that an additional component of this disorder is immune-mediated decreased platelet production that cannot keep pace with platelet destruction. Evidence for increased platelet destruction is thrombocytopenia following ITP plasma infusions in normal subjects, in vitro platelet phagocytosis, and decreased platelet survivals in ITP patients that respond to therapies that prevent in vivo platelet phagocytosis; e.g., intravenous immunoglobulin G, anti-D, corticosteroids, and splenectomy. The cause of platelet destruction in most ITP patients appears to be autoantibody-mediated. However, cytotoxic T lymphocyte-mediated platelet (and possibly megakaryocyte) lysis, may also be important. Studies supporting suppressed platelet production include: reduced platelet turnover in over 80% of ITP patients, morphological evidence of megakaryocyte damage, autoantibody-induced suppression of in vitro megakaryocytopoiesis, and increased platelet counts in most ITP patients following treatment with thrombopoietin receptor agonists. This review summarizes data that indicates that the pathogenesis of chronic ITP may be due to both immune-mediated platelet destruction and/or suppressed platelet production. The relative importance of these two mechanisms undoubtedly varies among patients.&lt;/style&gt;&lt;/abstract&gt;&lt;notes&gt;&lt;style face="normal" font="default" size="100%"&gt;Nugent, Diane McMillan, Robert Nichol, Janet L Slichter, Sherrill J eng Review England 2009/05/27 09:00 Br J Haematol. 2009 Sep;146(6):585-96. doi: 10.1111/j.1365-2141.2009.07717.x. Epub 2009 May 14.&lt;/style&gt;&lt;/notes&gt;&lt;urls&gt;&lt;related-urls&gt;&lt;url&gt;&lt;style face="normal" font="default" size="100%"&gt;https://www.ncbi.nlm.nih.gov/pubmed/19466980&lt;/style&gt;&lt;/url&gt;&lt;/related-urls&gt;&lt;/urls&gt;&lt;electronic-resource-num&gt;&lt;style face="normal" font="default" size="100%"&gt;10.1111/j.1365-2141.2009.07717.x&lt;/style&gt;&lt;/electronic-resource-num&gt;&lt;/record&gt;&lt;/Cite&gt;&lt;/EndNote&gt;</w:instrText>
      </w:r>
      <w:r w:rsidR="0050230B"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0050230B">
        <w:rPr>
          <w:rFonts w:ascii="Book Antiqua" w:eastAsiaTheme="minorEastAsia" w:hAnsi="Book Antiqua" w:hint="eastAsia"/>
          <w:sz w:val="24"/>
          <w:szCs w:val="24"/>
          <w:vertAlign w:val="superscript"/>
        </w:rPr>
        <w:t>7</w:t>
      </w:r>
      <w:r w:rsidR="0050230B" w:rsidRPr="0050230B">
        <w:rPr>
          <w:rFonts w:ascii="Book Antiqua" w:eastAsiaTheme="minorEastAsia" w:hAnsi="Book Antiqua" w:hint="eastAsia"/>
          <w:sz w:val="24"/>
          <w:szCs w:val="24"/>
          <w:vertAlign w:val="superscript"/>
        </w:rPr>
        <w:t>]</w:t>
      </w:r>
      <w:r w:rsidR="0050230B" w:rsidRPr="0050230B">
        <w:rPr>
          <w:rFonts w:ascii="Book Antiqua" w:eastAsia="Times New Roman" w:hAnsi="Book Antiqua" w:cs="Times New Roman"/>
          <w:sz w:val="24"/>
          <w:szCs w:val="24"/>
          <w:vertAlign w:val="superscript"/>
        </w:rPr>
        <w:fldChar w:fldCharType="end"/>
      </w:r>
      <w:r w:rsidRPr="006C3DC1">
        <w:rPr>
          <w:rFonts w:ascii="Book Antiqua" w:hAnsi="Book Antiqua"/>
          <w:sz w:val="24"/>
          <w:szCs w:val="24"/>
        </w:rPr>
        <w:t xml:space="preserve"> </w:t>
      </w:r>
      <w:r w:rsidRPr="006C3DC1">
        <w:rPr>
          <w:rFonts w:ascii="Book Antiqua" w:hAnsi="Book Antiqua"/>
          <w:sz w:val="24"/>
          <w:szCs w:val="24"/>
        </w:rPr>
        <w:lastRenderedPageBreak/>
        <w:t xml:space="preserve">reported a case of regression of ITP after resection of gastric MALT lymphoma and eradicating treatments of </w:t>
      </w:r>
      <w:r w:rsidR="0050230B" w:rsidRPr="0050230B">
        <w:rPr>
          <w:rFonts w:ascii="Book Antiqua" w:hAnsi="Book Antiqua"/>
          <w:i/>
          <w:sz w:val="24"/>
          <w:szCs w:val="24"/>
        </w:rPr>
        <w:t>H</w:t>
      </w:r>
      <w:r w:rsidR="0050230B" w:rsidRPr="0050230B">
        <w:rPr>
          <w:rFonts w:ascii="Book Antiqua" w:eastAsiaTheme="minorEastAsia" w:hAnsi="Book Antiqua" w:hint="eastAsia"/>
          <w:i/>
          <w:sz w:val="24"/>
          <w:szCs w:val="24"/>
        </w:rPr>
        <w:t>.</w:t>
      </w:r>
      <w:r w:rsidR="0050230B">
        <w:rPr>
          <w:rFonts w:ascii="Book Antiqua" w:eastAsiaTheme="minorEastAsia" w:hAnsi="Book Antiqua" w:hint="eastAsia"/>
          <w:sz w:val="24"/>
          <w:szCs w:val="24"/>
        </w:rPr>
        <w:t xml:space="preserve"> </w:t>
      </w:r>
      <w:r w:rsidR="0050230B" w:rsidRPr="006C3DC1">
        <w:rPr>
          <w:rFonts w:ascii="Book Antiqua" w:hAnsi="Book Antiqua"/>
          <w:i/>
          <w:iCs/>
          <w:sz w:val="24"/>
          <w:szCs w:val="24"/>
        </w:rPr>
        <w:t>pylori</w:t>
      </w:r>
      <w:r w:rsidRPr="006C3DC1">
        <w:rPr>
          <w:rFonts w:ascii="Book Antiqua" w:hAnsi="Book Antiqua"/>
          <w:sz w:val="24"/>
          <w:szCs w:val="24"/>
        </w:rPr>
        <w:t>. In terms of treatment, endoscopic resection could be performed only when the tumor was restricted to the mucosa during eradication therapy. Subtotal/total gastrectomy combined with splenectomy was the most appropriate treatment when tumors invade the submucosa.</w:t>
      </w:r>
      <w:r w:rsidR="00312885" w:rsidRPr="006C3DC1">
        <w:rPr>
          <w:rFonts w:ascii="Book Antiqua" w:hAnsi="Book Antiqua"/>
          <w:sz w:val="24"/>
          <w:szCs w:val="24"/>
        </w:rPr>
        <w:t xml:space="preserve"> And this is the first case of gastric cancer with severe and medically refractory ITP. The extremely low PLT level led to a high risk of bleeding, especially during perioperative period.</w:t>
      </w:r>
    </w:p>
    <w:p w:rsidR="00847F85" w:rsidRPr="006C3DC1" w:rsidRDefault="00141C1D" w:rsidP="0050230B">
      <w:pPr>
        <w:spacing w:line="360" w:lineRule="auto"/>
        <w:ind w:firstLineChars="100" w:firstLine="240"/>
        <w:jc w:val="both"/>
        <w:rPr>
          <w:rFonts w:ascii="Book Antiqua" w:eastAsia="Times New Roman" w:hAnsi="Book Antiqua" w:cs="Times New Roman"/>
          <w:sz w:val="24"/>
          <w:szCs w:val="24"/>
        </w:rPr>
      </w:pPr>
      <w:r w:rsidRPr="006C3DC1">
        <w:rPr>
          <w:rFonts w:ascii="Book Antiqua" w:hAnsi="Book Antiqua"/>
          <w:sz w:val="24"/>
          <w:szCs w:val="24"/>
        </w:rPr>
        <w:t>Corticosteroids with or without intravenous immunoglobulin (</w:t>
      </w:r>
      <w:proofErr w:type="spellStart"/>
      <w:r w:rsidRPr="006C3DC1">
        <w:rPr>
          <w:rFonts w:ascii="Book Antiqua" w:hAnsi="Book Antiqua"/>
          <w:sz w:val="24"/>
          <w:szCs w:val="24"/>
        </w:rPr>
        <w:t>IVIg</w:t>
      </w:r>
      <w:proofErr w:type="spellEnd"/>
      <w:r w:rsidRPr="006C3DC1">
        <w:rPr>
          <w:rFonts w:ascii="Book Antiqua" w:hAnsi="Book Antiqua"/>
          <w:sz w:val="24"/>
          <w:szCs w:val="24"/>
        </w:rPr>
        <w:t>) are the standard first-line treatment for ITP patients with PLT counts</w:t>
      </w:r>
      <w:r w:rsidR="0050230B">
        <w:rPr>
          <w:rFonts w:ascii="Book Antiqua" w:eastAsiaTheme="minorEastAsia" w:hAnsi="Book Antiqua" w:hint="eastAsia"/>
          <w:sz w:val="24"/>
          <w:szCs w:val="24"/>
        </w:rPr>
        <w:t xml:space="preserve"> </w:t>
      </w:r>
      <w:r w:rsidRPr="006C3DC1">
        <w:rPr>
          <w:rFonts w:ascii="Book Antiqua" w:hAnsi="Book Antiqua"/>
          <w:sz w:val="24"/>
          <w:szCs w:val="24"/>
        </w:rPr>
        <w:t>&lt; 30000/</w:t>
      </w:r>
      <w:proofErr w:type="spellStart"/>
      <w:r w:rsidRPr="006C3DC1">
        <w:rPr>
          <w:rFonts w:ascii="Book Antiqua" w:hAnsi="Book Antiqua"/>
          <w:sz w:val="24"/>
          <w:szCs w:val="24"/>
        </w:rPr>
        <w:t>μL</w:t>
      </w:r>
      <w:proofErr w:type="spellEnd"/>
      <w:r w:rsidR="0050230B" w:rsidRPr="0050230B">
        <w:rPr>
          <w:rFonts w:ascii="Book Antiqua" w:eastAsia="Times New Roman" w:hAnsi="Book Antiqua" w:cs="Times New Roman"/>
          <w:sz w:val="24"/>
          <w:szCs w:val="24"/>
          <w:vertAlign w:val="superscript"/>
        </w:rPr>
        <w:fldChar w:fldCharType="begin"/>
      </w:r>
      <w:r w:rsidR="0050230B" w:rsidRPr="0050230B">
        <w:rPr>
          <w:rFonts w:ascii="Book Antiqua" w:eastAsia="Times New Roman" w:hAnsi="Book Antiqua" w:cs="Times New Roman"/>
          <w:sz w:val="24"/>
          <w:szCs w:val="24"/>
          <w:vertAlign w:val="superscript"/>
        </w:rPr>
        <w:instrText xml:space="preserve"> ADDIN EN.CITE &lt;EndNote&gt;&lt;Cite  &gt;&lt;Author&gt;Nugent, D.; McMillan, R.; Nichol, J. L.; Slichter, S. J.&lt;/Author&gt;&lt;Year&gt;2009&lt;/Year&gt;&lt;RecNum&gt;230&lt;/RecNum&gt;&lt;Prefix&gt;&lt;/Prefix&gt;&lt;Suffix&gt;&lt;/Suffix&gt;&lt;Pages&gt;&lt;/Pages&gt;&lt;DisplayText&gt;(2)&lt;/DisplayText&gt;&lt;record&gt;&lt;database name="My EndNote Library.enl" path="/Users/Mien 1/Documents/My EndNote Library.enl"&gt;My EndNote Library.enl&lt;/database&gt;&lt;source-app name="EndNote" version="17.7"&gt;EndNote&lt;/source-app&gt;&lt;rec-number&gt;230&lt;/rec-number&gt;&lt;foreign-keys&gt;&lt;key app="EN" db-id="5fffp22drvwpzqestfmv2evy2p2esxeppp05"&gt;230&lt;/key&gt;&lt;/foreign-keys&gt;&lt;ref-type name="Journal Article"&gt;17&lt;/ref-type&gt;&lt;contributors&gt;&lt;authors&gt;&lt;author&gt;&lt;style face="normal" font="default" size="100%"&gt;Nugent, D.&lt;/style&gt;&lt;/author&gt;&lt;author&gt;&lt;style face="normal" font="default" size="100%"&gt;McMillan, R.&lt;/style&gt;&lt;/author&gt;&lt;author&gt;&lt;style face="normal" font="default" size="100%"&gt;Nichol, J. L.&lt;/style&gt;&lt;/author&gt;&lt;author&gt;&lt;style face="normal" font="default" size="100%"&gt;Slichter, S. J.&lt;/style&gt;&lt;/author&gt;&lt;/authors&gt;&lt;/contributors&gt;&lt;auth-address&gt;&lt;style face="normal" font="default" size="100%"&gt;Department of Hematology, Children's Hospital of Orange County, Orange, CA, USA.&lt;/style&gt;&lt;/auth-address&gt;&lt;titles&gt;&lt;title&gt;&lt;style face="normal" font="default" size="100%"&gt;Pathogenesis of chronic immune thrombocytopenia: increased platelet destruction and/or decreased platelet production&lt;/style&gt;&lt;/title&gt;&lt;secondary-title&gt;&lt;style face="normal" font="default" size="100%"&gt;Br J Haematol&lt;/style&gt;&lt;/secondary-title&gt;&lt;/titles&gt;&lt;periodical&gt;&lt;full-title&gt;&lt;style face="normal" font="default" size="100%"&gt;Br J Haematol&lt;/style&gt;&lt;/full-title&gt;&lt;/periodical&gt;&lt;pages&gt;&lt;style face="normal" font="default" size="100%"&gt;585-96&lt;/style&gt;&lt;/pages&gt;&lt;volume&gt;&lt;style face="normal" font="default" size="100%"&gt;146&lt;/style&gt;&lt;/volume&gt;&lt;number&gt;&lt;style face="normal" font="default" size="100%"&gt;6&lt;/style&gt;&lt;/number&gt;&lt;keywords&gt;&lt;keyword&gt;&lt;style face="normal" font="default" size="100%"&gt;Autoantibodies/blood&lt;/style&gt;&lt;/keyword&gt;&lt;keyword&gt;&lt;style face="normal" font="default" size="100%"&gt;Blood Platelets/immunology/*pathology&lt;/style&gt;&lt;/keyword&gt;&lt;keyword&gt;&lt;style face="normal" font="default" size="100%"&gt;Chronic Disease&lt;/style&gt;&lt;/keyword&gt;&lt;keyword&gt;&lt;style face="normal" font="default" size="100%"&gt;Humans&lt;/style&gt;&lt;/keyword&gt;&lt;keyword&gt;&lt;style face="normal" font="default" size="100%"&gt;Platelet Count&lt;/style&gt;&lt;/keyword&gt;&lt;keyword&gt;&lt;style face="normal" font="default" size="100%"&gt;Thrombocytopenia/immunology/*pathology&lt;/style&gt;&lt;/keyword&gt;&lt;keyword&gt;&lt;style face="normal" font="default" size="100%"&gt;Thrombopoiesis/immunology&lt;/style&gt;&lt;/keyword&gt;&lt;keyword&gt;&lt;style face="normal" font="default" size="100%"&gt;Thrombopoietin/metabolism&lt;/style&gt;&lt;/keyword&gt;&lt;/keywords&gt;&lt;dates&gt;&lt;year&gt;&lt;style face="normal" font="default" size="100%"&gt;2009&lt;/style&gt;&lt;/year&gt;&lt;pub-dates&gt;&lt;date&gt;&lt;style face="normal" font="default" size="100%"&gt;Sep&lt;/style&gt;&lt;/date&gt;&lt;/pub-dates&gt;&lt;/dates&gt;&lt;isbn&gt;&lt;style face="normal" font="default" size="100%"&gt;1365-2141 (Electronic) 0007-1048 (Linking)&lt;/style&gt;&lt;/isbn&gt;&lt;accession-num&gt;&lt;style face="normal" font="default" size="100%"&gt;19466980&lt;/style&gt;&lt;/accession-num&gt;&lt;abstract&gt;&lt;style face="normal" font="default" size="100%"&gt;Chronic immune thrombocytopenia (ITP) is a haematological disorder in which patients predominantly develop skin and mucosal bleeding. Early studies suggested ITP was primarily due to immune-mediated peripheral platelet destruction. However, increasing evidence indicates that an additional component of this disorder is immune-mediated decreased platelet production that cannot keep pace with platelet destruction. Evidence for increased platelet destruction is thrombocytopenia following ITP plasma infusions in normal subjects, in vitro platelet phagocytosis, and decreased platelet survivals in ITP patients that respond to therapies that prevent in vivo platelet phagocytosis; e.g., intravenous immunoglobulin G, anti-D, corticosteroids, and splenectomy. The cause of platelet destruction in most ITP patients appears to be autoantibody-mediated. However, cytotoxic T lymphocyte-mediated platelet (and possibly megakaryocyte) lysis, may also be important. Studies supporting suppressed platelet production include: reduced platelet turnover in over 80% of ITP patients, morphological evidence of megakaryocyte damage, autoantibody-induced suppression of in vitro megakaryocytopoiesis, and increased platelet counts in most ITP patients following treatment with thrombopoietin receptor agonists. This review summarizes data that indicates that the pathogenesis of chronic ITP may be due to both immune-mediated platelet destruction and/or suppressed platelet production. The relative importance of these two mechanisms undoubtedly varies among patients.&lt;/style&gt;&lt;/abstract&gt;&lt;notes&gt;&lt;style face="normal" font="default" size="100%"&gt;Nugent, Diane McMillan, Robert Nichol, Janet L Slichter, Sherrill J eng Review England 2009/05/27 09:00 Br J Haematol. 2009 Sep;146(6):585-96. doi: 10.1111/j.1365-2141.2009.07717.x. Epub 2009 May 14.&lt;/style&gt;&lt;/notes&gt;&lt;urls&gt;&lt;related-urls&gt;&lt;url&gt;&lt;style face="normal" font="default" size="100%"&gt;https://www.ncbi.nlm.nih.gov/pubmed/19466980&lt;/style&gt;&lt;/url&gt;&lt;/related-urls&gt;&lt;/urls&gt;&lt;electronic-resource-num&gt;&lt;style face="normal" font="default" size="100%"&gt;10.1111/j.1365-2141.2009.07717.x&lt;/style&gt;&lt;/electronic-resource-num&gt;&lt;/record&gt;&lt;/Cite&gt;&lt;/EndNote&gt;</w:instrText>
      </w:r>
      <w:r w:rsidR="0050230B"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0050230B">
        <w:rPr>
          <w:rFonts w:ascii="Book Antiqua" w:eastAsiaTheme="minorEastAsia" w:hAnsi="Book Antiqua" w:hint="eastAsia"/>
          <w:sz w:val="24"/>
          <w:szCs w:val="24"/>
          <w:vertAlign w:val="superscript"/>
        </w:rPr>
        <w:t>11</w:t>
      </w:r>
      <w:r w:rsidR="0050230B" w:rsidRPr="0050230B">
        <w:rPr>
          <w:rFonts w:ascii="Book Antiqua" w:eastAsiaTheme="minorEastAsia" w:hAnsi="Book Antiqua" w:hint="eastAsia"/>
          <w:sz w:val="24"/>
          <w:szCs w:val="24"/>
          <w:vertAlign w:val="superscript"/>
        </w:rPr>
        <w:t>]</w:t>
      </w:r>
      <w:r w:rsidR="0050230B" w:rsidRPr="0050230B">
        <w:rPr>
          <w:rFonts w:ascii="Book Antiqua" w:eastAsia="Times New Roman" w:hAnsi="Book Antiqua" w:cs="Times New Roman"/>
          <w:sz w:val="24"/>
          <w:szCs w:val="24"/>
          <w:vertAlign w:val="superscript"/>
        </w:rPr>
        <w:fldChar w:fldCharType="end"/>
      </w:r>
      <w:r w:rsidRPr="006C3DC1">
        <w:rPr>
          <w:rFonts w:ascii="Book Antiqua" w:hAnsi="Book Antiqua"/>
          <w:sz w:val="24"/>
          <w:szCs w:val="24"/>
        </w:rPr>
        <w:t>. For patients who have failed corticosteroid therapy, a splenectomy is recommended as second-line treatment. According to recent research, short-term response to a splenectomy is achieved in approximately 87% of ITP patients</w:t>
      </w:r>
      <w:r w:rsidR="0050230B" w:rsidRPr="0050230B">
        <w:rPr>
          <w:rFonts w:ascii="Book Antiqua" w:eastAsia="Times New Roman" w:hAnsi="Book Antiqua" w:cs="Times New Roman"/>
          <w:sz w:val="24"/>
          <w:szCs w:val="24"/>
          <w:vertAlign w:val="superscript"/>
        </w:rPr>
        <w:fldChar w:fldCharType="begin"/>
      </w:r>
      <w:r w:rsidR="0050230B" w:rsidRPr="0050230B">
        <w:rPr>
          <w:rFonts w:ascii="Book Antiqua" w:eastAsia="Times New Roman" w:hAnsi="Book Antiqua" w:cs="Times New Roman"/>
          <w:sz w:val="24"/>
          <w:szCs w:val="24"/>
          <w:vertAlign w:val="superscript"/>
        </w:rPr>
        <w:instrText xml:space="preserve"> ADDIN EN.CITE &lt;EndNote&gt;&lt;Cite  &gt;&lt;Author&gt;Nugent, D.; McMillan, R.; Nichol, J. L.; Slichter, S. J.&lt;/Author&gt;&lt;Year&gt;2009&lt;/Year&gt;&lt;RecNum&gt;230&lt;/RecNum&gt;&lt;Prefix&gt;&lt;/Prefix&gt;&lt;Suffix&gt;&lt;/Suffix&gt;&lt;Pages&gt;&lt;/Pages&gt;&lt;DisplayText&gt;(2)&lt;/DisplayText&gt;&lt;record&gt;&lt;database name="My EndNote Library.enl" path="/Users/Mien 1/Documents/My EndNote Library.enl"&gt;My EndNote Library.enl&lt;/database&gt;&lt;source-app name="EndNote" version="17.7"&gt;EndNote&lt;/source-app&gt;&lt;rec-number&gt;230&lt;/rec-number&gt;&lt;foreign-keys&gt;&lt;key app="EN" db-id="5fffp22drvwpzqestfmv2evy2p2esxeppp05"&gt;230&lt;/key&gt;&lt;/foreign-keys&gt;&lt;ref-type name="Journal Article"&gt;17&lt;/ref-type&gt;&lt;contributors&gt;&lt;authors&gt;&lt;author&gt;&lt;style face="normal" font="default" size="100%"&gt;Nugent, D.&lt;/style&gt;&lt;/author&gt;&lt;author&gt;&lt;style face="normal" font="default" size="100%"&gt;McMillan, R.&lt;/style&gt;&lt;/author&gt;&lt;author&gt;&lt;style face="normal" font="default" size="100%"&gt;Nichol, J. L.&lt;/style&gt;&lt;/author&gt;&lt;author&gt;&lt;style face="normal" font="default" size="100%"&gt;Slichter, S. J.&lt;/style&gt;&lt;/author&gt;&lt;/authors&gt;&lt;/contributors&gt;&lt;auth-address&gt;&lt;style face="normal" font="default" size="100%"&gt;Department of Hematology, Children's Hospital of Orange County, Orange, CA, USA.&lt;/style&gt;&lt;/auth-address&gt;&lt;titles&gt;&lt;title&gt;&lt;style face="normal" font="default" size="100%"&gt;Pathogenesis of chronic immune thrombocytopenia: increased platelet destruction and/or decreased platelet production&lt;/style&gt;&lt;/title&gt;&lt;secondary-title&gt;&lt;style face="normal" font="default" size="100%"&gt;Br J Haematol&lt;/style&gt;&lt;/secondary-title&gt;&lt;/titles&gt;&lt;periodical&gt;&lt;full-title&gt;&lt;style face="normal" font="default" size="100%"&gt;Br J Haematol&lt;/style&gt;&lt;/full-title&gt;&lt;/periodical&gt;&lt;pages&gt;&lt;style face="normal" font="default" size="100%"&gt;585-96&lt;/style&gt;&lt;/pages&gt;&lt;volume&gt;&lt;style face="normal" font="default" size="100%"&gt;146&lt;/style&gt;&lt;/volume&gt;&lt;number&gt;&lt;style face="normal" font="default" size="100%"&gt;6&lt;/style&gt;&lt;/number&gt;&lt;keywords&gt;&lt;keyword&gt;&lt;style face="normal" font="default" size="100%"&gt;Autoantibodies/blood&lt;/style&gt;&lt;/keyword&gt;&lt;keyword&gt;&lt;style face="normal" font="default" size="100%"&gt;Blood Platelets/immunology/*pathology&lt;/style&gt;&lt;/keyword&gt;&lt;keyword&gt;&lt;style face="normal" font="default" size="100%"&gt;Chronic Disease&lt;/style&gt;&lt;/keyword&gt;&lt;keyword&gt;&lt;style face="normal" font="default" size="100%"&gt;Humans&lt;/style&gt;&lt;/keyword&gt;&lt;keyword&gt;&lt;style face="normal" font="default" size="100%"&gt;Platelet Count&lt;/style&gt;&lt;/keyword&gt;&lt;keyword&gt;&lt;style face="normal" font="default" size="100%"&gt;Thrombocytopenia/immunology/*pathology&lt;/style&gt;&lt;/keyword&gt;&lt;keyword&gt;&lt;style face="normal" font="default" size="100%"&gt;Thrombopoiesis/immunology&lt;/style&gt;&lt;/keyword&gt;&lt;keyword&gt;&lt;style face="normal" font="default" size="100%"&gt;Thrombopoietin/metabolism&lt;/style&gt;&lt;/keyword&gt;&lt;/keywords&gt;&lt;dates&gt;&lt;year&gt;&lt;style face="normal" font="default" size="100%"&gt;2009&lt;/style&gt;&lt;/year&gt;&lt;pub-dates&gt;&lt;date&gt;&lt;style face="normal" font="default" size="100%"&gt;Sep&lt;/style&gt;&lt;/date&gt;&lt;/pub-dates&gt;&lt;/dates&gt;&lt;isbn&gt;&lt;style face="normal" font="default" size="100%"&gt;1365-2141 (Electronic) 0007-1048 (Linking)&lt;/style&gt;&lt;/isbn&gt;&lt;accession-num&gt;&lt;style face="normal" font="default" size="100%"&gt;19466980&lt;/style&gt;&lt;/accession-num&gt;&lt;abstract&gt;&lt;style face="normal" font="default" size="100%"&gt;Chronic immune thrombocytopenia (ITP) is a haematological disorder in which patients predominantly develop skin and mucosal bleeding. Early studies suggested ITP was primarily due to immune-mediated peripheral platelet destruction. However, increasing evidence indicates that an additional component of this disorder is immune-mediated decreased platelet production that cannot keep pace with platelet destruction. Evidence for increased platelet destruction is thrombocytopenia following ITP plasma infusions in normal subjects, in vitro platelet phagocytosis, and decreased platelet survivals in ITP patients that respond to therapies that prevent in vivo platelet phagocytosis; e.g., intravenous immunoglobulin G, anti-D, corticosteroids, and splenectomy. The cause of platelet destruction in most ITP patients appears to be autoantibody-mediated. However, cytotoxic T lymphocyte-mediated platelet (and possibly megakaryocyte) lysis, may also be important. Studies supporting suppressed platelet production include: reduced platelet turnover in over 80% of ITP patients, morphological evidence of megakaryocyte damage, autoantibody-induced suppression of in vitro megakaryocytopoiesis, and increased platelet counts in most ITP patients following treatment with thrombopoietin receptor agonists. This review summarizes data that indicates that the pathogenesis of chronic ITP may be due to both immune-mediated platelet destruction and/or suppressed platelet production. The relative importance of these two mechanisms undoubtedly varies among patients.&lt;/style&gt;&lt;/abstract&gt;&lt;notes&gt;&lt;style face="normal" font="default" size="100%"&gt;Nugent, Diane McMillan, Robert Nichol, Janet L Slichter, Sherrill J eng Review England 2009/05/27 09:00 Br J Haematol. 2009 Sep;146(6):585-96. doi: 10.1111/j.1365-2141.2009.07717.x. Epub 2009 May 14.&lt;/style&gt;&lt;/notes&gt;&lt;urls&gt;&lt;related-urls&gt;&lt;url&gt;&lt;style face="normal" font="default" size="100%"&gt;https://www.ncbi.nlm.nih.gov/pubmed/19466980&lt;/style&gt;&lt;/url&gt;&lt;/related-urls&gt;&lt;/urls&gt;&lt;electronic-resource-num&gt;&lt;style face="normal" font="default" size="100%"&gt;10.1111/j.1365-2141.2009.07717.x&lt;/style&gt;&lt;/electronic-resource-num&gt;&lt;/record&gt;&lt;/Cite&gt;&lt;/EndNote&gt;</w:instrText>
      </w:r>
      <w:r w:rsidR="0050230B"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0050230B">
        <w:rPr>
          <w:rFonts w:ascii="Book Antiqua" w:eastAsiaTheme="minorEastAsia" w:hAnsi="Book Antiqua" w:hint="eastAsia"/>
          <w:sz w:val="24"/>
          <w:szCs w:val="24"/>
          <w:vertAlign w:val="superscript"/>
        </w:rPr>
        <w:t>1</w:t>
      </w:r>
      <w:r w:rsidR="0050230B" w:rsidRPr="0050230B">
        <w:rPr>
          <w:rFonts w:ascii="Book Antiqua" w:hAnsi="Book Antiqua"/>
          <w:sz w:val="24"/>
          <w:szCs w:val="24"/>
          <w:vertAlign w:val="superscript"/>
        </w:rPr>
        <w:t>2</w:t>
      </w:r>
      <w:r w:rsidR="0050230B">
        <w:rPr>
          <w:rFonts w:ascii="Book Antiqua" w:eastAsiaTheme="minorEastAsia" w:hAnsi="Book Antiqua" w:hint="eastAsia"/>
          <w:sz w:val="24"/>
          <w:szCs w:val="24"/>
          <w:vertAlign w:val="superscript"/>
        </w:rPr>
        <w:t>-14</w:t>
      </w:r>
      <w:r w:rsidR="0050230B" w:rsidRPr="0050230B">
        <w:rPr>
          <w:rFonts w:ascii="Book Antiqua" w:eastAsiaTheme="minorEastAsia" w:hAnsi="Book Antiqua" w:hint="eastAsia"/>
          <w:sz w:val="24"/>
          <w:szCs w:val="24"/>
          <w:vertAlign w:val="superscript"/>
        </w:rPr>
        <w:t>]</w:t>
      </w:r>
      <w:r w:rsidR="0050230B" w:rsidRPr="0050230B">
        <w:rPr>
          <w:rFonts w:ascii="Book Antiqua" w:eastAsia="Times New Roman" w:hAnsi="Book Antiqua" w:cs="Times New Roman"/>
          <w:sz w:val="24"/>
          <w:szCs w:val="24"/>
          <w:vertAlign w:val="superscript"/>
        </w:rPr>
        <w:fldChar w:fldCharType="end"/>
      </w:r>
      <w:r w:rsidRPr="006C3DC1">
        <w:rPr>
          <w:rFonts w:ascii="Book Antiqua" w:hAnsi="Book Antiqua"/>
          <w:sz w:val="24"/>
          <w:szCs w:val="24"/>
        </w:rPr>
        <w:t>. Whereas in patients with a PLT count on admission of &lt;</w:t>
      </w:r>
      <w:r w:rsidR="0050230B">
        <w:rPr>
          <w:rFonts w:ascii="Book Antiqua" w:eastAsiaTheme="minorEastAsia" w:hAnsi="Book Antiqua" w:hint="eastAsia"/>
          <w:sz w:val="24"/>
          <w:szCs w:val="24"/>
        </w:rPr>
        <w:t xml:space="preserve"> </w:t>
      </w:r>
      <w:r w:rsidRPr="006C3DC1">
        <w:rPr>
          <w:rFonts w:ascii="Book Antiqua" w:hAnsi="Book Antiqua"/>
          <w:sz w:val="24"/>
          <w:szCs w:val="24"/>
        </w:rPr>
        <w:t>40000/</w:t>
      </w:r>
      <w:proofErr w:type="spellStart"/>
      <w:r w:rsidRPr="006C3DC1">
        <w:rPr>
          <w:rFonts w:ascii="Book Antiqua" w:hAnsi="Book Antiqua"/>
          <w:sz w:val="24"/>
          <w:szCs w:val="24"/>
        </w:rPr>
        <w:t>μL</w:t>
      </w:r>
      <w:proofErr w:type="spellEnd"/>
      <w:r w:rsidRPr="006C3DC1">
        <w:rPr>
          <w:rFonts w:ascii="Book Antiqua" w:hAnsi="Book Antiqua"/>
          <w:sz w:val="24"/>
          <w:szCs w:val="24"/>
        </w:rPr>
        <w:t>, only 40% may achieve a long-term stable response</w:t>
      </w:r>
      <w:r w:rsidR="0050230B" w:rsidRPr="0050230B">
        <w:rPr>
          <w:rFonts w:ascii="Book Antiqua" w:eastAsia="Times New Roman" w:hAnsi="Book Antiqua" w:cs="Times New Roman"/>
          <w:sz w:val="24"/>
          <w:szCs w:val="24"/>
          <w:vertAlign w:val="superscript"/>
        </w:rPr>
        <w:fldChar w:fldCharType="begin"/>
      </w:r>
      <w:r w:rsidR="0050230B" w:rsidRPr="0050230B">
        <w:rPr>
          <w:rFonts w:ascii="Book Antiqua" w:eastAsia="Times New Roman" w:hAnsi="Book Antiqua" w:cs="Times New Roman"/>
          <w:sz w:val="24"/>
          <w:szCs w:val="24"/>
          <w:vertAlign w:val="superscript"/>
        </w:rPr>
        <w:instrText xml:space="preserve"> ADDIN EN.CITE &lt;EndNote&gt;&lt;Cite  &gt;&lt;Author&gt;Nugent, D.; McMillan, R.; Nichol, J. L.; Slichter, S. J.&lt;/Author&gt;&lt;Year&gt;2009&lt;/Year&gt;&lt;RecNum&gt;230&lt;/RecNum&gt;&lt;Prefix&gt;&lt;/Prefix&gt;&lt;Suffix&gt;&lt;/Suffix&gt;&lt;Pages&gt;&lt;/Pages&gt;&lt;DisplayText&gt;(2)&lt;/DisplayText&gt;&lt;record&gt;&lt;database name="My EndNote Library.enl" path="/Users/Mien 1/Documents/My EndNote Library.enl"&gt;My EndNote Library.enl&lt;/database&gt;&lt;source-app name="EndNote" version="17.7"&gt;EndNote&lt;/source-app&gt;&lt;rec-number&gt;230&lt;/rec-number&gt;&lt;foreign-keys&gt;&lt;key app="EN" db-id="5fffp22drvwpzqestfmv2evy2p2esxeppp05"&gt;230&lt;/key&gt;&lt;/foreign-keys&gt;&lt;ref-type name="Journal Article"&gt;17&lt;/ref-type&gt;&lt;contributors&gt;&lt;authors&gt;&lt;author&gt;&lt;style face="normal" font="default" size="100%"&gt;Nugent, D.&lt;/style&gt;&lt;/author&gt;&lt;author&gt;&lt;style face="normal" font="default" size="100%"&gt;McMillan, R.&lt;/style&gt;&lt;/author&gt;&lt;author&gt;&lt;style face="normal" font="default" size="100%"&gt;Nichol, J. L.&lt;/style&gt;&lt;/author&gt;&lt;author&gt;&lt;style face="normal" font="default" size="100%"&gt;Slichter, S. J.&lt;/style&gt;&lt;/author&gt;&lt;/authors&gt;&lt;/contributors&gt;&lt;auth-address&gt;&lt;style face="normal" font="default" size="100%"&gt;Department of Hematology, Children's Hospital of Orange County, Orange, CA, USA.&lt;/style&gt;&lt;/auth-address&gt;&lt;titles&gt;&lt;title&gt;&lt;style face="normal" font="default" size="100%"&gt;Pathogenesis of chronic immune thrombocytopenia: increased platelet destruction and/or decreased platelet production&lt;/style&gt;&lt;/title&gt;&lt;secondary-title&gt;&lt;style face="normal" font="default" size="100%"&gt;Br J Haematol&lt;/style&gt;&lt;/secondary-title&gt;&lt;/titles&gt;&lt;periodical&gt;&lt;full-title&gt;&lt;style face="normal" font="default" size="100%"&gt;Br J Haematol&lt;/style&gt;&lt;/full-title&gt;&lt;/periodical&gt;&lt;pages&gt;&lt;style face="normal" font="default" size="100%"&gt;585-96&lt;/style&gt;&lt;/pages&gt;&lt;volume&gt;&lt;style face="normal" font="default" size="100%"&gt;146&lt;/style&gt;&lt;/volume&gt;&lt;number&gt;&lt;style face="normal" font="default" size="100%"&gt;6&lt;/style&gt;&lt;/number&gt;&lt;keywords&gt;&lt;keyword&gt;&lt;style face="normal" font="default" size="100%"&gt;Autoantibodies/blood&lt;/style&gt;&lt;/keyword&gt;&lt;keyword&gt;&lt;style face="normal" font="default" size="100%"&gt;Blood Platelets/immunology/*pathology&lt;/style&gt;&lt;/keyword&gt;&lt;keyword&gt;&lt;style face="normal" font="default" size="100%"&gt;Chronic Disease&lt;/style&gt;&lt;/keyword&gt;&lt;keyword&gt;&lt;style face="normal" font="default" size="100%"&gt;Humans&lt;/style&gt;&lt;/keyword&gt;&lt;keyword&gt;&lt;style face="normal" font="default" size="100%"&gt;Platelet Count&lt;/style&gt;&lt;/keyword&gt;&lt;keyword&gt;&lt;style face="normal" font="default" size="100%"&gt;Thrombocytopenia/immunology/*pathology&lt;/style&gt;&lt;/keyword&gt;&lt;keyword&gt;&lt;style face="normal" font="default" size="100%"&gt;Thrombopoiesis/immunology&lt;/style&gt;&lt;/keyword&gt;&lt;keyword&gt;&lt;style face="normal" font="default" size="100%"&gt;Thrombopoietin/metabolism&lt;/style&gt;&lt;/keyword&gt;&lt;/keywords&gt;&lt;dates&gt;&lt;year&gt;&lt;style face="normal" font="default" size="100%"&gt;2009&lt;/style&gt;&lt;/year&gt;&lt;pub-dates&gt;&lt;date&gt;&lt;style face="normal" font="default" size="100%"&gt;Sep&lt;/style&gt;&lt;/date&gt;&lt;/pub-dates&gt;&lt;/dates&gt;&lt;isbn&gt;&lt;style face="normal" font="default" size="100%"&gt;1365-2141 (Electronic) 0007-1048 (Linking)&lt;/style&gt;&lt;/isbn&gt;&lt;accession-num&gt;&lt;style face="normal" font="default" size="100%"&gt;19466980&lt;/style&gt;&lt;/accession-num&gt;&lt;abstract&gt;&lt;style face="normal" font="default" size="100%"&gt;Chronic immune thrombocytopenia (ITP) is a haematological disorder in which patients predominantly develop skin and mucosal bleeding. Early studies suggested ITP was primarily due to immune-mediated peripheral platelet destruction. However, increasing evidence indicates that an additional component of this disorder is immune-mediated decreased platelet production that cannot keep pace with platelet destruction. Evidence for increased platelet destruction is thrombocytopenia following ITP plasma infusions in normal subjects, in vitro platelet phagocytosis, and decreased platelet survivals in ITP patients that respond to therapies that prevent in vivo platelet phagocytosis; e.g., intravenous immunoglobulin G, anti-D, corticosteroids, and splenectomy. The cause of platelet destruction in most ITP patients appears to be autoantibody-mediated. However, cytotoxic T lymphocyte-mediated platelet (and possibly megakaryocyte) lysis, may also be important. Studies supporting suppressed platelet production include: reduced platelet turnover in over 80% of ITP patients, morphological evidence of megakaryocyte damage, autoantibody-induced suppression of in vitro megakaryocytopoiesis, and increased platelet counts in most ITP patients following treatment with thrombopoietin receptor agonists. This review summarizes data that indicates that the pathogenesis of chronic ITP may be due to both immune-mediated platelet destruction and/or suppressed platelet production. The relative importance of these two mechanisms undoubtedly varies among patients.&lt;/style&gt;&lt;/abstract&gt;&lt;notes&gt;&lt;style face="normal" font="default" size="100%"&gt;Nugent, Diane McMillan, Robert Nichol, Janet L Slichter, Sherrill J eng Review England 2009/05/27 09:00 Br J Haematol. 2009 Sep;146(6):585-96. doi: 10.1111/j.1365-2141.2009.07717.x. Epub 2009 May 14.&lt;/style&gt;&lt;/notes&gt;&lt;urls&gt;&lt;related-urls&gt;&lt;url&gt;&lt;style face="normal" font="default" size="100%"&gt;https://www.ncbi.nlm.nih.gov/pubmed/19466980&lt;/style&gt;&lt;/url&gt;&lt;/related-urls&gt;&lt;/urls&gt;&lt;electronic-resource-num&gt;&lt;style face="normal" font="default" size="100%"&gt;10.1111/j.1365-2141.2009.07717.x&lt;/style&gt;&lt;/electronic-resource-num&gt;&lt;/record&gt;&lt;/Cite&gt;&lt;/EndNote&gt;</w:instrText>
      </w:r>
      <w:r w:rsidR="0050230B"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0050230B">
        <w:rPr>
          <w:rFonts w:ascii="Book Antiqua" w:eastAsiaTheme="minorEastAsia" w:hAnsi="Book Antiqua" w:hint="eastAsia"/>
          <w:sz w:val="24"/>
          <w:szCs w:val="24"/>
          <w:vertAlign w:val="superscript"/>
        </w:rPr>
        <w:t>14</w:t>
      </w:r>
      <w:r w:rsidR="0050230B" w:rsidRPr="0050230B">
        <w:rPr>
          <w:rFonts w:ascii="Book Antiqua" w:eastAsiaTheme="minorEastAsia" w:hAnsi="Book Antiqua" w:hint="eastAsia"/>
          <w:sz w:val="24"/>
          <w:szCs w:val="24"/>
          <w:vertAlign w:val="superscript"/>
        </w:rPr>
        <w:t>]</w:t>
      </w:r>
      <w:r w:rsidR="0050230B" w:rsidRPr="0050230B">
        <w:rPr>
          <w:rFonts w:ascii="Book Antiqua" w:eastAsia="Times New Roman" w:hAnsi="Book Antiqua" w:cs="Times New Roman"/>
          <w:sz w:val="24"/>
          <w:szCs w:val="24"/>
          <w:vertAlign w:val="superscript"/>
        </w:rPr>
        <w:fldChar w:fldCharType="end"/>
      </w:r>
      <w:r w:rsidRPr="006C3DC1">
        <w:rPr>
          <w:rFonts w:ascii="Book Antiqua" w:hAnsi="Book Antiqua"/>
          <w:sz w:val="24"/>
          <w:szCs w:val="24"/>
        </w:rPr>
        <w:t>. In our patient, the thrombocytopenia continued with PLT counts fluctuating between 3000-8000/</w:t>
      </w:r>
      <w:proofErr w:type="spellStart"/>
      <w:r w:rsidRPr="006C3DC1">
        <w:rPr>
          <w:rFonts w:ascii="Book Antiqua" w:hAnsi="Book Antiqua"/>
          <w:sz w:val="24"/>
          <w:szCs w:val="24"/>
        </w:rPr>
        <w:t>μL</w:t>
      </w:r>
      <w:proofErr w:type="spellEnd"/>
      <w:r w:rsidRPr="006C3DC1">
        <w:rPr>
          <w:rFonts w:ascii="Book Antiqua" w:hAnsi="Book Antiqua"/>
          <w:sz w:val="24"/>
          <w:szCs w:val="24"/>
        </w:rPr>
        <w:t xml:space="preserve"> and she showed a poor response to preoperative medical boosting. Considering its satisfactory and high response rates in short-term postoperative time, it is reasonable for patients to undergo a splenectomy in terms of low complication rates and low bleeding risks.</w:t>
      </w:r>
    </w:p>
    <w:p w:rsidR="00847F85" w:rsidRPr="006C3DC1" w:rsidRDefault="00141C1D" w:rsidP="0050230B">
      <w:pPr>
        <w:spacing w:line="360" w:lineRule="auto"/>
        <w:ind w:firstLineChars="100" w:firstLine="240"/>
        <w:jc w:val="both"/>
        <w:rPr>
          <w:rFonts w:ascii="Book Antiqua" w:eastAsia="Times New Roman" w:hAnsi="Book Antiqua" w:cs="Times New Roman"/>
          <w:sz w:val="24"/>
          <w:szCs w:val="24"/>
        </w:rPr>
      </w:pPr>
      <w:bookmarkStart w:id="64" w:name="OLE_LINK78"/>
      <w:r w:rsidRPr="006C3DC1">
        <w:rPr>
          <w:rFonts w:ascii="Book Antiqua" w:hAnsi="Book Antiqua"/>
          <w:sz w:val="24"/>
          <w:szCs w:val="24"/>
        </w:rPr>
        <w:t>A</w:t>
      </w:r>
      <w:bookmarkStart w:id="65" w:name="OLE_LINK79"/>
      <w:bookmarkEnd w:id="64"/>
      <w:r w:rsidRPr="006C3DC1">
        <w:rPr>
          <w:rFonts w:ascii="Book Antiqua" w:hAnsi="Book Antiqua"/>
          <w:sz w:val="24"/>
          <w:szCs w:val="24"/>
        </w:rPr>
        <w:t>ccording to some studies, PLT transfusions were recommended only in a few life-threatening cases that require a rapid rise in PLT count to achieve hemostasis, such as intracranial hemorrhage or major surgery</w:t>
      </w:r>
      <w:r w:rsidR="0050230B" w:rsidRPr="0050230B">
        <w:rPr>
          <w:rFonts w:ascii="Book Antiqua" w:eastAsia="Times New Roman" w:hAnsi="Book Antiqua" w:cs="Times New Roman"/>
          <w:sz w:val="24"/>
          <w:szCs w:val="24"/>
          <w:vertAlign w:val="superscript"/>
        </w:rPr>
        <w:fldChar w:fldCharType="begin"/>
      </w:r>
      <w:r w:rsidR="0050230B" w:rsidRPr="0050230B">
        <w:rPr>
          <w:rFonts w:ascii="Book Antiqua" w:eastAsia="Times New Roman" w:hAnsi="Book Antiqua" w:cs="Times New Roman"/>
          <w:sz w:val="24"/>
          <w:szCs w:val="24"/>
          <w:vertAlign w:val="superscript"/>
        </w:rPr>
        <w:instrText xml:space="preserve"> ADDIN EN.CITE &lt;EndNote&gt;&lt;Cite  &gt;&lt;Author&gt;Nugent, D.; McMillan, R.; Nichol, J. L.; Slichter, S. J.&lt;/Author&gt;&lt;Year&gt;2009&lt;/Year&gt;&lt;RecNum&gt;230&lt;/RecNum&gt;&lt;Prefix&gt;&lt;/Prefix&gt;&lt;Suffix&gt;&lt;/Suffix&gt;&lt;Pages&gt;&lt;/Pages&gt;&lt;DisplayText&gt;(2)&lt;/DisplayText&gt;&lt;record&gt;&lt;database name="My EndNote Library.enl" path="/Users/Mien 1/Documents/My EndNote Library.enl"&gt;My EndNote Library.enl&lt;/database&gt;&lt;source-app name="EndNote" version="17.7"&gt;EndNote&lt;/source-app&gt;&lt;rec-number&gt;230&lt;/rec-number&gt;&lt;foreign-keys&gt;&lt;key app="EN" db-id="5fffp22drvwpzqestfmv2evy2p2esxeppp05"&gt;230&lt;/key&gt;&lt;/foreign-keys&gt;&lt;ref-type name="Journal Article"&gt;17&lt;/ref-type&gt;&lt;contributors&gt;&lt;authors&gt;&lt;author&gt;&lt;style face="normal" font="default" size="100%"&gt;Nugent, D.&lt;/style&gt;&lt;/author&gt;&lt;author&gt;&lt;style face="normal" font="default" size="100%"&gt;McMillan, R.&lt;/style&gt;&lt;/author&gt;&lt;author&gt;&lt;style face="normal" font="default" size="100%"&gt;Nichol, J. L.&lt;/style&gt;&lt;/author&gt;&lt;author&gt;&lt;style face="normal" font="default" size="100%"&gt;Slichter, S. J.&lt;/style&gt;&lt;/author&gt;&lt;/authors&gt;&lt;/contributors&gt;&lt;auth-address&gt;&lt;style face="normal" font="default" size="100%"&gt;Department of Hematology, Children's Hospital of Orange County, Orange, CA, USA.&lt;/style&gt;&lt;/auth-address&gt;&lt;titles&gt;&lt;title&gt;&lt;style face="normal" font="default" size="100%"&gt;Pathogenesis of chronic immune thrombocytopenia: increased platelet destruction and/or decreased platelet production&lt;/style&gt;&lt;/title&gt;&lt;secondary-title&gt;&lt;style face="normal" font="default" size="100%"&gt;Br J Haematol&lt;/style&gt;&lt;/secondary-title&gt;&lt;/titles&gt;&lt;periodical&gt;&lt;full-title&gt;&lt;style face="normal" font="default" size="100%"&gt;Br J Haematol&lt;/style&gt;&lt;/full-title&gt;&lt;/periodical&gt;&lt;pages&gt;&lt;style face="normal" font="default" size="100%"&gt;585-96&lt;/style&gt;&lt;/pages&gt;&lt;volume&gt;&lt;style face="normal" font="default" size="100%"&gt;146&lt;/style&gt;&lt;/volume&gt;&lt;number&gt;&lt;style face="normal" font="default" size="100%"&gt;6&lt;/style&gt;&lt;/number&gt;&lt;keywords&gt;&lt;keyword&gt;&lt;style face="normal" font="default" size="100%"&gt;Autoantibodies/blood&lt;/style&gt;&lt;/keyword&gt;&lt;keyword&gt;&lt;style face="normal" font="default" size="100%"&gt;Blood Platelets/immunology/*pathology&lt;/style&gt;&lt;/keyword&gt;&lt;keyword&gt;&lt;style face="normal" font="default" size="100%"&gt;Chronic Disease&lt;/style&gt;&lt;/keyword&gt;&lt;keyword&gt;&lt;style face="normal" font="default" size="100%"&gt;Humans&lt;/style&gt;&lt;/keyword&gt;&lt;keyword&gt;&lt;style face="normal" font="default" size="100%"&gt;Platelet Count&lt;/style&gt;&lt;/keyword&gt;&lt;keyword&gt;&lt;style face="normal" font="default" size="100%"&gt;Thrombocytopenia/immunology/*pathology&lt;/style&gt;&lt;/keyword&gt;&lt;keyword&gt;&lt;style face="normal" font="default" size="100%"&gt;Thrombopoiesis/immunology&lt;/style&gt;&lt;/keyword&gt;&lt;keyword&gt;&lt;style face="normal" font="default" size="100%"&gt;Thrombopoietin/metabolism&lt;/style&gt;&lt;/keyword&gt;&lt;/keywords&gt;&lt;dates&gt;&lt;year&gt;&lt;style face="normal" font="default" size="100%"&gt;2009&lt;/style&gt;&lt;/year&gt;&lt;pub-dates&gt;&lt;date&gt;&lt;style face="normal" font="default" size="100%"&gt;Sep&lt;/style&gt;&lt;/date&gt;&lt;/pub-dates&gt;&lt;/dates&gt;&lt;isbn&gt;&lt;style face="normal" font="default" size="100%"&gt;1365-2141 (Electronic) 0007-1048 (Linking)&lt;/style&gt;&lt;/isbn&gt;&lt;accession-num&gt;&lt;style face="normal" font="default" size="100%"&gt;19466980&lt;/style&gt;&lt;/accession-num&gt;&lt;abstract&gt;&lt;style face="normal" font="default" size="100%"&gt;Chronic immune thrombocytopenia (ITP) is a haematological disorder in which patients predominantly develop skin and mucosal bleeding. Early studies suggested ITP was primarily due to immune-mediated peripheral platelet destruction. However, increasing evidence indicates that an additional component of this disorder is immune-mediated decreased platelet production that cannot keep pace with platelet destruction. Evidence for increased platelet destruction is thrombocytopenia following ITP plasma infusions in normal subjects, in vitro platelet phagocytosis, and decreased platelet survivals in ITP patients that respond to therapies that prevent in vivo platelet phagocytosis; e.g., intravenous immunoglobulin G, anti-D, corticosteroids, and splenectomy. The cause of platelet destruction in most ITP patients appears to be autoantibody-mediated. However, cytotoxic T lymphocyte-mediated platelet (and possibly megakaryocyte) lysis, may also be important. Studies supporting suppressed platelet production include: reduced platelet turnover in over 80% of ITP patients, morphological evidence of megakaryocyte damage, autoantibody-induced suppression of in vitro megakaryocytopoiesis, and increased platelet counts in most ITP patients following treatment with thrombopoietin receptor agonists. This review summarizes data that indicates that the pathogenesis of chronic ITP may be due to both immune-mediated platelet destruction and/or suppressed platelet production. The relative importance of these two mechanisms undoubtedly varies among patients.&lt;/style&gt;&lt;/abstract&gt;&lt;notes&gt;&lt;style face="normal" font="default" size="100%"&gt;Nugent, Diane McMillan, Robert Nichol, Janet L Slichter, Sherrill J eng Review England 2009/05/27 09:00 Br J Haematol. 2009 Sep;146(6):585-96. doi: 10.1111/j.1365-2141.2009.07717.x. Epub 2009 May 14.&lt;/style&gt;&lt;/notes&gt;&lt;urls&gt;&lt;related-urls&gt;&lt;url&gt;&lt;style face="normal" font="default" size="100%"&gt;https://www.ncbi.nlm.nih.gov/pubmed/19466980&lt;/style&gt;&lt;/url&gt;&lt;/related-urls&gt;&lt;/urls&gt;&lt;electronic-resource-num&gt;&lt;style face="normal" font="default" size="100%"&gt;10.1111/j.1365-2141.2009.07717.x&lt;/style&gt;&lt;/electronic-resource-num&gt;&lt;/record&gt;&lt;/Cite&gt;&lt;/EndNote&gt;</w:instrText>
      </w:r>
      <w:r w:rsidR="0050230B"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0050230B">
        <w:rPr>
          <w:rFonts w:ascii="Book Antiqua" w:eastAsiaTheme="minorEastAsia" w:hAnsi="Book Antiqua" w:hint="eastAsia"/>
          <w:sz w:val="24"/>
          <w:szCs w:val="24"/>
          <w:vertAlign w:val="superscript"/>
        </w:rPr>
        <w:t>1,15</w:t>
      </w:r>
      <w:r w:rsidR="0050230B" w:rsidRPr="0050230B">
        <w:rPr>
          <w:rFonts w:ascii="Book Antiqua" w:eastAsiaTheme="minorEastAsia" w:hAnsi="Book Antiqua" w:hint="eastAsia"/>
          <w:sz w:val="24"/>
          <w:szCs w:val="24"/>
          <w:vertAlign w:val="superscript"/>
        </w:rPr>
        <w:t>]</w:t>
      </w:r>
      <w:r w:rsidR="0050230B" w:rsidRPr="0050230B">
        <w:rPr>
          <w:rFonts w:ascii="Book Antiqua" w:eastAsia="Times New Roman" w:hAnsi="Book Antiqua" w:cs="Times New Roman"/>
          <w:sz w:val="24"/>
          <w:szCs w:val="24"/>
          <w:vertAlign w:val="superscript"/>
        </w:rPr>
        <w:fldChar w:fldCharType="end"/>
      </w:r>
      <w:r w:rsidRPr="006C3DC1">
        <w:rPr>
          <w:rFonts w:ascii="Book Antiqua" w:hAnsi="Book Antiqua"/>
          <w:sz w:val="24"/>
          <w:szCs w:val="24"/>
        </w:rPr>
        <w:t xml:space="preserve">. Despite the short-term efficacy, PLT transfusion every 30 min to 8 h and a PLT transfusion in conjunction with </w:t>
      </w:r>
      <w:proofErr w:type="spellStart"/>
      <w:r w:rsidRPr="006C3DC1">
        <w:rPr>
          <w:rFonts w:ascii="Book Antiqua" w:hAnsi="Book Antiqua"/>
          <w:sz w:val="24"/>
          <w:szCs w:val="24"/>
        </w:rPr>
        <w:t>IVIg</w:t>
      </w:r>
      <w:proofErr w:type="spellEnd"/>
      <w:r w:rsidRPr="006C3DC1">
        <w:rPr>
          <w:rFonts w:ascii="Book Antiqua" w:hAnsi="Book Antiqua"/>
          <w:sz w:val="24"/>
          <w:szCs w:val="24"/>
        </w:rPr>
        <w:t xml:space="preserve"> or steroids have been effective for increasing </w:t>
      </w:r>
      <w:r w:rsidR="00540866" w:rsidRPr="006C3DC1">
        <w:rPr>
          <w:rFonts w:ascii="Book Antiqua" w:hAnsi="Book Antiqua"/>
          <w:sz w:val="24"/>
          <w:szCs w:val="24"/>
        </w:rPr>
        <w:t>PLT</w:t>
      </w:r>
      <w:r w:rsidRPr="006C3DC1">
        <w:rPr>
          <w:rFonts w:ascii="Book Antiqua" w:hAnsi="Book Antiqua"/>
          <w:sz w:val="24"/>
          <w:szCs w:val="24"/>
        </w:rPr>
        <w:t xml:space="preserve"> levels in emergency situations</w:t>
      </w:r>
      <w:r w:rsidR="0050230B" w:rsidRPr="0050230B">
        <w:rPr>
          <w:rFonts w:ascii="Book Antiqua" w:eastAsia="Times New Roman" w:hAnsi="Book Antiqua" w:cs="Times New Roman"/>
          <w:sz w:val="24"/>
          <w:szCs w:val="24"/>
          <w:vertAlign w:val="superscript"/>
        </w:rPr>
        <w:fldChar w:fldCharType="begin"/>
      </w:r>
      <w:r w:rsidR="0050230B" w:rsidRPr="0050230B">
        <w:rPr>
          <w:rFonts w:ascii="Book Antiqua" w:eastAsia="Times New Roman" w:hAnsi="Book Antiqua" w:cs="Times New Roman"/>
          <w:sz w:val="24"/>
          <w:szCs w:val="24"/>
          <w:vertAlign w:val="superscript"/>
        </w:rPr>
        <w:instrText xml:space="preserve"> ADDIN EN.CITE &lt;EndNote&gt;&lt;Cite  &gt;&lt;Author&gt;Nugent, D.; McMillan, R.; Nichol, J. L.; Slichter, S. J.&lt;/Author&gt;&lt;Year&gt;2009&lt;/Year&gt;&lt;RecNum&gt;230&lt;/RecNum&gt;&lt;Prefix&gt;&lt;/Prefix&gt;&lt;Suffix&gt;&lt;/Suffix&gt;&lt;Pages&gt;&lt;/Pages&gt;&lt;DisplayText&gt;(2)&lt;/DisplayText&gt;&lt;record&gt;&lt;database name="My EndNote Library.enl" path="/Users/Mien 1/Documents/My EndNote Library.enl"&gt;My EndNote Library.enl&lt;/database&gt;&lt;source-app name="EndNote" version="17.7"&gt;EndNote&lt;/source-app&gt;&lt;rec-number&gt;230&lt;/rec-number&gt;&lt;foreign-keys&gt;&lt;key app="EN" db-id="5fffp22drvwpzqestfmv2evy2p2esxeppp05"&gt;230&lt;/key&gt;&lt;/foreign-keys&gt;&lt;ref-type name="Journal Article"&gt;17&lt;/ref-type&gt;&lt;contributors&gt;&lt;authors&gt;&lt;author&gt;&lt;style face="normal" font="default" size="100%"&gt;Nugent, D.&lt;/style&gt;&lt;/author&gt;&lt;author&gt;&lt;style face="normal" font="default" size="100%"&gt;McMillan, R.&lt;/style&gt;&lt;/author&gt;&lt;author&gt;&lt;style face="normal" font="default" size="100%"&gt;Nichol, J. L.&lt;/style&gt;&lt;/author&gt;&lt;author&gt;&lt;style face="normal" font="default" size="100%"&gt;Slichter, S. J.&lt;/style&gt;&lt;/author&gt;&lt;/authors&gt;&lt;/contributors&gt;&lt;auth-address&gt;&lt;style face="normal" font="default" size="100%"&gt;Department of Hematology, Children's Hospital of Orange County, Orange, CA, USA.&lt;/style&gt;&lt;/auth-address&gt;&lt;titles&gt;&lt;title&gt;&lt;style face="normal" font="default" size="100%"&gt;Pathogenesis of chronic immune thrombocytopenia: increased platelet destruction and/or decreased platelet production&lt;/style&gt;&lt;/title&gt;&lt;secondary-title&gt;&lt;style face="normal" font="default" size="100%"&gt;Br J Haematol&lt;/style&gt;&lt;/secondary-title&gt;&lt;/titles&gt;&lt;periodical&gt;&lt;full-title&gt;&lt;style face="normal" font="default" size="100%"&gt;Br J Haematol&lt;/style&gt;&lt;/full-title&gt;&lt;/periodical&gt;&lt;pages&gt;&lt;style face="normal" font="default" size="100%"&gt;585-96&lt;/style&gt;&lt;/pages&gt;&lt;volume&gt;&lt;style face="normal" font="default" size="100%"&gt;146&lt;/style&gt;&lt;/volume&gt;&lt;number&gt;&lt;style face="normal" font="default" size="100%"&gt;6&lt;/style&gt;&lt;/number&gt;&lt;keywords&gt;&lt;keyword&gt;&lt;style face="normal" font="default" size="100%"&gt;Autoantibodies/blood&lt;/style&gt;&lt;/keyword&gt;&lt;keyword&gt;&lt;style face="normal" font="default" size="100%"&gt;Blood Platelets/immunology/*pathology&lt;/style&gt;&lt;/keyword&gt;&lt;keyword&gt;&lt;style face="normal" font="default" size="100%"&gt;Chronic Disease&lt;/style&gt;&lt;/keyword&gt;&lt;keyword&gt;&lt;style face="normal" font="default" size="100%"&gt;Humans&lt;/style&gt;&lt;/keyword&gt;&lt;keyword&gt;&lt;style face="normal" font="default" size="100%"&gt;Platelet Count&lt;/style&gt;&lt;/keyword&gt;&lt;keyword&gt;&lt;style face="normal" font="default" size="100%"&gt;Thrombocytopenia/immunology/*pathology&lt;/style&gt;&lt;/keyword&gt;&lt;keyword&gt;&lt;style face="normal" font="default" size="100%"&gt;Thrombopoiesis/immunology&lt;/style&gt;&lt;/keyword&gt;&lt;keyword&gt;&lt;style face="normal" font="default" size="100%"&gt;Thrombopoietin/metabolism&lt;/style&gt;&lt;/keyword&gt;&lt;/keywords&gt;&lt;dates&gt;&lt;year&gt;&lt;style face="normal" font="default" size="100%"&gt;2009&lt;/style&gt;&lt;/year&gt;&lt;pub-dates&gt;&lt;date&gt;&lt;style face="normal" font="default" size="100%"&gt;Sep&lt;/style&gt;&lt;/date&gt;&lt;/pub-dates&gt;&lt;/dates&gt;&lt;isbn&gt;&lt;style face="normal" font="default" size="100%"&gt;1365-2141 (Electronic) 0007-1048 (Linking)&lt;/style&gt;&lt;/isbn&gt;&lt;accession-num&gt;&lt;style face="normal" font="default" size="100%"&gt;19466980&lt;/style&gt;&lt;/accession-num&gt;&lt;abstract&gt;&lt;style face="normal" font="default" size="100%"&gt;Chronic immune thrombocytopenia (ITP) is a haematological disorder in which patients predominantly develop skin and mucosal bleeding. Early studies suggested ITP was primarily due to immune-mediated peripheral platelet destruction. However, increasing evidence indicates that an additional component of this disorder is immune-mediated decreased platelet production that cannot keep pace with platelet destruction. Evidence for increased platelet destruction is thrombocytopenia following ITP plasma infusions in normal subjects, in vitro platelet phagocytosis, and decreased platelet survivals in ITP patients that respond to therapies that prevent in vivo platelet phagocytosis; e.g., intravenous immunoglobulin G, anti-D, corticosteroids, and splenectomy. The cause of platelet destruction in most ITP patients appears to be autoantibody-mediated. However, cytotoxic T lymphocyte-mediated platelet (and possibly megakaryocyte) lysis, may also be important. Studies supporting suppressed platelet production include: reduced platelet turnover in over 80% of ITP patients, morphological evidence of megakaryocyte damage, autoantibody-induced suppression of in vitro megakaryocytopoiesis, and increased platelet counts in most ITP patients following treatment with thrombopoietin receptor agonists. This review summarizes data that indicates that the pathogenesis of chronic ITP may be due to both immune-mediated platelet destruction and/or suppressed platelet production. The relative importance of these two mechanisms undoubtedly varies among patients.&lt;/style&gt;&lt;/abstract&gt;&lt;notes&gt;&lt;style face="normal" font="default" size="100%"&gt;Nugent, Diane McMillan, Robert Nichol, Janet L Slichter, Sherrill J eng Review England 2009/05/27 09:00 Br J Haematol. 2009 Sep;146(6):585-96. doi: 10.1111/j.1365-2141.2009.07717.x. Epub 2009 May 14.&lt;/style&gt;&lt;/notes&gt;&lt;urls&gt;&lt;related-urls&gt;&lt;url&gt;&lt;style face="normal" font="default" size="100%"&gt;https://www.ncbi.nlm.nih.gov/pubmed/19466980&lt;/style&gt;&lt;/url&gt;&lt;/related-urls&gt;&lt;/urls&gt;&lt;electronic-resource-num&gt;&lt;style face="normal" font="default" size="100%"&gt;10.1111/j.1365-2141.2009.07717.x&lt;/style&gt;&lt;/electronic-resource-num&gt;&lt;/record&gt;&lt;/Cite&gt;&lt;/EndNote&gt;</w:instrText>
      </w:r>
      <w:r w:rsidR="0050230B"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0050230B">
        <w:rPr>
          <w:rFonts w:ascii="Book Antiqua" w:eastAsiaTheme="minorEastAsia" w:hAnsi="Book Antiqua" w:hint="eastAsia"/>
          <w:sz w:val="24"/>
          <w:szCs w:val="24"/>
          <w:vertAlign w:val="superscript"/>
        </w:rPr>
        <w:t>16-18</w:t>
      </w:r>
      <w:r w:rsidR="0050230B" w:rsidRPr="0050230B">
        <w:rPr>
          <w:rFonts w:ascii="Book Antiqua" w:eastAsiaTheme="minorEastAsia" w:hAnsi="Book Antiqua" w:hint="eastAsia"/>
          <w:sz w:val="24"/>
          <w:szCs w:val="24"/>
          <w:vertAlign w:val="superscript"/>
        </w:rPr>
        <w:t>]</w:t>
      </w:r>
      <w:r w:rsidR="0050230B" w:rsidRPr="0050230B">
        <w:rPr>
          <w:rFonts w:ascii="Book Antiqua" w:eastAsia="Times New Roman" w:hAnsi="Book Antiqua" w:cs="Times New Roman"/>
          <w:sz w:val="24"/>
          <w:szCs w:val="24"/>
          <w:vertAlign w:val="superscript"/>
        </w:rPr>
        <w:fldChar w:fldCharType="end"/>
      </w:r>
      <w:r w:rsidRPr="006C3DC1">
        <w:rPr>
          <w:rFonts w:ascii="Book Antiqua" w:hAnsi="Book Antiqua"/>
          <w:sz w:val="24"/>
          <w:szCs w:val="24"/>
        </w:rPr>
        <w:t>. Traditionally, for safety, most guidelines recommend a PLT count of at least 30000-5000</w:t>
      </w:r>
      <w:bookmarkEnd w:id="65"/>
      <w:r w:rsidRPr="006C3DC1">
        <w:rPr>
          <w:rFonts w:ascii="Book Antiqua" w:hAnsi="Book Antiqua"/>
          <w:sz w:val="24"/>
          <w:szCs w:val="24"/>
        </w:rPr>
        <w:t>0</w:t>
      </w:r>
      <w:bookmarkStart w:id="66" w:name="OLE_LINK76"/>
      <w:r w:rsidRPr="006C3DC1">
        <w:rPr>
          <w:rFonts w:ascii="Book Antiqua" w:hAnsi="Book Antiqua"/>
          <w:sz w:val="24"/>
          <w:szCs w:val="24"/>
        </w:rPr>
        <w:t>/</w:t>
      </w:r>
      <w:bookmarkStart w:id="67" w:name="OLE_LINK77"/>
      <w:bookmarkEnd w:id="66"/>
      <w:proofErr w:type="spellStart"/>
      <w:r w:rsidRPr="006C3DC1">
        <w:rPr>
          <w:rFonts w:ascii="Book Antiqua" w:hAnsi="Book Antiqua"/>
          <w:sz w:val="24"/>
          <w:szCs w:val="24"/>
        </w:rPr>
        <w:t>μ</w:t>
      </w:r>
      <w:bookmarkEnd w:id="67"/>
      <w:r w:rsidRPr="006C3DC1">
        <w:rPr>
          <w:rFonts w:ascii="Book Antiqua" w:hAnsi="Book Antiqua"/>
          <w:sz w:val="24"/>
          <w:szCs w:val="24"/>
        </w:rPr>
        <w:t>L</w:t>
      </w:r>
      <w:proofErr w:type="spellEnd"/>
      <w:r w:rsidRPr="006C3DC1">
        <w:rPr>
          <w:rFonts w:ascii="Book Antiqua" w:hAnsi="Book Antiqua"/>
          <w:sz w:val="24"/>
          <w:szCs w:val="24"/>
        </w:rPr>
        <w:t xml:space="preserve"> for prophylaxis during surgery</w:t>
      </w:r>
      <w:r w:rsidR="0050230B" w:rsidRPr="0050230B">
        <w:rPr>
          <w:rFonts w:ascii="Book Antiqua" w:eastAsia="Times New Roman" w:hAnsi="Book Antiqua" w:cs="Times New Roman"/>
          <w:sz w:val="24"/>
          <w:szCs w:val="24"/>
          <w:vertAlign w:val="superscript"/>
        </w:rPr>
        <w:fldChar w:fldCharType="begin"/>
      </w:r>
      <w:r w:rsidR="0050230B" w:rsidRPr="0050230B">
        <w:rPr>
          <w:rFonts w:ascii="Book Antiqua" w:eastAsia="Times New Roman" w:hAnsi="Book Antiqua" w:cs="Times New Roman"/>
          <w:sz w:val="24"/>
          <w:szCs w:val="24"/>
          <w:vertAlign w:val="superscript"/>
        </w:rPr>
        <w:instrText xml:space="preserve"> ADDIN EN.CITE &lt;EndNote&gt;&lt;Cite  &gt;&lt;Author&gt;Nugent, D.; McMillan, R.; Nichol, J. L.; Slichter, S. J.&lt;/Author&gt;&lt;Year&gt;2009&lt;/Year&gt;&lt;RecNum&gt;230&lt;/RecNum&gt;&lt;Prefix&gt;&lt;/Prefix&gt;&lt;Suffix&gt;&lt;/Suffix&gt;&lt;Pages&gt;&lt;/Pages&gt;&lt;DisplayText&gt;(2)&lt;/DisplayText&gt;&lt;record&gt;&lt;database name="My EndNote Library.enl" path="/Users/Mien 1/Documents/My EndNote Library.enl"&gt;My EndNote Library.enl&lt;/database&gt;&lt;source-app name="EndNote" version="17.7"&gt;EndNote&lt;/source-app&gt;&lt;rec-number&gt;230&lt;/rec-number&gt;&lt;foreign-keys&gt;&lt;key app="EN" db-id="5fffp22drvwpzqestfmv2evy2p2esxeppp05"&gt;230&lt;/key&gt;&lt;/foreign-keys&gt;&lt;ref-type name="Journal Article"&gt;17&lt;/ref-type&gt;&lt;contributors&gt;&lt;authors&gt;&lt;author&gt;&lt;style face="normal" font="default" size="100%"&gt;Nugent, D.&lt;/style&gt;&lt;/author&gt;&lt;author&gt;&lt;style face="normal" font="default" size="100%"&gt;McMillan, R.&lt;/style&gt;&lt;/author&gt;&lt;author&gt;&lt;style face="normal" font="default" size="100%"&gt;Nichol, J. L.&lt;/style&gt;&lt;/author&gt;&lt;author&gt;&lt;style face="normal" font="default" size="100%"&gt;Slichter, S. J.&lt;/style&gt;&lt;/author&gt;&lt;/authors&gt;&lt;/contributors&gt;&lt;auth-address&gt;&lt;style face="normal" font="default" size="100%"&gt;Department of Hematology, Children's Hospital of Orange County, Orange, CA, USA.&lt;/style&gt;&lt;/auth-address&gt;&lt;titles&gt;&lt;title&gt;&lt;style face="normal" font="default" size="100%"&gt;Pathogenesis of chronic immune thrombocytopenia: increased platelet destruction and/or decreased platelet production&lt;/style&gt;&lt;/title&gt;&lt;secondary-title&gt;&lt;style face="normal" font="default" size="100%"&gt;Br J Haematol&lt;/style&gt;&lt;/secondary-title&gt;&lt;/titles&gt;&lt;periodical&gt;&lt;full-title&gt;&lt;style face="normal" font="default" size="100%"&gt;Br J Haematol&lt;/style&gt;&lt;/full-title&gt;&lt;/periodical&gt;&lt;pages&gt;&lt;style face="normal" font="default" size="100%"&gt;585-96&lt;/style&gt;&lt;/pages&gt;&lt;volume&gt;&lt;style face="normal" font="default" size="100%"&gt;146&lt;/style&gt;&lt;/volume&gt;&lt;number&gt;&lt;style face="normal" font="default" size="100%"&gt;6&lt;/style&gt;&lt;/number&gt;&lt;keywords&gt;&lt;keyword&gt;&lt;style face="normal" font="default" size="100%"&gt;Autoantibodies/blood&lt;/style&gt;&lt;/keyword&gt;&lt;keyword&gt;&lt;style face="normal" font="default" size="100%"&gt;Blood Platelets/immunology/*pathology&lt;/style&gt;&lt;/keyword&gt;&lt;keyword&gt;&lt;style face="normal" font="default" size="100%"&gt;Chronic Disease&lt;/style&gt;&lt;/keyword&gt;&lt;keyword&gt;&lt;style face="normal" font="default" size="100%"&gt;Humans&lt;/style&gt;&lt;/keyword&gt;&lt;keyword&gt;&lt;style face="normal" font="default" size="100%"&gt;Platelet Count&lt;/style&gt;&lt;/keyword&gt;&lt;keyword&gt;&lt;style face="normal" font="default" size="100%"&gt;Thrombocytopenia/immunology/*pathology&lt;/style&gt;&lt;/keyword&gt;&lt;keyword&gt;&lt;style face="normal" font="default" size="100%"&gt;Thrombopoiesis/immunology&lt;/style&gt;&lt;/keyword&gt;&lt;keyword&gt;&lt;style face="normal" font="default" size="100%"&gt;Thrombopoietin/metabolism&lt;/style&gt;&lt;/keyword&gt;&lt;/keywords&gt;&lt;dates&gt;&lt;year&gt;&lt;style face="normal" font="default" size="100%"&gt;2009&lt;/style&gt;&lt;/year&gt;&lt;pub-dates&gt;&lt;date&gt;&lt;style face="normal" font="default" size="100%"&gt;Sep&lt;/style&gt;&lt;/date&gt;&lt;/pub-dates&gt;&lt;/dates&gt;&lt;isbn&gt;&lt;style face="normal" font="default" size="100%"&gt;1365-2141 (Electronic) 0007-1048 (Linking)&lt;/style&gt;&lt;/isbn&gt;&lt;accession-num&gt;&lt;style face="normal" font="default" size="100%"&gt;19466980&lt;/style&gt;&lt;/accession-num&gt;&lt;abstract&gt;&lt;style face="normal" font="default" size="100%"&gt;Chronic immune thrombocytopenia (ITP) is a haematological disorder in which patients predominantly develop skin and mucosal bleeding. Early studies suggested ITP was primarily due to immune-mediated peripheral platelet destruction. However, increasing evidence indicates that an additional component of this disorder is immune-mediated decreased platelet production that cannot keep pace with platelet destruction. Evidence for increased platelet destruction is thrombocytopenia following ITP plasma infusions in normal subjects, in vitro platelet phagocytosis, and decreased platelet survivals in ITP patients that respond to therapies that prevent in vivo platelet phagocytosis; e.g., intravenous immunoglobulin G, anti-D, corticosteroids, and splenectomy. The cause of platelet destruction in most ITP patients appears to be autoantibody-mediated. However, cytotoxic T lymphocyte-mediated platelet (and possibly megakaryocyte) lysis, may also be important. Studies supporting suppressed platelet production include: reduced platelet turnover in over 80% of ITP patients, morphological evidence of megakaryocyte damage, autoantibody-induced suppression of in vitro megakaryocytopoiesis, and increased platelet counts in most ITP patients following treatment with thrombopoietin receptor agonists. This review summarizes data that indicates that the pathogenesis of chronic ITP may be due to both immune-mediated platelet destruction and/or suppressed platelet production. The relative importance of these two mechanisms undoubtedly varies among patients.&lt;/style&gt;&lt;/abstract&gt;&lt;notes&gt;&lt;style face="normal" font="default" size="100%"&gt;Nugent, Diane McMillan, Robert Nichol, Janet L Slichter, Sherrill J eng Review England 2009/05/27 09:00 Br J Haematol. 2009 Sep;146(6):585-96. doi: 10.1111/j.1365-2141.2009.07717.x. Epub 2009 May 14.&lt;/style&gt;&lt;/notes&gt;&lt;urls&gt;&lt;related-urls&gt;&lt;url&gt;&lt;style face="normal" font="default" size="100%"&gt;https://www.ncbi.nlm.nih.gov/pubmed/19466980&lt;/style&gt;&lt;/url&gt;&lt;/related-urls&gt;&lt;/urls&gt;&lt;electronic-resource-num&gt;&lt;style face="normal" font="default" size="100%"&gt;10.1111/j.1365-2141.2009.07717.x&lt;/style&gt;&lt;/electronic-resource-num&gt;&lt;/record&gt;&lt;/Cite&gt;&lt;/EndNote&gt;</w:instrText>
      </w:r>
      <w:r w:rsidR="0050230B"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0050230B">
        <w:rPr>
          <w:rFonts w:ascii="Book Antiqua" w:eastAsiaTheme="minorEastAsia" w:hAnsi="Book Antiqua" w:hint="eastAsia"/>
          <w:sz w:val="24"/>
          <w:szCs w:val="24"/>
          <w:vertAlign w:val="superscript"/>
        </w:rPr>
        <w:t>19,20</w:t>
      </w:r>
      <w:r w:rsidR="0050230B" w:rsidRPr="0050230B">
        <w:rPr>
          <w:rFonts w:ascii="Book Antiqua" w:eastAsiaTheme="minorEastAsia" w:hAnsi="Book Antiqua" w:hint="eastAsia"/>
          <w:sz w:val="24"/>
          <w:szCs w:val="24"/>
          <w:vertAlign w:val="superscript"/>
        </w:rPr>
        <w:t>]</w:t>
      </w:r>
      <w:r w:rsidR="0050230B" w:rsidRPr="0050230B">
        <w:rPr>
          <w:rFonts w:ascii="Book Antiqua" w:eastAsia="Times New Roman" w:hAnsi="Book Antiqua" w:cs="Times New Roman"/>
          <w:sz w:val="24"/>
          <w:szCs w:val="24"/>
          <w:vertAlign w:val="superscript"/>
        </w:rPr>
        <w:fldChar w:fldCharType="end"/>
      </w:r>
      <w:r w:rsidRPr="006C3DC1">
        <w:rPr>
          <w:rFonts w:ascii="Book Antiqua" w:hAnsi="Book Antiqua"/>
          <w:sz w:val="24"/>
          <w:szCs w:val="24"/>
        </w:rPr>
        <w:t xml:space="preserve">. Recently, some researchers reported that a perioperative </w:t>
      </w:r>
      <w:r w:rsidR="00540866" w:rsidRPr="006C3DC1">
        <w:rPr>
          <w:rFonts w:ascii="Book Antiqua" w:hAnsi="Book Antiqua"/>
          <w:sz w:val="24"/>
          <w:szCs w:val="24"/>
        </w:rPr>
        <w:t>PLT</w:t>
      </w:r>
      <w:r w:rsidRPr="006C3DC1">
        <w:rPr>
          <w:rFonts w:ascii="Book Antiqua" w:hAnsi="Book Antiqua"/>
          <w:sz w:val="24"/>
          <w:szCs w:val="24"/>
        </w:rPr>
        <w:t xml:space="preserve"> transfusion might be unnecessary for a laparoscopic splenectomy in ITP patients</w:t>
      </w:r>
      <w:r w:rsidR="0050230B" w:rsidRPr="0050230B">
        <w:rPr>
          <w:rFonts w:ascii="Book Antiqua" w:eastAsia="Times New Roman" w:hAnsi="Book Antiqua" w:cs="Times New Roman"/>
          <w:sz w:val="24"/>
          <w:szCs w:val="24"/>
          <w:vertAlign w:val="superscript"/>
        </w:rPr>
        <w:fldChar w:fldCharType="begin"/>
      </w:r>
      <w:r w:rsidR="0050230B" w:rsidRPr="0050230B">
        <w:rPr>
          <w:rFonts w:ascii="Book Antiqua" w:eastAsia="Times New Roman" w:hAnsi="Book Antiqua" w:cs="Times New Roman"/>
          <w:sz w:val="24"/>
          <w:szCs w:val="24"/>
          <w:vertAlign w:val="superscript"/>
        </w:rPr>
        <w:instrText xml:space="preserve"> ADDIN EN.CITE &lt;EndNote&gt;&lt;Cite  &gt;&lt;Author&gt;Nugent, D.; McMillan, R.; Nichol, J. L.; Slichter, S. J.&lt;/Author&gt;&lt;Year&gt;2009&lt;/Year&gt;&lt;RecNum&gt;230&lt;/RecNum&gt;&lt;Prefix&gt;&lt;/Prefix&gt;&lt;Suffix&gt;&lt;/Suffix&gt;&lt;Pages&gt;&lt;/Pages&gt;&lt;DisplayText&gt;(2)&lt;/DisplayText&gt;&lt;record&gt;&lt;database name="My EndNote Library.enl" path="/Users/Mien 1/Documents/My EndNote Library.enl"&gt;My EndNote Library.enl&lt;/database&gt;&lt;source-app name="EndNote" version="17.7"&gt;EndNote&lt;/source-app&gt;&lt;rec-number&gt;230&lt;/rec-number&gt;&lt;foreign-keys&gt;&lt;key app="EN" db-id="5fffp22drvwpzqestfmv2evy2p2esxeppp05"&gt;230&lt;/key&gt;&lt;/foreign-keys&gt;&lt;ref-type name="Journal Article"&gt;17&lt;/ref-type&gt;&lt;contributors&gt;&lt;authors&gt;&lt;author&gt;&lt;style face="normal" font="default" size="100%"&gt;Nugent, D.&lt;/style&gt;&lt;/author&gt;&lt;author&gt;&lt;style face="normal" font="default" size="100%"&gt;McMillan, R.&lt;/style&gt;&lt;/author&gt;&lt;author&gt;&lt;style face="normal" font="default" size="100%"&gt;Nichol, J. L.&lt;/style&gt;&lt;/author&gt;&lt;author&gt;&lt;style face="normal" font="default" size="100%"&gt;Slichter, S. J.&lt;/style&gt;&lt;/author&gt;&lt;/authors&gt;&lt;/contributors&gt;&lt;auth-address&gt;&lt;style face="normal" font="default" size="100%"&gt;Department of Hematology, Children's Hospital of Orange County, Orange, CA, USA.&lt;/style&gt;&lt;/auth-address&gt;&lt;titles&gt;&lt;title&gt;&lt;style face="normal" font="default" size="100%"&gt;Pathogenesis of chronic immune thrombocytopenia: increased platelet destruction and/or decreased platelet production&lt;/style&gt;&lt;/title&gt;&lt;secondary-title&gt;&lt;style face="normal" font="default" size="100%"&gt;Br J Haematol&lt;/style&gt;&lt;/secondary-title&gt;&lt;/titles&gt;&lt;periodical&gt;&lt;full-title&gt;&lt;style face="normal" font="default" size="100%"&gt;Br J Haematol&lt;/style&gt;&lt;/full-title&gt;&lt;/periodical&gt;&lt;pages&gt;&lt;style face="normal" font="default" size="100%"&gt;585-96&lt;/style&gt;&lt;/pages&gt;&lt;volume&gt;&lt;style face="normal" font="default" size="100%"&gt;146&lt;/style&gt;&lt;/volume&gt;&lt;number&gt;&lt;style face="normal" font="default" size="100%"&gt;6&lt;/style&gt;&lt;/number&gt;&lt;keywords&gt;&lt;keyword&gt;&lt;style face="normal" font="default" size="100%"&gt;Autoantibodies/blood&lt;/style&gt;&lt;/keyword&gt;&lt;keyword&gt;&lt;style face="normal" font="default" size="100%"&gt;Blood Platelets/immunology/*pathology&lt;/style&gt;&lt;/keyword&gt;&lt;keyword&gt;&lt;style face="normal" font="default" size="100%"&gt;Chronic Disease&lt;/style&gt;&lt;/keyword&gt;&lt;keyword&gt;&lt;style face="normal" font="default" size="100%"&gt;Humans&lt;/style&gt;&lt;/keyword&gt;&lt;keyword&gt;&lt;style face="normal" font="default" size="100%"&gt;Platelet Count&lt;/style&gt;&lt;/keyword&gt;&lt;keyword&gt;&lt;style face="normal" font="default" size="100%"&gt;Thrombocytopenia/immunology/*pathology&lt;/style&gt;&lt;/keyword&gt;&lt;keyword&gt;&lt;style face="normal" font="default" size="100%"&gt;Thrombopoiesis/immunology&lt;/style&gt;&lt;/keyword&gt;&lt;keyword&gt;&lt;style face="normal" font="default" size="100%"&gt;Thrombopoietin/metabolism&lt;/style&gt;&lt;/keyword&gt;&lt;/keywords&gt;&lt;dates&gt;&lt;year&gt;&lt;style face="normal" font="default" size="100%"&gt;2009&lt;/style&gt;&lt;/year&gt;&lt;pub-dates&gt;&lt;date&gt;&lt;style face="normal" font="default" size="100%"&gt;Sep&lt;/style&gt;&lt;/date&gt;&lt;/pub-dates&gt;&lt;/dates&gt;&lt;isbn&gt;&lt;style face="normal" font="default" size="100%"&gt;1365-2141 (Electronic) 0007-1048 (Linking)&lt;/style&gt;&lt;/isbn&gt;&lt;accession-num&gt;&lt;style face="normal" font="default" size="100%"&gt;19466980&lt;/style&gt;&lt;/accession-num&gt;&lt;abstract&gt;&lt;style face="normal" font="default" size="100%"&gt;Chronic immune thrombocytopenia (ITP) is a haematological disorder in which patients predominantly develop skin and mucosal bleeding. Early studies suggested ITP was primarily due to immune-mediated peripheral platelet destruction. However, increasing evidence indicates that an additional component of this disorder is immune-mediated decreased platelet production that cannot keep pace with platelet destruction. Evidence for increased platelet destruction is thrombocytopenia following ITP plasma infusions in normal subjects, in vitro platelet phagocytosis, and decreased platelet survivals in ITP patients that respond to therapies that prevent in vivo platelet phagocytosis; e.g., intravenous immunoglobulin G, anti-D, corticosteroids, and splenectomy. The cause of platelet destruction in most ITP patients appears to be autoantibody-mediated. However, cytotoxic T lymphocyte-mediated platelet (and possibly megakaryocyte) lysis, may also be important. Studies supporting suppressed platelet production include: reduced platelet turnover in over 80% of ITP patients, morphological evidence of megakaryocyte damage, autoantibody-induced suppression of in vitro megakaryocytopoiesis, and increased platelet counts in most ITP patients following treatment with thrombopoietin receptor agonists. This review summarizes data that indicates that the pathogenesis of chronic ITP may be due to both immune-mediated platelet destruction and/or suppressed platelet production. The relative importance of these two mechanisms undoubtedly varies among patients.&lt;/style&gt;&lt;/abstract&gt;&lt;notes&gt;&lt;style face="normal" font="default" size="100%"&gt;Nugent, Diane McMillan, Robert Nichol, Janet L Slichter, Sherrill J eng Review England 2009/05/27 09:00 Br J Haematol. 2009 Sep;146(6):585-96. doi: 10.1111/j.1365-2141.2009.07717.x. Epub 2009 May 14.&lt;/style&gt;&lt;/notes&gt;&lt;urls&gt;&lt;related-urls&gt;&lt;url&gt;&lt;style face="normal" font="default" size="100%"&gt;https://www.ncbi.nlm.nih.gov/pubmed/19466980&lt;/style&gt;&lt;/url&gt;&lt;/related-urls&gt;&lt;/urls&gt;&lt;electronic-resource-num&gt;&lt;style face="normal" font="default" size="100%"&gt;10.1111/j.1365-2141.2009.07717.x&lt;/style&gt;&lt;/electronic-resource-num&gt;&lt;/record&gt;&lt;/Cite&gt;&lt;/EndNote&gt;</w:instrText>
      </w:r>
      <w:r w:rsidR="0050230B"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0050230B" w:rsidRPr="0050230B">
        <w:rPr>
          <w:rFonts w:ascii="Book Antiqua" w:hAnsi="Book Antiqua"/>
          <w:sz w:val="24"/>
          <w:szCs w:val="24"/>
          <w:vertAlign w:val="superscript"/>
        </w:rPr>
        <w:t>2</w:t>
      </w:r>
      <w:r w:rsidR="0050230B">
        <w:rPr>
          <w:rFonts w:ascii="Book Antiqua" w:eastAsiaTheme="minorEastAsia" w:hAnsi="Book Antiqua" w:hint="eastAsia"/>
          <w:sz w:val="24"/>
          <w:szCs w:val="24"/>
          <w:vertAlign w:val="superscript"/>
        </w:rPr>
        <w:t>1,22</w:t>
      </w:r>
      <w:r w:rsidR="0050230B" w:rsidRPr="0050230B">
        <w:rPr>
          <w:rFonts w:ascii="Book Antiqua" w:eastAsiaTheme="minorEastAsia" w:hAnsi="Book Antiqua" w:hint="eastAsia"/>
          <w:sz w:val="24"/>
          <w:szCs w:val="24"/>
          <w:vertAlign w:val="superscript"/>
        </w:rPr>
        <w:t>]</w:t>
      </w:r>
      <w:r w:rsidR="0050230B" w:rsidRPr="0050230B">
        <w:rPr>
          <w:rFonts w:ascii="Book Antiqua" w:eastAsia="Times New Roman" w:hAnsi="Book Antiqua" w:cs="Times New Roman"/>
          <w:sz w:val="24"/>
          <w:szCs w:val="24"/>
          <w:vertAlign w:val="superscript"/>
        </w:rPr>
        <w:fldChar w:fldCharType="end"/>
      </w:r>
      <w:r w:rsidRPr="006C3DC1">
        <w:rPr>
          <w:rFonts w:ascii="Book Antiqua" w:hAnsi="Book Antiqua"/>
          <w:sz w:val="24"/>
          <w:szCs w:val="24"/>
        </w:rPr>
        <w:t xml:space="preserve">. However, there is still a lack of evidence to guide preoperative </w:t>
      </w:r>
      <w:r w:rsidR="00540866" w:rsidRPr="006C3DC1">
        <w:rPr>
          <w:rFonts w:ascii="Book Antiqua" w:hAnsi="Book Antiqua"/>
          <w:sz w:val="24"/>
          <w:szCs w:val="24"/>
        </w:rPr>
        <w:t>PLT</w:t>
      </w:r>
      <w:r w:rsidRPr="006C3DC1">
        <w:rPr>
          <w:rFonts w:ascii="Book Antiqua" w:hAnsi="Book Antiqua"/>
          <w:sz w:val="24"/>
          <w:szCs w:val="24"/>
        </w:rPr>
        <w:t xml:space="preserve"> transfusions used as prophylaxis for surgery, </w:t>
      </w:r>
      <w:r w:rsidRPr="006C3DC1">
        <w:rPr>
          <w:rFonts w:ascii="Book Antiqua" w:hAnsi="Book Antiqua"/>
          <w:sz w:val="24"/>
          <w:szCs w:val="24"/>
        </w:rPr>
        <w:lastRenderedPageBreak/>
        <w:t>especially for those with high bleeding risks. In this case, a PLT transfusion resulted in a rapid rise of PLT count ranging from 30000 to 60000/</w:t>
      </w:r>
      <w:proofErr w:type="spellStart"/>
      <w:r w:rsidRPr="006C3DC1">
        <w:rPr>
          <w:rFonts w:ascii="Book Antiqua" w:hAnsi="Book Antiqua"/>
          <w:sz w:val="24"/>
          <w:szCs w:val="24"/>
        </w:rPr>
        <w:t>μL</w:t>
      </w:r>
      <w:proofErr w:type="spellEnd"/>
      <w:r w:rsidRPr="006C3DC1">
        <w:rPr>
          <w:rFonts w:ascii="Book Antiqua" w:hAnsi="Book Antiqua"/>
          <w:sz w:val="24"/>
          <w:szCs w:val="24"/>
        </w:rPr>
        <w:t xml:space="preserve"> during the operation and ensured a successful surgery.</w:t>
      </w:r>
    </w:p>
    <w:p w:rsidR="00847F85" w:rsidRPr="006C3DC1" w:rsidRDefault="00141C1D" w:rsidP="0050230B">
      <w:pPr>
        <w:spacing w:line="360" w:lineRule="auto"/>
        <w:ind w:firstLineChars="100" w:firstLine="240"/>
        <w:jc w:val="both"/>
        <w:rPr>
          <w:rFonts w:ascii="Book Antiqua" w:eastAsia="Times New Roman" w:hAnsi="Book Antiqua" w:cs="Times New Roman"/>
          <w:b/>
          <w:bCs/>
          <w:sz w:val="24"/>
          <w:szCs w:val="24"/>
        </w:rPr>
      </w:pPr>
      <w:bookmarkStart w:id="68" w:name="OLE_LINK60"/>
      <w:bookmarkStart w:id="69" w:name="OLE_LINK61"/>
      <w:bookmarkStart w:id="70" w:name="OLE_LINK62"/>
      <w:r w:rsidRPr="006C3DC1">
        <w:rPr>
          <w:rFonts w:ascii="Book Antiqua" w:hAnsi="Book Antiqua"/>
          <w:sz w:val="24"/>
          <w:szCs w:val="24"/>
        </w:rPr>
        <w:t>Postoperative</w:t>
      </w:r>
      <w:bookmarkEnd w:id="68"/>
      <w:bookmarkEnd w:id="69"/>
      <w:bookmarkEnd w:id="70"/>
      <w:r w:rsidRPr="006C3DC1">
        <w:rPr>
          <w:rFonts w:ascii="Book Antiqua" w:hAnsi="Book Antiqua"/>
          <w:sz w:val="24"/>
          <w:szCs w:val="24"/>
        </w:rPr>
        <w:t xml:space="preserve"> patients for advanced </w:t>
      </w:r>
      <w:bookmarkStart w:id="71" w:name="OLE_LINK58"/>
      <w:bookmarkStart w:id="72" w:name="OLE_LINK59"/>
      <w:r w:rsidRPr="006C3DC1">
        <w:rPr>
          <w:rFonts w:ascii="Book Antiqua" w:hAnsi="Book Antiqua"/>
          <w:sz w:val="24"/>
          <w:szCs w:val="24"/>
        </w:rPr>
        <w:t>gastric cancer generally suffer from various complications</w:t>
      </w:r>
      <w:bookmarkEnd w:id="71"/>
      <w:bookmarkEnd w:id="72"/>
      <w:r w:rsidRPr="006C3DC1">
        <w:rPr>
          <w:rFonts w:ascii="Book Antiqua" w:hAnsi="Book Antiqua"/>
          <w:sz w:val="24"/>
          <w:szCs w:val="24"/>
        </w:rPr>
        <w:t>, such as infection and malnutrition</w:t>
      </w:r>
      <w:r w:rsidR="0050230B" w:rsidRPr="0050230B">
        <w:rPr>
          <w:rFonts w:ascii="Book Antiqua" w:eastAsia="Times New Roman" w:hAnsi="Book Antiqua" w:cs="Times New Roman"/>
          <w:sz w:val="24"/>
          <w:szCs w:val="24"/>
          <w:vertAlign w:val="superscript"/>
        </w:rPr>
        <w:fldChar w:fldCharType="begin"/>
      </w:r>
      <w:r w:rsidR="0050230B" w:rsidRPr="0050230B">
        <w:rPr>
          <w:rFonts w:ascii="Book Antiqua" w:eastAsia="Times New Roman" w:hAnsi="Book Antiqua" w:cs="Times New Roman"/>
          <w:sz w:val="24"/>
          <w:szCs w:val="24"/>
          <w:vertAlign w:val="superscript"/>
        </w:rPr>
        <w:instrText xml:space="preserve"> ADDIN EN.CITE &lt;EndNote&gt;&lt;Cite  &gt;&lt;Author&gt;Nugent, D.; McMillan, R.; Nichol, J. L.; Slichter, S. J.&lt;/Author&gt;&lt;Year&gt;2009&lt;/Year&gt;&lt;RecNum&gt;230&lt;/RecNum&gt;&lt;Prefix&gt;&lt;/Prefix&gt;&lt;Suffix&gt;&lt;/Suffix&gt;&lt;Pages&gt;&lt;/Pages&gt;&lt;DisplayText&gt;(2)&lt;/DisplayText&gt;&lt;record&gt;&lt;database name="My EndNote Library.enl" path="/Users/Mien 1/Documents/My EndNote Library.enl"&gt;My EndNote Library.enl&lt;/database&gt;&lt;source-app name="EndNote" version="17.7"&gt;EndNote&lt;/source-app&gt;&lt;rec-number&gt;230&lt;/rec-number&gt;&lt;foreign-keys&gt;&lt;key app="EN" db-id="5fffp22drvwpzqestfmv2evy2p2esxeppp05"&gt;230&lt;/key&gt;&lt;/foreign-keys&gt;&lt;ref-type name="Journal Article"&gt;17&lt;/ref-type&gt;&lt;contributors&gt;&lt;authors&gt;&lt;author&gt;&lt;style face="normal" font="default" size="100%"&gt;Nugent, D.&lt;/style&gt;&lt;/author&gt;&lt;author&gt;&lt;style face="normal" font="default" size="100%"&gt;McMillan, R.&lt;/style&gt;&lt;/author&gt;&lt;author&gt;&lt;style face="normal" font="default" size="100%"&gt;Nichol, J. L.&lt;/style&gt;&lt;/author&gt;&lt;author&gt;&lt;style face="normal" font="default" size="100%"&gt;Slichter, S. J.&lt;/style&gt;&lt;/author&gt;&lt;/authors&gt;&lt;/contributors&gt;&lt;auth-address&gt;&lt;style face="normal" font="default" size="100%"&gt;Department of Hematology, Children's Hospital of Orange County, Orange, CA, USA.&lt;/style&gt;&lt;/auth-address&gt;&lt;titles&gt;&lt;title&gt;&lt;style face="normal" font="default" size="100%"&gt;Pathogenesis of chronic immune thrombocytopenia: increased platelet destruction and/or decreased platelet production&lt;/style&gt;&lt;/title&gt;&lt;secondary-title&gt;&lt;style face="normal" font="default" size="100%"&gt;Br J Haematol&lt;/style&gt;&lt;/secondary-title&gt;&lt;/titles&gt;&lt;periodical&gt;&lt;full-title&gt;&lt;style face="normal" font="default" size="100%"&gt;Br J Haematol&lt;/style&gt;&lt;/full-title&gt;&lt;/periodical&gt;&lt;pages&gt;&lt;style face="normal" font="default" size="100%"&gt;585-96&lt;/style&gt;&lt;/pages&gt;&lt;volume&gt;&lt;style face="normal" font="default" size="100%"&gt;146&lt;/style&gt;&lt;/volume&gt;&lt;number&gt;&lt;style face="normal" font="default" size="100%"&gt;6&lt;/style&gt;&lt;/number&gt;&lt;keywords&gt;&lt;keyword&gt;&lt;style face="normal" font="default" size="100%"&gt;Autoantibodies/blood&lt;/style&gt;&lt;/keyword&gt;&lt;keyword&gt;&lt;style face="normal" font="default" size="100%"&gt;Blood Platelets/immunology/*pathology&lt;/style&gt;&lt;/keyword&gt;&lt;keyword&gt;&lt;style face="normal" font="default" size="100%"&gt;Chronic Disease&lt;/style&gt;&lt;/keyword&gt;&lt;keyword&gt;&lt;style face="normal" font="default" size="100%"&gt;Humans&lt;/style&gt;&lt;/keyword&gt;&lt;keyword&gt;&lt;style face="normal" font="default" size="100%"&gt;Platelet Count&lt;/style&gt;&lt;/keyword&gt;&lt;keyword&gt;&lt;style face="normal" font="default" size="100%"&gt;Thrombocytopenia/immunology/*pathology&lt;/style&gt;&lt;/keyword&gt;&lt;keyword&gt;&lt;style face="normal" font="default" size="100%"&gt;Thrombopoiesis/immunology&lt;/style&gt;&lt;/keyword&gt;&lt;keyword&gt;&lt;style face="normal" font="default" size="100%"&gt;Thrombopoietin/metabolism&lt;/style&gt;&lt;/keyword&gt;&lt;/keywords&gt;&lt;dates&gt;&lt;year&gt;&lt;style face="normal" font="default" size="100%"&gt;2009&lt;/style&gt;&lt;/year&gt;&lt;pub-dates&gt;&lt;date&gt;&lt;style face="normal" font="default" size="100%"&gt;Sep&lt;/style&gt;&lt;/date&gt;&lt;/pub-dates&gt;&lt;/dates&gt;&lt;isbn&gt;&lt;style face="normal" font="default" size="100%"&gt;1365-2141 (Electronic) 0007-1048 (Linking)&lt;/style&gt;&lt;/isbn&gt;&lt;accession-num&gt;&lt;style face="normal" font="default" size="100%"&gt;19466980&lt;/style&gt;&lt;/accession-num&gt;&lt;abstract&gt;&lt;style face="normal" font="default" size="100%"&gt;Chronic immune thrombocytopenia (ITP) is a haematological disorder in which patients predominantly develop skin and mucosal bleeding. Early studies suggested ITP was primarily due to immune-mediated peripheral platelet destruction. However, increasing evidence indicates that an additional component of this disorder is immune-mediated decreased platelet production that cannot keep pace with platelet destruction. Evidence for increased platelet destruction is thrombocytopenia following ITP plasma infusions in normal subjects, in vitro platelet phagocytosis, and decreased platelet survivals in ITP patients that respond to therapies that prevent in vivo platelet phagocytosis; e.g., intravenous immunoglobulin G, anti-D, corticosteroids, and splenectomy. The cause of platelet destruction in most ITP patients appears to be autoantibody-mediated. However, cytotoxic T lymphocyte-mediated platelet (and possibly megakaryocyte) lysis, may also be important. Studies supporting suppressed platelet production include: reduced platelet turnover in over 80% of ITP patients, morphological evidence of megakaryocyte damage, autoantibody-induced suppression of in vitro megakaryocytopoiesis, and increased platelet counts in most ITP patients following treatment with thrombopoietin receptor agonists. This review summarizes data that indicates that the pathogenesis of chronic ITP may be due to both immune-mediated platelet destruction and/or suppressed platelet production. The relative importance of these two mechanisms undoubtedly varies among patients.&lt;/style&gt;&lt;/abstract&gt;&lt;notes&gt;&lt;style face="normal" font="default" size="100%"&gt;Nugent, Diane McMillan, Robert Nichol, Janet L Slichter, Sherrill J eng Review England 2009/05/27 09:00 Br J Haematol. 2009 Sep;146(6):585-96. doi: 10.1111/j.1365-2141.2009.07717.x. Epub 2009 May 14.&lt;/style&gt;&lt;/notes&gt;&lt;urls&gt;&lt;related-urls&gt;&lt;url&gt;&lt;style face="normal" font="default" size="100%"&gt;https://www.ncbi.nlm.nih.gov/pubmed/19466980&lt;/style&gt;&lt;/url&gt;&lt;/related-urls&gt;&lt;/urls&gt;&lt;electronic-resource-num&gt;&lt;style face="normal" font="default" size="100%"&gt;10.1111/j.1365-2141.2009.07717.x&lt;/style&gt;&lt;/electronic-resource-num&gt;&lt;/record&gt;&lt;/Cite&gt;&lt;/EndNote&gt;</w:instrText>
      </w:r>
      <w:r w:rsidR="0050230B"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0050230B" w:rsidRPr="0050230B">
        <w:rPr>
          <w:rFonts w:ascii="Book Antiqua" w:hAnsi="Book Antiqua"/>
          <w:sz w:val="24"/>
          <w:szCs w:val="24"/>
          <w:vertAlign w:val="superscript"/>
        </w:rPr>
        <w:t>2</w:t>
      </w:r>
      <w:r w:rsidR="0050230B">
        <w:rPr>
          <w:rFonts w:ascii="Book Antiqua" w:eastAsiaTheme="minorEastAsia" w:hAnsi="Book Antiqua" w:hint="eastAsia"/>
          <w:sz w:val="24"/>
          <w:szCs w:val="24"/>
          <w:vertAlign w:val="superscript"/>
        </w:rPr>
        <w:t>3</w:t>
      </w:r>
      <w:r w:rsidR="0050230B" w:rsidRPr="0050230B">
        <w:rPr>
          <w:rFonts w:ascii="Book Antiqua" w:eastAsiaTheme="minorEastAsia" w:hAnsi="Book Antiqua" w:hint="eastAsia"/>
          <w:sz w:val="24"/>
          <w:szCs w:val="24"/>
          <w:vertAlign w:val="superscript"/>
        </w:rPr>
        <w:t>]</w:t>
      </w:r>
      <w:r w:rsidR="0050230B" w:rsidRPr="0050230B">
        <w:rPr>
          <w:rFonts w:ascii="Book Antiqua" w:eastAsia="Times New Roman" w:hAnsi="Book Antiqua" w:cs="Times New Roman"/>
          <w:sz w:val="24"/>
          <w:szCs w:val="24"/>
          <w:vertAlign w:val="superscript"/>
        </w:rPr>
        <w:fldChar w:fldCharType="end"/>
      </w:r>
      <w:r w:rsidRPr="006C3DC1">
        <w:rPr>
          <w:rFonts w:ascii="Book Antiqua" w:hAnsi="Book Antiqua"/>
          <w:sz w:val="24"/>
          <w:szCs w:val="24"/>
        </w:rPr>
        <w:t>. Early EN is important to implement as a way to accelerate rehabilitation of intestinal function and immune response in patients undergoing a gastrectomy, especially in patients with severe complication</w:t>
      </w:r>
      <w:r w:rsidR="0050230B" w:rsidRPr="0050230B">
        <w:rPr>
          <w:rFonts w:ascii="Book Antiqua" w:eastAsia="Times New Roman" w:hAnsi="Book Antiqua" w:cs="Times New Roman"/>
          <w:sz w:val="24"/>
          <w:szCs w:val="24"/>
          <w:vertAlign w:val="superscript"/>
        </w:rPr>
        <w:fldChar w:fldCharType="begin"/>
      </w:r>
      <w:r w:rsidR="0050230B" w:rsidRPr="0050230B">
        <w:rPr>
          <w:rFonts w:ascii="Book Antiqua" w:eastAsia="Times New Roman" w:hAnsi="Book Antiqua" w:cs="Times New Roman"/>
          <w:sz w:val="24"/>
          <w:szCs w:val="24"/>
          <w:vertAlign w:val="superscript"/>
        </w:rPr>
        <w:instrText xml:space="preserve"> ADDIN EN.CITE &lt;EndNote&gt;&lt;Cite  &gt;&lt;Author&gt;Nugent, D.; McMillan, R.; Nichol, J. L.; Slichter, S. J.&lt;/Author&gt;&lt;Year&gt;2009&lt;/Year&gt;&lt;RecNum&gt;230&lt;/RecNum&gt;&lt;Prefix&gt;&lt;/Prefix&gt;&lt;Suffix&gt;&lt;/Suffix&gt;&lt;Pages&gt;&lt;/Pages&gt;&lt;DisplayText&gt;(2)&lt;/DisplayText&gt;&lt;record&gt;&lt;database name="My EndNote Library.enl" path="/Users/Mien 1/Documents/My EndNote Library.enl"&gt;My EndNote Library.enl&lt;/database&gt;&lt;source-app name="EndNote" version="17.7"&gt;EndNote&lt;/source-app&gt;&lt;rec-number&gt;230&lt;/rec-number&gt;&lt;foreign-keys&gt;&lt;key app="EN" db-id="5fffp22drvwpzqestfmv2evy2p2esxeppp05"&gt;230&lt;/key&gt;&lt;/foreign-keys&gt;&lt;ref-type name="Journal Article"&gt;17&lt;/ref-type&gt;&lt;contributors&gt;&lt;authors&gt;&lt;author&gt;&lt;style face="normal" font="default" size="100%"&gt;Nugent, D.&lt;/style&gt;&lt;/author&gt;&lt;author&gt;&lt;style face="normal" font="default" size="100%"&gt;McMillan, R.&lt;/style&gt;&lt;/author&gt;&lt;author&gt;&lt;style face="normal" font="default" size="100%"&gt;Nichol, J. L.&lt;/style&gt;&lt;/author&gt;&lt;author&gt;&lt;style face="normal" font="default" size="100%"&gt;Slichter, S. J.&lt;/style&gt;&lt;/author&gt;&lt;/authors&gt;&lt;/contributors&gt;&lt;auth-address&gt;&lt;style face="normal" font="default" size="100%"&gt;Department of Hematology, Children's Hospital of Orange County, Orange, CA, USA.&lt;/style&gt;&lt;/auth-address&gt;&lt;titles&gt;&lt;title&gt;&lt;style face="normal" font="default" size="100%"&gt;Pathogenesis of chronic immune thrombocytopenia: increased platelet destruction and/or decreased platelet production&lt;/style&gt;&lt;/title&gt;&lt;secondary-title&gt;&lt;style face="normal" font="default" size="100%"&gt;Br J Haematol&lt;/style&gt;&lt;/secondary-title&gt;&lt;/titles&gt;&lt;periodical&gt;&lt;full-title&gt;&lt;style face="normal" font="default" size="100%"&gt;Br J Haematol&lt;/style&gt;&lt;/full-title&gt;&lt;/periodical&gt;&lt;pages&gt;&lt;style face="normal" font="default" size="100%"&gt;585-96&lt;/style&gt;&lt;/pages&gt;&lt;volume&gt;&lt;style face="normal" font="default" size="100%"&gt;146&lt;/style&gt;&lt;/volume&gt;&lt;number&gt;&lt;style face="normal" font="default" size="100%"&gt;6&lt;/style&gt;&lt;/number&gt;&lt;keywords&gt;&lt;keyword&gt;&lt;style face="normal" font="default" size="100%"&gt;Autoantibodies/blood&lt;/style&gt;&lt;/keyword&gt;&lt;keyword&gt;&lt;style face="normal" font="default" size="100%"&gt;Blood Platelets/immunology/*pathology&lt;/style&gt;&lt;/keyword&gt;&lt;keyword&gt;&lt;style face="normal" font="default" size="100%"&gt;Chronic Disease&lt;/style&gt;&lt;/keyword&gt;&lt;keyword&gt;&lt;style face="normal" font="default" size="100%"&gt;Humans&lt;/style&gt;&lt;/keyword&gt;&lt;keyword&gt;&lt;style face="normal" font="default" size="100%"&gt;Platelet Count&lt;/style&gt;&lt;/keyword&gt;&lt;keyword&gt;&lt;style face="normal" font="default" size="100%"&gt;Thrombocytopenia/immunology/*pathology&lt;/style&gt;&lt;/keyword&gt;&lt;keyword&gt;&lt;style face="normal" font="default" size="100%"&gt;Thrombopoiesis/immunology&lt;/style&gt;&lt;/keyword&gt;&lt;keyword&gt;&lt;style face="normal" font="default" size="100%"&gt;Thrombopoietin/metabolism&lt;/style&gt;&lt;/keyword&gt;&lt;/keywords&gt;&lt;dates&gt;&lt;year&gt;&lt;style face="normal" font="default" size="100%"&gt;2009&lt;/style&gt;&lt;/year&gt;&lt;pub-dates&gt;&lt;date&gt;&lt;style face="normal" font="default" size="100%"&gt;Sep&lt;/style&gt;&lt;/date&gt;&lt;/pub-dates&gt;&lt;/dates&gt;&lt;isbn&gt;&lt;style face="normal" font="default" size="100%"&gt;1365-2141 (Electronic) 0007-1048 (Linking)&lt;/style&gt;&lt;/isbn&gt;&lt;accession-num&gt;&lt;style face="normal" font="default" size="100%"&gt;19466980&lt;/style&gt;&lt;/accession-num&gt;&lt;abstract&gt;&lt;style face="normal" font="default" size="100%"&gt;Chronic immune thrombocytopenia (ITP) is a haematological disorder in which patients predominantly develop skin and mucosal bleeding. Early studies suggested ITP was primarily due to immune-mediated peripheral platelet destruction. However, increasing evidence indicates that an additional component of this disorder is immune-mediated decreased platelet production that cannot keep pace with platelet destruction. Evidence for increased platelet destruction is thrombocytopenia following ITP plasma infusions in normal subjects, in vitro platelet phagocytosis, and decreased platelet survivals in ITP patients that respond to therapies that prevent in vivo platelet phagocytosis; e.g., intravenous immunoglobulin G, anti-D, corticosteroids, and splenectomy. The cause of platelet destruction in most ITP patients appears to be autoantibody-mediated. However, cytotoxic T lymphocyte-mediated platelet (and possibly megakaryocyte) lysis, may also be important. Studies supporting suppressed platelet production include: reduced platelet turnover in over 80% of ITP patients, morphological evidence of megakaryocyte damage, autoantibody-induced suppression of in vitro megakaryocytopoiesis, and increased platelet counts in most ITP patients following treatment with thrombopoietin receptor agonists. This review summarizes data that indicates that the pathogenesis of chronic ITP may be due to both immune-mediated platelet destruction and/or suppressed platelet production. The relative importance of these two mechanisms undoubtedly varies among patients.&lt;/style&gt;&lt;/abstract&gt;&lt;notes&gt;&lt;style face="normal" font="default" size="100%"&gt;Nugent, Diane McMillan, Robert Nichol, Janet L Slichter, Sherrill J eng Review England 2009/05/27 09:00 Br J Haematol. 2009 Sep;146(6):585-96. doi: 10.1111/j.1365-2141.2009.07717.x. Epub 2009 May 14.&lt;/style&gt;&lt;/notes&gt;&lt;urls&gt;&lt;related-urls&gt;&lt;url&gt;&lt;style face="normal" font="default" size="100%"&gt;https://www.ncbi.nlm.nih.gov/pubmed/19466980&lt;/style&gt;&lt;/url&gt;&lt;/related-urls&gt;&lt;/urls&gt;&lt;electronic-resource-num&gt;&lt;style face="normal" font="default" size="100%"&gt;10.1111/j.1365-2141.2009.07717.x&lt;/style&gt;&lt;/electronic-resource-num&gt;&lt;/record&gt;&lt;/Cite&gt;&lt;/EndNote&gt;</w:instrText>
      </w:r>
      <w:r w:rsidR="0050230B"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0050230B" w:rsidRPr="0050230B">
        <w:rPr>
          <w:rFonts w:ascii="Book Antiqua" w:hAnsi="Book Antiqua"/>
          <w:sz w:val="24"/>
          <w:szCs w:val="24"/>
          <w:vertAlign w:val="superscript"/>
        </w:rPr>
        <w:t>2</w:t>
      </w:r>
      <w:r w:rsidR="0050230B">
        <w:rPr>
          <w:rFonts w:ascii="Book Antiqua" w:eastAsiaTheme="minorEastAsia" w:hAnsi="Book Antiqua" w:hint="eastAsia"/>
          <w:sz w:val="24"/>
          <w:szCs w:val="24"/>
          <w:vertAlign w:val="superscript"/>
        </w:rPr>
        <w:t>4</w:t>
      </w:r>
      <w:r w:rsidR="0050230B" w:rsidRPr="0050230B">
        <w:rPr>
          <w:rFonts w:ascii="Book Antiqua" w:eastAsiaTheme="minorEastAsia" w:hAnsi="Book Antiqua" w:hint="eastAsia"/>
          <w:sz w:val="24"/>
          <w:szCs w:val="24"/>
          <w:vertAlign w:val="superscript"/>
        </w:rPr>
        <w:t>]</w:t>
      </w:r>
      <w:r w:rsidR="0050230B" w:rsidRPr="0050230B">
        <w:rPr>
          <w:rFonts w:ascii="Book Antiqua" w:eastAsia="Times New Roman" w:hAnsi="Book Antiqua" w:cs="Times New Roman"/>
          <w:sz w:val="24"/>
          <w:szCs w:val="24"/>
          <w:vertAlign w:val="superscript"/>
        </w:rPr>
        <w:fldChar w:fldCharType="end"/>
      </w:r>
      <w:r w:rsidRPr="006C3DC1">
        <w:rPr>
          <w:rFonts w:ascii="Book Antiqua" w:hAnsi="Book Antiqua"/>
          <w:sz w:val="24"/>
          <w:szCs w:val="24"/>
        </w:rPr>
        <w:t>.</w:t>
      </w:r>
      <w:bookmarkStart w:id="73" w:name="OLE_LINK1"/>
      <w:r w:rsidRPr="006C3DC1">
        <w:rPr>
          <w:rFonts w:ascii="Book Antiqua" w:hAnsi="Book Antiqua"/>
          <w:sz w:val="24"/>
          <w:szCs w:val="24"/>
        </w:rPr>
        <w:t xml:space="preserve"> </w:t>
      </w:r>
      <w:bookmarkStart w:id="74" w:name="OLE_LINK2"/>
      <w:bookmarkStart w:id="75" w:name="OLE_LINK63"/>
      <w:bookmarkStart w:id="76" w:name="OLE_LINK64"/>
      <w:bookmarkEnd w:id="73"/>
      <w:r w:rsidRPr="006C3DC1">
        <w:rPr>
          <w:rFonts w:ascii="Book Antiqua" w:hAnsi="Book Antiqua"/>
          <w:sz w:val="24"/>
          <w:szCs w:val="24"/>
        </w:rPr>
        <w:t>N</w:t>
      </w:r>
      <w:bookmarkStart w:id="77" w:name="OLE_LINK7"/>
      <w:bookmarkEnd w:id="74"/>
      <w:r w:rsidRPr="006C3DC1">
        <w:rPr>
          <w:rFonts w:ascii="Book Antiqua" w:hAnsi="Book Antiqua"/>
          <w:sz w:val="24"/>
          <w:szCs w:val="24"/>
        </w:rPr>
        <w:t>eedle catheter jejunosto</w:t>
      </w:r>
      <w:bookmarkEnd w:id="77"/>
      <w:r w:rsidRPr="006C3DC1">
        <w:rPr>
          <w:rFonts w:ascii="Book Antiqua" w:hAnsi="Book Antiqua"/>
          <w:sz w:val="24"/>
          <w:szCs w:val="24"/>
        </w:rPr>
        <w:t>my</w:t>
      </w:r>
      <w:bookmarkEnd w:id="75"/>
      <w:bookmarkEnd w:id="76"/>
      <w:r w:rsidRPr="006C3DC1">
        <w:rPr>
          <w:rFonts w:ascii="Book Antiqua" w:hAnsi="Book Antiqua"/>
          <w:sz w:val="24"/>
          <w:szCs w:val="24"/>
        </w:rPr>
        <w:t xml:space="preserve"> was reported to be safe and progressive EN support could be implemented successfully</w:t>
      </w:r>
      <w:r w:rsidR="0050230B" w:rsidRPr="0050230B">
        <w:rPr>
          <w:rFonts w:ascii="Book Antiqua" w:eastAsia="Times New Roman" w:hAnsi="Book Antiqua" w:cs="Times New Roman"/>
          <w:sz w:val="24"/>
          <w:szCs w:val="24"/>
          <w:vertAlign w:val="superscript"/>
        </w:rPr>
        <w:fldChar w:fldCharType="begin"/>
      </w:r>
      <w:r w:rsidR="0050230B" w:rsidRPr="0050230B">
        <w:rPr>
          <w:rFonts w:ascii="Book Antiqua" w:eastAsia="Times New Roman" w:hAnsi="Book Antiqua" w:cs="Times New Roman"/>
          <w:sz w:val="24"/>
          <w:szCs w:val="24"/>
          <w:vertAlign w:val="superscript"/>
        </w:rPr>
        <w:instrText xml:space="preserve"> ADDIN EN.CITE &lt;EndNote&gt;&lt;Cite  &gt;&lt;Author&gt;Nugent, D.; McMillan, R.; Nichol, J. L.; Slichter, S. J.&lt;/Author&gt;&lt;Year&gt;2009&lt;/Year&gt;&lt;RecNum&gt;230&lt;/RecNum&gt;&lt;Prefix&gt;&lt;/Prefix&gt;&lt;Suffix&gt;&lt;/Suffix&gt;&lt;Pages&gt;&lt;/Pages&gt;&lt;DisplayText&gt;(2)&lt;/DisplayText&gt;&lt;record&gt;&lt;database name="My EndNote Library.enl" path="/Users/Mien 1/Documents/My EndNote Library.enl"&gt;My EndNote Library.enl&lt;/database&gt;&lt;source-app name="EndNote" version="17.7"&gt;EndNote&lt;/source-app&gt;&lt;rec-number&gt;230&lt;/rec-number&gt;&lt;foreign-keys&gt;&lt;key app="EN" db-id="5fffp22drvwpzqestfmv2evy2p2esxeppp05"&gt;230&lt;/key&gt;&lt;/foreign-keys&gt;&lt;ref-type name="Journal Article"&gt;17&lt;/ref-type&gt;&lt;contributors&gt;&lt;authors&gt;&lt;author&gt;&lt;style face="normal" font="default" size="100%"&gt;Nugent, D.&lt;/style&gt;&lt;/author&gt;&lt;author&gt;&lt;style face="normal" font="default" size="100%"&gt;McMillan, R.&lt;/style&gt;&lt;/author&gt;&lt;author&gt;&lt;style face="normal" font="default" size="100%"&gt;Nichol, J. L.&lt;/style&gt;&lt;/author&gt;&lt;author&gt;&lt;style face="normal" font="default" size="100%"&gt;Slichter, S. J.&lt;/style&gt;&lt;/author&gt;&lt;/authors&gt;&lt;/contributors&gt;&lt;auth-address&gt;&lt;style face="normal" font="default" size="100%"&gt;Department of Hematology, Children's Hospital of Orange County, Orange, CA, USA.&lt;/style&gt;&lt;/auth-address&gt;&lt;titles&gt;&lt;title&gt;&lt;style face="normal" font="default" size="100%"&gt;Pathogenesis of chronic immune thrombocytopenia: increased platelet destruction and/or decreased platelet production&lt;/style&gt;&lt;/title&gt;&lt;secondary-title&gt;&lt;style face="normal" font="default" size="100%"&gt;Br J Haematol&lt;/style&gt;&lt;/secondary-title&gt;&lt;/titles&gt;&lt;periodical&gt;&lt;full-title&gt;&lt;style face="normal" font="default" size="100%"&gt;Br J Haematol&lt;/style&gt;&lt;/full-title&gt;&lt;/periodical&gt;&lt;pages&gt;&lt;style face="normal" font="default" size="100%"&gt;585-96&lt;/style&gt;&lt;/pages&gt;&lt;volume&gt;&lt;style face="normal" font="default" size="100%"&gt;146&lt;/style&gt;&lt;/volume&gt;&lt;number&gt;&lt;style face="normal" font="default" size="100%"&gt;6&lt;/style&gt;&lt;/number&gt;&lt;keywords&gt;&lt;keyword&gt;&lt;style face="normal" font="default" size="100%"&gt;Autoantibodies/blood&lt;/style&gt;&lt;/keyword&gt;&lt;keyword&gt;&lt;style face="normal" font="default" size="100%"&gt;Blood Platelets/immunology/*pathology&lt;/style&gt;&lt;/keyword&gt;&lt;keyword&gt;&lt;style face="normal" font="default" size="100%"&gt;Chronic Disease&lt;/style&gt;&lt;/keyword&gt;&lt;keyword&gt;&lt;style face="normal" font="default" size="100%"&gt;Humans&lt;/style&gt;&lt;/keyword&gt;&lt;keyword&gt;&lt;style face="normal" font="default" size="100%"&gt;Platelet Count&lt;/style&gt;&lt;/keyword&gt;&lt;keyword&gt;&lt;style face="normal" font="default" size="100%"&gt;Thrombocytopenia/immunology/*pathology&lt;/style&gt;&lt;/keyword&gt;&lt;keyword&gt;&lt;style face="normal" font="default" size="100%"&gt;Thrombopoiesis/immunology&lt;/style&gt;&lt;/keyword&gt;&lt;keyword&gt;&lt;style face="normal" font="default" size="100%"&gt;Thrombopoietin/metabolism&lt;/style&gt;&lt;/keyword&gt;&lt;/keywords&gt;&lt;dates&gt;&lt;year&gt;&lt;style face="normal" font="default" size="100%"&gt;2009&lt;/style&gt;&lt;/year&gt;&lt;pub-dates&gt;&lt;date&gt;&lt;style face="normal" font="default" size="100%"&gt;Sep&lt;/style&gt;&lt;/date&gt;&lt;/pub-dates&gt;&lt;/dates&gt;&lt;isbn&gt;&lt;style face="normal" font="default" size="100%"&gt;1365-2141 (Electronic) 0007-1048 (Linking)&lt;/style&gt;&lt;/isbn&gt;&lt;accession-num&gt;&lt;style face="normal" font="default" size="100%"&gt;19466980&lt;/style&gt;&lt;/accession-num&gt;&lt;abstract&gt;&lt;style face="normal" font="default" size="100%"&gt;Chronic immune thrombocytopenia (ITP) is a haematological disorder in which patients predominantly develop skin and mucosal bleeding. Early studies suggested ITP was primarily due to immune-mediated peripheral platelet destruction. However, increasing evidence indicates that an additional component of this disorder is immune-mediated decreased platelet production that cannot keep pace with platelet destruction. Evidence for increased platelet destruction is thrombocytopenia following ITP plasma infusions in normal subjects, in vitro platelet phagocytosis, and decreased platelet survivals in ITP patients that respond to therapies that prevent in vivo platelet phagocytosis; e.g., intravenous immunoglobulin G, anti-D, corticosteroids, and splenectomy. The cause of platelet destruction in most ITP patients appears to be autoantibody-mediated. However, cytotoxic T lymphocyte-mediated platelet (and possibly megakaryocyte) lysis, may also be important. Studies supporting suppressed platelet production include: reduced platelet turnover in over 80% of ITP patients, morphological evidence of megakaryocyte damage, autoantibody-induced suppression of in vitro megakaryocytopoiesis, and increased platelet counts in most ITP patients following treatment with thrombopoietin receptor agonists. This review summarizes data that indicates that the pathogenesis of chronic ITP may be due to both immune-mediated platelet destruction and/or suppressed platelet production. The relative importance of these two mechanisms undoubtedly varies among patients.&lt;/style&gt;&lt;/abstract&gt;&lt;notes&gt;&lt;style face="normal" font="default" size="100%"&gt;Nugent, Diane McMillan, Robert Nichol, Janet L Slichter, Sherrill J eng Review England 2009/05/27 09:00 Br J Haematol. 2009 Sep;146(6):585-96. doi: 10.1111/j.1365-2141.2009.07717.x. Epub 2009 May 14.&lt;/style&gt;&lt;/notes&gt;&lt;urls&gt;&lt;related-urls&gt;&lt;url&gt;&lt;style face="normal" font="default" size="100%"&gt;https://www.ncbi.nlm.nih.gov/pubmed/19466980&lt;/style&gt;&lt;/url&gt;&lt;/related-urls&gt;&lt;/urls&gt;&lt;electronic-resource-num&gt;&lt;style face="normal" font="default" size="100%"&gt;10.1111/j.1365-2141.2009.07717.x&lt;/style&gt;&lt;/electronic-resource-num&gt;&lt;/record&gt;&lt;/Cite&gt;&lt;/EndNote&gt;</w:instrText>
      </w:r>
      <w:r w:rsidR="0050230B" w:rsidRPr="0050230B">
        <w:rPr>
          <w:rFonts w:ascii="Book Antiqua" w:eastAsia="Times New Roman" w:hAnsi="Book Antiqua" w:cs="Times New Roman"/>
          <w:sz w:val="24"/>
          <w:szCs w:val="24"/>
          <w:vertAlign w:val="superscript"/>
        </w:rPr>
        <w:fldChar w:fldCharType="separate"/>
      </w:r>
      <w:r w:rsidR="0050230B" w:rsidRPr="0050230B">
        <w:rPr>
          <w:rFonts w:ascii="Book Antiqua" w:eastAsiaTheme="minorEastAsia" w:hAnsi="Book Antiqua" w:hint="eastAsia"/>
          <w:sz w:val="24"/>
          <w:szCs w:val="24"/>
          <w:vertAlign w:val="superscript"/>
        </w:rPr>
        <w:t>[</w:t>
      </w:r>
      <w:r w:rsidR="0050230B" w:rsidRPr="0050230B">
        <w:rPr>
          <w:rFonts w:ascii="Book Antiqua" w:hAnsi="Book Antiqua"/>
          <w:sz w:val="24"/>
          <w:szCs w:val="24"/>
          <w:vertAlign w:val="superscript"/>
        </w:rPr>
        <w:t>2</w:t>
      </w:r>
      <w:r w:rsidR="0050230B">
        <w:rPr>
          <w:rFonts w:ascii="Book Antiqua" w:eastAsiaTheme="minorEastAsia" w:hAnsi="Book Antiqua" w:hint="eastAsia"/>
          <w:sz w:val="24"/>
          <w:szCs w:val="24"/>
          <w:vertAlign w:val="superscript"/>
        </w:rPr>
        <w:t>5,26</w:t>
      </w:r>
      <w:r w:rsidR="0050230B" w:rsidRPr="0050230B">
        <w:rPr>
          <w:rFonts w:ascii="Book Antiqua" w:eastAsiaTheme="minorEastAsia" w:hAnsi="Book Antiqua" w:hint="eastAsia"/>
          <w:sz w:val="24"/>
          <w:szCs w:val="24"/>
          <w:vertAlign w:val="superscript"/>
        </w:rPr>
        <w:t>]</w:t>
      </w:r>
      <w:r w:rsidR="0050230B" w:rsidRPr="0050230B">
        <w:rPr>
          <w:rFonts w:ascii="Book Antiqua" w:eastAsia="Times New Roman" w:hAnsi="Book Antiqua" w:cs="Times New Roman"/>
          <w:sz w:val="24"/>
          <w:szCs w:val="24"/>
          <w:vertAlign w:val="superscript"/>
        </w:rPr>
        <w:fldChar w:fldCharType="end"/>
      </w:r>
      <w:r w:rsidRPr="006C3DC1">
        <w:rPr>
          <w:rFonts w:ascii="Book Antiqua" w:hAnsi="Book Antiqua"/>
          <w:sz w:val="24"/>
          <w:szCs w:val="24"/>
        </w:rPr>
        <w:t>. In this patient, the step-by-step EN feeding program was initiated on the 2</w:t>
      </w:r>
      <w:r w:rsidRPr="0050230B">
        <w:rPr>
          <w:rFonts w:ascii="Book Antiqua" w:hAnsi="Book Antiqua"/>
          <w:sz w:val="24"/>
          <w:szCs w:val="24"/>
          <w:vertAlign w:val="superscript"/>
        </w:rPr>
        <w:t>nd</w:t>
      </w:r>
      <w:r w:rsidRPr="006C3DC1">
        <w:rPr>
          <w:rFonts w:ascii="Book Antiqua" w:hAnsi="Book Antiqua"/>
          <w:sz w:val="24"/>
          <w:szCs w:val="24"/>
        </w:rPr>
        <w:t xml:space="preserve"> postoperative day using the needle catheter jejunostomy. </w:t>
      </w:r>
    </w:p>
    <w:p w:rsidR="00847F85" w:rsidRPr="006C3DC1" w:rsidRDefault="00141C1D" w:rsidP="0050230B">
      <w:pPr>
        <w:spacing w:line="360" w:lineRule="auto"/>
        <w:ind w:firstLineChars="100" w:firstLine="240"/>
        <w:jc w:val="both"/>
        <w:rPr>
          <w:rFonts w:ascii="Book Antiqua" w:eastAsia="Times New Roman" w:hAnsi="Book Antiqua" w:cs="Times New Roman"/>
          <w:sz w:val="24"/>
          <w:szCs w:val="24"/>
        </w:rPr>
      </w:pPr>
      <w:r w:rsidRPr="006C3DC1">
        <w:rPr>
          <w:rFonts w:ascii="Book Antiqua" w:hAnsi="Book Antiqua"/>
          <w:sz w:val="24"/>
          <w:szCs w:val="24"/>
        </w:rPr>
        <w:t xml:space="preserve">In conclusion, we report the case of advanced gastric cancer complicated with severe </w:t>
      </w:r>
      <w:r w:rsidR="00280C06" w:rsidRPr="006C3DC1">
        <w:rPr>
          <w:rFonts w:ascii="Book Antiqua" w:hAnsi="Book Antiqua"/>
          <w:sz w:val="24"/>
          <w:szCs w:val="24"/>
        </w:rPr>
        <w:t xml:space="preserve">and medically refractory </w:t>
      </w:r>
      <w:r w:rsidRPr="006C3DC1">
        <w:rPr>
          <w:rFonts w:ascii="Book Antiqua" w:hAnsi="Book Antiqua"/>
          <w:sz w:val="24"/>
          <w:szCs w:val="24"/>
        </w:rPr>
        <w:t>ITP, successfully cured with radical resection of the gastric cancer. Simultaneous splenectomy, preoperative PLT transfusion and early EN are important assistances to the treatment of this patient.</w:t>
      </w:r>
    </w:p>
    <w:p w:rsidR="00847F85" w:rsidRPr="0050230B" w:rsidRDefault="00847F85" w:rsidP="006C3DC1">
      <w:pPr>
        <w:spacing w:line="360" w:lineRule="auto"/>
        <w:jc w:val="both"/>
        <w:rPr>
          <w:rFonts w:ascii="Book Antiqua" w:eastAsiaTheme="minorEastAsia" w:hAnsi="Book Antiqua" w:cs="Times New Roman"/>
          <w:sz w:val="24"/>
          <w:szCs w:val="24"/>
        </w:rPr>
      </w:pPr>
    </w:p>
    <w:p w:rsidR="00FB01A2" w:rsidRPr="006C3DC1" w:rsidRDefault="00B020DB" w:rsidP="006C3DC1">
      <w:pPr>
        <w:spacing w:line="360" w:lineRule="auto"/>
        <w:jc w:val="both"/>
        <w:rPr>
          <w:rFonts w:ascii="Book Antiqua" w:hAnsi="Book Antiqua"/>
          <w:b/>
          <w:bCs/>
          <w:sz w:val="24"/>
          <w:szCs w:val="24"/>
        </w:rPr>
      </w:pPr>
      <w:r w:rsidRPr="006C3DC1">
        <w:rPr>
          <w:rFonts w:ascii="Book Antiqua" w:hAnsi="Book Antiqua"/>
          <w:b/>
          <w:bCs/>
          <w:sz w:val="24"/>
          <w:szCs w:val="24"/>
        </w:rPr>
        <w:t>ARTICLE HIGHLIGHTS</w:t>
      </w:r>
    </w:p>
    <w:p w:rsidR="00B020DB" w:rsidRPr="0050230B" w:rsidRDefault="00B020DB" w:rsidP="006C3DC1">
      <w:pPr>
        <w:spacing w:line="360" w:lineRule="auto"/>
        <w:jc w:val="both"/>
        <w:rPr>
          <w:rFonts w:ascii="Book Antiqua" w:hAnsi="Book Antiqua"/>
          <w:b/>
          <w:i/>
          <w:sz w:val="24"/>
          <w:szCs w:val="24"/>
        </w:rPr>
      </w:pPr>
      <w:r w:rsidRPr="0050230B">
        <w:rPr>
          <w:rFonts w:ascii="Book Antiqua" w:hAnsi="Book Antiqua"/>
          <w:b/>
          <w:i/>
          <w:sz w:val="24"/>
          <w:szCs w:val="24"/>
        </w:rPr>
        <w:t>Case characteristics</w:t>
      </w:r>
    </w:p>
    <w:p w:rsidR="00041B98" w:rsidRDefault="003F344A" w:rsidP="006C3DC1">
      <w:pPr>
        <w:spacing w:line="360" w:lineRule="auto"/>
        <w:jc w:val="both"/>
        <w:rPr>
          <w:rFonts w:ascii="Book Antiqua" w:eastAsiaTheme="minorEastAsia" w:hAnsi="Book Antiqua" w:cs="Arial"/>
          <w:sz w:val="24"/>
          <w:szCs w:val="24"/>
        </w:rPr>
      </w:pPr>
      <w:r w:rsidRPr="006C3DC1">
        <w:rPr>
          <w:rFonts w:ascii="Book Antiqua" w:hAnsi="Book Antiqua" w:cs="Arial"/>
          <w:sz w:val="24"/>
          <w:szCs w:val="24"/>
        </w:rPr>
        <w:t xml:space="preserve">The patient </w:t>
      </w:r>
      <w:r w:rsidR="005D7050" w:rsidRPr="006C3DC1">
        <w:rPr>
          <w:rFonts w:ascii="Book Antiqua" w:hAnsi="Book Antiqua" w:cs="Arial"/>
          <w:sz w:val="24"/>
          <w:szCs w:val="24"/>
        </w:rPr>
        <w:t>suffered from decreased appetite, nausea, vomit, and weight loss</w:t>
      </w:r>
      <w:r w:rsidR="00132FF8" w:rsidRPr="006C3DC1">
        <w:rPr>
          <w:rFonts w:ascii="Book Antiqua" w:hAnsi="Book Antiqua" w:cs="Arial"/>
          <w:sz w:val="24"/>
          <w:szCs w:val="24"/>
        </w:rPr>
        <w:t xml:space="preserve"> </w:t>
      </w:r>
      <w:r w:rsidR="008429FD" w:rsidRPr="006C3DC1">
        <w:rPr>
          <w:rFonts w:ascii="Book Antiqua" w:hAnsi="Book Antiqua" w:cs="Arial"/>
          <w:sz w:val="24"/>
          <w:szCs w:val="24"/>
        </w:rPr>
        <w:t xml:space="preserve">for 2 </w:t>
      </w:r>
      <w:proofErr w:type="spellStart"/>
      <w:r w:rsidR="008429FD" w:rsidRPr="006C3DC1">
        <w:rPr>
          <w:rFonts w:ascii="Book Antiqua" w:hAnsi="Book Antiqua" w:cs="Arial"/>
          <w:sz w:val="24"/>
          <w:szCs w:val="24"/>
        </w:rPr>
        <w:t>mo</w:t>
      </w:r>
      <w:proofErr w:type="spellEnd"/>
      <w:r w:rsidR="008429FD" w:rsidRPr="006C3DC1">
        <w:rPr>
          <w:rFonts w:ascii="Book Antiqua" w:hAnsi="Book Antiqua" w:cs="Arial"/>
          <w:sz w:val="24"/>
          <w:szCs w:val="24"/>
        </w:rPr>
        <w:t xml:space="preserve"> </w:t>
      </w:r>
      <w:r w:rsidR="00132FF8" w:rsidRPr="006C3DC1">
        <w:rPr>
          <w:rFonts w:ascii="Book Antiqua" w:hAnsi="Book Antiqua" w:cs="Arial"/>
          <w:sz w:val="24"/>
          <w:szCs w:val="24"/>
        </w:rPr>
        <w:t xml:space="preserve">with a past medical history of </w:t>
      </w:r>
      <w:r w:rsidR="008429FD" w:rsidRPr="006C3DC1">
        <w:rPr>
          <w:rFonts w:ascii="Book Antiqua" w:hAnsi="Book Antiqua" w:cs="Arial"/>
          <w:sz w:val="24"/>
          <w:szCs w:val="24"/>
        </w:rPr>
        <w:t>thrombocytopenia</w:t>
      </w:r>
      <w:r w:rsidR="009861C9" w:rsidRPr="006C3DC1">
        <w:rPr>
          <w:rFonts w:ascii="Book Antiqua" w:hAnsi="Book Antiqua" w:cs="Arial"/>
          <w:sz w:val="24"/>
          <w:szCs w:val="24"/>
        </w:rPr>
        <w:t>,</w:t>
      </w:r>
      <w:r w:rsidR="009861C9" w:rsidRPr="006C3DC1">
        <w:rPr>
          <w:rFonts w:ascii="Book Antiqua" w:hAnsi="Book Antiqua"/>
          <w:sz w:val="24"/>
          <w:szCs w:val="24"/>
        </w:rPr>
        <w:t xml:space="preserve"> </w:t>
      </w:r>
      <w:r w:rsidR="009861C9" w:rsidRPr="006C3DC1">
        <w:rPr>
          <w:rFonts w:ascii="Book Antiqua" w:hAnsi="Book Antiqua" w:cs="Arial"/>
          <w:sz w:val="24"/>
          <w:szCs w:val="24"/>
        </w:rPr>
        <w:t>which progressed to difficulty in feeding and</w:t>
      </w:r>
      <w:r w:rsidR="009861C9" w:rsidRPr="006C3DC1">
        <w:rPr>
          <w:rFonts w:ascii="Book Antiqua" w:hAnsi="Book Antiqua"/>
          <w:sz w:val="24"/>
          <w:szCs w:val="24"/>
        </w:rPr>
        <w:t xml:space="preserve"> </w:t>
      </w:r>
      <w:r w:rsidR="009861C9" w:rsidRPr="006C3DC1">
        <w:rPr>
          <w:rFonts w:ascii="Book Antiqua" w:hAnsi="Book Antiqua" w:cs="Arial"/>
          <w:sz w:val="24"/>
          <w:szCs w:val="24"/>
        </w:rPr>
        <w:t>gastrointestinal hemorrhage</w:t>
      </w:r>
      <w:r w:rsidR="008429FD" w:rsidRPr="006C3DC1">
        <w:rPr>
          <w:rFonts w:ascii="Book Antiqua" w:hAnsi="Book Antiqua" w:cs="Arial"/>
          <w:sz w:val="24"/>
          <w:szCs w:val="24"/>
        </w:rPr>
        <w:t>.</w:t>
      </w:r>
    </w:p>
    <w:p w:rsidR="0050230B" w:rsidRPr="0050230B" w:rsidRDefault="0050230B" w:rsidP="006C3DC1">
      <w:pPr>
        <w:spacing w:line="360" w:lineRule="auto"/>
        <w:jc w:val="both"/>
        <w:rPr>
          <w:rFonts w:ascii="Book Antiqua" w:eastAsiaTheme="minorEastAsia" w:hAnsi="Book Antiqua" w:cs="Arial"/>
          <w:sz w:val="24"/>
          <w:szCs w:val="24"/>
        </w:rPr>
      </w:pPr>
    </w:p>
    <w:p w:rsidR="00B020DB" w:rsidRPr="0050230B" w:rsidRDefault="00B020DB" w:rsidP="006C3DC1">
      <w:pPr>
        <w:spacing w:line="360" w:lineRule="auto"/>
        <w:jc w:val="both"/>
        <w:rPr>
          <w:rFonts w:ascii="Book Antiqua" w:hAnsi="Book Antiqua" w:cs="SimSun"/>
          <w:b/>
          <w:i/>
          <w:sz w:val="24"/>
          <w:szCs w:val="24"/>
        </w:rPr>
      </w:pPr>
      <w:r w:rsidRPr="0050230B">
        <w:rPr>
          <w:rFonts w:ascii="Book Antiqua" w:hAnsi="Book Antiqua" w:cs="Arial"/>
          <w:b/>
          <w:i/>
          <w:sz w:val="24"/>
          <w:szCs w:val="24"/>
        </w:rPr>
        <w:t>Clinical diagnosis</w:t>
      </w:r>
    </w:p>
    <w:p w:rsidR="00B020DB" w:rsidRDefault="00D6767E" w:rsidP="006C3DC1">
      <w:pPr>
        <w:spacing w:line="360" w:lineRule="auto"/>
        <w:jc w:val="both"/>
        <w:rPr>
          <w:rFonts w:ascii="Book Antiqua" w:eastAsiaTheme="minorEastAsia" w:hAnsi="Book Antiqua" w:cs="Arial"/>
          <w:sz w:val="24"/>
          <w:szCs w:val="24"/>
        </w:rPr>
      </w:pPr>
      <w:r w:rsidRPr="006C3DC1">
        <w:rPr>
          <w:rFonts w:ascii="Book Antiqua" w:hAnsi="Book Antiqua" w:cs="Arial"/>
          <w:sz w:val="24"/>
          <w:szCs w:val="24"/>
        </w:rPr>
        <w:t xml:space="preserve">The patient was diagnosed as gastric cancer </w:t>
      </w:r>
      <w:r w:rsidR="00FA48F9" w:rsidRPr="006C3DC1">
        <w:rPr>
          <w:rFonts w:ascii="Book Antiqua" w:hAnsi="Book Antiqua" w:cs="Arial"/>
          <w:sz w:val="24"/>
          <w:szCs w:val="24"/>
        </w:rPr>
        <w:t xml:space="preserve">accompany </w:t>
      </w:r>
      <w:r w:rsidR="000F00ED" w:rsidRPr="006C3DC1">
        <w:rPr>
          <w:rFonts w:ascii="Book Antiqua" w:hAnsi="Book Antiqua" w:cs="Arial"/>
          <w:sz w:val="24"/>
          <w:szCs w:val="24"/>
        </w:rPr>
        <w:t>with</w:t>
      </w:r>
      <w:r w:rsidR="00FC3AC6" w:rsidRPr="006C3DC1">
        <w:rPr>
          <w:rFonts w:ascii="Book Antiqua" w:hAnsi="Book Antiqua" w:cs="Arial"/>
          <w:sz w:val="24"/>
          <w:szCs w:val="24"/>
        </w:rPr>
        <w:t xml:space="preserve"> </w:t>
      </w:r>
      <w:r w:rsidR="00FC3AC6" w:rsidRPr="006C3DC1">
        <w:rPr>
          <w:rFonts w:ascii="Book Antiqua" w:hAnsi="Book Antiqua"/>
          <w:sz w:val="24"/>
          <w:szCs w:val="24"/>
        </w:rPr>
        <w:t>severe and medically refractory immune thrombocytopenia</w:t>
      </w:r>
      <w:r w:rsidR="00B020DB" w:rsidRPr="006C3DC1">
        <w:rPr>
          <w:rFonts w:ascii="Book Antiqua" w:hAnsi="Book Antiqua" w:cs="Arial"/>
          <w:sz w:val="24"/>
          <w:szCs w:val="24"/>
        </w:rPr>
        <w:t>.</w:t>
      </w:r>
    </w:p>
    <w:p w:rsidR="0050230B" w:rsidRPr="0050230B" w:rsidRDefault="0050230B" w:rsidP="006C3DC1">
      <w:pPr>
        <w:spacing w:line="360" w:lineRule="auto"/>
        <w:jc w:val="both"/>
        <w:rPr>
          <w:rFonts w:ascii="Book Antiqua" w:eastAsiaTheme="minorEastAsia" w:hAnsi="Book Antiqua" w:cstheme="minorBidi"/>
          <w:color w:val="auto"/>
          <w:sz w:val="24"/>
          <w:szCs w:val="24"/>
        </w:rPr>
      </w:pPr>
    </w:p>
    <w:p w:rsidR="00B020DB" w:rsidRPr="0050230B" w:rsidRDefault="00B020DB" w:rsidP="006C3DC1">
      <w:pPr>
        <w:spacing w:line="360" w:lineRule="auto"/>
        <w:jc w:val="both"/>
        <w:rPr>
          <w:rFonts w:ascii="Book Antiqua" w:hAnsi="Book Antiqua" w:cs="Arial"/>
          <w:b/>
          <w:i/>
          <w:sz w:val="24"/>
          <w:szCs w:val="24"/>
        </w:rPr>
      </w:pPr>
      <w:r w:rsidRPr="0050230B">
        <w:rPr>
          <w:rFonts w:ascii="Book Antiqua" w:hAnsi="Book Antiqua" w:cs="Arial"/>
          <w:b/>
          <w:i/>
          <w:sz w:val="24"/>
          <w:szCs w:val="24"/>
        </w:rPr>
        <w:t>Differential diagnosis</w:t>
      </w:r>
    </w:p>
    <w:p w:rsidR="00B020DB" w:rsidRDefault="00CC04AA" w:rsidP="006C3DC1">
      <w:pPr>
        <w:spacing w:line="360" w:lineRule="auto"/>
        <w:jc w:val="both"/>
        <w:rPr>
          <w:rFonts w:ascii="Book Antiqua" w:eastAsiaTheme="minorEastAsia" w:hAnsi="Book Antiqua" w:cs="Arial"/>
          <w:sz w:val="24"/>
          <w:szCs w:val="24"/>
        </w:rPr>
      </w:pPr>
      <w:r w:rsidRPr="006C3DC1">
        <w:rPr>
          <w:rFonts w:ascii="Book Antiqua" w:hAnsi="Book Antiqua" w:cs="Arial"/>
          <w:sz w:val="24"/>
          <w:szCs w:val="24"/>
        </w:rPr>
        <w:t>Mucosal biopsy</w:t>
      </w:r>
      <w:r w:rsidR="00C243D2" w:rsidRPr="006C3DC1">
        <w:rPr>
          <w:rFonts w:ascii="Book Antiqua" w:hAnsi="Book Antiqua" w:cs="Arial"/>
          <w:sz w:val="24"/>
          <w:szCs w:val="24"/>
        </w:rPr>
        <w:t xml:space="preserve"> from endoscopy</w:t>
      </w:r>
      <w:r w:rsidRPr="006C3DC1">
        <w:rPr>
          <w:rFonts w:ascii="Book Antiqua" w:hAnsi="Book Antiqua" w:cs="Arial"/>
          <w:sz w:val="24"/>
          <w:szCs w:val="24"/>
        </w:rPr>
        <w:t xml:space="preserve"> was useful for differential diagnosis and histological analysis</w:t>
      </w:r>
      <w:r w:rsidR="00C243D2" w:rsidRPr="006C3DC1">
        <w:rPr>
          <w:rFonts w:ascii="Book Antiqua" w:hAnsi="Book Antiqua" w:cs="Arial"/>
          <w:sz w:val="24"/>
          <w:szCs w:val="24"/>
        </w:rPr>
        <w:t xml:space="preserve"> revealed gastric adenocarcinoma.</w:t>
      </w:r>
    </w:p>
    <w:p w:rsidR="0050230B" w:rsidRPr="0050230B" w:rsidRDefault="0050230B" w:rsidP="006C3DC1">
      <w:pPr>
        <w:spacing w:line="360" w:lineRule="auto"/>
        <w:jc w:val="both"/>
        <w:rPr>
          <w:rFonts w:ascii="Book Antiqua" w:eastAsiaTheme="minorEastAsia" w:hAnsi="Book Antiqua" w:cs="Arial"/>
          <w:b/>
          <w:sz w:val="24"/>
          <w:szCs w:val="24"/>
        </w:rPr>
      </w:pPr>
    </w:p>
    <w:p w:rsidR="00B020DB" w:rsidRPr="0050230B" w:rsidRDefault="00B020DB" w:rsidP="006C3DC1">
      <w:pPr>
        <w:spacing w:line="360" w:lineRule="auto"/>
        <w:jc w:val="both"/>
        <w:rPr>
          <w:rFonts w:ascii="Book Antiqua" w:hAnsi="Book Antiqua" w:cs="Arial"/>
          <w:b/>
          <w:i/>
          <w:sz w:val="24"/>
          <w:szCs w:val="24"/>
        </w:rPr>
      </w:pPr>
      <w:r w:rsidRPr="0050230B">
        <w:rPr>
          <w:rFonts w:ascii="Book Antiqua" w:hAnsi="Book Antiqua" w:cs="Arial"/>
          <w:b/>
          <w:i/>
          <w:sz w:val="24"/>
          <w:szCs w:val="24"/>
        </w:rPr>
        <w:t>Laboratory diagnosis</w:t>
      </w:r>
    </w:p>
    <w:p w:rsidR="009861C9" w:rsidRDefault="009861C9" w:rsidP="006C3DC1">
      <w:pPr>
        <w:spacing w:line="360" w:lineRule="auto"/>
        <w:jc w:val="both"/>
        <w:rPr>
          <w:rFonts w:ascii="Book Antiqua" w:eastAsiaTheme="minorEastAsia" w:hAnsi="Book Antiqua" w:cs="Arial"/>
          <w:sz w:val="24"/>
          <w:szCs w:val="24"/>
        </w:rPr>
      </w:pPr>
      <w:r w:rsidRPr="006C3DC1">
        <w:rPr>
          <w:rFonts w:ascii="Book Antiqua" w:hAnsi="Book Antiqua" w:cs="Arial"/>
          <w:sz w:val="24"/>
          <w:szCs w:val="24"/>
        </w:rPr>
        <w:t>Laboratory findings revealed elevated tumor markers (CA19-9 and CA242)</w:t>
      </w:r>
      <w:r w:rsidR="00A544FF" w:rsidRPr="006C3DC1">
        <w:rPr>
          <w:rFonts w:ascii="Book Antiqua" w:hAnsi="Book Antiqua" w:cs="Arial"/>
          <w:sz w:val="24"/>
          <w:szCs w:val="24"/>
        </w:rPr>
        <w:t>, low</w:t>
      </w:r>
      <w:r w:rsidRPr="006C3DC1">
        <w:rPr>
          <w:rFonts w:ascii="Book Antiqua" w:hAnsi="Book Antiqua" w:cs="Arial"/>
          <w:sz w:val="24"/>
          <w:szCs w:val="24"/>
        </w:rPr>
        <w:t xml:space="preserve"> platelet count and </w:t>
      </w:r>
      <w:r w:rsidR="00A544FF" w:rsidRPr="006C3DC1">
        <w:rPr>
          <w:rFonts w:ascii="Book Antiqua" w:hAnsi="Book Antiqua" w:cs="Arial"/>
          <w:sz w:val="24"/>
          <w:szCs w:val="24"/>
        </w:rPr>
        <w:t xml:space="preserve">decreased </w:t>
      </w:r>
      <w:r w:rsidRPr="006C3DC1">
        <w:rPr>
          <w:rFonts w:ascii="Book Antiqua" w:hAnsi="Book Antiqua" w:cs="Arial"/>
          <w:sz w:val="24"/>
          <w:szCs w:val="24"/>
        </w:rPr>
        <w:t>hemoglobin</w:t>
      </w:r>
      <w:r w:rsidR="00A544FF" w:rsidRPr="006C3DC1">
        <w:rPr>
          <w:rFonts w:ascii="Book Antiqua" w:hAnsi="Book Antiqua" w:cs="Arial"/>
          <w:sz w:val="24"/>
          <w:szCs w:val="24"/>
        </w:rPr>
        <w:t>.</w:t>
      </w:r>
    </w:p>
    <w:p w:rsidR="0050230B" w:rsidRPr="0050230B" w:rsidRDefault="0050230B" w:rsidP="006C3DC1">
      <w:pPr>
        <w:spacing w:line="360" w:lineRule="auto"/>
        <w:jc w:val="both"/>
        <w:rPr>
          <w:rFonts w:ascii="Book Antiqua" w:eastAsiaTheme="minorEastAsia" w:hAnsi="Book Antiqua" w:cs="Arial"/>
          <w:sz w:val="24"/>
          <w:szCs w:val="24"/>
        </w:rPr>
      </w:pPr>
    </w:p>
    <w:p w:rsidR="00B020DB" w:rsidRPr="0050230B" w:rsidRDefault="00B020DB" w:rsidP="006C3DC1">
      <w:pPr>
        <w:spacing w:line="360" w:lineRule="auto"/>
        <w:jc w:val="both"/>
        <w:rPr>
          <w:rFonts w:ascii="Book Antiqua" w:hAnsi="Book Antiqua" w:cs="Arial"/>
          <w:b/>
          <w:i/>
          <w:sz w:val="24"/>
          <w:szCs w:val="24"/>
        </w:rPr>
      </w:pPr>
      <w:r w:rsidRPr="0050230B">
        <w:rPr>
          <w:rFonts w:ascii="Book Antiqua" w:hAnsi="Book Antiqua" w:cs="Arial"/>
          <w:b/>
          <w:i/>
          <w:sz w:val="24"/>
          <w:szCs w:val="24"/>
        </w:rPr>
        <w:t>Imaging diagnosis</w:t>
      </w:r>
    </w:p>
    <w:p w:rsidR="00C31DFC" w:rsidRDefault="00C31DFC" w:rsidP="006C3DC1">
      <w:pPr>
        <w:spacing w:line="360" w:lineRule="auto"/>
        <w:jc w:val="both"/>
        <w:rPr>
          <w:rFonts w:ascii="Book Antiqua" w:eastAsiaTheme="minorEastAsia" w:hAnsi="Book Antiqua" w:cs="Arial"/>
          <w:sz w:val="24"/>
          <w:szCs w:val="24"/>
        </w:rPr>
      </w:pPr>
      <w:r w:rsidRPr="006C3DC1">
        <w:rPr>
          <w:rFonts w:ascii="Book Antiqua" w:hAnsi="Book Antiqua" w:cs="Arial"/>
          <w:sz w:val="24"/>
          <w:szCs w:val="24"/>
        </w:rPr>
        <w:t>Abdominal enhancement computed tomography revealed a thickening wall of the gastric antrum with significantly enhanced, multiple small lymph nodes around the stomach but no obvious retroperitoneal lymph nodes and normal spleen</w:t>
      </w:r>
      <w:r w:rsidR="002114A7" w:rsidRPr="006C3DC1">
        <w:rPr>
          <w:rFonts w:ascii="Book Antiqua" w:hAnsi="Book Antiqua" w:cs="Arial"/>
          <w:sz w:val="24"/>
          <w:szCs w:val="24"/>
        </w:rPr>
        <w:t>.</w:t>
      </w:r>
    </w:p>
    <w:p w:rsidR="0050230B" w:rsidRPr="0050230B" w:rsidRDefault="0050230B" w:rsidP="006C3DC1">
      <w:pPr>
        <w:spacing w:line="360" w:lineRule="auto"/>
        <w:jc w:val="both"/>
        <w:rPr>
          <w:rFonts w:ascii="Book Antiqua" w:eastAsiaTheme="minorEastAsia" w:hAnsi="Book Antiqua" w:cs="Arial"/>
          <w:sz w:val="24"/>
          <w:szCs w:val="24"/>
        </w:rPr>
      </w:pPr>
    </w:p>
    <w:p w:rsidR="00B020DB" w:rsidRPr="0050230B" w:rsidRDefault="00B020DB" w:rsidP="006C3DC1">
      <w:pPr>
        <w:spacing w:line="360" w:lineRule="auto"/>
        <w:jc w:val="both"/>
        <w:rPr>
          <w:rFonts w:ascii="Book Antiqua" w:hAnsi="Book Antiqua" w:cs="Arial"/>
          <w:b/>
          <w:i/>
          <w:sz w:val="24"/>
          <w:szCs w:val="24"/>
        </w:rPr>
      </w:pPr>
      <w:r w:rsidRPr="0050230B">
        <w:rPr>
          <w:rFonts w:ascii="Book Antiqua" w:hAnsi="Book Antiqua" w:cs="Arial"/>
          <w:b/>
          <w:i/>
          <w:sz w:val="24"/>
          <w:szCs w:val="24"/>
        </w:rPr>
        <w:t>Pathological diagnosis</w:t>
      </w:r>
    </w:p>
    <w:p w:rsidR="002114A7" w:rsidRDefault="002114A7" w:rsidP="006C3DC1">
      <w:pPr>
        <w:spacing w:line="360" w:lineRule="auto"/>
        <w:jc w:val="both"/>
        <w:rPr>
          <w:rFonts w:ascii="Book Antiqua" w:eastAsiaTheme="minorEastAsia" w:hAnsi="Book Antiqua" w:cs="Arial"/>
          <w:sz w:val="24"/>
          <w:szCs w:val="24"/>
        </w:rPr>
      </w:pPr>
      <w:r w:rsidRPr="006C3DC1">
        <w:rPr>
          <w:rFonts w:ascii="Book Antiqua" w:hAnsi="Book Antiqua" w:cs="Arial"/>
          <w:sz w:val="24"/>
          <w:szCs w:val="24"/>
        </w:rPr>
        <w:t xml:space="preserve">The histopathological examination of the subtotal gastrectomy revealed a poorly differentiated gastric adenocarcinoma which </w:t>
      </w:r>
      <w:r w:rsidR="00CC403E" w:rsidRPr="006C3DC1">
        <w:rPr>
          <w:rFonts w:ascii="Book Antiqua" w:hAnsi="Book Antiqua" w:cs="Arial"/>
          <w:sz w:val="24"/>
          <w:szCs w:val="24"/>
        </w:rPr>
        <w:t>had reached the serosal layer and t</w:t>
      </w:r>
      <w:r w:rsidRPr="006C3DC1">
        <w:rPr>
          <w:rFonts w:ascii="Book Antiqua" w:hAnsi="Book Antiqua" w:cs="Arial"/>
          <w:sz w:val="24"/>
          <w:szCs w:val="24"/>
        </w:rPr>
        <w:t xml:space="preserve">he cancer had also metastasized to 3/30 lymph nodes. </w:t>
      </w:r>
    </w:p>
    <w:p w:rsidR="0050230B" w:rsidRPr="0050230B" w:rsidRDefault="0050230B" w:rsidP="006C3DC1">
      <w:pPr>
        <w:spacing w:line="360" w:lineRule="auto"/>
        <w:jc w:val="both"/>
        <w:rPr>
          <w:rFonts w:ascii="Book Antiqua" w:eastAsiaTheme="minorEastAsia" w:hAnsi="Book Antiqua" w:cs="Arial"/>
          <w:sz w:val="24"/>
          <w:szCs w:val="24"/>
        </w:rPr>
      </w:pPr>
    </w:p>
    <w:p w:rsidR="00B020DB" w:rsidRPr="0050230B" w:rsidRDefault="00B020DB" w:rsidP="006C3DC1">
      <w:pPr>
        <w:spacing w:line="360" w:lineRule="auto"/>
        <w:jc w:val="both"/>
        <w:rPr>
          <w:rFonts w:ascii="Book Antiqua" w:hAnsi="Book Antiqua" w:cs="Arial"/>
          <w:b/>
          <w:i/>
          <w:sz w:val="24"/>
          <w:szCs w:val="24"/>
        </w:rPr>
      </w:pPr>
      <w:r w:rsidRPr="0050230B">
        <w:rPr>
          <w:rFonts w:ascii="Book Antiqua" w:hAnsi="Book Antiqua" w:cs="Arial"/>
          <w:b/>
          <w:i/>
          <w:sz w:val="24"/>
          <w:szCs w:val="24"/>
        </w:rPr>
        <w:t>Treatment</w:t>
      </w:r>
    </w:p>
    <w:p w:rsidR="009866F7" w:rsidRDefault="009866F7" w:rsidP="006C3DC1">
      <w:pPr>
        <w:spacing w:line="360" w:lineRule="auto"/>
        <w:jc w:val="both"/>
        <w:rPr>
          <w:rFonts w:ascii="Book Antiqua" w:eastAsiaTheme="minorEastAsia" w:hAnsi="Book Antiqua"/>
          <w:b/>
          <w:sz w:val="24"/>
          <w:szCs w:val="24"/>
        </w:rPr>
      </w:pPr>
      <w:r w:rsidRPr="006C3DC1">
        <w:rPr>
          <w:rFonts w:ascii="Book Antiqua" w:hAnsi="Book Antiqua"/>
          <w:sz w:val="24"/>
          <w:szCs w:val="24"/>
        </w:rPr>
        <w:t>The patient underwent a splenectomy and a distal subtotal gastrectomy (D2 radical resection) with a Roux-en-Y reconstruction simultaneously</w:t>
      </w:r>
      <w:r w:rsidR="00682CA2" w:rsidRPr="006C3DC1">
        <w:rPr>
          <w:rFonts w:ascii="Book Antiqua" w:hAnsi="Book Antiqua"/>
          <w:b/>
          <w:sz w:val="24"/>
          <w:szCs w:val="24"/>
        </w:rPr>
        <w:t>.</w:t>
      </w:r>
    </w:p>
    <w:p w:rsidR="0050230B" w:rsidRPr="0050230B" w:rsidRDefault="0050230B" w:rsidP="006C3DC1">
      <w:pPr>
        <w:spacing w:line="360" w:lineRule="auto"/>
        <w:jc w:val="both"/>
        <w:rPr>
          <w:rFonts w:ascii="Book Antiqua" w:eastAsiaTheme="minorEastAsia" w:hAnsi="Book Antiqua"/>
          <w:b/>
          <w:sz w:val="24"/>
          <w:szCs w:val="24"/>
        </w:rPr>
      </w:pPr>
    </w:p>
    <w:p w:rsidR="00B020DB" w:rsidRPr="0050230B" w:rsidRDefault="00B020DB" w:rsidP="006C3DC1">
      <w:pPr>
        <w:spacing w:line="360" w:lineRule="auto"/>
        <w:jc w:val="both"/>
        <w:rPr>
          <w:rFonts w:ascii="Book Antiqua" w:hAnsi="Book Antiqua" w:cs="Arial"/>
          <w:b/>
          <w:i/>
          <w:sz w:val="24"/>
          <w:szCs w:val="24"/>
        </w:rPr>
      </w:pPr>
      <w:r w:rsidRPr="0050230B">
        <w:rPr>
          <w:rFonts w:ascii="Book Antiqua" w:hAnsi="Book Antiqua"/>
          <w:b/>
          <w:i/>
          <w:sz w:val="24"/>
          <w:szCs w:val="24"/>
        </w:rPr>
        <w:t>Related reports</w:t>
      </w:r>
    </w:p>
    <w:p w:rsidR="00AF4977" w:rsidRDefault="009866F7" w:rsidP="006C3DC1">
      <w:pPr>
        <w:spacing w:line="360" w:lineRule="auto"/>
        <w:jc w:val="both"/>
        <w:rPr>
          <w:rFonts w:ascii="Book Antiqua" w:eastAsiaTheme="minorEastAsia" w:hAnsi="Book Antiqua" w:cs="Arial"/>
          <w:sz w:val="24"/>
          <w:szCs w:val="24"/>
        </w:rPr>
      </w:pPr>
      <w:r w:rsidRPr="006C3DC1">
        <w:rPr>
          <w:rFonts w:ascii="Book Antiqua" w:hAnsi="Book Antiqua" w:cs="Arial"/>
          <w:sz w:val="24"/>
          <w:szCs w:val="24"/>
        </w:rPr>
        <w:t>Five</w:t>
      </w:r>
      <w:r w:rsidR="00AF4977" w:rsidRPr="006C3DC1">
        <w:rPr>
          <w:rFonts w:ascii="Book Antiqua" w:hAnsi="Book Antiqua" w:cs="Arial"/>
          <w:sz w:val="24"/>
          <w:szCs w:val="24"/>
        </w:rPr>
        <w:t xml:space="preserve"> cases of </w:t>
      </w:r>
      <w:r w:rsidR="0050230B" w:rsidRPr="006C3DC1">
        <w:rPr>
          <w:rFonts w:ascii="Book Antiqua" w:hAnsi="Book Antiqua"/>
          <w:sz w:val="24"/>
          <w:szCs w:val="24"/>
        </w:rPr>
        <w:t>immune thrombocytopenia (ITP)</w:t>
      </w:r>
      <w:r w:rsidR="00AF4977" w:rsidRPr="006C3DC1">
        <w:rPr>
          <w:rFonts w:ascii="Book Antiqua" w:hAnsi="Book Antiqua" w:cs="Arial"/>
          <w:sz w:val="24"/>
          <w:szCs w:val="24"/>
        </w:rPr>
        <w:t xml:space="preserve"> patients suffered with gastric malignant tumors have been </w:t>
      </w:r>
      <w:r w:rsidR="0050230B">
        <w:rPr>
          <w:rFonts w:ascii="Book Antiqua" w:hAnsi="Book Antiqua" w:cs="Arial"/>
          <w:sz w:val="24"/>
          <w:szCs w:val="24"/>
        </w:rPr>
        <w:t>reported in English in MEDLINE</w:t>
      </w:r>
      <w:r w:rsidR="00AF4977" w:rsidRPr="006C3DC1">
        <w:rPr>
          <w:rFonts w:ascii="Book Antiqua" w:hAnsi="Book Antiqua" w:cs="Arial"/>
          <w:sz w:val="24"/>
          <w:szCs w:val="24"/>
        </w:rPr>
        <w:t xml:space="preserve">. Patients in these cases suffered mild ITP with </w:t>
      </w:r>
      <w:r w:rsidR="0050230B" w:rsidRPr="006C3DC1">
        <w:rPr>
          <w:rFonts w:ascii="Book Antiqua" w:hAnsi="Book Antiqua"/>
          <w:sz w:val="24"/>
          <w:szCs w:val="24"/>
        </w:rPr>
        <w:t>platelet (PLT)</w:t>
      </w:r>
      <w:r w:rsidR="00AF4977" w:rsidRPr="006C3DC1">
        <w:rPr>
          <w:rFonts w:ascii="Book Antiqua" w:hAnsi="Book Antiqua" w:cs="Arial"/>
          <w:sz w:val="24"/>
          <w:szCs w:val="24"/>
        </w:rPr>
        <w:t xml:space="preserve"> level larger than 25000/</w:t>
      </w:r>
      <w:proofErr w:type="spellStart"/>
      <w:r w:rsidR="00AF4977" w:rsidRPr="006C3DC1">
        <w:rPr>
          <w:rFonts w:ascii="Book Antiqua" w:hAnsi="Book Antiqua" w:cs="Arial"/>
          <w:sz w:val="24"/>
          <w:szCs w:val="24"/>
        </w:rPr>
        <w:t>μL</w:t>
      </w:r>
      <w:proofErr w:type="spellEnd"/>
      <w:r w:rsidR="00AF4977" w:rsidRPr="006C3DC1">
        <w:rPr>
          <w:rFonts w:ascii="Book Antiqua" w:hAnsi="Book Antiqua" w:cs="Arial"/>
          <w:sz w:val="24"/>
          <w:szCs w:val="24"/>
        </w:rPr>
        <w:t xml:space="preserve">. The commonest pathology are gastric cancer and gastric mucosa associated lymphoid tissue (MALT) lymphoma. </w:t>
      </w:r>
      <w:r w:rsidR="00AF4977" w:rsidRPr="0050230B">
        <w:rPr>
          <w:rFonts w:ascii="Book Antiqua" w:hAnsi="Book Antiqua" w:cs="Arial"/>
          <w:i/>
          <w:sz w:val="24"/>
          <w:szCs w:val="24"/>
        </w:rPr>
        <w:t>Helicobacter pylori</w:t>
      </w:r>
      <w:r w:rsidR="00AF4977" w:rsidRPr="006C3DC1">
        <w:rPr>
          <w:rFonts w:ascii="Book Antiqua" w:hAnsi="Book Antiqua" w:cs="Arial"/>
          <w:sz w:val="24"/>
          <w:szCs w:val="24"/>
        </w:rPr>
        <w:t xml:space="preserve"> </w:t>
      </w:r>
      <w:r w:rsidR="0050230B" w:rsidRPr="006C3DC1">
        <w:rPr>
          <w:rFonts w:ascii="Book Antiqua" w:hAnsi="Book Antiqua"/>
          <w:sz w:val="24"/>
          <w:szCs w:val="24"/>
        </w:rPr>
        <w:t>(</w:t>
      </w:r>
      <w:r w:rsidR="0050230B" w:rsidRPr="0050230B">
        <w:rPr>
          <w:rFonts w:ascii="Book Antiqua" w:hAnsi="Book Antiqua"/>
          <w:i/>
          <w:sz w:val="24"/>
          <w:szCs w:val="24"/>
        </w:rPr>
        <w:t>H</w:t>
      </w:r>
      <w:r w:rsidR="0050230B" w:rsidRPr="0050230B">
        <w:rPr>
          <w:rFonts w:ascii="Book Antiqua" w:eastAsiaTheme="minorEastAsia" w:hAnsi="Book Antiqua" w:hint="eastAsia"/>
          <w:i/>
          <w:sz w:val="24"/>
          <w:szCs w:val="24"/>
        </w:rPr>
        <w:t>.</w:t>
      </w:r>
      <w:r w:rsidR="0050230B">
        <w:rPr>
          <w:rFonts w:ascii="Book Antiqua" w:eastAsiaTheme="minorEastAsia" w:hAnsi="Book Antiqua" w:hint="eastAsia"/>
          <w:sz w:val="24"/>
          <w:szCs w:val="24"/>
        </w:rPr>
        <w:t xml:space="preserve"> </w:t>
      </w:r>
      <w:r w:rsidR="0050230B" w:rsidRPr="006C3DC1">
        <w:rPr>
          <w:rFonts w:ascii="Book Antiqua" w:hAnsi="Book Antiqua"/>
          <w:i/>
          <w:iCs/>
          <w:sz w:val="24"/>
          <w:szCs w:val="24"/>
        </w:rPr>
        <w:t>pylori</w:t>
      </w:r>
      <w:r w:rsidR="0050230B" w:rsidRPr="006C3DC1">
        <w:rPr>
          <w:rFonts w:ascii="Book Antiqua" w:hAnsi="Book Antiqua"/>
          <w:sz w:val="24"/>
          <w:szCs w:val="24"/>
        </w:rPr>
        <w:t>)</w:t>
      </w:r>
      <w:r w:rsidR="0050230B">
        <w:rPr>
          <w:rFonts w:ascii="Book Antiqua" w:eastAsiaTheme="minorEastAsia" w:hAnsi="Book Antiqua" w:hint="eastAsia"/>
          <w:sz w:val="24"/>
          <w:szCs w:val="24"/>
        </w:rPr>
        <w:t xml:space="preserve"> </w:t>
      </w:r>
      <w:r w:rsidR="00AF4977" w:rsidRPr="006C3DC1">
        <w:rPr>
          <w:rFonts w:ascii="Book Antiqua" w:hAnsi="Book Antiqua" w:cs="Arial"/>
          <w:sz w:val="24"/>
          <w:szCs w:val="24"/>
        </w:rPr>
        <w:t>may play a key role in the pathogenesis of both gastric malig</w:t>
      </w:r>
      <w:r w:rsidR="0050230B">
        <w:rPr>
          <w:rFonts w:ascii="Book Antiqua" w:hAnsi="Book Antiqua" w:cs="Arial"/>
          <w:sz w:val="24"/>
          <w:szCs w:val="24"/>
        </w:rPr>
        <w:t xml:space="preserve">nant tumors and ITP. Noda </w:t>
      </w:r>
      <w:r w:rsidR="0050230B" w:rsidRPr="0050230B">
        <w:rPr>
          <w:rFonts w:ascii="Book Antiqua" w:hAnsi="Book Antiqua" w:cs="Arial"/>
          <w:i/>
          <w:sz w:val="24"/>
          <w:szCs w:val="24"/>
        </w:rPr>
        <w:t>et al</w:t>
      </w:r>
      <w:r w:rsidR="00AF4977" w:rsidRPr="0050230B">
        <w:rPr>
          <w:rFonts w:ascii="Book Antiqua" w:hAnsi="Book Antiqua" w:cs="Arial"/>
          <w:i/>
          <w:sz w:val="24"/>
          <w:szCs w:val="24"/>
        </w:rPr>
        <w:t xml:space="preserve"> </w:t>
      </w:r>
      <w:r w:rsidR="00AF4977" w:rsidRPr="006C3DC1">
        <w:rPr>
          <w:rFonts w:ascii="Book Antiqua" w:hAnsi="Book Antiqua" w:cs="Arial"/>
          <w:sz w:val="24"/>
          <w:szCs w:val="24"/>
        </w:rPr>
        <w:t>reported a case of regression of ITP after resection of gastric MALT lymphoma and eradicating treatments of</w:t>
      </w:r>
      <w:r w:rsidRPr="006C3DC1">
        <w:rPr>
          <w:rFonts w:ascii="Book Antiqua" w:hAnsi="Book Antiqua" w:cs="Arial"/>
          <w:sz w:val="24"/>
          <w:szCs w:val="24"/>
        </w:rPr>
        <w:t xml:space="preserve"> </w:t>
      </w:r>
      <w:r w:rsidR="0050230B" w:rsidRPr="0050230B">
        <w:rPr>
          <w:rFonts w:ascii="Book Antiqua" w:hAnsi="Book Antiqua"/>
          <w:i/>
          <w:sz w:val="24"/>
          <w:szCs w:val="24"/>
        </w:rPr>
        <w:t>H</w:t>
      </w:r>
      <w:r w:rsidR="0050230B" w:rsidRPr="0050230B">
        <w:rPr>
          <w:rFonts w:ascii="Book Antiqua" w:eastAsiaTheme="minorEastAsia" w:hAnsi="Book Antiqua" w:hint="eastAsia"/>
          <w:i/>
          <w:sz w:val="24"/>
          <w:szCs w:val="24"/>
        </w:rPr>
        <w:t>.</w:t>
      </w:r>
      <w:r w:rsidR="0050230B">
        <w:rPr>
          <w:rFonts w:ascii="Book Antiqua" w:eastAsiaTheme="minorEastAsia" w:hAnsi="Book Antiqua" w:hint="eastAsia"/>
          <w:sz w:val="24"/>
          <w:szCs w:val="24"/>
        </w:rPr>
        <w:t xml:space="preserve"> </w:t>
      </w:r>
      <w:r w:rsidR="0050230B" w:rsidRPr="006C3DC1">
        <w:rPr>
          <w:rFonts w:ascii="Book Antiqua" w:hAnsi="Book Antiqua"/>
          <w:i/>
          <w:iCs/>
          <w:sz w:val="24"/>
          <w:szCs w:val="24"/>
        </w:rPr>
        <w:t>pylori</w:t>
      </w:r>
      <w:r w:rsidR="00AF4977" w:rsidRPr="006C3DC1">
        <w:rPr>
          <w:rFonts w:ascii="Book Antiqua" w:hAnsi="Book Antiqua" w:cs="Arial"/>
          <w:sz w:val="24"/>
          <w:szCs w:val="24"/>
        </w:rPr>
        <w:t xml:space="preserve">. In terms of treatment, endoscopic resection could be performed only when the tumor was restricted to the mucosa during eradication therapy. Subtotal/total gastrectomy </w:t>
      </w:r>
      <w:r w:rsidR="00AF4977" w:rsidRPr="006C3DC1">
        <w:rPr>
          <w:rFonts w:ascii="Book Antiqua" w:hAnsi="Book Antiqua" w:cs="Arial"/>
          <w:sz w:val="24"/>
          <w:szCs w:val="24"/>
        </w:rPr>
        <w:lastRenderedPageBreak/>
        <w:t>combined with splenectomy was the most appropriate treatment when tumors invade the submucosa.</w:t>
      </w:r>
    </w:p>
    <w:p w:rsidR="0050230B" w:rsidRPr="0050230B" w:rsidRDefault="0050230B" w:rsidP="006C3DC1">
      <w:pPr>
        <w:spacing w:line="360" w:lineRule="auto"/>
        <w:jc w:val="both"/>
        <w:rPr>
          <w:rFonts w:ascii="Book Antiqua" w:eastAsiaTheme="minorEastAsia" w:hAnsi="Book Antiqua" w:cs="Arial"/>
          <w:sz w:val="24"/>
          <w:szCs w:val="24"/>
        </w:rPr>
      </w:pPr>
    </w:p>
    <w:p w:rsidR="00B020DB" w:rsidRPr="0050230B" w:rsidRDefault="00B020DB" w:rsidP="006C3DC1">
      <w:pPr>
        <w:spacing w:line="360" w:lineRule="auto"/>
        <w:jc w:val="both"/>
        <w:rPr>
          <w:rFonts w:ascii="Book Antiqua" w:hAnsi="Book Antiqua" w:cs="Arial"/>
          <w:b/>
          <w:i/>
          <w:sz w:val="24"/>
          <w:szCs w:val="24"/>
        </w:rPr>
      </w:pPr>
      <w:r w:rsidRPr="0050230B">
        <w:rPr>
          <w:rFonts w:ascii="Book Antiqua" w:hAnsi="Book Antiqua" w:cs="Arial"/>
          <w:b/>
          <w:i/>
          <w:sz w:val="24"/>
          <w:szCs w:val="24"/>
        </w:rPr>
        <w:t>Experiences and lessons</w:t>
      </w:r>
    </w:p>
    <w:p w:rsidR="00B020DB" w:rsidRPr="006C3DC1" w:rsidRDefault="006442BF" w:rsidP="006C3DC1">
      <w:pPr>
        <w:spacing w:line="360" w:lineRule="auto"/>
        <w:jc w:val="both"/>
        <w:rPr>
          <w:rFonts w:ascii="Book Antiqua" w:hAnsi="Book Antiqua" w:cs="Arial"/>
          <w:sz w:val="24"/>
          <w:szCs w:val="24"/>
        </w:rPr>
      </w:pPr>
      <w:r w:rsidRPr="006C3DC1">
        <w:rPr>
          <w:rFonts w:ascii="Book Antiqua" w:hAnsi="Book Antiqua" w:cs="Arial"/>
          <w:sz w:val="24"/>
          <w:szCs w:val="24"/>
        </w:rPr>
        <w:t>For</w:t>
      </w:r>
      <w:r w:rsidR="00547F7C" w:rsidRPr="006C3DC1">
        <w:rPr>
          <w:rFonts w:ascii="Book Antiqua" w:hAnsi="Book Antiqua" w:cs="Arial"/>
          <w:sz w:val="24"/>
          <w:szCs w:val="24"/>
        </w:rPr>
        <w:t xml:space="preserve"> patients with cancer</w:t>
      </w:r>
      <w:r w:rsidRPr="006C3DC1">
        <w:rPr>
          <w:rFonts w:ascii="Book Antiqua" w:hAnsi="Book Antiqua" w:cs="Arial"/>
          <w:sz w:val="24"/>
          <w:szCs w:val="24"/>
        </w:rPr>
        <w:t xml:space="preserve"> and medical refractory ITP</w:t>
      </w:r>
      <w:r w:rsidR="00547F7C" w:rsidRPr="006C3DC1">
        <w:rPr>
          <w:rFonts w:ascii="Book Antiqua" w:hAnsi="Book Antiqua" w:cs="Arial"/>
          <w:sz w:val="24"/>
          <w:szCs w:val="24"/>
        </w:rPr>
        <w:t xml:space="preserve">, surgical treatment maybe the only option for therapy despite the high risks of bleeding. </w:t>
      </w:r>
      <w:r w:rsidR="006F2577" w:rsidRPr="006C3DC1">
        <w:rPr>
          <w:rFonts w:ascii="Book Antiqua" w:hAnsi="Book Antiqua" w:cs="Arial"/>
          <w:sz w:val="24"/>
          <w:szCs w:val="24"/>
        </w:rPr>
        <w:t xml:space="preserve">Simultaneous splenectomy, preoperative PLT transfusion and early enteral nutrition were important treatment methods for </w:t>
      </w:r>
      <w:r w:rsidR="00DE03B0" w:rsidRPr="006C3DC1">
        <w:rPr>
          <w:rFonts w:ascii="Book Antiqua" w:hAnsi="Book Antiqua" w:cs="Arial"/>
          <w:sz w:val="24"/>
          <w:szCs w:val="24"/>
        </w:rPr>
        <w:t>postoperative</w:t>
      </w:r>
      <w:r w:rsidR="006F2577" w:rsidRPr="006C3DC1">
        <w:rPr>
          <w:rFonts w:ascii="Book Antiqua" w:hAnsi="Book Antiqua" w:cs="Arial"/>
          <w:sz w:val="24"/>
          <w:szCs w:val="24"/>
        </w:rPr>
        <w:t xml:space="preserve"> recover</w:t>
      </w:r>
      <w:r w:rsidR="00C31005" w:rsidRPr="006C3DC1">
        <w:rPr>
          <w:rFonts w:ascii="Book Antiqua" w:hAnsi="Book Antiqua" w:cs="Arial"/>
          <w:sz w:val="24"/>
          <w:szCs w:val="24"/>
        </w:rPr>
        <w:t>y</w:t>
      </w:r>
      <w:r w:rsidR="006F2577" w:rsidRPr="006C3DC1">
        <w:rPr>
          <w:rFonts w:ascii="Book Antiqua" w:hAnsi="Book Antiqua" w:cs="Arial"/>
          <w:sz w:val="24"/>
          <w:szCs w:val="24"/>
        </w:rPr>
        <w:t>.</w:t>
      </w:r>
    </w:p>
    <w:p w:rsidR="006F2577" w:rsidRPr="006C3DC1" w:rsidRDefault="006F2577" w:rsidP="006C3DC1">
      <w:pPr>
        <w:spacing w:line="360" w:lineRule="auto"/>
        <w:jc w:val="both"/>
        <w:rPr>
          <w:rFonts w:ascii="Book Antiqua" w:eastAsia="Times New Roman" w:hAnsi="Book Antiqua" w:cs="Times New Roman"/>
          <w:sz w:val="24"/>
          <w:szCs w:val="24"/>
        </w:rPr>
      </w:pPr>
    </w:p>
    <w:p w:rsidR="0050230B" w:rsidRDefault="0050230B">
      <w:pPr>
        <w:rPr>
          <w:rFonts w:ascii="Book Antiqua" w:eastAsia="Arial Unicode MS" w:hAnsi="Book Antiqua" w:cs="Arial Unicode MS"/>
          <w:b/>
          <w:bCs/>
          <w:kern w:val="2"/>
          <w:sz w:val="24"/>
          <w:szCs w:val="24"/>
          <w:lang w:eastAsia="zh-TW"/>
        </w:rPr>
      </w:pPr>
      <w:r>
        <w:rPr>
          <w:rFonts w:ascii="Book Antiqua" w:hAnsi="Book Antiqua"/>
          <w:b/>
          <w:bCs/>
        </w:rPr>
        <w:br w:type="page"/>
      </w:r>
    </w:p>
    <w:p w:rsidR="00847F85" w:rsidRPr="00C3483D" w:rsidRDefault="00141C1D" w:rsidP="00C3483D">
      <w:pPr>
        <w:pStyle w:val="Date"/>
        <w:spacing w:line="360" w:lineRule="auto"/>
        <w:ind w:left="0"/>
        <w:rPr>
          <w:rFonts w:ascii="Book Antiqua" w:hAnsi="Book Antiqua"/>
        </w:rPr>
      </w:pPr>
      <w:r w:rsidRPr="00C3483D">
        <w:rPr>
          <w:rFonts w:ascii="Book Antiqua" w:hAnsi="Book Antiqua"/>
          <w:b/>
          <w:bCs/>
          <w:lang w:val="en-US"/>
        </w:rPr>
        <w:lastRenderedPageBreak/>
        <w:t>REFERENCE</w:t>
      </w:r>
      <w:r w:rsidRPr="00C3483D">
        <w:rPr>
          <w:rFonts w:ascii="Book Antiqua" w:hAnsi="Book Antiqua"/>
          <w:b/>
          <w:bCs/>
          <w:lang w:val="en-US" w:eastAsia="zh-CN"/>
        </w:rPr>
        <w:t>S</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lang w:eastAsia="zh-TW"/>
        </w:rPr>
        <w:t xml:space="preserve">1 </w:t>
      </w:r>
      <w:proofErr w:type="spellStart"/>
      <w:r w:rsidRPr="00C3483D">
        <w:rPr>
          <w:rFonts w:ascii="Book Antiqua" w:hAnsi="Book Antiqua"/>
          <w:b/>
          <w:sz w:val="24"/>
          <w:szCs w:val="24"/>
          <w:lang w:eastAsia="zh-TW"/>
        </w:rPr>
        <w:t>Rodeghiero</w:t>
      </w:r>
      <w:proofErr w:type="spellEnd"/>
      <w:r w:rsidRPr="00C3483D">
        <w:rPr>
          <w:rFonts w:ascii="Book Antiqua" w:hAnsi="Book Antiqua"/>
          <w:b/>
          <w:sz w:val="24"/>
          <w:szCs w:val="24"/>
          <w:lang w:eastAsia="zh-TW"/>
        </w:rPr>
        <w:t xml:space="preserve"> F</w:t>
      </w:r>
      <w:r w:rsidRPr="00C3483D">
        <w:rPr>
          <w:rFonts w:ascii="Book Antiqua" w:hAnsi="Book Antiqua"/>
          <w:sz w:val="24"/>
          <w:szCs w:val="24"/>
          <w:lang w:eastAsia="zh-TW"/>
        </w:rPr>
        <w:t xml:space="preserve">, Stasi R, </w:t>
      </w:r>
      <w:proofErr w:type="spellStart"/>
      <w:r w:rsidRPr="00C3483D">
        <w:rPr>
          <w:rFonts w:ascii="Book Antiqua" w:hAnsi="Book Antiqua"/>
          <w:sz w:val="24"/>
          <w:szCs w:val="24"/>
          <w:lang w:eastAsia="zh-TW"/>
        </w:rPr>
        <w:t>Gernsheimer</w:t>
      </w:r>
      <w:proofErr w:type="spellEnd"/>
      <w:r w:rsidRPr="00C3483D">
        <w:rPr>
          <w:rFonts w:ascii="Book Antiqua" w:hAnsi="Book Antiqua"/>
          <w:sz w:val="24"/>
          <w:szCs w:val="24"/>
          <w:lang w:eastAsia="zh-TW"/>
        </w:rPr>
        <w:t xml:space="preserve"> T, Michel M, </w:t>
      </w:r>
      <w:proofErr w:type="spellStart"/>
      <w:r w:rsidRPr="00C3483D">
        <w:rPr>
          <w:rFonts w:ascii="Book Antiqua" w:hAnsi="Book Antiqua"/>
          <w:sz w:val="24"/>
          <w:szCs w:val="24"/>
          <w:lang w:eastAsia="zh-TW"/>
        </w:rPr>
        <w:t>Provan</w:t>
      </w:r>
      <w:proofErr w:type="spellEnd"/>
      <w:r w:rsidRPr="00C3483D">
        <w:rPr>
          <w:rFonts w:ascii="Book Antiqua" w:hAnsi="Book Antiqua"/>
          <w:sz w:val="24"/>
          <w:szCs w:val="24"/>
          <w:lang w:eastAsia="zh-TW"/>
        </w:rPr>
        <w:t xml:space="preserve"> D, Arnold DM, </w:t>
      </w:r>
      <w:proofErr w:type="spellStart"/>
      <w:r w:rsidRPr="00C3483D">
        <w:rPr>
          <w:rFonts w:ascii="Book Antiqua" w:hAnsi="Book Antiqua"/>
          <w:sz w:val="24"/>
          <w:szCs w:val="24"/>
          <w:lang w:eastAsia="zh-TW"/>
        </w:rPr>
        <w:t>Bussel</w:t>
      </w:r>
      <w:proofErr w:type="spellEnd"/>
      <w:r w:rsidRPr="00C3483D">
        <w:rPr>
          <w:rFonts w:ascii="Book Antiqua" w:hAnsi="Book Antiqua"/>
          <w:sz w:val="24"/>
          <w:szCs w:val="24"/>
          <w:lang w:eastAsia="zh-TW"/>
        </w:rPr>
        <w:t xml:space="preserve"> JB, Cines DB, Chong BH, Cooper N, </w:t>
      </w:r>
      <w:proofErr w:type="spellStart"/>
      <w:r w:rsidRPr="00C3483D">
        <w:rPr>
          <w:rFonts w:ascii="Book Antiqua" w:hAnsi="Book Antiqua"/>
          <w:sz w:val="24"/>
          <w:szCs w:val="24"/>
          <w:lang w:eastAsia="zh-TW"/>
        </w:rPr>
        <w:t>Godeau</w:t>
      </w:r>
      <w:proofErr w:type="spellEnd"/>
      <w:r w:rsidRPr="00C3483D">
        <w:rPr>
          <w:rFonts w:ascii="Book Antiqua" w:hAnsi="Book Antiqua"/>
          <w:sz w:val="24"/>
          <w:szCs w:val="24"/>
          <w:lang w:eastAsia="zh-TW"/>
        </w:rPr>
        <w:t xml:space="preserve"> B, Lechner K, </w:t>
      </w:r>
      <w:proofErr w:type="spellStart"/>
      <w:r w:rsidRPr="00C3483D">
        <w:rPr>
          <w:rFonts w:ascii="Book Antiqua" w:hAnsi="Book Antiqua"/>
          <w:sz w:val="24"/>
          <w:szCs w:val="24"/>
          <w:lang w:eastAsia="zh-TW"/>
        </w:rPr>
        <w:t>Mazzucconi</w:t>
      </w:r>
      <w:proofErr w:type="spellEnd"/>
      <w:r w:rsidRPr="00C3483D">
        <w:rPr>
          <w:rFonts w:ascii="Book Antiqua" w:hAnsi="Book Antiqua"/>
          <w:sz w:val="24"/>
          <w:szCs w:val="24"/>
          <w:lang w:eastAsia="zh-TW"/>
        </w:rPr>
        <w:t xml:space="preserve"> MG, McMillan R, Sanz MA, </w:t>
      </w:r>
      <w:proofErr w:type="spellStart"/>
      <w:r w:rsidRPr="00C3483D">
        <w:rPr>
          <w:rFonts w:ascii="Book Antiqua" w:hAnsi="Book Antiqua"/>
          <w:sz w:val="24"/>
          <w:szCs w:val="24"/>
          <w:lang w:eastAsia="zh-TW"/>
        </w:rPr>
        <w:t>Imbach</w:t>
      </w:r>
      <w:proofErr w:type="spellEnd"/>
      <w:r w:rsidRPr="00C3483D">
        <w:rPr>
          <w:rFonts w:ascii="Book Antiqua" w:hAnsi="Book Antiqua"/>
          <w:sz w:val="24"/>
          <w:szCs w:val="24"/>
          <w:lang w:eastAsia="zh-TW"/>
        </w:rPr>
        <w:t xml:space="preserve"> P, Blanchette V, </w:t>
      </w:r>
      <w:proofErr w:type="spellStart"/>
      <w:r w:rsidRPr="00C3483D">
        <w:rPr>
          <w:rFonts w:ascii="Book Antiqua" w:hAnsi="Book Antiqua"/>
          <w:sz w:val="24"/>
          <w:szCs w:val="24"/>
          <w:lang w:eastAsia="zh-TW"/>
        </w:rPr>
        <w:t>Kühne</w:t>
      </w:r>
      <w:proofErr w:type="spellEnd"/>
      <w:r w:rsidRPr="00C3483D">
        <w:rPr>
          <w:rFonts w:ascii="Book Antiqua" w:hAnsi="Book Antiqua"/>
          <w:sz w:val="24"/>
          <w:szCs w:val="24"/>
          <w:lang w:eastAsia="zh-TW"/>
        </w:rPr>
        <w:t xml:space="preserve"> T, Ruggeri M, George JN. </w:t>
      </w:r>
      <w:r w:rsidRPr="00C3483D">
        <w:rPr>
          <w:rFonts w:ascii="Book Antiqua" w:hAnsi="Book Antiqua"/>
          <w:sz w:val="24"/>
          <w:szCs w:val="24"/>
        </w:rPr>
        <w:t xml:space="preserve">Standardization of terminology, definitions and outcome criteria in immune thrombocytopenic purpura of adults and children: report from an international working group. </w:t>
      </w:r>
      <w:r w:rsidRPr="00C3483D">
        <w:rPr>
          <w:rFonts w:ascii="Book Antiqua" w:hAnsi="Book Antiqua"/>
          <w:i/>
          <w:sz w:val="24"/>
          <w:szCs w:val="24"/>
        </w:rPr>
        <w:t>Blood</w:t>
      </w:r>
      <w:r w:rsidRPr="00C3483D">
        <w:rPr>
          <w:rFonts w:ascii="Book Antiqua" w:hAnsi="Book Antiqua"/>
          <w:sz w:val="24"/>
          <w:szCs w:val="24"/>
        </w:rPr>
        <w:t xml:space="preserve"> 2009; </w:t>
      </w:r>
      <w:r w:rsidRPr="00C3483D">
        <w:rPr>
          <w:rFonts w:ascii="Book Antiqua" w:hAnsi="Book Antiqua"/>
          <w:b/>
          <w:sz w:val="24"/>
          <w:szCs w:val="24"/>
        </w:rPr>
        <w:t>113</w:t>
      </w:r>
      <w:r w:rsidRPr="00C3483D">
        <w:rPr>
          <w:rFonts w:ascii="Book Antiqua" w:hAnsi="Book Antiqua"/>
          <w:sz w:val="24"/>
          <w:szCs w:val="24"/>
        </w:rPr>
        <w:t>: 2386-2393 [PMID: 19005182 DOI: 10.1182/blood-2008-07-162503]</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2 </w:t>
      </w:r>
      <w:r w:rsidRPr="00C3483D">
        <w:rPr>
          <w:rFonts w:ascii="Book Antiqua" w:hAnsi="Book Antiqua"/>
          <w:b/>
          <w:sz w:val="24"/>
          <w:szCs w:val="24"/>
        </w:rPr>
        <w:t>Shan NN</w:t>
      </w:r>
      <w:r w:rsidRPr="00C3483D">
        <w:rPr>
          <w:rFonts w:ascii="Book Antiqua" w:hAnsi="Book Antiqua"/>
          <w:sz w:val="24"/>
          <w:szCs w:val="24"/>
        </w:rPr>
        <w:t xml:space="preserve">, Dong LL, Zhang XM, Liu X, Li Y. Targeting autophagy as a potential therapeutic approach for immune thrombocytopenia therapy. </w:t>
      </w:r>
      <w:proofErr w:type="spellStart"/>
      <w:r w:rsidRPr="00C3483D">
        <w:rPr>
          <w:rFonts w:ascii="Book Antiqua" w:hAnsi="Book Antiqua"/>
          <w:i/>
          <w:sz w:val="24"/>
          <w:szCs w:val="24"/>
        </w:rPr>
        <w:t>Crit</w:t>
      </w:r>
      <w:proofErr w:type="spellEnd"/>
      <w:r w:rsidRPr="00C3483D">
        <w:rPr>
          <w:rFonts w:ascii="Book Antiqua" w:hAnsi="Book Antiqua"/>
          <w:i/>
          <w:sz w:val="24"/>
          <w:szCs w:val="24"/>
        </w:rPr>
        <w:t xml:space="preserve"> Rev Oncol </w:t>
      </w:r>
      <w:proofErr w:type="spellStart"/>
      <w:r w:rsidRPr="00C3483D">
        <w:rPr>
          <w:rFonts w:ascii="Book Antiqua" w:hAnsi="Book Antiqua"/>
          <w:i/>
          <w:sz w:val="24"/>
          <w:szCs w:val="24"/>
        </w:rPr>
        <w:t>Hematol</w:t>
      </w:r>
      <w:proofErr w:type="spellEnd"/>
      <w:r w:rsidRPr="00C3483D">
        <w:rPr>
          <w:rFonts w:ascii="Book Antiqua" w:hAnsi="Book Antiqua"/>
          <w:sz w:val="24"/>
          <w:szCs w:val="24"/>
        </w:rPr>
        <w:t xml:space="preserve"> 2016; </w:t>
      </w:r>
      <w:r w:rsidRPr="00C3483D">
        <w:rPr>
          <w:rFonts w:ascii="Book Antiqua" w:hAnsi="Book Antiqua"/>
          <w:b/>
          <w:sz w:val="24"/>
          <w:szCs w:val="24"/>
        </w:rPr>
        <w:t>100</w:t>
      </w:r>
      <w:r w:rsidRPr="00C3483D">
        <w:rPr>
          <w:rFonts w:ascii="Book Antiqua" w:hAnsi="Book Antiqua"/>
          <w:sz w:val="24"/>
          <w:szCs w:val="24"/>
        </w:rPr>
        <w:t>: 11-15 [PMID: 26830007 DOI: 10.1016/j.critrevonc.2016.01.011]</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3 </w:t>
      </w:r>
      <w:r w:rsidRPr="00C3483D">
        <w:rPr>
          <w:rFonts w:ascii="Book Antiqua" w:hAnsi="Book Antiqua"/>
          <w:b/>
          <w:sz w:val="24"/>
          <w:szCs w:val="24"/>
        </w:rPr>
        <w:t>Gupta S</w:t>
      </w:r>
      <w:r w:rsidRPr="00C3483D">
        <w:rPr>
          <w:rFonts w:ascii="Book Antiqua" w:hAnsi="Book Antiqua"/>
          <w:sz w:val="24"/>
          <w:szCs w:val="24"/>
        </w:rPr>
        <w:t xml:space="preserve">, </w:t>
      </w:r>
      <w:proofErr w:type="spellStart"/>
      <w:r w:rsidRPr="00C3483D">
        <w:rPr>
          <w:rFonts w:ascii="Book Antiqua" w:hAnsi="Book Antiqua"/>
          <w:sz w:val="24"/>
          <w:szCs w:val="24"/>
        </w:rPr>
        <w:t>Kalayarasan</w:t>
      </w:r>
      <w:proofErr w:type="spellEnd"/>
      <w:r w:rsidRPr="00C3483D">
        <w:rPr>
          <w:rFonts w:ascii="Book Antiqua" w:hAnsi="Book Antiqua"/>
          <w:sz w:val="24"/>
          <w:szCs w:val="24"/>
        </w:rPr>
        <w:t xml:space="preserve"> R, Chandrasekar S, </w:t>
      </w:r>
      <w:proofErr w:type="spellStart"/>
      <w:r w:rsidRPr="00C3483D">
        <w:rPr>
          <w:rFonts w:ascii="Book Antiqua" w:hAnsi="Book Antiqua"/>
          <w:sz w:val="24"/>
          <w:szCs w:val="24"/>
        </w:rPr>
        <w:t>Gnanasekaran</w:t>
      </w:r>
      <w:proofErr w:type="spellEnd"/>
      <w:r w:rsidRPr="00C3483D">
        <w:rPr>
          <w:rFonts w:ascii="Book Antiqua" w:hAnsi="Book Antiqua"/>
          <w:sz w:val="24"/>
          <w:szCs w:val="24"/>
        </w:rPr>
        <w:t xml:space="preserve"> S, </w:t>
      </w:r>
      <w:proofErr w:type="spellStart"/>
      <w:r w:rsidRPr="00C3483D">
        <w:rPr>
          <w:rFonts w:ascii="Book Antiqua" w:hAnsi="Book Antiqua"/>
          <w:sz w:val="24"/>
          <w:szCs w:val="24"/>
        </w:rPr>
        <w:t>Pottakkat</w:t>
      </w:r>
      <w:proofErr w:type="spellEnd"/>
      <w:r w:rsidRPr="00C3483D">
        <w:rPr>
          <w:rFonts w:ascii="Book Antiqua" w:hAnsi="Book Antiqua"/>
          <w:sz w:val="24"/>
          <w:szCs w:val="24"/>
        </w:rPr>
        <w:t xml:space="preserve"> B. Laparoscopic Splenectomy for Immune Thrombocytopenic Purpura (ITP) Patients with Very Severe Thrombocytopenia. </w:t>
      </w:r>
      <w:r w:rsidRPr="00C3483D">
        <w:rPr>
          <w:rFonts w:ascii="Book Antiqua" w:hAnsi="Book Antiqua"/>
          <w:i/>
          <w:sz w:val="24"/>
          <w:szCs w:val="24"/>
        </w:rPr>
        <w:t xml:space="preserve">Indian J </w:t>
      </w:r>
      <w:proofErr w:type="spellStart"/>
      <w:r w:rsidRPr="00C3483D">
        <w:rPr>
          <w:rFonts w:ascii="Book Antiqua" w:hAnsi="Book Antiqua"/>
          <w:i/>
          <w:sz w:val="24"/>
          <w:szCs w:val="24"/>
        </w:rPr>
        <w:t>Hematol</w:t>
      </w:r>
      <w:proofErr w:type="spellEnd"/>
      <w:r w:rsidRPr="00C3483D">
        <w:rPr>
          <w:rFonts w:ascii="Book Antiqua" w:hAnsi="Book Antiqua"/>
          <w:i/>
          <w:sz w:val="24"/>
          <w:szCs w:val="24"/>
        </w:rPr>
        <w:t xml:space="preserve"> Blood </w:t>
      </w:r>
      <w:proofErr w:type="spellStart"/>
      <w:r w:rsidRPr="00C3483D">
        <w:rPr>
          <w:rFonts w:ascii="Book Antiqua" w:hAnsi="Book Antiqua"/>
          <w:i/>
          <w:sz w:val="24"/>
          <w:szCs w:val="24"/>
        </w:rPr>
        <w:t>Transfus</w:t>
      </w:r>
      <w:proofErr w:type="spellEnd"/>
      <w:r w:rsidRPr="00C3483D">
        <w:rPr>
          <w:rFonts w:ascii="Book Antiqua" w:hAnsi="Book Antiqua"/>
          <w:sz w:val="24"/>
          <w:szCs w:val="24"/>
        </w:rPr>
        <w:t xml:space="preserve"> 2018; </w:t>
      </w:r>
      <w:r w:rsidRPr="00C3483D">
        <w:rPr>
          <w:rFonts w:ascii="Book Antiqua" w:hAnsi="Book Antiqua"/>
          <w:b/>
          <w:sz w:val="24"/>
          <w:szCs w:val="24"/>
        </w:rPr>
        <w:t>34</w:t>
      </w:r>
      <w:r w:rsidRPr="00C3483D">
        <w:rPr>
          <w:rFonts w:ascii="Book Antiqua" w:hAnsi="Book Antiqua"/>
          <w:sz w:val="24"/>
          <w:szCs w:val="24"/>
        </w:rPr>
        <w:t>: 535-539 [PMID: 30127567 DOI: 10.1007/s12288-017-0902-0]</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4 </w:t>
      </w:r>
      <w:proofErr w:type="spellStart"/>
      <w:r w:rsidRPr="00C3483D">
        <w:rPr>
          <w:rFonts w:ascii="Book Antiqua" w:hAnsi="Book Antiqua"/>
          <w:b/>
          <w:sz w:val="24"/>
          <w:szCs w:val="24"/>
        </w:rPr>
        <w:t>Khellaf</w:t>
      </w:r>
      <w:proofErr w:type="spellEnd"/>
      <w:r w:rsidRPr="00C3483D">
        <w:rPr>
          <w:rFonts w:ascii="Book Antiqua" w:hAnsi="Book Antiqua"/>
          <w:b/>
          <w:sz w:val="24"/>
          <w:szCs w:val="24"/>
        </w:rPr>
        <w:t xml:space="preserve"> M</w:t>
      </w:r>
      <w:r w:rsidRPr="00C3483D">
        <w:rPr>
          <w:rFonts w:ascii="Book Antiqua" w:hAnsi="Book Antiqua"/>
          <w:sz w:val="24"/>
          <w:szCs w:val="24"/>
        </w:rPr>
        <w:t xml:space="preserve">, Michel M, Schaeffer A, </w:t>
      </w:r>
      <w:proofErr w:type="spellStart"/>
      <w:r w:rsidRPr="00C3483D">
        <w:rPr>
          <w:rFonts w:ascii="Book Antiqua" w:hAnsi="Book Antiqua"/>
          <w:sz w:val="24"/>
          <w:szCs w:val="24"/>
        </w:rPr>
        <w:t>Bierling</w:t>
      </w:r>
      <w:proofErr w:type="spellEnd"/>
      <w:r w:rsidRPr="00C3483D">
        <w:rPr>
          <w:rFonts w:ascii="Book Antiqua" w:hAnsi="Book Antiqua"/>
          <w:sz w:val="24"/>
          <w:szCs w:val="24"/>
        </w:rPr>
        <w:t xml:space="preserve"> P, </w:t>
      </w:r>
      <w:proofErr w:type="spellStart"/>
      <w:r w:rsidRPr="00C3483D">
        <w:rPr>
          <w:rFonts w:ascii="Book Antiqua" w:hAnsi="Book Antiqua"/>
          <w:sz w:val="24"/>
          <w:szCs w:val="24"/>
        </w:rPr>
        <w:t>Godeau</w:t>
      </w:r>
      <w:proofErr w:type="spellEnd"/>
      <w:r w:rsidRPr="00C3483D">
        <w:rPr>
          <w:rFonts w:ascii="Book Antiqua" w:hAnsi="Book Antiqua"/>
          <w:sz w:val="24"/>
          <w:szCs w:val="24"/>
        </w:rPr>
        <w:t xml:space="preserve"> B. Assessment of a therapeutic strategy for adults with severe autoimmune thrombocytopenic purpura based on a bleeding score rather than platelet count. </w:t>
      </w:r>
      <w:proofErr w:type="spellStart"/>
      <w:r w:rsidRPr="00C3483D">
        <w:rPr>
          <w:rFonts w:ascii="Book Antiqua" w:hAnsi="Book Antiqua"/>
          <w:i/>
          <w:sz w:val="24"/>
          <w:szCs w:val="24"/>
        </w:rPr>
        <w:t>Haematologica</w:t>
      </w:r>
      <w:proofErr w:type="spellEnd"/>
      <w:r w:rsidRPr="00C3483D">
        <w:rPr>
          <w:rFonts w:ascii="Book Antiqua" w:hAnsi="Book Antiqua"/>
          <w:sz w:val="24"/>
          <w:szCs w:val="24"/>
        </w:rPr>
        <w:t xml:space="preserve"> 2005; </w:t>
      </w:r>
      <w:r w:rsidRPr="00C3483D">
        <w:rPr>
          <w:rFonts w:ascii="Book Antiqua" w:hAnsi="Book Antiqua"/>
          <w:b/>
          <w:sz w:val="24"/>
          <w:szCs w:val="24"/>
        </w:rPr>
        <w:t>90</w:t>
      </w:r>
      <w:r w:rsidRPr="00C3483D">
        <w:rPr>
          <w:rFonts w:ascii="Book Antiqua" w:hAnsi="Book Antiqua"/>
          <w:sz w:val="24"/>
          <w:szCs w:val="24"/>
        </w:rPr>
        <w:t>: 829-832 [PMID: 15951296]</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5 </w:t>
      </w:r>
      <w:r w:rsidRPr="00C3483D">
        <w:rPr>
          <w:rFonts w:ascii="Book Antiqua" w:hAnsi="Book Antiqua"/>
          <w:b/>
          <w:sz w:val="24"/>
          <w:szCs w:val="24"/>
        </w:rPr>
        <w:t>Page LK</w:t>
      </w:r>
      <w:r w:rsidRPr="00C3483D">
        <w:rPr>
          <w:rFonts w:ascii="Book Antiqua" w:hAnsi="Book Antiqua"/>
          <w:sz w:val="24"/>
          <w:szCs w:val="24"/>
        </w:rPr>
        <w:t xml:space="preserve">, </w:t>
      </w:r>
      <w:proofErr w:type="spellStart"/>
      <w:r w:rsidRPr="00C3483D">
        <w:rPr>
          <w:rFonts w:ascii="Book Antiqua" w:hAnsi="Book Antiqua"/>
          <w:sz w:val="24"/>
          <w:szCs w:val="24"/>
        </w:rPr>
        <w:t>Psaila</w:t>
      </w:r>
      <w:proofErr w:type="spellEnd"/>
      <w:r w:rsidRPr="00C3483D">
        <w:rPr>
          <w:rFonts w:ascii="Book Antiqua" w:hAnsi="Book Antiqua"/>
          <w:sz w:val="24"/>
          <w:szCs w:val="24"/>
        </w:rPr>
        <w:t xml:space="preserve"> B, </w:t>
      </w:r>
      <w:proofErr w:type="spellStart"/>
      <w:r w:rsidRPr="00C3483D">
        <w:rPr>
          <w:rFonts w:ascii="Book Antiqua" w:hAnsi="Book Antiqua"/>
          <w:sz w:val="24"/>
          <w:szCs w:val="24"/>
        </w:rPr>
        <w:t>Provan</w:t>
      </w:r>
      <w:proofErr w:type="spellEnd"/>
      <w:r w:rsidRPr="00C3483D">
        <w:rPr>
          <w:rFonts w:ascii="Book Antiqua" w:hAnsi="Book Antiqua"/>
          <w:sz w:val="24"/>
          <w:szCs w:val="24"/>
        </w:rPr>
        <w:t xml:space="preserve"> D, Michael Hamilton J, Jenkins JM, </w:t>
      </w:r>
      <w:proofErr w:type="spellStart"/>
      <w:r w:rsidRPr="00C3483D">
        <w:rPr>
          <w:rFonts w:ascii="Book Antiqua" w:hAnsi="Book Antiqua"/>
          <w:sz w:val="24"/>
          <w:szCs w:val="24"/>
        </w:rPr>
        <w:t>Elish</w:t>
      </w:r>
      <w:proofErr w:type="spellEnd"/>
      <w:r w:rsidRPr="00C3483D">
        <w:rPr>
          <w:rFonts w:ascii="Book Antiqua" w:hAnsi="Book Antiqua"/>
          <w:sz w:val="24"/>
          <w:szCs w:val="24"/>
        </w:rPr>
        <w:t xml:space="preserve"> AS, Lesser ML, </w:t>
      </w:r>
      <w:proofErr w:type="spellStart"/>
      <w:r w:rsidRPr="00C3483D">
        <w:rPr>
          <w:rFonts w:ascii="Book Antiqua" w:hAnsi="Book Antiqua"/>
          <w:sz w:val="24"/>
          <w:szCs w:val="24"/>
        </w:rPr>
        <w:t>Bussel</w:t>
      </w:r>
      <w:proofErr w:type="spellEnd"/>
      <w:r w:rsidRPr="00C3483D">
        <w:rPr>
          <w:rFonts w:ascii="Book Antiqua" w:hAnsi="Book Antiqua"/>
          <w:sz w:val="24"/>
          <w:szCs w:val="24"/>
        </w:rPr>
        <w:t xml:space="preserve"> JB. The immune thrombocytopenic purpura (ITP) bleeding score: assessment of bleeding in patients with ITP. </w:t>
      </w:r>
      <w:r w:rsidRPr="00C3483D">
        <w:rPr>
          <w:rFonts w:ascii="Book Antiqua" w:hAnsi="Book Antiqua"/>
          <w:i/>
          <w:sz w:val="24"/>
          <w:szCs w:val="24"/>
        </w:rPr>
        <w:t xml:space="preserve">Br J </w:t>
      </w:r>
      <w:proofErr w:type="spellStart"/>
      <w:r w:rsidRPr="00C3483D">
        <w:rPr>
          <w:rFonts w:ascii="Book Antiqua" w:hAnsi="Book Antiqua"/>
          <w:i/>
          <w:sz w:val="24"/>
          <w:szCs w:val="24"/>
        </w:rPr>
        <w:t>Haematol</w:t>
      </w:r>
      <w:proofErr w:type="spellEnd"/>
      <w:r w:rsidRPr="00C3483D">
        <w:rPr>
          <w:rFonts w:ascii="Book Antiqua" w:hAnsi="Book Antiqua"/>
          <w:sz w:val="24"/>
          <w:szCs w:val="24"/>
        </w:rPr>
        <w:t xml:space="preserve"> 2007; </w:t>
      </w:r>
      <w:r w:rsidRPr="00C3483D">
        <w:rPr>
          <w:rFonts w:ascii="Book Antiqua" w:hAnsi="Book Antiqua"/>
          <w:b/>
          <w:sz w:val="24"/>
          <w:szCs w:val="24"/>
        </w:rPr>
        <w:t>138</w:t>
      </w:r>
      <w:r w:rsidRPr="00C3483D">
        <w:rPr>
          <w:rFonts w:ascii="Book Antiqua" w:hAnsi="Book Antiqua"/>
          <w:sz w:val="24"/>
          <w:szCs w:val="24"/>
        </w:rPr>
        <w:t>: 245-248 [PMID: 17542983 DOI: 10.1111/j.1365-2141.2007.06635.x]</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6 </w:t>
      </w:r>
      <w:proofErr w:type="spellStart"/>
      <w:r w:rsidRPr="00C3483D">
        <w:rPr>
          <w:rFonts w:ascii="Book Antiqua" w:hAnsi="Book Antiqua"/>
          <w:b/>
          <w:sz w:val="24"/>
          <w:szCs w:val="24"/>
        </w:rPr>
        <w:t>Bachmeyer</w:t>
      </w:r>
      <w:proofErr w:type="spellEnd"/>
      <w:r w:rsidRPr="00C3483D">
        <w:rPr>
          <w:rFonts w:ascii="Book Antiqua" w:hAnsi="Book Antiqua"/>
          <w:b/>
          <w:sz w:val="24"/>
          <w:szCs w:val="24"/>
        </w:rPr>
        <w:t xml:space="preserve"> C</w:t>
      </w:r>
      <w:r w:rsidRPr="00C3483D">
        <w:rPr>
          <w:rFonts w:ascii="Book Antiqua" w:hAnsi="Book Antiqua"/>
          <w:sz w:val="24"/>
          <w:szCs w:val="24"/>
        </w:rPr>
        <w:t xml:space="preserve">, </w:t>
      </w:r>
      <w:proofErr w:type="spellStart"/>
      <w:r w:rsidRPr="00C3483D">
        <w:rPr>
          <w:rFonts w:ascii="Book Antiqua" w:hAnsi="Book Antiqua"/>
          <w:sz w:val="24"/>
          <w:szCs w:val="24"/>
        </w:rPr>
        <w:t>Audouin</w:t>
      </w:r>
      <w:proofErr w:type="spellEnd"/>
      <w:r w:rsidRPr="00C3483D">
        <w:rPr>
          <w:rFonts w:ascii="Book Antiqua" w:hAnsi="Book Antiqua"/>
          <w:sz w:val="24"/>
          <w:szCs w:val="24"/>
        </w:rPr>
        <w:t xml:space="preserve"> J, </w:t>
      </w:r>
      <w:proofErr w:type="spellStart"/>
      <w:r w:rsidRPr="00C3483D">
        <w:rPr>
          <w:rFonts w:ascii="Book Antiqua" w:hAnsi="Book Antiqua"/>
          <w:sz w:val="24"/>
          <w:szCs w:val="24"/>
        </w:rPr>
        <w:t>Bouillot</w:t>
      </w:r>
      <w:proofErr w:type="spellEnd"/>
      <w:r w:rsidRPr="00C3483D">
        <w:rPr>
          <w:rFonts w:ascii="Book Antiqua" w:hAnsi="Book Antiqua"/>
          <w:sz w:val="24"/>
          <w:szCs w:val="24"/>
        </w:rPr>
        <w:t xml:space="preserve"> JL, </w:t>
      </w:r>
      <w:proofErr w:type="spellStart"/>
      <w:r w:rsidRPr="00C3483D">
        <w:rPr>
          <w:rFonts w:ascii="Book Antiqua" w:hAnsi="Book Antiqua"/>
          <w:sz w:val="24"/>
          <w:szCs w:val="24"/>
        </w:rPr>
        <w:t>Coutarel</w:t>
      </w:r>
      <w:proofErr w:type="spellEnd"/>
      <w:r w:rsidRPr="00C3483D">
        <w:rPr>
          <w:rFonts w:ascii="Book Antiqua" w:hAnsi="Book Antiqua"/>
          <w:sz w:val="24"/>
          <w:szCs w:val="24"/>
        </w:rPr>
        <w:t xml:space="preserve"> P, </w:t>
      </w:r>
      <w:proofErr w:type="spellStart"/>
      <w:r w:rsidRPr="00C3483D">
        <w:rPr>
          <w:rFonts w:ascii="Book Antiqua" w:hAnsi="Book Antiqua"/>
          <w:sz w:val="24"/>
          <w:szCs w:val="24"/>
        </w:rPr>
        <w:t>Mougeot</w:t>
      </w:r>
      <w:proofErr w:type="spellEnd"/>
      <w:r w:rsidRPr="00C3483D">
        <w:rPr>
          <w:rFonts w:ascii="Book Antiqua" w:hAnsi="Book Antiqua"/>
          <w:sz w:val="24"/>
          <w:szCs w:val="24"/>
        </w:rPr>
        <w:t xml:space="preserve">-Martin M, Delmer A. Immune thrombocytopenic purpura as the presenting feature of gastric MALT lymphoma. </w:t>
      </w:r>
      <w:r w:rsidRPr="00C3483D">
        <w:rPr>
          <w:rFonts w:ascii="Book Antiqua" w:hAnsi="Book Antiqua"/>
          <w:i/>
          <w:sz w:val="24"/>
          <w:szCs w:val="24"/>
        </w:rPr>
        <w:t>Am J Gastroenterol</w:t>
      </w:r>
      <w:r w:rsidRPr="00C3483D">
        <w:rPr>
          <w:rFonts w:ascii="Book Antiqua" w:hAnsi="Book Antiqua"/>
          <w:sz w:val="24"/>
          <w:szCs w:val="24"/>
        </w:rPr>
        <w:t xml:space="preserve"> 2000; </w:t>
      </w:r>
      <w:r w:rsidRPr="00C3483D">
        <w:rPr>
          <w:rFonts w:ascii="Book Antiqua" w:hAnsi="Book Antiqua"/>
          <w:b/>
          <w:sz w:val="24"/>
          <w:szCs w:val="24"/>
        </w:rPr>
        <w:t>95</w:t>
      </w:r>
      <w:r w:rsidRPr="00C3483D">
        <w:rPr>
          <w:rFonts w:ascii="Book Antiqua" w:hAnsi="Book Antiqua"/>
          <w:sz w:val="24"/>
          <w:szCs w:val="24"/>
        </w:rPr>
        <w:t>: 1599-1600 [PMID: 10894617 DOI: 10.1111/j.1572-0241.2000.02113.x]</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7 </w:t>
      </w:r>
      <w:r w:rsidRPr="00C3483D">
        <w:rPr>
          <w:rFonts w:ascii="Book Antiqua" w:hAnsi="Book Antiqua"/>
          <w:b/>
          <w:sz w:val="24"/>
          <w:szCs w:val="24"/>
        </w:rPr>
        <w:t>Noda M</w:t>
      </w:r>
      <w:r w:rsidRPr="00C3483D">
        <w:rPr>
          <w:rFonts w:ascii="Book Antiqua" w:hAnsi="Book Antiqua"/>
          <w:sz w:val="24"/>
          <w:szCs w:val="24"/>
        </w:rPr>
        <w:t xml:space="preserve">, Mori N, Nomura K, Kojima K, </w:t>
      </w:r>
      <w:proofErr w:type="spellStart"/>
      <w:r w:rsidRPr="00C3483D">
        <w:rPr>
          <w:rFonts w:ascii="Book Antiqua" w:hAnsi="Book Antiqua"/>
          <w:sz w:val="24"/>
          <w:szCs w:val="24"/>
        </w:rPr>
        <w:t>Mitsufuji</w:t>
      </w:r>
      <w:proofErr w:type="spellEnd"/>
      <w:r w:rsidRPr="00C3483D">
        <w:rPr>
          <w:rFonts w:ascii="Book Antiqua" w:hAnsi="Book Antiqua"/>
          <w:sz w:val="24"/>
          <w:szCs w:val="24"/>
        </w:rPr>
        <w:t xml:space="preserve"> S, Yamane I, Misawa S, </w:t>
      </w:r>
      <w:proofErr w:type="spellStart"/>
      <w:r w:rsidRPr="00C3483D">
        <w:rPr>
          <w:rFonts w:ascii="Book Antiqua" w:hAnsi="Book Antiqua"/>
          <w:sz w:val="24"/>
          <w:szCs w:val="24"/>
        </w:rPr>
        <w:t>Okanoue</w:t>
      </w:r>
      <w:proofErr w:type="spellEnd"/>
      <w:r w:rsidRPr="00C3483D">
        <w:rPr>
          <w:rFonts w:ascii="Book Antiqua" w:hAnsi="Book Antiqua"/>
          <w:sz w:val="24"/>
          <w:szCs w:val="24"/>
        </w:rPr>
        <w:t xml:space="preserve"> T. Regression of idiopathic thrombocytopenic purpura after endoscopic mucosal resection of gastric mucosa associated lymphoid tissue </w:t>
      </w:r>
      <w:r w:rsidRPr="00C3483D">
        <w:rPr>
          <w:rFonts w:ascii="Book Antiqua" w:hAnsi="Book Antiqua"/>
          <w:sz w:val="24"/>
          <w:szCs w:val="24"/>
        </w:rPr>
        <w:lastRenderedPageBreak/>
        <w:t xml:space="preserve">lymphoma. </w:t>
      </w:r>
      <w:r w:rsidRPr="00C3483D">
        <w:rPr>
          <w:rFonts w:ascii="Book Antiqua" w:hAnsi="Book Antiqua"/>
          <w:i/>
          <w:sz w:val="24"/>
          <w:szCs w:val="24"/>
        </w:rPr>
        <w:t>Gut</w:t>
      </w:r>
      <w:r w:rsidRPr="00C3483D">
        <w:rPr>
          <w:rFonts w:ascii="Book Antiqua" w:hAnsi="Book Antiqua"/>
          <w:sz w:val="24"/>
          <w:szCs w:val="24"/>
        </w:rPr>
        <w:t xml:space="preserve"> 2004; </w:t>
      </w:r>
      <w:r w:rsidRPr="00C3483D">
        <w:rPr>
          <w:rFonts w:ascii="Book Antiqua" w:hAnsi="Book Antiqua"/>
          <w:b/>
          <w:sz w:val="24"/>
          <w:szCs w:val="24"/>
        </w:rPr>
        <w:t>53</w:t>
      </w:r>
      <w:r w:rsidRPr="00C3483D">
        <w:rPr>
          <w:rFonts w:ascii="Book Antiqua" w:hAnsi="Book Antiqua"/>
          <w:sz w:val="24"/>
          <w:szCs w:val="24"/>
        </w:rPr>
        <w:t>: 1698-1700 [PMID: 15479694 DOI: 10.1136/gut.2003.033555]</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8 </w:t>
      </w:r>
      <w:proofErr w:type="spellStart"/>
      <w:r w:rsidRPr="00C3483D">
        <w:rPr>
          <w:rFonts w:ascii="Book Antiqua" w:hAnsi="Book Antiqua"/>
          <w:b/>
          <w:sz w:val="24"/>
          <w:szCs w:val="24"/>
        </w:rPr>
        <w:t>Wakata</w:t>
      </w:r>
      <w:proofErr w:type="spellEnd"/>
      <w:r w:rsidRPr="00C3483D">
        <w:rPr>
          <w:rFonts w:ascii="Book Antiqua" w:hAnsi="Book Antiqua"/>
          <w:b/>
          <w:sz w:val="24"/>
          <w:szCs w:val="24"/>
        </w:rPr>
        <w:t xml:space="preserve"> N</w:t>
      </w:r>
      <w:r w:rsidRPr="00C3483D">
        <w:rPr>
          <w:rFonts w:ascii="Book Antiqua" w:hAnsi="Book Antiqua"/>
          <w:sz w:val="24"/>
          <w:szCs w:val="24"/>
        </w:rPr>
        <w:t xml:space="preserve">, </w:t>
      </w:r>
      <w:proofErr w:type="spellStart"/>
      <w:r w:rsidRPr="00C3483D">
        <w:rPr>
          <w:rFonts w:ascii="Book Antiqua" w:hAnsi="Book Antiqua"/>
          <w:sz w:val="24"/>
          <w:szCs w:val="24"/>
        </w:rPr>
        <w:t>Kiyozuka</w:t>
      </w:r>
      <w:proofErr w:type="spellEnd"/>
      <w:r w:rsidRPr="00C3483D">
        <w:rPr>
          <w:rFonts w:ascii="Book Antiqua" w:hAnsi="Book Antiqua"/>
          <w:sz w:val="24"/>
          <w:szCs w:val="24"/>
        </w:rPr>
        <w:t xml:space="preserve"> T, Konno S, </w:t>
      </w:r>
      <w:proofErr w:type="spellStart"/>
      <w:r w:rsidRPr="00C3483D">
        <w:rPr>
          <w:rFonts w:ascii="Book Antiqua" w:hAnsi="Book Antiqua"/>
          <w:sz w:val="24"/>
          <w:szCs w:val="24"/>
        </w:rPr>
        <w:t>Nakazora</w:t>
      </w:r>
      <w:proofErr w:type="spellEnd"/>
      <w:r w:rsidRPr="00C3483D">
        <w:rPr>
          <w:rFonts w:ascii="Book Antiqua" w:hAnsi="Book Antiqua"/>
          <w:sz w:val="24"/>
          <w:szCs w:val="24"/>
        </w:rPr>
        <w:t xml:space="preserve"> H, </w:t>
      </w:r>
      <w:proofErr w:type="spellStart"/>
      <w:r w:rsidRPr="00C3483D">
        <w:rPr>
          <w:rFonts w:ascii="Book Antiqua" w:hAnsi="Book Antiqua"/>
          <w:sz w:val="24"/>
          <w:szCs w:val="24"/>
        </w:rPr>
        <w:t>Nomoto</w:t>
      </w:r>
      <w:proofErr w:type="spellEnd"/>
      <w:r w:rsidRPr="00C3483D">
        <w:rPr>
          <w:rFonts w:ascii="Book Antiqua" w:hAnsi="Book Antiqua"/>
          <w:sz w:val="24"/>
          <w:szCs w:val="24"/>
        </w:rPr>
        <w:t xml:space="preserve"> N, Sugimoto H, </w:t>
      </w:r>
      <w:proofErr w:type="spellStart"/>
      <w:r w:rsidRPr="00C3483D">
        <w:rPr>
          <w:rFonts w:ascii="Book Antiqua" w:hAnsi="Book Antiqua"/>
          <w:sz w:val="24"/>
          <w:szCs w:val="24"/>
        </w:rPr>
        <w:t>Nemoto</w:t>
      </w:r>
      <w:proofErr w:type="spellEnd"/>
      <w:r w:rsidRPr="00C3483D">
        <w:rPr>
          <w:rFonts w:ascii="Book Antiqua" w:hAnsi="Book Antiqua"/>
          <w:sz w:val="24"/>
          <w:szCs w:val="24"/>
        </w:rPr>
        <w:t xml:space="preserve"> H. Autoimmune thrombocytopenic purpura, autoimmune hemolytic anemia and gastric cancer appeared in a patient with myasthenia gravis. </w:t>
      </w:r>
      <w:r w:rsidRPr="00C3483D">
        <w:rPr>
          <w:rFonts w:ascii="Book Antiqua" w:hAnsi="Book Antiqua"/>
          <w:i/>
          <w:sz w:val="24"/>
          <w:szCs w:val="24"/>
        </w:rPr>
        <w:t>Intern Med</w:t>
      </w:r>
      <w:r w:rsidRPr="00C3483D">
        <w:rPr>
          <w:rFonts w:ascii="Book Antiqua" w:hAnsi="Book Antiqua"/>
          <w:sz w:val="24"/>
          <w:szCs w:val="24"/>
        </w:rPr>
        <w:t xml:space="preserve"> 2006; </w:t>
      </w:r>
      <w:r w:rsidRPr="00C3483D">
        <w:rPr>
          <w:rFonts w:ascii="Book Antiqua" w:hAnsi="Book Antiqua"/>
          <w:b/>
          <w:sz w:val="24"/>
          <w:szCs w:val="24"/>
        </w:rPr>
        <w:t>45</w:t>
      </w:r>
      <w:r w:rsidRPr="00C3483D">
        <w:rPr>
          <w:rFonts w:ascii="Book Antiqua" w:hAnsi="Book Antiqua"/>
          <w:sz w:val="24"/>
          <w:szCs w:val="24"/>
        </w:rPr>
        <w:t>: 479-481 [PMID: 16679706 DOI: 10.2169/internalmedicine.45.1496]</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9 </w:t>
      </w:r>
      <w:proofErr w:type="spellStart"/>
      <w:r w:rsidRPr="00C3483D">
        <w:rPr>
          <w:rFonts w:ascii="Book Antiqua" w:hAnsi="Book Antiqua"/>
          <w:b/>
          <w:sz w:val="24"/>
          <w:szCs w:val="24"/>
        </w:rPr>
        <w:t>Villias</w:t>
      </w:r>
      <w:proofErr w:type="spellEnd"/>
      <w:r w:rsidRPr="00C3483D">
        <w:rPr>
          <w:rFonts w:ascii="Book Antiqua" w:hAnsi="Book Antiqua"/>
          <w:b/>
          <w:sz w:val="24"/>
          <w:szCs w:val="24"/>
        </w:rPr>
        <w:t xml:space="preserve"> C</w:t>
      </w:r>
      <w:r w:rsidRPr="00C3483D">
        <w:rPr>
          <w:rFonts w:ascii="Book Antiqua" w:hAnsi="Book Antiqua"/>
          <w:sz w:val="24"/>
          <w:szCs w:val="24"/>
        </w:rPr>
        <w:t xml:space="preserve">, </w:t>
      </w:r>
      <w:proofErr w:type="spellStart"/>
      <w:r w:rsidRPr="00C3483D">
        <w:rPr>
          <w:rFonts w:ascii="Book Antiqua" w:hAnsi="Book Antiqua"/>
          <w:sz w:val="24"/>
          <w:szCs w:val="24"/>
        </w:rPr>
        <w:t>Gourgiotis</w:t>
      </w:r>
      <w:proofErr w:type="spellEnd"/>
      <w:r w:rsidRPr="00C3483D">
        <w:rPr>
          <w:rFonts w:ascii="Book Antiqua" w:hAnsi="Book Antiqua"/>
          <w:sz w:val="24"/>
          <w:szCs w:val="24"/>
        </w:rPr>
        <w:t xml:space="preserve"> S, </w:t>
      </w:r>
      <w:proofErr w:type="spellStart"/>
      <w:r w:rsidRPr="00C3483D">
        <w:rPr>
          <w:rFonts w:ascii="Book Antiqua" w:hAnsi="Book Antiqua"/>
          <w:sz w:val="24"/>
          <w:szCs w:val="24"/>
        </w:rPr>
        <w:t>Veloudis</w:t>
      </w:r>
      <w:proofErr w:type="spellEnd"/>
      <w:r w:rsidRPr="00C3483D">
        <w:rPr>
          <w:rFonts w:ascii="Book Antiqua" w:hAnsi="Book Antiqua"/>
          <w:sz w:val="24"/>
          <w:szCs w:val="24"/>
        </w:rPr>
        <w:t xml:space="preserve"> G, </w:t>
      </w:r>
      <w:proofErr w:type="spellStart"/>
      <w:r w:rsidRPr="00C3483D">
        <w:rPr>
          <w:rFonts w:ascii="Book Antiqua" w:hAnsi="Book Antiqua"/>
          <w:sz w:val="24"/>
          <w:szCs w:val="24"/>
        </w:rPr>
        <w:t>Sampaziotis</w:t>
      </w:r>
      <w:proofErr w:type="spellEnd"/>
      <w:r w:rsidRPr="00C3483D">
        <w:rPr>
          <w:rFonts w:ascii="Book Antiqua" w:hAnsi="Book Antiqua"/>
          <w:sz w:val="24"/>
          <w:szCs w:val="24"/>
        </w:rPr>
        <w:t xml:space="preserve"> D, </w:t>
      </w:r>
      <w:proofErr w:type="spellStart"/>
      <w:r w:rsidRPr="00C3483D">
        <w:rPr>
          <w:rFonts w:ascii="Book Antiqua" w:hAnsi="Book Antiqua"/>
          <w:sz w:val="24"/>
          <w:szCs w:val="24"/>
        </w:rPr>
        <w:t>Moreas</w:t>
      </w:r>
      <w:proofErr w:type="spellEnd"/>
      <w:r w:rsidRPr="00C3483D">
        <w:rPr>
          <w:rFonts w:ascii="Book Antiqua" w:hAnsi="Book Antiqua"/>
          <w:sz w:val="24"/>
          <w:szCs w:val="24"/>
        </w:rPr>
        <w:t xml:space="preserve"> H. Synchronous early gastric cancer and gastrointestinal stromal tumor in the stomach of a patient with idiopathic thrombocytopenic purpura. </w:t>
      </w:r>
      <w:r w:rsidRPr="00C3483D">
        <w:rPr>
          <w:rFonts w:ascii="Book Antiqua" w:hAnsi="Book Antiqua"/>
          <w:i/>
          <w:sz w:val="24"/>
          <w:szCs w:val="24"/>
        </w:rPr>
        <w:t>J Dig Dis</w:t>
      </w:r>
      <w:r w:rsidRPr="00C3483D">
        <w:rPr>
          <w:rFonts w:ascii="Book Antiqua" w:hAnsi="Book Antiqua"/>
          <w:sz w:val="24"/>
          <w:szCs w:val="24"/>
        </w:rPr>
        <w:t xml:space="preserve"> 2008; </w:t>
      </w:r>
      <w:r w:rsidRPr="00C3483D">
        <w:rPr>
          <w:rFonts w:ascii="Book Antiqua" w:hAnsi="Book Antiqua"/>
          <w:b/>
          <w:sz w:val="24"/>
          <w:szCs w:val="24"/>
        </w:rPr>
        <w:t>9</w:t>
      </w:r>
      <w:r w:rsidRPr="00C3483D">
        <w:rPr>
          <w:rFonts w:ascii="Book Antiqua" w:hAnsi="Book Antiqua"/>
          <w:sz w:val="24"/>
          <w:szCs w:val="24"/>
        </w:rPr>
        <w:t>: 104-107 [PMID: 18419644 DOI: 10.1111/j.1751-2980.2008.00330.x]</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10 </w:t>
      </w:r>
      <w:proofErr w:type="spellStart"/>
      <w:r w:rsidRPr="00C3483D">
        <w:rPr>
          <w:rFonts w:ascii="Book Antiqua" w:hAnsi="Book Antiqua"/>
          <w:b/>
          <w:sz w:val="24"/>
          <w:szCs w:val="24"/>
        </w:rPr>
        <w:t>Hamabe</w:t>
      </w:r>
      <w:proofErr w:type="spellEnd"/>
      <w:r w:rsidRPr="00C3483D">
        <w:rPr>
          <w:rFonts w:ascii="Book Antiqua" w:hAnsi="Book Antiqua"/>
          <w:b/>
          <w:sz w:val="24"/>
          <w:szCs w:val="24"/>
        </w:rPr>
        <w:t xml:space="preserve"> A</w:t>
      </w:r>
      <w:r w:rsidRPr="00C3483D">
        <w:rPr>
          <w:rFonts w:ascii="Book Antiqua" w:hAnsi="Book Antiqua"/>
          <w:sz w:val="24"/>
          <w:szCs w:val="24"/>
        </w:rPr>
        <w:t xml:space="preserve">, Omori T, </w:t>
      </w:r>
      <w:proofErr w:type="spellStart"/>
      <w:r w:rsidRPr="00C3483D">
        <w:rPr>
          <w:rFonts w:ascii="Book Antiqua" w:hAnsi="Book Antiqua"/>
          <w:sz w:val="24"/>
          <w:szCs w:val="24"/>
        </w:rPr>
        <w:t>Oyama</w:t>
      </w:r>
      <w:proofErr w:type="spellEnd"/>
      <w:r w:rsidRPr="00C3483D">
        <w:rPr>
          <w:rFonts w:ascii="Book Antiqua" w:hAnsi="Book Antiqua"/>
          <w:sz w:val="24"/>
          <w:szCs w:val="24"/>
        </w:rPr>
        <w:t xml:space="preserve"> T, Akamatsu H, </w:t>
      </w:r>
      <w:proofErr w:type="spellStart"/>
      <w:r w:rsidRPr="00C3483D">
        <w:rPr>
          <w:rFonts w:ascii="Book Antiqua" w:hAnsi="Book Antiqua"/>
          <w:sz w:val="24"/>
          <w:szCs w:val="24"/>
        </w:rPr>
        <w:t>Yoshidome</w:t>
      </w:r>
      <w:proofErr w:type="spellEnd"/>
      <w:r w:rsidRPr="00C3483D">
        <w:rPr>
          <w:rFonts w:ascii="Book Antiqua" w:hAnsi="Book Antiqua"/>
          <w:sz w:val="24"/>
          <w:szCs w:val="24"/>
        </w:rPr>
        <w:t xml:space="preserve"> K, Tori M, </w:t>
      </w:r>
      <w:proofErr w:type="spellStart"/>
      <w:r w:rsidRPr="00C3483D">
        <w:rPr>
          <w:rFonts w:ascii="Book Antiqua" w:hAnsi="Book Antiqua"/>
          <w:sz w:val="24"/>
          <w:szCs w:val="24"/>
        </w:rPr>
        <w:t>Ueshima</w:t>
      </w:r>
      <w:proofErr w:type="spellEnd"/>
      <w:r w:rsidRPr="00C3483D">
        <w:rPr>
          <w:rFonts w:ascii="Book Antiqua" w:hAnsi="Book Antiqua"/>
          <w:sz w:val="24"/>
          <w:szCs w:val="24"/>
        </w:rPr>
        <w:t xml:space="preserve"> S, </w:t>
      </w:r>
      <w:proofErr w:type="spellStart"/>
      <w:r w:rsidRPr="00C3483D">
        <w:rPr>
          <w:rFonts w:ascii="Book Antiqua" w:hAnsi="Book Antiqua"/>
          <w:sz w:val="24"/>
          <w:szCs w:val="24"/>
        </w:rPr>
        <w:t>Tsujimoto</w:t>
      </w:r>
      <w:proofErr w:type="spellEnd"/>
      <w:r w:rsidRPr="00C3483D">
        <w:rPr>
          <w:rFonts w:ascii="Book Antiqua" w:hAnsi="Book Antiqua"/>
          <w:sz w:val="24"/>
          <w:szCs w:val="24"/>
        </w:rPr>
        <w:t xml:space="preserve"> M, Nishida T. A case of Helicobacter pylori infection complicated with gastric cancer, gastric mucosa-associated lymphoid tissue lymphoma, and idiopathic thrombocytopenic purpura successfully treated with laparoscopy-assisted total gastrectomy and splenectomy. </w:t>
      </w:r>
      <w:r w:rsidRPr="00C3483D">
        <w:rPr>
          <w:rFonts w:ascii="Book Antiqua" w:hAnsi="Book Antiqua"/>
          <w:i/>
          <w:sz w:val="24"/>
          <w:szCs w:val="24"/>
        </w:rPr>
        <w:t xml:space="preserve">Asian J </w:t>
      </w:r>
      <w:proofErr w:type="spellStart"/>
      <w:r w:rsidRPr="00C3483D">
        <w:rPr>
          <w:rFonts w:ascii="Book Antiqua" w:hAnsi="Book Antiqua"/>
          <w:i/>
          <w:sz w:val="24"/>
          <w:szCs w:val="24"/>
        </w:rPr>
        <w:t>Endosc</w:t>
      </w:r>
      <w:proofErr w:type="spellEnd"/>
      <w:r w:rsidRPr="00C3483D">
        <w:rPr>
          <w:rFonts w:ascii="Book Antiqua" w:hAnsi="Book Antiqua"/>
          <w:i/>
          <w:sz w:val="24"/>
          <w:szCs w:val="24"/>
        </w:rPr>
        <w:t xml:space="preserve"> Surg</w:t>
      </w:r>
      <w:r w:rsidRPr="00C3483D">
        <w:rPr>
          <w:rFonts w:ascii="Book Antiqua" w:hAnsi="Book Antiqua"/>
          <w:sz w:val="24"/>
          <w:szCs w:val="24"/>
        </w:rPr>
        <w:t xml:space="preserve"> 2011; </w:t>
      </w:r>
      <w:r w:rsidRPr="00C3483D">
        <w:rPr>
          <w:rFonts w:ascii="Book Antiqua" w:hAnsi="Book Antiqua"/>
          <w:b/>
          <w:sz w:val="24"/>
          <w:szCs w:val="24"/>
        </w:rPr>
        <w:t>4</w:t>
      </w:r>
      <w:r w:rsidRPr="00C3483D">
        <w:rPr>
          <w:rFonts w:ascii="Book Antiqua" w:hAnsi="Book Antiqua"/>
          <w:sz w:val="24"/>
          <w:szCs w:val="24"/>
        </w:rPr>
        <w:t>: 32-35 [PMID: 22776172 DOI: 10.1111/j.1758-5910.2010.00067.x]</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11 </w:t>
      </w:r>
      <w:proofErr w:type="spellStart"/>
      <w:r w:rsidRPr="00C3483D">
        <w:rPr>
          <w:rFonts w:ascii="Book Antiqua" w:hAnsi="Book Antiqua"/>
          <w:b/>
          <w:sz w:val="24"/>
          <w:szCs w:val="24"/>
        </w:rPr>
        <w:t>Provan</w:t>
      </w:r>
      <w:proofErr w:type="spellEnd"/>
      <w:r w:rsidRPr="00C3483D">
        <w:rPr>
          <w:rFonts w:ascii="Book Antiqua" w:hAnsi="Book Antiqua"/>
          <w:b/>
          <w:sz w:val="24"/>
          <w:szCs w:val="24"/>
        </w:rPr>
        <w:t xml:space="preserve"> D</w:t>
      </w:r>
      <w:r w:rsidRPr="00C3483D">
        <w:rPr>
          <w:rFonts w:ascii="Book Antiqua" w:hAnsi="Book Antiqua"/>
          <w:sz w:val="24"/>
          <w:szCs w:val="24"/>
        </w:rPr>
        <w:t xml:space="preserve">, Newland AC. Current Management of Primary Immune Thrombocytopenia. </w:t>
      </w:r>
      <w:r w:rsidRPr="00C3483D">
        <w:rPr>
          <w:rFonts w:ascii="Book Antiqua" w:hAnsi="Book Antiqua"/>
          <w:i/>
          <w:sz w:val="24"/>
          <w:szCs w:val="24"/>
        </w:rPr>
        <w:t xml:space="preserve">Adv </w:t>
      </w:r>
      <w:proofErr w:type="spellStart"/>
      <w:r w:rsidRPr="00C3483D">
        <w:rPr>
          <w:rFonts w:ascii="Book Antiqua" w:hAnsi="Book Antiqua"/>
          <w:i/>
          <w:sz w:val="24"/>
          <w:szCs w:val="24"/>
        </w:rPr>
        <w:t>Ther</w:t>
      </w:r>
      <w:proofErr w:type="spellEnd"/>
      <w:r w:rsidRPr="00C3483D">
        <w:rPr>
          <w:rFonts w:ascii="Book Antiqua" w:hAnsi="Book Antiqua"/>
          <w:sz w:val="24"/>
          <w:szCs w:val="24"/>
        </w:rPr>
        <w:t xml:space="preserve"> 2015; </w:t>
      </w:r>
      <w:r w:rsidRPr="00C3483D">
        <w:rPr>
          <w:rFonts w:ascii="Book Antiqua" w:hAnsi="Book Antiqua"/>
          <w:b/>
          <w:sz w:val="24"/>
          <w:szCs w:val="24"/>
        </w:rPr>
        <w:t>32</w:t>
      </w:r>
      <w:r w:rsidRPr="00C3483D">
        <w:rPr>
          <w:rFonts w:ascii="Book Antiqua" w:hAnsi="Book Antiqua"/>
          <w:sz w:val="24"/>
          <w:szCs w:val="24"/>
        </w:rPr>
        <w:t>: 875-887 [PMID: 26499177 DOI: 10.1007/s12325-015-0251-z]</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12 </w:t>
      </w:r>
      <w:r w:rsidRPr="00C3483D">
        <w:rPr>
          <w:rFonts w:ascii="Book Antiqua" w:hAnsi="Book Antiqua"/>
          <w:b/>
          <w:sz w:val="24"/>
          <w:szCs w:val="24"/>
        </w:rPr>
        <w:t>Montalvo J</w:t>
      </w:r>
      <w:r w:rsidRPr="00C3483D">
        <w:rPr>
          <w:rFonts w:ascii="Book Antiqua" w:hAnsi="Book Antiqua"/>
          <w:sz w:val="24"/>
          <w:szCs w:val="24"/>
        </w:rPr>
        <w:t>, Velazquez D, Pantoja JP, Sierra M, López-</w:t>
      </w:r>
      <w:proofErr w:type="spellStart"/>
      <w:r w:rsidRPr="00C3483D">
        <w:rPr>
          <w:rFonts w:ascii="Book Antiqua" w:hAnsi="Book Antiqua"/>
          <w:sz w:val="24"/>
          <w:szCs w:val="24"/>
        </w:rPr>
        <w:t>Karpovitch</w:t>
      </w:r>
      <w:proofErr w:type="spellEnd"/>
      <w:r w:rsidRPr="00C3483D">
        <w:rPr>
          <w:rFonts w:ascii="Book Antiqua" w:hAnsi="Book Antiqua"/>
          <w:sz w:val="24"/>
          <w:szCs w:val="24"/>
        </w:rPr>
        <w:t xml:space="preserve"> X, Herrera MF. Laparoscopic splenectomy for primary immune thrombocytopenia: clinical outcome and prognostic factors. </w:t>
      </w:r>
      <w:r w:rsidRPr="00C3483D">
        <w:rPr>
          <w:rFonts w:ascii="Book Antiqua" w:hAnsi="Book Antiqua"/>
          <w:i/>
          <w:sz w:val="24"/>
          <w:szCs w:val="24"/>
        </w:rPr>
        <w:t xml:space="preserve">J </w:t>
      </w:r>
      <w:proofErr w:type="spellStart"/>
      <w:r w:rsidRPr="00C3483D">
        <w:rPr>
          <w:rFonts w:ascii="Book Antiqua" w:hAnsi="Book Antiqua"/>
          <w:i/>
          <w:sz w:val="24"/>
          <w:szCs w:val="24"/>
        </w:rPr>
        <w:t>Laparoendosc</w:t>
      </w:r>
      <w:proofErr w:type="spellEnd"/>
      <w:r w:rsidRPr="00C3483D">
        <w:rPr>
          <w:rFonts w:ascii="Book Antiqua" w:hAnsi="Book Antiqua"/>
          <w:i/>
          <w:sz w:val="24"/>
          <w:szCs w:val="24"/>
        </w:rPr>
        <w:t xml:space="preserve"> Adv Surg Tech A</w:t>
      </w:r>
      <w:r w:rsidRPr="00C3483D">
        <w:rPr>
          <w:rFonts w:ascii="Book Antiqua" w:hAnsi="Book Antiqua"/>
          <w:sz w:val="24"/>
          <w:szCs w:val="24"/>
        </w:rPr>
        <w:t xml:space="preserve"> 2014; </w:t>
      </w:r>
      <w:r w:rsidRPr="00C3483D">
        <w:rPr>
          <w:rFonts w:ascii="Book Antiqua" w:hAnsi="Book Antiqua"/>
          <w:b/>
          <w:sz w:val="24"/>
          <w:szCs w:val="24"/>
        </w:rPr>
        <w:t>24</w:t>
      </w:r>
      <w:r w:rsidRPr="00C3483D">
        <w:rPr>
          <w:rFonts w:ascii="Book Antiqua" w:hAnsi="Book Antiqua"/>
          <w:sz w:val="24"/>
          <w:szCs w:val="24"/>
        </w:rPr>
        <w:t>: 466-470 [PMID: 24905792 DOI: 10.1089/lap.2013.0267]</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13 </w:t>
      </w:r>
      <w:r w:rsidRPr="00C3483D">
        <w:rPr>
          <w:rFonts w:ascii="Book Antiqua" w:hAnsi="Book Antiqua"/>
          <w:b/>
          <w:sz w:val="24"/>
          <w:szCs w:val="24"/>
        </w:rPr>
        <w:t>Qu Y</w:t>
      </w:r>
      <w:r w:rsidRPr="00C3483D">
        <w:rPr>
          <w:rFonts w:ascii="Book Antiqua" w:hAnsi="Book Antiqua"/>
          <w:sz w:val="24"/>
          <w:szCs w:val="24"/>
        </w:rPr>
        <w:t xml:space="preserve">, Xu J, Jiao C, Cheng Z, Ren S. Long-term outcomes of laparoscopic splenectomy versus open splenectomy for idiopathic thrombocytopenic purpura. </w:t>
      </w:r>
      <w:r w:rsidRPr="00C3483D">
        <w:rPr>
          <w:rFonts w:ascii="Book Antiqua" w:hAnsi="Book Antiqua"/>
          <w:i/>
          <w:sz w:val="24"/>
          <w:szCs w:val="24"/>
        </w:rPr>
        <w:t>Int Surg</w:t>
      </w:r>
      <w:r w:rsidRPr="00C3483D">
        <w:rPr>
          <w:rFonts w:ascii="Book Antiqua" w:hAnsi="Book Antiqua"/>
          <w:sz w:val="24"/>
          <w:szCs w:val="24"/>
        </w:rPr>
        <w:t xml:space="preserve"> 2014; </w:t>
      </w:r>
      <w:r w:rsidRPr="00C3483D">
        <w:rPr>
          <w:rFonts w:ascii="Book Antiqua" w:hAnsi="Book Antiqua"/>
          <w:b/>
          <w:sz w:val="24"/>
          <w:szCs w:val="24"/>
        </w:rPr>
        <w:t>99</w:t>
      </w:r>
      <w:r w:rsidRPr="00C3483D">
        <w:rPr>
          <w:rFonts w:ascii="Book Antiqua" w:hAnsi="Book Antiqua"/>
          <w:sz w:val="24"/>
          <w:szCs w:val="24"/>
        </w:rPr>
        <w:t>: 286-290 [PMID: 24833154 DOI: 10.9738/INTSURG-D-13-00175.1]</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14 </w:t>
      </w:r>
      <w:proofErr w:type="spellStart"/>
      <w:r w:rsidRPr="00C3483D">
        <w:rPr>
          <w:rFonts w:ascii="Book Antiqua" w:hAnsi="Book Antiqua"/>
          <w:b/>
          <w:sz w:val="24"/>
          <w:szCs w:val="24"/>
        </w:rPr>
        <w:t>Rijcken</w:t>
      </w:r>
      <w:proofErr w:type="spellEnd"/>
      <w:r w:rsidRPr="00C3483D">
        <w:rPr>
          <w:rFonts w:ascii="Book Antiqua" w:hAnsi="Book Antiqua"/>
          <w:b/>
          <w:sz w:val="24"/>
          <w:szCs w:val="24"/>
        </w:rPr>
        <w:t xml:space="preserve"> E</w:t>
      </w:r>
      <w:r w:rsidRPr="00C3483D">
        <w:rPr>
          <w:rFonts w:ascii="Book Antiqua" w:hAnsi="Book Antiqua"/>
          <w:sz w:val="24"/>
          <w:szCs w:val="24"/>
        </w:rPr>
        <w:t xml:space="preserve">, </w:t>
      </w:r>
      <w:proofErr w:type="spellStart"/>
      <w:r w:rsidRPr="00C3483D">
        <w:rPr>
          <w:rFonts w:ascii="Book Antiqua" w:hAnsi="Book Antiqua"/>
          <w:sz w:val="24"/>
          <w:szCs w:val="24"/>
        </w:rPr>
        <w:t>Mees</w:t>
      </w:r>
      <w:proofErr w:type="spellEnd"/>
      <w:r w:rsidRPr="00C3483D">
        <w:rPr>
          <w:rFonts w:ascii="Book Antiqua" w:hAnsi="Book Antiqua"/>
          <w:sz w:val="24"/>
          <w:szCs w:val="24"/>
        </w:rPr>
        <w:t xml:space="preserve"> ST, Bisping G, Krueger K, </w:t>
      </w:r>
      <w:proofErr w:type="spellStart"/>
      <w:r w:rsidRPr="00C3483D">
        <w:rPr>
          <w:rFonts w:ascii="Book Antiqua" w:hAnsi="Book Antiqua"/>
          <w:sz w:val="24"/>
          <w:szCs w:val="24"/>
        </w:rPr>
        <w:t>Bruewer</w:t>
      </w:r>
      <w:proofErr w:type="spellEnd"/>
      <w:r w:rsidRPr="00C3483D">
        <w:rPr>
          <w:rFonts w:ascii="Book Antiqua" w:hAnsi="Book Antiqua"/>
          <w:sz w:val="24"/>
          <w:szCs w:val="24"/>
        </w:rPr>
        <w:t xml:space="preserve"> M, </w:t>
      </w:r>
      <w:proofErr w:type="spellStart"/>
      <w:r w:rsidRPr="00C3483D">
        <w:rPr>
          <w:rFonts w:ascii="Book Antiqua" w:hAnsi="Book Antiqua"/>
          <w:sz w:val="24"/>
          <w:szCs w:val="24"/>
        </w:rPr>
        <w:t>Senninger</w:t>
      </w:r>
      <w:proofErr w:type="spellEnd"/>
      <w:r w:rsidRPr="00C3483D">
        <w:rPr>
          <w:rFonts w:ascii="Book Antiqua" w:hAnsi="Book Antiqua"/>
          <w:sz w:val="24"/>
          <w:szCs w:val="24"/>
        </w:rPr>
        <w:t xml:space="preserve"> N, </w:t>
      </w:r>
      <w:proofErr w:type="spellStart"/>
      <w:r w:rsidRPr="00C3483D">
        <w:rPr>
          <w:rFonts w:ascii="Book Antiqua" w:hAnsi="Book Antiqua"/>
          <w:sz w:val="24"/>
          <w:szCs w:val="24"/>
        </w:rPr>
        <w:t>Mennigen</w:t>
      </w:r>
      <w:proofErr w:type="spellEnd"/>
      <w:r w:rsidRPr="00C3483D">
        <w:rPr>
          <w:rFonts w:ascii="Book Antiqua" w:hAnsi="Book Antiqua"/>
          <w:sz w:val="24"/>
          <w:szCs w:val="24"/>
        </w:rPr>
        <w:t xml:space="preserve"> R. Laparoscopic splenectomy for medically refractory immune thrombocytopenia (ITP): a retrospective cohort study on longtime response </w:t>
      </w:r>
      <w:r w:rsidRPr="00C3483D">
        <w:rPr>
          <w:rFonts w:ascii="Book Antiqua" w:hAnsi="Book Antiqua"/>
          <w:sz w:val="24"/>
          <w:szCs w:val="24"/>
        </w:rPr>
        <w:lastRenderedPageBreak/>
        <w:t xml:space="preserve">predicting factors based on consensus criteria. </w:t>
      </w:r>
      <w:r w:rsidRPr="00C3483D">
        <w:rPr>
          <w:rFonts w:ascii="Book Antiqua" w:hAnsi="Book Antiqua"/>
          <w:i/>
          <w:sz w:val="24"/>
          <w:szCs w:val="24"/>
        </w:rPr>
        <w:t>Int J Surg</w:t>
      </w:r>
      <w:r w:rsidRPr="00C3483D">
        <w:rPr>
          <w:rFonts w:ascii="Book Antiqua" w:hAnsi="Book Antiqua"/>
          <w:sz w:val="24"/>
          <w:szCs w:val="24"/>
        </w:rPr>
        <w:t xml:space="preserve"> 2014; </w:t>
      </w:r>
      <w:r w:rsidRPr="00C3483D">
        <w:rPr>
          <w:rFonts w:ascii="Book Antiqua" w:hAnsi="Book Antiqua"/>
          <w:b/>
          <w:sz w:val="24"/>
          <w:szCs w:val="24"/>
        </w:rPr>
        <w:t>12</w:t>
      </w:r>
      <w:r w:rsidRPr="00C3483D">
        <w:rPr>
          <w:rFonts w:ascii="Book Antiqua" w:hAnsi="Book Antiqua"/>
          <w:sz w:val="24"/>
          <w:szCs w:val="24"/>
        </w:rPr>
        <w:t>: 1428-1433 [PMID: 25448666 DOI: 10.1016/j.ijsu.2014.10.012]</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15 </w:t>
      </w:r>
      <w:proofErr w:type="spellStart"/>
      <w:r w:rsidRPr="00C3483D">
        <w:rPr>
          <w:rFonts w:ascii="Book Antiqua" w:hAnsi="Book Antiqua"/>
          <w:b/>
          <w:sz w:val="24"/>
          <w:szCs w:val="24"/>
        </w:rPr>
        <w:t>Neunert</w:t>
      </w:r>
      <w:proofErr w:type="spellEnd"/>
      <w:r w:rsidRPr="00C3483D">
        <w:rPr>
          <w:rFonts w:ascii="Book Antiqua" w:hAnsi="Book Antiqua"/>
          <w:b/>
          <w:sz w:val="24"/>
          <w:szCs w:val="24"/>
        </w:rPr>
        <w:t xml:space="preserve"> C</w:t>
      </w:r>
      <w:r w:rsidRPr="00C3483D">
        <w:rPr>
          <w:rFonts w:ascii="Book Antiqua" w:hAnsi="Book Antiqua"/>
          <w:sz w:val="24"/>
          <w:szCs w:val="24"/>
        </w:rPr>
        <w:t xml:space="preserve">, Lim W, Crowther M, Cohen A, Solberg L Jr, Crowther MA; American Society of Hematology. The American Society of Hematology 2011 evidence-based practice guideline for immune thrombocytopenia. </w:t>
      </w:r>
      <w:r w:rsidRPr="00C3483D">
        <w:rPr>
          <w:rFonts w:ascii="Book Antiqua" w:hAnsi="Book Antiqua"/>
          <w:i/>
          <w:sz w:val="24"/>
          <w:szCs w:val="24"/>
        </w:rPr>
        <w:t>Blood</w:t>
      </w:r>
      <w:r w:rsidRPr="00C3483D">
        <w:rPr>
          <w:rFonts w:ascii="Book Antiqua" w:hAnsi="Book Antiqua"/>
          <w:sz w:val="24"/>
          <w:szCs w:val="24"/>
        </w:rPr>
        <w:t xml:space="preserve"> 2011; </w:t>
      </w:r>
      <w:r w:rsidRPr="00C3483D">
        <w:rPr>
          <w:rFonts w:ascii="Book Antiqua" w:hAnsi="Book Antiqua"/>
          <w:b/>
          <w:sz w:val="24"/>
          <w:szCs w:val="24"/>
        </w:rPr>
        <w:t>117</w:t>
      </w:r>
      <w:r w:rsidRPr="00C3483D">
        <w:rPr>
          <w:rFonts w:ascii="Book Antiqua" w:hAnsi="Book Antiqua"/>
          <w:sz w:val="24"/>
          <w:szCs w:val="24"/>
        </w:rPr>
        <w:t>: 4190-4207 [PMID: 21325604 DOI: 10.1182/blood-2010-08-302984]</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16 </w:t>
      </w:r>
      <w:proofErr w:type="spellStart"/>
      <w:r w:rsidRPr="00C3483D">
        <w:rPr>
          <w:rFonts w:ascii="Book Antiqua" w:hAnsi="Book Antiqua"/>
          <w:b/>
          <w:sz w:val="24"/>
          <w:szCs w:val="24"/>
        </w:rPr>
        <w:t>Bavunoğlu</w:t>
      </w:r>
      <w:proofErr w:type="spellEnd"/>
      <w:r w:rsidRPr="00C3483D">
        <w:rPr>
          <w:rFonts w:ascii="Book Antiqua" w:hAnsi="Book Antiqua"/>
          <w:b/>
          <w:sz w:val="24"/>
          <w:szCs w:val="24"/>
        </w:rPr>
        <w:t xml:space="preserve"> I</w:t>
      </w:r>
      <w:r w:rsidRPr="00C3483D">
        <w:rPr>
          <w:rFonts w:ascii="Book Antiqua" w:hAnsi="Book Antiqua"/>
          <w:sz w:val="24"/>
          <w:szCs w:val="24"/>
        </w:rPr>
        <w:t xml:space="preserve">, </w:t>
      </w:r>
      <w:proofErr w:type="spellStart"/>
      <w:r w:rsidRPr="00C3483D">
        <w:rPr>
          <w:rFonts w:ascii="Book Antiqua" w:hAnsi="Book Antiqua"/>
          <w:sz w:val="24"/>
          <w:szCs w:val="24"/>
        </w:rPr>
        <w:t>Eşkazan</w:t>
      </w:r>
      <w:proofErr w:type="spellEnd"/>
      <w:r w:rsidRPr="00C3483D">
        <w:rPr>
          <w:rFonts w:ascii="Book Antiqua" w:hAnsi="Book Antiqua"/>
          <w:sz w:val="24"/>
          <w:szCs w:val="24"/>
        </w:rPr>
        <w:t xml:space="preserve"> AE, </w:t>
      </w:r>
      <w:proofErr w:type="spellStart"/>
      <w:r w:rsidRPr="00C3483D">
        <w:rPr>
          <w:rFonts w:ascii="Book Antiqua" w:hAnsi="Book Antiqua"/>
          <w:sz w:val="24"/>
          <w:szCs w:val="24"/>
        </w:rPr>
        <w:t>Ar</w:t>
      </w:r>
      <w:proofErr w:type="spellEnd"/>
      <w:r w:rsidRPr="00C3483D">
        <w:rPr>
          <w:rFonts w:ascii="Book Antiqua" w:hAnsi="Book Antiqua"/>
          <w:sz w:val="24"/>
          <w:szCs w:val="24"/>
        </w:rPr>
        <w:t xml:space="preserve"> MC, Cengiz M, </w:t>
      </w:r>
      <w:proofErr w:type="spellStart"/>
      <w:r w:rsidRPr="00C3483D">
        <w:rPr>
          <w:rFonts w:ascii="Book Antiqua" w:hAnsi="Book Antiqua"/>
          <w:sz w:val="24"/>
          <w:szCs w:val="24"/>
        </w:rPr>
        <w:t>Yavuzer</w:t>
      </w:r>
      <w:proofErr w:type="spellEnd"/>
      <w:r w:rsidRPr="00C3483D">
        <w:rPr>
          <w:rFonts w:ascii="Book Antiqua" w:hAnsi="Book Antiqua"/>
          <w:sz w:val="24"/>
          <w:szCs w:val="24"/>
        </w:rPr>
        <w:t xml:space="preserve"> S, </w:t>
      </w:r>
      <w:proofErr w:type="spellStart"/>
      <w:r w:rsidRPr="00C3483D">
        <w:rPr>
          <w:rFonts w:ascii="Book Antiqua" w:hAnsi="Book Antiqua"/>
          <w:sz w:val="24"/>
          <w:szCs w:val="24"/>
        </w:rPr>
        <w:t>Salihoğlu</w:t>
      </w:r>
      <w:proofErr w:type="spellEnd"/>
      <w:r w:rsidRPr="00C3483D">
        <w:rPr>
          <w:rFonts w:ascii="Book Antiqua" w:hAnsi="Book Antiqua"/>
          <w:sz w:val="24"/>
          <w:szCs w:val="24"/>
        </w:rPr>
        <w:t xml:space="preserve"> A, </w:t>
      </w:r>
      <w:proofErr w:type="spellStart"/>
      <w:r w:rsidRPr="00C3483D">
        <w:rPr>
          <w:rFonts w:ascii="Book Antiqua" w:hAnsi="Book Antiqua"/>
          <w:sz w:val="24"/>
          <w:szCs w:val="24"/>
        </w:rPr>
        <w:t>Öngören</w:t>
      </w:r>
      <w:proofErr w:type="spellEnd"/>
      <w:r w:rsidRPr="00C3483D">
        <w:rPr>
          <w:rFonts w:ascii="Book Antiqua" w:hAnsi="Book Antiqua"/>
          <w:sz w:val="24"/>
          <w:szCs w:val="24"/>
        </w:rPr>
        <w:t xml:space="preserve"> Ş, </w:t>
      </w:r>
      <w:proofErr w:type="spellStart"/>
      <w:r w:rsidRPr="00C3483D">
        <w:rPr>
          <w:rFonts w:ascii="Book Antiqua" w:hAnsi="Book Antiqua"/>
          <w:sz w:val="24"/>
          <w:szCs w:val="24"/>
        </w:rPr>
        <w:t>Tunçkale</w:t>
      </w:r>
      <w:proofErr w:type="spellEnd"/>
      <w:r w:rsidRPr="00C3483D">
        <w:rPr>
          <w:rFonts w:ascii="Book Antiqua" w:hAnsi="Book Antiqua"/>
          <w:sz w:val="24"/>
          <w:szCs w:val="24"/>
        </w:rPr>
        <w:t xml:space="preserve"> A, </w:t>
      </w:r>
      <w:proofErr w:type="spellStart"/>
      <w:r w:rsidRPr="00C3483D">
        <w:rPr>
          <w:rFonts w:ascii="Book Antiqua" w:hAnsi="Book Antiqua"/>
          <w:sz w:val="24"/>
          <w:szCs w:val="24"/>
        </w:rPr>
        <w:t>Soysal</w:t>
      </w:r>
      <w:proofErr w:type="spellEnd"/>
      <w:r w:rsidRPr="00C3483D">
        <w:rPr>
          <w:rFonts w:ascii="Book Antiqua" w:hAnsi="Book Antiqua"/>
          <w:sz w:val="24"/>
          <w:szCs w:val="24"/>
        </w:rPr>
        <w:t xml:space="preserve"> T. Treatment of patients with immune thrombocytopenia admitted to the emergency room. </w:t>
      </w:r>
      <w:r w:rsidRPr="00C3483D">
        <w:rPr>
          <w:rFonts w:ascii="Book Antiqua" w:hAnsi="Book Antiqua"/>
          <w:i/>
          <w:sz w:val="24"/>
          <w:szCs w:val="24"/>
        </w:rPr>
        <w:t xml:space="preserve">Int J </w:t>
      </w:r>
      <w:proofErr w:type="spellStart"/>
      <w:r w:rsidRPr="00C3483D">
        <w:rPr>
          <w:rFonts w:ascii="Book Antiqua" w:hAnsi="Book Antiqua"/>
          <w:i/>
          <w:sz w:val="24"/>
          <w:szCs w:val="24"/>
        </w:rPr>
        <w:t>Hematol</w:t>
      </w:r>
      <w:proofErr w:type="spellEnd"/>
      <w:r w:rsidRPr="00C3483D">
        <w:rPr>
          <w:rFonts w:ascii="Book Antiqua" w:hAnsi="Book Antiqua"/>
          <w:sz w:val="24"/>
          <w:szCs w:val="24"/>
        </w:rPr>
        <w:t xml:space="preserve"> 2016; </w:t>
      </w:r>
      <w:r w:rsidRPr="00C3483D">
        <w:rPr>
          <w:rFonts w:ascii="Book Antiqua" w:hAnsi="Book Antiqua"/>
          <w:b/>
          <w:sz w:val="24"/>
          <w:szCs w:val="24"/>
        </w:rPr>
        <w:t>104</w:t>
      </w:r>
      <w:r w:rsidRPr="00C3483D">
        <w:rPr>
          <w:rFonts w:ascii="Book Antiqua" w:hAnsi="Book Antiqua"/>
          <w:sz w:val="24"/>
          <w:szCs w:val="24"/>
        </w:rPr>
        <w:t>: 216-222 [PMID: 27129318 DOI: 10.1007/s12185-016-2003-5]</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17 </w:t>
      </w:r>
      <w:r w:rsidRPr="00C3483D">
        <w:rPr>
          <w:rFonts w:ascii="Book Antiqua" w:hAnsi="Book Antiqua"/>
          <w:b/>
          <w:sz w:val="24"/>
          <w:szCs w:val="24"/>
        </w:rPr>
        <w:t>Salama A</w:t>
      </w:r>
      <w:r w:rsidRPr="00C3483D">
        <w:rPr>
          <w:rFonts w:ascii="Book Antiqua" w:hAnsi="Book Antiqua"/>
          <w:sz w:val="24"/>
          <w:szCs w:val="24"/>
        </w:rPr>
        <w:t xml:space="preserve">, </w:t>
      </w:r>
      <w:proofErr w:type="spellStart"/>
      <w:r w:rsidRPr="00C3483D">
        <w:rPr>
          <w:rFonts w:ascii="Book Antiqua" w:hAnsi="Book Antiqua"/>
          <w:sz w:val="24"/>
          <w:szCs w:val="24"/>
        </w:rPr>
        <w:t>Kiesewetter</w:t>
      </w:r>
      <w:proofErr w:type="spellEnd"/>
      <w:r w:rsidRPr="00C3483D">
        <w:rPr>
          <w:rFonts w:ascii="Book Antiqua" w:hAnsi="Book Antiqua"/>
          <w:sz w:val="24"/>
          <w:szCs w:val="24"/>
        </w:rPr>
        <w:t xml:space="preserve"> H, </w:t>
      </w:r>
      <w:proofErr w:type="spellStart"/>
      <w:r w:rsidRPr="00C3483D">
        <w:rPr>
          <w:rFonts w:ascii="Book Antiqua" w:hAnsi="Book Antiqua"/>
          <w:sz w:val="24"/>
          <w:szCs w:val="24"/>
        </w:rPr>
        <w:t>Kalus</w:t>
      </w:r>
      <w:proofErr w:type="spellEnd"/>
      <w:r w:rsidRPr="00C3483D">
        <w:rPr>
          <w:rFonts w:ascii="Book Antiqua" w:hAnsi="Book Antiqua"/>
          <w:sz w:val="24"/>
          <w:szCs w:val="24"/>
        </w:rPr>
        <w:t xml:space="preserve"> U, </w:t>
      </w:r>
      <w:proofErr w:type="spellStart"/>
      <w:r w:rsidRPr="00C3483D">
        <w:rPr>
          <w:rFonts w:ascii="Book Antiqua" w:hAnsi="Book Antiqua"/>
          <w:sz w:val="24"/>
          <w:szCs w:val="24"/>
        </w:rPr>
        <w:t>Movassaghi</w:t>
      </w:r>
      <w:proofErr w:type="spellEnd"/>
      <w:r w:rsidRPr="00C3483D">
        <w:rPr>
          <w:rFonts w:ascii="Book Antiqua" w:hAnsi="Book Antiqua"/>
          <w:sz w:val="24"/>
          <w:szCs w:val="24"/>
        </w:rPr>
        <w:t xml:space="preserve"> K, Meyer O. Massive platelet transfusion is a rapidly effective emergency treatment in patients with refractory autoimmune thrombocytopenia. </w:t>
      </w:r>
      <w:proofErr w:type="spellStart"/>
      <w:r w:rsidRPr="00C3483D">
        <w:rPr>
          <w:rFonts w:ascii="Book Antiqua" w:hAnsi="Book Antiqua"/>
          <w:i/>
          <w:sz w:val="24"/>
          <w:szCs w:val="24"/>
        </w:rPr>
        <w:t>Thromb</w:t>
      </w:r>
      <w:proofErr w:type="spellEnd"/>
      <w:r w:rsidRPr="00C3483D">
        <w:rPr>
          <w:rFonts w:ascii="Book Antiqua" w:hAnsi="Book Antiqua"/>
          <w:i/>
          <w:sz w:val="24"/>
          <w:szCs w:val="24"/>
        </w:rPr>
        <w:t xml:space="preserve"> </w:t>
      </w:r>
      <w:proofErr w:type="spellStart"/>
      <w:r w:rsidRPr="00C3483D">
        <w:rPr>
          <w:rFonts w:ascii="Book Antiqua" w:hAnsi="Book Antiqua"/>
          <w:i/>
          <w:sz w:val="24"/>
          <w:szCs w:val="24"/>
        </w:rPr>
        <w:t>Haemost</w:t>
      </w:r>
      <w:proofErr w:type="spellEnd"/>
      <w:r w:rsidRPr="00C3483D">
        <w:rPr>
          <w:rFonts w:ascii="Book Antiqua" w:hAnsi="Book Antiqua"/>
          <w:sz w:val="24"/>
          <w:szCs w:val="24"/>
        </w:rPr>
        <w:t xml:space="preserve"> 2008; </w:t>
      </w:r>
      <w:r w:rsidRPr="00C3483D">
        <w:rPr>
          <w:rFonts w:ascii="Book Antiqua" w:hAnsi="Book Antiqua"/>
          <w:b/>
          <w:sz w:val="24"/>
          <w:szCs w:val="24"/>
        </w:rPr>
        <w:t>100</w:t>
      </w:r>
      <w:r w:rsidRPr="00C3483D">
        <w:rPr>
          <w:rFonts w:ascii="Book Antiqua" w:hAnsi="Book Antiqua"/>
          <w:sz w:val="24"/>
          <w:szCs w:val="24"/>
        </w:rPr>
        <w:t>: 762-765 [PMID: 18989518 DOI: 10.1160/TH08-06-0418]</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18 </w:t>
      </w:r>
      <w:r w:rsidRPr="00C3483D">
        <w:rPr>
          <w:rFonts w:ascii="Book Antiqua" w:hAnsi="Book Antiqua"/>
          <w:b/>
          <w:sz w:val="24"/>
          <w:szCs w:val="24"/>
        </w:rPr>
        <w:t>Spahr JE</w:t>
      </w:r>
      <w:r w:rsidRPr="00C3483D">
        <w:rPr>
          <w:rFonts w:ascii="Book Antiqua" w:hAnsi="Book Antiqua"/>
          <w:sz w:val="24"/>
          <w:szCs w:val="24"/>
        </w:rPr>
        <w:t xml:space="preserve">, Rodgers GM. Treatment of immune-mediated thrombocytopenia purpura with concurrent intravenous immunoglobulin and platelet transfusion: a retrospective review of 40 patients. </w:t>
      </w:r>
      <w:r w:rsidRPr="00C3483D">
        <w:rPr>
          <w:rFonts w:ascii="Book Antiqua" w:hAnsi="Book Antiqua"/>
          <w:i/>
          <w:sz w:val="24"/>
          <w:szCs w:val="24"/>
        </w:rPr>
        <w:t xml:space="preserve">Am J </w:t>
      </w:r>
      <w:proofErr w:type="spellStart"/>
      <w:r w:rsidRPr="00C3483D">
        <w:rPr>
          <w:rFonts w:ascii="Book Antiqua" w:hAnsi="Book Antiqua"/>
          <w:i/>
          <w:sz w:val="24"/>
          <w:szCs w:val="24"/>
        </w:rPr>
        <w:t>Hematol</w:t>
      </w:r>
      <w:proofErr w:type="spellEnd"/>
      <w:r w:rsidRPr="00C3483D">
        <w:rPr>
          <w:rFonts w:ascii="Book Antiqua" w:hAnsi="Book Antiqua"/>
          <w:sz w:val="24"/>
          <w:szCs w:val="24"/>
        </w:rPr>
        <w:t xml:space="preserve"> 2008; </w:t>
      </w:r>
      <w:r w:rsidRPr="00C3483D">
        <w:rPr>
          <w:rFonts w:ascii="Book Antiqua" w:hAnsi="Book Antiqua"/>
          <w:b/>
          <w:sz w:val="24"/>
          <w:szCs w:val="24"/>
        </w:rPr>
        <w:t>83</w:t>
      </w:r>
      <w:r w:rsidRPr="00C3483D">
        <w:rPr>
          <w:rFonts w:ascii="Book Antiqua" w:hAnsi="Book Antiqua"/>
          <w:sz w:val="24"/>
          <w:szCs w:val="24"/>
        </w:rPr>
        <w:t>: 122-125 [PMID: 17874448 DOI: 10.1002/ajh.21060]</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19 </w:t>
      </w:r>
      <w:r w:rsidRPr="00C3483D">
        <w:rPr>
          <w:rFonts w:ascii="Book Antiqua" w:hAnsi="Book Antiqua"/>
          <w:b/>
          <w:sz w:val="24"/>
          <w:szCs w:val="24"/>
        </w:rPr>
        <w:t xml:space="preserve">British Committee for Standards in </w:t>
      </w:r>
      <w:proofErr w:type="spellStart"/>
      <w:r w:rsidRPr="00C3483D">
        <w:rPr>
          <w:rFonts w:ascii="Book Antiqua" w:hAnsi="Book Antiqua"/>
          <w:b/>
          <w:sz w:val="24"/>
          <w:szCs w:val="24"/>
        </w:rPr>
        <w:t>Haematolog</w:t>
      </w:r>
      <w:r>
        <w:rPr>
          <w:rFonts w:ascii="Book Antiqua" w:hAnsi="Book Antiqua"/>
          <w:b/>
          <w:sz w:val="24"/>
          <w:szCs w:val="24"/>
        </w:rPr>
        <w:t>y</w:t>
      </w:r>
      <w:proofErr w:type="spellEnd"/>
      <w:r>
        <w:rPr>
          <w:rFonts w:ascii="Book Antiqua" w:hAnsi="Book Antiqua"/>
          <w:b/>
          <w:sz w:val="24"/>
          <w:szCs w:val="24"/>
        </w:rPr>
        <w:t>, Blood Transfusion Task Force</w:t>
      </w:r>
      <w:r w:rsidRPr="00C3483D">
        <w:rPr>
          <w:rFonts w:ascii="Book Antiqua" w:hAnsi="Book Antiqua"/>
          <w:sz w:val="24"/>
          <w:szCs w:val="24"/>
        </w:rPr>
        <w:t xml:space="preserve">. Guidelines for the use of platelet transfusions. </w:t>
      </w:r>
      <w:r w:rsidRPr="00C3483D">
        <w:rPr>
          <w:rFonts w:ascii="Book Antiqua" w:hAnsi="Book Antiqua"/>
          <w:i/>
          <w:sz w:val="24"/>
          <w:szCs w:val="24"/>
        </w:rPr>
        <w:t xml:space="preserve">Br J </w:t>
      </w:r>
      <w:proofErr w:type="spellStart"/>
      <w:r w:rsidRPr="00C3483D">
        <w:rPr>
          <w:rFonts w:ascii="Book Antiqua" w:hAnsi="Book Antiqua"/>
          <w:i/>
          <w:sz w:val="24"/>
          <w:szCs w:val="24"/>
        </w:rPr>
        <w:t>Haematol</w:t>
      </w:r>
      <w:proofErr w:type="spellEnd"/>
      <w:r w:rsidRPr="00C3483D">
        <w:rPr>
          <w:rFonts w:ascii="Book Antiqua" w:hAnsi="Book Antiqua"/>
          <w:sz w:val="24"/>
          <w:szCs w:val="24"/>
        </w:rPr>
        <w:t xml:space="preserve"> 2003; </w:t>
      </w:r>
      <w:r w:rsidRPr="00C3483D">
        <w:rPr>
          <w:rFonts w:ascii="Book Antiqua" w:hAnsi="Book Antiqua"/>
          <w:b/>
          <w:sz w:val="24"/>
          <w:szCs w:val="24"/>
        </w:rPr>
        <w:t>122</w:t>
      </w:r>
      <w:r w:rsidRPr="00C3483D">
        <w:rPr>
          <w:rFonts w:ascii="Book Antiqua" w:hAnsi="Book Antiqua"/>
          <w:sz w:val="24"/>
          <w:szCs w:val="24"/>
        </w:rPr>
        <w:t>: 10-23 [PMID: 12823341 DOI: 10.1046/j.1365-2141.2003.04468.x]</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20 </w:t>
      </w:r>
      <w:proofErr w:type="spellStart"/>
      <w:r w:rsidRPr="00C3483D">
        <w:rPr>
          <w:rFonts w:ascii="Book Antiqua" w:hAnsi="Book Antiqua"/>
          <w:b/>
          <w:sz w:val="24"/>
          <w:szCs w:val="24"/>
        </w:rPr>
        <w:t>Habermalz</w:t>
      </w:r>
      <w:proofErr w:type="spellEnd"/>
      <w:r w:rsidRPr="00C3483D">
        <w:rPr>
          <w:rFonts w:ascii="Book Antiqua" w:hAnsi="Book Antiqua"/>
          <w:b/>
          <w:sz w:val="24"/>
          <w:szCs w:val="24"/>
        </w:rPr>
        <w:t xml:space="preserve"> B</w:t>
      </w:r>
      <w:r w:rsidRPr="00C3483D">
        <w:rPr>
          <w:rFonts w:ascii="Book Antiqua" w:hAnsi="Book Antiqua"/>
          <w:sz w:val="24"/>
          <w:szCs w:val="24"/>
        </w:rPr>
        <w:t xml:space="preserve">, Sauerland S, Decker G, </w:t>
      </w:r>
      <w:proofErr w:type="spellStart"/>
      <w:r w:rsidRPr="00C3483D">
        <w:rPr>
          <w:rFonts w:ascii="Book Antiqua" w:hAnsi="Book Antiqua"/>
          <w:sz w:val="24"/>
          <w:szCs w:val="24"/>
        </w:rPr>
        <w:t>Delaitre</w:t>
      </w:r>
      <w:proofErr w:type="spellEnd"/>
      <w:r w:rsidRPr="00C3483D">
        <w:rPr>
          <w:rFonts w:ascii="Book Antiqua" w:hAnsi="Book Antiqua"/>
          <w:sz w:val="24"/>
          <w:szCs w:val="24"/>
        </w:rPr>
        <w:t xml:space="preserve"> B, Gigot JF, </w:t>
      </w:r>
      <w:proofErr w:type="spellStart"/>
      <w:r w:rsidRPr="00C3483D">
        <w:rPr>
          <w:rFonts w:ascii="Book Antiqua" w:hAnsi="Book Antiqua"/>
          <w:sz w:val="24"/>
          <w:szCs w:val="24"/>
        </w:rPr>
        <w:t>Leandros</w:t>
      </w:r>
      <w:proofErr w:type="spellEnd"/>
      <w:r w:rsidRPr="00C3483D">
        <w:rPr>
          <w:rFonts w:ascii="Book Antiqua" w:hAnsi="Book Antiqua"/>
          <w:sz w:val="24"/>
          <w:szCs w:val="24"/>
        </w:rPr>
        <w:t xml:space="preserve"> E, Lechner K, Rhodes M, </w:t>
      </w:r>
      <w:proofErr w:type="spellStart"/>
      <w:r w:rsidRPr="00C3483D">
        <w:rPr>
          <w:rFonts w:ascii="Book Antiqua" w:hAnsi="Book Antiqua"/>
          <w:sz w:val="24"/>
          <w:szCs w:val="24"/>
        </w:rPr>
        <w:t>Silecchia</w:t>
      </w:r>
      <w:proofErr w:type="spellEnd"/>
      <w:r w:rsidRPr="00C3483D">
        <w:rPr>
          <w:rFonts w:ascii="Book Antiqua" w:hAnsi="Book Antiqua"/>
          <w:sz w:val="24"/>
          <w:szCs w:val="24"/>
        </w:rPr>
        <w:t xml:space="preserve"> G, Szold A, </w:t>
      </w:r>
      <w:proofErr w:type="spellStart"/>
      <w:r w:rsidRPr="00C3483D">
        <w:rPr>
          <w:rFonts w:ascii="Book Antiqua" w:hAnsi="Book Antiqua"/>
          <w:sz w:val="24"/>
          <w:szCs w:val="24"/>
        </w:rPr>
        <w:t>Targarona</w:t>
      </w:r>
      <w:proofErr w:type="spellEnd"/>
      <w:r w:rsidRPr="00C3483D">
        <w:rPr>
          <w:rFonts w:ascii="Book Antiqua" w:hAnsi="Book Antiqua"/>
          <w:sz w:val="24"/>
          <w:szCs w:val="24"/>
        </w:rPr>
        <w:t xml:space="preserve"> E, </w:t>
      </w:r>
      <w:proofErr w:type="spellStart"/>
      <w:r w:rsidRPr="00C3483D">
        <w:rPr>
          <w:rFonts w:ascii="Book Antiqua" w:hAnsi="Book Antiqua"/>
          <w:sz w:val="24"/>
          <w:szCs w:val="24"/>
        </w:rPr>
        <w:t>Torelli</w:t>
      </w:r>
      <w:proofErr w:type="spellEnd"/>
      <w:r w:rsidRPr="00C3483D">
        <w:rPr>
          <w:rFonts w:ascii="Book Antiqua" w:hAnsi="Book Antiqua"/>
          <w:sz w:val="24"/>
          <w:szCs w:val="24"/>
        </w:rPr>
        <w:t xml:space="preserve"> P, Neugebauer E. Laparoscopic splenectomy: the clinical practice guidelines of the European Association for Endoscopic Surgery (EAES). </w:t>
      </w:r>
      <w:r w:rsidRPr="00C3483D">
        <w:rPr>
          <w:rFonts w:ascii="Book Antiqua" w:hAnsi="Book Antiqua"/>
          <w:i/>
          <w:sz w:val="24"/>
          <w:szCs w:val="24"/>
        </w:rPr>
        <w:t xml:space="preserve">Surg </w:t>
      </w:r>
      <w:proofErr w:type="spellStart"/>
      <w:r w:rsidRPr="00C3483D">
        <w:rPr>
          <w:rFonts w:ascii="Book Antiqua" w:hAnsi="Book Antiqua"/>
          <w:i/>
          <w:sz w:val="24"/>
          <w:szCs w:val="24"/>
        </w:rPr>
        <w:t>Endosc</w:t>
      </w:r>
      <w:proofErr w:type="spellEnd"/>
      <w:r w:rsidRPr="00C3483D">
        <w:rPr>
          <w:rFonts w:ascii="Book Antiqua" w:hAnsi="Book Antiqua"/>
          <w:sz w:val="24"/>
          <w:szCs w:val="24"/>
        </w:rPr>
        <w:t xml:space="preserve"> 2008; </w:t>
      </w:r>
      <w:r w:rsidRPr="00C3483D">
        <w:rPr>
          <w:rFonts w:ascii="Book Antiqua" w:hAnsi="Book Antiqua"/>
          <w:b/>
          <w:sz w:val="24"/>
          <w:szCs w:val="24"/>
        </w:rPr>
        <w:t>22</w:t>
      </w:r>
      <w:r w:rsidRPr="00C3483D">
        <w:rPr>
          <w:rFonts w:ascii="Book Antiqua" w:hAnsi="Book Antiqua"/>
          <w:sz w:val="24"/>
          <w:szCs w:val="24"/>
        </w:rPr>
        <w:t>: 821-848 [PMID: 18293036 DOI: 10.1007/s00464-007-9735-5]</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21 </w:t>
      </w:r>
      <w:r w:rsidRPr="00C3483D">
        <w:rPr>
          <w:rFonts w:ascii="Book Antiqua" w:hAnsi="Book Antiqua"/>
          <w:b/>
          <w:sz w:val="24"/>
          <w:szCs w:val="24"/>
        </w:rPr>
        <w:t>Chen X</w:t>
      </w:r>
      <w:r w:rsidRPr="00C3483D">
        <w:rPr>
          <w:rFonts w:ascii="Book Antiqua" w:hAnsi="Book Antiqua"/>
          <w:sz w:val="24"/>
          <w:szCs w:val="24"/>
        </w:rPr>
        <w:t xml:space="preserve">, Peng B, Cai Y, Zhou J, Wang Y, Wu Z, Chen S. Laparoscopic splenectomy for patients with immune thrombocytopenia and very low platelet count: is platelet transfusion necessary? </w:t>
      </w:r>
      <w:r w:rsidRPr="00C3483D">
        <w:rPr>
          <w:rFonts w:ascii="Book Antiqua" w:hAnsi="Book Antiqua"/>
          <w:i/>
          <w:sz w:val="24"/>
          <w:szCs w:val="24"/>
        </w:rPr>
        <w:t>J Surg Res</w:t>
      </w:r>
      <w:r w:rsidRPr="00C3483D">
        <w:rPr>
          <w:rFonts w:ascii="Book Antiqua" w:hAnsi="Book Antiqua"/>
          <w:sz w:val="24"/>
          <w:szCs w:val="24"/>
        </w:rPr>
        <w:t xml:space="preserve"> 2011; </w:t>
      </w:r>
      <w:r w:rsidRPr="00C3483D">
        <w:rPr>
          <w:rFonts w:ascii="Book Antiqua" w:hAnsi="Book Antiqua"/>
          <w:b/>
          <w:sz w:val="24"/>
          <w:szCs w:val="24"/>
        </w:rPr>
        <w:t>170</w:t>
      </w:r>
      <w:r w:rsidRPr="00C3483D">
        <w:rPr>
          <w:rFonts w:ascii="Book Antiqua" w:hAnsi="Book Antiqua"/>
          <w:sz w:val="24"/>
          <w:szCs w:val="24"/>
        </w:rPr>
        <w:t>: e225-e232 [PMID: 21816423 DOI: 10.1016/j.jss.2011.06.031]</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lastRenderedPageBreak/>
        <w:t xml:space="preserve">22 </w:t>
      </w:r>
      <w:r w:rsidRPr="00C3483D">
        <w:rPr>
          <w:rFonts w:ascii="Book Antiqua" w:hAnsi="Book Antiqua"/>
          <w:b/>
          <w:sz w:val="24"/>
          <w:szCs w:val="24"/>
        </w:rPr>
        <w:t>Cai Y</w:t>
      </w:r>
      <w:r w:rsidRPr="00C3483D">
        <w:rPr>
          <w:rFonts w:ascii="Book Antiqua" w:hAnsi="Book Antiqua"/>
          <w:sz w:val="24"/>
          <w:szCs w:val="24"/>
        </w:rPr>
        <w:t>, Liu X, Peng B. Should we routinely transfuse platelet for immune thrombocytopenia patients with platelet count less than 10 × 10</w:t>
      </w:r>
      <w:r w:rsidRPr="00C3483D">
        <w:rPr>
          <w:rFonts w:ascii="Cambria Math" w:eastAsia="MS Gothic" w:hAnsi="Cambria Math" w:cs="Cambria Math"/>
          <w:sz w:val="24"/>
          <w:szCs w:val="24"/>
        </w:rPr>
        <w:t>⁹</w:t>
      </w:r>
      <w:r w:rsidRPr="00C3483D">
        <w:rPr>
          <w:rFonts w:ascii="Book Antiqua" w:hAnsi="Book Antiqua"/>
          <w:sz w:val="24"/>
          <w:szCs w:val="24"/>
        </w:rPr>
        <w:t xml:space="preserve">/L who underwent laparoscopic splenectomy? </w:t>
      </w:r>
      <w:r w:rsidRPr="00C3483D">
        <w:rPr>
          <w:rFonts w:ascii="Book Antiqua" w:hAnsi="Book Antiqua"/>
          <w:i/>
          <w:sz w:val="24"/>
          <w:szCs w:val="24"/>
        </w:rPr>
        <w:t>World J Surg</w:t>
      </w:r>
      <w:r w:rsidRPr="00C3483D">
        <w:rPr>
          <w:rFonts w:ascii="Book Antiqua" w:hAnsi="Book Antiqua"/>
          <w:sz w:val="24"/>
          <w:szCs w:val="24"/>
        </w:rPr>
        <w:t xml:space="preserve"> 2014; </w:t>
      </w:r>
      <w:r w:rsidRPr="00C3483D">
        <w:rPr>
          <w:rFonts w:ascii="Book Antiqua" w:hAnsi="Book Antiqua"/>
          <w:b/>
          <w:sz w:val="24"/>
          <w:szCs w:val="24"/>
        </w:rPr>
        <w:t>38</w:t>
      </w:r>
      <w:r w:rsidRPr="00C3483D">
        <w:rPr>
          <w:rFonts w:ascii="Book Antiqua" w:hAnsi="Book Antiqua"/>
          <w:sz w:val="24"/>
          <w:szCs w:val="24"/>
        </w:rPr>
        <w:t>: 2267-2272 [PMID: 24722866 DOI: 10.1007/s00268-014-2560-9]</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23 </w:t>
      </w:r>
      <w:r w:rsidRPr="00C3483D">
        <w:rPr>
          <w:rFonts w:ascii="Book Antiqua" w:hAnsi="Book Antiqua"/>
          <w:b/>
          <w:sz w:val="24"/>
          <w:szCs w:val="24"/>
        </w:rPr>
        <w:t>Takeuchi D</w:t>
      </w:r>
      <w:r w:rsidRPr="00C3483D">
        <w:rPr>
          <w:rFonts w:ascii="Book Antiqua" w:hAnsi="Book Antiqua"/>
          <w:sz w:val="24"/>
          <w:szCs w:val="24"/>
        </w:rPr>
        <w:t xml:space="preserve">, Koide N, Suzuki A, </w:t>
      </w:r>
      <w:proofErr w:type="spellStart"/>
      <w:r w:rsidRPr="00C3483D">
        <w:rPr>
          <w:rFonts w:ascii="Book Antiqua" w:hAnsi="Book Antiqua"/>
          <w:sz w:val="24"/>
          <w:szCs w:val="24"/>
        </w:rPr>
        <w:t>Ishizone</w:t>
      </w:r>
      <w:proofErr w:type="spellEnd"/>
      <w:r w:rsidRPr="00C3483D">
        <w:rPr>
          <w:rFonts w:ascii="Book Antiqua" w:hAnsi="Book Antiqua"/>
          <w:sz w:val="24"/>
          <w:szCs w:val="24"/>
        </w:rPr>
        <w:t xml:space="preserve"> S, Shimizu F, Tsuchiya T, </w:t>
      </w:r>
      <w:proofErr w:type="spellStart"/>
      <w:r w:rsidRPr="00C3483D">
        <w:rPr>
          <w:rFonts w:ascii="Book Antiqua" w:hAnsi="Book Antiqua"/>
          <w:sz w:val="24"/>
          <w:szCs w:val="24"/>
        </w:rPr>
        <w:t>Kumeda</w:t>
      </w:r>
      <w:proofErr w:type="spellEnd"/>
      <w:r w:rsidRPr="00C3483D">
        <w:rPr>
          <w:rFonts w:ascii="Book Antiqua" w:hAnsi="Book Antiqua"/>
          <w:sz w:val="24"/>
          <w:szCs w:val="24"/>
        </w:rPr>
        <w:t xml:space="preserve"> S, Miyagawa S. Postoperative complications in elderly patients with gastric cancer. </w:t>
      </w:r>
      <w:r w:rsidRPr="00C3483D">
        <w:rPr>
          <w:rFonts w:ascii="Book Antiqua" w:hAnsi="Book Antiqua"/>
          <w:i/>
          <w:sz w:val="24"/>
          <w:szCs w:val="24"/>
        </w:rPr>
        <w:t>J Surg Res</w:t>
      </w:r>
      <w:r w:rsidRPr="00C3483D">
        <w:rPr>
          <w:rFonts w:ascii="Book Antiqua" w:hAnsi="Book Antiqua"/>
          <w:sz w:val="24"/>
          <w:szCs w:val="24"/>
        </w:rPr>
        <w:t xml:space="preserve"> 2015; </w:t>
      </w:r>
      <w:r w:rsidRPr="00C3483D">
        <w:rPr>
          <w:rFonts w:ascii="Book Antiqua" w:hAnsi="Book Antiqua"/>
          <w:b/>
          <w:sz w:val="24"/>
          <w:szCs w:val="24"/>
        </w:rPr>
        <w:t>198</w:t>
      </w:r>
      <w:r w:rsidRPr="00C3483D">
        <w:rPr>
          <w:rFonts w:ascii="Book Antiqua" w:hAnsi="Book Antiqua"/>
          <w:sz w:val="24"/>
          <w:szCs w:val="24"/>
        </w:rPr>
        <w:t>: 317-326 [PMID: 26033612 DOI: 10.1016/j.jss.2015.03.095]</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24 </w:t>
      </w:r>
      <w:r w:rsidRPr="00C3483D">
        <w:rPr>
          <w:rFonts w:ascii="Book Antiqua" w:hAnsi="Book Antiqua"/>
          <w:b/>
          <w:sz w:val="24"/>
          <w:szCs w:val="24"/>
        </w:rPr>
        <w:t>Li B</w:t>
      </w:r>
      <w:r w:rsidRPr="00C3483D">
        <w:rPr>
          <w:rFonts w:ascii="Book Antiqua" w:hAnsi="Book Antiqua"/>
          <w:sz w:val="24"/>
          <w:szCs w:val="24"/>
        </w:rPr>
        <w:t xml:space="preserve">, Liu HY, Guo SH, Sun P, Gong FM, Jia BQ. Impact of early postoperative enteral nutrition on clinical outcomes in patients with gastric cancer. </w:t>
      </w:r>
      <w:r w:rsidRPr="00C3483D">
        <w:rPr>
          <w:rFonts w:ascii="Book Antiqua" w:hAnsi="Book Antiqua"/>
          <w:i/>
          <w:sz w:val="24"/>
          <w:szCs w:val="24"/>
        </w:rPr>
        <w:t>Genet Mol Res</w:t>
      </w:r>
      <w:r w:rsidRPr="00C3483D">
        <w:rPr>
          <w:rFonts w:ascii="Book Antiqua" w:hAnsi="Book Antiqua"/>
          <w:sz w:val="24"/>
          <w:szCs w:val="24"/>
        </w:rPr>
        <w:t xml:space="preserve"> 2015; </w:t>
      </w:r>
      <w:r w:rsidRPr="00C3483D">
        <w:rPr>
          <w:rFonts w:ascii="Book Antiqua" w:hAnsi="Book Antiqua"/>
          <w:b/>
          <w:sz w:val="24"/>
          <w:szCs w:val="24"/>
        </w:rPr>
        <w:t>14</w:t>
      </w:r>
      <w:r w:rsidRPr="00C3483D">
        <w:rPr>
          <w:rFonts w:ascii="Book Antiqua" w:hAnsi="Book Antiqua"/>
          <w:sz w:val="24"/>
          <w:szCs w:val="24"/>
        </w:rPr>
        <w:t>: 7136-7141 [PMID: 26125924 DOI: 10.4238/2015.June.29.7]</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25 </w:t>
      </w:r>
      <w:r w:rsidRPr="00C3483D">
        <w:rPr>
          <w:rFonts w:ascii="Book Antiqua" w:hAnsi="Book Antiqua"/>
          <w:b/>
          <w:sz w:val="24"/>
          <w:szCs w:val="24"/>
        </w:rPr>
        <w:t>Young MT</w:t>
      </w:r>
      <w:r w:rsidRPr="00C3483D">
        <w:rPr>
          <w:rFonts w:ascii="Book Antiqua" w:hAnsi="Book Antiqua"/>
          <w:sz w:val="24"/>
          <w:szCs w:val="24"/>
        </w:rPr>
        <w:t xml:space="preserve">, </w:t>
      </w:r>
      <w:proofErr w:type="spellStart"/>
      <w:r w:rsidRPr="00C3483D">
        <w:rPr>
          <w:rFonts w:ascii="Book Antiqua" w:hAnsi="Book Antiqua"/>
          <w:sz w:val="24"/>
          <w:szCs w:val="24"/>
        </w:rPr>
        <w:t>Troung</w:t>
      </w:r>
      <w:proofErr w:type="spellEnd"/>
      <w:r w:rsidRPr="00C3483D">
        <w:rPr>
          <w:rFonts w:ascii="Book Antiqua" w:hAnsi="Book Antiqua"/>
          <w:sz w:val="24"/>
          <w:szCs w:val="24"/>
        </w:rPr>
        <w:t xml:space="preserve"> H, </w:t>
      </w:r>
      <w:proofErr w:type="spellStart"/>
      <w:r w:rsidRPr="00C3483D">
        <w:rPr>
          <w:rFonts w:ascii="Book Antiqua" w:hAnsi="Book Antiqua"/>
          <w:sz w:val="24"/>
          <w:szCs w:val="24"/>
        </w:rPr>
        <w:t>Gebhart</w:t>
      </w:r>
      <w:proofErr w:type="spellEnd"/>
      <w:r w:rsidRPr="00C3483D">
        <w:rPr>
          <w:rFonts w:ascii="Book Antiqua" w:hAnsi="Book Antiqua"/>
          <w:sz w:val="24"/>
          <w:szCs w:val="24"/>
        </w:rPr>
        <w:t xml:space="preserve"> A, Shih A, Nguyen NT. Outcomes of laparoscopic feeding jejunostomy tube placement in 299 patients. </w:t>
      </w:r>
      <w:r w:rsidRPr="00C3483D">
        <w:rPr>
          <w:rFonts w:ascii="Book Antiqua" w:hAnsi="Book Antiqua"/>
          <w:i/>
          <w:sz w:val="24"/>
          <w:szCs w:val="24"/>
        </w:rPr>
        <w:t xml:space="preserve">Surg </w:t>
      </w:r>
      <w:proofErr w:type="spellStart"/>
      <w:r w:rsidRPr="00C3483D">
        <w:rPr>
          <w:rFonts w:ascii="Book Antiqua" w:hAnsi="Book Antiqua"/>
          <w:i/>
          <w:sz w:val="24"/>
          <w:szCs w:val="24"/>
        </w:rPr>
        <w:t>Endosc</w:t>
      </w:r>
      <w:proofErr w:type="spellEnd"/>
      <w:r w:rsidRPr="00C3483D">
        <w:rPr>
          <w:rFonts w:ascii="Book Antiqua" w:hAnsi="Book Antiqua"/>
          <w:sz w:val="24"/>
          <w:szCs w:val="24"/>
        </w:rPr>
        <w:t xml:space="preserve"> 2016; </w:t>
      </w:r>
      <w:r w:rsidRPr="00C3483D">
        <w:rPr>
          <w:rFonts w:ascii="Book Antiqua" w:hAnsi="Book Antiqua"/>
          <w:b/>
          <w:sz w:val="24"/>
          <w:szCs w:val="24"/>
        </w:rPr>
        <w:t>30</w:t>
      </w:r>
      <w:r w:rsidRPr="00C3483D">
        <w:rPr>
          <w:rFonts w:ascii="Book Antiqua" w:hAnsi="Book Antiqua"/>
          <w:sz w:val="24"/>
          <w:szCs w:val="24"/>
        </w:rPr>
        <w:t>: 126-131 [PMID: 25801114 DOI: 10.1007/s00464-015-4171-4]</w:t>
      </w:r>
    </w:p>
    <w:p w:rsidR="00C3483D" w:rsidRPr="00C3483D" w:rsidRDefault="00C3483D" w:rsidP="00C3483D">
      <w:pPr>
        <w:spacing w:line="360" w:lineRule="auto"/>
        <w:jc w:val="both"/>
        <w:rPr>
          <w:rFonts w:ascii="Book Antiqua" w:hAnsi="Book Antiqua"/>
          <w:sz w:val="24"/>
          <w:szCs w:val="24"/>
        </w:rPr>
      </w:pPr>
      <w:r w:rsidRPr="00C3483D">
        <w:rPr>
          <w:rFonts w:ascii="Book Antiqua" w:hAnsi="Book Antiqua"/>
          <w:sz w:val="24"/>
          <w:szCs w:val="24"/>
        </w:rPr>
        <w:t xml:space="preserve">26 </w:t>
      </w:r>
      <w:proofErr w:type="spellStart"/>
      <w:r w:rsidRPr="00C3483D">
        <w:rPr>
          <w:rFonts w:ascii="Book Antiqua" w:hAnsi="Book Antiqua"/>
          <w:b/>
          <w:sz w:val="24"/>
          <w:szCs w:val="24"/>
        </w:rPr>
        <w:t>Senkal</w:t>
      </w:r>
      <w:proofErr w:type="spellEnd"/>
      <w:r w:rsidRPr="00C3483D">
        <w:rPr>
          <w:rFonts w:ascii="Book Antiqua" w:hAnsi="Book Antiqua"/>
          <w:b/>
          <w:sz w:val="24"/>
          <w:szCs w:val="24"/>
        </w:rPr>
        <w:t xml:space="preserve"> M</w:t>
      </w:r>
      <w:r w:rsidRPr="00C3483D">
        <w:rPr>
          <w:rFonts w:ascii="Book Antiqua" w:hAnsi="Book Antiqua"/>
          <w:sz w:val="24"/>
          <w:szCs w:val="24"/>
        </w:rPr>
        <w:t xml:space="preserve">, Koch J, Hummel T, </w:t>
      </w:r>
      <w:proofErr w:type="spellStart"/>
      <w:r w:rsidRPr="00C3483D">
        <w:rPr>
          <w:rFonts w:ascii="Book Antiqua" w:hAnsi="Book Antiqua"/>
          <w:sz w:val="24"/>
          <w:szCs w:val="24"/>
        </w:rPr>
        <w:t>Zumtobel</w:t>
      </w:r>
      <w:proofErr w:type="spellEnd"/>
      <w:r w:rsidRPr="00C3483D">
        <w:rPr>
          <w:rFonts w:ascii="Book Antiqua" w:hAnsi="Book Antiqua"/>
          <w:sz w:val="24"/>
          <w:szCs w:val="24"/>
        </w:rPr>
        <w:t xml:space="preserve"> V. Laparoscopic needle catheter jejunostomy: modification of the technique and outcome results. </w:t>
      </w:r>
      <w:r w:rsidRPr="00C3483D">
        <w:rPr>
          <w:rFonts w:ascii="Book Antiqua" w:hAnsi="Book Antiqua"/>
          <w:i/>
          <w:sz w:val="24"/>
          <w:szCs w:val="24"/>
        </w:rPr>
        <w:t xml:space="preserve">Surg </w:t>
      </w:r>
      <w:proofErr w:type="spellStart"/>
      <w:r w:rsidRPr="00C3483D">
        <w:rPr>
          <w:rFonts w:ascii="Book Antiqua" w:hAnsi="Book Antiqua"/>
          <w:i/>
          <w:sz w:val="24"/>
          <w:szCs w:val="24"/>
        </w:rPr>
        <w:t>Endosc</w:t>
      </w:r>
      <w:proofErr w:type="spellEnd"/>
      <w:r w:rsidRPr="00C3483D">
        <w:rPr>
          <w:rFonts w:ascii="Book Antiqua" w:hAnsi="Book Antiqua"/>
          <w:sz w:val="24"/>
          <w:szCs w:val="24"/>
        </w:rPr>
        <w:t xml:space="preserve"> 2004; </w:t>
      </w:r>
      <w:r w:rsidRPr="00C3483D">
        <w:rPr>
          <w:rFonts w:ascii="Book Antiqua" w:hAnsi="Book Antiqua"/>
          <w:b/>
          <w:sz w:val="24"/>
          <w:szCs w:val="24"/>
        </w:rPr>
        <w:t>18</w:t>
      </w:r>
      <w:r w:rsidRPr="00C3483D">
        <w:rPr>
          <w:rFonts w:ascii="Book Antiqua" w:hAnsi="Book Antiqua"/>
          <w:sz w:val="24"/>
          <w:szCs w:val="24"/>
        </w:rPr>
        <w:t>: 307-309 [PMID: 14708043 DOI: 10.1007/s00464-003-9060-6]</w:t>
      </w:r>
    </w:p>
    <w:p w:rsidR="00847F85" w:rsidRPr="00C3483D" w:rsidRDefault="00847F85" w:rsidP="00C348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Times New Roman" w:hAnsi="Book Antiqua" w:cs="Times New Roman"/>
          <w:sz w:val="24"/>
          <w:szCs w:val="24"/>
        </w:rPr>
      </w:pPr>
    </w:p>
    <w:p w:rsidR="0050230B" w:rsidRPr="00C3483D" w:rsidRDefault="0050230B" w:rsidP="00C3483D">
      <w:pPr>
        <w:pStyle w:val="PlainText"/>
        <w:spacing w:line="360" w:lineRule="auto"/>
        <w:jc w:val="right"/>
        <w:rPr>
          <w:rFonts w:ascii="Book Antiqua" w:hAnsi="Book Antiqua"/>
          <w:b/>
          <w:sz w:val="24"/>
          <w:szCs w:val="24"/>
        </w:rPr>
      </w:pPr>
      <w:r w:rsidRPr="00C3483D">
        <w:rPr>
          <w:rFonts w:ascii="Book Antiqua" w:hAnsi="Book Antiqua"/>
          <w:b/>
          <w:sz w:val="24"/>
          <w:szCs w:val="24"/>
        </w:rPr>
        <w:t xml:space="preserve">P-Reviewer: </w:t>
      </w:r>
      <w:proofErr w:type="spellStart"/>
      <w:r w:rsidRPr="00C3483D">
        <w:rPr>
          <w:rFonts w:ascii="Book Antiqua" w:hAnsi="Book Antiqua"/>
          <w:color w:val="000000"/>
          <w:sz w:val="24"/>
          <w:szCs w:val="24"/>
        </w:rPr>
        <w:t>Morini</w:t>
      </w:r>
      <w:proofErr w:type="spellEnd"/>
      <w:r w:rsidRPr="00C3483D">
        <w:rPr>
          <w:rFonts w:ascii="Book Antiqua" w:hAnsi="Book Antiqua"/>
          <w:color w:val="000000"/>
          <w:sz w:val="24"/>
          <w:szCs w:val="24"/>
        </w:rPr>
        <w:t xml:space="preserve"> S, Zhu X, Zhu YL </w:t>
      </w:r>
      <w:r w:rsidRPr="00C3483D">
        <w:rPr>
          <w:rFonts w:ascii="Book Antiqua" w:hAnsi="Book Antiqua"/>
          <w:b/>
          <w:sz w:val="24"/>
          <w:szCs w:val="24"/>
        </w:rPr>
        <w:t xml:space="preserve">S-Editor: </w:t>
      </w:r>
      <w:r w:rsidRPr="00C3483D">
        <w:rPr>
          <w:rFonts w:ascii="Book Antiqua" w:hAnsi="Book Antiqua"/>
          <w:sz w:val="24"/>
          <w:szCs w:val="24"/>
        </w:rPr>
        <w:t>Ji FF</w:t>
      </w:r>
      <w:r w:rsidRPr="00C3483D">
        <w:rPr>
          <w:rFonts w:ascii="Book Antiqua" w:hAnsi="Book Antiqua"/>
          <w:b/>
          <w:sz w:val="24"/>
          <w:szCs w:val="24"/>
        </w:rPr>
        <w:t xml:space="preserve"> L-Editor: E-Editor: </w:t>
      </w:r>
    </w:p>
    <w:p w:rsidR="0050230B" w:rsidRPr="00C3483D" w:rsidRDefault="0050230B" w:rsidP="00C3483D">
      <w:pPr>
        <w:pStyle w:val="PlainText"/>
        <w:spacing w:line="360" w:lineRule="auto"/>
        <w:rPr>
          <w:rFonts w:ascii="Book Antiqua" w:hAnsi="Book Antiqua"/>
          <w:b/>
          <w:sz w:val="24"/>
          <w:szCs w:val="24"/>
        </w:rPr>
      </w:pPr>
      <w:r w:rsidRPr="00C3483D">
        <w:rPr>
          <w:rFonts w:ascii="Book Antiqua" w:hAnsi="Book Antiqua"/>
          <w:b/>
          <w:sz w:val="24"/>
          <w:szCs w:val="24"/>
        </w:rPr>
        <w:t xml:space="preserve"> </w:t>
      </w:r>
    </w:p>
    <w:p w:rsidR="0050230B" w:rsidRPr="00C3483D" w:rsidRDefault="0050230B" w:rsidP="00C3483D">
      <w:pPr>
        <w:snapToGrid w:val="0"/>
        <w:spacing w:line="360" w:lineRule="auto"/>
        <w:jc w:val="both"/>
        <w:rPr>
          <w:rFonts w:ascii="Book Antiqua" w:eastAsia="SimSun" w:hAnsi="Book Antiqua" w:cs="Helvetica"/>
          <w:b/>
          <w:sz w:val="24"/>
          <w:szCs w:val="24"/>
        </w:rPr>
      </w:pPr>
      <w:r w:rsidRPr="00C3483D">
        <w:rPr>
          <w:rFonts w:ascii="Book Antiqua" w:eastAsia="SimSun" w:hAnsi="Book Antiqua" w:cs="Helvetica"/>
          <w:b/>
          <w:sz w:val="24"/>
          <w:szCs w:val="24"/>
        </w:rPr>
        <w:t xml:space="preserve">Specialty type: </w:t>
      </w:r>
      <w:r w:rsidRPr="00C3483D">
        <w:rPr>
          <w:rFonts w:ascii="Book Antiqua" w:eastAsia="Microsoft YaHei" w:hAnsi="Book Antiqua" w:cs="SimSun"/>
          <w:sz w:val="24"/>
          <w:szCs w:val="24"/>
        </w:rPr>
        <w:t>Medicine, research and experimental</w:t>
      </w:r>
    </w:p>
    <w:p w:rsidR="0050230B" w:rsidRPr="00C3483D" w:rsidRDefault="0050230B" w:rsidP="00C3483D">
      <w:pPr>
        <w:snapToGrid w:val="0"/>
        <w:spacing w:line="360" w:lineRule="auto"/>
        <w:jc w:val="both"/>
        <w:rPr>
          <w:rFonts w:ascii="Book Antiqua" w:eastAsia="SimSun" w:hAnsi="Book Antiqua" w:cs="Helvetica"/>
          <w:b/>
          <w:sz w:val="24"/>
          <w:szCs w:val="24"/>
        </w:rPr>
      </w:pPr>
      <w:r w:rsidRPr="00C3483D">
        <w:rPr>
          <w:rFonts w:ascii="Book Antiqua" w:eastAsia="SimSun" w:hAnsi="Book Antiqua" w:cs="Helvetica"/>
          <w:b/>
          <w:sz w:val="24"/>
          <w:szCs w:val="24"/>
        </w:rPr>
        <w:t xml:space="preserve">Country of origin: </w:t>
      </w:r>
      <w:r w:rsidRPr="00C3483D">
        <w:rPr>
          <w:rFonts w:ascii="Book Antiqua" w:eastAsia="SimSun" w:hAnsi="Book Antiqua"/>
          <w:sz w:val="24"/>
          <w:szCs w:val="24"/>
        </w:rPr>
        <w:t>China</w:t>
      </w:r>
    </w:p>
    <w:p w:rsidR="0050230B" w:rsidRPr="00C3483D" w:rsidRDefault="0050230B" w:rsidP="00C3483D">
      <w:pPr>
        <w:snapToGrid w:val="0"/>
        <w:spacing w:line="360" w:lineRule="auto"/>
        <w:jc w:val="both"/>
        <w:rPr>
          <w:rFonts w:ascii="Book Antiqua" w:eastAsia="SimSun" w:hAnsi="Book Antiqua" w:cs="Helvetica"/>
          <w:b/>
          <w:sz w:val="24"/>
          <w:szCs w:val="24"/>
        </w:rPr>
      </w:pPr>
      <w:r w:rsidRPr="00C3483D">
        <w:rPr>
          <w:rFonts w:ascii="Book Antiqua" w:eastAsia="SimSun" w:hAnsi="Book Antiqua" w:cs="Helvetica"/>
          <w:b/>
          <w:sz w:val="24"/>
          <w:szCs w:val="24"/>
        </w:rPr>
        <w:t>Peer-review report classification</w:t>
      </w:r>
    </w:p>
    <w:p w:rsidR="0050230B" w:rsidRPr="00C3483D" w:rsidRDefault="0050230B" w:rsidP="00C3483D">
      <w:pPr>
        <w:snapToGrid w:val="0"/>
        <w:spacing w:line="360" w:lineRule="auto"/>
        <w:jc w:val="both"/>
        <w:rPr>
          <w:rFonts w:ascii="Book Antiqua" w:eastAsia="SimSun" w:hAnsi="Book Antiqua" w:cs="Helvetica"/>
          <w:sz w:val="24"/>
          <w:szCs w:val="24"/>
        </w:rPr>
      </w:pPr>
      <w:r w:rsidRPr="00C3483D">
        <w:rPr>
          <w:rFonts w:ascii="Book Antiqua" w:eastAsia="SimSun" w:hAnsi="Book Antiqua" w:cs="Helvetica"/>
          <w:sz w:val="24"/>
          <w:szCs w:val="24"/>
        </w:rPr>
        <w:t>Grade A (Excellent): 0</w:t>
      </w:r>
    </w:p>
    <w:p w:rsidR="0050230B" w:rsidRPr="00C3483D" w:rsidRDefault="0050230B" w:rsidP="00C3483D">
      <w:pPr>
        <w:snapToGrid w:val="0"/>
        <w:spacing w:line="360" w:lineRule="auto"/>
        <w:jc w:val="both"/>
        <w:rPr>
          <w:rFonts w:ascii="Book Antiqua" w:eastAsia="SimSun" w:hAnsi="Book Antiqua" w:cs="Helvetica"/>
          <w:sz w:val="24"/>
          <w:szCs w:val="24"/>
        </w:rPr>
      </w:pPr>
      <w:r w:rsidRPr="00C3483D">
        <w:rPr>
          <w:rFonts w:ascii="Book Antiqua" w:eastAsia="SimSun" w:hAnsi="Book Antiqua" w:cs="Helvetica"/>
          <w:sz w:val="24"/>
          <w:szCs w:val="24"/>
        </w:rPr>
        <w:t>Grade B (Very good): B, B</w:t>
      </w:r>
    </w:p>
    <w:p w:rsidR="0050230B" w:rsidRPr="00C3483D" w:rsidRDefault="0050230B" w:rsidP="00C3483D">
      <w:pPr>
        <w:snapToGrid w:val="0"/>
        <w:spacing w:line="360" w:lineRule="auto"/>
        <w:jc w:val="both"/>
        <w:rPr>
          <w:rFonts w:ascii="Book Antiqua" w:eastAsia="SimSun" w:hAnsi="Book Antiqua" w:cs="Helvetica"/>
          <w:sz w:val="24"/>
          <w:szCs w:val="24"/>
        </w:rPr>
      </w:pPr>
      <w:r w:rsidRPr="00C3483D">
        <w:rPr>
          <w:rFonts w:ascii="Book Antiqua" w:eastAsia="SimSun" w:hAnsi="Book Antiqua" w:cs="Helvetica"/>
          <w:sz w:val="24"/>
          <w:szCs w:val="24"/>
        </w:rPr>
        <w:t>Grade C (Good): C</w:t>
      </w:r>
    </w:p>
    <w:p w:rsidR="0050230B" w:rsidRPr="00C3483D" w:rsidRDefault="0050230B" w:rsidP="00C3483D">
      <w:pPr>
        <w:snapToGrid w:val="0"/>
        <w:spacing w:line="360" w:lineRule="auto"/>
        <w:jc w:val="both"/>
        <w:rPr>
          <w:rFonts w:ascii="Book Antiqua" w:eastAsia="SimSun" w:hAnsi="Book Antiqua" w:cs="Helvetica"/>
          <w:sz w:val="24"/>
          <w:szCs w:val="24"/>
        </w:rPr>
      </w:pPr>
      <w:r w:rsidRPr="00C3483D">
        <w:rPr>
          <w:rFonts w:ascii="Book Antiqua" w:eastAsia="SimSun" w:hAnsi="Book Antiqua" w:cs="Helvetica"/>
          <w:sz w:val="24"/>
          <w:szCs w:val="24"/>
        </w:rPr>
        <w:t xml:space="preserve">Grade D (Fair): 0 </w:t>
      </w:r>
    </w:p>
    <w:p w:rsidR="00847F85" w:rsidRPr="00C3483D" w:rsidRDefault="0050230B" w:rsidP="00C348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Times New Roman" w:hAnsi="Book Antiqua" w:cs="Times New Roman"/>
          <w:sz w:val="24"/>
          <w:szCs w:val="24"/>
        </w:rPr>
      </w:pPr>
      <w:r w:rsidRPr="00C3483D">
        <w:rPr>
          <w:rFonts w:ascii="Book Antiqua" w:eastAsia="SimSun" w:hAnsi="Book Antiqua" w:cs="Helvetica"/>
          <w:sz w:val="24"/>
          <w:szCs w:val="24"/>
        </w:rPr>
        <w:t>Grade E (Poor): 0</w:t>
      </w:r>
    </w:p>
    <w:p w:rsidR="00847F85" w:rsidRPr="00C3483D" w:rsidRDefault="00141C1D" w:rsidP="00C348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sz w:val="24"/>
          <w:szCs w:val="24"/>
        </w:rPr>
      </w:pPr>
      <w:r w:rsidRPr="00C3483D">
        <w:rPr>
          <w:rFonts w:ascii="Book Antiqua" w:eastAsia="Arial Unicode MS" w:hAnsi="Book Antiqua" w:cs="Arial Unicode MS"/>
          <w:sz w:val="24"/>
          <w:szCs w:val="24"/>
        </w:rPr>
        <w:br w:type="page"/>
      </w:r>
    </w:p>
    <w:p w:rsidR="00847F85" w:rsidRPr="006C3DC1" w:rsidRDefault="0050230B" w:rsidP="006C3DC1">
      <w:pPr>
        <w:spacing w:line="360" w:lineRule="auto"/>
        <w:jc w:val="both"/>
        <w:rPr>
          <w:rFonts w:ascii="Book Antiqua" w:hAnsi="Book Antiqua"/>
          <w:sz w:val="24"/>
          <w:szCs w:val="24"/>
        </w:rPr>
      </w:pPr>
      <w:r>
        <w:rPr>
          <w:rFonts w:ascii="Book Antiqua" w:hAnsi="Book Antiqua"/>
          <w:b/>
          <w:bCs/>
          <w:sz w:val="24"/>
          <w:szCs w:val="24"/>
        </w:rPr>
        <w:lastRenderedPageBreak/>
        <w:t>Figure</w:t>
      </w:r>
      <w:r w:rsidR="00141C1D" w:rsidRPr="006C3DC1">
        <w:rPr>
          <w:rFonts w:ascii="Book Antiqua" w:hAnsi="Book Antiqua"/>
          <w:b/>
          <w:bCs/>
          <w:sz w:val="24"/>
          <w:szCs w:val="24"/>
        </w:rPr>
        <w:t xml:space="preserve"> 1 Platelet count fluctuation of the p</w:t>
      </w:r>
      <w:r w:rsidR="00141C1D" w:rsidRPr="006C3DC1">
        <w:rPr>
          <w:rFonts w:ascii="Book Antiqua" w:hAnsi="Book Antiqua"/>
          <w:noProof/>
          <w:sz w:val="24"/>
          <w:szCs w:val="24"/>
        </w:rPr>
        <w:drawing>
          <wp:anchor distT="152400" distB="152400" distL="152400" distR="152400" simplePos="0" relativeHeight="251659264" behindDoc="0" locked="0" layoutInCell="1" allowOverlap="1" wp14:anchorId="2007B4C1" wp14:editId="62AE0BC1">
            <wp:simplePos x="0" y="0"/>
            <wp:positionH relativeFrom="page">
              <wp:posOffset>1142999</wp:posOffset>
            </wp:positionH>
            <wp:positionV relativeFrom="page">
              <wp:posOffset>914400</wp:posOffset>
            </wp:positionV>
            <wp:extent cx="5270500" cy="270706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igure1.jpg"/>
                    <pic:cNvPicPr>
                      <a:picLocks noChangeAspect="1"/>
                    </pic:cNvPicPr>
                  </pic:nvPicPr>
                  <pic:blipFill>
                    <a:blip r:embed="rId8">
                      <a:extLst/>
                    </a:blip>
                    <a:stretch>
                      <a:fillRect/>
                    </a:stretch>
                  </pic:blipFill>
                  <pic:spPr>
                    <a:xfrm>
                      <a:off x="0" y="0"/>
                      <a:ext cx="5270500" cy="2707064"/>
                    </a:xfrm>
                    <a:prstGeom prst="rect">
                      <a:avLst/>
                    </a:prstGeom>
                    <a:ln w="12700" cap="flat">
                      <a:noFill/>
                      <a:miter lim="400000"/>
                    </a:ln>
                    <a:effectLst/>
                  </pic:spPr>
                </pic:pic>
              </a:graphicData>
            </a:graphic>
          </wp:anchor>
        </w:drawing>
      </w:r>
      <w:r w:rsidR="00141C1D" w:rsidRPr="006C3DC1">
        <w:rPr>
          <w:rFonts w:ascii="Book Antiqua" w:hAnsi="Book Antiqua"/>
          <w:b/>
          <w:bCs/>
          <w:sz w:val="24"/>
          <w:szCs w:val="24"/>
        </w:rPr>
        <w:t xml:space="preserve">atient during hospitalization. </w:t>
      </w:r>
      <w:r w:rsidR="00141C1D" w:rsidRPr="006C3DC1">
        <w:rPr>
          <w:rFonts w:ascii="Book Antiqua" w:hAnsi="Book Antiqua"/>
          <w:sz w:val="24"/>
          <w:szCs w:val="24"/>
        </w:rPr>
        <w:t>PLT</w:t>
      </w:r>
      <w:r>
        <w:rPr>
          <w:rFonts w:ascii="Book Antiqua" w:eastAsiaTheme="minorEastAsia" w:hAnsi="Book Antiqua" w:hint="eastAsia"/>
          <w:sz w:val="24"/>
          <w:szCs w:val="24"/>
        </w:rPr>
        <w:t xml:space="preserve">: </w:t>
      </w:r>
      <w:r w:rsidRPr="006C3DC1">
        <w:rPr>
          <w:rFonts w:ascii="Book Antiqua" w:hAnsi="Book Antiqua"/>
          <w:sz w:val="24"/>
          <w:szCs w:val="24"/>
        </w:rPr>
        <w:t>Platelet</w:t>
      </w:r>
      <w:r w:rsidR="00141C1D" w:rsidRPr="006C3DC1">
        <w:rPr>
          <w:rFonts w:ascii="Book Antiqua" w:hAnsi="Book Antiqua"/>
          <w:sz w:val="24"/>
          <w:szCs w:val="24"/>
        </w:rPr>
        <w:t>.</w:t>
      </w:r>
      <w:r w:rsidR="00141C1D" w:rsidRPr="006C3DC1">
        <w:rPr>
          <w:rFonts w:ascii="Book Antiqua" w:eastAsia="Arial Unicode MS" w:hAnsi="Book Antiqua" w:cs="Arial Unicode MS"/>
          <w:sz w:val="24"/>
          <w:szCs w:val="24"/>
        </w:rPr>
        <w:br w:type="page"/>
      </w:r>
    </w:p>
    <w:p w:rsidR="00847F85" w:rsidRPr="0050230B" w:rsidRDefault="0050230B" w:rsidP="006C3DC1">
      <w:pPr>
        <w:pStyle w:val="Date"/>
        <w:spacing w:line="360" w:lineRule="auto"/>
        <w:ind w:left="0"/>
        <w:rPr>
          <w:rFonts w:ascii="Book Antiqua" w:eastAsia="Times New Roman" w:hAnsi="Book Antiqua" w:cs="Times New Roman"/>
          <w:b/>
          <w:bCs/>
          <w:lang w:val="en-US"/>
        </w:rPr>
      </w:pPr>
      <w:r w:rsidRPr="0050230B">
        <w:rPr>
          <w:rFonts w:ascii="Book Antiqua" w:hAnsi="Book Antiqua"/>
          <w:b/>
          <w:bCs/>
          <w:lang w:val="en-US" w:eastAsia="zh-CN"/>
        </w:rPr>
        <w:lastRenderedPageBreak/>
        <w:t>Table 1</w:t>
      </w:r>
      <w:r w:rsidR="00141C1D" w:rsidRPr="0050230B">
        <w:rPr>
          <w:rFonts w:ascii="Book Antiqua" w:hAnsi="Book Antiqua"/>
          <w:b/>
          <w:bCs/>
          <w:lang w:val="en-US"/>
        </w:rPr>
        <w:t xml:space="preserve"> Cases of </w:t>
      </w:r>
      <w:r w:rsidRPr="0050230B">
        <w:rPr>
          <w:rFonts w:ascii="Book Antiqua" w:hAnsi="Book Antiqua"/>
          <w:b/>
        </w:rPr>
        <w:t>immune thrombocytopenia</w:t>
      </w:r>
      <w:r w:rsidR="00141C1D" w:rsidRPr="0050230B">
        <w:rPr>
          <w:rFonts w:ascii="Book Antiqua" w:hAnsi="Book Antiqua"/>
          <w:b/>
          <w:bCs/>
          <w:lang w:val="en-US"/>
        </w:rPr>
        <w:t xml:space="preserve"> patients suffered with gastric </w:t>
      </w:r>
      <w:r w:rsidR="00141C1D" w:rsidRPr="0050230B">
        <w:rPr>
          <w:rFonts w:ascii="Book Antiqua" w:hAnsi="Book Antiqua"/>
          <w:b/>
          <w:bCs/>
          <w:lang w:val="en-US" w:eastAsia="zh-CN"/>
        </w:rPr>
        <w:t>malignant tumor</w:t>
      </w:r>
      <w:r w:rsidR="00141C1D" w:rsidRPr="0050230B">
        <w:rPr>
          <w:rFonts w:ascii="Book Antiqua" w:hAnsi="Book Antiqua"/>
          <w:b/>
          <w:bCs/>
          <w:lang w:val="en-US"/>
        </w:rPr>
        <w:t>s</w:t>
      </w:r>
    </w:p>
    <w:tbl>
      <w:tblPr>
        <w:tblStyle w:val="TableNormal1"/>
        <w:tblW w:w="9357"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560"/>
        <w:gridCol w:w="1276"/>
        <w:gridCol w:w="2126"/>
        <w:gridCol w:w="1105"/>
        <w:gridCol w:w="1592"/>
        <w:gridCol w:w="1698"/>
      </w:tblGrid>
      <w:tr w:rsidR="00847F85" w:rsidRPr="006C3DC1" w:rsidTr="00A41492">
        <w:trPr>
          <w:trHeight w:val="722"/>
          <w:tblHeader/>
        </w:trPr>
        <w:tc>
          <w:tcPr>
            <w:tcW w:w="15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47F85" w:rsidRPr="006C3DC1" w:rsidRDefault="0050230B" w:rsidP="006C3DC1">
            <w:pPr>
              <w:pStyle w:val="1"/>
              <w:spacing w:line="360" w:lineRule="auto"/>
              <w:jc w:val="both"/>
              <w:rPr>
                <w:rFonts w:ascii="Book Antiqua" w:hAnsi="Book Antiqua"/>
                <w:sz w:val="24"/>
                <w:szCs w:val="24"/>
              </w:rPr>
            </w:pPr>
            <w:r>
              <w:rPr>
                <w:rFonts w:ascii="Book Antiqua" w:eastAsia="Arial Unicode MS" w:hAnsi="Book Antiqua" w:cs="Arial Unicode MS" w:hint="eastAsia"/>
                <w:sz w:val="24"/>
                <w:szCs w:val="24"/>
              </w:rPr>
              <w:t>R</w:t>
            </w:r>
            <w:r>
              <w:rPr>
                <w:rFonts w:ascii="Book Antiqua" w:eastAsia="Arial Unicode MS" w:hAnsi="Book Antiqua" w:cs="Arial Unicode MS"/>
                <w:sz w:val="24"/>
                <w:szCs w:val="24"/>
              </w:rPr>
              <w:t>ef.</w:t>
            </w:r>
          </w:p>
        </w:tc>
        <w:tc>
          <w:tcPr>
            <w:tcW w:w="127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47F85" w:rsidRPr="006C3DC1" w:rsidRDefault="00141C1D" w:rsidP="006C3DC1">
            <w:pPr>
              <w:pStyle w:val="1"/>
              <w:spacing w:line="360" w:lineRule="auto"/>
              <w:jc w:val="both"/>
              <w:rPr>
                <w:rFonts w:ascii="Book Antiqua" w:hAnsi="Book Antiqua"/>
                <w:sz w:val="24"/>
                <w:szCs w:val="24"/>
              </w:rPr>
            </w:pPr>
            <w:r w:rsidRPr="006C3DC1">
              <w:rPr>
                <w:rFonts w:ascii="Book Antiqua" w:eastAsia="Arial Unicode MS" w:hAnsi="Book Antiqua" w:cs="Arial Unicode MS"/>
                <w:sz w:val="24"/>
                <w:szCs w:val="24"/>
              </w:rPr>
              <w:t>PLT level</w:t>
            </w:r>
          </w:p>
          <w:p w:rsidR="00847F85" w:rsidRPr="006C3DC1" w:rsidRDefault="00141C1D" w:rsidP="006C3DC1">
            <w:pPr>
              <w:pStyle w:val="1"/>
              <w:spacing w:line="360" w:lineRule="auto"/>
              <w:jc w:val="both"/>
              <w:rPr>
                <w:rFonts w:ascii="Book Antiqua" w:hAnsi="Book Antiqua"/>
                <w:sz w:val="24"/>
                <w:szCs w:val="24"/>
              </w:rPr>
            </w:pPr>
            <w:r w:rsidRPr="006C3DC1">
              <w:rPr>
                <w:rFonts w:ascii="Book Antiqua" w:eastAsia="Arial Unicode MS" w:hAnsi="Book Antiqua" w:cs="Arial Unicode MS"/>
                <w:sz w:val="24"/>
                <w:szCs w:val="24"/>
              </w:rPr>
              <w:t>(/</w:t>
            </w:r>
            <w:proofErr w:type="spellStart"/>
            <w:r w:rsidRPr="006C3DC1">
              <w:rPr>
                <w:rFonts w:ascii="Book Antiqua" w:hAnsi="Book Antiqua"/>
                <w:sz w:val="24"/>
                <w:szCs w:val="24"/>
              </w:rPr>
              <w:t>μ</w:t>
            </w:r>
            <w:r w:rsidRPr="006C3DC1">
              <w:rPr>
                <w:rFonts w:ascii="Book Antiqua" w:eastAsia="Arial Unicode MS" w:hAnsi="Book Antiqua" w:cs="Arial Unicode MS"/>
                <w:sz w:val="24"/>
                <w:szCs w:val="24"/>
              </w:rPr>
              <w:t>L</w:t>
            </w:r>
            <w:proofErr w:type="spellEnd"/>
            <w:r w:rsidRPr="006C3DC1">
              <w:rPr>
                <w:rFonts w:ascii="Book Antiqua" w:eastAsia="Arial Unicode MS" w:hAnsi="Book Antiqua" w:cs="Arial Unicode MS"/>
                <w:sz w:val="24"/>
                <w:szCs w:val="24"/>
              </w:rPr>
              <w:t>)</w:t>
            </w:r>
          </w:p>
        </w:tc>
        <w:tc>
          <w:tcPr>
            <w:tcW w:w="212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47F85" w:rsidRPr="006C3DC1" w:rsidRDefault="00141C1D" w:rsidP="006C3DC1">
            <w:pPr>
              <w:pStyle w:val="1"/>
              <w:spacing w:line="360" w:lineRule="auto"/>
              <w:jc w:val="both"/>
              <w:rPr>
                <w:rFonts w:ascii="Book Antiqua" w:hAnsi="Book Antiqua"/>
                <w:sz w:val="24"/>
                <w:szCs w:val="24"/>
              </w:rPr>
            </w:pPr>
            <w:r w:rsidRPr="006C3DC1">
              <w:rPr>
                <w:rFonts w:ascii="Book Antiqua" w:eastAsia="Arial Unicode MS" w:hAnsi="Book Antiqua" w:cs="Arial Unicode MS"/>
                <w:sz w:val="24"/>
                <w:szCs w:val="24"/>
              </w:rPr>
              <w:t xml:space="preserve">Gastric </w:t>
            </w:r>
            <w:r w:rsidR="0050230B" w:rsidRPr="006C3DC1">
              <w:rPr>
                <w:rFonts w:ascii="Book Antiqua" w:eastAsia="Arial Unicode MS" w:hAnsi="Book Antiqua" w:cs="Arial Unicode MS"/>
                <w:sz w:val="24"/>
                <w:szCs w:val="24"/>
              </w:rPr>
              <w:t>t</w:t>
            </w:r>
            <w:r w:rsidRPr="006C3DC1">
              <w:rPr>
                <w:rFonts w:ascii="Book Antiqua" w:eastAsia="Arial Unicode MS" w:hAnsi="Book Antiqua" w:cs="Arial Unicode MS"/>
                <w:sz w:val="24"/>
                <w:szCs w:val="24"/>
              </w:rPr>
              <w:t>umor</w:t>
            </w:r>
          </w:p>
        </w:tc>
        <w:tc>
          <w:tcPr>
            <w:tcW w:w="110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47F85" w:rsidRPr="006C3DC1" w:rsidRDefault="0050230B" w:rsidP="006C3DC1">
            <w:pPr>
              <w:pStyle w:val="1"/>
              <w:spacing w:line="360" w:lineRule="auto"/>
              <w:jc w:val="both"/>
              <w:rPr>
                <w:rFonts w:ascii="Book Antiqua" w:hAnsi="Book Antiqua"/>
                <w:sz w:val="24"/>
                <w:szCs w:val="24"/>
              </w:rPr>
            </w:pPr>
            <w:r w:rsidRPr="0050230B">
              <w:rPr>
                <w:rFonts w:ascii="Book Antiqua" w:hAnsi="Book Antiqua"/>
                <w:i/>
                <w:sz w:val="24"/>
                <w:szCs w:val="24"/>
              </w:rPr>
              <w:t>H</w:t>
            </w:r>
            <w:r w:rsidRPr="0050230B">
              <w:rPr>
                <w:rFonts w:ascii="Book Antiqua" w:eastAsiaTheme="minorEastAsia" w:hAnsi="Book Antiqua" w:hint="eastAsia"/>
                <w:i/>
                <w:sz w:val="24"/>
                <w:szCs w:val="24"/>
              </w:rPr>
              <w:t>.</w:t>
            </w:r>
            <w:r>
              <w:rPr>
                <w:rFonts w:ascii="Book Antiqua" w:eastAsiaTheme="minorEastAsia" w:hAnsi="Book Antiqua" w:hint="eastAsia"/>
                <w:sz w:val="24"/>
                <w:szCs w:val="24"/>
              </w:rPr>
              <w:t xml:space="preserve"> </w:t>
            </w:r>
            <w:r w:rsidRPr="006C3DC1">
              <w:rPr>
                <w:rFonts w:ascii="Book Antiqua" w:hAnsi="Book Antiqua"/>
                <w:i/>
                <w:iCs/>
                <w:sz w:val="24"/>
                <w:szCs w:val="24"/>
              </w:rPr>
              <w:t>pylori</w:t>
            </w:r>
          </w:p>
        </w:tc>
        <w:tc>
          <w:tcPr>
            <w:tcW w:w="159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47F85" w:rsidRPr="006C3DC1" w:rsidRDefault="00141C1D" w:rsidP="006C3DC1">
            <w:pPr>
              <w:pStyle w:val="1"/>
              <w:spacing w:line="360" w:lineRule="auto"/>
              <w:jc w:val="both"/>
              <w:rPr>
                <w:rFonts w:ascii="Book Antiqua" w:hAnsi="Book Antiqua"/>
                <w:sz w:val="24"/>
                <w:szCs w:val="24"/>
              </w:rPr>
            </w:pPr>
            <w:r w:rsidRPr="006C3DC1">
              <w:rPr>
                <w:rFonts w:ascii="Book Antiqua" w:eastAsia="Arial Unicode MS" w:hAnsi="Book Antiqua" w:cs="Arial Unicode MS"/>
                <w:sz w:val="24"/>
                <w:szCs w:val="24"/>
              </w:rPr>
              <w:t xml:space="preserve">Treatment of </w:t>
            </w:r>
            <w:r w:rsidR="0050230B" w:rsidRPr="006C3DC1">
              <w:rPr>
                <w:rFonts w:ascii="Book Antiqua" w:eastAsia="Arial Unicode MS" w:hAnsi="Book Antiqua" w:cs="Arial Unicode MS"/>
                <w:sz w:val="24"/>
                <w:szCs w:val="24"/>
              </w:rPr>
              <w:t>g</w:t>
            </w:r>
            <w:r w:rsidRPr="006C3DC1">
              <w:rPr>
                <w:rFonts w:ascii="Book Antiqua" w:eastAsia="Arial Unicode MS" w:hAnsi="Book Antiqua" w:cs="Arial Unicode MS"/>
                <w:sz w:val="24"/>
                <w:szCs w:val="24"/>
              </w:rPr>
              <w:t>astric tumor</w:t>
            </w:r>
          </w:p>
        </w:tc>
        <w:tc>
          <w:tcPr>
            <w:tcW w:w="169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47F85" w:rsidRPr="006C3DC1" w:rsidRDefault="00141C1D" w:rsidP="006C3DC1">
            <w:pPr>
              <w:pStyle w:val="1"/>
              <w:spacing w:line="360" w:lineRule="auto"/>
              <w:jc w:val="both"/>
              <w:rPr>
                <w:rFonts w:ascii="Book Antiqua" w:hAnsi="Book Antiqua"/>
                <w:sz w:val="24"/>
                <w:szCs w:val="24"/>
              </w:rPr>
            </w:pPr>
            <w:r w:rsidRPr="006C3DC1">
              <w:rPr>
                <w:rFonts w:ascii="Book Antiqua" w:eastAsia="Arial Unicode MS" w:hAnsi="Book Antiqua" w:cs="Arial Unicode MS"/>
                <w:sz w:val="24"/>
                <w:szCs w:val="24"/>
              </w:rPr>
              <w:t xml:space="preserve">Prognosis of </w:t>
            </w:r>
            <w:r w:rsidR="0050230B" w:rsidRPr="006C3DC1">
              <w:rPr>
                <w:rFonts w:ascii="Book Antiqua" w:eastAsia="Arial Unicode MS" w:hAnsi="Book Antiqua" w:cs="Arial Unicode MS"/>
                <w:sz w:val="24"/>
                <w:szCs w:val="24"/>
              </w:rPr>
              <w:t>gastric t</w:t>
            </w:r>
            <w:r w:rsidRPr="006C3DC1">
              <w:rPr>
                <w:rFonts w:ascii="Book Antiqua" w:eastAsia="Arial Unicode MS" w:hAnsi="Book Antiqua" w:cs="Arial Unicode MS"/>
                <w:sz w:val="24"/>
                <w:szCs w:val="24"/>
              </w:rPr>
              <w:t>umor</w:t>
            </w:r>
          </w:p>
        </w:tc>
      </w:tr>
      <w:tr w:rsidR="00847F85" w:rsidRPr="006C3DC1" w:rsidTr="00A41492">
        <w:tblPrEx>
          <w:shd w:val="clear" w:color="auto" w:fill="auto"/>
        </w:tblPrEx>
        <w:trPr>
          <w:trHeight w:val="722"/>
        </w:trPr>
        <w:tc>
          <w:tcPr>
            <w:tcW w:w="1560" w:type="dxa"/>
            <w:tcBorders>
              <w:top w:val="single" w:sz="4"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proofErr w:type="spellStart"/>
            <w:r w:rsidRPr="006C3DC1">
              <w:rPr>
                <w:rFonts w:ascii="Book Antiqua" w:hAnsi="Book Antiqua"/>
                <w:sz w:val="24"/>
                <w:szCs w:val="24"/>
              </w:rPr>
              <w:t>Bachmeyer</w:t>
            </w:r>
            <w:proofErr w:type="spellEnd"/>
            <w:r w:rsidRPr="006C3DC1">
              <w:rPr>
                <w:rFonts w:ascii="Book Antiqua" w:hAnsi="Book Antiqua"/>
                <w:sz w:val="24"/>
                <w:szCs w:val="24"/>
              </w:rPr>
              <w:t>, 2000</w:t>
            </w:r>
            <w:r w:rsidRPr="0050230B">
              <w:rPr>
                <w:rFonts w:ascii="Book Antiqua" w:hAnsi="Book Antiqua"/>
                <w:sz w:val="24"/>
                <w:szCs w:val="24"/>
                <w:vertAlign w:val="superscript"/>
              </w:rPr>
              <w:t>[6]</w:t>
            </w:r>
          </w:p>
        </w:tc>
        <w:tc>
          <w:tcPr>
            <w:tcW w:w="1276" w:type="dxa"/>
            <w:tcBorders>
              <w:top w:val="single" w:sz="4"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40000</w:t>
            </w:r>
          </w:p>
        </w:tc>
        <w:tc>
          <w:tcPr>
            <w:tcW w:w="2126" w:type="dxa"/>
            <w:tcBorders>
              <w:top w:val="single" w:sz="4"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Gastric MALT lymphoma</w:t>
            </w:r>
          </w:p>
        </w:tc>
        <w:tc>
          <w:tcPr>
            <w:tcW w:w="1105" w:type="dxa"/>
            <w:tcBorders>
              <w:top w:val="single" w:sz="4"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Positive</w:t>
            </w:r>
          </w:p>
        </w:tc>
        <w:tc>
          <w:tcPr>
            <w:tcW w:w="1592" w:type="dxa"/>
            <w:tcBorders>
              <w:top w:val="single" w:sz="4"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 w:val="left" w:pos="1440"/>
              </w:tabs>
              <w:spacing w:line="360" w:lineRule="auto"/>
              <w:jc w:val="both"/>
              <w:rPr>
                <w:rFonts w:ascii="Book Antiqua" w:hAnsi="Book Antiqua"/>
                <w:sz w:val="24"/>
                <w:szCs w:val="24"/>
              </w:rPr>
            </w:pPr>
            <w:r w:rsidRPr="006C3DC1">
              <w:rPr>
                <w:rFonts w:ascii="Book Antiqua" w:hAnsi="Book Antiqua"/>
                <w:sz w:val="24"/>
                <w:szCs w:val="24"/>
              </w:rPr>
              <w:t>Chemotherapy</w:t>
            </w:r>
          </w:p>
        </w:tc>
        <w:tc>
          <w:tcPr>
            <w:tcW w:w="1698" w:type="dxa"/>
            <w:tcBorders>
              <w:top w:val="single" w:sz="4"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w:t>
            </w:r>
          </w:p>
        </w:tc>
      </w:tr>
      <w:tr w:rsidR="00847F85" w:rsidRPr="006C3DC1" w:rsidTr="00A41492">
        <w:tblPrEx>
          <w:shd w:val="clear" w:color="auto" w:fill="auto"/>
        </w:tblPrEx>
        <w:trPr>
          <w:trHeight w:val="719"/>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Noda, 2004</w:t>
            </w:r>
            <w:r w:rsidRPr="0050230B">
              <w:rPr>
                <w:rFonts w:ascii="Book Antiqua" w:hAnsi="Book Antiqua"/>
                <w:sz w:val="24"/>
                <w:szCs w:val="24"/>
                <w:vertAlign w:val="superscript"/>
              </w:rPr>
              <w:t>[7]</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27000</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Gastric MALT lymphoma</w:t>
            </w:r>
          </w:p>
        </w:tc>
        <w:tc>
          <w:tcPr>
            <w:tcW w:w="1105"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Positive</w:t>
            </w:r>
          </w:p>
        </w:tc>
        <w:tc>
          <w:tcPr>
            <w:tcW w:w="1592"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 w:val="left" w:pos="1440"/>
              </w:tabs>
              <w:spacing w:line="360" w:lineRule="auto"/>
              <w:jc w:val="both"/>
              <w:rPr>
                <w:rFonts w:ascii="Book Antiqua" w:hAnsi="Book Antiqua"/>
                <w:sz w:val="24"/>
                <w:szCs w:val="24"/>
              </w:rPr>
            </w:pPr>
            <w:r w:rsidRPr="006C3DC1">
              <w:rPr>
                <w:rFonts w:ascii="Book Antiqua" w:hAnsi="Book Antiqua"/>
                <w:sz w:val="24"/>
                <w:szCs w:val="24"/>
              </w:rPr>
              <w:t>Endoscopic mucosal resection</w:t>
            </w:r>
          </w:p>
        </w:tc>
        <w:tc>
          <w:tcPr>
            <w:tcW w:w="1698"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A5720" w:rsidRDefault="006A5720" w:rsidP="006C3DC1">
            <w:pPr>
              <w:pStyle w:val="2"/>
              <w:tabs>
                <w:tab w:val="left" w:pos="720"/>
              </w:tabs>
              <w:spacing w:line="360" w:lineRule="auto"/>
              <w:jc w:val="both"/>
              <w:rPr>
                <w:rFonts w:ascii="Book Antiqua" w:eastAsiaTheme="minorEastAsia" w:hAnsi="Book Antiqua"/>
                <w:sz w:val="24"/>
                <w:szCs w:val="24"/>
              </w:rPr>
            </w:pPr>
            <w:r>
              <w:rPr>
                <w:rFonts w:ascii="Book Antiqua" w:hAnsi="Book Antiqua"/>
                <w:sz w:val="24"/>
                <w:szCs w:val="24"/>
              </w:rPr>
              <w:t xml:space="preserve">Without recurrence in 2 </w:t>
            </w:r>
            <w:proofErr w:type="spellStart"/>
            <w:r>
              <w:rPr>
                <w:rFonts w:ascii="Book Antiqua" w:hAnsi="Book Antiqua"/>
                <w:sz w:val="24"/>
                <w:szCs w:val="24"/>
              </w:rPr>
              <w:t>yr</w:t>
            </w:r>
            <w:proofErr w:type="spellEnd"/>
          </w:p>
        </w:tc>
      </w:tr>
      <w:tr w:rsidR="00847F85" w:rsidRPr="006C3DC1" w:rsidTr="00A41492">
        <w:tblPrEx>
          <w:shd w:val="clear" w:color="auto" w:fill="auto"/>
        </w:tblPrEx>
        <w:trPr>
          <w:trHeight w:val="959"/>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proofErr w:type="spellStart"/>
            <w:r w:rsidRPr="006C3DC1">
              <w:rPr>
                <w:rFonts w:ascii="Book Antiqua" w:hAnsi="Book Antiqua"/>
                <w:sz w:val="24"/>
                <w:szCs w:val="24"/>
              </w:rPr>
              <w:t>Wakata</w:t>
            </w:r>
            <w:proofErr w:type="spellEnd"/>
            <w:r w:rsidRPr="006C3DC1">
              <w:rPr>
                <w:rFonts w:ascii="Book Antiqua" w:hAnsi="Book Antiqua"/>
                <w:sz w:val="24"/>
                <w:szCs w:val="24"/>
              </w:rPr>
              <w:t>, 2006</w:t>
            </w:r>
            <w:r w:rsidRPr="0050230B">
              <w:rPr>
                <w:rFonts w:ascii="Book Antiqua" w:hAnsi="Book Antiqua"/>
                <w:sz w:val="24"/>
                <w:szCs w:val="24"/>
                <w:vertAlign w:val="superscript"/>
              </w:rPr>
              <w:t>[8]</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73000-10800</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Gastric cancer</w:t>
            </w:r>
          </w:p>
        </w:tc>
        <w:tc>
          <w:tcPr>
            <w:tcW w:w="1105"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w:t>
            </w:r>
          </w:p>
        </w:tc>
        <w:tc>
          <w:tcPr>
            <w:tcW w:w="1592"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 w:val="left" w:pos="1440"/>
              </w:tabs>
              <w:spacing w:line="360" w:lineRule="auto"/>
              <w:jc w:val="both"/>
              <w:rPr>
                <w:rFonts w:ascii="Book Antiqua" w:hAnsi="Book Antiqua"/>
                <w:sz w:val="24"/>
                <w:szCs w:val="24"/>
              </w:rPr>
            </w:pPr>
            <w:r w:rsidRPr="006C3DC1">
              <w:rPr>
                <w:rFonts w:ascii="Book Antiqua" w:hAnsi="Book Antiqua"/>
                <w:sz w:val="24"/>
                <w:szCs w:val="24"/>
              </w:rPr>
              <w:t>Subtotal gastrectomy and splenectomy</w:t>
            </w:r>
          </w:p>
        </w:tc>
        <w:tc>
          <w:tcPr>
            <w:tcW w:w="1698"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A5720" w:rsidRDefault="006A5720" w:rsidP="006C3DC1">
            <w:pPr>
              <w:pStyle w:val="2"/>
              <w:tabs>
                <w:tab w:val="left" w:pos="720"/>
              </w:tabs>
              <w:spacing w:line="360" w:lineRule="auto"/>
              <w:jc w:val="both"/>
              <w:rPr>
                <w:rFonts w:ascii="Book Antiqua" w:eastAsiaTheme="minorEastAsia" w:hAnsi="Book Antiqua"/>
                <w:sz w:val="24"/>
                <w:szCs w:val="24"/>
              </w:rPr>
            </w:pPr>
            <w:r>
              <w:rPr>
                <w:rFonts w:ascii="Book Antiqua" w:hAnsi="Book Antiqua"/>
                <w:sz w:val="24"/>
                <w:szCs w:val="24"/>
              </w:rPr>
              <w:t xml:space="preserve">Without recurrence in 2 </w:t>
            </w:r>
            <w:proofErr w:type="spellStart"/>
            <w:r>
              <w:rPr>
                <w:rFonts w:ascii="Book Antiqua" w:hAnsi="Book Antiqua"/>
                <w:sz w:val="24"/>
                <w:szCs w:val="24"/>
              </w:rPr>
              <w:t>yr</w:t>
            </w:r>
            <w:proofErr w:type="spellEnd"/>
          </w:p>
        </w:tc>
      </w:tr>
      <w:tr w:rsidR="00847F85" w:rsidRPr="006C3DC1" w:rsidTr="00A41492">
        <w:tblPrEx>
          <w:shd w:val="clear" w:color="auto" w:fill="auto"/>
        </w:tblPrEx>
        <w:trPr>
          <w:trHeight w:val="959"/>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proofErr w:type="spellStart"/>
            <w:r w:rsidRPr="006C3DC1">
              <w:rPr>
                <w:rFonts w:ascii="Book Antiqua" w:hAnsi="Book Antiqua"/>
                <w:sz w:val="24"/>
                <w:szCs w:val="24"/>
              </w:rPr>
              <w:t>Villias</w:t>
            </w:r>
            <w:proofErr w:type="spellEnd"/>
            <w:r w:rsidRPr="006C3DC1">
              <w:rPr>
                <w:rFonts w:ascii="Book Antiqua" w:hAnsi="Book Antiqua"/>
                <w:sz w:val="24"/>
                <w:szCs w:val="24"/>
              </w:rPr>
              <w:t>, 2008</w:t>
            </w:r>
            <w:r w:rsidRPr="0050230B">
              <w:rPr>
                <w:rFonts w:ascii="Book Antiqua" w:hAnsi="Book Antiqua"/>
                <w:sz w:val="24"/>
                <w:szCs w:val="24"/>
                <w:vertAlign w:val="superscript"/>
              </w:rPr>
              <w:t>[9]</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76000</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Gastric cancer and GIST</w:t>
            </w:r>
          </w:p>
        </w:tc>
        <w:tc>
          <w:tcPr>
            <w:tcW w:w="1105"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w:t>
            </w:r>
          </w:p>
        </w:tc>
        <w:tc>
          <w:tcPr>
            <w:tcW w:w="1592"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 w:val="left" w:pos="1440"/>
              </w:tabs>
              <w:spacing w:line="360" w:lineRule="auto"/>
              <w:jc w:val="both"/>
              <w:rPr>
                <w:rFonts w:ascii="Book Antiqua" w:hAnsi="Book Antiqua"/>
                <w:sz w:val="24"/>
                <w:szCs w:val="24"/>
              </w:rPr>
            </w:pPr>
            <w:r w:rsidRPr="006C3DC1">
              <w:rPr>
                <w:rFonts w:ascii="Book Antiqua" w:hAnsi="Book Antiqua"/>
                <w:sz w:val="24"/>
                <w:szCs w:val="24"/>
              </w:rPr>
              <w:t>Subtotal gastrectomy and splenectomy</w:t>
            </w:r>
          </w:p>
        </w:tc>
        <w:tc>
          <w:tcPr>
            <w:tcW w:w="1698"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w:t>
            </w:r>
          </w:p>
        </w:tc>
      </w:tr>
      <w:tr w:rsidR="00847F85" w:rsidRPr="006C3DC1" w:rsidTr="00A41492">
        <w:tblPrEx>
          <w:shd w:val="clear" w:color="auto" w:fill="auto"/>
        </w:tblPrEx>
        <w:trPr>
          <w:trHeight w:val="959"/>
        </w:trPr>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proofErr w:type="spellStart"/>
            <w:r w:rsidRPr="006C3DC1">
              <w:rPr>
                <w:rFonts w:ascii="Book Antiqua" w:hAnsi="Book Antiqua"/>
                <w:sz w:val="24"/>
                <w:szCs w:val="24"/>
              </w:rPr>
              <w:t>Hamabe</w:t>
            </w:r>
            <w:proofErr w:type="spellEnd"/>
            <w:r w:rsidRPr="006C3DC1">
              <w:rPr>
                <w:rFonts w:ascii="Book Antiqua" w:hAnsi="Book Antiqua"/>
                <w:sz w:val="24"/>
                <w:szCs w:val="24"/>
              </w:rPr>
              <w:t>, 2011</w:t>
            </w:r>
            <w:r w:rsidRPr="0050230B">
              <w:rPr>
                <w:rFonts w:ascii="Book Antiqua" w:hAnsi="Book Antiqua"/>
                <w:sz w:val="24"/>
                <w:szCs w:val="24"/>
                <w:vertAlign w:val="superscript"/>
              </w:rPr>
              <w:t>[10]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52000</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Gastric cancer and gastric MALT lymphoma</w:t>
            </w:r>
          </w:p>
        </w:tc>
        <w:tc>
          <w:tcPr>
            <w:tcW w:w="1105"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s>
              <w:spacing w:line="360" w:lineRule="auto"/>
              <w:jc w:val="both"/>
              <w:rPr>
                <w:rFonts w:ascii="Book Antiqua" w:hAnsi="Book Antiqua"/>
                <w:sz w:val="24"/>
                <w:szCs w:val="24"/>
              </w:rPr>
            </w:pPr>
            <w:r w:rsidRPr="006C3DC1">
              <w:rPr>
                <w:rFonts w:ascii="Book Antiqua" w:hAnsi="Book Antiqua"/>
                <w:sz w:val="24"/>
                <w:szCs w:val="24"/>
              </w:rPr>
              <w:t>Positive</w:t>
            </w:r>
          </w:p>
        </w:tc>
        <w:tc>
          <w:tcPr>
            <w:tcW w:w="1592"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C3DC1" w:rsidRDefault="00141C1D" w:rsidP="006C3DC1">
            <w:pPr>
              <w:pStyle w:val="2"/>
              <w:tabs>
                <w:tab w:val="left" w:pos="720"/>
                <w:tab w:val="left" w:pos="1440"/>
              </w:tabs>
              <w:spacing w:line="360" w:lineRule="auto"/>
              <w:jc w:val="both"/>
              <w:rPr>
                <w:rFonts w:ascii="Book Antiqua" w:hAnsi="Book Antiqua"/>
                <w:sz w:val="24"/>
                <w:szCs w:val="24"/>
              </w:rPr>
            </w:pPr>
            <w:r w:rsidRPr="006C3DC1">
              <w:rPr>
                <w:rFonts w:ascii="Book Antiqua" w:hAnsi="Book Antiqua"/>
                <w:sz w:val="24"/>
                <w:szCs w:val="24"/>
              </w:rPr>
              <w:t>Total gastrectomy and splenectomy</w:t>
            </w:r>
          </w:p>
        </w:tc>
        <w:tc>
          <w:tcPr>
            <w:tcW w:w="1698"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rsidR="00847F85" w:rsidRPr="006A5720" w:rsidRDefault="006A5720" w:rsidP="006C3DC1">
            <w:pPr>
              <w:pStyle w:val="2"/>
              <w:tabs>
                <w:tab w:val="left" w:pos="720"/>
              </w:tabs>
              <w:spacing w:line="360" w:lineRule="auto"/>
              <w:jc w:val="both"/>
              <w:rPr>
                <w:rFonts w:ascii="Book Antiqua" w:eastAsiaTheme="minorEastAsia" w:hAnsi="Book Antiqua"/>
                <w:sz w:val="24"/>
                <w:szCs w:val="24"/>
              </w:rPr>
            </w:pPr>
            <w:r>
              <w:rPr>
                <w:rFonts w:ascii="Book Antiqua" w:hAnsi="Book Antiqua"/>
                <w:sz w:val="24"/>
                <w:szCs w:val="24"/>
              </w:rPr>
              <w:t xml:space="preserve">Without recurrence in 2 </w:t>
            </w:r>
            <w:proofErr w:type="spellStart"/>
            <w:r>
              <w:rPr>
                <w:rFonts w:ascii="Book Antiqua" w:hAnsi="Book Antiqua"/>
                <w:sz w:val="24"/>
                <w:szCs w:val="24"/>
              </w:rPr>
              <w:t>yr</w:t>
            </w:r>
            <w:proofErr w:type="spellEnd"/>
          </w:p>
        </w:tc>
      </w:tr>
    </w:tbl>
    <w:p w:rsidR="00847F85" w:rsidRPr="006C3DC1" w:rsidRDefault="00847F85" w:rsidP="006C3DC1">
      <w:pPr>
        <w:spacing w:line="360" w:lineRule="auto"/>
        <w:jc w:val="both"/>
        <w:rPr>
          <w:rFonts w:ascii="Book Antiqua" w:eastAsia="Times New Roman" w:hAnsi="Book Antiqua" w:cs="Times New Roman"/>
          <w:sz w:val="24"/>
          <w:szCs w:val="24"/>
        </w:rPr>
      </w:pPr>
    </w:p>
    <w:p w:rsidR="00847F85" w:rsidRPr="006A5720" w:rsidRDefault="00141C1D" w:rsidP="006C3DC1">
      <w:pPr>
        <w:spacing w:line="360" w:lineRule="auto"/>
        <w:jc w:val="both"/>
        <w:rPr>
          <w:rFonts w:ascii="Book Antiqua" w:eastAsiaTheme="minorEastAsia" w:hAnsi="Book Antiqua"/>
          <w:sz w:val="24"/>
          <w:szCs w:val="24"/>
        </w:rPr>
      </w:pPr>
      <w:r w:rsidRPr="006C3DC1">
        <w:rPr>
          <w:rFonts w:ascii="Book Antiqua" w:hAnsi="Book Antiqua"/>
          <w:sz w:val="24"/>
          <w:szCs w:val="24"/>
        </w:rPr>
        <w:t>MALT</w:t>
      </w:r>
      <w:r w:rsidR="006A5720">
        <w:rPr>
          <w:rFonts w:ascii="Book Antiqua" w:eastAsiaTheme="minorEastAsia" w:hAnsi="Book Antiqua" w:hint="eastAsia"/>
          <w:sz w:val="24"/>
          <w:szCs w:val="24"/>
        </w:rPr>
        <w:t xml:space="preserve">: </w:t>
      </w:r>
      <w:r w:rsidR="006A5720" w:rsidRPr="006C3DC1">
        <w:rPr>
          <w:rFonts w:ascii="Book Antiqua" w:hAnsi="Book Antiqua"/>
          <w:sz w:val="24"/>
          <w:szCs w:val="24"/>
        </w:rPr>
        <w:t xml:space="preserve">Mucosal </w:t>
      </w:r>
      <w:r w:rsidRPr="006C3DC1">
        <w:rPr>
          <w:rFonts w:ascii="Book Antiqua" w:hAnsi="Book Antiqua"/>
          <w:sz w:val="24"/>
          <w:szCs w:val="24"/>
        </w:rPr>
        <w:t>associated lymphoid tissue</w:t>
      </w:r>
      <w:r w:rsidR="006A5720">
        <w:rPr>
          <w:rFonts w:ascii="Book Antiqua" w:eastAsiaTheme="minorEastAsia" w:hAnsi="Book Antiqua" w:hint="eastAsia"/>
          <w:sz w:val="24"/>
          <w:szCs w:val="24"/>
        </w:rPr>
        <w:t>;</w:t>
      </w:r>
      <w:r w:rsidRPr="006C3DC1">
        <w:rPr>
          <w:rFonts w:ascii="Book Antiqua" w:hAnsi="Book Antiqua"/>
          <w:sz w:val="24"/>
          <w:szCs w:val="24"/>
        </w:rPr>
        <w:t xml:space="preserve"> </w:t>
      </w:r>
      <w:r w:rsidR="0050230B" w:rsidRPr="0050230B">
        <w:rPr>
          <w:rFonts w:ascii="Book Antiqua" w:hAnsi="Book Antiqua"/>
          <w:i/>
          <w:sz w:val="24"/>
          <w:szCs w:val="24"/>
        </w:rPr>
        <w:t>H</w:t>
      </w:r>
      <w:r w:rsidR="0050230B" w:rsidRPr="0050230B">
        <w:rPr>
          <w:rFonts w:ascii="Book Antiqua" w:eastAsiaTheme="minorEastAsia" w:hAnsi="Book Antiqua" w:hint="eastAsia"/>
          <w:i/>
          <w:sz w:val="24"/>
          <w:szCs w:val="24"/>
        </w:rPr>
        <w:t>.</w:t>
      </w:r>
      <w:r w:rsidR="0050230B">
        <w:rPr>
          <w:rFonts w:ascii="Book Antiqua" w:eastAsiaTheme="minorEastAsia" w:hAnsi="Book Antiqua" w:hint="eastAsia"/>
          <w:sz w:val="24"/>
          <w:szCs w:val="24"/>
        </w:rPr>
        <w:t xml:space="preserve"> </w:t>
      </w:r>
      <w:r w:rsidR="0050230B" w:rsidRPr="006C3DC1">
        <w:rPr>
          <w:rFonts w:ascii="Book Antiqua" w:hAnsi="Book Antiqua"/>
          <w:i/>
          <w:iCs/>
          <w:sz w:val="24"/>
          <w:szCs w:val="24"/>
        </w:rPr>
        <w:t>pylori</w:t>
      </w:r>
      <w:r w:rsidR="006A5720">
        <w:rPr>
          <w:rFonts w:ascii="Book Antiqua" w:eastAsiaTheme="minorEastAsia" w:hAnsi="Book Antiqua" w:hint="eastAsia"/>
          <w:iCs/>
          <w:sz w:val="24"/>
          <w:szCs w:val="24"/>
        </w:rPr>
        <w:t>:</w:t>
      </w:r>
      <w:r w:rsidR="006A5720" w:rsidRPr="006A5720">
        <w:rPr>
          <w:rFonts w:ascii="Book Antiqua" w:hAnsi="Book Antiqua"/>
          <w:i/>
          <w:iCs/>
          <w:sz w:val="24"/>
          <w:szCs w:val="24"/>
        </w:rPr>
        <w:t xml:space="preserve"> </w:t>
      </w:r>
      <w:r w:rsidR="006A5720" w:rsidRPr="006C3DC1">
        <w:rPr>
          <w:rFonts w:ascii="Book Antiqua" w:hAnsi="Book Antiqua"/>
          <w:i/>
          <w:iCs/>
          <w:sz w:val="24"/>
          <w:szCs w:val="24"/>
        </w:rPr>
        <w:t>Helicobacter pylori</w:t>
      </w:r>
      <w:r w:rsidR="006A5720">
        <w:rPr>
          <w:rFonts w:ascii="Book Antiqua" w:eastAsiaTheme="minorEastAsia" w:hAnsi="Book Antiqua" w:hint="eastAsia"/>
          <w:iCs/>
          <w:sz w:val="24"/>
          <w:szCs w:val="24"/>
        </w:rPr>
        <w:t>;</w:t>
      </w:r>
      <w:r w:rsidR="006A5720">
        <w:rPr>
          <w:rFonts w:ascii="Book Antiqua" w:eastAsiaTheme="minorEastAsia" w:hAnsi="Book Antiqua" w:hint="eastAsia"/>
          <w:sz w:val="24"/>
          <w:szCs w:val="24"/>
        </w:rPr>
        <w:t xml:space="preserve"> </w:t>
      </w:r>
      <w:r w:rsidRPr="006C3DC1">
        <w:rPr>
          <w:rFonts w:ascii="Book Antiqua" w:hAnsi="Book Antiqua"/>
          <w:sz w:val="24"/>
          <w:szCs w:val="24"/>
        </w:rPr>
        <w:t>GIST</w:t>
      </w:r>
      <w:r w:rsidR="006A5720">
        <w:rPr>
          <w:rFonts w:ascii="Book Antiqua" w:eastAsiaTheme="minorEastAsia" w:hAnsi="Book Antiqua" w:hint="eastAsia"/>
          <w:sz w:val="24"/>
          <w:szCs w:val="24"/>
        </w:rPr>
        <w:t xml:space="preserve">: </w:t>
      </w:r>
      <w:r w:rsidR="006A5720" w:rsidRPr="006C3DC1">
        <w:rPr>
          <w:rFonts w:ascii="Book Antiqua" w:hAnsi="Book Antiqua"/>
          <w:sz w:val="24"/>
          <w:szCs w:val="24"/>
        </w:rPr>
        <w:t xml:space="preserve">Gastrointestinal </w:t>
      </w:r>
      <w:r w:rsidR="006A5720">
        <w:rPr>
          <w:rFonts w:ascii="Book Antiqua" w:hAnsi="Book Antiqua"/>
          <w:sz w:val="24"/>
          <w:szCs w:val="24"/>
        </w:rPr>
        <w:t>stromal tumor</w:t>
      </w:r>
      <w:r w:rsidR="006A5720">
        <w:rPr>
          <w:rFonts w:ascii="Book Antiqua" w:eastAsiaTheme="minorEastAsia" w:hAnsi="Book Antiqua" w:hint="eastAsia"/>
          <w:sz w:val="24"/>
          <w:szCs w:val="24"/>
        </w:rPr>
        <w:t xml:space="preserve">; </w:t>
      </w:r>
      <w:r w:rsidR="006A5720" w:rsidRPr="006C3DC1">
        <w:rPr>
          <w:rFonts w:ascii="Book Antiqua" w:hAnsi="Book Antiqua"/>
          <w:sz w:val="24"/>
          <w:szCs w:val="24"/>
        </w:rPr>
        <w:t>PLT</w:t>
      </w:r>
      <w:r w:rsidR="006A5720">
        <w:rPr>
          <w:rFonts w:ascii="Book Antiqua" w:eastAsiaTheme="minorEastAsia" w:hAnsi="Book Antiqua" w:hint="eastAsia"/>
          <w:sz w:val="24"/>
          <w:szCs w:val="24"/>
        </w:rPr>
        <w:t xml:space="preserve">: </w:t>
      </w:r>
      <w:r w:rsidR="006A5720" w:rsidRPr="006C3DC1">
        <w:rPr>
          <w:rFonts w:ascii="Book Antiqua" w:hAnsi="Book Antiqua"/>
          <w:sz w:val="24"/>
          <w:szCs w:val="24"/>
        </w:rPr>
        <w:t>Platelet.</w:t>
      </w:r>
    </w:p>
    <w:sectPr w:rsidR="00847F85" w:rsidRPr="006A5720">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AA7" w:rsidRDefault="00C30AA7">
      <w:r>
        <w:separator/>
      </w:r>
    </w:p>
  </w:endnote>
  <w:endnote w:type="continuationSeparator" w:id="0">
    <w:p w:rsidR="00C30AA7" w:rsidRDefault="00C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icrosoft YaHei"/>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92" w:rsidRDefault="00A41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85" w:rsidRDefault="00141C1D">
    <w:pPr>
      <w:pStyle w:val="Footer"/>
      <w:tabs>
        <w:tab w:val="clear" w:pos="8306"/>
        <w:tab w:val="right" w:pos="8280"/>
      </w:tabs>
      <w:jc w:val="center"/>
    </w:pPr>
    <w:r>
      <w:fldChar w:fldCharType="begin"/>
    </w:r>
    <w:r>
      <w:instrText xml:space="preserve"> PAGE </w:instrText>
    </w:r>
    <w:r>
      <w:fldChar w:fldCharType="separate"/>
    </w:r>
    <w:r w:rsidR="009457AB">
      <w:rPr>
        <w:noProof/>
      </w:rPr>
      <w:t>17</w:t>
    </w:r>
    <w:r>
      <w:fldChar w:fldCharType="end"/>
    </w:r>
  </w:p>
  <w:p w:rsidR="00847F85" w:rsidRDefault="00847F85">
    <w:pPr>
      <w:pStyle w:val="Footer"/>
      <w:tabs>
        <w:tab w:val="clear" w:pos="8306"/>
        <w:tab w:val="right" w:pos="82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92" w:rsidRDefault="00A41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AA7" w:rsidRDefault="00C30AA7">
      <w:r>
        <w:separator/>
      </w:r>
    </w:p>
  </w:footnote>
  <w:footnote w:type="continuationSeparator" w:id="0">
    <w:p w:rsidR="00C30AA7" w:rsidRDefault="00C3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92" w:rsidRDefault="00A41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85" w:rsidRDefault="00847F85">
    <w:pPr>
      <w:pStyle w:val="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92" w:rsidRDefault="00A41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85"/>
    <w:rsid w:val="00017058"/>
    <w:rsid w:val="00041B98"/>
    <w:rsid w:val="000C41FE"/>
    <w:rsid w:val="000D5D81"/>
    <w:rsid w:val="000D7C6E"/>
    <w:rsid w:val="000E33BF"/>
    <w:rsid w:val="000F00ED"/>
    <w:rsid w:val="00132FF8"/>
    <w:rsid w:val="00141C1D"/>
    <w:rsid w:val="00146691"/>
    <w:rsid w:val="00156C65"/>
    <w:rsid w:val="001A139A"/>
    <w:rsid w:val="001A32BC"/>
    <w:rsid w:val="001B41C4"/>
    <w:rsid w:val="001E5D03"/>
    <w:rsid w:val="001E5E2F"/>
    <w:rsid w:val="001F3005"/>
    <w:rsid w:val="002114A7"/>
    <w:rsid w:val="002130DA"/>
    <w:rsid w:val="00231E9E"/>
    <w:rsid w:val="002337CC"/>
    <w:rsid w:val="00280C06"/>
    <w:rsid w:val="00287B59"/>
    <w:rsid w:val="002B0DD8"/>
    <w:rsid w:val="002B46FD"/>
    <w:rsid w:val="002D1485"/>
    <w:rsid w:val="002E5898"/>
    <w:rsid w:val="002F037E"/>
    <w:rsid w:val="00312885"/>
    <w:rsid w:val="00320658"/>
    <w:rsid w:val="003329E5"/>
    <w:rsid w:val="0033613B"/>
    <w:rsid w:val="00336E4E"/>
    <w:rsid w:val="00341FC1"/>
    <w:rsid w:val="00350F10"/>
    <w:rsid w:val="00357C41"/>
    <w:rsid w:val="00360481"/>
    <w:rsid w:val="003B6B84"/>
    <w:rsid w:val="003C1D89"/>
    <w:rsid w:val="003C45CA"/>
    <w:rsid w:val="003F344A"/>
    <w:rsid w:val="00437329"/>
    <w:rsid w:val="00442D58"/>
    <w:rsid w:val="00450690"/>
    <w:rsid w:val="00465626"/>
    <w:rsid w:val="00466E13"/>
    <w:rsid w:val="004740A2"/>
    <w:rsid w:val="004A00F3"/>
    <w:rsid w:val="004A6194"/>
    <w:rsid w:val="004B2D94"/>
    <w:rsid w:val="004E5B45"/>
    <w:rsid w:val="004F5119"/>
    <w:rsid w:val="005004E9"/>
    <w:rsid w:val="0050230B"/>
    <w:rsid w:val="00504DAC"/>
    <w:rsid w:val="00537407"/>
    <w:rsid w:val="00540866"/>
    <w:rsid w:val="0054718A"/>
    <w:rsid w:val="00547F7C"/>
    <w:rsid w:val="005920EB"/>
    <w:rsid w:val="00595391"/>
    <w:rsid w:val="005B3790"/>
    <w:rsid w:val="005D7050"/>
    <w:rsid w:val="006231BF"/>
    <w:rsid w:val="006366C7"/>
    <w:rsid w:val="006442BF"/>
    <w:rsid w:val="00682CA2"/>
    <w:rsid w:val="006A3081"/>
    <w:rsid w:val="006A5720"/>
    <w:rsid w:val="006B66BE"/>
    <w:rsid w:val="006C3DC1"/>
    <w:rsid w:val="006D30FC"/>
    <w:rsid w:val="006F2577"/>
    <w:rsid w:val="00745AAB"/>
    <w:rsid w:val="007462B2"/>
    <w:rsid w:val="007A6607"/>
    <w:rsid w:val="007B2075"/>
    <w:rsid w:val="007C0A41"/>
    <w:rsid w:val="00805EE7"/>
    <w:rsid w:val="008329A6"/>
    <w:rsid w:val="008429FD"/>
    <w:rsid w:val="00847F85"/>
    <w:rsid w:val="008640BF"/>
    <w:rsid w:val="00880786"/>
    <w:rsid w:val="00884226"/>
    <w:rsid w:val="0088594F"/>
    <w:rsid w:val="00893F8B"/>
    <w:rsid w:val="008957EA"/>
    <w:rsid w:val="00895A9B"/>
    <w:rsid w:val="00896B1A"/>
    <w:rsid w:val="008B593E"/>
    <w:rsid w:val="008F0E37"/>
    <w:rsid w:val="008F11EF"/>
    <w:rsid w:val="0091372D"/>
    <w:rsid w:val="009457AB"/>
    <w:rsid w:val="00964A18"/>
    <w:rsid w:val="009861C9"/>
    <w:rsid w:val="009866F7"/>
    <w:rsid w:val="009D0014"/>
    <w:rsid w:val="009D78D1"/>
    <w:rsid w:val="00A02F97"/>
    <w:rsid w:val="00A1343A"/>
    <w:rsid w:val="00A41492"/>
    <w:rsid w:val="00A4618F"/>
    <w:rsid w:val="00A544FF"/>
    <w:rsid w:val="00A6005B"/>
    <w:rsid w:val="00A63433"/>
    <w:rsid w:val="00AB65C8"/>
    <w:rsid w:val="00AC190E"/>
    <w:rsid w:val="00AF4977"/>
    <w:rsid w:val="00B020DB"/>
    <w:rsid w:val="00B03928"/>
    <w:rsid w:val="00B06C39"/>
    <w:rsid w:val="00B37CD7"/>
    <w:rsid w:val="00B43678"/>
    <w:rsid w:val="00B51BA3"/>
    <w:rsid w:val="00B659C8"/>
    <w:rsid w:val="00B72EB9"/>
    <w:rsid w:val="00B775F5"/>
    <w:rsid w:val="00BA48C9"/>
    <w:rsid w:val="00BC1F45"/>
    <w:rsid w:val="00BD398D"/>
    <w:rsid w:val="00C22476"/>
    <w:rsid w:val="00C243D2"/>
    <w:rsid w:val="00C30AA7"/>
    <w:rsid w:val="00C31005"/>
    <w:rsid w:val="00C31DFC"/>
    <w:rsid w:val="00C3483D"/>
    <w:rsid w:val="00CC04AA"/>
    <w:rsid w:val="00CC1621"/>
    <w:rsid w:val="00CC403E"/>
    <w:rsid w:val="00D0263D"/>
    <w:rsid w:val="00D0495F"/>
    <w:rsid w:val="00D66754"/>
    <w:rsid w:val="00D6767E"/>
    <w:rsid w:val="00DA1A3E"/>
    <w:rsid w:val="00DD60D7"/>
    <w:rsid w:val="00DD77B3"/>
    <w:rsid w:val="00DE03B0"/>
    <w:rsid w:val="00DE1D8F"/>
    <w:rsid w:val="00DE584F"/>
    <w:rsid w:val="00E24665"/>
    <w:rsid w:val="00E36217"/>
    <w:rsid w:val="00E55BF9"/>
    <w:rsid w:val="00E7512F"/>
    <w:rsid w:val="00EC21B5"/>
    <w:rsid w:val="00EE3732"/>
    <w:rsid w:val="00F42A75"/>
    <w:rsid w:val="00F86D91"/>
    <w:rsid w:val="00F95B0C"/>
    <w:rsid w:val="00FA08FA"/>
    <w:rsid w:val="00FA2F68"/>
    <w:rsid w:val="00FA48F9"/>
    <w:rsid w:val="00FB01A2"/>
    <w:rsid w:val="00FC3AC6"/>
    <w:rsid w:val="00FD15A2"/>
    <w:rsid w:val="00FD6533"/>
    <w:rsid w:val="00FE2911"/>
    <w:rsid w:val="00FE7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CCC83"/>
  <w15:docId w15:val="{89CA625C-BC40-4B4D-85CC-DAED0923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Helvetica Neue" w:eastAsia="Helvetica Neue" w:hAnsi="Helvetica Neue" w:cs="Helvetica Neue"/>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页眉与页脚"/>
    <w:pPr>
      <w:tabs>
        <w:tab w:val="right" w:pos="9020"/>
      </w:tabs>
    </w:pPr>
    <w:rPr>
      <w:rFonts w:ascii="Helvetica Neue" w:eastAsia="Arial Unicode MS" w:hAnsi="Helvetica Neue" w:cs="Arial Unicode MS"/>
      <w:color w:val="000000"/>
      <w:sz w:val="24"/>
      <w:szCs w:val="24"/>
    </w:rPr>
  </w:style>
  <w:style w:type="paragraph" w:styleId="Footer">
    <w:name w:val="footer"/>
    <w:pPr>
      <w:widowControl w:val="0"/>
      <w:tabs>
        <w:tab w:val="center" w:pos="4153"/>
        <w:tab w:val="right" w:pos="8306"/>
      </w:tabs>
    </w:pPr>
    <w:rPr>
      <w:rFonts w:ascii="Cambria" w:eastAsia="Arial Unicode MS" w:hAnsi="Cambria" w:cs="Arial Unicode MS"/>
      <w:color w:val="000000"/>
      <w:kern w:val="2"/>
      <w:sz w:val="18"/>
      <w:szCs w:val="18"/>
      <w:u w:color="000000"/>
    </w:rPr>
  </w:style>
  <w:style w:type="paragraph" w:customStyle="1" w:styleId="a0">
    <w:name w:val="默认"/>
    <w:rPr>
      <w:rFonts w:ascii="Helvetica Neue" w:eastAsia="Helvetica Neue" w:hAnsi="Helvetica Neue" w:cs="Helvetica Neue"/>
      <w:color w:val="000000"/>
      <w:sz w:val="22"/>
      <w:szCs w:val="22"/>
    </w:rPr>
  </w:style>
  <w:style w:type="paragraph" w:styleId="Date">
    <w:name w:val="Date"/>
    <w:next w:val="Normal"/>
    <w:pPr>
      <w:widowControl w:val="0"/>
      <w:ind w:left="100"/>
      <w:jc w:val="both"/>
    </w:pPr>
    <w:rPr>
      <w:rFonts w:ascii="Cambria" w:eastAsia="Arial Unicode MS" w:hAnsi="Cambria" w:cs="Arial Unicode MS"/>
      <w:color w:val="000000"/>
      <w:kern w:val="2"/>
      <w:sz w:val="24"/>
      <w:szCs w:val="24"/>
      <w:u w:color="000000"/>
      <w:lang w:val="zh-TW" w:eastAsia="zh-TW"/>
    </w:rPr>
  </w:style>
  <w:style w:type="paragraph" w:customStyle="1" w:styleId="1">
    <w:name w:val="表格样式 1"/>
    <w:rPr>
      <w:rFonts w:ascii="Helvetica Neue" w:eastAsia="Helvetica Neue" w:hAnsi="Helvetica Neue" w:cs="Helvetica Neue"/>
      <w:b/>
      <w:bCs/>
      <w:color w:val="000000"/>
    </w:rPr>
  </w:style>
  <w:style w:type="paragraph" w:customStyle="1" w:styleId="2">
    <w:name w:val="表格样式 2"/>
    <w:rPr>
      <w:rFonts w:ascii="Helvetica Neue" w:eastAsia="Helvetica Neue" w:hAnsi="Helvetica Neue" w:cs="Helvetica Neue"/>
      <w:color w:val="000000"/>
    </w:rPr>
  </w:style>
  <w:style w:type="paragraph" w:styleId="Header">
    <w:name w:val="header"/>
    <w:basedOn w:val="Normal"/>
    <w:link w:val="HeaderChar"/>
    <w:uiPriority w:val="99"/>
    <w:unhideWhenUsed/>
    <w:rsid w:val="00A414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41492"/>
    <w:rPr>
      <w:rFonts w:ascii="Helvetica Neue" w:eastAsia="Helvetica Neue" w:hAnsi="Helvetica Neue" w:cs="Helvetica Neue"/>
      <w:color w:val="000000"/>
      <w:sz w:val="18"/>
      <w:szCs w:val="18"/>
    </w:rPr>
  </w:style>
  <w:style w:type="paragraph" w:styleId="BalloonText">
    <w:name w:val="Balloon Text"/>
    <w:basedOn w:val="Normal"/>
    <w:link w:val="BalloonTextChar"/>
    <w:uiPriority w:val="99"/>
    <w:semiHidden/>
    <w:unhideWhenUsed/>
    <w:rsid w:val="002337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37CC"/>
    <w:rPr>
      <w:rFonts w:eastAsia="Helvetica Neue"/>
      <w:color w:val="000000"/>
      <w:sz w:val="18"/>
      <w:szCs w:val="18"/>
    </w:rPr>
  </w:style>
  <w:style w:type="paragraph" w:styleId="PlainText">
    <w:name w:val="Plain Text"/>
    <w:basedOn w:val="Normal"/>
    <w:link w:val="PlainTextChar"/>
    <w:rsid w:val="0050230B"/>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SimSun" w:eastAsia="SimSun" w:hAnsi="Courier New" w:cs="Courier New"/>
      <w:color w:val="auto"/>
      <w:kern w:val="2"/>
      <w:sz w:val="21"/>
      <w:szCs w:val="21"/>
      <w:bdr w:val="none" w:sz="0" w:space="0" w:color="auto"/>
    </w:rPr>
  </w:style>
  <w:style w:type="character" w:customStyle="1" w:styleId="PlainTextChar">
    <w:name w:val="Plain Text Char"/>
    <w:basedOn w:val="DefaultParagraphFont"/>
    <w:link w:val="PlainText"/>
    <w:rsid w:val="0050230B"/>
    <w:rPr>
      <w:rFonts w:ascii="SimSun" w:eastAsia="SimSun" w:hAnsi="Courier New" w:cs="Courier New"/>
      <w:kern w:val="2"/>
      <w:sz w:val="21"/>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6460">
      <w:bodyDiv w:val="1"/>
      <w:marLeft w:val="0"/>
      <w:marRight w:val="0"/>
      <w:marTop w:val="0"/>
      <w:marBottom w:val="0"/>
      <w:divBdr>
        <w:top w:val="none" w:sz="0" w:space="0" w:color="auto"/>
        <w:left w:val="none" w:sz="0" w:space="0" w:color="auto"/>
        <w:bottom w:val="none" w:sz="0" w:space="0" w:color="auto"/>
        <w:right w:val="none" w:sz="0" w:space="0" w:color="auto"/>
      </w:divBdr>
    </w:div>
    <w:div w:id="85227608">
      <w:bodyDiv w:val="1"/>
      <w:marLeft w:val="0"/>
      <w:marRight w:val="0"/>
      <w:marTop w:val="0"/>
      <w:marBottom w:val="0"/>
      <w:divBdr>
        <w:top w:val="none" w:sz="0" w:space="0" w:color="auto"/>
        <w:left w:val="none" w:sz="0" w:space="0" w:color="auto"/>
        <w:bottom w:val="none" w:sz="0" w:space="0" w:color="auto"/>
        <w:right w:val="none" w:sz="0" w:space="0" w:color="auto"/>
      </w:divBdr>
    </w:div>
    <w:div w:id="284696972">
      <w:bodyDiv w:val="1"/>
      <w:marLeft w:val="0"/>
      <w:marRight w:val="0"/>
      <w:marTop w:val="0"/>
      <w:marBottom w:val="0"/>
      <w:divBdr>
        <w:top w:val="none" w:sz="0" w:space="0" w:color="auto"/>
        <w:left w:val="none" w:sz="0" w:space="0" w:color="auto"/>
        <w:bottom w:val="none" w:sz="0" w:space="0" w:color="auto"/>
        <w:right w:val="none" w:sz="0" w:space="0" w:color="auto"/>
      </w:divBdr>
    </w:div>
    <w:div w:id="294020253">
      <w:bodyDiv w:val="1"/>
      <w:marLeft w:val="0"/>
      <w:marRight w:val="0"/>
      <w:marTop w:val="0"/>
      <w:marBottom w:val="0"/>
      <w:divBdr>
        <w:top w:val="none" w:sz="0" w:space="0" w:color="auto"/>
        <w:left w:val="none" w:sz="0" w:space="0" w:color="auto"/>
        <w:bottom w:val="none" w:sz="0" w:space="0" w:color="auto"/>
        <w:right w:val="none" w:sz="0" w:space="0" w:color="auto"/>
      </w:divBdr>
    </w:div>
    <w:div w:id="321548003">
      <w:bodyDiv w:val="1"/>
      <w:marLeft w:val="0"/>
      <w:marRight w:val="0"/>
      <w:marTop w:val="0"/>
      <w:marBottom w:val="0"/>
      <w:divBdr>
        <w:top w:val="none" w:sz="0" w:space="0" w:color="auto"/>
        <w:left w:val="none" w:sz="0" w:space="0" w:color="auto"/>
        <w:bottom w:val="none" w:sz="0" w:space="0" w:color="auto"/>
        <w:right w:val="none" w:sz="0" w:space="0" w:color="auto"/>
      </w:divBdr>
    </w:div>
    <w:div w:id="329528232">
      <w:bodyDiv w:val="1"/>
      <w:marLeft w:val="0"/>
      <w:marRight w:val="0"/>
      <w:marTop w:val="0"/>
      <w:marBottom w:val="0"/>
      <w:divBdr>
        <w:top w:val="none" w:sz="0" w:space="0" w:color="auto"/>
        <w:left w:val="none" w:sz="0" w:space="0" w:color="auto"/>
        <w:bottom w:val="none" w:sz="0" w:space="0" w:color="auto"/>
        <w:right w:val="none" w:sz="0" w:space="0" w:color="auto"/>
      </w:divBdr>
    </w:div>
    <w:div w:id="336462235">
      <w:bodyDiv w:val="1"/>
      <w:marLeft w:val="0"/>
      <w:marRight w:val="0"/>
      <w:marTop w:val="0"/>
      <w:marBottom w:val="0"/>
      <w:divBdr>
        <w:top w:val="none" w:sz="0" w:space="0" w:color="auto"/>
        <w:left w:val="none" w:sz="0" w:space="0" w:color="auto"/>
        <w:bottom w:val="none" w:sz="0" w:space="0" w:color="auto"/>
        <w:right w:val="none" w:sz="0" w:space="0" w:color="auto"/>
      </w:divBdr>
    </w:div>
    <w:div w:id="361052243">
      <w:bodyDiv w:val="1"/>
      <w:marLeft w:val="0"/>
      <w:marRight w:val="0"/>
      <w:marTop w:val="0"/>
      <w:marBottom w:val="0"/>
      <w:divBdr>
        <w:top w:val="none" w:sz="0" w:space="0" w:color="auto"/>
        <w:left w:val="none" w:sz="0" w:space="0" w:color="auto"/>
        <w:bottom w:val="none" w:sz="0" w:space="0" w:color="auto"/>
        <w:right w:val="none" w:sz="0" w:space="0" w:color="auto"/>
      </w:divBdr>
    </w:div>
    <w:div w:id="421220481">
      <w:bodyDiv w:val="1"/>
      <w:marLeft w:val="0"/>
      <w:marRight w:val="0"/>
      <w:marTop w:val="0"/>
      <w:marBottom w:val="0"/>
      <w:divBdr>
        <w:top w:val="none" w:sz="0" w:space="0" w:color="auto"/>
        <w:left w:val="none" w:sz="0" w:space="0" w:color="auto"/>
        <w:bottom w:val="none" w:sz="0" w:space="0" w:color="auto"/>
        <w:right w:val="none" w:sz="0" w:space="0" w:color="auto"/>
      </w:divBdr>
    </w:div>
    <w:div w:id="436021803">
      <w:bodyDiv w:val="1"/>
      <w:marLeft w:val="0"/>
      <w:marRight w:val="0"/>
      <w:marTop w:val="0"/>
      <w:marBottom w:val="0"/>
      <w:divBdr>
        <w:top w:val="none" w:sz="0" w:space="0" w:color="auto"/>
        <w:left w:val="none" w:sz="0" w:space="0" w:color="auto"/>
        <w:bottom w:val="none" w:sz="0" w:space="0" w:color="auto"/>
        <w:right w:val="none" w:sz="0" w:space="0" w:color="auto"/>
      </w:divBdr>
    </w:div>
    <w:div w:id="565721059">
      <w:bodyDiv w:val="1"/>
      <w:marLeft w:val="0"/>
      <w:marRight w:val="0"/>
      <w:marTop w:val="0"/>
      <w:marBottom w:val="0"/>
      <w:divBdr>
        <w:top w:val="none" w:sz="0" w:space="0" w:color="auto"/>
        <w:left w:val="none" w:sz="0" w:space="0" w:color="auto"/>
        <w:bottom w:val="none" w:sz="0" w:space="0" w:color="auto"/>
        <w:right w:val="none" w:sz="0" w:space="0" w:color="auto"/>
      </w:divBdr>
    </w:div>
    <w:div w:id="582957682">
      <w:bodyDiv w:val="1"/>
      <w:marLeft w:val="0"/>
      <w:marRight w:val="0"/>
      <w:marTop w:val="0"/>
      <w:marBottom w:val="0"/>
      <w:divBdr>
        <w:top w:val="none" w:sz="0" w:space="0" w:color="auto"/>
        <w:left w:val="none" w:sz="0" w:space="0" w:color="auto"/>
        <w:bottom w:val="none" w:sz="0" w:space="0" w:color="auto"/>
        <w:right w:val="none" w:sz="0" w:space="0" w:color="auto"/>
      </w:divBdr>
    </w:div>
    <w:div w:id="650911293">
      <w:bodyDiv w:val="1"/>
      <w:marLeft w:val="0"/>
      <w:marRight w:val="0"/>
      <w:marTop w:val="0"/>
      <w:marBottom w:val="0"/>
      <w:divBdr>
        <w:top w:val="none" w:sz="0" w:space="0" w:color="auto"/>
        <w:left w:val="none" w:sz="0" w:space="0" w:color="auto"/>
        <w:bottom w:val="none" w:sz="0" w:space="0" w:color="auto"/>
        <w:right w:val="none" w:sz="0" w:space="0" w:color="auto"/>
      </w:divBdr>
    </w:div>
    <w:div w:id="651060549">
      <w:bodyDiv w:val="1"/>
      <w:marLeft w:val="0"/>
      <w:marRight w:val="0"/>
      <w:marTop w:val="0"/>
      <w:marBottom w:val="0"/>
      <w:divBdr>
        <w:top w:val="none" w:sz="0" w:space="0" w:color="auto"/>
        <w:left w:val="none" w:sz="0" w:space="0" w:color="auto"/>
        <w:bottom w:val="none" w:sz="0" w:space="0" w:color="auto"/>
        <w:right w:val="none" w:sz="0" w:space="0" w:color="auto"/>
      </w:divBdr>
    </w:div>
    <w:div w:id="669210491">
      <w:bodyDiv w:val="1"/>
      <w:marLeft w:val="0"/>
      <w:marRight w:val="0"/>
      <w:marTop w:val="0"/>
      <w:marBottom w:val="0"/>
      <w:divBdr>
        <w:top w:val="none" w:sz="0" w:space="0" w:color="auto"/>
        <w:left w:val="none" w:sz="0" w:space="0" w:color="auto"/>
        <w:bottom w:val="none" w:sz="0" w:space="0" w:color="auto"/>
        <w:right w:val="none" w:sz="0" w:space="0" w:color="auto"/>
      </w:divBdr>
    </w:div>
    <w:div w:id="694158785">
      <w:bodyDiv w:val="1"/>
      <w:marLeft w:val="0"/>
      <w:marRight w:val="0"/>
      <w:marTop w:val="0"/>
      <w:marBottom w:val="0"/>
      <w:divBdr>
        <w:top w:val="none" w:sz="0" w:space="0" w:color="auto"/>
        <w:left w:val="none" w:sz="0" w:space="0" w:color="auto"/>
        <w:bottom w:val="none" w:sz="0" w:space="0" w:color="auto"/>
        <w:right w:val="none" w:sz="0" w:space="0" w:color="auto"/>
      </w:divBdr>
    </w:div>
    <w:div w:id="700205947">
      <w:bodyDiv w:val="1"/>
      <w:marLeft w:val="0"/>
      <w:marRight w:val="0"/>
      <w:marTop w:val="0"/>
      <w:marBottom w:val="0"/>
      <w:divBdr>
        <w:top w:val="none" w:sz="0" w:space="0" w:color="auto"/>
        <w:left w:val="none" w:sz="0" w:space="0" w:color="auto"/>
        <w:bottom w:val="none" w:sz="0" w:space="0" w:color="auto"/>
        <w:right w:val="none" w:sz="0" w:space="0" w:color="auto"/>
      </w:divBdr>
    </w:div>
    <w:div w:id="703671139">
      <w:bodyDiv w:val="1"/>
      <w:marLeft w:val="0"/>
      <w:marRight w:val="0"/>
      <w:marTop w:val="0"/>
      <w:marBottom w:val="0"/>
      <w:divBdr>
        <w:top w:val="none" w:sz="0" w:space="0" w:color="auto"/>
        <w:left w:val="none" w:sz="0" w:space="0" w:color="auto"/>
        <w:bottom w:val="none" w:sz="0" w:space="0" w:color="auto"/>
        <w:right w:val="none" w:sz="0" w:space="0" w:color="auto"/>
      </w:divBdr>
    </w:div>
    <w:div w:id="823816556">
      <w:bodyDiv w:val="1"/>
      <w:marLeft w:val="0"/>
      <w:marRight w:val="0"/>
      <w:marTop w:val="0"/>
      <w:marBottom w:val="0"/>
      <w:divBdr>
        <w:top w:val="none" w:sz="0" w:space="0" w:color="auto"/>
        <w:left w:val="none" w:sz="0" w:space="0" w:color="auto"/>
        <w:bottom w:val="none" w:sz="0" w:space="0" w:color="auto"/>
        <w:right w:val="none" w:sz="0" w:space="0" w:color="auto"/>
      </w:divBdr>
    </w:div>
    <w:div w:id="941835878">
      <w:bodyDiv w:val="1"/>
      <w:marLeft w:val="0"/>
      <w:marRight w:val="0"/>
      <w:marTop w:val="0"/>
      <w:marBottom w:val="0"/>
      <w:divBdr>
        <w:top w:val="none" w:sz="0" w:space="0" w:color="auto"/>
        <w:left w:val="none" w:sz="0" w:space="0" w:color="auto"/>
        <w:bottom w:val="none" w:sz="0" w:space="0" w:color="auto"/>
        <w:right w:val="none" w:sz="0" w:space="0" w:color="auto"/>
      </w:divBdr>
    </w:div>
    <w:div w:id="945192725">
      <w:bodyDiv w:val="1"/>
      <w:marLeft w:val="0"/>
      <w:marRight w:val="0"/>
      <w:marTop w:val="0"/>
      <w:marBottom w:val="0"/>
      <w:divBdr>
        <w:top w:val="none" w:sz="0" w:space="0" w:color="auto"/>
        <w:left w:val="none" w:sz="0" w:space="0" w:color="auto"/>
        <w:bottom w:val="none" w:sz="0" w:space="0" w:color="auto"/>
        <w:right w:val="none" w:sz="0" w:space="0" w:color="auto"/>
      </w:divBdr>
    </w:div>
    <w:div w:id="950665560">
      <w:bodyDiv w:val="1"/>
      <w:marLeft w:val="0"/>
      <w:marRight w:val="0"/>
      <w:marTop w:val="0"/>
      <w:marBottom w:val="0"/>
      <w:divBdr>
        <w:top w:val="none" w:sz="0" w:space="0" w:color="auto"/>
        <w:left w:val="none" w:sz="0" w:space="0" w:color="auto"/>
        <w:bottom w:val="none" w:sz="0" w:space="0" w:color="auto"/>
        <w:right w:val="none" w:sz="0" w:space="0" w:color="auto"/>
      </w:divBdr>
    </w:div>
    <w:div w:id="1042635989">
      <w:bodyDiv w:val="1"/>
      <w:marLeft w:val="0"/>
      <w:marRight w:val="0"/>
      <w:marTop w:val="0"/>
      <w:marBottom w:val="0"/>
      <w:divBdr>
        <w:top w:val="none" w:sz="0" w:space="0" w:color="auto"/>
        <w:left w:val="none" w:sz="0" w:space="0" w:color="auto"/>
        <w:bottom w:val="none" w:sz="0" w:space="0" w:color="auto"/>
        <w:right w:val="none" w:sz="0" w:space="0" w:color="auto"/>
      </w:divBdr>
    </w:div>
    <w:div w:id="1081021593">
      <w:bodyDiv w:val="1"/>
      <w:marLeft w:val="0"/>
      <w:marRight w:val="0"/>
      <w:marTop w:val="0"/>
      <w:marBottom w:val="0"/>
      <w:divBdr>
        <w:top w:val="none" w:sz="0" w:space="0" w:color="auto"/>
        <w:left w:val="none" w:sz="0" w:space="0" w:color="auto"/>
        <w:bottom w:val="none" w:sz="0" w:space="0" w:color="auto"/>
        <w:right w:val="none" w:sz="0" w:space="0" w:color="auto"/>
      </w:divBdr>
    </w:div>
    <w:div w:id="1094396416">
      <w:bodyDiv w:val="1"/>
      <w:marLeft w:val="0"/>
      <w:marRight w:val="0"/>
      <w:marTop w:val="0"/>
      <w:marBottom w:val="0"/>
      <w:divBdr>
        <w:top w:val="none" w:sz="0" w:space="0" w:color="auto"/>
        <w:left w:val="none" w:sz="0" w:space="0" w:color="auto"/>
        <w:bottom w:val="none" w:sz="0" w:space="0" w:color="auto"/>
        <w:right w:val="none" w:sz="0" w:space="0" w:color="auto"/>
      </w:divBdr>
    </w:div>
    <w:div w:id="1134785882">
      <w:bodyDiv w:val="1"/>
      <w:marLeft w:val="0"/>
      <w:marRight w:val="0"/>
      <w:marTop w:val="0"/>
      <w:marBottom w:val="0"/>
      <w:divBdr>
        <w:top w:val="none" w:sz="0" w:space="0" w:color="auto"/>
        <w:left w:val="none" w:sz="0" w:space="0" w:color="auto"/>
        <w:bottom w:val="none" w:sz="0" w:space="0" w:color="auto"/>
        <w:right w:val="none" w:sz="0" w:space="0" w:color="auto"/>
      </w:divBdr>
    </w:div>
    <w:div w:id="1204707652">
      <w:bodyDiv w:val="1"/>
      <w:marLeft w:val="0"/>
      <w:marRight w:val="0"/>
      <w:marTop w:val="0"/>
      <w:marBottom w:val="0"/>
      <w:divBdr>
        <w:top w:val="none" w:sz="0" w:space="0" w:color="auto"/>
        <w:left w:val="none" w:sz="0" w:space="0" w:color="auto"/>
        <w:bottom w:val="none" w:sz="0" w:space="0" w:color="auto"/>
        <w:right w:val="none" w:sz="0" w:space="0" w:color="auto"/>
      </w:divBdr>
    </w:div>
    <w:div w:id="1314143147">
      <w:bodyDiv w:val="1"/>
      <w:marLeft w:val="0"/>
      <w:marRight w:val="0"/>
      <w:marTop w:val="0"/>
      <w:marBottom w:val="0"/>
      <w:divBdr>
        <w:top w:val="none" w:sz="0" w:space="0" w:color="auto"/>
        <w:left w:val="none" w:sz="0" w:space="0" w:color="auto"/>
        <w:bottom w:val="none" w:sz="0" w:space="0" w:color="auto"/>
        <w:right w:val="none" w:sz="0" w:space="0" w:color="auto"/>
      </w:divBdr>
    </w:div>
    <w:div w:id="1465736132">
      <w:bodyDiv w:val="1"/>
      <w:marLeft w:val="0"/>
      <w:marRight w:val="0"/>
      <w:marTop w:val="0"/>
      <w:marBottom w:val="0"/>
      <w:divBdr>
        <w:top w:val="none" w:sz="0" w:space="0" w:color="auto"/>
        <w:left w:val="none" w:sz="0" w:space="0" w:color="auto"/>
        <w:bottom w:val="none" w:sz="0" w:space="0" w:color="auto"/>
        <w:right w:val="none" w:sz="0" w:space="0" w:color="auto"/>
      </w:divBdr>
    </w:div>
    <w:div w:id="1470826094">
      <w:bodyDiv w:val="1"/>
      <w:marLeft w:val="0"/>
      <w:marRight w:val="0"/>
      <w:marTop w:val="0"/>
      <w:marBottom w:val="0"/>
      <w:divBdr>
        <w:top w:val="none" w:sz="0" w:space="0" w:color="auto"/>
        <w:left w:val="none" w:sz="0" w:space="0" w:color="auto"/>
        <w:bottom w:val="none" w:sz="0" w:space="0" w:color="auto"/>
        <w:right w:val="none" w:sz="0" w:space="0" w:color="auto"/>
      </w:divBdr>
    </w:div>
    <w:div w:id="1526600243">
      <w:bodyDiv w:val="1"/>
      <w:marLeft w:val="0"/>
      <w:marRight w:val="0"/>
      <w:marTop w:val="0"/>
      <w:marBottom w:val="0"/>
      <w:divBdr>
        <w:top w:val="none" w:sz="0" w:space="0" w:color="auto"/>
        <w:left w:val="none" w:sz="0" w:space="0" w:color="auto"/>
        <w:bottom w:val="none" w:sz="0" w:space="0" w:color="auto"/>
        <w:right w:val="none" w:sz="0" w:space="0" w:color="auto"/>
      </w:divBdr>
    </w:div>
    <w:div w:id="1537498239">
      <w:bodyDiv w:val="1"/>
      <w:marLeft w:val="0"/>
      <w:marRight w:val="0"/>
      <w:marTop w:val="0"/>
      <w:marBottom w:val="0"/>
      <w:divBdr>
        <w:top w:val="none" w:sz="0" w:space="0" w:color="auto"/>
        <w:left w:val="none" w:sz="0" w:space="0" w:color="auto"/>
        <w:bottom w:val="none" w:sz="0" w:space="0" w:color="auto"/>
        <w:right w:val="none" w:sz="0" w:space="0" w:color="auto"/>
      </w:divBdr>
    </w:div>
    <w:div w:id="1554733228">
      <w:bodyDiv w:val="1"/>
      <w:marLeft w:val="0"/>
      <w:marRight w:val="0"/>
      <w:marTop w:val="0"/>
      <w:marBottom w:val="0"/>
      <w:divBdr>
        <w:top w:val="none" w:sz="0" w:space="0" w:color="auto"/>
        <w:left w:val="none" w:sz="0" w:space="0" w:color="auto"/>
        <w:bottom w:val="none" w:sz="0" w:space="0" w:color="auto"/>
        <w:right w:val="none" w:sz="0" w:space="0" w:color="auto"/>
      </w:divBdr>
    </w:div>
    <w:div w:id="1588466422">
      <w:bodyDiv w:val="1"/>
      <w:marLeft w:val="0"/>
      <w:marRight w:val="0"/>
      <w:marTop w:val="0"/>
      <w:marBottom w:val="0"/>
      <w:divBdr>
        <w:top w:val="none" w:sz="0" w:space="0" w:color="auto"/>
        <w:left w:val="none" w:sz="0" w:space="0" w:color="auto"/>
        <w:bottom w:val="none" w:sz="0" w:space="0" w:color="auto"/>
        <w:right w:val="none" w:sz="0" w:space="0" w:color="auto"/>
      </w:divBdr>
    </w:div>
    <w:div w:id="1597206229">
      <w:bodyDiv w:val="1"/>
      <w:marLeft w:val="0"/>
      <w:marRight w:val="0"/>
      <w:marTop w:val="0"/>
      <w:marBottom w:val="0"/>
      <w:divBdr>
        <w:top w:val="none" w:sz="0" w:space="0" w:color="auto"/>
        <w:left w:val="none" w:sz="0" w:space="0" w:color="auto"/>
        <w:bottom w:val="none" w:sz="0" w:space="0" w:color="auto"/>
        <w:right w:val="none" w:sz="0" w:space="0" w:color="auto"/>
      </w:divBdr>
    </w:div>
    <w:div w:id="1608148993">
      <w:bodyDiv w:val="1"/>
      <w:marLeft w:val="0"/>
      <w:marRight w:val="0"/>
      <w:marTop w:val="0"/>
      <w:marBottom w:val="0"/>
      <w:divBdr>
        <w:top w:val="none" w:sz="0" w:space="0" w:color="auto"/>
        <w:left w:val="none" w:sz="0" w:space="0" w:color="auto"/>
        <w:bottom w:val="none" w:sz="0" w:space="0" w:color="auto"/>
        <w:right w:val="none" w:sz="0" w:space="0" w:color="auto"/>
      </w:divBdr>
    </w:div>
    <w:div w:id="1705472819">
      <w:bodyDiv w:val="1"/>
      <w:marLeft w:val="0"/>
      <w:marRight w:val="0"/>
      <w:marTop w:val="0"/>
      <w:marBottom w:val="0"/>
      <w:divBdr>
        <w:top w:val="none" w:sz="0" w:space="0" w:color="auto"/>
        <w:left w:val="none" w:sz="0" w:space="0" w:color="auto"/>
        <w:bottom w:val="none" w:sz="0" w:space="0" w:color="auto"/>
        <w:right w:val="none" w:sz="0" w:space="0" w:color="auto"/>
      </w:divBdr>
    </w:div>
    <w:div w:id="1713261908">
      <w:bodyDiv w:val="1"/>
      <w:marLeft w:val="0"/>
      <w:marRight w:val="0"/>
      <w:marTop w:val="0"/>
      <w:marBottom w:val="0"/>
      <w:divBdr>
        <w:top w:val="none" w:sz="0" w:space="0" w:color="auto"/>
        <w:left w:val="none" w:sz="0" w:space="0" w:color="auto"/>
        <w:bottom w:val="none" w:sz="0" w:space="0" w:color="auto"/>
        <w:right w:val="none" w:sz="0" w:space="0" w:color="auto"/>
      </w:divBdr>
    </w:div>
    <w:div w:id="1729300421">
      <w:bodyDiv w:val="1"/>
      <w:marLeft w:val="0"/>
      <w:marRight w:val="0"/>
      <w:marTop w:val="0"/>
      <w:marBottom w:val="0"/>
      <w:divBdr>
        <w:top w:val="none" w:sz="0" w:space="0" w:color="auto"/>
        <w:left w:val="none" w:sz="0" w:space="0" w:color="auto"/>
        <w:bottom w:val="none" w:sz="0" w:space="0" w:color="auto"/>
        <w:right w:val="none" w:sz="0" w:space="0" w:color="auto"/>
      </w:divBdr>
    </w:div>
    <w:div w:id="1735349042">
      <w:bodyDiv w:val="1"/>
      <w:marLeft w:val="0"/>
      <w:marRight w:val="0"/>
      <w:marTop w:val="0"/>
      <w:marBottom w:val="0"/>
      <w:divBdr>
        <w:top w:val="none" w:sz="0" w:space="0" w:color="auto"/>
        <w:left w:val="none" w:sz="0" w:space="0" w:color="auto"/>
        <w:bottom w:val="none" w:sz="0" w:space="0" w:color="auto"/>
        <w:right w:val="none" w:sz="0" w:space="0" w:color="auto"/>
      </w:divBdr>
    </w:div>
    <w:div w:id="1911037222">
      <w:bodyDiv w:val="1"/>
      <w:marLeft w:val="0"/>
      <w:marRight w:val="0"/>
      <w:marTop w:val="0"/>
      <w:marBottom w:val="0"/>
      <w:divBdr>
        <w:top w:val="none" w:sz="0" w:space="0" w:color="auto"/>
        <w:left w:val="none" w:sz="0" w:space="0" w:color="auto"/>
        <w:bottom w:val="none" w:sz="0" w:space="0" w:color="auto"/>
        <w:right w:val="none" w:sz="0" w:space="0" w:color="auto"/>
      </w:divBdr>
    </w:div>
    <w:div w:id="1921522296">
      <w:bodyDiv w:val="1"/>
      <w:marLeft w:val="0"/>
      <w:marRight w:val="0"/>
      <w:marTop w:val="0"/>
      <w:marBottom w:val="0"/>
      <w:divBdr>
        <w:top w:val="none" w:sz="0" w:space="0" w:color="auto"/>
        <w:left w:val="none" w:sz="0" w:space="0" w:color="auto"/>
        <w:bottom w:val="none" w:sz="0" w:space="0" w:color="auto"/>
        <w:right w:val="none" w:sz="0" w:space="0" w:color="auto"/>
      </w:divBdr>
    </w:div>
    <w:div w:id="1922252974">
      <w:bodyDiv w:val="1"/>
      <w:marLeft w:val="0"/>
      <w:marRight w:val="0"/>
      <w:marTop w:val="0"/>
      <w:marBottom w:val="0"/>
      <w:divBdr>
        <w:top w:val="none" w:sz="0" w:space="0" w:color="auto"/>
        <w:left w:val="none" w:sz="0" w:space="0" w:color="auto"/>
        <w:bottom w:val="none" w:sz="0" w:space="0" w:color="auto"/>
        <w:right w:val="none" w:sz="0" w:space="0" w:color="auto"/>
      </w:divBdr>
    </w:div>
    <w:div w:id="1961761799">
      <w:bodyDiv w:val="1"/>
      <w:marLeft w:val="0"/>
      <w:marRight w:val="0"/>
      <w:marTop w:val="0"/>
      <w:marBottom w:val="0"/>
      <w:divBdr>
        <w:top w:val="none" w:sz="0" w:space="0" w:color="auto"/>
        <w:left w:val="none" w:sz="0" w:space="0" w:color="auto"/>
        <w:bottom w:val="none" w:sz="0" w:space="0" w:color="auto"/>
        <w:right w:val="none" w:sz="0" w:space="0" w:color="auto"/>
      </w:divBdr>
    </w:div>
    <w:div w:id="1977831364">
      <w:bodyDiv w:val="1"/>
      <w:marLeft w:val="0"/>
      <w:marRight w:val="0"/>
      <w:marTop w:val="0"/>
      <w:marBottom w:val="0"/>
      <w:divBdr>
        <w:top w:val="none" w:sz="0" w:space="0" w:color="auto"/>
        <w:left w:val="none" w:sz="0" w:space="0" w:color="auto"/>
        <w:bottom w:val="none" w:sz="0" w:space="0" w:color="auto"/>
        <w:right w:val="none" w:sz="0" w:space="0" w:color="auto"/>
      </w:divBdr>
    </w:div>
    <w:div w:id="2112503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2A358-AC65-4FE6-935A-D9C3EA70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17999</Words>
  <Characters>102595</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 Ma</cp:lastModifiedBy>
  <cp:revision>2</cp:revision>
  <dcterms:created xsi:type="dcterms:W3CDTF">2018-11-07T20:24:00Z</dcterms:created>
  <dcterms:modified xsi:type="dcterms:W3CDTF">2018-11-07T20:24:00Z</dcterms:modified>
</cp:coreProperties>
</file>